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6D0EB" w14:textId="77777777" w:rsidR="00F168FF" w:rsidRPr="00F168FF" w:rsidRDefault="00F168FF" w:rsidP="00F168FF">
      <w:pPr>
        <w:spacing w:before="100" w:beforeAutospacing="1" w:after="100" w:afterAutospacing="1"/>
        <w:outlineLvl w:val="1"/>
        <w:rPr>
          <w:rFonts w:ascii="Times New Roman" w:hAnsi="Times New Roman"/>
          <w:b/>
          <w:bCs/>
          <w:kern w:val="0"/>
          <w:sz w:val="36"/>
          <w:szCs w:val="36"/>
          <w14:ligatures w14:val="none"/>
        </w:rPr>
      </w:pPr>
      <w:r w:rsidRPr="00F168FF">
        <w:rPr>
          <w:rFonts w:ascii="Times New Roman" w:hAnsi="Times New Roman"/>
          <w:b/>
          <w:bCs/>
          <w:kern w:val="0"/>
          <w:sz w:val="36"/>
          <w:szCs w:val="36"/>
          <w14:ligatures w14:val="none"/>
        </w:rPr>
        <w:t>Theoretical Framework: The Politics of Subset Legitimacy and Redeemability</w:t>
      </w:r>
    </w:p>
    <w:p w14:paraId="2289BF1C"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Research demonstrates that public support for marginalized groups varies significantly based on how specific subsets are constructed as either redeemable or irredeemable. This literature spans multiple empirical and theoretical approaches, from policy tool analysis to public opinion research to discourse studies.</w:t>
      </w:r>
    </w:p>
    <w:p w14:paraId="197552B1"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Policy Tools and Subset Construction</w:t>
      </w:r>
    </w:p>
    <w:p w14:paraId="44F208A6"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In their foundational study of policy tools, Schneider and Ingram (1990) analyze laws, regulations, and programs to understand how policymakers strategically separate subgroups for different treatment. Through examination of policy documents and implementation practices, they identify five broad categories of tools: authority, incentives, capacity-building, symbolic/hortatory, and learning tools. Their analysis reveals how these tools embed different assumptions about target populations and create legitimacy for certain subgroups while stigmatizing others.</w:t>
      </w:r>
    </w:p>
    <w:p w14:paraId="14429290"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 xml:space="preserve">Particularly relevant is their finding that "sanctions and force usually are reserved for actions that the government wants to </w:t>
      </w:r>
      <w:proofErr w:type="gramStart"/>
      <w:r w:rsidRPr="00F168FF">
        <w:rPr>
          <w:rFonts w:ascii="Times New Roman" w:hAnsi="Times New Roman"/>
          <w:kern w:val="0"/>
          <w:sz w:val="24"/>
          <w14:ligatures w14:val="none"/>
        </w:rPr>
        <w:t>stigmatize;</w:t>
      </w:r>
      <w:proofErr w:type="gramEnd"/>
      <w:r w:rsidRPr="00F168FF">
        <w:rPr>
          <w:rFonts w:ascii="Times New Roman" w:hAnsi="Times New Roman"/>
          <w:kern w:val="0"/>
          <w:sz w:val="24"/>
          <w14:ligatures w14:val="none"/>
        </w:rPr>
        <w:t xml:space="preserve"> whereas inducements and charges are usually associated with socially acceptable behavior" (515-516). This strategic use of different tools helps explain how and why certain subsets of marginalized groups receive more favorable treatment than others. The authors demonstrate that these tools create distinctions not just through material incentives but through "symbolic and hortatory" mechanisms that associate certain subgroups with positive societal values.</w:t>
      </w:r>
    </w:p>
    <w:p w14:paraId="58FD5203"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The Role of Redeemability Beliefs</w:t>
      </w:r>
    </w:p>
    <w:p w14:paraId="094023AC" w14:textId="77777777" w:rsidR="00F168FF" w:rsidRPr="00F168FF" w:rsidRDefault="00F168FF" w:rsidP="00F168FF">
      <w:pPr>
        <w:spacing w:before="100" w:beforeAutospacing="1" w:after="100" w:afterAutospacing="1"/>
        <w:rPr>
          <w:rFonts w:ascii="Times New Roman" w:hAnsi="Times New Roman"/>
          <w:kern w:val="0"/>
          <w:sz w:val="24"/>
          <w14:ligatures w14:val="none"/>
        </w:rPr>
      </w:pPr>
      <w:proofErr w:type="spellStart"/>
      <w:r w:rsidRPr="00F168FF">
        <w:rPr>
          <w:rFonts w:ascii="Times New Roman" w:hAnsi="Times New Roman"/>
          <w:kern w:val="0"/>
          <w:sz w:val="24"/>
          <w14:ligatures w14:val="none"/>
        </w:rPr>
        <w:t>Thielo</w:t>
      </w:r>
      <w:proofErr w:type="spellEnd"/>
      <w:r w:rsidRPr="00F168FF">
        <w:rPr>
          <w:rFonts w:ascii="Times New Roman" w:hAnsi="Times New Roman"/>
          <w:kern w:val="0"/>
          <w:sz w:val="24"/>
          <w14:ligatures w14:val="none"/>
        </w:rPr>
        <w:t xml:space="preserve"> et al.'s (2019) national survey research (n=1,000) provides crucial evidence for how these distinctions operate through public beliefs about redeemability. Using a YouGov sample weighted to be representative of the U.S. population, they found that the public makes sharp distinctions between subgroups seen as capable of reform versus those viewed as high-risk. Most notably, 78% supported sentence reductions for "non-violent offenders" deemed low-risk, while only 29% supported the same for "violent offenders" - a dramatic 49 percentage point difference.</w:t>
      </w:r>
    </w:p>
    <w:p w14:paraId="7CA52425"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 xml:space="preserve">Their multivariate analyses revealed that these beliefs about redeemability predicted support for specific policies even when controlling for demographic factors, political ideology, and racial attitudes. The effects were particularly strong for inclusionary policies like ban-the-box (OR=2.523), expungement (OR=2.514), and voting rights (OR=3.399). A follow-up </w:t>
      </w:r>
      <w:proofErr w:type="spellStart"/>
      <w:r w:rsidRPr="00F168FF">
        <w:rPr>
          <w:rFonts w:ascii="Times New Roman" w:hAnsi="Times New Roman"/>
          <w:kern w:val="0"/>
          <w:sz w:val="24"/>
          <w14:ligatures w14:val="none"/>
        </w:rPr>
        <w:t>MTurk</w:t>
      </w:r>
      <w:proofErr w:type="spellEnd"/>
      <w:r w:rsidRPr="00F168FF">
        <w:rPr>
          <w:rFonts w:ascii="Times New Roman" w:hAnsi="Times New Roman"/>
          <w:kern w:val="0"/>
          <w:sz w:val="24"/>
          <w14:ligatures w14:val="none"/>
        </w:rPr>
        <w:t xml:space="preserve"> study replicated these findings while adding controls for racial resentment and crime salience.</w:t>
      </w:r>
    </w:p>
    <w:p w14:paraId="66689527"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Framing and Subset Support</w:t>
      </w:r>
    </w:p>
    <w:p w14:paraId="552EE0CB"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 xml:space="preserve">Matos's (2019) research on </w:t>
      </w:r>
      <w:proofErr w:type="spellStart"/>
      <w:r w:rsidRPr="00F168FF">
        <w:rPr>
          <w:rFonts w:ascii="Times New Roman" w:hAnsi="Times New Roman"/>
          <w:kern w:val="0"/>
          <w:sz w:val="24"/>
          <w14:ligatures w14:val="none"/>
        </w:rPr>
        <w:t>DREAMers</w:t>
      </w:r>
      <w:proofErr w:type="spellEnd"/>
      <w:r w:rsidRPr="00F168FF">
        <w:rPr>
          <w:rFonts w:ascii="Times New Roman" w:hAnsi="Times New Roman"/>
          <w:kern w:val="0"/>
          <w:sz w:val="24"/>
          <w14:ligatures w14:val="none"/>
        </w:rPr>
        <w:t xml:space="preserve"> provides a detailed case study of how subset legitimacy is created through strategic framing. Through analysis of polling data from the 2012 American </w:t>
      </w:r>
      <w:r w:rsidRPr="00F168FF">
        <w:rPr>
          <w:rFonts w:ascii="Times New Roman" w:hAnsi="Times New Roman"/>
          <w:kern w:val="0"/>
          <w:sz w:val="24"/>
          <w14:ligatures w14:val="none"/>
        </w:rPr>
        <w:lastRenderedPageBreak/>
        <w:t xml:space="preserve">National Election Studies (ANES) and 2018 Cooperative Congressional Election Studies (CCES), she demonstrates how this subset of undocumented immigrants gained bipartisan support despite broader anti-immigrant sentiment. Her findings show that even respondents who supported restrictive immigration policies often supported </w:t>
      </w:r>
      <w:proofErr w:type="spellStart"/>
      <w:r w:rsidRPr="00F168FF">
        <w:rPr>
          <w:rFonts w:ascii="Times New Roman" w:hAnsi="Times New Roman"/>
          <w:kern w:val="0"/>
          <w:sz w:val="24"/>
          <w14:ligatures w14:val="none"/>
        </w:rPr>
        <w:t>DREAMers</w:t>
      </w:r>
      <w:proofErr w:type="spellEnd"/>
      <w:r w:rsidRPr="00F168FF">
        <w:rPr>
          <w:rFonts w:ascii="Times New Roman" w:hAnsi="Times New Roman"/>
          <w:kern w:val="0"/>
          <w:sz w:val="24"/>
          <w14:ligatures w14:val="none"/>
        </w:rPr>
        <w:t xml:space="preserve"> when they were framed as embodying meritocratic values through education and military service.</w:t>
      </w:r>
    </w:p>
    <w:p w14:paraId="0272AD9B"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Particularly notable is her finding that this support operated differently across partisan lines. While Republican support was primarily linked to the military service component, Democratic support was more strongly tied to education narratives. This suggests the importance of examining how subset framing resonates differently across ideological divides.</w:t>
      </w:r>
    </w:p>
    <w:p w14:paraId="047ACF55"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Humanizing Frames and Integration</w:t>
      </w:r>
    </w:p>
    <w:p w14:paraId="76708FF3"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 xml:space="preserve">Grove and </w:t>
      </w:r>
      <w:proofErr w:type="spellStart"/>
      <w:r w:rsidRPr="00F168FF">
        <w:rPr>
          <w:rFonts w:ascii="Times New Roman" w:hAnsi="Times New Roman"/>
          <w:kern w:val="0"/>
          <w:sz w:val="24"/>
          <w14:ligatures w14:val="none"/>
        </w:rPr>
        <w:t>Zwi's</w:t>
      </w:r>
      <w:proofErr w:type="spellEnd"/>
      <w:r w:rsidRPr="00F168FF">
        <w:rPr>
          <w:rFonts w:ascii="Times New Roman" w:hAnsi="Times New Roman"/>
          <w:kern w:val="0"/>
          <w:sz w:val="24"/>
          <w14:ligatures w14:val="none"/>
        </w:rPr>
        <w:t xml:space="preserve"> (2006) discourse analysis examines how certain subsets overcome "othering" through frames that highlight relatable characteristics. Their systematic review of policy documents, media coverage, and public discourse in developed nations reveals specific mechanisms through which marginalized groups gain legitimacy, including:</w:t>
      </w:r>
    </w:p>
    <w:p w14:paraId="574F4438" w14:textId="77777777" w:rsidR="00F168FF" w:rsidRPr="00F168FF" w:rsidRDefault="00F168FF" w:rsidP="00F168FF">
      <w:pPr>
        <w:numPr>
          <w:ilvl w:val="0"/>
          <w:numId w:val="1"/>
        </w:num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Emphasizing shared experiences and values</w:t>
      </w:r>
    </w:p>
    <w:p w14:paraId="16F8F914" w14:textId="77777777" w:rsidR="00F168FF" w:rsidRPr="00F168FF" w:rsidRDefault="00F168FF" w:rsidP="00F168FF">
      <w:pPr>
        <w:numPr>
          <w:ilvl w:val="0"/>
          <w:numId w:val="1"/>
        </w:num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Highlighting contributions to society</w:t>
      </w:r>
    </w:p>
    <w:p w14:paraId="68783AD9" w14:textId="77777777" w:rsidR="00F168FF" w:rsidRPr="00F168FF" w:rsidRDefault="00F168FF" w:rsidP="00F168FF">
      <w:pPr>
        <w:numPr>
          <w:ilvl w:val="0"/>
          <w:numId w:val="1"/>
        </w:num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Countering stereotypes through personal narratives</w:t>
      </w:r>
    </w:p>
    <w:p w14:paraId="677674B7" w14:textId="77777777" w:rsidR="00F168FF" w:rsidRPr="00F168FF" w:rsidRDefault="00F168FF" w:rsidP="00F168FF">
      <w:pPr>
        <w:numPr>
          <w:ilvl w:val="0"/>
          <w:numId w:val="1"/>
        </w:num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Demonstrating potential for integration</w:t>
      </w:r>
    </w:p>
    <w:p w14:paraId="4668812C"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Their work points to the importance of examining not just policy tools and public opinion, but the deeper narratives and discourses through which subset legitimacy is constructed or contested.</w:t>
      </w:r>
    </w:p>
    <w:p w14:paraId="32305605"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Methodological Debates and Limitations</w:t>
      </w:r>
    </w:p>
    <w:p w14:paraId="0360B9EA"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 xml:space="preserve">Several important methodological debates emerge from this literature. </w:t>
      </w:r>
      <w:proofErr w:type="spellStart"/>
      <w:r w:rsidRPr="00F168FF">
        <w:rPr>
          <w:rFonts w:ascii="Times New Roman" w:hAnsi="Times New Roman"/>
          <w:kern w:val="0"/>
          <w:sz w:val="24"/>
          <w14:ligatures w14:val="none"/>
        </w:rPr>
        <w:t>Thielo</w:t>
      </w:r>
      <w:proofErr w:type="spellEnd"/>
      <w:r w:rsidRPr="00F168FF">
        <w:rPr>
          <w:rFonts w:ascii="Times New Roman" w:hAnsi="Times New Roman"/>
          <w:kern w:val="0"/>
          <w:sz w:val="24"/>
          <w14:ligatures w14:val="none"/>
        </w:rPr>
        <w:t xml:space="preserve"> et al. (2019) note potential concerns about using opt-in internet panels, though they demonstrate their YouGov sample closely matched U.S. Census demographics. Grove and </w:t>
      </w:r>
      <w:proofErr w:type="spellStart"/>
      <w:r w:rsidRPr="00F168FF">
        <w:rPr>
          <w:rFonts w:ascii="Times New Roman" w:hAnsi="Times New Roman"/>
          <w:kern w:val="0"/>
          <w:sz w:val="24"/>
          <w14:ligatures w14:val="none"/>
        </w:rPr>
        <w:t>Zwi</w:t>
      </w:r>
      <w:proofErr w:type="spellEnd"/>
      <w:r w:rsidRPr="00F168FF">
        <w:rPr>
          <w:rFonts w:ascii="Times New Roman" w:hAnsi="Times New Roman"/>
          <w:kern w:val="0"/>
          <w:sz w:val="24"/>
          <w14:ligatures w14:val="none"/>
        </w:rPr>
        <w:t xml:space="preserve"> (2006) acknowledge the challenges of generalizing discourse analysis findings across different national contexts.</w:t>
      </w:r>
    </w:p>
    <w:p w14:paraId="30C8ED0C"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Questions also remain about causality - whether policy tools shape public attitudes or vice versa. While Schneider and Ingram (1990) suggest tools influence perceptions, Matos (2019) indicates pre-existing attitudes may drive policy preferences. Experimental work is needed to better establish causal relationships.</w:t>
      </w:r>
    </w:p>
    <w:p w14:paraId="273AB130" w14:textId="77777777" w:rsidR="00F168FF" w:rsidRPr="00F168FF" w:rsidRDefault="00F168FF" w:rsidP="00F168FF">
      <w:pPr>
        <w:spacing w:before="100" w:beforeAutospacing="1" w:after="100" w:afterAutospacing="1"/>
        <w:outlineLvl w:val="2"/>
        <w:rPr>
          <w:rFonts w:ascii="Times New Roman" w:hAnsi="Times New Roman"/>
          <w:b/>
          <w:bCs/>
          <w:kern w:val="0"/>
          <w:sz w:val="27"/>
          <w:szCs w:val="27"/>
          <w14:ligatures w14:val="none"/>
        </w:rPr>
      </w:pPr>
      <w:r w:rsidRPr="00F168FF">
        <w:rPr>
          <w:rFonts w:ascii="Times New Roman" w:hAnsi="Times New Roman"/>
          <w:b/>
          <w:bCs/>
          <w:kern w:val="0"/>
          <w:sz w:val="27"/>
          <w:szCs w:val="27"/>
          <w14:ligatures w14:val="none"/>
        </w:rPr>
        <w:t>Scope and Future Directions</w:t>
      </w:r>
    </w:p>
    <w:p w14:paraId="11AC5163"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t>While this research spans multiple contexts, important gaps remain. Most work focuses on subsets defined by behavioral characteristics (e.g., non-violent vs. violent offenses) rather than demographic or situational factors. The literature also primarily examines successful cases of subset legitimation rather than failed attempts.</w:t>
      </w:r>
    </w:p>
    <w:p w14:paraId="1ABAF95E" w14:textId="77777777" w:rsidR="00F168FF" w:rsidRPr="00F168FF" w:rsidRDefault="00F168FF" w:rsidP="00F168FF">
      <w:pPr>
        <w:spacing w:before="100" w:beforeAutospacing="1" w:after="100" w:afterAutospacing="1"/>
        <w:rPr>
          <w:rFonts w:ascii="Times New Roman" w:hAnsi="Times New Roman"/>
          <w:kern w:val="0"/>
          <w:sz w:val="24"/>
          <w14:ligatures w14:val="none"/>
        </w:rPr>
      </w:pPr>
      <w:r w:rsidRPr="00F168FF">
        <w:rPr>
          <w:rFonts w:ascii="Times New Roman" w:hAnsi="Times New Roman"/>
          <w:kern w:val="0"/>
          <w:sz w:val="24"/>
          <w14:ligatures w14:val="none"/>
        </w:rPr>
        <w:lastRenderedPageBreak/>
        <w:t>Additionally, while these works demonstrate how subsets gain legitimacy, less attention has been paid to how this legitimacy might be lost or contested over time. Longitudinal research could help illuminate the dynamics of subset support.</w:t>
      </w:r>
    </w:p>
    <w:p w14:paraId="62115318" w14:textId="77777777" w:rsidR="00F168FF" w:rsidRDefault="00F168FF" w:rsidP="00F168FF"/>
    <w:p w14:paraId="1AF3D194" w14:textId="77777777" w:rsidR="00F168FF" w:rsidRDefault="00F168FF" w:rsidP="00F168FF"/>
    <w:p w14:paraId="3D2EDA58" w14:textId="77777777" w:rsidR="00F168FF" w:rsidRDefault="00F168FF" w:rsidP="00F168FF"/>
    <w:p w14:paraId="14C610EE" w14:textId="16BBC986" w:rsidR="00F168FF" w:rsidRDefault="00F168FF" w:rsidP="00F168FF">
      <w:r>
        <w:t>## Theoretical Framework: The Politics of Subset Legitimacy and Redeemability</w:t>
      </w:r>
    </w:p>
    <w:p w14:paraId="0D842925" w14:textId="77777777" w:rsidR="00F168FF" w:rsidRDefault="00F168FF" w:rsidP="00F168FF"/>
    <w:p w14:paraId="222B2A23" w14:textId="77777777" w:rsidR="00F168FF" w:rsidRDefault="00F168FF" w:rsidP="00F168FF">
      <w:r>
        <w:t>Research demonstrates that public support for marginalized groups varies significantly based on how specific subsets are constructed as either redeemable or irredeemable. This framing process involves both policy tools that create distinctions between subgroups and deeper beliefs about the capacity for reform versus fixed criminality.</w:t>
      </w:r>
    </w:p>
    <w:p w14:paraId="6CFC554E" w14:textId="77777777" w:rsidR="00F168FF" w:rsidRDefault="00F168FF" w:rsidP="00F168FF"/>
    <w:p w14:paraId="27619450" w14:textId="77777777" w:rsidR="00F168FF" w:rsidRDefault="00F168FF" w:rsidP="00F168FF">
      <w:r>
        <w:t>Schneider and Ingram (1990) show how policymakers strategically separate subgroups through different policy tools - using positive incentives for "deserving" subsets while reserving punitive sanctions for those deemed less worthy. These policy tools create and reinforce distinctions between subgroups by associating them with different values, symbols, and expectations. Their "symbolic and hortatory tools" provide rationales that justify differential treatment based on perceived merit or desert.</w:t>
      </w:r>
    </w:p>
    <w:p w14:paraId="65838805" w14:textId="77777777" w:rsidR="00F168FF" w:rsidRDefault="00F168FF" w:rsidP="00F168FF"/>
    <w:p w14:paraId="0206022F" w14:textId="77777777" w:rsidR="00F168FF" w:rsidRDefault="00F168FF" w:rsidP="00F168FF">
      <w:proofErr w:type="spellStart"/>
      <w:r>
        <w:t>Thielo</w:t>
      </w:r>
      <w:proofErr w:type="spellEnd"/>
      <w:r>
        <w:t xml:space="preserve"> et al. (2019) demonstrate how these distinctions operate through public beliefs about redeemability. Their research reveals that the public makes sharp distinctions between subgroups seen as capable of reform (e.g., "non-violent drug offenders") versus those viewed as high-risk and less redeemable (e.g., "violent offenders"). These beliefs about the malleability versus fixedness of criminal behavior predict support for specific policies - with redeemable groups gaining support for rehabilitative and inclusionary policies while others face continued exclusion.</w:t>
      </w:r>
    </w:p>
    <w:p w14:paraId="3B8E7ACC" w14:textId="77777777" w:rsidR="00F168FF" w:rsidRDefault="00F168FF" w:rsidP="00F168FF"/>
    <w:p w14:paraId="6409C704" w14:textId="77777777" w:rsidR="00F168FF" w:rsidRDefault="00F168FF" w:rsidP="00F168FF">
      <w:r>
        <w:t xml:space="preserve">Matos (2019) illustrates how this process works in her analysis of </w:t>
      </w:r>
      <w:proofErr w:type="spellStart"/>
      <w:r>
        <w:t>DREAMers</w:t>
      </w:r>
      <w:proofErr w:type="spellEnd"/>
      <w:r>
        <w:t>, showing how this subset of undocumented immigrants garnered widespread bipartisan support by being framed as redeemable and aligned with dominant values. Her work reveals how portraying certain subsets as capable of positive transformation can generate support even among those who oppose the broader group.</w:t>
      </w:r>
    </w:p>
    <w:p w14:paraId="6624CC4D" w14:textId="77777777" w:rsidR="00F168FF" w:rsidRDefault="00F168FF" w:rsidP="00F168FF"/>
    <w:p w14:paraId="2CBE9CBC" w14:textId="77777777" w:rsidR="00F168FF" w:rsidRDefault="00F168FF" w:rsidP="00F168FF">
      <w:r>
        <w:t xml:space="preserve">Grove and </w:t>
      </w:r>
      <w:proofErr w:type="spellStart"/>
      <w:r>
        <w:t>Zwi</w:t>
      </w:r>
      <w:proofErr w:type="spellEnd"/>
      <w:r>
        <w:t xml:space="preserve"> (2006) illuminate the mechanisms through which groups gain legitimacy, showing how certain frames generate sympathy by highlighting characteristics that counter stereotypes about </w:t>
      </w:r>
      <w:proofErr w:type="spellStart"/>
      <w:r>
        <w:t>irredeemability</w:t>
      </w:r>
      <w:proofErr w:type="spellEnd"/>
      <w:r>
        <w:t>. These "humanizing frames" are particularly effective when they emphasize potential for reform and rehabilitation rather than fixed criminal tendencies.</w:t>
      </w:r>
    </w:p>
    <w:p w14:paraId="278FAE51" w14:textId="77777777" w:rsidR="00F168FF" w:rsidRDefault="00F168FF" w:rsidP="00F168FF"/>
    <w:p w14:paraId="4E1F20FB" w14:textId="77777777" w:rsidR="00F168FF" w:rsidRDefault="00F168FF" w:rsidP="00F168FF">
      <w:r>
        <w:t>This framework explains why support often splits along subset lines based on perceptions of redeemability. The process involves multiple mechanisms:</w:t>
      </w:r>
    </w:p>
    <w:p w14:paraId="1B4128EF" w14:textId="77777777" w:rsidR="00F168FF" w:rsidRDefault="00F168FF" w:rsidP="00F168FF">
      <w:r>
        <w:lastRenderedPageBreak/>
        <w:t>1. Strategic use of policy tools that provide different treatment based on perceived capacity for reform</w:t>
      </w:r>
    </w:p>
    <w:p w14:paraId="2DCC13F2" w14:textId="77777777" w:rsidR="00F168FF" w:rsidRDefault="00F168FF" w:rsidP="00F168FF">
      <w:r>
        <w:t>2. Framing certain subsets as redeemable while others are seen as irredeemably criminal</w:t>
      </w:r>
    </w:p>
    <w:p w14:paraId="0925EA75" w14:textId="77777777" w:rsidR="00F168FF" w:rsidRDefault="00F168FF" w:rsidP="00F168FF">
      <w:r>
        <w:t>3. Highlighting characteristics that suggest potential for rehabilitation and positive change</w:t>
      </w:r>
    </w:p>
    <w:p w14:paraId="0EA03F2F" w14:textId="77777777" w:rsidR="00F168FF" w:rsidRDefault="00F168FF" w:rsidP="00F168FF">
      <w:r>
        <w:t>4. Providing rationales that justify inclusion based on demonstrated reform potential</w:t>
      </w:r>
    </w:p>
    <w:p w14:paraId="34A495CA" w14:textId="77777777" w:rsidR="00F168FF" w:rsidRDefault="00F168FF" w:rsidP="00F168FF"/>
    <w:p w14:paraId="29132433" w14:textId="77777777" w:rsidR="00F168FF" w:rsidRDefault="00F168FF" w:rsidP="00F168FF">
      <w:r>
        <w:t>## Hypotheses: Application to Carceral Citizens</w:t>
      </w:r>
    </w:p>
    <w:p w14:paraId="5E608CBF" w14:textId="77777777" w:rsidR="00F168FF" w:rsidRDefault="00F168FF" w:rsidP="00F168FF"/>
    <w:p w14:paraId="39045B85" w14:textId="77777777" w:rsidR="00F168FF" w:rsidRDefault="00F168FF" w:rsidP="00F168FF">
      <w:r>
        <w:t>Drawing on these theoretical insights, I hypothesize that support for carceral citizens' political rights will vary based on:</w:t>
      </w:r>
    </w:p>
    <w:p w14:paraId="7737D8E0" w14:textId="77777777" w:rsidR="00F168FF" w:rsidRDefault="00F168FF" w:rsidP="00F168FF"/>
    <w:p w14:paraId="3488083B" w14:textId="77777777" w:rsidR="00F168FF" w:rsidRDefault="00F168FF" w:rsidP="00F168FF">
      <w:r>
        <w:t>1. Perceptions of redeemability: Support will be higher for subsets framed as:</w:t>
      </w:r>
    </w:p>
    <w:p w14:paraId="61B086D7" w14:textId="77777777" w:rsidR="00F168FF" w:rsidRDefault="00F168FF" w:rsidP="00F168FF">
      <w:r>
        <w:t xml:space="preserve">   - Capable of reform and rehabilitation</w:t>
      </w:r>
    </w:p>
    <w:p w14:paraId="4C31C3EA" w14:textId="77777777" w:rsidR="00F168FF" w:rsidRDefault="00F168FF" w:rsidP="00F168FF">
      <w:r>
        <w:t xml:space="preserve">   - Having demonstrated positive change</w:t>
      </w:r>
    </w:p>
    <w:p w14:paraId="2C35D1BC" w14:textId="77777777" w:rsidR="00F168FF" w:rsidRDefault="00F168FF" w:rsidP="00F168FF">
      <w:r>
        <w:t xml:space="preserve">   - Not posing ongoing risk</w:t>
      </w:r>
    </w:p>
    <w:p w14:paraId="27BBD817" w14:textId="77777777" w:rsidR="00F168FF" w:rsidRDefault="00F168FF" w:rsidP="00F168FF">
      <w:r>
        <w:t xml:space="preserve">   </w:t>
      </w:r>
    </w:p>
    <w:p w14:paraId="6C5DA612" w14:textId="77777777" w:rsidR="00F168FF" w:rsidRDefault="00F168FF" w:rsidP="00F168FF">
      <w:r>
        <w:t>2. The policy tools and frames applied: Support will be higher when subsets are:</w:t>
      </w:r>
    </w:p>
    <w:p w14:paraId="5FB8F7D3" w14:textId="77777777" w:rsidR="00F168FF" w:rsidRDefault="00F168FF" w:rsidP="00F168FF">
      <w:r>
        <w:t xml:space="preserve">   - Governed through rehabilitative rather than punitive tools</w:t>
      </w:r>
    </w:p>
    <w:p w14:paraId="56083A16" w14:textId="77777777" w:rsidR="00F168FF" w:rsidRDefault="00F168FF" w:rsidP="00F168FF">
      <w:r>
        <w:t xml:space="preserve">   - Portrayed through narratives of redemption rather than fixed criminality</w:t>
      </w:r>
    </w:p>
    <w:p w14:paraId="14A92F11" w14:textId="77777777" w:rsidR="00F168FF" w:rsidRDefault="00F168FF" w:rsidP="00F168FF">
      <w:r>
        <w:t xml:space="preserve">   - Associated with potential for positive transformation</w:t>
      </w:r>
    </w:p>
    <w:p w14:paraId="397F672F" w14:textId="77777777" w:rsidR="00F168FF" w:rsidRDefault="00F168FF" w:rsidP="00F168FF"/>
    <w:p w14:paraId="67A63EE7" w14:textId="77777777" w:rsidR="00F168FF" w:rsidRDefault="00F168FF" w:rsidP="00F168FF">
      <w:r>
        <w:t>3. The presence of humanizing characteristics that suggest redeemability:</w:t>
      </w:r>
    </w:p>
    <w:p w14:paraId="6FC81309" w14:textId="77777777" w:rsidR="00F168FF" w:rsidRDefault="00F168FF" w:rsidP="00F168FF">
      <w:r>
        <w:t xml:space="preserve">   - Evidence of reform efforts (e.g., program completion, behavioral change)</w:t>
      </w:r>
    </w:p>
    <w:p w14:paraId="698F286B" w14:textId="77777777" w:rsidR="00F168FF" w:rsidRDefault="00F168FF" w:rsidP="00F168FF">
      <w:r>
        <w:t xml:space="preserve">   - Demonstrations of prosocial values and goals</w:t>
      </w:r>
    </w:p>
    <w:p w14:paraId="340E7D4B" w14:textId="77777777" w:rsidR="00F168FF" w:rsidRDefault="00F168FF" w:rsidP="00F168FF">
      <w:r>
        <w:t xml:space="preserve">   - Signs of successful rehabilitation</w:t>
      </w:r>
    </w:p>
    <w:p w14:paraId="2AE979B8" w14:textId="77777777" w:rsidR="00F168FF" w:rsidRDefault="00F168FF" w:rsidP="00F168FF"/>
    <w:p w14:paraId="59EF48A8" w14:textId="77777777" w:rsidR="00F168FF" w:rsidRDefault="00F168FF" w:rsidP="00F168FF">
      <w:r>
        <w:t>For instance, the "incarcerated parents" subset may generate greater support through mechanisms that emphasize:</w:t>
      </w:r>
    </w:p>
    <w:p w14:paraId="4BC33371" w14:textId="77777777" w:rsidR="00F168FF" w:rsidRDefault="00F168FF" w:rsidP="00F168FF">
      <w:r>
        <w:t>- Demonstrated change and reform through parental responsibility</w:t>
      </w:r>
    </w:p>
    <w:p w14:paraId="1A994ACC" w14:textId="77777777" w:rsidR="00F168FF" w:rsidRDefault="00F168FF" w:rsidP="00F168FF">
      <w:r>
        <w:t>- Potential for positive influence on children</w:t>
      </w:r>
    </w:p>
    <w:p w14:paraId="05D7384C" w14:textId="77777777" w:rsidR="00F168FF" w:rsidRDefault="00F168FF" w:rsidP="00F168FF">
      <w:r>
        <w:t>- Lower perceived risk due to family commitments</w:t>
      </w:r>
    </w:p>
    <w:p w14:paraId="2C977A53" w14:textId="77777777" w:rsidR="00F168FF" w:rsidRDefault="00F168FF" w:rsidP="00F168FF">
      <w:r>
        <w:t>- Evidence of prosocial values through child-rearing</w:t>
      </w:r>
    </w:p>
    <w:p w14:paraId="4A3C9D44" w14:textId="77777777" w:rsidR="00F168FF" w:rsidRDefault="00F168FF" w:rsidP="00F168FF"/>
    <w:p w14:paraId="126A0EC0" w14:textId="77777777" w:rsidR="00F168FF" w:rsidRDefault="00F168FF" w:rsidP="00F168FF">
      <w:r>
        <w:t>However, following previous research on violent offenses as a key dividing line (</w:t>
      </w:r>
      <w:proofErr w:type="spellStart"/>
      <w:r>
        <w:t>Thielo</w:t>
      </w:r>
      <w:proofErr w:type="spellEnd"/>
      <w:r>
        <w:t xml:space="preserve"> et al. 2019), some subset designations may override other characteristics in determining perceived redeemability, particularly for categories viewed as indicating fixed criminal tendencies.</w:t>
      </w:r>
    </w:p>
    <w:p w14:paraId="09C49573" w14:textId="77777777" w:rsidR="00F168FF" w:rsidRDefault="00F168FF" w:rsidP="00F168FF"/>
    <w:p w14:paraId="7EB918BF" w14:textId="55A60B02" w:rsidR="00760C6C" w:rsidRDefault="00F168FF" w:rsidP="00F168FF">
      <w:r>
        <w:t>This theoretical framework helps explain observed patterns where support for incarcerated voting rights declines by subset based on perceptions of redeemability, even among respondents who endorse voting rights for "all" incarcerated people (</w:t>
      </w:r>
      <w:proofErr w:type="spellStart"/>
      <w:r>
        <w:t>Uggen</w:t>
      </w:r>
      <w:proofErr w:type="spellEnd"/>
      <w:r>
        <w:t xml:space="preserve"> and </w:t>
      </w:r>
      <w:proofErr w:type="spellStart"/>
      <w:r>
        <w:t>Manza</w:t>
      </w:r>
      <w:proofErr w:type="spellEnd"/>
      <w:r>
        <w:t xml:space="preserve"> 2008, </w:t>
      </w:r>
      <w:proofErr w:type="spellStart"/>
      <w:r>
        <w:t>MassInc</w:t>
      </w:r>
      <w:proofErr w:type="spellEnd"/>
      <w:r>
        <w:t xml:space="preserve"> 2020, 2022, </w:t>
      </w:r>
      <w:proofErr w:type="spellStart"/>
      <w:r>
        <w:t>Uggen</w:t>
      </w:r>
      <w:proofErr w:type="spellEnd"/>
      <w:r>
        <w:t xml:space="preserve"> 2023). The current quasi-reformist policy landscape likely reflects how different subsets have been constructed as more or less </w:t>
      </w:r>
      <w:r>
        <w:lastRenderedPageBreak/>
        <w:t>redeemable through policy tools, frames, and characteristics that shape public beliefs about their capacity for positive change.</w:t>
      </w:r>
    </w:p>
    <w:sectPr w:rsidR="00760C6C"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CC6FA8"/>
    <w:multiLevelType w:val="multilevel"/>
    <w:tmpl w:val="7FAC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09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FF"/>
    <w:rsid w:val="0000145B"/>
    <w:rsid w:val="00004B39"/>
    <w:rsid w:val="000160A0"/>
    <w:rsid w:val="000165B8"/>
    <w:rsid w:val="00022097"/>
    <w:rsid w:val="0002297E"/>
    <w:rsid w:val="000306ED"/>
    <w:rsid w:val="00030A8C"/>
    <w:rsid w:val="00037BF8"/>
    <w:rsid w:val="000567DA"/>
    <w:rsid w:val="00060CBE"/>
    <w:rsid w:val="0006430A"/>
    <w:rsid w:val="00065DF2"/>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168FF"/>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A85E3C"/>
  <w15:chartTrackingRefBased/>
  <w15:docId w15:val="{F0D82273-586D-094A-A5D1-733C72F3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16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unhideWhenUsed/>
    <w:qFormat/>
    <w:rsid w:val="00F168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8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68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68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68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68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168F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F16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8F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168F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168F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168F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168F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168F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168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68FF"/>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168FF"/>
    <w:rPr>
      <w:i/>
      <w:iCs/>
      <w:color w:val="0F4761" w:themeColor="accent1" w:themeShade="BF"/>
    </w:rPr>
  </w:style>
  <w:style w:type="paragraph" w:styleId="IntenseQuote">
    <w:name w:val="Intense Quote"/>
    <w:basedOn w:val="Normal"/>
    <w:next w:val="Normal"/>
    <w:link w:val="IntenseQuoteChar"/>
    <w:uiPriority w:val="30"/>
    <w:qFormat/>
    <w:rsid w:val="00F1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FF"/>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168FF"/>
    <w:rPr>
      <w:b/>
      <w:bCs/>
      <w:smallCaps/>
      <w:color w:val="0F4761" w:themeColor="accent1" w:themeShade="BF"/>
      <w:spacing w:val="5"/>
    </w:rPr>
  </w:style>
  <w:style w:type="paragraph" w:customStyle="1" w:styleId="whitespace-pre-wrap">
    <w:name w:val="whitespace-pre-wrap"/>
    <w:basedOn w:val="Normal"/>
    <w:rsid w:val="00F168FF"/>
    <w:pPr>
      <w:spacing w:before="100" w:beforeAutospacing="1" w:after="100" w:afterAutospacing="1"/>
    </w:pPr>
    <w:rPr>
      <w:rFonts w:ascii="Times New Roman" w:hAnsi="Times New Roman"/>
      <w:kern w:val="0"/>
      <w:sz w:val="24"/>
      <w14:ligatures w14:val="none"/>
    </w:rPr>
  </w:style>
  <w:style w:type="paragraph" w:customStyle="1" w:styleId="whitespace-normal">
    <w:name w:val="whitespace-normal"/>
    <w:basedOn w:val="Normal"/>
    <w:rsid w:val="00F168FF"/>
    <w:pPr>
      <w:spacing w:before="100" w:beforeAutospacing="1" w:after="100" w:afterAutospacing="1"/>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25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2025-01-13T22:21:00Z</dcterms:created>
  <dcterms:modified xsi:type="dcterms:W3CDTF">2025-01-14T02:14:00Z</dcterms:modified>
</cp:coreProperties>
</file>