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CD24D5" w14:textId="797F102F" w:rsidR="002E41C9" w:rsidRPr="004D2A85" w:rsidRDefault="002E41C9" w:rsidP="004D2A85">
      <w:pPr>
        <w:pStyle w:val="ListParagraph"/>
        <w:numPr>
          <w:ilvl w:val="0"/>
          <w:numId w:val="1"/>
        </w:numPr>
        <w:spacing w:line="360" w:lineRule="auto"/>
        <w:rPr>
          <w:rFonts w:ascii="Times New Roman" w:hAnsi="Times New Roman"/>
          <w:sz w:val="23"/>
          <w:szCs w:val="23"/>
        </w:rPr>
      </w:pPr>
      <w:r w:rsidRPr="009A1DBD">
        <w:rPr>
          <w:rFonts w:ascii="Times New Roman" w:hAnsi="Times New Roman"/>
          <w:i/>
          <w:iCs/>
          <w:sz w:val="23"/>
          <w:szCs w:val="23"/>
        </w:rPr>
        <w:t>[Point: media drives narratives of control].</w:t>
      </w:r>
      <w:r w:rsidRPr="009A1DBD">
        <w:rPr>
          <w:rFonts w:ascii="Times New Roman" w:hAnsi="Times New Roman"/>
          <w:sz w:val="23"/>
          <w:szCs w:val="23"/>
        </w:rPr>
        <w:t xml:space="preserve"> Perceptions of what carceral citizens deserve are shaped in a particularly fraught media and political environment, to the extent that stoking public fear about crime is a well-understood electoral tactic for political candidates (citation). While this is also true for immigration – playing on closely related resentments that migrants will bring disease (Petersen 2017) – messages about criminality in the American context have driven not only a “broken thermostat” perception of racialized criminal dangerousness, but the deeply punitive institution of mass incarceration that transmits clear messages about an innate nature of criminality and necessity of community removal. While there is a debate among scholars of deservingness in welfare contexts – some stress that perceptions are overridingly shaped by culture (), and others argue that the evolutionary instinct to eschew freeloaders dominates the heuristic cross-culturally (Petersen),  I expect that in its application to carceral citizens the deservingness heuristic is just as much discursively informed as it is shaped by punitive institutional designs, mirroring the “punitive gap “ (Schwaeble and Sundt, 2020). </w:t>
      </w:r>
    </w:p>
    <w:p w14:paraId="1C1606F1" w14:textId="77777777" w:rsidR="0054740A" w:rsidRPr="0054740A" w:rsidRDefault="0054740A" w:rsidP="0054740A">
      <w:pPr>
        <w:pStyle w:val="ListParagraph"/>
        <w:numPr>
          <w:ilvl w:val="0"/>
          <w:numId w:val="1"/>
        </w:numPr>
        <w:spacing w:line="360" w:lineRule="auto"/>
        <w:rPr>
          <w:rFonts w:ascii="Times New Roman" w:hAnsi="Times New Roman"/>
          <w:b/>
          <w:bCs/>
          <w:i/>
          <w:iCs/>
          <w:sz w:val="23"/>
          <w:szCs w:val="23"/>
        </w:rPr>
      </w:pPr>
      <w:r w:rsidRPr="0054740A">
        <w:rPr>
          <w:rFonts w:ascii="Times New Roman" w:hAnsi="Times New Roman"/>
          <w:sz w:val="23"/>
          <w:szCs w:val="23"/>
        </w:rPr>
        <w:t xml:space="preserve">For these reasons, we’ve seen among other things that language matters – and that perceptions of different subsets of incarcerated people should vary insofar as their categories imply more or less humanity and more or less information taken to signal moral character. </w:t>
      </w:r>
      <w:r w:rsidRPr="0054740A">
        <w:rPr>
          <w:rFonts w:ascii="Times New Roman" w:hAnsi="Times New Roman"/>
          <w:b/>
          <w:bCs/>
          <w:sz w:val="23"/>
          <w:szCs w:val="23"/>
        </w:rPr>
        <w:t xml:space="preserve">This  leads to my first hypothesis: groups will be seen as differently deserving. </w:t>
      </w:r>
      <w:r w:rsidRPr="0054740A">
        <w:rPr>
          <w:rFonts w:ascii="Times New Roman" w:hAnsi="Times New Roman"/>
          <w:b/>
          <w:bCs/>
          <w:i/>
          <w:iCs/>
          <w:sz w:val="23"/>
          <w:szCs w:val="23"/>
        </w:rPr>
        <w:t xml:space="preserve">Can I make a claim </w:t>
      </w:r>
    </w:p>
    <w:p w14:paraId="540AD206" w14:textId="77777777" w:rsidR="00760C6C" w:rsidRDefault="00760C6C"/>
    <w:p w14:paraId="632D2493" w14:textId="77777777" w:rsidR="00035700" w:rsidRDefault="00035700" w:rsidP="00035700">
      <w:pPr>
        <w:pStyle w:val="whitespace-pre-wrap"/>
        <w:spacing w:line="360" w:lineRule="auto"/>
        <w:rPr>
          <w:sz w:val="23"/>
          <w:szCs w:val="23"/>
        </w:rPr>
      </w:pPr>
      <w:r>
        <w:rPr>
          <w:sz w:val="23"/>
          <w:szCs w:val="23"/>
        </w:rPr>
        <w:t>Rather than mediation via the “CARIN” mechanisms established in</w:t>
      </w:r>
      <w:r w:rsidRPr="000372B1">
        <w:rPr>
          <w:sz w:val="23"/>
          <w:szCs w:val="23"/>
        </w:rPr>
        <w:t xml:space="preserve"> traditional applications of deservingness theory</w:t>
      </w:r>
      <w:r>
        <w:rPr>
          <w:sz w:val="23"/>
          <w:szCs w:val="23"/>
        </w:rPr>
        <w:t>, I suspect that i</w:t>
      </w:r>
      <w:r w:rsidRPr="000372B1">
        <w:rPr>
          <w:sz w:val="23"/>
          <w:szCs w:val="23"/>
        </w:rPr>
        <w:t xml:space="preserve">n carceral contexts, </w:t>
      </w:r>
      <w:r>
        <w:rPr>
          <w:sz w:val="23"/>
          <w:szCs w:val="23"/>
        </w:rPr>
        <w:t>both the deservingness reaction and judgement are</w:t>
      </w:r>
      <w:r w:rsidRPr="000372B1">
        <w:rPr>
          <w:sz w:val="23"/>
          <w:szCs w:val="23"/>
        </w:rPr>
        <w:t xml:space="preserve"> </w:t>
      </w:r>
      <w:r>
        <w:rPr>
          <w:sz w:val="23"/>
          <w:szCs w:val="23"/>
        </w:rPr>
        <w:t>driven</w:t>
      </w:r>
      <w:r w:rsidRPr="000372B1">
        <w:rPr>
          <w:sz w:val="23"/>
          <w:szCs w:val="23"/>
        </w:rPr>
        <w:t xml:space="preserve"> by</w:t>
      </w:r>
      <w:r>
        <w:rPr>
          <w:sz w:val="23"/>
          <w:szCs w:val="23"/>
        </w:rPr>
        <w:t xml:space="preserve"> two primary mechanisms: affect and identity. Identity – including within-group considerations, experiences with the carceral system – can influence how affective responses and whether they are moderated by deliberative processes.</w:t>
      </w:r>
    </w:p>
    <w:p w14:paraId="3CD2199B" w14:textId="083113EF" w:rsidR="00622539" w:rsidRDefault="00622539">
      <w:r>
        <w:br w:type="page"/>
      </w:r>
    </w:p>
    <w:p w14:paraId="04248E91" w14:textId="77777777" w:rsidR="00622539" w:rsidRPr="00066FB4" w:rsidRDefault="00622539" w:rsidP="00622539">
      <w:pPr>
        <w:spacing w:line="360" w:lineRule="auto"/>
        <w:ind w:left="360"/>
        <w:rPr>
          <w:rFonts w:ascii="Arial" w:hAnsi="Arial" w:cs="Arial"/>
          <w:i/>
          <w:iCs/>
        </w:rPr>
      </w:pPr>
      <w:r w:rsidRPr="00066FB4">
        <w:rPr>
          <w:rFonts w:ascii="Arial" w:hAnsi="Arial" w:cs="Arial"/>
          <w:i/>
          <w:iCs/>
        </w:rPr>
        <w:lastRenderedPageBreak/>
        <w:t>Identity</w:t>
      </w:r>
      <w:r>
        <w:rPr>
          <w:rFonts w:ascii="Arial" w:hAnsi="Arial" w:cs="Arial"/>
          <w:i/>
          <w:iCs/>
        </w:rPr>
        <w:t>, Perceptions, and Policy Views</w:t>
      </w:r>
    </w:p>
    <w:p w14:paraId="097DF22C" w14:textId="77777777" w:rsidR="00622539" w:rsidRDefault="00622539" w:rsidP="00622539">
      <w:pPr>
        <w:spacing w:line="360" w:lineRule="auto"/>
        <w:ind w:left="360"/>
        <w:rPr>
          <w:rFonts w:ascii="Times New Roman" w:hAnsi="Times New Roman"/>
        </w:rPr>
      </w:pPr>
      <w:r>
        <w:rPr>
          <w:rFonts w:ascii="Times New Roman" w:hAnsi="Times New Roman"/>
        </w:rPr>
        <w:t xml:space="preserve">Understanding the relationship between perceptions of carceral deservingness and policy opinions requires turning now to the second driver of overall perceptions and variable mediating the ‘CARN’ acronym, identity. In this context as in existing deserving literature, “identity” will generall refers to the degree to which a target group is part of one’s in-group. But here it also includes (*working on language about race, proximity/personal connection to carceral system, and party/ideology, for reasons other than exclusively in-group evaluation). </w:t>
      </w:r>
    </w:p>
    <w:p w14:paraId="3FC03CE1" w14:textId="77777777" w:rsidR="00622539" w:rsidRPr="00BA7592" w:rsidRDefault="00622539" w:rsidP="00622539">
      <w:pPr>
        <w:pStyle w:val="ListParagraph"/>
        <w:numPr>
          <w:ilvl w:val="0"/>
          <w:numId w:val="2"/>
        </w:numPr>
        <w:spacing w:line="360" w:lineRule="auto"/>
        <w:rPr>
          <w:rFonts w:ascii="Times New Roman" w:hAnsi="Times New Roman"/>
        </w:rPr>
      </w:pPr>
    </w:p>
    <w:p w14:paraId="4CEC54BC" w14:textId="77777777" w:rsidR="00622539" w:rsidRDefault="00622539" w:rsidP="00622539">
      <w:pPr>
        <w:spacing w:line="360" w:lineRule="auto"/>
        <w:ind w:left="360"/>
        <w:rPr>
          <w:rFonts w:ascii="Times New Roman" w:hAnsi="Times New Roman"/>
        </w:rPr>
      </w:pPr>
    </w:p>
    <w:p w14:paraId="217B97B3" w14:textId="77777777" w:rsidR="00622539" w:rsidRPr="00066FB4" w:rsidRDefault="00622539" w:rsidP="00622539">
      <w:pPr>
        <w:spacing w:line="360" w:lineRule="auto"/>
        <w:ind w:left="360"/>
        <w:rPr>
          <w:rFonts w:ascii="Arial" w:hAnsi="Arial" w:cs="Arial"/>
          <w:i/>
          <w:iCs/>
        </w:rPr>
      </w:pPr>
      <w:r w:rsidRPr="00066FB4">
        <w:rPr>
          <w:rFonts w:ascii="Arial" w:hAnsi="Arial" w:cs="Arial"/>
          <w:i/>
          <w:iCs/>
        </w:rPr>
        <w:t>Identity</w:t>
      </w:r>
      <w:r>
        <w:rPr>
          <w:rFonts w:ascii="Arial" w:hAnsi="Arial" w:cs="Arial"/>
          <w:i/>
          <w:iCs/>
        </w:rPr>
        <w:t xml:space="preserve">, Perceptions, and Policy Views:  </w:t>
      </w:r>
      <w:r>
        <w:rPr>
          <w:rFonts w:ascii="Times New Roman" w:hAnsi="Times New Roman"/>
          <w:i/>
          <w:iCs/>
        </w:rPr>
        <w:t xml:space="preserve">Race </w:t>
      </w:r>
    </w:p>
    <w:p w14:paraId="1D777AFB" w14:textId="77777777" w:rsidR="00622539" w:rsidRDefault="00622539" w:rsidP="00622539">
      <w:pPr>
        <w:spacing w:line="360" w:lineRule="auto"/>
        <w:ind w:left="360"/>
        <w:rPr>
          <w:rFonts w:ascii="Times New Roman" w:hAnsi="Times New Roman"/>
          <w:szCs w:val="22"/>
        </w:rPr>
      </w:pPr>
      <w:r w:rsidRPr="00BA7592">
        <w:rPr>
          <w:rFonts w:ascii="Times New Roman" w:hAnsi="Times New Roman"/>
          <w:szCs w:val="22"/>
        </w:rPr>
        <w:t>The American carceral system and “punitive turn” is a case of racial disproportionality and decentralization in myriad ways that link punishment and race (Michener 2018, Alexander 2010).</w:t>
      </w:r>
      <w:r>
        <w:rPr>
          <w:rFonts w:ascii="Times New Roman" w:hAnsi="Times New Roman"/>
          <w:szCs w:val="22"/>
        </w:rPr>
        <w:t xml:space="preserve"> Simply put, the previously discussed currents of dehumanization and disgust that undergird punitiveness are fundamentally racialized – dehumanization drives and is driven by logics of racial superiority and hate, disgust is targeted to racial outgroups, and whites assume Black people are more culpable and threats (</w:t>
      </w:r>
      <w:r w:rsidRPr="00FF6867">
        <w:rPr>
          <w:rFonts w:ascii="Times New Roman" w:hAnsi="Times New Roman"/>
          <w:szCs w:val="22"/>
        </w:rPr>
        <w:t>Boccato et al. 2008</w:t>
      </w:r>
      <w:r>
        <w:rPr>
          <w:rFonts w:ascii="Times New Roman" w:hAnsi="Times New Roman"/>
          <w:szCs w:val="22"/>
        </w:rPr>
        <w:t>, Petersen 2017, citations). This manifests at all levels – from perceptions of children to beliefs about and the provision of social policy.  perceptions that Black children are less innocent and more responsible for misbehavior (</w:t>
      </w:r>
      <w:r w:rsidRPr="00DD3FB8">
        <w:rPr>
          <w:rFonts w:ascii="Times New Roman" w:hAnsi="Times New Roman"/>
          <w:szCs w:val="22"/>
        </w:rPr>
        <w:t>Goff, Jackson, Di Leone, Culotta, &amp; DiTomasso 2014</w:t>
      </w:r>
      <w:r>
        <w:rPr>
          <w:rFonts w:ascii="Times New Roman" w:hAnsi="Times New Roman"/>
          <w:szCs w:val="22"/>
        </w:rPr>
        <w:t xml:space="preserve">), </w:t>
      </w:r>
    </w:p>
    <w:p w14:paraId="0BB5B791" w14:textId="77777777" w:rsidR="00622539" w:rsidRDefault="00622539" w:rsidP="00622539">
      <w:pPr>
        <w:spacing w:line="360" w:lineRule="auto"/>
        <w:ind w:left="360"/>
        <w:rPr>
          <w:rFonts w:ascii="Times New Roman" w:hAnsi="Times New Roman"/>
          <w:szCs w:val="22"/>
        </w:rPr>
      </w:pPr>
    </w:p>
    <w:p w14:paraId="554FFAFC" w14:textId="77777777" w:rsidR="00622539" w:rsidRPr="00DD3FB8" w:rsidRDefault="00622539" w:rsidP="00622539">
      <w:pPr>
        <w:numPr>
          <w:ilvl w:val="0"/>
          <w:numId w:val="3"/>
        </w:numPr>
        <w:spacing w:line="360" w:lineRule="auto"/>
        <w:rPr>
          <w:rFonts w:ascii="Times New Roman" w:hAnsi="Times New Roman"/>
          <w:szCs w:val="22"/>
        </w:rPr>
      </w:pPr>
      <w:r w:rsidRPr="00DD3FB8">
        <w:rPr>
          <w:rFonts w:ascii="Times New Roman" w:hAnsi="Times New Roman"/>
          <w:szCs w:val="22"/>
        </w:rPr>
        <w:t>Implicit racial biases impact type of facts mock jurors likely to remember</w:t>
      </w:r>
    </w:p>
    <w:p w14:paraId="785C700F" w14:textId="77777777" w:rsidR="00622539" w:rsidRPr="00DD3FB8" w:rsidRDefault="00622539" w:rsidP="00622539">
      <w:pPr>
        <w:numPr>
          <w:ilvl w:val="1"/>
          <w:numId w:val="3"/>
        </w:numPr>
        <w:spacing w:line="360" w:lineRule="auto"/>
        <w:rPr>
          <w:rFonts w:ascii="Times New Roman" w:hAnsi="Times New Roman"/>
          <w:szCs w:val="22"/>
        </w:rPr>
      </w:pPr>
      <w:r w:rsidRPr="00DD3FB8">
        <w:rPr>
          <w:rFonts w:ascii="Times New Roman" w:hAnsi="Times New Roman"/>
          <w:szCs w:val="22"/>
        </w:rPr>
        <w:t>More info regarding aggression for Black defen</w:t>
      </w:r>
      <w:r>
        <w:rPr>
          <w:rFonts w:ascii="Times New Roman" w:hAnsi="Times New Roman"/>
          <w:szCs w:val="22"/>
        </w:rPr>
        <w:t>d</w:t>
      </w:r>
      <w:r w:rsidRPr="00DD3FB8">
        <w:rPr>
          <w:rFonts w:ascii="Times New Roman" w:hAnsi="Times New Roman"/>
          <w:szCs w:val="22"/>
        </w:rPr>
        <w:t>dents, more info for mitigating factors white defendents (Levinson 2007)</w:t>
      </w:r>
    </w:p>
    <w:p w14:paraId="0D43D97A" w14:textId="77777777" w:rsidR="00622539" w:rsidRPr="00DD3FB8" w:rsidRDefault="00622539" w:rsidP="00622539">
      <w:pPr>
        <w:numPr>
          <w:ilvl w:val="0"/>
          <w:numId w:val="3"/>
        </w:numPr>
        <w:spacing w:line="360" w:lineRule="auto"/>
        <w:rPr>
          <w:rFonts w:ascii="Times New Roman" w:hAnsi="Times New Roman"/>
          <w:szCs w:val="22"/>
        </w:rPr>
      </w:pPr>
      <w:r w:rsidRPr="00DD3FB8">
        <w:rPr>
          <w:rFonts w:ascii="Times New Roman" w:hAnsi="Times New Roman"/>
          <w:szCs w:val="22"/>
        </w:rPr>
        <w:t>Jury-eligible study participants implicitly associate photos of Black men with guilty verdicts, calling into question presumptions of innocence (Levinson, Cai and Young 2010)</w:t>
      </w:r>
    </w:p>
    <w:p w14:paraId="7EFAD1B1" w14:textId="77777777" w:rsidR="00622539" w:rsidRPr="00DD3FB8" w:rsidRDefault="00622539" w:rsidP="00622539">
      <w:pPr>
        <w:numPr>
          <w:ilvl w:val="0"/>
          <w:numId w:val="3"/>
        </w:numPr>
        <w:spacing w:line="360" w:lineRule="auto"/>
        <w:rPr>
          <w:rFonts w:ascii="Times New Roman" w:hAnsi="Times New Roman"/>
          <w:szCs w:val="22"/>
        </w:rPr>
      </w:pPr>
      <w:r w:rsidRPr="00DD3FB8">
        <w:rPr>
          <w:rFonts w:ascii="Times New Roman" w:hAnsi="Times New Roman"/>
          <w:szCs w:val="22"/>
        </w:rPr>
        <w:t>Trial judges as biased as general public (Rachlinsi, Johnson, Wistrich &amp; Guthrie 2009)</w:t>
      </w:r>
    </w:p>
    <w:p w14:paraId="774B723A" w14:textId="77777777" w:rsidR="00622539" w:rsidRPr="00DD3FB8" w:rsidRDefault="00622539" w:rsidP="00622539">
      <w:pPr>
        <w:numPr>
          <w:ilvl w:val="0"/>
          <w:numId w:val="3"/>
        </w:numPr>
        <w:spacing w:line="360" w:lineRule="auto"/>
        <w:rPr>
          <w:rFonts w:ascii="Times New Roman" w:hAnsi="Times New Roman"/>
          <w:szCs w:val="22"/>
        </w:rPr>
      </w:pPr>
      <w:r w:rsidRPr="00DD3FB8">
        <w:rPr>
          <w:rFonts w:ascii="Times New Roman" w:hAnsi="Times New Roman"/>
          <w:szCs w:val="22"/>
        </w:rPr>
        <w:t>Jurors become more confident in their guilty verdicts as defendant's skin dakens (Levinson and Young 2010)</w:t>
      </w:r>
    </w:p>
    <w:p w14:paraId="246A0FE3" w14:textId="77777777" w:rsidR="00622539" w:rsidRDefault="00622539" w:rsidP="00622539">
      <w:pPr>
        <w:spacing w:line="360" w:lineRule="auto"/>
        <w:ind w:left="360"/>
        <w:rPr>
          <w:rFonts w:ascii="Times New Roman" w:hAnsi="Times New Roman"/>
          <w:szCs w:val="22"/>
        </w:rPr>
      </w:pPr>
    </w:p>
    <w:p w14:paraId="13F031D6" w14:textId="77777777" w:rsidR="00622539" w:rsidRDefault="00622539" w:rsidP="00622539">
      <w:pPr>
        <w:spacing w:line="360" w:lineRule="auto"/>
        <w:ind w:left="360"/>
        <w:rPr>
          <w:rFonts w:ascii="Times New Roman" w:hAnsi="Times New Roman"/>
          <w:szCs w:val="22"/>
        </w:rPr>
      </w:pPr>
    </w:p>
    <w:p w14:paraId="00B4A554" w14:textId="77777777" w:rsidR="00622539" w:rsidRDefault="00622539" w:rsidP="00622539">
      <w:r>
        <w:t>Old draft: starts here</w:t>
      </w:r>
    </w:p>
    <w:p w14:paraId="2D373F0A" w14:textId="77777777" w:rsidR="00622539" w:rsidRPr="00F74F54" w:rsidRDefault="00622539" w:rsidP="00622539">
      <w:pPr>
        <w:spacing w:line="360" w:lineRule="auto"/>
        <w:rPr>
          <w:rFonts w:ascii="Times New Roman" w:hAnsi="Times New Roman"/>
          <w:sz w:val="24"/>
        </w:rPr>
      </w:pPr>
      <w:r w:rsidRPr="00100B73">
        <w:rPr>
          <w:rFonts w:ascii="Times New Roman" w:hAnsi="Times New Roman"/>
          <w:b/>
          <w:bCs/>
          <w:sz w:val="24"/>
        </w:rPr>
        <w:t>Individual-Level – Race</w:t>
      </w:r>
    </w:p>
    <w:p w14:paraId="3B7A2CF7" w14:textId="77777777" w:rsidR="00622539" w:rsidRPr="00F74F54" w:rsidRDefault="00622539" w:rsidP="00622539">
      <w:pPr>
        <w:spacing w:line="360" w:lineRule="auto"/>
        <w:rPr>
          <w:rFonts w:ascii="Times New Roman" w:hAnsi="Times New Roman"/>
          <w:sz w:val="24"/>
        </w:rPr>
      </w:pPr>
    </w:p>
    <w:p w14:paraId="591BC5E6" w14:textId="77777777" w:rsidR="00622539" w:rsidRDefault="00622539" w:rsidP="00622539">
      <w:pPr>
        <w:spacing w:line="360" w:lineRule="auto"/>
        <w:ind w:firstLine="720"/>
        <w:rPr>
          <w:rFonts w:ascii="Times New Roman" w:hAnsi="Times New Roman"/>
          <w:sz w:val="24"/>
        </w:rPr>
      </w:pPr>
      <w:r w:rsidRPr="437AE678">
        <w:rPr>
          <w:rFonts w:ascii="Times New Roman" w:hAnsi="Times New Roman"/>
          <w:sz w:val="24"/>
        </w:rPr>
        <w:lastRenderedPageBreak/>
        <w:t xml:space="preserve">The American carceral system and “punitive turn” is a case of racial disproportionality and decentralization in myriad ways that link punishment and race (Michener 2018, Alexander 2010). I expect that attitudes towards “criminals” are differently shaped across racial groups and by racial attitudes. Race or assumed race of policy recipients shapes what people believe about their deservingness of public benefits including welfare (DeSante, 2013, Gilens, 1996, Soss et al, 2011, Hancock 2004) and college scholarships (Feldman and Huddy, 2005), as well as punishment and policing (Israel-Trummel, 2022). </w:t>
      </w:r>
      <w:commentRangeStart w:id="0"/>
      <w:r>
        <w:rPr>
          <w:rFonts w:ascii="Times New Roman" w:hAnsi="Times New Roman"/>
          <w:sz w:val="24"/>
        </w:rPr>
        <w:t xml:space="preserve">However, more recent work has found that it is primarily those who express overt-racial prejudice who moderate their policy support in light of racializing cues (Harell, Soroka, Iyengar 2016). </w:t>
      </w:r>
      <w:commentRangeEnd w:id="0"/>
      <w:r>
        <w:rPr>
          <w:rStyle w:val="CommentReference"/>
        </w:rPr>
        <w:commentReference w:id="0"/>
      </w:r>
    </w:p>
    <w:p w14:paraId="1983F9B3" w14:textId="77777777" w:rsidR="00622539" w:rsidRDefault="00622539" w:rsidP="00622539">
      <w:pPr>
        <w:spacing w:line="360" w:lineRule="auto"/>
        <w:ind w:firstLine="720"/>
        <w:rPr>
          <w:rFonts w:ascii="Times New Roman" w:hAnsi="Times New Roman"/>
          <w:sz w:val="24"/>
        </w:rPr>
      </w:pPr>
      <w:r w:rsidRPr="437AE678">
        <w:rPr>
          <w:rFonts w:ascii="Times New Roman" w:hAnsi="Times New Roman"/>
          <w:sz w:val="24"/>
        </w:rPr>
        <w:t xml:space="preserve">In a seminal analysis, Gilens (1996) leverages survey data to demonstrate that whites not only view welfare recipients as undeserving, but that they do so because they </w:t>
      </w:r>
      <w:r w:rsidRPr="437AE678">
        <w:rPr>
          <w:rFonts w:ascii="Times New Roman" w:hAnsi="Times New Roman"/>
          <w:i/>
          <w:iCs/>
          <w:sz w:val="24"/>
        </w:rPr>
        <w:t>assume</w:t>
      </w:r>
      <w:r w:rsidRPr="437AE678">
        <w:rPr>
          <w:rFonts w:ascii="Times New Roman" w:hAnsi="Times New Roman"/>
          <w:sz w:val="24"/>
        </w:rPr>
        <w:t xml:space="preserve"> welfare recipients are Black, stereotype Black Americans as lazy, and deem them undeserving of public benefits. Leveraging content analysis of media representations of poverty and welfare from the second half of the 20</w:t>
      </w:r>
      <w:r w:rsidRPr="437AE678">
        <w:rPr>
          <w:rFonts w:ascii="Times New Roman" w:hAnsi="Times New Roman"/>
          <w:sz w:val="24"/>
          <w:vertAlign w:val="superscript"/>
        </w:rPr>
        <w:t>th</w:t>
      </w:r>
      <w:r w:rsidRPr="437AE678">
        <w:rPr>
          <w:rFonts w:ascii="Times New Roman" w:hAnsi="Times New Roman"/>
          <w:sz w:val="24"/>
        </w:rPr>
        <w:t xml:space="preserve"> century, he concludes that this stereotype was developed in large part due to over-representation of Black Americans in stories that cast them as less sympathetic than whites (Gilens, 1996).  Shortly after, Gilliam (1999) found that welfare recipients are stereotyped as Black women – the product, he argues, of a “narrative script” that was constructed through media representation and political rhetoric about welfare recipients and policy in the Reagan era. Importantly, research connects these deservingness evaluations to policy outcomes and administration – for example, finding that welfare case workers assess Black applicants more 29% harshly and are twice as likely to sanction them than white applicants (Soss, 2011), and that elections administrators discriminate against Latinx emailers (White, 2018).</w:t>
      </w:r>
      <w:r>
        <w:rPr>
          <w:rFonts w:ascii="Times New Roman" w:hAnsi="Times New Roman"/>
          <w:sz w:val="24"/>
        </w:rPr>
        <w:t xml:space="preserve"> </w:t>
      </w:r>
    </w:p>
    <w:p w14:paraId="770F0624" w14:textId="77777777" w:rsidR="00622539" w:rsidRDefault="00622539" w:rsidP="00622539">
      <w:pPr>
        <w:spacing w:line="360" w:lineRule="auto"/>
        <w:rPr>
          <w:rFonts w:ascii="Times New Roman" w:hAnsi="Times New Roman"/>
          <w:sz w:val="24"/>
        </w:rPr>
      </w:pPr>
      <w:r w:rsidRPr="00100B73">
        <w:rPr>
          <w:rFonts w:ascii="Times New Roman" w:hAnsi="Times New Roman"/>
          <w:sz w:val="24"/>
        </w:rPr>
        <w:tab/>
      </w:r>
      <w:r w:rsidRPr="437AE678">
        <w:rPr>
          <w:rFonts w:ascii="Times New Roman" w:hAnsi="Times New Roman"/>
          <w:sz w:val="24"/>
        </w:rPr>
        <w:t xml:space="preserve">Across policy literatures, these racialized assessments are linked to evaluations that Black individuals are more culpable for their circumstances – whether that circumstance is poverty, illness, or being sexually assaulted -- and punished more harshly, where whites are seen to be victims of circumstances beyond their control (Aaroe and Peterson, 2014; Nazione and Silk, 2013; Donovan, 2007).  In a study exposing survey participants to a vignette about police violence, Israel-Trummel and Streeter (2021) find that Black women participants are deemed to be more responsible (“could have done something differently to change the outcome of the interaction”) for their victimization than white women. </w:t>
      </w:r>
    </w:p>
    <w:p w14:paraId="166B832C" w14:textId="77777777" w:rsidR="00622539" w:rsidRDefault="00622539" w:rsidP="00622539">
      <w:pPr>
        <w:spacing w:line="360" w:lineRule="auto"/>
        <w:rPr>
          <w:rFonts w:ascii="Times New Roman" w:hAnsi="Times New Roman"/>
          <w:sz w:val="24"/>
        </w:rPr>
      </w:pPr>
      <w:r>
        <w:rPr>
          <w:rFonts w:ascii="Times New Roman" w:hAnsi="Times New Roman"/>
          <w:sz w:val="24"/>
        </w:rPr>
        <w:lastRenderedPageBreak/>
        <w:tab/>
        <w:t>However, while the aforementioned studies highlight effects of negative racialized appeals, there’s growing debate about the effects of positive racialized appeals, particularly given possibly growing portions of white Americans who are positively mobilized by appeals to redress structural inequality (Chudy 2021; Sides, Tesler, and Vavrek 2018). In some instances, messaging about structural inequality can increase support for policies that seek to redress it (Niederdeppe et al 2023).  But debate largely centers around the extent to which this holds across contexts, and if so, whether it does strongly enough to override or counterbalance effects of negative racial appeals. Evidence on how groups respond to accussations of racism…</w:t>
      </w:r>
    </w:p>
    <w:p w14:paraId="3593FEA2" w14:textId="77777777" w:rsidR="00622539" w:rsidRPr="00A65A33" w:rsidRDefault="00622539" w:rsidP="00622539">
      <w:pPr>
        <w:spacing w:line="360" w:lineRule="auto"/>
        <w:ind w:firstLine="720"/>
        <w:rPr>
          <w:rFonts w:ascii="Times New Roman" w:hAnsi="Times New Roman"/>
          <w:sz w:val="24"/>
        </w:rPr>
      </w:pPr>
      <w:r w:rsidRPr="00A65A33">
        <w:rPr>
          <w:rFonts w:ascii="Times New Roman" w:hAnsi="Times New Roman"/>
          <w:sz w:val="24"/>
        </w:rPr>
        <w:t>While one recent paper found that framing policy in racial terms decreased support</w:t>
      </w:r>
      <w:r>
        <w:rPr>
          <w:rFonts w:ascii="Times New Roman" w:hAnsi="Times New Roman"/>
          <w:sz w:val="24"/>
        </w:rPr>
        <w:t xml:space="preserve"> for policies otherwise considered “race neutral”</w:t>
      </w:r>
      <w:r w:rsidRPr="00A65A33">
        <w:rPr>
          <w:rFonts w:ascii="Times New Roman" w:hAnsi="Times New Roman"/>
          <w:sz w:val="24"/>
        </w:rPr>
        <w:t xml:space="preserve"> (English and Kalla 2021), another found racial frames had no effect</w:t>
      </w:r>
      <w:r>
        <w:rPr>
          <w:rFonts w:ascii="Times New Roman" w:hAnsi="Times New Roman"/>
          <w:sz w:val="24"/>
        </w:rPr>
        <w:t xml:space="preserve"> on</w:t>
      </w:r>
      <w:r w:rsidRPr="00A65A33">
        <w:rPr>
          <w:rFonts w:ascii="Times New Roman" w:hAnsi="Times New Roman"/>
          <w:sz w:val="24"/>
        </w:rPr>
        <w:t>, suggesting that racial frames’ effects may change depending on whether they are leveraged in support of or against a policy; or suggesting that the effect of racial frames is reliant on the extent to which that policy is already racialized</w:t>
      </w:r>
      <w:r>
        <w:rPr>
          <w:rFonts w:ascii="Times New Roman" w:hAnsi="Times New Roman"/>
          <w:sz w:val="24"/>
        </w:rPr>
        <w:t xml:space="preserve"> – the second study looked at effects on school rezoning, debates around which tend to focus on impacts for learning outcomes of low-income and minority kids (Zhirkov and Quintilla 2024).</w:t>
      </w:r>
      <w:r w:rsidRPr="00A65A33">
        <w:rPr>
          <w:rFonts w:ascii="Times New Roman" w:hAnsi="Times New Roman"/>
          <w:sz w:val="24"/>
        </w:rPr>
        <w:t xml:space="preserve"> </w:t>
      </w:r>
    </w:p>
    <w:p w14:paraId="099C69EB" w14:textId="77777777" w:rsidR="00622539" w:rsidRDefault="00622539" w:rsidP="00622539">
      <w:pPr>
        <w:spacing w:line="360" w:lineRule="auto"/>
        <w:rPr>
          <w:rFonts w:ascii="Times New Roman" w:hAnsi="Times New Roman"/>
          <w:sz w:val="24"/>
        </w:rPr>
      </w:pPr>
      <w:r>
        <w:rPr>
          <w:rFonts w:ascii="Times New Roman" w:hAnsi="Times New Roman"/>
          <w:sz w:val="24"/>
        </w:rPr>
        <w:tab/>
        <w:t>*while racial attitudes predict opinions on criminal justice (Jardina 2019)</w:t>
      </w:r>
    </w:p>
    <w:p w14:paraId="50980069" w14:textId="77777777" w:rsidR="00622539" w:rsidRPr="002218A2" w:rsidRDefault="00622539" w:rsidP="00622539">
      <w:pPr>
        <w:spacing w:line="360" w:lineRule="auto"/>
        <w:rPr>
          <w:rFonts w:ascii="Times New Roman" w:hAnsi="Times New Roman"/>
          <w:sz w:val="24"/>
          <w:u w:val="single"/>
        </w:rPr>
      </w:pPr>
      <w:r w:rsidRPr="002218A2">
        <w:rPr>
          <w:rFonts w:ascii="Times New Roman" w:hAnsi="Times New Roman"/>
          <w:sz w:val="24"/>
          <w:u w:val="single"/>
        </w:rPr>
        <w:t>Add: Progressive/Regressive distinction</w:t>
      </w:r>
    </w:p>
    <w:p w14:paraId="7254A424" w14:textId="77777777" w:rsidR="00622539" w:rsidRPr="00A65A33" w:rsidRDefault="00622539" w:rsidP="00622539">
      <w:pPr>
        <w:spacing w:line="360" w:lineRule="auto"/>
        <w:rPr>
          <w:rFonts w:ascii="Times New Roman" w:hAnsi="Times New Roman"/>
          <w:sz w:val="24"/>
        </w:rPr>
      </w:pPr>
    </w:p>
    <w:p w14:paraId="3429FDC7" w14:textId="77777777" w:rsidR="00622539" w:rsidRPr="00100B73" w:rsidRDefault="00622539" w:rsidP="00622539">
      <w:pPr>
        <w:spacing w:line="360" w:lineRule="auto"/>
        <w:ind w:firstLine="720"/>
        <w:rPr>
          <w:rFonts w:ascii="Times New Roman" w:hAnsi="Times New Roman"/>
          <w:sz w:val="24"/>
        </w:rPr>
      </w:pPr>
      <w:r w:rsidRPr="437AE678">
        <w:rPr>
          <w:rFonts w:ascii="Times New Roman" w:hAnsi="Times New Roman"/>
          <w:sz w:val="24"/>
        </w:rPr>
        <w:t xml:space="preserve">Scholars have also established a clear punitive </w:t>
      </w:r>
      <w:r w:rsidRPr="437AE678">
        <w:rPr>
          <w:rFonts w:ascii="Times New Roman" w:hAnsi="Times New Roman"/>
          <w:i/>
          <w:iCs/>
          <w:sz w:val="24"/>
        </w:rPr>
        <w:t>gap</w:t>
      </w:r>
      <w:r w:rsidRPr="437AE678">
        <w:rPr>
          <w:rFonts w:ascii="Times New Roman" w:hAnsi="Times New Roman"/>
          <w:sz w:val="24"/>
        </w:rPr>
        <w:t xml:space="preserve"> between white and Black Americans (Enns 2016, Soss, Langbein and Metelko 2003). While this gap, particularly as measured by death penalty support, can be volatile, it is consistent and “remains robust” (Anderson et al. 2017), and extends to other products of public punitiveness that are “rooted in animus against racialized minorities, immigrants, and other marginalized groups, which are often the targets of the systems of control and surveillance” (Chouhy et al 2020). Racial resentment or symbolic racism will motivate punitiveness – whether through or while shaping attitudes towards criminals, perceptions about “criminals” capacity for reciprocity, and a minimization of the role of institutional racism in driving racial inequality.</w:t>
      </w:r>
    </w:p>
    <w:p w14:paraId="49F98925" w14:textId="77777777" w:rsidR="00622539" w:rsidRDefault="00622539" w:rsidP="00622539"/>
    <w:p w14:paraId="5DD65FC2" w14:textId="77777777" w:rsidR="00035700" w:rsidRDefault="00035700"/>
    <w:sectPr w:rsidR="00035700" w:rsidSect="00102EC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Kristina Mensik" w:date="2024-12-13T14:45:00Z" w:initials="KM">
    <w:p w14:paraId="050F1FB8" w14:textId="77777777" w:rsidR="00622539" w:rsidRDefault="00622539" w:rsidP="00622539">
      <w:r>
        <w:rPr>
          <w:rStyle w:val="CommentReference"/>
        </w:rPr>
        <w:annotationRef/>
      </w:r>
      <w:r>
        <w:rPr>
          <w:color w:val="000000"/>
          <w:sz w:val="20"/>
          <w:szCs w:val="20"/>
        </w:rPr>
        <w:t xml:space="preserve">Could test for this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50F1F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22A4028" w16cex:dateUtc="2024-12-13T19: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50F1FB8" w16cid:durableId="522A402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Open Sans">
    <w:altName w:val="﷽﷽﷽﷽﷽﷽﷽﷽s"/>
    <w:panose1 w:val="020B0606030504020204"/>
    <w:charset w:val="00"/>
    <w:family w:val="swiss"/>
    <w:pitch w:val="variable"/>
    <w:sig w:usb0="E00002EF" w:usb1="4000205B" w:usb2="00000028"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4D"/>
    <w:family w:val="auto"/>
    <w:pitch w:val="variable"/>
    <w:sig w:usb0="2000020F" w:usb1="00000003" w:usb2="00000000" w:usb3="00000000" w:csb0="00000197"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152E6"/>
    <w:multiLevelType w:val="multilevel"/>
    <w:tmpl w:val="0300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66319A"/>
    <w:multiLevelType w:val="hybridMultilevel"/>
    <w:tmpl w:val="2ED287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F5D6F93"/>
    <w:multiLevelType w:val="hybridMultilevel"/>
    <w:tmpl w:val="7E1455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6389997">
    <w:abstractNumId w:val="2"/>
  </w:num>
  <w:num w:numId="2" w16cid:durableId="1207722150">
    <w:abstractNumId w:val="1"/>
  </w:num>
  <w:num w:numId="3" w16cid:durableId="119781743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Kristina Mensik">
    <w15:presenceInfo w15:providerId="AD" w15:userId="S::kom11@duke.edu::979dd20b-fab2-4478-b7fb-462aa92faf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1C9"/>
    <w:rsid w:val="0000145B"/>
    <w:rsid w:val="00004B39"/>
    <w:rsid w:val="000160A0"/>
    <w:rsid w:val="000165B8"/>
    <w:rsid w:val="00022097"/>
    <w:rsid w:val="0002297E"/>
    <w:rsid w:val="000306ED"/>
    <w:rsid w:val="00030A8C"/>
    <w:rsid w:val="00035700"/>
    <w:rsid w:val="00037BF8"/>
    <w:rsid w:val="000567DA"/>
    <w:rsid w:val="00060CBE"/>
    <w:rsid w:val="0006430A"/>
    <w:rsid w:val="000666CE"/>
    <w:rsid w:val="000731A7"/>
    <w:rsid w:val="00073DEA"/>
    <w:rsid w:val="00076A45"/>
    <w:rsid w:val="00085C11"/>
    <w:rsid w:val="000C1731"/>
    <w:rsid w:val="000C49C5"/>
    <w:rsid w:val="000D060A"/>
    <w:rsid w:val="000D232F"/>
    <w:rsid w:val="000E0CC4"/>
    <w:rsid w:val="000E2273"/>
    <w:rsid w:val="000F2810"/>
    <w:rsid w:val="000F5217"/>
    <w:rsid w:val="000F7032"/>
    <w:rsid w:val="00102EC1"/>
    <w:rsid w:val="00124849"/>
    <w:rsid w:val="00125217"/>
    <w:rsid w:val="001348D5"/>
    <w:rsid w:val="00154191"/>
    <w:rsid w:val="001548D9"/>
    <w:rsid w:val="001549A9"/>
    <w:rsid w:val="001610D3"/>
    <w:rsid w:val="00166993"/>
    <w:rsid w:val="0016729F"/>
    <w:rsid w:val="001A4786"/>
    <w:rsid w:val="001B2435"/>
    <w:rsid w:val="001C20E2"/>
    <w:rsid w:val="001C5DAA"/>
    <w:rsid w:val="001D0700"/>
    <w:rsid w:val="001D2BC2"/>
    <w:rsid w:val="001F484E"/>
    <w:rsid w:val="001F499D"/>
    <w:rsid w:val="001F5B84"/>
    <w:rsid w:val="002054C9"/>
    <w:rsid w:val="00206533"/>
    <w:rsid w:val="002131AE"/>
    <w:rsid w:val="00225F9F"/>
    <w:rsid w:val="00231B05"/>
    <w:rsid w:val="00233885"/>
    <w:rsid w:val="00246E5A"/>
    <w:rsid w:val="00250029"/>
    <w:rsid w:val="00256025"/>
    <w:rsid w:val="00264DA6"/>
    <w:rsid w:val="002679E9"/>
    <w:rsid w:val="00283586"/>
    <w:rsid w:val="00291F8D"/>
    <w:rsid w:val="002A12FD"/>
    <w:rsid w:val="002C3D1D"/>
    <w:rsid w:val="002C64FC"/>
    <w:rsid w:val="002D71A9"/>
    <w:rsid w:val="002E41C9"/>
    <w:rsid w:val="002E5A77"/>
    <w:rsid w:val="002F4102"/>
    <w:rsid w:val="002F6609"/>
    <w:rsid w:val="002F75ED"/>
    <w:rsid w:val="003118B9"/>
    <w:rsid w:val="00324D4D"/>
    <w:rsid w:val="003327B8"/>
    <w:rsid w:val="00332933"/>
    <w:rsid w:val="003368F2"/>
    <w:rsid w:val="003443C2"/>
    <w:rsid w:val="00347099"/>
    <w:rsid w:val="00347E04"/>
    <w:rsid w:val="003507D7"/>
    <w:rsid w:val="00351083"/>
    <w:rsid w:val="00352D4D"/>
    <w:rsid w:val="00353817"/>
    <w:rsid w:val="00373912"/>
    <w:rsid w:val="00375255"/>
    <w:rsid w:val="003766CF"/>
    <w:rsid w:val="0038172E"/>
    <w:rsid w:val="0038248B"/>
    <w:rsid w:val="00384A5A"/>
    <w:rsid w:val="003B6612"/>
    <w:rsid w:val="003B7CD3"/>
    <w:rsid w:val="003C585B"/>
    <w:rsid w:val="003D6392"/>
    <w:rsid w:val="004013E8"/>
    <w:rsid w:val="00416A5B"/>
    <w:rsid w:val="0042383C"/>
    <w:rsid w:val="0043020F"/>
    <w:rsid w:val="00441258"/>
    <w:rsid w:val="0044237B"/>
    <w:rsid w:val="0044568F"/>
    <w:rsid w:val="004608B6"/>
    <w:rsid w:val="00466402"/>
    <w:rsid w:val="0047276A"/>
    <w:rsid w:val="0047469F"/>
    <w:rsid w:val="004764FC"/>
    <w:rsid w:val="00485BD3"/>
    <w:rsid w:val="00485EAB"/>
    <w:rsid w:val="00490C4B"/>
    <w:rsid w:val="00491D89"/>
    <w:rsid w:val="00495B2D"/>
    <w:rsid w:val="00497078"/>
    <w:rsid w:val="004D030E"/>
    <w:rsid w:val="004D2A85"/>
    <w:rsid w:val="004D3AE3"/>
    <w:rsid w:val="004E610C"/>
    <w:rsid w:val="004F3657"/>
    <w:rsid w:val="004F7310"/>
    <w:rsid w:val="00503832"/>
    <w:rsid w:val="0050599A"/>
    <w:rsid w:val="00510D4A"/>
    <w:rsid w:val="00516431"/>
    <w:rsid w:val="005401C8"/>
    <w:rsid w:val="005433F6"/>
    <w:rsid w:val="0054740A"/>
    <w:rsid w:val="00547C03"/>
    <w:rsid w:val="00553997"/>
    <w:rsid w:val="00555B93"/>
    <w:rsid w:val="00557ED0"/>
    <w:rsid w:val="00576352"/>
    <w:rsid w:val="00577E2E"/>
    <w:rsid w:val="00577FD1"/>
    <w:rsid w:val="0058497C"/>
    <w:rsid w:val="0059321D"/>
    <w:rsid w:val="00593A0A"/>
    <w:rsid w:val="00595AE1"/>
    <w:rsid w:val="005A3876"/>
    <w:rsid w:val="005B2708"/>
    <w:rsid w:val="005B672F"/>
    <w:rsid w:val="005B76A6"/>
    <w:rsid w:val="005C2C44"/>
    <w:rsid w:val="005C5DBE"/>
    <w:rsid w:val="005C602E"/>
    <w:rsid w:val="005E47DA"/>
    <w:rsid w:val="005F1525"/>
    <w:rsid w:val="00605073"/>
    <w:rsid w:val="00606737"/>
    <w:rsid w:val="00621765"/>
    <w:rsid w:val="00622539"/>
    <w:rsid w:val="00624BCB"/>
    <w:rsid w:val="00625D0B"/>
    <w:rsid w:val="00637CDE"/>
    <w:rsid w:val="00653CC4"/>
    <w:rsid w:val="006651AB"/>
    <w:rsid w:val="00673452"/>
    <w:rsid w:val="00674FAC"/>
    <w:rsid w:val="006832AB"/>
    <w:rsid w:val="00692B49"/>
    <w:rsid w:val="006937A5"/>
    <w:rsid w:val="006B0AB9"/>
    <w:rsid w:val="006B5E11"/>
    <w:rsid w:val="006D14DB"/>
    <w:rsid w:val="006D28B6"/>
    <w:rsid w:val="006D55B4"/>
    <w:rsid w:val="006E1CDD"/>
    <w:rsid w:val="006E30FC"/>
    <w:rsid w:val="006F07DC"/>
    <w:rsid w:val="006F25D4"/>
    <w:rsid w:val="006F4AB5"/>
    <w:rsid w:val="00703833"/>
    <w:rsid w:val="00706C42"/>
    <w:rsid w:val="007102EE"/>
    <w:rsid w:val="007144B9"/>
    <w:rsid w:val="00720E58"/>
    <w:rsid w:val="007260E7"/>
    <w:rsid w:val="0074211B"/>
    <w:rsid w:val="00743F83"/>
    <w:rsid w:val="00747497"/>
    <w:rsid w:val="00760C6C"/>
    <w:rsid w:val="007612F8"/>
    <w:rsid w:val="007702B6"/>
    <w:rsid w:val="007844CF"/>
    <w:rsid w:val="0078459D"/>
    <w:rsid w:val="00790555"/>
    <w:rsid w:val="007916A0"/>
    <w:rsid w:val="00794768"/>
    <w:rsid w:val="00795A90"/>
    <w:rsid w:val="007A25B7"/>
    <w:rsid w:val="007A2BF8"/>
    <w:rsid w:val="007B5797"/>
    <w:rsid w:val="007C0F09"/>
    <w:rsid w:val="007C7BBD"/>
    <w:rsid w:val="007D03D6"/>
    <w:rsid w:val="007D343E"/>
    <w:rsid w:val="007D7B02"/>
    <w:rsid w:val="007E5AEA"/>
    <w:rsid w:val="007E7635"/>
    <w:rsid w:val="00841DEA"/>
    <w:rsid w:val="00857AE8"/>
    <w:rsid w:val="00865B41"/>
    <w:rsid w:val="00880953"/>
    <w:rsid w:val="00881069"/>
    <w:rsid w:val="00881DF9"/>
    <w:rsid w:val="00891166"/>
    <w:rsid w:val="00893E8C"/>
    <w:rsid w:val="008A58E6"/>
    <w:rsid w:val="008A5B66"/>
    <w:rsid w:val="008A7070"/>
    <w:rsid w:val="008B0337"/>
    <w:rsid w:val="008B6342"/>
    <w:rsid w:val="008C3CBC"/>
    <w:rsid w:val="008C4724"/>
    <w:rsid w:val="008C50C3"/>
    <w:rsid w:val="008D3EE4"/>
    <w:rsid w:val="008E1525"/>
    <w:rsid w:val="008E22CB"/>
    <w:rsid w:val="00913C5A"/>
    <w:rsid w:val="00931DCD"/>
    <w:rsid w:val="0093302D"/>
    <w:rsid w:val="009410B8"/>
    <w:rsid w:val="00947B45"/>
    <w:rsid w:val="0095054A"/>
    <w:rsid w:val="00960ABD"/>
    <w:rsid w:val="00967766"/>
    <w:rsid w:val="009804F0"/>
    <w:rsid w:val="009812A5"/>
    <w:rsid w:val="009A0B53"/>
    <w:rsid w:val="009A0BF3"/>
    <w:rsid w:val="009B6EF3"/>
    <w:rsid w:val="009C1374"/>
    <w:rsid w:val="009D5760"/>
    <w:rsid w:val="009D6EAD"/>
    <w:rsid w:val="009E7E8F"/>
    <w:rsid w:val="009F22C4"/>
    <w:rsid w:val="00A00D65"/>
    <w:rsid w:val="00A05511"/>
    <w:rsid w:val="00A10698"/>
    <w:rsid w:val="00A1104C"/>
    <w:rsid w:val="00A34086"/>
    <w:rsid w:val="00A379C8"/>
    <w:rsid w:val="00A52253"/>
    <w:rsid w:val="00A75828"/>
    <w:rsid w:val="00A85E28"/>
    <w:rsid w:val="00A901EA"/>
    <w:rsid w:val="00A927B8"/>
    <w:rsid w:val="00A93C35"/>
    <w:rsid w:val="00AA0BCC"/>
    <w:rsid w:val="00AA55C4"/>
    <w:rsid w:val="00AB1061"/>
    <w:rsid w:val="00AB6163"/>
    <w:rsid w:val="00AC19B6"/>
    <w:rsid w:val="00AC350B"/>
    <w:rsid w:val="00AD0D2E"/>
    <w:rsid w:val="00AD42DC"/>
    <w:rsid w:val="00AD7821"/>
    <w:rsid w:val="00AF1FDF"/>
    <w:rsid w:val="00AF316D"/>
    <w:rsid w:val="00AF3AC2"/>
    <w:rsid w:val="00AF62C0"/>
    <w:rsid w:val="00B156E9"/>
    <w:rsid w:val="00B20686"/>
    <w:rsid w:val="00B217A4"/>
    <w:rsid w:val="00B320A8"/>
    <w:rsid w:val="00B41DC6"/>
    <w:rsid w:val="00B55BE7"/>
    <w:rsid w:val="00B64CBC"/>
    <w:rsid w:val="00B67599"/>
    <w:rsid w:val="00B7232B"/>
    <w:rsid w:val="00B93200"/>
    <w:rsid w:val="00B9430D"/>
    <w:rsid w:val="00B95652"/>
    <w:rsid w:val="00BA6294"/>
    <w:rsid w:val="00BB2F3D"/>
    <w:rsid w:val="00BC0458"/>
    <w:rsid w:val="00BC0A74"/>
    <w:rsid w:val="00BC2D30"/>
    <w:rsid w:val="00BD2212"/>
    <w:rsid w:val="00BE2FDD"/>
    <w:rsid w:val="00BE73A5"/>
    <w:rsid w:val="00BE764A"/>
    <w:rsid w:val="00BE79FD"/>
    <w:rsid w:val="00BF5AE9"/>
    <w:rsid w:val="00C209B7"/>
    <w:rsid w:val="00C23633"/>
    <w:rsid w:val="00C25278"/>
    <w:rsid w:val="00C45E8C"/>
    <w:rsid w:val="00C56164"/>
    <w:rsid w:val="00C712D3"/>
    <w:rsid w:val="00C81515"/>
    <w:rsid w:val="00C91C2D"/>
    <w:rsid w:val="00CA77B8"/>
    <w:rsid w:val="00CB7AB1"/>
    <w:rsid w:val="00CD10D5"/>
    <w:rsid w:val="00CE024C"/>
    <w:rsid w:val="00CE64D5"/>
    <w:rsid w:val="00CF4DC5"/>
    <w:rsid w:val="00CF7A60"/>
    <w:rsid w:val="00D0117F"/>
    <w:rsid w:val="00D03511"/>
    <w:rsid w:val="00D16AE2"/>
    <w:rsid w:val="00D25166"/>
    <w:rsid w:val="00D470C3"/>
    <w:rsid w:val="00D60814"/>
    <w:rsid w:val="00D60B04"/>
    <w:rsid w:val="00D7474C"/>
    <w:rsid w:val="00D81728"/>
    <w:rsid w:val="00DE06C1"/>
    <w:rsid w:val="00DE1A73"/>
    <w:rsid w:val="00DE5831"/>
    <w:rsid w:val="00DE6841"/>
    <w:rsid w:val="00E01EE5"/>
    <w:rsid w:val="00E04209"/>
    <w:rsid w:val="00E1033B"/>
    <w:rsid w:val="00E11DC7"/>
    <w:rsid w:val="00E35368"/>
    <w:rsid w:val="00E375D3"/>
    <w:rsid w:val="00E431F3"/>
    <w:rsid w:val="00E451B4"/>
    <w:rsid w:val="00E46DAD"/>
    <w:rsid w:val="00E51994"/>
    <w:rsid w:val="00E51F30"/>
    <w:rsid w:val="00E61A6A"/>
    <w:rsid w:val="00E70FF2"/>
    <w:rsid w:val="00E72186"/>
    <w:rsid w:val="00E80012"/>
    <w:rsid w:val="00E94774"/>
    <w:rsid w:val="00E95DB7"/>
    <w:rsid w:val="00EA07E9"/>
    <w:rsid w:val="00EA2599"/>
    <w:rsid w:val="00EA27FF"/>
    <w:rsid w:val="00EA3D4B"/>
    <w:rsid w:val="00EA7C26"/>
    <w:rsid w:val="00ED2CCB"/>
    <w:rsid w:val="00ED7F81"/>
    <w:rsid w:val="00EE10DB"/>
    <w:rsid w:val="00EE5879"/>
    <w:rsid w:val="00EF17CA"/>
    <w:rsid w:val="00EF618E"/>
    <w:rsid w:val="00F046C6"/>
    <w:rsid w:val="00F104E9"/>
    <w:rsid w:val="00F1054A"/>
    <w:rsid w:val="00F2058F"/>
    <w:rsid w:val="00F249B8"/>
    <w:rsid w:val="00F31C7A"/>
    <w:rsid w:val="00F34DAD"/>
    <w:rsid w:val="00F40FCB"/>
    <w:rsid w:val="00F43D32"/>
    <w:rsid w:val="00F44820"/>
    <w:rsid w:val="00F46C73"/>
    <w:rsid w:val="00F51C6D"/>
    <w:rsid w:val="00F55614"/>
    <w:rsid w:val="00F6438C"/>
    <w:rsid w:val="00F80189"/>
    <w:rsid w:val="00F801FA"/>
    <w:rsid w:val="00F866D0"/>
    <w:rsid w:val="00F90406"/>
    <w:rsid w:val="00F92E6A"/>
    <w:rsid w:val="00F9429C"/>
    <w:rsid w:val="00FA468C"/>
    <w:rsid w:val="00FB02C3"/>
    <w:rsid w:val="00FC39A2"/>
    <w:rsid w:val="00FC3F08"/>
    <w:rsid w:val="00FD0E63"/>
    <w:rsid w:val="00FD72E4"/>
    <w:rsid w:val="00FE0C56"/>
    <w:rsid w:val="00FE42E9"/>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C6740E"/>
  <w15:chartTrackingRefBased/>
  <w15:docId w15:val="{610875DE-63FC-2B4F-BA1B-780D2EE78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1C9"/>
    <w:rPr>
      <w:rFonts w:ascii="Open Sans" w:hAnsi="Open Sans" w:cs="Times New Roman"/>
      <w:sz w:val="22"/>
    </w:rPr>
  </w:style>
  <w:style w:type="paragraph" w:styleId="Heading1">
    <w:name w:val="heading 1"/>
    <w:basedOn w:val="Normal"/>
    <w:next w:val="Normal"/>
    <w:link w:val="Heading1Char"/>
    <w:uiPriority w:val="9"/>
    <w:qFormat/>
    <w:rsid w:val="002E41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2E41C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41C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E41C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E41C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E41C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E41C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E41C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2E41C9"/>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2E41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41C9"/>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2E41C9"/>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2E41C9"/>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2E41C9"/>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2E41C9"/>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2E41C9"/>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2E41C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1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41C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1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41C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E41C9"/>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2E41C9"/>
    <w:rPr>
      <w:i/>
      <w:iCs/>
      <w:color w:val="0F4761" w:themeColor="accent1" w:themeShade="BF"/>
    </w:rPr>
  </w:style>
  <w:style w:type="paragraph" w:styleId="IntenseQuote">
    <w:name w:val="Intense Quote"/>
    <w:basedOn w:val="Normal"/>
    <w:next w:val="Normal"/>
    <w:link w:val="IntenseQuoteChar"/>
    <w:uiPriority w:val="30"/>
    <w:qFormat/>
    <w:rsid w:val="002E41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41C9"/>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2E41C9"/>
    <w:rPr>
      <w:b/>
      <w:bCs/>
      <w:smallCaps/>
      <w:color w:val="0F4761" w:themeColor="accent1" w:themeShade="BF"/>
      <w:spacing w:val="5"/>
    </w:rPr>
  </w:style>
  <w:style w:type="paragraph" w:customStyle="1" w:styleId="whitespace-pre-wrap">
    <w:name w:val="whitespace-pre-wrap"/>
    <w:basedOn w:val="Normal"/>
    <w:rsid w:val="002E41C9"/>
    <w:pPr>
      <w:spacing w:before="100" w:beforeAutospacing="1" w:after="100" w:afterAutospacing="1"/>
    </w:pPr>
    <w:rPr>
      <w:rFonts w:ascii="Times New Roman" w:hAnsi="Times New Roman"/>
      <w:kern w:val="0"/>
      <w:sz w:val="24"/>
      <w14:ligatures w14:val="none"/>
    </w:rPr>
  </w:style>
  <w:style w:type="character" w:styleId="CommentReference">
    <w:name w:val="annotation reference"/>
    <w:basedOn w:val="DefaultParagraphFont"/>
    <w:uiPriority w:val="99"/>
    <w:semiHidden/>
    <w:unhideWhenUsed/>
    <w:rsid w:val="00622539"/>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1359</Words>
  <Characters>7747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2</cp:revision>
  <dcterms:created xsi:type="dcterms:W3CDTF">2024-12-24T21:29:00Z</dcterms:created>
  <dcterms:modified xsi:type="dcterms:W3CDTF">2024-12-26T00:12:00Z</dcterms:modified>
</cp:coreProperties>
</file>