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0A8B" w14:textId="16D0C15B" w:rsidR="00916920" w:rsidRDefault="00916920" w:rsidP="00916920">
      <w:r>
        <w:t xml:space="preserve">Part1: Possibly Helpful Q &amp; A for strengthening theoretical framing: </w:t>
      </w:r>
    </w:p>
    <w:p w14:paraId="354E08CF" w14:textId="77777777" w:rsidR="00916920" w:rsidRDefault="00916920" w:rsidP="00916920"/>
    <w:p w14:paraId="2AAAA652" w14:textId="5C6A7352" w:rsidR="00916920" w:rsidRDefault="00916920" w:rsidP="00916920">
      <w:r>
        <w:t>A. Deservingness Literature</w:t>
      </w:r>
    </w:p>
    <w:p w14:paraId="6FBB5826" w14:textId="77777777" w:rsidR="00916920" w:rsidRDefault="00916920" w:rsidP="00916920">
      <w:r>
        <w:t>- CARIN framework (control, attitude, reciprocity, identity, need)</w:t>
      </w:r>
    </w:p>
    <w:p w14:paraId="0131AB23" w14:textId="77777777" w:rsidR="00916920" w:rsidRDefault="00916920" w:rsidP="00916920">
      <w:r>
        <w:t>- Evidence about how deservingness operates in other domains</w:t>
      </w:r>
    </w:p>
    <w:p w14:paraId="697EFE75" w14:textId="77777777" w:rsidR="00916920" w:rsidRDefault="00916920" w:rsidP="00916920">
      <w:r>
        <w:t>- Need to theorize distinctiveness of punishment context</w:t>
      </w:r>
    </w:p>
    <w:p w14:paraId="47F4B6CE" w14:textId="77777777" w:rsidR="00916920" w:rsidRDefault="00916920" w:rsidP="00916920"/>
    <w:p w14:paraId="1215DC26" w14:textId="77777777" w:rsidR="00916920" w:rsidRDefault="00916920" w:rsidP="00916920">
      <w:r>
        <w:t>B. Experience Effects (Well-Supported)</w:t>
      </w:r>
    </w:p>
    <w:p w14:paraId="6BAB5314" w14:textId="77777777" w:rsidR="00916920" w:rsidRDefault="00916920" w:rsidP="00916920">
      <w:r>
        <w:t xml:space="preserve">- Literature on contact theory </w:t>
      </w:r>
    </w:p>
    <w:p w14:paraId="269F05BA" w14:textId="77777777" w:rsidR="00916920" w:rsidRDefault="00916920" w:rsidP="00916920">
      <w:r>
        <w:t xml:space="preserve">- </w:t>
      </w:r>
      <w:proofErr w:type="spellStart"/>
      <w:r>
        <w:t>Mansbridge's</w:t>
      </w:r>
      <w:proofErr w:type="spellEnd"/>
      <w:r>
        <w:t xml:space="preserve"> work on experiential knowledge</w:t>
      </w:r>
    </w:p>
    <w:p w14:paraId="3DAB73C8" w14:textId="77777777" w:rsidR="00916920" w:rsidRDefault="00916920" w:rsidP="00916920">
      <w:r>
        <w:t>- Evidence about family attitudes (Lee, Porter, Comfort 2014)</w:t>
      </w:r>
    </w:p>
    <w:p w14:paraId="758596DF" w14:textId="77777777" w:rsidR="00916920" w:rsidRDefault="00916920" w:rsidP="00916920">
      <w:r>
        <w:t>- Role of direct experience in policy understanding</w:t>
      </w:r>
    </w:p>
    <w:p w14:paraId="20F9D356" w14:textId="77777777" w:rsidR="00916920" w:rsidRDefault="00916920" w:rsidP="00916920"/>
    <w:p w14:paraId="2B2D5A7E" w14:textId="77777777" w:rsidR="00916920" w:rsidRDefault="00916920" w:rsidP="00916920">
      <w:r>
        <w:t>C. Affect/Dehumanization (Needs Development)</w:t>
      </w:r>
    </w:p>
    <w:p w14:paraId="05F55BDC" w14:textId="77777777" w:rsidR="00916920" w:rsidRDefault="00916920" w:rsidP="00916920">
      <w:r>
        <w:t>- Dehumanization literature (Vasiljevic &amp; Viki)</w:t>
      </w:r>
    </w:p>
    <w:p w14:paraId="30D1B05C" w14:textId="77777777" w:rsidR="00916920" w:rsidRDefault="00916920" w:rsidP="00916920">
      <w:r>
        <w:t>- Work on moral reactions to punishment</w:t>
      </w:r>
    </w:p>
    <w:p w14:paraId="77677E0E" w14:textId="77777777" w:rsidR="00916920" w:rsidRDefault="00916920" w:rsidP="00916920">
      <w:r>
        <w:t>- Literature on stigma and stereotypes</w:t>
      </w:r>
    </w:p>
    <w:p w14:paraId="585BC79C" w14:textId="77777777" w:rsidR="00916920" w:rsidRDefault="00916920" w:rsidP="00916920">
      <w:r>
        <w:t>- Evidence about racial attitudes and punitiveness</w:t>
      </w:r>
    </w:p>
    <w:p w14:paraId="5405947F" w14:textId="77777777" w:rsidR="00916920" w:rsidRDefault="00916920" w:rsidP="00916920"/>
    <w:p w14:paraId="751EAA65" w14:textId="77777777" w:rsidR="00916920" w:rsidRDefault="00916920" w:rsidP="00916920">
      <w:pPr>
        <w:pStyle w:val="ListParagraph"/>
        <w:numPr>
          <w:ilvl w:val="0"/>
          <w:numId w:val="2"/>
        </w:numPr>
        <w:spacing w:line="281" w:lineRule="exact"/>
        <w:contextualSpacing w:val="0"/>
      </w:pPr>
      <w:r>
        <w:t>Relationship between moral disgust and dehumanization:</w:t>
      </w:r>
    </w:p>
    <w:p w14:paraId="347BD1DD" w14:textId="77777777" w:rsidR="00916920" w:rsidRDefault="00916920" w:rsidP="00916920">
      <w:pPr>
        <w:pStyle w:val="ListParagraph"/>
        <w:numPr>
          <w:ilvl w:val="1"/>
          <w:numId w:val="2"/>
        </w:numPr>
        <w:spacing w:line="281" w:lineRule="exact"/>
        <w:contextualSpacing w:val="0"/>
      </w:pPr>
      <w:r>
        <w:t>Disgust may prompt dehumanization, but they appear self-reinforcing: disgust prompts dehumanization, but dehumanization reinforces disgust (and in my argument, would interfere with perceptions of “need,” “control,” “attitudes,” “reciprocity” and possibly also the capacity of a ‘corrective’ second order deservingness judgement)</w:t>
      </w:r>
    </w:p>
    <w:p w14:paraId="0D2ED7CA" w14:textId="77777777" w:rsidR="00916920" w:rsidRDefault="00916920" w:rsidP="00916920">
      <w:pPr>
        <w:pStyle w:val="ListParagraph"/>
        <w:numPr>
          <w:ilvl w:val="1"/>
          <w:numId w:val="2"/>
        </w:numPr>
        <w:spacing w:line="281" w:lineRule="exact"/>
        <w:contextualSpacing w:val="0"/>
      </w:pPr>
      <w:r>
        <w:t>Disgust “appears to have the unique capacity to foster the social-cognitive dehumanization of outgroup members” (</w:t>
      </w:r>
      <w:proofErr w:type="spellStart"/>
      <w:r>
        <w:t>Buckels</w:t>
      </w:r>
      <w:proofErr w:type="spellEnd"/>
      <w:r>
        <w:t xml:space="preserve"> and </w:t>
      </w:r>
      <w:proofErr w:type="spellStart"/>
      <w:r>
        <w:t>Trapnell</w:t>
      </w:r>
      <w:proofErr w:type="spellEnd"/>
      <w:r>
        <w:t xml:space="preserve"> 2013)</w:t>
      </w:r>
    </w:p>
    <w:p w14:paraId="59192551" w14:textId="77777777" w:rsidR="00916920" w:rsidRDefault="00916920" w:rsidP="00916920">
      <w:pPr>
        <w:pStyle w:val="ListParagraph"/>
        <w:numPr>
          <w:ilvl w:val="1"/>
          <w:numId w:val="2"/>
        </w:numPr>
        <w:spacing w:line="281" w:lineRule="exact"/>
        <w:contextualSpacing w:val="0"/>
      </w:pPr>
      <w:r>
        <w:t>However, norm violations prompt dehumanization as well (Fincher and Tetlock 2016)</w:t>
      </w:r>
    </w:p>
    <w:p w14:paraId="7BB93C6E" w14:textId="77777777" w:rsidR="002C148B" w:rsidRDefault="00916920" w:rsidP="00916920">
      <w:pPr>
        <w:pStyle w:val="ListParagraph"/>
        <w:numPr>
          <w:ilvl w:val="1"/>
          <w:numId w:val="2"/>
        </w:numPr>
        <w:spacing w:line="281" w:lineRule="exact"/>
        <w:contextualSpacing w:val="0"/>
      </w:pPr>
      <w:r>
        <w:t xml:space="preserve">Associations with aggression often most capable of eliciting disgust (Rozin et al 2008). </w:t>
      </w:r>
    </w:p>
    <w:p w14:paraId="34B97276" w14:textId="2D8C5583" w:rsidR="00916920" w:rsidRDefault="00916920" w:rsidP="00916920">
      <w:pPr>
        <w:pStyle w:val="ListParagraph"/>
        <w:numPr>
          <w:ilvl w:val="1"/>
          <w:numId w:val="2"/>
        </w:numPr>
        <w:spacing w:line="281" w:lineRule="exact"/>
        <w:contextualSpacing w:val="0"/>
      </w:pPr>
      <w:r>
        <w:t xml:space="preserve">It stops people from perceiving ‘objects’ of disgust as fully human (Harris and Fiske 2006), and “disgust sensitivity” appears to inform dehumanization of immigrants (Hodson and Costello 2007), as well as perceptions of what they deserve and support for policy (Petersen 2017). </w:t>
      </w:r>
    </w:p>
    <w:p w14:paraId="4968F122" w14:textId="77777777" w:rsidR="00916920" w:rsidRDefault="00916920" w:rsidP="00916920">
      <w:pPr>
        <w:pStyle w:val="ListParagraph"/>
        <w:numPr>
          <w:ilvl w:val="1"/>
          <w:numId w:val="2"/>
        </w:numPr>
        <w:spacing w:line="281" w:lineRule="exact"/>
        <w:contextualSpacing w:val="0"/>
      </w:pPr>
      <w:r>
        <w:t xml:space="preserve">Groups stereotyped as being incompetent and cold elicit disgust (Fiske, Cuddy, </w:t>
      </w:r>
      <w:proofErr w:type="spellStart"/>
      <w:r>
        <w:t>Glix</w:t>
      </w:r>
      <w:proofErr w:type="spellEnd"/>
      <w:r>
        <w:t xml:space="preserve"> and Xu 2002)</w:t>
      </w:r>
    </w:p>
    <w:p w14:paraId="59F77E24" w14:textId="77777777" w:rsidR="00916920" w:rsidRDefault="00916920" w:rsidP="00916920">
      <w:pPr>
        <w:pStyle w:val="ListParagraph"/>
        <w:numPr>
          <w:ilvl w:val="1"/>
          <w:numId w:val="2"/>
        </w:numPr>
        <w:spacing w:line="281" w:lineRule="exact"/>
        <w:contextualSpacing w:val="0"/>
      </w:pPr>
      <w:r>
        <w:t>Disgust exacerbates implicit bias (Dasgupta, DeSteno, Williams and Hunsinger 2009) and prejudice (Harris and Fiske 2006)</w:t>
      </w:r>
    </w:p>
    <w:p w14:paraId="06AF0E49" w14:textId="77777777" w:rsidR="00916920" w:rsidRDefault="00916920" w:rsidP="00916920">
      <w:pPr>
        <w:pStyle w:val="ListParagraph"/>
        <w:numPr>
          <w:ilvl w:val="1"/>
          <w:numId w:val="2"/>
        </w:numPr>
        <w:spacing w:line="281" w:lineRule="exact"/>
        <w:contextualSpacing w:val="0"/>
      </w:pPr>
      <w:r>
        <w:t>Disgust reliable generates feelings of superiority over object of disgust (Pizarro, Detweiler-Bedell and Bloom 2006) as they are “expelled from the circle of moral regard” (</w:t>
      </w:r>
      <w:proofErr w:type="spellStart"/>
      <w:r>
        <w:t>Buckels</w:t>
      </w:r>
      <w:proofErr w:type="spellEnd"/>
      <w:r>
        <w:t xml:space="preserve"> and </w:t>
      </w:r>
      <w:proofErr w:type="spellStart"/>
      <w:r>
        <w:t>Trapnell</w:t>
      </w:r>
      <w:proofErr w:type="spellEnd"/>
      <w:r>
        <w:t xml:space="preserve"> 2013)</w:t>
      </w:r>
    </w:p>
    <w:p w14:paraId="04C3CCE2" w14:textId="77777777" w:rsidR="00916920" w:rsidRDefault="00916920" w:rsidP="00916920">
      <w:pPr>
        <w:pStyle w:val="ListParagraph"/>
        <w:numPr>
          <w:ilvl w:val="1"/>
          <w:numId w:val="2"/>
        </w:numPr>
        <w:spacing w:line="281" w:lineRule="exact"/>
        <w:contextualSpacing w:val="0"/>
      </w:pPr>
      <w:r>
        <w:t>Dehumanization exacerbates moral disgust – rather than threat responses (</w:t>
      </w:r>
    </w:p>
    <w:p w14:paraId="66979CB7" w14:textId="77777777" w:rsidR="00916920" w:rsidRDefault="00916920" w:rsidP="00916920">
      <w:pPr>
        <w:pStyle w:val="ListParagraph"/>
        <w:numPr>
          <w:ilvl w:val="0"/>
          <w:numId w:val="2"/>
        </w:numPr>
        <w:spacing w:line="281" w:lineRule="exact"/>
        <w:contextualSpacing w:val="0"/>
      </w:pPr>
      <w:r>
        <w:t>How is moral disgust specifically different from other forms of affect in how it relates to deservingness judgements</w:t>
      </w:r>
    </w:p>
    <w:p w14:paraId="61641589" w14:textId="77777777" w:rsidR="00916920" w:rsidRDefault="00916920" w:rsidP="00916920">
      <w:pPr>
        <w:pStyle w:val="ListParagraph"/>
        <w:numPr>
          <w:ilvl w:val="1"/>
          <w:numId w:val="2"/>
        </w:numPr>
        <w:spacing w:line="281" w:lineRule="exact"/>
        <w:contextualSpacing w:val="0"/>
      </w:pPr>
      <w:r>
        <w:lastRenderedPageBreak/>
        <w:t xml:space="preserve">Moral disgust might be hard to distinguish from other negative emotions, although anger and contempt might be difficult to distinguish, and is also </w:t>
      </w:r>
      <w:proofErr w:type="gramStart"/>
      <w:r>
        <w:t>a</w:t>
      </w:r>
      <w:proofErr w:type="gramEnd"/>
      <w:r>
        <w:t xml:space="preserve"> other-condemning emotion (Haidt 2003). Anger also exacerbates out-group negativity (DeSteno et al 2004). </w:t>
      </w:r>
    </w:p>
    <w:p w14:paraId="579B08AD" w14:textId="77777777" w:rsidR="00916920" w:rsidRDefault="00916920" w:rsidP="00916920">
      <w:pPr>
        <w:pStyle w:val="ListParagraph"/>
        <w:numPr>
          <w:ilvl w:val="1"/>
          <w:numId w:val="2"/>
        </w:numPr>
        <w:spacing w:line="281" w:lineRule="exact"/>
        <w:contextualSpacing w:val="0"/>
      </w:pPr>
      <w:r>
        <w:t>People process moral-political issues differently than they do other types of political information (</w:t>
      </w:r>
      <w:proofErr w:type="spellStart"/>
      <w:r>
        <w:t>Carpini</w:t>
      </w:r>
      <w:proofErr w:type="spellEnd"/>
      <w:r>
        <w:t xml:space="preserve"> 2013)</w:t>
      </w:r>
    </w:p>
    <w:p w14:paraId="71A8C1DE" w14:textId="77777777" w:rsidR="00916920" w:rsidRDefault="00916920" w:rsidP="00916920">
      <w:pPr>
        <w:pStyle w:val="ListParagraph"/>
        <w:numPr>
          <w:ilvl w:val="1"/>
          <w:numId w:val="2"/>
        </w:numPr>
        <w:spacing w:line="281" w:lineRule="exact"/>
        <w:contextualSpacing w:val="0"/>
      </w:pPr>
      <w:r>
        <w:t xml:space="preserve">But (and tried to set this up in the paper) it is different in motivation in that is more self-protective in response to a “contaminant” in origin, and (think I have a citation in the paper) developed to </w:t>
      </w:r>
      <w:proofErr w:type="gramStart"/>
      <w:r>
        <w:t>avoid  anger</w:t>
      </w:r>
      <w:proofErr w:type="gramEnd"/>
      <w:r>
        <w:t xml:space="preserve"> is more associated with aggression</w:t>
      </w:r>
    </w:p>
    <w:p w14:paraId="72224680" w14:textId="77777777" w:rsidR="00916920" w:rsidRDefault="00916920" w:rsidP="00916920">
      <w:pPr>
        <w:pStyle w:val="ListParagraph"/>
        <w:numPr>
          <w:ilvl w:val="1"/>
          <w:numId w:val="2"/>
        </w:numPr>
        <w:spacing w:line="281" w:lineRule="exact"/>
        <w:contextualSpacing w:val="0"/>
      </w:pPr>
      <w:r>
        <w:t xml:space="preserve">Disgust should override emotions like compassion, sympathy, empathy. I’m interested (think I’m arguing) that part of a link between deservingness perceptions and differentiated deservingness judgements is perhaps a moment of guilt among some at feeling disgust. </w:t>
      </w:r>
    </w:p>
    <w:p w14:paraId="27F78913" w14:textId="77777777" w:rsidR="00916920" w:rsidRDefault="00916920" w:rsidP="00916920">
      <w:pPr>
        <w:pStyle w:val="ListParagraph"/>
        <w:numPr>
          <w:ilvl w:val="1"/>
          <w:numId w:val="2"/>
        </w:numPr>
        <w:spacing w:line="281" w:lineRule="exact"/>
        <w:contextualSpacing w:val="0"/>
      </w:pPr>
      <w:r>
        <w:t xml:space="preserve">Disgust should mute perceptions of need, and (combined with dehumanization) generate a perception of “control” (from CARIN) that conceives of the carceral citizen as </w:t>
      </w:r>
      <w:proofErr w:type="spellStart"/>
      <w:r>
        <w:t>totalizingly</w:t>
      </w:r>
      <w:proofErr w:type="spellEnd"/>
      <w:r>
        <w:t xml:space="preserve"> and entirely to blame</w:t>
      </w:r>
    </w:p>
    <w:p w14:paraId="5E525905" w14:textId="77777777" w:rsidR="00916920" w:rsidRDefault="00916920" w:rsidP="00916920">
      <w:pPr>
        <w:pStyle w:val="ListParagraph"/>
        <w:numPr>
          <w:ilvl w:val="0"/>
          <w:numId w:val="2"/>
        </w:numPr>
        <w:spacing w:line="281" w:lineRule="exact"/>
        <w:contextualSpacing w:val="0"/>
      </w:pPr>
      <w:r>
        <w:t>What is the role of information scarcity in this process</w:t>
      </w:r>
    </w:p>
    <w:p w14:paraId="182DFAB9" w14:textId="77777777" w:rsidR="00916920" w:rsidRDefault="00916920" w:rsidP="00916920">
      <w:pPr>
        <w:pStyle w:val="ListParagraph"/>
        <w:numPr>
          <w:ilvl w:val="1"/>
          <w:numId w:val="2"/>
        </w:numPr>
        <w:spacing w:line="281" w:lineRule="exact"/>
        <w:contextualSpacing w:val="0"/>
      </w:pPr>
      <w:r>
        <w:t>I have a citation in the paper that people are more likely to assume culpability in information-scare settings</w:t>
      </w:r>
    </w:p>
    <w:p w14:paraId="36F83FE2" w14:textId="77777777" w:rsidR="00916920" w:rsidRDefault="00916920" w:rsidP="00916920">
      <w:pPr>
        <w:pStyle w:val="ListParagraph"/>
        <w:numPr>
          <w:ilvl w:val="1"/>
          <w:numId w:val="2"/>
        </w:numPr>
        <w:spacing w:line="281" w:lineRule="exact"/>
        <w:contextualSpacing w:val="0"/>
      </w:pPr>
      <w:r>
        <w:t xml:space="preserve">Feedback loop, </w:t>
      </w:r>
      <w:proofErr w:type="spellStart"/>
      <w:r>
        <w:t>wherin</w:t>
      </w:r>
      <w:proofErr w:type="spellEnd"/>
      <w:r>
        <w:t xml:space="preserve"> dehumanization also reduces information-seeking (Fincher and Tetlock 2016)</w:t>
      </w:r>
    </w:p>
    <w:p w14:paraId="6CB78F2D" w14:textId="77777777" w:rsidR="00916920" w:rsidRDefault="00916920" w:rsidP="00916920">
      <w:pPr>
        <w:pStyle w:val="ListParagraph"/>
        <w:numPr>
          <w:ilvl w:val="1"/>
          <w:numId w:val="2"/>
        </w:numPr>
        <w:spacing w:line="281" w:lineRule="exact"/>
        <w:contextualSpacing w:val="0"/>
      </w:pPr>
      <w:r>
        <w:t xml:space="preserve">In my argument, information that suggests need, reciprocity </w:t>
      </w:r>
      <w:proofErr w:type="spellStart"/>
      <w:r>
        <w:t>etc</w:t>
      </w:r>
      <w:proofErr w:type="spellEnd"/>
      <w:r>
        <w:t xml:space="preserve">, could counterbalance affect. </w:t>
      </w:r>
    </w:p>
    <w:p w14:paraId="58FC9587" w14:textId="77777777" w:rsidR="00916920" w:rsidRDefault="00916920" w:rsidP="00916920">
      <w:pPr>
        <w:pStyle w:val="ListParagraph"/>
        <w:numPr>
          <w:ilvl w:val="0"/>
          <w:numId w:val="2"/>
        </w:numPr>
        <w:spacing w:line="281" w:lineRule="exact"/>
        <w:contextualSpacing w:val="0"/>
      </w:pPr>
      <w:r>
        <w:t>How do racial attitudes interact with these mechanisms</w:t>
      </w:r>
    </w:p>
    <w:p w14:paraId="6D013056" w14:textId="77777777" w:rsidR="00916920" w:rsidRDefault="00916920" w:rsidP="00916920">
      <w:pPr>
        <w:pStyle w:val="ListParagraph"/>
        <w:numPr>
          <w:ilvl w:val="1"/>
          <w:numId w:val="2"/>
        </w:numPr>
        <w:spacing w:line="281" w:lineRule="exact"/>
        <w:contextualSpacing w:val="0"/>
      </w:pPr>
      <w:r>
        <w:t xml:space="preserve">Racial attitudes </w:t>
      </w:r>
      <w:proofErr w:type="gramStart"/>
      <w:r>
        <w:t>definitely interact</w:t>
      </w:r>
      <w:proofErr w:type="gramEnd"/>
      <w:r>
        <w:t xml:space="preserve"> with these mechanisms. Dehumanized stereotypes of carceral citizens are racialized (citations should be in the paper)</w:t>
      </w:r>
    </w:p>
    <w:p w14:paraId="61A83A57" w14:textId="77777777" w:rsidR="00916920" w:rsidRDefault="00916920" w:rsidP="00916920">
      <w:pPr>
        <w:pStyle w:val="ListParagraph"/>
        <w:numPr>
          <w:ilvl w:val="1"/>
          <w:numId w:val="2"/>
        </w:numPr>
        <w:spacing w:line="281" w:lineRule="exact"/>
        <w:contextualSpacing w:val="0"/>
      </w:pPr>
      <w:r>
        <w:t>Dehumanized characteristics are attributed to outgroups (</w:t>
      </w:r>
      <w:proofErr w:type="spellStart"/>
      <w:r>
        <w:t>Leyens</w:t>
      </w:r>
      <w:proofErr w:type="spellEnd"/>
      <w:r>
        <w:t xml:space="preserve"> et al 2000, </w:t>
      </w:r>
      <w:proofErr w:type="spellStart"/>
      <w:r>
        <w:t>Hanslam</w:t>
      </w:r>
      <w:proofErr w:type="spellEnd"/>
      <w:r>
        <w:t xml:space="preserve"> et al 2005, Goff, Eberhardt and Williams 2008)</w:t>
      </w:r>
    </w:p>
    <w:p w14:paraId="0DD3196A" w14:textId="77777777" w:rsidR="00916920" w:rsidRDefault="00916920" w:rsidP="00916920">
      <w:pPr>
        <w:pStyle w:val="ListParagraph"/>
        <w:numPr>
          <w:ilvl w:val="1"/>
          <w:numId w:val="2"/>
        </w:numPr>
        <w:spacing w:line="281" w:lineRule="exact"/>
        <w:contextualSpacing w:val="0"/>
      </w:pPr>
      <w:r>
        <w:t>Racial resentment should:</w:t>
      </w:r>
    </w:p>
    <w:p w14:paraId="7682AA02" w14:textId="77777777" w:rsidR="00916920" w:rsidRDefault="00916920" w:rsidP="00916920">
      <w:pPr>
        <w:pStyle w:val="ListParagraph"/>
        <w:numPr>
          <w:ilvl w:val="2"/>
          <w:numId w:val="2"/>
        </w:numPr>
        <w:spacing w:line="281" w:lineRule="exact"/>
        <w:contextualSpacing w:val="0"/>
      </w:pPr>
      <w:r>
        <w:t>Increase disgust</w:t>
      </w:r>
    </w:p>
    <w:p w14:paraId="0DC0F8E7" w14:textId="77777777" w:rsidR="00916920" w:rsidRDefault="00916920" w:rsidP="00916920">
      <w:pPr>
        <w:pStyle w:val="ListParagraph"/>
        <w:numPr>
          <w:ilvl w:val="2"/>
          <w:numId w:val="2"/>
        </w:numPr>
        <w:spacing w:line="281" w:lineRule="exact"/>
        <w:contextualSpacing w:val="0"/>
      </w:pPr>
      <w:r>
        <w:t>Reduce perceptions of need, reciprocity, control, and attitude</w:t>
      </w:r>
    </w:p>
    <w:p w14:paraId="3F19783B" w14:textId="77777777" w:rsidR="00916920" w:rsidRDefault="00916920" w:rsidP="00916920">
      <w:pPr>
        <w:pStyle w:val="ListParagraph"/>
        <w:numPr>
          <w:ilvl w:val="2"/>
          <w:numId w:val="2"/>
        </w:numPr>
        <w:spacing w:line="281" w:lineRule="exact"/>
        <w:contextualSpacing w:val="0"/>
      </w:pPr>
      <w:r>
        <w:t>Justify dehumanization and exacerbate it</w:t>
      </w:r>
    </w:p>
    <w:p w14:paraId="4F263FC2" w14:textId="77777777" w:rsidR="00916920" w:rsidRDefault="00916920" w:rsidP="00916920">
      <w:pPr>
        <w:pStyle w:val="ListParagraph"/>
        <w:numPr>
          <w:ilvl w:val="3"/>
          <w:numId w:val="2"/>
        </w:numPr>
        <w:spacing w:line="281" w:lineRule="exact"/>
        <w:contextualSpacing w:val="0"/>
      </w:pPr>
      <w:r>
        <w:t xml:space="preserve">This may mean less likelihood of a second order “corrective judgement” </w:t>
      </w:r>
      <w:proofErr w:type="spellStart"/>
      <w:r>
        <w:t>ie</w:t>
      </w:r>
      <w:proofErr w:type="spellEnd"/>
      <w:r>
        <w:t xml:space="preserve"> both negative deservingness evaluations, less responsive to more humanized types, </w:t>
      </w:r>
    </w:p>
    <w:p w14:paraId="0968C488" w14:textId="77777777" w:rsidR="00916920" w:rsidRDefault="00916920" w:rsidP="00916920">
      <w:pPr>
        <w:pStyle w:val="ListParagraph"/>
        <w:numPr>
          <w:ilvl w:val="2"/>
          <w:numId w:val="2"/>
        </w:numPr>
        <w:spacing w:line="281" w:lineRule="exact"/>
        <w:contextualSpacing w:val="0"/>
      </w:pPr>
      <w:r>
        <w:t xml:space="preserve">On policy, I expect this means more punitiveness, less support for symbolic policies (like voting, rights-based). </w:t>
      </w:r>
    </w:p>
    <w:p w14:paraId="13483AB9" w14:textId="77777777" w:rsidR="00916920" w:rsidRDefault="00916920" w:rsidP="00916920">
      <w:pPr>
        <w:pStyle w:val="ListParagraph"/>
        <w:numPr>
          <w:ilvl w:val="2"/>
          <w:numId w:val="2"/>
        </w:numPr>
        <w:spacing w:line="281" w:lineRule="exact"/>
        <w:contextualSpacing w:val="0"/>
      </w:pPr>
      <w:r>
        <w:t xml:space="preserve">However, I suspect that policies like prison education might be approved by people with racially resentful attitudes and strong dehumanized perceptions of carceral citizens. In this case, there is a racial paternalism (Nicole Gonzalez van Cleeve 2016) component and element of self-gratification (Welch 2015), akin to “civilizing missions” in colonial and postcolonial contexts, where, for ex, Fanon argues colonizers simultaneously infantilize and demonize the colonized, see themselves as civilizing agents, and are able to maintain “reciprocal exclusivity” – or </w:t>
      </w:r>
      <w:r>
        <w:lastRenderedPageBreak/>
        <w:t>maintain the essential differentiation between themselves and the colonized – through education and “cultural improvement” programs.</w:t>
      </w:r>
    </w:p>
    <w:p w14:paraId="55019037" w14:textId="77777777" w:rsidR="00916920" w:rsidRDefault="00916920" w:rsidP="00916920">
      <w:pPr>
        <w:pStyle w:val="ListParagraph"/>
        <w:numPr>
          <w:ilvl w:val="0"/>
          <w:numId w:val="2"/>
        </w:numPr>
        <w:spacing w:line="281" w:lineRule="exact"/>
        <w:contextualSpacing w:val="0"/>
      </w:pPr>
      <w:r>
        <w:t>Experiential effects</w:t>
      </w:r>
    </w:p>
    <w:p w14:paraId="380672FC" w14:textId="77777777" w:rsidR="00916920" w:rsidRDefault="00916920" w:rsidP="00916920">
      <w:pPr>
        <w:pStyle w:val="ListParagraph"/>
        <w:numPr>
          <w:ilvl w:val="1"/>
          <w:numId w:val="2"/>
        </w:numPr>
        <w:spacing w:line="281" w:lineRule="exact"/>
        <w:contextualSpacing w:val="0"/>
      </w:pPr>
      <w:r>
        <w:t xml:space="preserve"> </w:t>
      </w:r>
      <w:r w:rsidRPr="00FE6503">
        <w:t>How does direct experience disrupt the disgust/dehumanization process?</w:t>
      </w:r>
    </w:p>
    <w:p w14:paraId="6A7601B0" w14:textId="77777777" w:rsidR="00916920" w:rsidRDefault="00916920" w:rsidP="00916920">
      <w:pPr>
        <w:pStyle w:val="ListParagraph"/>
        <w:numPr>
          <w:ilvl w:val="1"/>
          <w:numId w:val="2"/>
        </w:numPr>
        <w:spacing w:line="281" w:lineRule="exact"/>
        <w:contextualSpacing w:val="0"/>
      </w:pPr>
      <w:r w:rsidRPr="00FE6503">
        <w:t>Is it primarily through:</w:t>
      </w:r>
      <w:r w:rsidRPr="00FE6503">
        <w:rPr>
          <w:rFonts w:eastAsiaTheme="majorEastAsia"/>
        </w:rPr>
        <w:t> </w:t>
      </w:r>
    </w:p>
    <w:p w14:paraId="4C2BBC77" w14:textId="77777777" w:rsidR="00916920" w:rsidRDefault="00916920" w:rsidP="00916920">
      <w:pPr>
        <w:pStyle w:val="ListParagraph"/>
        <w:numPr>
          <w:ilvl w:val="1"/>
          <w:numId w:val="2"/>
        </w:numPr>
        <w:spacing w:line="281" w:lineRule="exact"/>
        <w:contextualSpacing w:val="0"/>
      </w:pPr>
      <w:r w:rsidRPr="00FE6503">
        <w:t>* Reducing initial disgust reactions?</w:t>
      </w:r>
      <w:r w:rsidRPr="00FE6503">
        <w:rPr>
          <w:rFonts w:eastAsiaTheme="majorEastAsia"/>
        </w:rPr>
        <w:t> </w:t>
      </w:r>
    </w:p>
    <w:p w14:paraId="44EA00EA" w14:textId="77777777" w:rsidR="00916920" w:rsidRDefault="00916920" w:rsidP="00916920">
      <w:pPr>
        <w:pStyle w:val="ListParagraph"/>
        <w:numPr>
          <w:ilvl w:val="1"/>
          <w:numId w:val="2"/>
        </w:numPr>
        <w:spacing w:line="281" w:lineRule="exact"/>
        <w:contextualSpacing w:val="0"/>
      </w:pPr>
      <w:r w:rsidRPr="00FE6503">
        <w:t>* Making dehumanization harder?</w:t>
      </w:r>
      <w:r w:rsidRPr="00FE6503">
        <w:rPr>
          <w:rFonts w:eastAsiaTheme="majorEastAsia"/>
        </w:rPr>
        <w:t> </w:t>
      </w:r>
    </w:p>
    <w:p w14:paraId="6031E91F" w14:textId="77777777" w:rsidR="00916920" w:rsidRDefault="00916920" w:rsidP="00916920">
      <w:pPr>
        <w:pStyle w:val="ListParagraph"/>
        <w:numPr>
          <w:ilvl w:val="1"/>
          <w:numId w:val="2"/>
        </w:numPr>
        <w:spacing w:line="281" w:lineRule="exact"/>
        <w:contextualSpacing w:val="0"/>
      </w:pPr>
      <w:r w:rsidRPr="00FE6503">
        <w:t>* Providing countervailing information?</w:t>
      </w:r>
      <w:r w:rsidRPr="00FE6503">
        <w:rPr>
          <w:rFonts w:eastAsiaTheme="majorEastAsia"/>
        </w:rPr>
        <w:t> </w:t>
      </w:r>
    </w:p>
    <w:p w14:paraId="75C93B7A" w14:textId="77777777" w:rsidR="00916920" w:rsidRDefault="00916920" w:rsidP="00916920">
      <w:pPr>
        <w:pStyle w:val="ListParagraph"/>
        <w:numPr>
          <w:ilvl w:val="1"/>
          <w:numId w:val="2"/>
        </w:numPr>
        <w:spacing w:line="281" w:lineRule="exact"/>
        <w:contextualSpacing w:val="0"/>
      </w:pPr>
      <w:r w:rsidRPr="00FE6503">
        <w:t>* Some combination?</w:t>
      </w:r>
    </w:p>
    <w:p w14:paraId="43FBA2C4" w14:textId="77777777" w:rsidR="00916920" w:rsidRDefault="00916920" w:rsidP="00916920">
      <w:pPr>
        <w:pStyle w:val="ListParagraph"/>
        <w:numPr>
          <w:ilvl w:val="1"/>
          <w:numId w:val="2"/>
        </w:numPr>
        <w:spacing w:line="281" w:lineRule="exact"/>
        <w:contextualSpacing w:val="0"/>
      </w:pPr>
      <w:r>
        <w:t xml:space="preserve">First, I think direct experience may not interrupt disgust entirely. But it should weaken it. Considering just the accessibility heuristic and salience, </w:t>
      </w:r>
      <w:proofErr w:type="spellStart"/>
      <w:r>
        <w:t>counterveiling</w:t>
      </w:r>
      <w:proofErr w:type="spellEnd"/>
      <w:r>
        <w:t xml:space="preserve"> or humanized ideas that there might be a further “who” to a carceral citizen. Second, they may be considered part of an “in-group,” and dehumanization is stronger for outgroups</w:t>
      </w:r>
    </w:p>
    <w:p w14:paraId="27A0252D" w14:textId="77777777" w:rsidR="00916920" w:rsidRDefault="00916920" w:rsidP="00916920">
      <w:pPr>
        <w:pStyle w:val="ListParagraph"/>
        <w:numPr>
          <w:ilvl w:val="1"/>
          <w:numId w:val="2"/>
        </w:numPr>
        <w:spacing w:line="281" w:lineRule="exact"/>
        <w:contextualSpacing w:val="0"/>
      </w:pPr>
      <w:r>
        <w:t xml:space="preserve">Further, if there is this dual process mechanism, then part of what might reflect a “corrected” second order process would be a feeling of shame for perceiving disgust at an object who should be more </w:t>
      </w:r>
      <w:proofErr w:type="spellStart"/>
      <w:r>
        <w:t>humanizied</w:t>
      </w:r>
      <w:proofErr w:type="spellEnd"/>
      <w:r>
        <w:t xml:space="preserve">. </w:t>
      </w:r>
    </w:p>
    <w:p w14:paraId="45BEFF5F" w14:textId="77777777" w:rsidR="00916920" w:rsidRDefault="00916920" w:rsidP="00916920">
      <w:pPr>
        <w:pStyle w:val="ListParagraph"/>
        <w:numPr>
          <w:ilvl w:val="1"/>
          <w:numId w:val="2"/>
        </w:numPr>
        <w:spacing w:line="281" w:lineRule="exact"/>
        <w:contextualSpacing w:val="0"/>
      </w:pPr>
      <w:r>
        <w:t xml:space="preserve">Further, proximity to the carceral system probably means more </w:t>
      </w:r>
      <w:proofErr w:type="spellStart"/>
      <w:r>
        <w:t>familiarty</w:t>
      </w:r>
      <w:proofErr w:type="spellEnd"/>
      <w:r>
        <w:t xml:space="preserve"> with “need” in prison</w:t>
      </w:r>
    </w:p>
    <w:p w14:paraId="4B57B90D" w14:textId="77777777" w:rsidR="00916920" w:rsidRDefault="00916920" w:rsidP="00916920">
      <w:pPr>
        <w:pStyle w:val="ListParagraph"/>
        <w:numPr>
          <w:ilvl w:val="1"/>
          <w:numId w:val="2"/>
        </w:numPr>
        <w:spacing w:line="281" w:lineRule="exact"/>
        <w:contextualSpacing w:val="0"/>
      </w:pPr>
      <w:r>
        <w:t xml:space="preserve">Further, could be less underlying belief in perception of carceral system as an </w:t>
      </w:r>
      <w:proofErr w:type="gramStart"/>
      <w:r>
        <w:t>appropriate social arrangements</w:t>
      </w:r>
      <w:proofErr w:type="gramEnd"/>
      <w:r>
        <w:t xml:space="preserve"> – people are motivated to justify existing social arrangements (Jost and Van der </w:t>
      </w:r>
      <w:proofErr w:type="spellStart"/>
      <w:r>
        <w:t>Toorn</w:t>
      </w:r>
      <w:proofErr w:type="spellEnd"/>
      <w:r>
        <w:t xml:space="preserve"> 2012), so personal impact may reduce that motivation and thus make perceptions of need </w:t>
      </w:r>
      <w:proofErr w:type="spellStart"/>
      <w:r>
        <w:t>etc</w:t>
      </w:r>
      <w:proofErr w:type="spellEnd"/>
      <w:r>
        <w:t xml:space="preserve"> stronger. </w:t>
      </w:r>
    </w:p>
    <w:p w14:paraId="7F6303E2" w14:textId="77777777" w:rsidR="00916920" w:rsidRDefault="00916920" w:rsidP="00916920">
      <w:pPr>
        <w:pStyle w:val="ListParagraph"/>
        <w:numPr>
          <w:ilvl w:val="1"/>
          <w:numId w:val="2"/>
        </w:numPr>
        <w:spacing w:line="281" w:lineRule="exact"/>
        <w:contextualSpacing w:val="0"/>
      </w:pPr>
      <w:r>
        <w:t xml:space="preserve">Further, </w:t>
      </w:r>
      <w:proofErr w:type="spellStart"/>
      <w:r>
        <w:t>non impacted</w:t>
      </w:r>
      <w:proofErr w:type="spellEnd"/>
      <w:r>
        <w:t xml:space="preserve"> people may be more motivated by meritocratic explanations for incarceration and blame individuals rather than the system (</w:t>
      </w:r>
      <w:proofErr w:type="spellStart"/>
      <w:r>
        <w:t>Kleugel</w:t>
      </w:r>
      <w:proofErr w:type="spellEnd"/>
      <w:r>
        <w:t xml:space="preserve"> and Smith 1986</w:t>
      </w:r>
      <w:proofErr w:type="gramStart"/>
      <w:r>
        <w:t>), but</w:t>
      </w:r>
      <w:proofErr w:type="gramEnd"/>
      <w:r>
        <w:t xml:space="preserve"> directly impacted folks might not. </w:t>
      </w:r>
    </w:p>
    <w:p w14:paraId="1498DEFA" w14:textId="77777777" w:rsidR="00916920" w:rsidRDefault="00916920" w:rsidP="00916920">
      <w:pPr>
        <w:pStyle w:val="ListParagraph"/>
        <w:numPr>
          <w:ilvl w:val="1"/>
          <w:numId w:val="2"/>
        </w:numPr>
        <w:spacing w:line="281" w:lineRule="exact"/>
        <w:contextualSpacing w:val="0"/>
      </w:pPr>
      <w:r>
        <w:t xml:space="preserve">For victims, I think they are also likely folks who know incarcerated people, </w:t>
      </w:r>
      <w:proofErr w:type="gramStart"/>
      <w:r>
        <w:t>and also</w:t>
      </w:r>
      <w:proofErr w:type="gramEnd"/>
      <w:r>
        <w:t xml:space="preserve"> by unfortunate virtue of victimization may have had to engage in more “structured deliberation” about crime and criminality, which can generate more nuanced views particularly towards rights and responsibilities (Delli </w:t>
      </w:r>
      <w:proofErr w:type="spellStart"/>
      <w:r>
        <w:t>Carpini</w:t>
      </w:r>
      <w:proofErr w:type="spellEnd"/>
      <w:r>
        <w:t xml:space="preserve"> et al 2004). </w:t>
      </w:r>
    </w:p>
    <w:p w14:paraId="47AEE99F" w14:textId="77777777" w:rsidR="00916920" w:rsidRPr="00FE6503" w:rsidRDefault="00916920" w:rsidP="00916920">
      <w:pPr>
        <w:pStyle w:val="ListParagraph"/>
        <w:numPr>
          <w:ilvl w:val="0"/>
          <w:numId w:val="2"/>
        </w:numPr>
        <w:spacing w:line="281" w:lineRule="exact"/>
        <w:contextualSpacing w:val="0"/>
      </w:pPr>
      <w:r>
        <w:rPr>
          <w:color w:val="000000"/>
        </w:rPr>
        <w:t>Policy Implications</w:t>
      </w:r>
    </w:p>
    <w:p w14:paraId="1C455992" w14:textId="77777777" w:rsidR="00916920" w:rsidRPr="00FE6503" w:rsidRDefault="00916920" w:rsidP="00916920">
      <w:pPr>
        <w:pStyle w:val="ListParagraph"/>
        <w:numPr>
          <w:ilvl w:val="1"/>
          <w:numId w:val="2"/>
        </w:numPr>
        <w:spacing w:line="281" w:lineRule="exact"/>
        <w:contextualSpacing w:val="0"/>
        <w:rPr>
          <w:rStyle w:val="apple-converted-space"/>
        </w:rPr>
      </w:pPr>
      <w:r>
        <w:rPr>
          <w:color w:val="000000"/>
        </w:rPr>
        <w:t>Why/how does dehumanization affect abstract vs concrete policies differently?</w:t>
      </w:r>
      <w:r>
        <w:rPr>
          <w:rStyle w:val="apple-converted-space"/>
          <w:rFonts w:eastAsiaTheme="majorEastAsia"/>
          <w:color w:val="000000"/>
        </w:rPr>
        <w:t> </w:t>
      </w:r>
    </w:p>
    <w:p w14:paraId="2B8A0397" w14:textId="77777777" w:rsidR="00916920" w:rsidRPr="00FE6503" w:rsidRDefault="00916920" w:rsidP="00916920">
      <w:pPr>
        <w:pStyle w:val="ListParagraph"/>
        <w:numPr>
          <w:ilvl w:val="1"/>
          <w:numId w:val="2"/>
        </w:numPr>
        <w:spacing w:line="281" w:lineRule="exact"/>
        <w:contextualSpacing w:val="0"/>
        <w:rPr>
          <w:rStyle w:val="apple-converted-space"/>
        </w:rPr>
      </w:pPr>
      <w:r>
        <w:rPr>
          <w:color w:val="000000"/>
        </w:rPr>
        <w:t>What explains variation in policy support even when dehumanization is present?</w:t>
      </w:r>
    </w:p>
    <w:p w14:paraId="68B8919E" w14:textId="77777777" w:rsidR="00916920" w:rsidRDefault="00916920" w:rsidP="00916920">
      <w:pPr>
        <w:pStyle w:val="ListParagraph"/>
        <w:numPr>
          <w:ilvl w:val="1"/>
          <w:numId w:val="2"/>
        </w:numPr>
        <w:spacing w:line="281" w:lineRule="exact"/>
        <w:contextualSpacing w:val="0"/>
      </w:pPr>
      <w:r>
        <w:rPr>
          <w:color w:val="000000"/>
        </w:rPr>
        <w:t>How do these mechanisms translate to democratic rights specifically?</w:t>
      </w:r>
    </w:p>
    <w:p w14:paraId="0BB74B78" w14:textId="77777777" w:rsidR="00916920" w:rsidRDefault="00916920" w:rsidP="00916920"/>
    <w:p w14:paraId="11D6F1BE" w14:textId="77777777" w:rsidR="00916920" w:rsidRDefault="00916920" w:rsidP="00916920"/>
    <w:p w14:paraId="4AF65D53" w14:textId="77777777" w:rsidR="00916920" w:rsidRDefault="00916920" w:rsidP="00916920">
      <w:pPr>
        <w:spacing w:line="360" w:lineRule="auto"/>
        <w:ind w:left="720" w:hanging="360"/>
      </w:pPr>
    </w:p>
    <w:p w14:paraId="5F42D72B" w14:textId="0FF4642E" w:rsidR="00006C6B" w:rsidRDefault="00006C6B" w:rsidP="00916920">
      <w:pPr>
        <w:spacing w:line="360" w:lineRule="auto"/>
        <w:ind w:left="720" w:hanging="360"/>
      </w:pPr>
      <w:r>
        <w:t>Model Vs. Draft</w:t>
      </w:r>
    </w:p>
    <w:p w14:paraId="4B59554B" w14:textId="77777777" w:rsidR="00006C6B" w:rsidRDefault="00006C6B" w:rsidP="00006C6B">
      <w:pPr>
        <w:spacing w:line="360" w:lineRule="auto"/>
        <w:ind w:left="720" w:hanging="360"/>
      </w:pPr>
      <w:r>
        <w:t>Key Differences:</w:t>
      </w:r>
    </w:p>
    <w:p w14:paraId="3D29FAB5" w14:textId="77777777" w:rsidR="00006C6B" w:rsidRDefault="00006C6B" w:rsidP="00006C6B">
      <w:pPr>
        <w:spacing w:line="360" w:lineRule="auto"/>
        <w:ind w:left="720" w:hanging="360"/>
      </w:pPr>
      <w:r>
        <w:t>- Model shows identity influencing both affect AND CARIN criteria directly</w:t>
      </w:r>
    </w:p>
    <w:p w14:paraId="0E83D124" w14:textId="77777777" w:rsidR="00006C6B" w:rsidRDefault="00006C6B" w:rsidP="00006C6B">
      <w:pPr>
        <w:spacing w:line="360" w:lineRule="auto"/>
        <w:ind w:left="720" w:hanging="360"/>
      </w:pPr>
      <w:r>
        <w:t>- Draft (¶7-12) presents more sequential process: affect → judgment</w:t>
      </w:r>
    </w:p>
    <w:p w14:paraId="71FB0E51" w14:textId="77777777" w:rsidR="00006C6B" w:rsidRDefault="00006C6B" w:rsidP="00006C6B">
      <w:pPr>
        <w:spacing w:line="360" w:lineRule="auto"/>
        <w:ind w:left="720" w:hanging="360"/>
      </w:pPr>
      <w:r>
        <w:t>- Model suggests integrated process; draft suggests dual-process</w:t>
      </w:r>
    </w:p>
    <w:p w14:paraId="47613B20" w14:textId="77777777" w:rsidR="00006C6B" w:rsidRDefault="00006C6B" w:rsidP="00006C6B">
      <w:pPr>
        <w:spacing w:line="360" w:lineRule="auto"/>
        <w:ind w:left="720" w:hanging="360"/>
      </w:pPr>
      <w:r>
        <w:lastRenderedPageBreak/>
        <w:t>- Model emphasizes identity more centrally than draft</w:t>
      </w:r>
    </w:p>
    <w:p w14:paraId="782624A5" w14:textId="77777777" w:rsidR="00006C6B" w:rsidRDefault="00006C6B" w:rsidP="00006C6B">
      <w:pPr>
        <w:spacing w:line="360" w:lineRule="auto"/>
        <w:ind w:left="720" w:hanging="360"/>
      </w:pPr>
    </w:p>
    <w:p w14:paraId="6A58CEF7" w14:textId="77777777" w:rsidR="00006C6B" w:rsidRDefault="00006C6B" w:rsidP="00006C6B">
      <w:pPr>
        <w:spacing w:line="360" w:lineRule="auto"/>
        <w:ind w:left="720" w:hanging="360"/>
      </w:pPr>
      <w:r>
        <w:t>Important Tension:</w:t>
      </w:r>
    </w:p>
    <w:p w14:paraId="5FB43DC8" w14:textId="6C08D1B0" w:rsidR="00006C6B" w:rsidRDefault="00006C6B" w:rsidP="00006C6B">
      <w:pPr>
        <w:spacing w:line="360" w:lineRule="auto"/>
        <w:ind w:left="720" w:hanging="360"/>
      </w:pPr>
      <w:r>
        <w:t>Are these separate processes (reaction then judgment) or integrated processes where affect/identity continuously shape evaluation?</w:t>
      </w:r>
    </w:p>
    <w:p w14:paraId="5869C840" w14:textId="77777777" w:rsidR="00916920" w:rsidRDefault="00916920" w:rsidP="00916920">
      <w:pPr>
        <w:spacing w:line="360" w:lineRule="auto"/>
        <w:ind w:left="720" w:hanging="360"/>
      </w:pPr>
    </w:p>
    <w:p w14:paraId="34EDAC60" w14:textId="3140D581" w:rsidR="00006C6B" w:rsidRDefault="00006C6B" w:rsidP="00916920">
      <w:pPr>
        <w:spacing w:line="360" w:lineRule="auto"/>
        <w:ind w:left="720" w:hanging="360"/>
      </w:pPr>
      <w:r>
        <w:t>Model vs. Q&amp;A</w:t>
      </w:r>
    </w:p>
    <w:p w14:paraId="17F8DF52" w14:textId="77777777" w:rsidR="00006C6B" w:rsidRDefault="00006C6B" w:rsidP="00006C6B">
      <w:pPr>
        <w:spacing w:line="360" w:lineRule="auto"/>
        <w:ind w:left="720" w:hanging="360"/>
      </w:pPr>
      <w:r>
        <w:t>Key Differences:</w:t>
      </w:r>
    </w:p>
    <w:p w14:paraId="419C0A28" w14:textId="77777777" w:rsidR="00006C6B" w:rsidRDefault="00006C6B" w:rsidP="00006C6B">
      <w:pPr>
        <w:spacing w:line="360" w:lineRule="auto"/>
        <w:ind w:left="720" w:hanging="360"/>
      </w:pPr>
      <w:r>
        <w:t>- Q&amp;A provides richer theory about disgust-dehumanization relationship ("self-reinforcing")</w:t>
      </w:r>
    </w:p>
    <w:p w14:paraId="1A3E714E" w14:textId="77777777" w:rsidR="00006C6B" w:rsidRDefault="00006C6B" w:rsidP="00006C6B">
      <w:pPr>
        <w:spacing w:line="360" w:lineRule="auto"/>
        <w:ind w:left="720" w:hanging="360"/>
      </w:pPr>
      <w:r>
        <w:t>- Model doesn't capture feedback loops emphasized in Q&amp;A</w:t>
      </w:r>
    </w:p>
    <w:p w14:paraId="688D8FD4" w14:textId="77777777" w:rsidR="00006C6B" w:rsidRDefault="00006C6B" w:rsidP="00006C6B">
      <w:pPr>
        <w:spacing w:line="360" w:lineRule="auto"/>
        <w:ind w:left="720" w:hanging="360"/>
      </w:pPr>
      <w:r>
        <w:t>- Q&amp;A has stronger racial attitude component than model shows</w:t>
      </w:r>
    </w:p>
    <w:p w14:paraId="19D3B7B2" w14:textId="77777777" w:rsidR="00006C6B" w:rsidRDefault="00006C6B" w:rsidP="00006C6B">
      <w:pPr>
        <w:spacing w:line="360" w:lineRule="auto"/>
        <w:ind w:left="720" w:hanging="360"/>
      </w:pPr>
      <w:r>
        <w:t>- Q&amp;A discusses experience effects more complexly than model represents</w:t>
      </w:r>
    </w:p>
    <w:p w14:paraId="6A3AEEEB" w14:textId="77777777" w:rsidR="00006C6B" w:rsidRDefault="00006C6B" w:rsidP="00006C6B">
      <w:pPr>
        <w:spacing w:line="360" w:lineRule="auto"/>
        <w:ind w:left="720" w:hanging="360"/>
      </w:pPr>
    </w:p>
    <w:p w14:paraId="71ECA39B" w14:textId="77777777" w:rsidR="00006C6B" w:rsidRDefault="00006C6B" w:rsidP="00006C6B">
      <w:pPr>
        <w:spacing w:line="360" w:lineRule="auto"/>
        <w:ind w:left="720" w:hanging="360"/>
      </w:pPr>
      <w:r>
        <w:t>Important Tension:</w:t>
      </w:r>
    </w:p>
    <w:p w14:paraId="4977121C" w14:textId="1E4D6347" w:rsidR="00006C6B" w:rsidRDefault="00006C6B" w:rsidP="00006C6B">
      <w:pPr>
        <w:spacing w:line="360" w:lineRule="auto"/>
        <w:ind w:left="720" w:hanging="360"/>
      </w:pPr>
      <w:r>
        <w:t>How to represent dynamic/recursive relationships in a clearer theoretical framework?</w:t>
      </w:r>
    </w:p>
    <w:p w14:paraId="69310DDA" w14:textId="77777777" w:rsidR="00006C6B" w:rsidRDefault="00006C6B" w:rsidP="00916920">
      <w:pPr>
        <w:spacing w:line="360" w:lineRule="auto"/>
        <w:ind w:left="720" w:hanging="360"/>
      </w:pPr>
    </w:p>
    <w:p w14:paraId="179F33F4" w14:textId="52868DA9" w:rsidR="00006C6B" w:rsidRDefault="00006C6B" w:rsidP="00916920">
      <w:pPr>
        <w:spacing w:line="360" w:lineRule="auto"/>
        <w:ind w:left="720" w:hanging="360"/>
      </w:pPr>
      <w:r>
        <w:t>Draft vs. Q&amp;A</w:t>
      </w:r>
    </w:p>
    <w:p w14:paraId="772D21D5" w14:textId="77777777" w:rsidR="00006C6B" w:rsidRDefault="00006C6B" w:rsidP="00006C6B">
      <w:pPr>
        <w:spacing w:line="360" w:lineRule="auto"/>
        <w:ind w:left="720" w:hanging="360"/>
      </w:pPr>
      <w:r>
        <w:t>Key Differences:</w:t>
      </w:r>
    </w:p>
    <w:p w14:paraId="1977D22E" w14:textId="77777777" w:rsidR="00006C6B" w:rsidRDefault="00006C6B" w:rsidP="00006C6B">
      <w:pPr>
        <w:spacing w:line="360" w:lineRule="auto"/>
        <w:ind w:left="720" w:hanging="360"/>
      </w:pPr>
      <w:r>
        <w:t>- Q&amp;A offers more specific mechanisms for experience effects</w:t>
      </w:r>
    </w:p>
    <w:p w14:paraId="24C6F479" w14:textId="77777777" w:rsidR="00006C6B" w:rsidRDefault="00006C6B" w:rsidP="00006C6B">
      <w:pPr>
        <w:spacing w:line="360" w:lineRule="auto"/>
        <w:ind w:left="720" w:hanging="360"/>
      </w:pPr>
      <w:r>
        <w:t>- Draft emphasizes policy implications more</w:t>
      </w:r>
    </w:p>
    <w:p w14:paraId="7F9D7D8D" w14:textId="77777777" w:rsidR="00006C6B" w:rsidRDefault="00006C6B" w:rsidP="00006C6B">
      <w:pPr>
        <w:spacing w:line="360" w:lineRule="auto"/>
        <w:ind w:left="720" w:hanging="360"/>
      </w:pPr>
      <w:r>
        <w:t>- Q&amp;A provides more concrete theory about racial attitudes</w:t>
      </w:r>
    </w:p>
    <w:p w14:paraId="57E681E2" w14:textId="77777777" w:rsidR="00006C6B" w:rsidRDefault="00006C6B" w:rsidP="00006C6B">
      <w:pPr>
        <w:spacing w:line="360" w:lineRule="auto"/>
        <w:ind w:left="720" w:hanging="360"/>
      </w:pPr>
      <w:r>
        <w:t>- Draft focuses more on democratic rights implications</w:t>
      </w:r>
    </w:p>
    <w:p w14:paraId="41119816" w14:textId="77777777" w:rsidR="00006C6B" w:rsidRDefault="00006C6B" w:rsidP="00006C6B">
      <w:pPr>
        <w:spacing w:line="360" w:lineRule="auto"/>
        <w:ind w:left="720" w:hanging="360"/>
      </w:pPr>
    </w:p>
    <w:p w14:paraId="5B046DCA" w14:textId="77777777" w:rsidR="00006C6B" w:rsidRDefault="00006C6B" w:rsidP="00006C6B">
      <w:pPr>
        <w:spacing w:line="360" w:lineRule="auto"/>
        <w:ind w:left="720" w:hanging="360"/>
      </w:pPr>
      <w:r>
        <w:t>Important Tension:</w:t>
      </w:r>
    </w:p>
    <w:p w14:paraId="2DE0C014" w14:textId="53F4CA81" w:rsidR="00006C6B" w:rsidRDefault="00006C6B" w:rsidP="00006C6B">
      <w:pPr>
        <w:spacing w:line="360" w:lineRule="auto"/>
        <w:ind w:left="720" w:hanging="360"/>
      </w:pPr>
      <w:r>
        <w:t>How to integrate the micro-level psychological mechanisms with macro-level policy implications?</w:t>
      </w:r>
    </w:p>
    <w:p w14:paraId="78E144C9" w14:textId="77777777" w:rsidR="00006C6B" w:rsidRDefault="00006C6B" w:rsidP="00916920">
      <w:pPr>
        <w:spacing w:line="360" w:lineRule="auto"/>
        <w:ind w:left="720" w:hanging="360"/>
      </w:pPr>
    </w:p>
    <w:p w14:paraId="59A8DA4F" w14:textId="77777777" w:rsidR="00006C6B" w:rsidRDefault="00006C6B" w:rsidP="00006C6B">
      <w:pPr>
        <w:pStyle w:val="whitespace-pre-wrap"/>
        <w:rPr>
          <w:color w:val="000000"/>
        </w:rPr>
      </w:pPr>
      <w:r>
        <w:rPr>
          <w:color w:val="000000"/>
        </w:rPr>
        <w:t>CORE QUESTIONS TO RESOLVE:</w:t>
      </w:r>
    </w:p>
    <w:p w14:paraId="3DCBE310" w14:textId="77777777" w:rsidR="00006C6B" w:rsidRDefault="00006C6B" w:rsidP="00006C6B">
      <w:pPr>
        <w:pStyle w:val="whitespace-normal"/>
        <w:numPr>
          <w:ilvl w:val="0"/>
          <w:numId w:val="3"/>
        </w:numPr>
        <w:rPr>
          <w:color w:val="000000"/>
        </w:rPr>
      </w:pPr>
      <w:r>
        <w:rPr>
          <w:color w:val="000000"/>
        </w:rPr>
        <w:t>Process Structure</w:t>
      </w:r>
    </w:p>
    <w:p w14:paraId="51D2B8E6" w14:textId="77777777" w:rsidR="00006C6B" w:rsidRDefault="00006C6B" w:rsidP="00006C6B">
      <w:pPr>
        <w:pStyle w:val="whitespace-normal"/>
        <w:numPr>
          <w:ilvl w:val="0"/>
          <w:numId w:val="4"/>
        </w:numPr>
        <w:rPr>
          <w:color w:val="000000"/>
        </w:rPr>
      </w:pPr>
      <w:r>
        <w:rPr>
          <w:color w:val="000000"/>
        </w:rPr>
        <w:t>Is this truly a dual process or more integrated?</w:t>
      </w:r>
    </w:p>
    <w:p w14:paraId="1C0C3276" w14:textId="77777777" w:rsidR="00006C6B" w:rsidRDefault="00006C6B" w:rsidP="00006C6B">
      <w:pPr>
        <w:pStyle w:val="whitespace-normal"/>
        <w:numPr>
          <w:ilvl w:val="0"/>
          <w:numId w:val="4"/>
        </w:numPr>
        <w:rPr>
          <w:color w:val="000000"/>
        </w:rPr>
      </w:pPr>
      <w:r>
        <w:rPr>
          <w:color w:val="000000"/>
        </w:rPr>
        <w:lastRenderedPageBreak/>
        <w:t>How do we represent feedback loops?</w:t>
      </w:r>
    </w:p>
    <w:p w14:paraId="1AF8A9B8" w14:textId="77777777" w:rsidR="00006C6B" w:rsidRDefault="00006C6B" w:rsidP="00006C6B">
      <w:pPr>
        <w:pStyle w:val="whitespace-normal"/>
        <w:numPr>
          <w:ilvl w:val="0"/>
          <w:numId w:val="4"/>
        </w:numPr>
        <w:rPr>
          <w:color w:val="000000"/>
        </w:rPr>
      </w:pPr>
      <w:r>
        <w:rPr>
          <w:color w:val="000000"/>
        </w:rPr>
        <w:t>Where exactly does experience intervene?</w:t>
      </w:r>
    </w:p>
    <w:p w14:paraId="5093AAF2" w14:textId="77777777" w:rsidR="00006C6B" w:rsidRDefault="00006C6B" w:rsidP="00006C6B">
      <w:pPr>
        <w:pStyle w:val="whitespace-normal"/>
        <w:numPr>
          <w:ilvl w:val="0"/>
          <w:numId w:val="5"/>
        </w:numPr>
        <w:rPr>
          <w:color w:val="000000"/>
        </w:rPr>
      </w:pPr>
      <w:r>
        <w:rPr>
          <w:color w:val="000000"/>
        </w:rPr>
        <w:t>Identity Role</w:t>
      </w:r>
    </w:p>
    <w:p w14:paraId="4C11DB1B" w14:textId="77777777" w:rsidR="00006C6B" w:rsidRDefault="00006C6B" w:rsidP="00006C6B">
      <w:pPr>
        <w:pStyle w:val="whitespace-normal"/>
        <w:numPr>
          <w:ilvl w:val="0"/>
          <w:numId w:val="6"/>
        </w:numPr>
        <w:rPr>
          <w:color w:val="000000"/>
        </w:rPr>
      </w:pPr>
      <w:r>
        <w:rPr>
          <w:color w:val="000000"/>
        </w:rPr>
        <w:t>How central should identity be in the framework?</w:t>
      </w:r>
    </w:p>
    <w:p w14:paraId="640F88CD" w14:textId="77777777" w:rsidR="00006C6B" w:rsidRDefault="00006C6B" w:rsidP="00006C6B">
      <w:pPr>
        <w:pStyle w:val="whitespace-normal"/>
        <w:numPr>
          <w:ilvl w:val="0"/>
          <w:numId w:val="6"/>
        </w:numPr>
        <w:rPr>
          <w:color w:val="000000"/>
        </w:rPr>
      </w:pPr>
      <w:r>
        <w:rPr>
          <w:color w:val="000000"/>
        </w:rPr>
        <w:t>How to connect individual and group identity effects?</w:t>
      </w:r>
    </w:p>
    <w:p w14:paraId="43001330" w14:textId="77777777" w:rsidR="00006C6B" w:rsidRDefault="00006C6B" w:rsidP="00006C6B">
      <w:pPr>
        <w:pStyle w:val="whitespace-normal"/>
        <w:numPr>
          <w:ilvl w:val="0"/>
          <w:numId w:val="6"/>
        </w:numPr>
        <w:rPr>
          <w:color w:val="000000"/>
        </w:rPr>
      </w:pPr>
      <w:r>
        <w:rPr>
          <w:color w:val="000000"/>
        </w:rPr>
        <w:t>How to integrate racial attitudes specifically?</w:t>
      </w:r>
    </w:p>
    <w:p w14:paraId="74ECF5CC" w14:textId="77777777" w:rsidR="00006C6B" w:rsidRDefault="00006C6B" w:rsidP="00006C6B">
      <w:pPr>
        <w:pStyle w:val="whitespace-normal"/>
        <w:numPr>
          <w:ilvl w:val="0"/>
          <w:numId w:val="7"/>
        </w:numPr>
        <w:rPr>
          <w:color w:val="000000"/>
        </w:rPr>
      </w:pPr>
      <w:r>
        <w:rPr>
          <w:color w:val="000000"/>
        </w:rPr>
        <w:t>Mechanism Specification</w:t>
      </w:r>
    </w:p>
    <w:p w14:paraId="419E7963" w14:textId="77777777" w:rsidR="00006C6B" w:rsidRDefault="00006C6B" w:rsidP="00006C6B">
      <w:pPr>
        <w:pStyle w:val="whitespace-normal"/>
        <w:numPr>
          <w:ilvl w:val="0"/>
          <w:numId w:val="8"/>
        </w:numPr>
        <w:rPr>
          <w:color w:val="000000"/>
        </w:rPr>
      </w:pPr>
      <w:r>
        <w:rPr>
          <w:color w:val="000000"/>
        </w:rPr>
        <w:t>How do disgust and dehumanization relate exactly?</w:t>
      </w:r>
    </w:p>
    <w:p w14:paraId="77A3A28E" w14:textId="77777777" w:rsidR="00006C6B" w:rsidRDefault="00006C6B" w:rsidP="00006C6B">
      <w:pPr>
        <w:pStyle w:val="whitespace-normal"/>
        <w:numPr>
          <w:ilvl w:val="0"/>
          <w:numId w:val="8"/>
        </w:numPr>
        <w:rPr>
          <w:color w:val="000000"/>
        </w:rPr>
      </w:pPr>
      <w:r>
        <w:rPr>
          <w:color w:val="000000"/>
        </w:rPr>
        <w:t>What's the relationship between affect and CARIN criteria?</w:t>
      </w:r>
    </w:p>
    <w:p w14:paraId="5BA00863" w14:textId="77777777" w:rsidR="00006C6B" w:rsidRDefault="00006C6B" w:rsidP="00006C6B">
      <w:pPr>
        <w:pStyle w:val="whitespace-normal"/>
        <w:numPr>
          <w:ilvl w:val="0"/>
          <w:numId w:val="8"/>
        </w:numPr>
        <w:rPr>
          <w:color w:val="000000"/>
        </w:rPr>
      </w:pPr>
      <w:r>
        <w:rPr>
          <w:color w:val="000000"/>
        </w:rPr>
        <w:t>How does experience transform these processes?</w:t>
      </w:r>
    </w:p>
    <w:p w14:paraId="402C971E" w14:textId="77777777" w:rsidR="00006C6B" w:rsidRDefault="00006C6B" w:rsidP="00916920">
      <w:pPr>
        <w:spacing w:line="360" w:lineRule="auto"/>
        <w:ind w:left="720" w:hanging="360"/>
      </w:pPr>
    </w:p>
    <w:p w14:paraId="75ADD0FE" w14:textId="77777777" w:rsidR="00006C6B" w:rsidRDefault="00006C6B" w:rsidP="00916920">
      <w:pPr>
        <w:spacing w:line="360" w:lineRule="auto"/>
        <w:ind w:left="720" w:hanging="360"/>
      </w:pPr>
    </w:p>
    <w:p w14:paraId="7A47CC27" w14:textId="77777777" w:rsidR="00006C6B" w:rsidRDefault="00006C6B" w:rsidP="00916920">
      <w:pPr>
        <w:spacing w:line="360" w:lineRule="auto"/>
        <w:ind w:left="720" w:hanging="360"/>
      </w:pPr>
    </w:p>
    <w:p w14:paraId="721633AD" w14:textId="77777777" w:rsidR="00006C6B" w:rsidRDefault="00006C6B" w:rsidP="00916920">
      <w:pPr>
        <w:spacing w:line="360" w:lineRule="auto"/>
        <w:ind w:left="720" w:hanging="360"/>
      </w:pPr>
    </w:p>
    <w:p w14:paraId="425F14F0" w14:textId="77777777" w:rsidR="00006C6B" w:rsidRDefault="00006C6B" w:rsidP="00916920">
      <w:pPr>
        <w:spacing w:line="360" w:lineRule="auto"/>
        <w:ind w:left="720" w:hanging="360"/>
      </w:pPr>
    </w:p>
    <w:p w14:paraId="424D7069" w14:textId="77777777" w:rsidR="00916920" w:rsidRDefault="00916920"/>
    <w:sectPr w:rsidR="009169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E4B3" w14:textId="77777777" w:rsidR="00AB1FDE" w:rsidRDefault="00AB1FDE" w:rsidP="00916920">
      <w:r>
        <w:separator/>
      </w:r>
    </w:p>
  </w:endnote>
  <w:endnote w:type="continuationSeparator" w:id="0">
    <w:p w14:paraId="39953508" w14:textId="77777777" w:rsidR="00AB1FDE" w:rsidRDefault="00AB1FDE" w:rsidP="0091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C874A" w14:textId="77777777" w:rsidR="00AB1FDE" w:rsidRDefault="00AB1FDE" w:rsidP="00916920">
      <w:r>
        <w:separator/>
      </w:r>
    </w:p>
  </w:footnote>
  <w:footnote w:type="continuationSeparator" w:id="0">
    <w:p w14:paraId="112E3E7B" w14:textId="77777777" w:rsidR="00AB1FDE" w:rsidRDefault="00AB1FDE" w:rsidP="00916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2643A"/>
    <w:multiLevelType w:val="multilevel"/>
    <w:tmpl w:val="A7DAF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7805F0"/>
    <w:multiLevelType w:val="multilevel"/>
    <w:tmpl w:val="EA0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C113D"/>
    <w:multiLevelType w:val="multilevel"/>
    <w:tmpl w:val="0A1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316D9"/>
    <w:multiLevelType w:val="multilevel"/>
    <w:tmpl w:val="57389B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F87A69"/>
    <w:multiLevelType w:val="multilevel"/>
    <w:tmpl w:val="B15C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F1DD0"/>
    <w:multiLevelType w:val="multilevel"/>
    <w:tmpl w:val="E24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C7AA5"/>
    <w:multiLevelType w:val="hybridMultilevel"/>
    <w:tmpl w:val="DF3CAABE"/>
    <w:lvl w:ilvl="0" w:tplc="A3F8D730">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389997">
    <w:abstractNumId w:val="1"/>
  </w:num>
  <w:num w:numId="2" w16cid:durableId="2022732206">
    <w:abstractNumId w:val="7"/>
  </w:num>
  <w:num w:numId="3" w16cid:durableId="57213424">
    <w:abstractNumId w:val="5"/>
  </w:num>
  <w:num w:numId="4" w16cid:durableId="1193228501">
    <w:abstractNumId w:val="6"/>
  </w:num>
  <w:num w:numId="5" w16cid:durableId="1359619599">
    <w:abstractNumId w:val="0"/>
  </w:num>
  <w:num w:numId="6" w16cid:durableId="246768728">
    <w:abstractNumId w:val="3"/>
  </w:num>
  <w:num w:numId="7" w16cid:durableId="1688828146">
    <w:abstractNumId w:val="4"/>
  </w:num>
  <w:num w:numId="8" w16cid:durableId="457989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20"/>
    <w:rsid w:val="00006C6B"/>
    <w:rsid w:val="002C148B"/>
    <w:rsid w:val="004711D1"/>
    <w:rsid w:val="00702D5C"/>
    <w:rsid w:val="00916920"/>
    <w:rsid w:val="00AB1FDE"/>
    <w:rsid w:val="00AD0D7A"/>
    <w:rsid w:val="00BD1087"/>
    <w:rsid w:val="00E86F13"/>
    <w:rsid w:val="00F2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0413E"/>
  <w15:chartTrackingRefBased/>
  <w15:docId w15:val="{D6D22B71-76BF-2947-BAE2-D594D56A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2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6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9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9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9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9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920"/>
    <w:rPr>
      <w:rFonts w:eastAsiaTheme="majorEastAsia" w:cstheme="majorBidi"/>
      <w:color w:val="272727" w:themeColor="text1" w:themeTint="D8"/>
    </w:rPr>
  </w:style>
  <w:style w:type="paragraph" w:styleId="Title">
    <w:name w:val="Title"/>
    <w:basedOn w:val="Normal"/>
    <w:next w:val="Normal"/>
    <w:link w:val="TitleChar"/>
    <w:uiPriority w:val="10"/>
    <w:qFormat/>
    <w:rsid w:val="009169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920"/>
    <w:pPr>
      <w:spacing w:before="160"/>
      <w:jc w:val="center"/>
    </w:pPr>
    <w:rPr>
      <w:i/>
      <w:iCs/>
      <w:color w:val="404040" w:themeColor="text1" w:themeTint="BF"/>
    </w:rPr>
  </w:style>
  <w:style w:type="character" w:customStyle="1" w:styleId="QuoteChar">
    <w:name w:val="Quote Char"/>
    <w:basedOn w:val="DefaultParagraphFont"/>
    <w:link w:val="Quote"/>
    <w:uiPriority w:val="29"/>
    <w:rsid w:val="00916920"/>
    <w:rPr>
      <w:i/>
      <w:iCs/>
      <w:color w:val="404040" w:themeColor="text1" w:themeTint="BF"/>
    </w:rPr>
  </w:style>
  <w:style w:type="paragraph" w:styleId="ListParagraph">
    <w:name w:val="List Paragraph"/>
    <w:basedOn w:val="Normal"/>
    <w:uiPriority w:val="1"/>
    <w:qFormat/>
    <w:rsid w:val="00916920"/>
    <w:pPr>
      <w:ind w:left="720"/>
      <w:contextualSpacing/>
    </w:pPr>
  </w:style>
  <w:style w:type="character" w:styleId="IntenseEmphasis">
    <w:name w:val="Intense Emphasis"/>
    <w:basedOn w:val="DefaultParagraphFont"/>
    <w:uiPriority w:val="21"/>
    <w:qFormat/>
    <w:rsid w:val="00916920"/>
    <w:rPr>
      <w:i/>
      <w:iCs/>
      <w:color w:val="0F4761" w:themeColor="accent1" w:themeShade="BF"/>
    </w:rPr>
  </w:style>
  <w:style w:type="paragraph" w:styleId="IntenseQuote">
    <w:name w:val="Intense Quote"/>
    <w:basedOn w:val="Normal"/>
    <w:next w:val="Normal"/>
    <w:link w:val="IntenseQuoteChar"/>
    <w:uiPriority w:val="30"/>
    <w:qFormat/>
    <w:rsid w:val="00916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920"/>
    <w:rPr>
      <w:i/>
      <w:iCs/>
      <w:color w:val="0F4761" w:themeColor="accent1" w:themeShade="BF"/>
    </w:rPr>
  </w:style>
  <w:style w:type="character" w:styleId="IntenseReference">
    <w:name w:val="Intense Reference"/>
    <w:basedOn w:val="DefaultParagraphFont"/>
    <w:uiPriority w:val="32"/>
    <w:qFormat/>
    <w:rsid w:val="00916920"/>
    <w:rPr>
      <w:b/>
      <w:bCs/>
      <w:smallCaps/>
      <w:color w:val="0F4761" w:themeColor="accent1" w:themeShade="BF"/>
      <w:spacing w:val="5"/>
    </w:rPr>
  </w:style>
  <w:style w:type="paragraph" w:styleId="FootnoteText">
    <w:name w:val="footnote text"/>
    <w:basedOn w:val="Normal"/>
    <w:link w:val="FootnoteTextChar"/>
    <w:uiPriority w:val="99"/>
    <w:semiHidden/>
    <w:unhideWhenUsed/>
    <w:rsid w:val="00916920"/>
    <w:rPr>
      <w:sz w:val="20"/>
      <w:szCs w:val="20"/>
    </w:rPr>
  </w:style>
  <w:style w:type="character" w:customStyle="1" w:styleId="FootnoteTextChar">
    <w:name w:val="Footnote Text Char"/>
    <w:basedOn w:val="DefaultParagraphFont"/>
    <w:link w:val="FootnoteText"/>
    <w:uiPriority w:val="99"/>
    <w:semiHidden/>
    <w:rsid w:val="0091692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16920"/>
    <w:rPr>
      <w:vertAlign w:val="superscript"/>
    </w:rPr>
  </w:style>
  <w:style w:type="paragraph" w:customStyle="1" w:styleId="whitespace-pre-wrap">
    <w:name w:val="whitespace-pre-wrap"/>
    <w:basedOn w:val="Normal"/>
    <w:rsid w:val="00916920"/>
    <w:pPr>
      <w:spacing w:before="100" w:beforeAutospacing="1" w:after="100" w:afterAutospacing="1"/>
    </w:pPr>
  </w:style>
  <w:style w:type="character" w:customStyle="1" w:styleId="apple-converted-space">
    <w:name w:val="apple-converted-space"/>
    <w:basedOn w:val="DefaultParagraphFont"/>
    <w:rsid w:val="00916920"/>
  </w:style>
  <w:style w:type="paragraph" w:customStyle="1" w:styleId="whitespace-normal">
    <w:name w:val="whitespace-normal"/>
    <w:basedOn w:val="Normal"/>
    <w:rsid w:val="00006C6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9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2024-12-29T05:46:00Z</dcterms:created>
  <dcterms:modified xsi:type="dcterms:W3CDTF">2024-12-30T23:00:00Z</dcterms:modified>
</cp:coreProperties>
</file>