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FDDD" w14:textId="77777777" w:rsidR="00CA737A" w:rsidRPr="00CA737A" w:rsidRDefault="00CA737A" w:rsidP="00CA737A">
      <w:pPr>
        <w:spacing w:before="100" w:beforeAutospacing="1" w:after="100" w:afterAutospacing="1"/>
        <w:outlineLvl w:val="1"/>
        <w:rPr>
          <w:rFonts w:ascii="Times New Roman" w:hAnsi="Times New Roman"/>
          <w:b/>
          <w:bCs/>
          <w:kern w:val="0"/>
          <w:sz w:val="36"/>
          <w:szCs w:val="36"/>
          <w14:ligatures w14:val="none"/>
        </w:rPr>
      </w:pPr>
      <w:r w:rsidRPr="00CA737A">
        <w:rPr>
          <w:rFonts w:ascii="Times New Roman" w:hAnsi="Times New Roman"/>
          <w:b/>
          <w:bCs/>
          <w:kern w:val="0"/>
          <w:sz w:val="36"/>
          <w:szCs w:val="36"/>
          <w14:ligatures w14:val="none"/>
        </w:rPr>
        <w:t>Affect and Identity in Carceral Contexts</w:t>
      </w:r>
    </w:p>
    <w:p w14:paraId="1D87DB95"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However, I argue that perceptions of carceral citizens' deservingness operate through fundamentally different mechanisms than those previously studied. While CARIN criteria assume an initial question of whether to help potential reciprocators, the carceral context begins with a pre-determined "deviant" status that triggers distinct affective and cognitive processes.</w:t>
      </w:r>
    </w:p>
    <w:p w14:paraId="7FFFA3DD" w14:textId="77777777" w:rsidR="00CA737A" w:rsidRPr="00CA737A" w:rsidRDefault="00CA737A" w:rsidP="00CA737A">
      <w:pPr>
        <w:spacing w:before="100" w:beforeAutospacing="1" w:after="100" w:afterAutospacing="1"/>
        <w:outlineLvl w:val="2"/>
        <w:rPr>
          <w:rFonts w:ascii="Times New Roman" w:hAnsi="Times New Roman"/>
          <w:b/>
          <w:bCs/>
          <w:kern w:val="0"/>
          <w:sz w:val="27"/>
          <w:szCs w:val="27"/>
          <w14:ligatures w14:val="none"/>
        </w:rPr>
      </w:pPr>
      <w:r w:rsidRPr="00CA737A">
        <w:rPr>
          <w:rFonts w:ascii="Times New Roman" w:hAnsi="Times New Roman"/>
          <w:b/>
          <w:bCs/>
          <w:kern w:val="0"/>
          <w:sz w:val="27"/>
          <w:szCs w:val="27"/>
          <w14:ligatures w14:val="none"/>
        </w:rPr>
        <w:t>The Primacy of Affect and Dehumanization</w:t>
      </w:r>
    </w:p>
    <w:p w14:paraId="0D3E5318"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 xml:space="preserve">The very language used to describe incarcerated people – "criminals," "prisoners," "inmates" – carries information-rich negative connotations that trigger automatic dehumanization (Fincher and Tetlock 2016). This labeling may override traditional CARIN considerations through near-automatic disgust responses and stereotypes about aggression (Rozin et al. 2008), incompetence, and coldness (Fiske et al. 2002). Dehumanization operates both through explicit denial of human attributes and through more subtle processes of delegitimization and moral exclusion (Haslam 2006; </w:t>
      </w:r>
      <w:proofErr w:type="spellStart"/>
      <w:r w:rsidRPr="00CA737A">
        <w:rPr>
          <w:rFonts w:ascii="Times New Roman" w:hAnsi="Times New Roman"/>
          <w:kern w:val="0"/>
          <w:sz w:val="24"/>
          <w14:ligatures w14:val="none"/>
        </w:rPr>
        <w:t>Opotow</w:t>
      </w:r>
      <w:proofErr w:type="spellEnd"/>
      <w:r w:rsidRPr="00CA737A">
        <w:rPr>
          <w:rFonts w:ascii="Times New Roman" w:hAnsi="Times New Roman"/>
          <w:kern w:val="0"/>
          <w:sz w:val="24"/>
          <w14:ligatures w14:val="none"/>
        </w:rPr>
        <w:t xml:space="preserve"> 1990). In the carceral context, this process is particularly potent as the very designation of "criminal" can strip individuals of their perceived capacity for moral agency and complex emotion.</w:t>
      </w:r>
    </w:p>
    <w:p w14:paraId="2B06724C"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The evolutionary roots of moral disgust help explain its unique power in this context – while disgust originally evolved as a defense against physical contamination, it was later co-opted for identifying moral transgressors (Rozin et al. 2008). This creates a self-reinforcing cycle where disgust facilitates dehumanization (</w:t>
      </w:r>
      <w:proofErr w:type="spellStart"/>
      <w:r w:rsidRPr="00CA737A">
        <w:rPr>
          <w:rFonts w:ascii="Times New Roman" w:hAnsi="Times New Roman"/>
          <w:kern w:val="0"/>
          <w:sz w:val="24"/>
          <w14:ligatures w14:val="none"/>
        </w:rPr>
        <w:t>Buckels</w:t>
      </w:r>
      <w:proofErr w:type="spellEnd"/>
      <w:r w:rsidRPr="00CA737A">
        <w:rPr>
          <w:rFonts w:ascii="Times New Roman" w:hAnsi="Times New Roman"/>
          <w:kern w:val="0"/>
          <w:sz w:val="24"/>
          <w14:ligatures w14:val="none"/>
        </w:rPr>
        <w:t xml:space="preserve"> and </w:t>
      </w:r>
      <w:proofErr w:type="spellStart"/>
      <w:r w:rsidRPr="00CA737A">
        <w:rPr>
          <w:rFonts w:ascii="Times New Roman" w:hAnsi="Times New Roman"/>
          <w:kern w:val="0"/>
          <w:sz w:val="24"/>
          <w14:ligatures w14:val="none"/>
        </w:rPr>
        <w:t>Trapnell</w:t>
      </w:r>
      <w:proofErr w:type="spellEnd"/>
      <w:r w:rsidRPr="00CA737A">
        <w:rPr>
          <w:rFonts w:ascii="Times New Roman" w:hAnsi="Times New Roman"/>
          <w:kern w:val="0"/>
          <w:sz w:val="24"/>
          <w14:ligatures w14:val="none"/>
        </w:rPr>
        <w:t xml:space="preserve"> 2013), which in turn intensifies disgust responses. Coupled with public reticence to engage with information that challenges already held beliefs (Bishop 2009), this cycle can make people less willing to consider concepts of need and reciprocity or engage in reflexivity about their own judgments.</w:t>
      </w:r>
    </w:p>
    <w:p w14:paraId="315B9864"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The effects of this moral affect-dehumanization cycle are manifold and self-reinforcing: it generates feelings of moral superiority (Pizarro et al. 2006), reduces interest in mitigating information (Fincher and Tetlock 2016), strengthens prejudicial views (Harris and Fiske 2006), and critically, prompts moral disengagement that can justify harsh treatment (Bandura 1999). These responses inhibit subsequent deliberative processes that might otherwise allow for nuanced evaluation of need, control, or reciprocity potential. The process is particularly evident in how culpability is assigned – studies show that coupled with punitive cultural conditioning, this motivates people to instinctively attribute blame to moral character or "internal wickedness" (Kant 1790; Nisbett and Ross 1980) rather than considering situational factors.</w:t>
      </w:r>
    </w:p>
    <w:p w14:paraId="21F1F272" w14:textId="77777777" w:rsidR="00CA737A" w:rsidRPr="00CA737A" w:rsidRDefault="00CA737A" w:rsidP="00CA737A">
      <w:pPr>
        <w:spacing w:before="100" w:beforeAutospacing="1" w:after="100" w:afterAutospacing="1"/>
        <w:outlineLvl w:val="2"/>
        <w:rPr>
          <w:rFonts w:ascii="Times New Roman" w:hAnsi="Times New Roman"/>
          <w:b/>
          <w:bCs/>
          <w:kern w:val="0"/>
          <w:sz w:val="27"/>
          <w:szCs w:val="27"/>
          <w14:ligatures w14:val="none"/>
        </w:rPr>
      </w:pPr>
      <w:r w:rsidRPr="00CA737A">
        <w:rPr>
          <w:rFonts w:ascii="Times New Roman" w:hAnsi="Times New Roman"/>
          <w:b/>
          <w:bCs/>
          <w:kern w:val="0"/>
          <w:sz w:val="27"/>
          <w:szCs w:val="27"/>
          <w14:ligatures w14:val="none"/>
        </w:rPr>
        <w:t>Identity as Mediating Mechanism: The Triangular Dynamic</w:t>
      </w:r>
    </w:p>
    <w:p w14:paraId="59EEC924"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However, affect and dehumanization alone cannot explain the complex and sometimes contradictory patterns in public support for criminal justice policies (</w:t>
      </w:r>
      <w:proofErr w:type="spellStart"/>
      <w:r w:rsidRPr="00CA737A">
        <w:rPr>
          <w:rFonts w:ascii="Times New Roman" w:hAnsi="Times New Roman"/>
          <w:kern w:val="0"/>
          <w:sz w:val="24"/>
          <w14:ligatures w14:val="none"/>
        </w:rPr>
        <w:t>Schwaeble</w:t>
      </w:r>
      <w:proofErr w:type="spellEnd"/>
      <w:r w:rsidRPr="00CA737A">
        <w:rPr>
          <w:rFonts w:ascii="Times New Roman" w:hAnsi="Times New Roman"/>
          <w:kern w:val="0"/>
          <w:sz w:val="24"/>
          <w14:ligatures w14:val="none"/>
        </w:rPr>
        <w:t xml:space="preserve"> and Sundt 2020). I propose that identity – conceived as a triangular dynamic between perceiver, target group, and policy context – operates as a crucial mediating mechanism that can either reinforce or disrupt the affect-dehumanization cycle.</w:t>
      </w:r>
    </w:p>
    <w:p w14:paraId="38A76017"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This triangular dynamic operates through multiple channels:</w:t>
      </w:r>
    </w:p>
    <w:p w14:paraId="081E2F6C" w14:textId="77777777" w:rsidR="00CA737A" w:rsidRPr="00CA737A" w:rsidRDefault="00CA737A" w:rsidP="00CA737A">
      <w:pPr>
        <w:numPr>
          <w:ilvl w:val="0"/>
          <w:numId w:val="1"/>
        </w:num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lastRenderedPageBreak/>
        <w:t>Traditional in-group consideration (as in CARIN framework)</w:t>
      </w:r>
    </w:p>
    <w:p w14:paraId="090DE647" w14:textId="77777777" w:rsidR="00CA737A" w:rsidRPr="00CA737A" w:rsidRDefault="00CA737A" w:rsidP="00CA737A">
      <w:pPr>
        <w:numPr>
          <w:ilvl w:val="0"/>
          <w:numId w:val="1"/>
        </w:num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Identity of the perceiver (including their direct experience with incarceration)</w:t>
      </w:r>
    </w:p>
    <w:p w14:paraId="7547F36D" w14:textId="77777777" w:rsidR="00CA737A" w:rsidRPr="00CA737A" w:rsidRDefault="00CA737A" w:rsidP="00CA737A">
      <w:pPr>
        <w:numPr>
          <w:ilvl w:val="0"/>
          <w:numId w:val="1"/>
        </w:num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Identity of the target group (including salient subgroup characteristics)</w:t>
      </w:r>
    </w:p>
    <w:p w14:paraId="6452A14B" w14:textId="77777777" w:rsidR="00CA737A" w:rsidRPr="00CA737A" w:rsidRDefault="00CA737A" w:rsidP="00CA737A">
      <w:pPr>
        <w:numPr>
          <w:ilvl w:val="0"/>
          <w:numId w:val="1"/>
        </w:num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Relational identity between perceiver, target group, and policy context</w:t>
      </w:r>
    </w:p>
    <w:p w14:paraId="508525B1" w14:textId="77777777" w:rsidR="00585907" w:rsidRDefault="00585907" w:rsidP="00CA737A">
      <w:pPr>
        <w:spacing w:before="100" w:beforeAutospacing="1" w:after="100" w:afterAutospacing="1"/>
        <w:rPr>
          <w:rFonts w:ascii="Times New Roman" w:hAnsi="Times New Roman"/>
          <w:kern w:val="0"/>
          <w:sz w:val="24"/>
          <w14:ligatures w14:val="none"/>
        </w:rPr>
      </w:pPr>
    </w:p>
    <w:p w14:paraId="0ED2B2CD" w14:textId="77777777" w:rsidR="00585907" w:rsidRDefault="00585907" w:rsidP="00585907">
      <w:pPr>
        <w:spacing w:line="360" w:lineRule="auto"/>
        <w:rPr>
          <w:sz w:val="23"/>
          <w:szCs w:val="23"/>
        </w:rPr>
      </w:pPr>
      <w:r>
        <w:t xml:space="preserve">Race and racial ideology </w:t>
      </w:r>
      <w:proofErr w:type="gramStart"/>
      <w:r>
        <w:t>operates</w:t>
      </w:r>
      <w:proofErr w:type="gramEnd"/>
      <w:r>
        <w:t xml:space="preserve"> in this context in another way, that helps illustrate the forth component of identity in perceptions of carceral deservingness. This component of</w:t>
      </w:r>
      <w:r w:rsidRPr="00CB058D">
        <w:rPr>
          <w:sz w:val="23"/>
          <w:szCs w:val="23"/>
        </w:rPr>
        <w:t xml:space="preserve"> refer</w:t>
      </w:r>
      <w:r>
        <w:rPr>
          <w:sz w:val="23"/>
          <w:szCs w:val="23"/>
        </w:rPr>
        <w:t xml:space="preserve">s to a dialectical relationship between the carceral citizen, the policy object or context in or of which they are perceived as (un)deserving, and the policy evaluator. In this racialized context, perception of deservingness of a policy is informed by whether the ‘dialectic’ maintains or disrupts the evaluator’s sense of social position and moral authority. Policies like prison education, for instance, may receive support from racially prejudiced groups as they allow evaluators to maintain their perceived moral authority and be self-gratifying – akin to “racial tourism” (Bonilla-Silva 2003) or the employment of educational and cultural “improvement” programs in colonial and post-colonial contexts (Fanon 1952, 1961). Such policies may be alternatively seen as “testimony” in Bonilla-Silva’ conception, enabling constructions of ‘non-racism’ predicated only on policies that maintain differentiation. In contrast, policies like California’s rejected pay question or rights-conferring reforms could threaten such arrangements by suggesting the carceral citizen is not a simultaneously demonized and infantilized object of improvement (van Cleeve 2016), but an economic equal, further threatening what Bonilla-Silva describes at the “invisible” nature of privilege (2003). </w:t>
      </w:r>
    </w:p>
    <w:p w14:paraId="44221CFE" w14:textId="77777777" w:rsidR="00585907" w:rsidRDefault="00585907" w:rsidP="00585907">
      <w:pPr>
        <w:spacing w:line="360" w:lineRule="auto"/>
        <w:rPr>
          <w:sz w:val="23"/>
          <w:szCs w:val="23"/>
        </w:rPr>
      </w:pPr>
    </w:p>
    <w:p w14:paraId="6BBF10CA" w14:textId="77777777" w:rsidR="00585907" w:rsidRPr="00803B8D" w:rsidRDefault="00585907" w:rsidP="00585907">
      <w:pPr>
        <w:pStyle w:val="whitespace-pre-wrap"/>
        <w:spacing w:line="360" w:lineRule="auto"/>
        <w:rPr>
          <w:sz w:val="23"/>
          <w:szCs w:val="23"/>
        </w:rPr>
      </w:pPr>
      <w:r>
        <w:rPr>
          <w:sz w:val="23"/>
          <w:szCs w:val="23"/>
        </w:rPr>
        <w:t xml:space="preserve">This triangular dynamic extends beyond race to shape broader patterns of support for criminal justice policies. </w:t>
      </w:r>
      <w:r>
        <w:t xml:space="preserve">The policy object itself - whether education, wages, or voting rights - shapes not only how evaluators perceive need and desert, but what they believe is being asked of them. For instance, supporting education programs might be perceived as requiring only abstract moral support or validation of rehabilitation efforts, while wage equality might be seen as demanding </w:t>
      </w:r>
      <w:r>
        <w:lastRenderedPageBreak/>
        <w:t>material sacrifice or status concession. Similarly, voting rights might be perceived as requiring evaluators to accept formerly incarcerated people as equal democratic participants - a different kind of "ask" than supporting rehabilitative programs that maintain social distance.</w:t>
      </w:r>
      <w:r w:rsidRPr="00803B8D">
        <w:t xml:space="preserve"> </w:t>
      </w:r>
      <w:r>
        <w:t xml:space="preserve">This helps explain why, as </w:t>
      </w:r>
      <w:proofErr w:type="spellStart"/>
      <w:r>
        <w:t>Carlsmith</w:t>
      </w:r>
      <w:proofErr w:type="spellEnd"/>
      <w:r>
        <w:t xml:space="preserve"> et al. (2002) and </w:t>
      </w:r>
      <w:proofErr w:type="spellStart"/>
      <w:r>
        <w:t>Chamberlen</w:t>
      </w:r>
      <w:proofErr w:type="spellEnd"/>
      <w:r>
        <w:t xml:space="preserve"> (2017) observe, people appear more utilitarian and rehabilitation-oriented in "temporally distant" or general settings, but retributive in proximate situations. The perceived "ask" becomes more concrete and potentially threatening as policies move from abstract support to specific implementations that might challenge existing hierarchies.</w:t>
      </w:r>
    </w:p>
    <w:p w14:paraId="1BF41164" w14:textId="77777777" w:rsidR="00585907" w:rsidRDefault="00585907" w:rsidP="00585907">
      <w:pPr>
        <w:pStyle w:val="whitespace-pre-wrap"/>
        <w:spacing w:line="360" w:lineRule="auto"/>
      </w:pPr>
      <w:r>
        <w:t xml:space="preserve">This is particularly salient in debates over democratic rights, where the policy object (voting) lacks the concrete physical or material anchors present in healthcare or economic assistance. Without such clear reference points for "need," the relationship becomes more abstract, allowing affect to dominate the evaluation process. </w:t>
      </w:r>
      <w:r w:rsidRPr="00786A24">
        <w:rPr>
          <w:sz w:val="23"/>
          <w:szCs w:val="23"/>
        </w:rPr>
        <w:t xml:space="preserve">Instead, while strong beliefs about democratic rights likely inform beliefs about whether and which carceral citizens deserve rights, I expect that they do so </w:t>
      </w:r>
      <w:r>
        <w:rPr>
          <w:sz w:val="23"/>
          <w:szCs w:val="23"/>
        </w:rPr>
        <w:t xml:space="preserve">only if they are emotively-grounded – as in the case of framing incarcerated voting in terms of duty, which recently appeared the most publicly-persuasive framing (Sentencing Project 2022, unpublished). </w:t>
      </w:r>
      <w:r>
        <w:t>For those without direct experience with incarceration, stereotypes about carceral citizens may drive perceptions of reciprocity and affect, explaining why policy elites might assume voting is simply not important to carceral citizens.</w:t>
      </w:r>
    </w:p>
    <w:p w14:paraId="6F0294B0" w14:textId="77777777" w:rsidR="00585907" w:rsidRDefault="00585907" w:rsidP="00CA737A">
      <w:pPr>
        <w:spacing w:before="100" w:beforeAutospacing="1" w:after="100" w:afterAutospacing="1"/>
        <w:rPr>
          <w:rFonts w:ascii="Times New Roman" w:hAnsi="Times New Roman"/>
          <w:kern w:val="0"/>
          <w:sz w:val="24"/>
          <w14:ligatures w14:val="none"/>
        </w:rPr>
      </w:pPr>
    </w:p>
    <w:p w14:paraId="4D4366BE" w14:textId="77777777" w:rsidR="00585907" w:rsidRDefault="00585907" w:rsidP="00CA737A">
      <w:pPr>
        <w:spacing w:before="100" w:beforeAutospacing="1" w:after="100" w:afterAutospacing="1"/>
        <w:rPr>
          <w:rFonts w:ascii="Times New Roman" w:hAnsi="Times New Roman"/>
          <w:kern w:val="0"/>
          <w:sz w:val="24"/>
          <w14:ligatures w14:val="none"/>
        </w:rPr>
      </w:pPr>
    </w:p>
    <w:p w14:paraId="1F9EC697" w14:textId="77777777" w:rsidR="00585907" w:rsidRDefault="00585907" w:rsidP="00CA737A">
      <w:pPr>
        <w:spacing w:before="100" w:beforeAutospacing="1" w:after="100" w:afterAutospacing="1"/>
        <w:rPr>
          <w:rFonts w:ascii="Times New Roman" w:hAnsi="Times New Roman"/>
          <w:kern w:val="0"/>
          <w:sz w:val="24"/>
          <w14:ligatures w14:val="none"/>
        </w:rPr>
      </w:pPr>
    </w:p>
    <w:p w14:paraId="7FC4F46E" w14:textId="77777777" w:rsidR="00585907" w:rsidRDefault="00585907" w:rsidP="00CA737A">
      <w:pPr>
        <w:spacing w:before="100" w:beforeAutospacing="1" w:after="100" w:afterAutospacing="1"/>
        <w:rPr>
          <w:rFonts w:ascii="Times New Roman" w:hAnsi="Times New Roman"/>
          <w:kern w:val="0"/>
          <w:sz w:val="24"/>
          <w14:ligatures w14:val="none"/>
        </w:rPr>
      </w:pPr>
    </w:p>
    <w:p w14:paraId="193B30FA" w14:textId="77777777" w:rsidR="00585907" w:rsidRDefault="00585907" w:rsidP="00CA737A">
      <w:pPr>
        <w:spacing w:before="100" w:beforeAutospacing="1" w:after="100" w:afterAutospacing="1"/>
        <w:rPr>
          <w:rFonts w:ascii="Times New Roman" w:hAnsi="Times New Roman"/>
          <w:kern w:val="0"/>
          <w:sz w:val="24"/>
          <w14:ligatures w14:val="none"/>
        </w:rPr>
      </w:pPr>
    </w:p>
    <w:p w14:paraId="5102AE76" w14:textId="41E2148D"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The policy context itself – whether education, wages, or voting rights – shapes not only how evaluators perceive need and desert, but what they believe is being asked of them. For instance, supporting education programs might be perceived as requiring only abstract moral support or validation of rehabilitation efforts, while wage equality might be seen as demanding material sacrifice or status concession. Similarly, voting rights might be perceived as requiring evaluators to accept formerly incarcerated people as equal democratic participants - a different kind of "ask" than supporting rehabilitative programs that maintain social distance.</w:t>
      </w:r>
    </w:p>
    <w:p w14:paraId="0DFB977B"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lastRenderedPageBreak/>
        <w:t>This expanded conception of identity helps explain why support varies across different subsets of carceral citizens and policy types. For instance, "incarcerated parents" may evoke different deservingness evaluations by activating identity considerations that countervail initial disgust responses. Similarly, direct experience with incarceration – whether personal or through social networks – may fundamentally alter both immediate affective responses and subsequent evaluations by providing concrete rather than abstract understanding of both the carceral citizen and the implications of specific policies.</w:t>
      </w:r>
    </w:p>
    <w:p w14:paraId="07EF106B" w14:textId="77777777" w:rsidR="00CA737A" w:rsidRPr="00CA737A" w:rsidRDefault="00CA737A" w:rsidP="00CA737A">
      <w:pPr>
        <w:spacing w:before="100" w:beforeAutospacing="1" w:after="100" w:afterAutospacing="1"/>
        <w:outlineLvl w:val="1"/>
        <w:rPr>
          <w:rFonts w:ascii="Times New Roman" w:hAnsi="Times New Roman"/>
          <w:b/>
          <w:bCs/>
          <w:kern w:val="0"/>
          <w:sz w:val="36"/>
          <w:szCs w:val="36"/>
          <w14:ligatures w14:val="none"/>
        </w:rPr>
      </w:pPr>
      <w:r w:rsidRPr="00CA737A">
        <w:rPr>
          <w:rFonts w:ascii="Times New Roman" w:hAnsi="Times New Roman"/>
          <w:b/>
          <w:bCs/>
          <w:kern w:val="0"/>
          <w:sz w:val="36"/>
          <w:szCs w:val="36"/>
          <w14:ligatures w14:val="none"/>
        </w:rPr>
        <w:t>The Role of Race and Political Identity</w:t>
      </w:r>
    </w:p>
    <w:p w14:paraId="79559E54"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These affect and identity mechanisms operate within a deeply racialized context. The American carceral system represents a case of racial disproportionality and decentralization that fundamentally links punishment and race (Michener 2018; Alexander 2010). Racial attitudes shape perceptions of culpability across policy domains, with Black individuals consistently judged as more responsible for negative circumstances than whites (</w:t>
      </w:r>
      <w:proofErr w:type="spellStart"/>
      <w:r w:rsidRPr="00CA737A">
        <w:rPr>
          <w:rFonts w:ascii="Times New Roman" w:hAnsi="Times New Roman"/>
          <w:kern w:val="0"/>
          <w:sz w:val="24"/>
          <w14:ligatures w14:val="none"/>
        </w:rPr>
        <w:t>Aaroe</w:t>
      </w:r>
      <w:proofErr w:type="spellEnd"/>
      <w:r w:rsidRPr="00CA737A">
        <w:rPr>
          <w:rFonts w:ascii="Times New Roman" w:hAnsi="Times New Roman"/>
          <w:kern w:val="0"/>
          <w:sz w:val="24"/>
          <w14:ligatures w14:val="none"/>
        </w:rPr>
        <w:t xml:space="preserve"> and Peterson 2014; Israel-</w:t>
      </w:r>
      <w:proofErr w:type="spellStart"/>
      <w:r w:rsidRPr="00CA737A">
        <w:rPr>
          <w:rFonts w:ascii="Times New Roman" w:hAnsi="Times New Roman"/>
          <w:kern w:val="0"/>
          <w:sz w:val="24"/>
          <w14:ligatures w14:val="none"/>
        </w:rPr>
        <w:t>Trummel</w:t>
      </w:r>
      <w:proofErr w:type="spellEnd"/>
      <w:r w:rsidRPr="00CA737A">
        <w:rPr>
          <w:rFonts w:ascii="Times New Roman" w:hAnsi="Times New Roman"/>
          <w:kern w:val="0"/>
          <w:sz w:val="24"/>
          <w14:ligatures w14:val="none"/>
        </w:rPr>
        <w:t xml:space="preserve"> and Streeter 2021). These racialized perceptions are reinforced through media representation and institutional outcomes that overrepresent people of color as perpetrators and whites as victims (</w:t>
      </w:r>
      <w:proofErr w:type="spellStart"/>
      <w:r w:rsidRPr="00CA737A">
        <w:rPr>
          <w:rFonts w:ascii="Times New Roman" w:hAnsi="Times New Roman"/>
          <w:kern w:val="0"/>
          <w:sz w:val="24"/>
          <w14:ligatures w14:val="none"/>
        </w:rPr>
        <w:t>Ghandnoosh</w:t>
      </w:r>
      <w:proofErr w:type="spellEnd"/>
      <w:r w:rsidRPr="00CA737A">
        <w:rPr>
          <w:rFonts w:ascii="Times New Roman" w:hAnsi="Times New Roman"/>
          <w:kern w:val="0"/>
          <w:sz w:val="24"/>
          <w14:ligatures w14:val="none"/>
        </w:rPr>
        <w:t xml:space="preserve"> 2014).</w:t>
      </w:r>
    </w:p>
    <w:p w14:paraId="64A7E4F7"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Political identity similarly shapes these perceptions, though in ways that may vary from other policy domains. While Republicans and conservatives generally hold more punitive beliefs (Enns 2016), emerging evidence suggests Democrats' opposition to carceral rights may stem more from "culture of control" impulses than pure punitiveness (</w:t>
      </w:r>
      <w:proofErr w:type="spellStart"/>
      <w:r w:rsidRPr="00CA737A">
        <w:rPr>
          <w:rFonts w:ascii="Times New Roman" w:hAnsi="Times New Roman"/>
          <w:kern w:val="0"/>
          <w:sz w:val="24"/>
          <w14:ligatures w14:val="none"/>
        </w:rPr>
        <w:t>Chouhy</w:t>
      </w:r>
      <w:proofErr w:type="spellEnd"/>
      <w:r w:rsidRPr="00CA737A">
        <w:rPr>
          <w:rFonts w:ascii="Times New Roman" w:hAnsi="Times New Roman"/>
          <w:kern w:val="0"/>
          <w:sz w:val="24"/>
          <w14:ligatures w14:val="none"/>
        </w:rPr>
        <w:t xml:space="preserve"> et al. 2022). This complexity highlights the need to examine how different forms of identity – racial, political, and experiential – interact to shape perceptions of deservingness and subsequent policy preferences.</w:t>
      </w:r>
    </w:p>
    <w:p w14:paraId="1807B9AA" w14:textId="77777777" w:rsidR="00CA737A" w:rsidRPr="00CA737A" w:rsidRDefault="00CA737A" w:rsidP="00CA737A">
      <w:pPr>
        <w:spacing w:before="100" w:beforeAutospacing="1" w:after="100" w:afterAutospacing="1"/>
        <w:outlineLvl w:val="1"/>
        <w:rPr>
          <w:rFonts w:ascii="Times New Roman" w:hAnsi="Times New Roman"/>
          <w:b/>
          <w:bCs/>
          <w:kern w:val="0"/>
          <w:sz w:val="36"/>
          <w:szCs w:val="36"/>
          <w14:ligatures w14:val="none"/>
        </w:rPr>
      </w:pPr>
      <w:r w:rsidRPr="00CA737A">
        <w:rPr>
          <w:rFonts w:ascii="Times New Roman" w:hAnsi="Times New Roman"/>
          <w:b/>
          <w:bCs/>
          <w:kern w:val="0"/>
          <w:sz w:val="36"/>
          <w:szCs w:val="36"/>
          <w14:ligatures w14:val="none"/>
        </w:rPr>
        <w:t>Direct Experience and Policy Preferences</w:t>
      </w:r>
    </w:p>
    <w:p w14:paraId="7B6A71BE"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Finally, I argue that direct experience with incarceration – whether through personal history, social networks, or victimization – may fundamentally alter both affective responses and subsequent policy preferences. Those with incarcerated family members or friends may have different initial reactions less influenced by dehumanizing stereotypes. Their concrete rather than abstract understanding may also shape how they evaluate need, control, attitude and reciprocity (Lee, Porter, and Comfort 2014; Christian et al. 2019).</w:t>
      </w:r>
    </w:p>
    <w:p w14:paraId="3D9A6EB3" w14:textId="77777777" w:rsidR="00CA737A" w:rsidRPr="00CA737A" w:rsidRDefault="00CA737A" w:rsidP="00CA737A">
      <w:pPr>
        <w:spacing w:before="100" w:beforeAutospacing="1" w:after="100" w:afterAutospacing="1"/>
        <w:rPr>
          <w:rFonts w:ascii="Times New Roman" w:hAnsi="Times New Roman"/>
          <w:kern w:val="0"/>
          <w:sz w:val="24"/>
          <w14:ligatures w14:val="none"/>
        </w:rPr>
      </w:pPr>
      <w:r w:rsidRPr="00CA737A">
        <w:rPr>
          <w:rFonts w:ascii="Times New Roman" w:hAnsi="Times New Roman"/>
          <w:kern w:val="0"/>
          <w:sz w:val="24"/>
          <w14:ligatures w14:val="none"/>
        </w:rPr>
        <w:t xml:space="preserve">This framework suggests several testable implications about how direct experience might moderate the relationship between deservingness perceptions and policy preferences. It also raises important questions about the potential impact of increased descriptive representation of </w:t>
      </w:r>
      <w:proofErr w:type="gramStart"/>
      <w:r w:rsidRPr="00CA737A">
        <w:rPr>
          <w:rFonts w:ascii="Times New Roman" w:hAnsi="Times New Roman"/>
          <w:kern w:val="0"/>
          <w:sz w:val="24"/>
          <w14:ligatures w14:val="none"/>
        </w:rPr>
        <w:t>directly-impacted</w:t>
      </w:r>
      <w:proofErr w:type="gramEnd"/>
      <w:r w:rsidRPr="00CA737A">
        <w:rPr>
          <w:rFonts w:ascii="Times New Roman" w:hAnsi="Times New Roman"/>
          <w:kern w:val="0"/>
          <w:sz w:val="24"/>
          <w14:ligatures w14:val="none"/>
        </w:rPr>
        <w:t xml:space="preserve"> communities in policy-making contexts.</w:t>
      </w:r>
    </w:p>
    <w:p w14:paraId="6895996C" w14:textId="77777777" w:rsidR="00760C6C" w:rsidRDefault="00760C6C"/>
    <w:sectPr w:rsidR="00760C6C"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D78"/>
    <w:multiLevelType w:val="multilevel"/>
    <w:tmpl w:val="24E4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05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7A"/>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C1731"/>
    <w:rsid w:val="000C49C5"/>
    <w:rsid w:val="000D060A"/>
    <w:rsid w:val="000D232F"/>
    <w:rsid w:val="000E0CC4"/>
    <w:rsid w:val="000E2273"/>
    <w:rsid w:val="000F2810"/>
    <w:rsid w:val="000F5217"/>
    <w:rsid w:val="000F7032"/>
    <w:rsid w:val="00102EC1"/>
    <w:rsid w:val="00124849"/>
    <w:rsid w:val="00125217"/>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F484E"/>
    <w:rsid w:val="001F499D"/>
    <w:rsid w:val="001F5B84"/>
    <w:rsid w:val="002054C9"/>
    <w:rsid w:val="00206533"/>
    <w:rsid w:val="002131AE"/>
    <w:rsid w:val="00225F9F"/>
    <w:rsid w:val="00231B05"/>
    <w:rsid w:val="00233885"/>
    <w:rsid w:val="00246E5A"/>
    <w:rsid w:val="00250029"/>
    <w:rsid w:val="00256025"/>
    <w:rsid w:val="00264DA6"/>
    <w:rsid w:val="002679E9"/>
    <w:rsid w:val="00283586"/>
    <w:rsid w:val="00291F8D"/>
    <w:rsid w:val="002A12FD"/>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608B6"/>
    <w:rsid w:val="00466402"/>
    <w:rsid w:val="004711D1"/>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85907"/>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1389E"/>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37A"/>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D0EA4"/>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3805"/>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692A"/>
  <w15:chartTrackingRefBased/>
  <w15:docId w15:val="{64E762EF-FF57-3F4C-8F14-AA6FCC40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CA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unhideWhenUsed/>
    <w:qFormat/>
    <w:rsid w:val="00CA73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3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73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73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73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73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73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CA737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CA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37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A737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A737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A737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A737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A737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A73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3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3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737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CA737A"/>
    <w:rPr>
      <w:i/>
      <w:iCs/>
      <w:color w:val="0F4761" w:themeColor="accent1" w:themeShade="BF"/>
    </w:rPr>
  </w:style>
  <w:style w:type="paragraph" w:styleId="IntenseQuote">
    <w:name w:val="Intense Quote"/>
    <w:basedOn w:val="Normal"/>
    <w:next w:val="Normal"/>
    <w:link w:val="IntenseQuoteChar"/>
    <w:uiPriority w:val="30"/>
    <w:qFormat/>
    <w:rsid w:val="00CA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37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CA737A"/>
    <w:rPr>
      <w:b/>
      <w:bCs/>
      <w:smallCaps/>
      <w:color w:val="0F4761" w:themeColor="accent1" w:themeShade="BF"/>
      <w:spacing w:val="5"/>
    </w:rPr>
  </w:style>
  <w:style w:type="paragraph" w:customStyle="1" w:styleId="whitespace-pre-wrap">
    <w:name w:val="whitespace-pre-wrap"/>
    <w:basedOn w:val="Normal"/>
    <w:rsid w:val="00CA737A"/>
    <w:pPr>
      <w:spacing w:before="100" w:beforeAutospacing="1" w:after="100" w:afterAutospacing="1"/>
    </w:pPr>
    <w:rPr>
      <w:rFonts w:ascii="Times New Roman" w:hAnsi="Times New Roman"/>
      <w:kern w:val="0"/>
      <w:sz w:val="24"/>
      <w14:ligatures w14:val="none"/>
    </w:rPr>
  </w:style>
  <w:style w:type="paragraph" w:customStyle="1" w:styleId="whitespace-normal">
    <w:name w:val="whitespace-normal"/>
    <w:basedOn w:val="Normal"/>
    <w:rsid w:val="00CA737A"/>
    <w:pPr>
      <w:spacing w:before="100" w:beforeAutospacing="1" w:after="100" w:afterAutospacing="1"/>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1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cp:revision>
  <dcterms:created xsi:type="dcterms:W3CDTF">2024-12-30T20:32:00Z</dcterms:created>
  <dcterms:modified xsi:type="dcterms:W3CDTF">2024-12-30T22:55:00Z</dcterms:modified>
</cp:coreProperties>
</file>