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B8C" w:rsidRPr="00732045" w:rsidRDefault="00931C46" w:rsidP="00AC1D92">
      <w:pPr>
        <w:pStyle w:val="Ttulo"/>
        <w:rPr>
          <w:rFonts w:eastAsia="Times New Roman"/>
          <w:color w:val="943634" w:themeColor="accent2" w:themeShade="BF"/>
          <w:sz w:val="48"/>
          <w:szCs w:val="48"/>
          <w:lang w:eastAsia="es-ES"/>
        </w:rPr>
      </w:pPr>
      <w:r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 xml:space="preserve">Alimentación </w:t>
      </w:r>
      <w:proofErr w:type="spellStart"/>
      <w:r w:rsidR="00960B8C"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>Ayurveda</w:t>
      </w:r>
      <w:proofErr w:type="spellEnd"/>
      <w:r w:rsidR="00960B8C" w:rsidRPr="00732045">
        <w:rPr>
          <w:rFonts w:eastAsia="Times New Roman"/>
          <w:color w:val="943634" w:themeColor="accent2" w:themeShade="BF"/>
          <w:sz w:val="48"/>
          <w:szCs w:val="48"/>
          <w:lang w:eastAsia="es-ES"/>
        </w:rPr>
        <w:t xml:space="preserve"> Tradicional</w:t>
      </w:r>
    </w:p>
    <w:p w:rsidR="003D3874" w:rsidRPr="00C666B4" w:rsidRDefault="003D3874" w:rsidP="00414A92">
      <w:pPr>
        <w:spacing w:before="100" w:beforeAutospacing="1" w:after="100" w:afterAutospacing="1" w:line="240" w:lineRule="auto"/>
        <w:rPr>
          <w:rFonts w:asciiTheme="majorHAnsi" w:eastAsia="Times New Roman" w:hAnsiTheme="majorHAnsi" w:cs="Tahoma"/>
          <w:b/>
          <w:bCs/>
          <w:i/>
          <w:color w:val="808080" w:themeColor="background1" w:themeShade="80"/>
          <w:sz w:val="36"/>
          <w:szCs w:val="36"/>
          <w:u w:val="single"/>
          <w:lang w:eastAsia="es-ES"/>
        </w:rPr>
      </w:pPr>
    </w:p>
    <w:p w:rsidR="00C666B4" w:rsidRPr="00AC1D92" w:rsidRDefault="00C666B4" w:rsidP="00C666B4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Módulo 1 – </w:t>
      </w:r>
      <w:r w:rsidR="009F08CD">
        <w:rPr>
          <w:rStyle w:val="nfasissutil"/>
          <w:b/>
          <w:color w:val="0070C0"/>
          <w:sz w:val="36"/>
          <w:szCs w:val="36"/>
        </w:rPr>
        <w:t xml:space="preserve">Bases del </w:t>
      </w:r>
      <w:proofErr w:type="spellStart"/>
      <w:r w:rsidR="009F08CD">
        <w:rPr>
          <w:rStyle w:val="nfasissutil"/>
          <w:b/>
          <w:color w:val="0070C0"/>
          <w:sz w:val="36"/>
          <w:szCs w:val="36"/>
        </w:rPr>
        <w:t>Ayurveda</w:t>
      </w:r>
      <w:proofErr w:type="spellEnd"/>
      <w:r w:rsidR="009F08CD">
        <w:rPr>
          <w:rStyle w:val="nfasissutil"/>
          <w:b/>
          <w:color w:val="0070C0"/>
          <w:sz w:val="36"/>
          <w:szCs w:val="36"/>
        </w:rPr>
        <w:t xml:space="preserve"> I</w:t>
      </w:r>
    </w:p>
    <w:p w:rsidR="003D3874" w:rsidRPr="003D3874" w:rsidRDefault="003D3874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4503"/>
        <w:gridCol w:w="5135"/>
      </w:tblGrid>
      <w:tr w:rsidR="003D3874" w:rsidRPr="004B57D3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C2B61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6C2B61"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AL AYURVEDA´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</w:rPr>
              <w:t>Principios Básicos.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Creación del Universo: Macrocosmos y Microcosmos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ANATOMIA Y FISIOLOGIA AYURVEDA</w:t>
            </w:r>
          </w:p>
          <w:p w:rsidR="003D3874" w:rsidRPr="004138D3" w:rsidRDefault="003D3874" w:rsidP="003D3874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proofErr w:type="spellStart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Panchamahabhootas</w:t>
            </w:r>
            <w:proofErr w:type="spell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. Los 5 elementos</w:t>
            </w:r>
          </w:p>
          <w:p w:rsidR="003D3874" w:rsidRPr="004B57D3" w:rsidRDefault="003D3874" w:rsidP="003D387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Éter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Aakasha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Aire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Vayu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Fuego (Teja)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Tierra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Pruithvi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Agua (</w:t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Aaps</w:t>
            </w:r>
            <w:proofErr w:type="spellEnd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3D3874" w:rsidRDefault="003D3874" w:rsidP="003D3874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 y funciones de los 5 elementos</w:t>
            </w:r>
          </w:p>
          <w:p w:rsidR="009F08CD" w:rsidRPr="004138D3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Los </w:t>
            </w:r>
            <w:proofErr w:type="spellStart"/>
            <w:proofErr w:type="gramStart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Doshas</w:t>
            </w:r>
            <w:proofErr w:type="spell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 .</w:t>
            </w:r>
            <w:proofErr w:type="gramEnd"/>
            <w:r w:rsidRPr="004138D3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 xml:space="preserve"> Humores corporales</w:t>
            </w:r>
          </w:p>
          <w:p w:rsidR="009F08CD" w:rsidRPr="004B57D3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Vata</w:t>
            </w:r>
            <w:proofErr w:type="spellEnd"/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Pitta</w:t>
            </w:r>
            <w:proofErr w:type="spellEnd"/>
            <w:r w:rsidRPr="004B57D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Kapha</w:t>
            </w:r>
            <w:proofErr w:type="spellEnd"/>
          </w:p>
          <w:p w:rsidR="009F08CD" w:rsidRPr="000D4988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D4988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Ubicación, Funciones, Signos de aumento y disminución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Los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Subdoshas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Udana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Samana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Vyana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Pachaka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Ranjaka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Brhajaka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Shadaka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Alochaka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Bodhaka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Kledaka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Tarpaka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Avalambaka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Shleshaka</w:t>
            </w:r>
            <w:proofErr w:type="spellEnd"/>
          </w:p>
          <w:p w:rsidR="009F08CD" w:rsidRPr="000D4988" w:rsidRDefault="009F08CD" w:rsidP="003D3874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Propiedades, Ubicación, Funciones, Signos de aumento y disminución</w:t>
            </w:r>
          </w:p>
          <w:p w:rsidR="003D3874" w:rsidRPr="000D4988" w:rsidRDefault="003D3874" w:rsidP="00414A92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Default="009F08CD" w:rsidP="000C3A2F">
            <w:pPr>
              <w:pStyle w:val="NormalWeb"/>
              <w:rPr>
                <w:rFonts w:asciiTheme="minorHAnsi" w:hAnsiTheme="minorHAnsi" w:cstheme="minorHAnsi"/>
                <w:bCs/>
                <w:color w:val="C0504D" w:themeColor="accent2"/>
                <w:sz w:val="22"/>
                <w:szCs w:val="22"/>
                <w:u w:val="single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Los Siete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Dhatus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(Tejidos Corporales 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 (Linfa).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(Sangre).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(Músculos).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Meda (Grasa).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Ashti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(Huesos).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Majja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(Médula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osea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(Reproducción)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Propiedades, funciones y signos de aumento/disminución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Los Tres Malas (Productos de desecho)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Mala (Heces).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 (Orina).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Sweda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(Sudor).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Propiedades, funciones y signos de aumento/disminución de </w:t>
            </w:r>
            <w:proofErr w:type="gramStart"/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los</w:t>
            </w:r>
            <w:proofErr w:type="gramEnd"/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 xml:space="preserve"> Malas.</w:t>
            </w:r>
          </w:p>
          <w:p w:rsidR="000C3A2F" w:rsidRPr="009F08CD" w:rsidRDefault="000C3A2F" w:rsidP="000C3A2F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0C3A2F" w:rsidRPr="009F08CD" w:rsidRDefault="000C3A2F" w:rsidP="003D3874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0C3A2F" w:rsidRPr="009F08CD" w:rsidRDefault="003D3874" w:rsidP="000C3A2F">
            <w:pPr>
              <w:pStyle w:val="NormalWeb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</w:p>
          <w:p w:rsidR="003D3874" w:rsidRPr="004B57D3" w:rsidRDefault="003D3874" w:rsidP="00C66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9F08CD" w:rsidRPr="00AC1D92" w:rsidRDefault="009F08CD" w:rsidP="009F08CD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 xml:space="preserve">2 – Bases del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II</w:t>
      </w:r>
    </w:p>
    <w:p w:rsidR="003D3874" w:rsidRDefault="003D3874">
      <w:pPr>
        <w:rPr>
          <w:rFonts w:ascii="Tahoma" w:hAnsi="Tahoma" w:cs="Tahoma"/>
          <w:b/>
          <w:szCs w:val="24"/>
        </w:rPr>
      </w:pPr>
    </w:p>
    <w:p w:rsidR="009F08CD" w:rsidRPr="006C2B61" w:rsidRDefault="009F08CD">
      <w:pPr>
        <w:rPr>
          <w:rFonts w:ascii="Tahoma" w:hAnsi="Tahoma" w:cs="Tahoma"/>
          <w:b/>
          <w:szCs w:val="24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4503"/>
        <w:gridCol w:w="5135"/>
      </w:tblGrid>
      <w:tr w:rsidR="000C3A2F" w:rsidRPr="004B57D3" w:rsidTr="00732045">
        <w:tc>
          <w:tcPr>
            <w:tcW w:w="4503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Pr="0016029D" w:rsidRDefault="000C3A2F" w:rsidP="009F08CD">
            <w:pPr>
              <w:pStyle w:val="NormalWeb"/>
              <w:rPr>
                <w:rFonts w:asciiTheme="minorHAnsi" w:hAnsiTheme="minorHAnsi" w:cstheme="minorHAnsi"/>
              </w:rPr>
            </w:pPr>
            <w:r w:rsidRPr="004B57D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="009F08CD" w:rsidRPr="0016029D">
              <w:rPr>
                <w:rFonts w:asciiTheme="minorHAnsi" w:hAnsiTheme="minorHAnsi" w:cstheme="minorHAnsi"/>
                <w:color w:val="000000"/>
              </w:rPr>
              <w:t>Srotasas</w:t>
            </w:r>
            <w:proofErr w:type="spellEnd"/>
            <w:r w:rsidR="009F08CD" w:rsidRPr="0016029D">
              <w:rPr>
                <w:rFonts w:asciiTheme="minorHAnsi" w:hAnsiTheme="minorHAnsi" w:cstheme="minorHAnsi"/>
                <w:color w:val="000000"/>
              </w:rPr>
              <w:t xml:space="preserve"> (Canales Corporales)</w:t>
            </w:r>
          </w:p>
          <w:p w:rsidR="009F08CD" w:rsidRPr="0016029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16029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 de ingreso de nutrientes en el cuerpo: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Annavaha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Ambhuvada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Sistemas que nutren los tejidos: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Rasavaha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Raktavaha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Mamsavaha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Madavaha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Asthivaha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Shukravaha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de eliminación de desechos: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Svedavaha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Purushavaha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Mutravaha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Sistemas exclusivos femeninos: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Stanyavaha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Arthavavaha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</w:p>
          <w:p w:rsidR="009F08CD" w:rsidRPr="0035419C" w:rsidRDefault="009F08CD" w:rsidP="009F08CD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</w:pPr>
            <w:r w:rsidRPr="0035419C">
              <w:rPr>
                <w:rFonts w:asciiTheme="minorHAnsi" w:hAnsiTheme="minorHAnsi" w:cstheme="minorHAnsi"/>
                <w:color w:val="C0504D" w:themeColor="accent2"/>
                <w:sz w:val="22"/>
                <w:szCs w:val="22"/>
                <w:u w:val="single"/>
              </w:rPr>
              <w:t>Sistema Mental: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Manovaha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srotas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i/>
                <w:sz w:val="20"/>
                <w:szCs w:val="20"/>
              </w:rPr>
            </w:pP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 y fisiología de los diferentes sistemas.</w:t>
            </w:r>
          </w:p>
          <w:p w:rsidR="000C3A2F" w:rsidRPr="000D4988" w:rsidRDefault="000C3A2F" w:rsidP="009F08C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35" w:type="dxa"/>
            <w:shd w:val="clear" w:color="auto" w:fill="FFFFFF" w:themeFill="background1"/>
            <w:noWrap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9F08CD" w:rsidRDefault="009F08CD" w:rsidP="009F08CD">
            <w:pPr>
              <w:pStyle w:val="NormalWeb"/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Concepto de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Agni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(Energía de conversión / Sistema enzimático)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Tipos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Funciones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Fisiología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</w:p>
          <w:p w:rsidR="009F08CD" w:rsidRP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Concepto de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Aama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 (Material alimenticio 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semi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-digerido)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Relación entre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Signos de la presencia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Tratamiento de </w:t>
            </w:r>
            <w:proofErr w:type="spellStart"/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Aama</w:t>
            </w:r>
            <w:proofErr w:type="spellEnd"/>
            <w:r w:rsidR="003541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br/>
            </w:r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Concepto de “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Oja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” (Esencia de todos los tejidos corporales / metabolismo):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9F08CD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Ubicación, funciones, signos de aumento/disminución, factores responsables del aumento/disminución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:rsidR="009F08CD" w:rsidRDefault="009F08CD" w:rsidP="009F08CD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</w:pPr>
          </w:p>
          <w:p w:rsidR="009F08CD" w:rsidRPr="009F08CD" w:rsidRDefault="009F08CD" w:rsidP="009F08CD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Concepto de “</w:t>
            </w:r>
            <w:proofErr w:type="spellStart"/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Prakruti</w:t>
            </w:r>
            <w:proofErr w:type="spellEnd"/>
            <w:r w:rsidRPr="009F08CD">
              <w:rPr>
                <w:rStyle w:val="Textoennegrita"/>
                <w:rFonts w:asciiTheme="minorHAnsi" w:hAnsiTheme="minorHAnsi" w:cstheme="minorHAnsi"/>
                <w:b w:val="0"/>
                <w:i/>
                <w:color w:val="C0504D" w:themeColor="accent2"/>
                <w:sz w:val="22"/>
                <w:szCs w:val="22"/>
              </w:rPr>
              <w:t>” (Constitución):</w:t>
            </w:r>
            <w:r w:rsidRPr="009F08CD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Diferentes tipos de constitución; características anatómicas, fisiológicas y mentales de las diferentes constituciones</w:t>
            </w:r>
            <w:r w:rsidR="0035419C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.</w:t>
            </w:r>
          </w:p>
          <w:p w:rsidR="000C3A2F" w:rsidRPr="004B57D3" w:rsidRDefault="000C3A2F" w:rsidP="00E825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/>
    <w:p w:rsidR="0035419C" w:rsidRDefault="0035419C" w:rsidP="0035419C">
      <w:pPr>
        <w:rPr>
          <w:rStyle w:val="nfasissutil"/>
          <w:rFonts w:asciiTheme="majorHAnsi" w:eastAsiaTheme="majorEastAsia" w:hAnsiTheme="majorHAnsi" w:cstheme="majorBidi"/>
          <w:b/>
          <w:color w:val="0070C0"/>
          <w:spacing w:val="5"/>
          <w:kern w:val="28"/>
          <w:sz w:val="36"/>
          <w:szCs w:val="36"/>
        </w:rPr>
      </w:pPr>
    </w:p>
    <w:p w:rsidR="009D3023" w:rsidRDefault="009D3023" w:rsidP="0035419C"/>
    <w:p w:rsidR="009D3023" w:rsidRPr="0035419C" w:rsidRDefault="009D3023" w:rsidP="0035419C"/>
    <w:p w:rsidR="0035419C" w:rsidRDefault="0035419C" w:rsidP="0035419C"/>
    <w:p w:rsidR="009D3023" w:rsidRDefault="009D3023" w:rsidP="0035419C"/>
    <w:p w:rsidR="009D3023" w:rsidRDefault="009D3023" w:rsidP="0035419C"/>
    <w:p w:rsidR="009D3023" w:rsidRPr="00AC1D92" w:rsidRDefault="009D3023" w:rsidP="009D3023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>3</w:t>
      </w:r>
      <w:r w:rsidRPr="00AC1D92">
        <w:rPr>
          <w:rStyle w:val="nfasissutil"/>
          <w:b/>
          <w:color w:val="0070C0"/>
          <w:sz w:val="36"/>
          <w:szCs w:val="36"/>
        </w:rPr>
        <w:t xml:space="preserve"> – </w:t>
      </w:r>
      <w:r>
        <w:rPr>
          <w:rStyle w:val="nfasissutil"/>
          <w:b/>
          <w:color w:val="0070C0"/>
          <w:sz w:val="36"/>
          <w:szCs w:val="36"/>
        </w:rPr>
        <w:t xml:space="preserve">Diagnóstico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– Alimentación I</w:t>
      </w:r>
    </w:p>
    <w:p w:rsidR="009D3023" w:rsidRDefault="009D3023" w:rsidP="0035419C"/>
    <w:p w:rsidR="009D3023" w:rsidRPr="0035419C" w:rsidRDefault="009D3023" w:rsidP="0035419C"/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3D3874" w:rsidRPr="009F08CD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E014F3" w:rsidRPr="00931C46" w:rsidRDefault="00AC1D92" w:rsidP="00E014F3">
            <w:pPr>
              <w:pStyle w:val="Ttulo2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E014F3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MÉTODOS DE DIAGNÓSTICO EN</w:t>
            </w:r>
            <w:r w:rsidR="00E014F3" w:rsidRPr="00931C46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 xml:space="preserve"> AYURVEDA </w:t>
            </w:r>
          </w:p>
          <w:p w:rsidR="009F08CD" w:rsidRPr="00E014F3" w:rsidRDefault="009F08CD" w:rsidP="00E014F3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</w:pPr>
            <w:r w:rsidRPr="009F08C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Naadi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nálisis del pulso.</w:t>
            </w:r>
            <w:r w:rsidRPr="00E014F3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Mootra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/>
                <w:sz w:val="22"/>
                <w:szCs w:val="22"/>
              </w:rPr>
              <w:t>nálisis de la orina.</w:t>
            </w:r>
            <w:r w:rsidRPr="00E014F3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Mala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las heces.</w:t>
            </w:r>
            <w:r w:rsidRPr="00E014F3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Shabda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Pariksha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voz.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Jihwa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parisksa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lengua</w:t>
            </w:r>
            <w:r w:rsidRPr="00E014F3">
              <w:rPr>
                <w:rFonts w:asciiTheme="minorHAnsi" w:hAnsiTheme="minorHAnsi" w:cstheme="minorHAnsi"/>
                <w:b w:val="0"/>
                <w:i/>
                <w:color w:val="1F497D" w:themeColor="text2"/>
                <w:sz w:val="22"/>
                <w:szCs w:val="22"/>
              </w:rPr>
              <w:t>.</w:t>
            </w:r>
            <w:r w:rsidRPr="00E014F3">
              <w:rPr>
                <w:rFonts w:asciiTheme="minorHAnsi" w:hAnsiTheme="minorHAnsi" w:cstheme="minorHAnsi"/>
                <w:b w:val="0"/>
                <w:i/>
                <w:color w:val="1F497D" w:themeColor="text2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Sparsha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la piel.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br/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Netra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o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Drik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Pariksa</w:t>
            </w:r>
            <w:proofErr w:type="spellEnd"/>
            <w:r w:rsidRPr="00E014F3">
              <w:rPr>
                <w:rFonts w:asciiTheme="minorHAnsi" w:hAnsiTheme="minorHAnsi" w:cstheme="minorHAnsi"/>
                <w:b w:val="0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 w:val="0"/>
                <w:color w:val="000000"/>
                <w:sz w:val="22"/>
                <w:szCs w:val="22"/>
              </w:rPr>
              <w:t xml:space="preserve"> </w:t>
            </w:r>
            <w:r w:rsidR="00E014F3"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a</w:t>
            </w:r>
            <w:r w:rsidRPr="00E014F3">
              <w:rPr>
                <w:rFonts w:asciiTheme="minorHAnsi" w:hAnsiTheme="minorHAnsi" w:cstheme="minorHAnsi"/>
                <w:b w:val="0"/>
                <w:i/>
                <w:color w:val="000000" w:themeColor="text1"/>
                <w:sz w:val="22"/>
                <w:szCs w:val="22"/>
              </w:rPr>
              <w:t>nálisis de los ojos.</w:t>
            </w:r>
          </w:p>
          <w:p w:rsidR="0035419C" w:rsidRPr="00E014F3" w:rsidRDefault="0035419C" w:rsidP="0035419C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sz w:val="28"/>
                <w:szCs w:val="28"/>
              </w:rPr>
            </w:pPr>
            <w:r w:rsidRPr="00E014F3">
              <w:rPr>
                <w:rStyle w:val="Textoennegrita"/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ALIMENTACIÓN AYURVEDA I</w:t>
            </w:r>
          </w:p>
          <w:p w:rsidR="0035419C" w:rsidRPr="00E014F3" w:rsidRDefault="0035419C" w:rsidP="0035419C">
            <w:pPr>
              <w:pStyle w:val="NormalWeb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Introducción a la alimentación</w:t>
            </w:r>
          </w:p>
          <w:p w:rsidR="0035419C" w:rsidRPr="00E014F3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Concepto de Rasa,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Guna</w:t>
            </w:r>
            <w:proofErr w:type="spell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Veerya</w:t>
            </w: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,Vipak</w:t>
            </w:r>
            <w:proofErr w:type="spellEnd"/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Pravaha</w:t>
            </w:r>
            <w:proofErr w:type="spellEnd"/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Los alimentos y la mente.</w:t>
            </w:r>
            <w:r w:rsidRPr="00E014F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Alimentos incompatibles.</w:t>
            </w:r>
          </w:p>
          <w:p w:rsidR="003D3874" w:rsidRPr="009F08CD" w:rsidRDefault="003D3874" w:rsidP="0016029D">
            <w:pPr>
              <w:pStyle w:val="NormalWeb"/>
              <w:shd w:val="clear" w:color="auto" w:fill="F2F2F2" w:themeFill="background1" w:themeFillShade="F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D3874" w:rsidRDefault="003D3874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Default="00E014F3">
      <w:pPr>
        <w:rPr>
          <w:rFonts w:ascii="Tahoma" w:hAnsi="Tahoma" w:cs="Tahoma"/>
        </w:rPr>
      </w:pPr>
    </w:p>
    <w:p w:rsidR="00E014F3" w:rsidRPr="003D3874" w:rsidRDefault="00E014F3">
      <w:pPr>
        <w:rPr>
          <w:rFonts w:ascii="Tahoma" w:hAnsi="Tahoma" w:cs="Tahoma"/>
        </w:rPr>
      </w:pPr>
    </w:p>
    <w:p w:rsidR="00AC1D92" w:rsidRDefault="00AC1D92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9D3023" w:rsidRDefault="009D3023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0811BC" w:rsidRDefault="000811BC" w:rsidP="001A7659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1A7659" w:rsidRDefault="001A7659" w:rsidP="001A7659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lastRenderedPageBreak/>
        <w:t xml:space="preserve">Módulo </w:t>
      </w:r>
      <w:r>
        <w:rPr>
          <w:rStyle w:val="nfasissutil"/>
          <w:b/>
          <w:color w:val="0070C0"/>
          <w:sz w:val="36"/>
          <w:szCs w:val="36"/>
        </w:rPr>
        <w:t xml:space="preserve">4 -  Alimentación </w:t>
      </w:r>
      <w:proofErr w:type="spellStart"/>
      <w:r>
        <w:rPr>
          <w:rStyle w:val="nfasissutil"/>
          <w:b/>
          <w:color w:val="0070C0"/>
          <w:sz w:val="36"/>
          <w:szCs w:val="36"/>
        </w:rPr>
        <w:t>Ayurveda</w:t>
      </w:r>
      <w:proofErr w:type="spellEnd"/>
      <w:r>
        <w:rPr>
          <w:rStyle w:val="nfasissutil"/>
          <w:b/>
          <w:color w:val="0070C0"/>
          <w:sz w:val="36"/>
          <w:szCs w:val="36"/>
        </w:rPr>
        <w:t xml:space="preserve"> I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F26768" w:rsidRPr="006C2B61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26768" w:rsidRPr="00931C46" w:rsidRDefault="00F26768" w:rsidP="00E825C9">
            <w:pPr>
              <w:pStyle w:val="Ttulo2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br/>
            </w:r>
            <w:r w:rsidRPr="00931C46">
              <w:rPr>
                <w:rStyle w:val="Textoennegrita"/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ALIMENTACIÓN AYURVEDA II</w:t>
            </w:r>
          </w:p>
          <w:p w:rsidR="00F26768" w:rsidRPr="00931C46" w:rsidRDefault="00F26768" w:rsidP="00E825C9">
            <w:pPr>
              <w:pStyle w:val="NormalWeb"/>
              <w:rPr>
                <w:rFonts w:asciiTheme="minorHAnsi" w:hAnsiTheme="minorHAnsi" w:cstheme="minorHAnsi"/>
                <w:color w:val="C0504D" w:themeColor="accent2"/>
                <w:u w:val="single"/>
              </w:rPr>
            </w:pPr>
            <w:r w:rsidRPr="00931C46">
              <w:rPr>
                <w:rFonts w:asciiTheme="minorHAnsi" w:hAnsiTheme="minorHAnsi" w:cstheme="minorHAnsi"/>
                <w:bCs/>
                <w:color w:val="C0504D" w:themeColor="accent2"/>
                <w:u w:val="single"/>
              </w:rPr>
              <w:t>Análisis detallado de los alimentos: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Especias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Frutas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Verduras</w:t>
            </w:r>
            <w:r w:rsidRPr="00165539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Cereales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0000FF"/>
                <w:sz w:val="28"/>
                <w:szCs w:val="28"/>
                <w:u w:val="single"/>
              </w:rPr>
              <w:t>Yoga I: teoría ( Video-enseñanza en casa)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– Que es yoga</w:t>
            </w:r>
            <w:proofErr w:type="gram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?</w:t>
            </w:r>
            <w:proofErr w:type="gram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165539">
              <w:rPr>
                <w:rStyle w:val="nfasis"/>
                <w:rFonts w:asciiTheme="minorHAnsi" w:hAnsiTheme="minorHAnsi" w:cstheme="minorHAnsi"/>
                <w:color w:val="000000"/>
                <w:sz w:val="20"/>
                <w:szCs w:val="20"/>
              </w:rPr>
              <w:t>Origen y breve historia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– Yoga y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ayurveda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comunión de dos disciplinas espirituales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0"/>
                <w:szCs w:val="20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– Diferentes ramas o caminos del yoga:</w:t>
            </w:r>
          </w:p>
          <w:p w:rsidR="00F26768" w:rsidRPr="00165539" w:rsidRDefault="00F26768" w:rsidP="00E825C9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Raja yoga (abarca el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kundalini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kriya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ashtanga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dhyana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yoga, mantra yoga)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Karma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Jãna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Bhakti yoga (contiene la práctica de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kirtanam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los cantos. El Bhakti se suele c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ombinar con otros tipos de yoga</w:t>
            </w:r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Hatha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yoga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b/>
                <w:color w:val="C0504D" w:themeColor="accent2"/>
                <w:sz w:val="22"/>
                <w:szCs w:val="22"/>
                <w:u w:val="single"/>
              </w:rPr>
            </w:pPr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 xml:space="preserve">– </w:t>
            </w:r>
            <w:proofErr w:type="spellStart"/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Pantajali</w:t>
            </w:r>
            <w:proofErr w:type="spellEnd"/>
            <w:r w:rsidRPr="00E014F3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2"/>
                <w:szCs w:val="22"/>
                <w:u w:val="single"/>
              </w:rPr>
              <w:t>, los ocho pasos o ramas del yoga: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Yama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normas de conducta social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Niyama</w:t>
            </w:r>
            <w:proofErr w:type="spell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: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normas de comportamiento personal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Asana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posturas físicas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Pranayama</w:t>
            </w:r>
            <w:proofErr w:type="spellEnd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de la energía vital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Prathyahara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de los sentidos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Dharana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control correcto de la mente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Dhyana</w:t>
            </w:r>
            <w:proofErr w:type="spellEnd"/>
            <w:r w:rsidRPr="00E014F3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meditación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Pr="00E014F3" w:rsidRDefault="00F26768" w:rsidP="00E825C9">
            <w:pPr>
              <w:pStyle w:val="NormalWeb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proofErr w:type="gramStart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8 .</w:t>
            </w:r>
            <w:proofErr w:type="gramEnd"/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14F3">
              <w:rPr>
                <w:rFonts w:asciiTheme="minorHAnsi" w:hAnsiTheme="minorHAnsi" w:cstheme="minorHAnsi"/>
                <w:b/>
                <w:color w:val="1F497D" w:themeColor="text2"/>
                <w:sz w:val="22"/>
                <w:szCs w:val="22"/>
              </w:rPr>
              <w:t>Samadi</w:t>
            </w:r>
            <w:proofErr w:type="spellEnd"/>
            <w:r w:rsidRPr="00E014F3">
              <w:rPr>
                <w:rFonts w:asciiTheme="minorHAnsi" w:hAnsiTheme="minorHAnsi" w:cstheme="minorHAnsi"/>
                <w:color w:val="1F497D" w:themeColor="text2"/>
                <w:sz w:val="22"/>
                <w:szCs w:val="22"/>
              </w:rPr>
              <w:t>:</w:t>
            </w:r>
            <w:r w:rsidRPr="00E014F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14F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despertar y absorción en espíritu</w:t>
            </w:r>
            <w:r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.</w:t>
            </w:r>
          </w:p>
          <w:p w:rsidR="00F26768" w:rsidRDefault="00F26768" w:rsidP="00E825C9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–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Nadis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(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sushumná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,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idá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y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piṅgalā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), </w:t>
            </w:r>
            <w:proofErr w:type="spellStart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chakras</w:t>
            </w:r>
            <w:proofErr w:type="spellEnd"/>
            <w:r w:rsidRPr="00165539"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 xml:space="preserve"> y </w:t>
            </w:r>
            <w:r>
              <w:rPr>
                <w:rStyle w:val="Textoennegrita"/>
                <w:rFonts w:asciiTheme="minorHAnsi" w:hAnsiTheme="minorHAnsi" w:cstheme="minorHAnsi"/>
                <w:b w:val="0"/>
                <w:color w:val="C0504D" w:themeColor="accent2"/>
                <w:sz w:val="20"/>
                <w:szCs w:val="20"/>
                <w:u w:val="single"/>
              </w:rPr>
              <w:t>bandas</w:t>
            </w:r>
          </w:p>
          <w:p w:rsidR="00F26768" w:rsidRPr="00165539" w:rsidRDefault="00F26768" w:rsidP="00E825C9">
            <w:pPr>
              <w:pStyle w:val="NormalWeb"/>
              <w:rPr>
                <w:rFonts w:ascii="Tahoma" w:hAnsi="Tahoma" w:cs="Tahoma"/>
                <w:b/>
                <w:color w:val="C0504D" w:themeColor="accent2"/>
                <w:sz w:val="22"/>
                <w:szCs w:val="22"/>
                <w:u w:val="single"/>
              </w:rPr>
            </w:pPr>
          </w:p>
        </w:tc>
      </w:tr>
    </w:tbl>
    <w:p w:rsidR="00F26768" w:rsidRPr="00F26768" w:rsidRDefault="00F26768" w:rsidP="00F26768"/>
    <w:p w:rsidR="004B57D3" w:rsidRDefault="004B57D3" w:rsidP="00C666B4">
      <w:pPr>
        <w:pStyle w:val="CURSOS"/>
        <w:rPr>
          <w:rStyle w:val="nfasissutil"/>
          <w:color w:val="0070C0"/>
        </w:rPr>
      </w:pPr>
    </w:p>
    <w:p w:rsidR="0035419C" w:rsidRDefault="0035419C" w:rsidP="00C666B4">
      <w:pPr>
        <w:pStyle w:val="CURSOS"/>
        <w:rPr>
          <w:rStyle w:val="nfasissutil"/>
          <w:color w:val="0070C0"/>
        </w:rPr>
      </w:pPr>
    </w:p>
    <w:p w:rsidR="006C2B61" w:rsidRPr="00AC1D92" w:rsidRDefault="006C2B61" w:rsidP="00C666B4">
      <w:pPr>
        <w:pStyle w:val="CURSOS"/>
        <w:rPr>
          <w:rStyle w:val="nfasissutil"/>
          <w:color w:val="0070C0"/>
        </w:rPr>
      </w:pPr>
      <w:r w:rsidRPr="00AC1D92">
        <w:rPr>
          <w:rStyle w:val="nfasissutil"/>
          <w:color w:val="0070C0"/>
        </w:rPr>
        <w:t xml:space="preserve">Modulo </w:t>
      </w:r>
      <w:r w:rsidR="0035419C">
        <w:rPr>
          <w:rStyle w:val="nfasissutil"/>
          <w:color w:val="0070C0"/>
        </w:rPr>
        <w:t>5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>–</w:t>
      </w:r>
      <w:r w:rsidRPr="00AC1D92">
        <w:rPr>
          <w:rStyle w:val="nfasissutil"/>
          <w:color w:val="0070C0"/>
        </w:rPr>
        <w:t xml:space="preserve"> </w:t>
      </w:r>
      <w:r w:rsidR="0035419C">
        <w:rPr>
          <w:rStyle w:val="nfasissutil"/>
          <w:color w:val="0070C0"/>
        </w:rPr>
        <w:t xml:space="preserve">Alimentación </w:t>
      </w:r>
      <w:proofErr w:type="spellStart"/>
      <w:r w:rsidR="0035419C">
        <w:rPr>
          <w:rStyle w:val="nfasissutil"/>
          <w:color w:val="0070C0"/>
        </w:rPr>
        <w:t>Ayurveda</w:t>
      </w:r>
      <w:proofErr w:type="spellEnd"/>
      <w:r w:rsidR="00165539">
        <w:rPr>
          <w:rStyle w:val="nfasissutil"/>
          <w:color w:val="0070C0"/>
        </w:rPr>
        <w:t xml:space="preserve"> II</w:t>
      </w:r>
      <w:r w:rsidRPr="00AC1D92">
        <w:rPr>
          <w:rStyle w:val="nfasissutil"/>
          <w:color w:val="0070C0"/>
        </w:rPr>
        <w:t>I</w:t>
      </w:r>
      <w:r w:rsidR="00165539">
        <w:rPr>
          <w:rStyle w:val="nfasissutil"/>
          <w:color w:val="0070C0"/>
        </w:rPr>
        <w:t xml:space="preserve"> </w:t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 w:themeFill="background1"/>
        <w:tblLook w:val="04A0"/>
      </w:tblPr>
      <w:tblGrid>
        <w:gridCol w:w="9638"/>
      </w:tblGrid>
      <w:tr w:rsidR="006C2B61" w:rsidRPr="006C2B61" w:rsidTr="00732045">
        <w:tc>
          <w:tcPr>
            <w:tcW w:w="9638" w:type="dxa"/>
            <w:shd w:val="clear" w:color="auto" w:fill="FFFFFF" w:themeFill="background1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165539" w:rsidRPr="00165539" w:rsidRDefault="006C2B61" w:rsidP="0016553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6C2B61">
              <w:rPr>
                <w:rStyle w:val="Textoennegrita"/>
                <w:rFonts w:ascii="Tahoma" w:hAnsi="Tahoma" w:cs="Tahoma"/>
                <w:color w:val="000000"/>
                <w:sz w:val="22"/>
                <w:szCs w:val="22"/>
              </w:rPr>
              <w:br/>
            </w:r>
            <w:r w:rsidR="00931C46" w:rsidRPr="00931C46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ALIMENTACIÓN III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931C4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Carne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Pescado</w:t>
            </w:r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165539"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Alimentos con acción </w:t>
            </w:r>
            <w:proofErr w:type="spellStart"/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desintoxicante</w:t>
            </w:r>
            <w:proofErr w:type="spellEnd"/>
            <w:r w:rsidR="00165539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165539" w:rsidRPr="00165539" w:rsidRDefault="00165539" w:rsidP="0035419C">
            <w:pPr>
              <w:pStyle w:val="NormalWeb"/>
              <w:rPr>
                <w:rStyle w:val="Textoennegrita"/>
                <w:rFonts w:asciiTheme="minorHAnsi" w:hAnsiTheme="minorHAnsi" w:cstheme="minorHAnsi"/>
                <w:color w:val="0000FF"/>
                <w:sz w:val="22"/>
                <w:szCs w:val="22"/>
              </w:rPr>
            </w:pPr>
          </w:p>
          <w:p w:rsidR="00165539" w:rsidRPr="00165539" w:rsidRDefault="00165539" w:rsidP="0035419C">
            <w:pPr>
              <w:pStyle w:val="NormalWeb"/>
              <w:rPr>
                <w:rStyle w:val="Textoennegrita"/>
                <w:rFonts w:asciiTheme="minorHAnsi" w:hAnsiTheme="minorHAnsi" w:cstheme="minorHAnsi"/>
                <w:color w:val="0000FF"/>
                <w:sz w:val="22"/>
                <w:szCs w:val="22"/>
              </w:rPr>
            </w:pP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color w:val="C0504D" w:themeColor="accent2"/>
                <w:sz w:val="28"/>
                <w:szCs w:val="28"/>
                <w:u w:val="single"/>
              </w:rPr>
            </w:pPr>
            <w:r w:rsidRPr="00165539">
              <w:rPr>
                <w:rStyle w:val="Textoennegrita"/>
                <w:rFonts w:asciiTheme="minorHAnsi" w:hAnsiTheme="minorHAnsi" w:cstheme="minorHAnsi"/>
                <w:color w:val="C0504D" w:themeColor="accent2"/>
                <w:sz w:val="28"/>
                <w:szCs w:val="28"/>
                <w:u w:val="single"/>
              </w:rPr>
              <w:t>Yoga II: Práctica presencial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Asanas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pranayama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meditación (parte práctica).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Activar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agni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Aumentar sistema inmune (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ojas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  <w:r w:rsidRPr="001655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Activar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chakras</w:t>
            </w:r>
            <w:proofErr w:type="spellEnd"/>
            <w:r w:rsid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Mantras semilla para los 5 elementos y los tres </w:t>
            </w: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doshas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35419C" w:rsidRPr="00165539" w:rsidRDefault="0035419C" w:rsidP="0035419C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Shadana</w:t>
            </w:r>
            <w:proofErr w:type="spellEnd"/>
            <w:r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para cada tipo de constitución.</w:t>
            </w:r>
          </w:p>
          <w:p w:rsidR="006C2B61" w:rsidRPr="006C2B61" w:rsidRDefault="006C2B61" w:rsidP="00165539">
            <w:pPr>
              <w:pStyle w:val="NormalWeb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6C2B61" w:rsidRDefault="006C2B61">
      <w:pPr>
        <w:rPr>
          <w:rFonts w:ascii="Tahoma" w:hAnsi="Tahoma" w:cs="Tahoma"/>
          <w:sz w:val="22"/>
          <w:szCs w:val="22"/>
        </w:rPr>
      </w:pPr>
    </w:p>
    <w:p w:rsidR="006C2B61" w:rsidRDefault="006C2B61">
      <w:pPr>
        <w:rPr>
          <w:rFonts w:ascii="Tahoma" w:hAnsi="Tahoma" w:cs="Tahoma"/>
          <w:b/>
          <w:color w:val="C00000"/>
        </w:rPr>
      </w:pPr>
    </w:p>
    <w:p w:rsidR="00D23329" w:rsidRDefault="00D23329" w:rsidP="006C2B61">
      <w:pPr>
        <w:pStyle w:val="Ttulo"/>
        <w:rPr>
          <w:rStyle w:val="nfasissutil"/>
          <w:b/>
          <w:color w:val="0070C0"/>
          <w:sz w:val="36"/>
          <w:szCs w:val="36"/>
        </w:rPr>
      </w:pPr>
    </w:p>
    <w:p w:rsidR="006C2B61" w:rsidRPr="00AC1D92" w:rsidRDefault="006C2B61" w:rsidP="006C2B61">
      <w:pPr>
        <w:pStyle w:val="Ttulo"/>
        <w:rPr>
          <w:rStyle w:val="nfasissutil"/>
          <w:b/>
          <w:color w:val="0070C0"/>
          <w:sz w:val="36"/>
          <w:szCs w:val="36"/>
        </w:rPr>
      </w:pPr>
      <w:r w:rsidRPr="00AC1D92">
        <w:rPr>
          <w:rStyle w:val="nfasissutil"/>
          <w:b/>
          <w:color w:val="0070C0"/>
          <w:sz w:val="36"/>
          <w:szCs w:val="36"/>
        </w:rPr>
        <w:t xml:space="preserve">Modulo </w:t>
      </w:r>
      <w:r w:rsidR="00165539">
        <w:rPr>
          <w:rStyle w:val="nfasissutil"/>
          <w:b/>
          <w:color w:val="0070C0"/>
          <w:sz w:val="36"/>
          <w:szCs w:val="36"/>
        </w:rPr>
        <w:t>6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AC1D92" w:rsidRPr="00AC1D92">
        <w:rPr>
          <w:rStyle w:val="nfasissutil"/>
          <w:b/>
          <w:color w:val="0070C0"/>
          <w:sz w:val="36"/>
          <w:szCs w:val="36"/>
        </w:rPr>
        <w:t>–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  <w:r w:rsidR="00165539">
        <w:rPr>
          <w:rStyle w:val="nfasissutil"/>
          <w:b/>
          <w:color w:val="0070C0"/>
          <w:sz w:val="36"/>
          <w:szCs w:val="36"/>
        </w:rPr>
        <w:t xml:space="preserve">Alimentación </w:t>
      </w:r>
      <w:proofErr w:type="spellStart"/>
      <w:r w:rsidR="00165539">
        <w:rPr>
          <w:rStyle w:val="nfasissutil"/>
          <w:b/>
          <w:color w:val="0070C0"/>
          <w:sz w:val="36"/>
          <w:szCs w:val="36"/>
        </w:rPr>
        <w:t>Ayurveda</w:t>
      </w:r>
      <w:proofErr w:type="spellEnd"/>
      <w:r w:rsidR="00165539">
        <w:rPr>
          <w:rStyle w:val="nfasissutil"/>
          <w:b/>
          <w:color w:val="0070C0"/>
          <w:sz w:val="36"/>
          <w:szCs w:val="36"/>
        </w:rPr>
        <w:t xml:space="preserve"> III</w:t>
      </w:r>
      <w:r w:rsidRPr="00AC1D92">
        <w:rPr>
          <w:rStyle w:val="nfasissutil"/>
          <w:b/>
          <w:color w:val="0070C0"/>
          <w:sz w:val="36"/>
          <w:szCs w:val="36"/>
        </w:rPr>
        <w:t xml:space="preserve"> </w:t>
      </w:r>
    </w:p>
    <w:p w:rsidR="0035419C" w:rsidRDefault="0035419C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9638"/>
      </w:tblGrid>
      <w:tr w:rsidR="0035419C" w:rsidTr="00095D7F">
        <w:tc>
          <w:tcPr>
            <w:tcW w:w="9638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35419C" w:rsidRDefault="00165539" w:rsidP="00F26768">
            <w:pPr>
              <w:pStyle w:val="NormalWeb"/>
              <w:rPr>
                <w:rFonts w:ascii="Tahoma" w:hAnsi="Tahoma" w:cs="Tahoma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</w:r>
            <w:r w:rsidR="0035419C" w:rsidRPr="00931C46">
              <w:rPr>
                <w:rFonts w:ascii="Tahoma" w:hAnsi="Tahoma" w:cs="Tahoma"/>
                <w:b/>
                <w:bCs/>
                <w:color w:val="000000"/>
              </w:rPr>
              <w:t>Alimentación III</w:t>
            </w:r>
            <w:r w:rsidR="0035419C" w:rsidRPr="0016553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según la constitución corporal y la estación del año.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Enfermedades y su tratamiento a través de la alimentación.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durante la gestación.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post-parto.</w:t>
            </w:r>
            <w:r w:rsidR="0035419C" w:rsidRPr="0014077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35419C" w:rsidRPr="0014077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Alimentación para infantes.</w:t>
            </w:r>
          </w:p>
        </w:tc>
      </w:tr>
    </w:tbl>
    <w:p w:rsidR="0035419C" w:rsidRDefault="0035419C">
      <w:pPr>
        <w:rPr>
          <w:rFonts w:ascii="Tahoma" w:hAnsi="Tahoma" w:cs="Tahoma"/>
        </w:rPr>
      </w:pPr>
    </w:p>
    <w:p w:rsidR="000811BC" w:rsidRPr="00AC1D92" w:rsidRDefault="000811BC" w:rsidP="000811BC">
      <w:pPr>
        <w:pStyle w:val="Ttulo"/>
        <w:rPr>
          <w:rFonts w:eastAsia="Times New Roman"/>
          <w:lang w:eastAsia="es-ES"/>
        </w:rPr>
      </w:pPr>
      <w:r w:rsidRPr="00AC1D92">
        <w:rPr>
          <w:rFonts w:eastAsia="Times New Roman"/>
          <w:lang w:eastAsia="es-ES"/>
        </w:rPr>
        <w:lastRenderedPageBreak/>
        <w:t>Fechas:</w:t>
      </w:r>
    </w:p>
    <w:tbl>
      <w:tblPr>
        <w:tblW w:w="9680" w:type="dxa"/>
        <w:tblInd w:w="-3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680"/>
      </w:tblGrid>
      <w:tr w:rsidR="000811BC" w:rsidTr="00AD5F65">
        <w:tc>
          <w:tcPr>
            <w:tcW w:w="9680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szCs w:val="24"/>
                <w:lang w:eastAsia="es-ES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br/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1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–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19 y 20 de Octubre de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2 -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7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Noviembre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414A92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3 -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4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Diciembre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2024</w:t>
            </w:r>
          </w:p>
          <w:p w:rsidR="000811BC" w:rsidRPr="00960B8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szCs w:val="24"/>
                <w:lang w:eastAsia="es-ES"/>
              </w:rPr>
            </w:pPr>
            <w:r w:rsidRPr="00414A92">
              <w:rPr>
                <w:rStyle w:val="Textoennegrita"/>
                <w:rFonts w:asciiTheme="majorHAnsi" w:hAnsiTheme="majorHAnsi" w:cstheme="minorHAnsi"/>
                <w:color w:val="C00000"/>
              </w:rPr>
              <w:t>Módulo 4</w:t>
            </w:r>
            <w:r w:rsidRPr="00414A92">
              <w:rPr>
                <w:rStyle w:val="Textoennegrita"/>
                <w:rFonts w:asciiTheme="majorHAnsi" w:hAnsiTheme="majorHAnsi" w:cstheme="minorHAnsi"/>
                <w:color w:val="000000"/>
              </w:rPr>
              <w:t xml:space="preserve"> </w:t>
            </w:r>
            <w:r>
              <w:rPr>
                <w:rStyle w:val="Textoennegrita"/>
                <w:rFonts w:asciiTheme="majorHAnsi" w:hAnsiTheme="majorHAnsi" w:cstheme="minorHAnsi"/>
                <w:color w:val="000000"/>
              </w:rPr>
              <w:t>–</w:t>
            </w:r>
            <w:r w:rsidRPr="00414A92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>
              <w:rPr>
                <w:rStyle w:val="Textoennegrita"/>
                <w:rFonts w:asciiTheme="majorHAnsi" w:hAnsiTheme="majorHAnsi" w:cstheme="minorHAnsi"/>
                <w:color w:val="000000"/>
              </w:rPr>
              <w:t>18 y 19 de Enero</w:t>
            </w:r>
            <w:r w:rsidRPr="00414A92">
              <w:rPr>
                <w:rStyle w:val="Textoennegrita"/>
                <w:rFonts w:asciiTheme="majorHAnsi" w:hAnsiTheme="majorHAnsi" w:cstheme="minorHAnsi"/>
                <w:color w:val="000000"/>
              </w:rPr>
              <w:t xml:space="preserve"> de 2025</w:t>
            </w:r>
          </w:p>
          <w:p w:rsidR="000811B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Módulo 5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-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Febrero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  <w:p w:rsidR="000811BC" w:rsidRPr="000811BC" w:rsidRDefault="000811BC" w:rsidP="00AD5F65">
            <w:pPr>
              <w:spacing w:before="100" w:beforeAutospacing="1" w:after="100" w:afterAutospacing="1" w:line="240" w:lineRule="auto"/>
              <w:ind w:left="101"/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</w:pP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Módulo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>6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 </w:t>
            </w:r>
            <w:r>
              <w:rPr>
                <w:rFonts w:asciiTheme="majorHAnsi" w:eastAsia="Times New Roman" w:hAnsiTheme="majorHAnsi" w:cstheme="minorHAnsi"/>
                <w:b/>
                <w:bCs/>
                <w:color w:val="C00000"/>
                <w:szCs w:val="24"/>
                <w:lang w:eastAsia="es-ES"/>
              </w:rPr>
              <w:t xml:space="preserve">-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5 y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1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6 de 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Marzo</w:t>
            </w:r>
            <w:r w:rsidRPr="00414A92"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 xml:space="preserve"> de 202</w:t>
            </w:r>
            <w:r>
              <w:rPr>
                <w:rFonts w:asciiTheme="majorHAnsi" w:eastAsia="Times New Roman" w:hAnsiTheme="majorHAnsi" w:cstheme="minorHAnsi"/>
                <w:b/>
                <w:bCs/>
                <w:szCs w:val="24"/>
                <w:lang w:eastAsia="es-ES"/>
              </w:rPr>
              <w:t>4</w:t>
            </w:r>
          </w:p>
        </w:tc>
      </w:tr>
    </w:tbl>
    <w:p w:rsidR="000811BC" w:rsidRDefault="000811BC" w:rsidP="000811BC">
      <w:pPr>
        <w:rPr>
          <w:rFonts w:ascii="Tahoma" w:hAnsi="Tahoma" w:cs="Tahoma"/>
        </w:rPr>
      </w:pPr>
    </w:p>
    <w:p w:rsidR="000811BC" w:rsidRPr="00AC1D92" w:rsidRDefault="000811BC" w:rsidP="000811BC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br/>
        <w:t>Horarios del curso</w:t>
      </w:r>
      <w:r w:rsidRPr="00AC1D92">
        <w:rPr>
          <w:rFonts w:eastAsia="Times New Roman"/>
          <w:lang w:eastAsia="es-ES"/>
        </w:rPr>
        <w:t>:</w:t>
      </w:r>
    </w:p>
    <w:p w:rsidR="000811BC" w:rsidRDefault="000811BC" w:rsidP="000811BC">
      <w:pPr>
        <w:rPr>
          <w:rFonts w:ascii="Tahoma" w:hAnsi="Tahoma" w:cs="Tahoma"/>
          <w:b/>
        </w:rPr>
      </w:pPr>
    </w:p>
    <w:p w:rsidR="000811BC" w:rsidRDefault="000811BC" w:rsidP="000811BC">
      <w:pPr>
        <w:rPr>
          <w:rFonts w:ascii="Tahoma" w:hAnsi="Tahoma" w:cs="Tahoma"/>
        </w:rPr>
      </w:pPr>
    </w:p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4819"/>
      </w:tblGrid>
      <w:tr w:rsidR="000811BC" w:rsidTr="00AD5F65">
        <w:tc>
          <w:tcPr>
            <w:tcW w:w="4819" w:type="dxa"/>
            <w:noWrap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811BC" w:rsidRPr="00414A92" w:rsidRDefault="000811BC" w:rsidP="00AD5F65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br/>
            </w:r>
            <w:r w:rsidRPr="00414A92">
              <w:rPr>
                <w:rFonts w:ascii="Tahoma" w:hAnsi="Tahoma" w:cs="Tahoma"/>
                <w:b/>
              </w:rPr>
              <w:t>Los horarios son:</w:t>
            </w:r>
          </w:p>
          <w:p w:rsidR="000811BC" w:rsidRDefault="000811BC" w:rsidP="00AD5F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  <w:p w:rsidR="000811BC" w:rsidRDefault="000811BC" w:rsidP="00AD5F6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Mañana de 10 a 14.00 horas </w:t>
            </w:r>
            <w:r>
              <w:rPr>
                <w:rFonts w:ascii="Tahoma" w:hAnsi="Tahoma" w:cs="Tahoma"/>
              </w:rPr>
              <w:br/>
            </w:r>
            <w:r>
              <w:rPr>
                <w:rFonts w:ascii="Tahoma" w:hAnsi="Tahoma" w:cs="Tahoma"/>
              </w:rPr>
              <w:br/>
              <w:t>Tarde de 15:30 a 19.00 horas</w:t>
            </w:r>
          </w:p>
          <w:p w:rsidR="000811BC" w:rsidRDefault="000811BC" w:rsidP="00AD5F65">
            <w:pPr>
              <w:rPr>
                <w:rFonts w:ascii="Tahoma" w:hAnsi="Tahoma" w:cs="Tahoma"/>
                <w:b/>
              </w:rPr>
            </w:pPr>
          </w:p>
        </w:tc>
        <w:tc>
          <w:tcPr>
            <w:tcW w:w="4819" w:type="dxa"/>
            <w:noWrap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811BC" w:rsidRDefault="000811BC" w:rsidP="00AD5F65">
            <w:pPr>
              <w:jc w:val="center"/>
              <w:rPr>
                <w:rFonts w:ascii="Tahoma" w:hAnsi="Tahoma" w:cs="Tahoma"/>
                <w:b/>
              </w:rPr>
            </w:pPr>
            <w:r w:rsidRPr="00414A92">
              <w:rPr>
                <w:rFonts w:ascii="Tahoma" w:hAnsi="Tahoma" w:cs="Tahoma"/>
                <w:b/>
                <w:noProof/>
                <w:lang w:eastAsia="es-ES"/>
              </w:rPr>
              <w:drawing>
                <wp:inline distT="0" distB="0" distL="0" distR="0">
                  <wp:extent cx="950680" cy="863600"/>
                  <wp:effectExtent l="19050" t="0" r="1820" b="0"/>
                  <wp:docPr id="1" name="1 Imagen" descr="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12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214" cy="86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</w:rPr>
              <w:br/>
            </w:r>
            <w:r w:rsidRPr="00414A92">
              <w:rPr>
                <w:rFonts w:asciiTheme="majorHAnsi" w:hAnsiTheme="majorHAnsi" w:cs="Tahoma"/>
                <w:b/>
              </w:rPr>
              <w:t xml:space="preserve">Asociación </w:t>
            </w:r>
            <w:proofErr w:type="spellStart"/>
            <w:r w:rsidRPr="00414A92">
              <w:rPr>
                <w:rFonts w:asciiTheme="majorHAnsi" w:hAnsiTheme="majorHAnsi" w:cs="Tahoma"/>
                <w:b/>
              </w:rPr>
              <w:t>Alaya</w:t>
            </w:r>
            <w:proofErr w:type="spellEnd"/>
            <w:r w:rsidRPr="00414A92">
              <w:rPr>
                <w:rFonts w:asciiTheme="majorHAnsi" w:hAnsiTheme="majorHAnsi" w:cs="Tahoma"/>
                <w:b/>
              </w:rPr>
              <w:t xml:space="preserve"> </w:t>
            </w:r>
            <w:proofErr w:type="spellStart"/>
            <w:r w:rsidRPr="00414A92">
              <w:rPr>
                <w:rFonts w:asciiTheme="majorHAnsi" w:hAnsiTheme="majorHAnsi" w:cs="Tahoma"/>
                <w:b/>
              </w:rPr>
              <w:t>Ayurveda</w:t>
            </w:r>
            <w:proofErr w:type="spellEnd"/>
            <w:r>
              <w:rPr>
                <w:rFonts w:ascii="Tahoma" w:hAnsi="Tahoma" w:cs="Tahoma"/>
                <w:b/>
              </w:rPr>
              <w:br/>
            </w:r>
            <w:hyperlink r:id="rId5" w:history="1">
              <w:r w:rsidRPr="00414A92">
                <w:rPr>
                  <w:rStyle w:val="Hipervnculo"/>
                  <w:rFonts w:ascii="Tahoma" w:hAnsi="Tahoma" w:cs="Tahoma"/>
                  <w:b/>
                  <w:sz w:val="18"/>
                  <w:szCs w:val="18"/>
                </w:rPr>
                <w:t>recepción@medicina-ayurveda.es</w:t>
              </w:r>
            </w:hyperlink>
          </w:p>
          <w:p w:rsidR="000811BC" w:rsidRPr="00414A92" w:rsidRDefault="000811BC" w:rsidP="00AD5F65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Móvil: </w:t>
            </w:r>
            <w:r w:rsidRPr="00414A92">
              <w:rPr>
                <w:rFonts w:asciiTheme="minorHAnsi" w:hAnsiTheme="minorHAnsi" w:cstheme="minorHAnsi"/>
                <w:b/>
              </w:rPr>
              <w:t>639-72 -32 -55</w:t>
            </w:r>
            <w:r w:rsidRPr="00414A92">
              <w:rPr>
                <w:rFonts w:asciiTheme="minorHAnsi" w:hAnsiTheme="minorHAnsi" w:cstheme="minorHAnsi"/>
                <w:b/>
              </w:rPr>
              <w:br/>
            </w:r>
          </w:p>
        </w:tc>
      </w:tr>
    </w:tbl>
    <w:p w:rsidR="0023478F" w:rsidRDefault="0023478F">
      <w:pPr>
        <w:rPr>
          <w:rFonts w:ascii="Tahoma" w:hAnsi="Tahoma" w:cs="Tahoma"/>
        </w:rPr>
      </w:pPr>
    </w:p>
    <w:p w:rsidR="004D60FA" w:rsidRPr="004D60FA" w:rsidRDefault="004D60FA" w:rsidP="004D60FA"/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0811BC" w:rsidRDefault="000811BC" w:rsidP="001A7659">
      <w:pPr>
        <w:pStyle w:val="Ttulo"/>
        <w:rPr>
          <w:rStyle w:val="Textoennegrita"/>
          <w:b w:val="0"/>
          <w:bCs w:val="0"/>
          <w:color w:val="000000"/>
        </w:rPr>
      </w:pPr>
    </w:p>
    <w:p w:rsidR="001A7659" w:rsidRPr="004D60FA" w:rsidRDefault="004D60FA" w:rsidP="000811BC">
      <w:pPr>
        <w:pStyle w:val="Ttulo"/>
        <w:rPr>
          <w:rStyle w:val="nfasis"/>
          <w:i w:val="0"/>
          <w:color w:val="1F497D" w:themeColor="text2"/>
        </w:rPr>
      </w:pP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lastRenderedPageBreak/>
        <w:br/>
      </w:r>
      <w:r>
        <w:rPr>
          <w:rStyle w:val="nfasis"/>
          <w:i w:val="0"/>
          <w:color w:val="1F497D" w:themeColor="text2"/>
        </w:rPr>
        <w:br/>
      </w:r>
      <w:r>
        <w:rPr>
          <w:rStyle w:val="nfasis"/>
          <w:i w:val="0"/>
          <w:color w:val="1F497D" w:themeColor="text2"/>
        </w:rPr>
        <w:br/>
      </w:r>
      <w:r w:rsidR="001A7659" w:rsidRPr="004D60FA">
        <w:rPr>
          <w:rStyle w:val="nfasis"/>
          <w:i w:val="0"/>
          <w:color w:val="1F497D" w:themeColor="text2"/>
        </w:rPr>
        <w:t>Profesorado</w:t>
      </w:r>
    </w:p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ook w:val="04A0"/>
      </w:tblPr>
      <w:tblGrid>
        <w:gridCol w:w="10206"/>
      </w:tblGrid>
      <w:tr w:rsidR="0023478F" w:rsidTr="00360CF1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F67B51" w:rsidRDefault="0023478F" w:rsidP="001E6A34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</w:pPr>
            <w:r w:rsidRPr="0023478F"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462915</wp:posOffset>
                  </wp:positionV>
                  <wp:extent cx="1439545" cy="1441450"/>
                  <wp:effectExtent l="19050" t="0" r="8255" b="0"/>
                  <wp:wrapSquare wrapText="bothSides"/>
                  <wp:docPr id="17" name="Imagen 1" descr="https://medicina-ayurveda.es/wp-content/uploads/2018/07/anabel-f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cina-ayurveda.es/wp-content/uploads/2018/07/anabel-f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4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                    </w:t>
            </w:r>
            <w:r w:rsid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 xml:space="preserve"> </w:t>
            </w:r>
            <w:r w:rsidR="001E6A34" w:rsidRPr="001E6A34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                                       </w:t>
            </w:r>
            <w:r w:rsidR="00F67B5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lang w:eastAsia="es-ES"/>
              </w:rPr>
              <w:t xml:space="preserve">   </w:t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ANABEL CALVENTE</w:t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br/>
            </w:r>
            <w:r>
              <w:rPr>
                <w:rFonts w:asciiTheme="minorHAnsi" w:eastAsia="Times New Roman" w:hAnsiTheme="minorHAnsi" w:cstheme="minorHAnsi"/>
                <w:color w:val="auto"/>
                <w:szCs w:val="24"/>
                <w:lang w:eastAsia="es-ES"/>
              </w:rPr>
              <w:br/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Tera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peuta holística con 10 años de experiencia trabajando con diferentes técnicas naturales.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>Mis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técnicas hacen 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énfasis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tanto el aspecto físico, como el emocional-mental-espiritual y se utilizan tanto técnicas manuales, como acompañamiento emocional, aspectos de aroma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terapia y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fito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terapia, terapias sonoras y energéticas.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Cursó su formación en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en el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Ayurvedic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Institut</w:t>
            </w:r>
            <w:proofErr w:type="spellEnd"/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; cursando las asign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aturas en diagn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ó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stico y tratamientos, nutrición y todas las especialidades de masaje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ayurvédico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más ut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</w:t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lizadas en India. En el año 2015 se incorporó como docente en nuestro programa de estudios.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br/>
            </w:r>
            <w:r w:rsidR="00F67B51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 xml:space="preserve">        </w:t>
            </w:r>
          </w:p>
          <w:p w:rsidR="00F67B51" w:rsidRDefault="00F67B51" w:rsidP="001E6A34">
            <w:pPr>
              <w:spacing w:before="100" w:beforeAutospacing="1" w:after="100" w:afterAutospacing="1"/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</w:pPr>
          </w:p>
          <w:p w:rsidR="0023478F" w:rsidRDefault="0023478F" w:rsidP="001A765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Cs w:val="24"/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10160</wp:posOffset>
                  </wp:positionV>
                  <wp:extent cx="1439545" cy="1155700"/>
                  <wp:effectExtent l="19050" t="0" r="8255" b="0"/>
                  <wp:wrapSquare wrapText="bothSides"/>
                  <wp:docPr id="16" name="Imagen 3" descr="https://medicina-ayurveda.es/wp-content/uploads/2020/11/foto1-300x2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cina-ayurveda.es/wp-content/uploads/2020/11/foto1-300x2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3478F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  <w:u w:val="single"/>
                <w:lang w:eastAsia="es-ES"/>
              </w:rPr>
              <w:t>PATRICIA SANZ</w:t>
            </w:r>
            <w:r w:rsidRPr="00125B75">
              <w:rPr>
                <w:rFonts w:ascii="Times New Roman" w:eastAsia="Times New Roman" w:hAnsi="Times New Roman"/>
                <w:color w:val="000000"/>
                <w:szCs w:val="24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Terapeuta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dedicada a aliviar cuerpo y mente mediante la nutrición, técnicas de masaje y tratamientos herbales, complementando con técnicas de yoga como ejercicios respiratorios,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yogaterapia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 meditación.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 xml:space="preserve">Paralelamente, desarrolla talleres personalizados de técnicas de cocina saludable incorporando conceptos de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 técnicas más actuales.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  <w:br/>
            </w:r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Formada en nutrición y masaje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por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Ayurvedic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Institut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de Pune en 2018 y en la ciencia y arte del yoga con Tomás </w:t>
            </w:r>
            <w:proofErr w:type="spellStart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Zorzo</w:t>
            </w:r>
            <w:proofErr w:type="spellEnd"/>
            <w:r w:rsidRPr="00125B75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en 2017</w:t>
            </w:r>
          </w:p>
        </w:tc>
      </w:tr>
    </w:tbl>
    <w:p w:rsidR="009D3023" w:rsidRPr="009D3023" w:rsidRDefault="009D3023" w:rsidP="009D3023"/>
    <w:p w:rsidR="004D60FA" w:rsidRPr="000811BC" w:rsidRDefault="004D60FA" w:rsidP="004D60FA">
      <w:pPr>
        <w:pStyle w:val="Ttulo"/>
        <w:rPr>
          <w:color w:val="1F497D" w:themeColor="text2"/>
        </w:rPr>
      </w:pP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br/>
      </w:r>
      <w:r>
        <w:rPr>
          <w:rStyle w:val="Textoennegrita"/>
          <w:b w:val="0"/>
          <w:bCs w:val="0"/>
          <w:color w:val="1F497D" w:themeColor="text2"/>
        </w:rPr>
        <w:lastRenderedPageBreak/>
        <w:br/>
        <w:t>Objetivos</w:t>
      </w:r>
    </w:p>
    <w:p w:rsidR="004D60FA" w:rsidRDefault="004D60FA" w:rsidP="004D60FA"/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Look w:val="04A0"/>
      </w:tblPr>
      <w:tblGrid>
        <w:gridCol w:w="10206"/>
      </w:tblGrid>
      <w:tr w:rsidR="004D60FA" w:rsidTr="00AD5F65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Objetivos: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adquirir los fundamentos del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tradicional y aprender a aplicarlos en el ámbito  de la Alimentación, tanto en personas sanas como en personas afectadas por algún problema ya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diagnosticado.Con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este programa se pretende formar a terapeutas en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ĀyurvedaTradicional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para que comiencen a realizar sus terapias de forma integral. El objetivo a conseguir es que los terapeutas en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puedan ayudar al paciente mediante el cambio en la dieta y rutinas diarias.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Público: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este curso está dirigido a cualquier persona mayor de edad con inquietud por la medicina </w:t>
            </w:r>
            <w:proofErr w:type="spell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Āyurveda</w:t>
            </w:r>
            <w:proofErr w:type="spell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. 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eastAsia="es-ES"/>
              </w:rPr>
              <w:t>Duración:</w:t>
            </w: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146 horas distribuidas de la siguiente manera: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– 96 h. </w:t>
            </w:r>
            <w:proofErr w:type="gramStart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lectivas</w:t>
            </w:r>
            <w:proofErr w:type="gramEnd"/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 xml:space="preserve"> en 6 seminarios presenciales de fin de semana.</w:t>
            </w:r>
          </w:p>
          <w:p w:rsidR="004D60FA" w:rsidRPr="004D60FA" w:rsidRDefault="004D60FA" w:rsidP="00AD5F65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s-ES"/>
              </w:rPr>
            </w:pPr>
            <w:r w:rsidRPr="004D60F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eastAsia="es-ES"/>
              </w:rPr>
              <w:t>– 50 h. de estudio y trabajo personal.</w:t>
            </w:r>
          </w:p>
          <w:p w:rsidR="004D60FA" w:rsidRDefault="004D60FA" w:rsidP="00AD5F65">
            <w:pPr>
              <w:jc w:val="both"/>
            </w:pPr>
          </w:p>
        </w:tc>
      </w:tr>
    </w:tbl>
    <w:p w:rsidR="004D60FA" w:rsidRDefault="004D60FA" w:rsidP="004D60FA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4D60FA" w:rsidRDefault="004D60FA" w:rsidP="004D60FA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4D60FA" w:rsidRPr="000811BC" w:rsidRDefault="004D60FA" w:rsidP="004D60FA">
      <w:pPr>
        <w:pStyle w:val="Ttulo"/>
        <w:rPr>
          <w:color w:val="1F497D" w:themeColor="text2"/>
        </w:rPr>
      </w:pPr>
      <w:r w:rsidRPr="000811BC">
        <w:rPr>
          <w:rStyle w:val="Textoennegrita"/>
          <w:b w:val="0"/>
          <w:bCs w:val="0"/>
          <w:color w:val="1F497D" w:themeColor="text2"/>
        </w:rPr>
        <w:t>Inscripciones</w:t>
      </w:r>
    </w:p>
    <w:p w:rsidR="004D60FA" w:rsidRDefault="004D60FA" w:rsidP="004D60FA"/>
    <w:tbl>
      <w:tblPr>
        <w:tblStyle w:val="Tablaconcuadrcula"/>
        <w:tblW w:w="0" w:type="auto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Layout w:type="fixed"/>
        <w:tblLook w:val="04A0"/>
      </w:tblPr>
      <w:tblGrid>
        <w:gridCol w:w="10206"/>
      </w:tblGrid>
      <w:tr w:rsidR="004D60FA" w:rsidTr="00AD5F65">
        <w:tc>
          <w:tcPr>
            <w:tcW w:w="10206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4D60FA" w:rsidRPr="000811BC" w:rsidRDefault="004D60FA" w:rsidP="00AD5F65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0811BC">
              <w:rPr>
                <w:rStyle w:val="Textoennegrita"/>
                <w:rFonts w:asciiTheme="minorHAnsi" w:hAnsiTheme="minorHAnsi" w:cstheme="minorHAnsi"/>
                <w:color w:val="000000"/>
                <w:sz w:val="20"/>
                <w:szCs w:val="20"/>
              </w:rPr>
              <w:t>Requisitos de Admisión:</w:t>
            </w:r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ser mayor de edad.</w:t>
            </w:r>
          </w:p>
          <w:p w:rsidR="004D60FA" w:rsidRDefault="004D60FA" w:rsidP="00AD5F65">
            <w:pPr>
              <w:jc w:val="both"/>
            </w:pPr>
            <w:r w:rsidRPr="000811BC">
              <w:rPr>
                <w:rStyle w:val="Textoennegrita"/>
                <w:rFonts w:asciiTheme="minorHAnsi" w:hAnsiTheme="minorHAnsi" w:cstheme="minorHAnsi"/>
                <w:color w:val="000000"/>
                <w:sz w:val="20"/>
                <w:szCs w:val="20"/>
              </w:rPr>
              <w:t>Presentación de solicitudes:</w:t>
            </w:r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las personas interesadas en la formación se pondrán en contacto con la Recepción del centro a través de correo electrónico o el número de teléfono (0034) 639 72 32 55. La inscripción quedará formalizada después de enviar cumplimentado el formulario disponible haciendo </w:t>
            </w:r>
            <w:proofErr w:type="spellStart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click</w:t>
            </w:r>
            <w:proofErr w:type="spellEnd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Pr="000811BC">
                <w:rPr>
                  <w:rStyle w:val="Hipervnculo"/>
                  <w:rFonts w:asciiTheme="minorHAnsi" w:hAnsiTheme="minorHAnsi" w:cstheme="minorHAnsi"/>
                  <w:i/>
                  <w:iCs/>
                  <w:color w:val="000000"/>
                  <w:sz w:val="20"/>
                  <w:szCs w:val="20"/>
                </w:rPr>
                <w:t>AQUÍ</w:t>
              </w:r>
            </w:hyperlink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, e ingresar el importe de la reserva, indicando el nombre y el concepto </w:t>
            </w:r>
            <w:proofErr w:type="gramStart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“ Curso</w:t>
            </w:r>
            <w:proofErr w:type="gramEnd"/>
            <w:r w:rsidRPr="000811B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M.A”. Para cualquier aclaración sobre la formación o el procedimiento de inscripción también deberá dirigirse a la Recepción</w:t>
            </w:r>
          </w:p>
        </w:tc>
      </w:tr>
    </w:tbl>
    <w:p w:rsidR="004D60FA" w:rsidRDefault="004D60FA" w:rsidP="004D60FA">
      <w:pPr>
        <w:spacing w:before="100" w:beforeAutospacing="1" w:after="100" w:afterAutospacing="1"/>
      </w:pPr>
      <w:r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  <w:t xml:space="preserve">                             </w:t>
      </w:r>
    </w:p>
    <w:p w:rsidR="000811BC" w:rsidRDefault="000811BC" w:rsidP="009D3023">
      <w:pPr>
        <w:pStyle w:val="Ttulo"/>
        <w:rPr>
          <w:rStyle w:val="Textoennegrita"/>
          <w:b w:val="0"/>
          <w:bCs w:val="0"/>
          <w:color w:val="000000"/>
        </w:rPr>
      </w:pPr>
    </w:p>
    <w:p w:rsidR="004D60FA" w:rsidRPr="001A7659" w:rsidRDefault="004D60FA" w:rsidP="004D60FA">
      <w:pPr>
        <w:pStyle w:val="Ttulo"/>
        <w:rPr>
          <w:rFonts w:eastAsia="Times New Roman"/>
          <w:kern w:val="36"/>
          <w:lang w:eastAsia="es-ES"/>
        </w:rPr>
      </w:pP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br/>
      </w:r>
      <w:r>
        <w:rPr>
          <w:rFonts w:ascii="Calibri" w:eastAsiaTheme="minorHAnsi" w:hAnsi="Calibri" w:cs="Times New Roman"/>
          <w:color w:val="000000" w:themeColor="text1"/>
          <w:spacing w:val="0"/>
          <w:kern w:val="0"/>
          <w:sz w:val="24"/>
        </w:rPr>
        <w:lastRenderedPageBreak/>
        <w:br/>
      </w:r>
      <w:r w:rsidRPr="00D23329">
        <w:rPr>
          <w:rFonts w:eastAsia="Times New Roman"/>
          <w:kern w:val="36"/>
          <w:lang w:eastAsia="es-ES"/>
        </w:rPr>
        <w:t>A</w:t>
      </w:r>
      <w:r>
        <w:rPr>
          <w:rFonts w:eastAsia="Times New Roman"/>
          <w:kern w:val="36"/>
          <w:lang w:eastAsia="es-ES"/>
        </w:rPr>
        <w:t>creditaciones</w:t>
      </w:r>
    </w:p>
    <w:tbl>
      <w:tblPr>
        <w:tblW w:w="9710" w:type="dxa"/>
        <w:tblInd w:w="-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710"/>
      </w:tblGrid>
      <w:tr w:rsidR="004D60FA" w:rsidTr="00AD5F65">
        <w:tc>
          <w:tcPr>
            <w:tcW w:w="9710" w:type="dxa"/>
            <w:noWrap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D60FA" w:rsidRPr="000811BC" w:rsidRDefault="004D60FA" w:rsidP="00AD5F6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  <w:lang w:eastAsia="es-ES"/>
              </w:rPr>
            </w:pPr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br/>
              <w:t xml:space="preserve">Los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alumn@s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tendrán la opción de obtener un diploma firmado por la Asociación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Alaya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para el    Desarrollo Integral </w:t>
            </w:r>
            <w:proofErr w:type="gram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( A.A.D.I</w:t>
            </w:r>
            <w:proofErr w:type="gram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. ) .</w:t>
            </w:r>
          </w:p>
          <w:p w:rsidR="004D60FA" w:rsidRDefault="004D60FA" w:rsidP="00AD5F65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inorHAnsi"/>
                <w:color w:val="000000"/>
                <w:szCs w:val="24"/>
                <w:lang w:eastAsia="es-ES"/>
              </w:rPr>
            </w:pPr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Para ello, los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candidat@s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tendrán que superar una evaluación que incluye un examen escrito para la parte de Bases de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Ayurveda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y  la realización de un </w:t>
            </w:r>
            <w:proofErr w:type="spellStart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>exámen</w:t>
            </w:r>
            <w:proofErr w:type="spellEnd"/>
            <w:r w:rsidRPr="000811BC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S"/>
              </w:rPr>
              <w:t xml:space="preserve"> oral y ejercicios prácticos para la parte de Masaje.</w:t>
            </w:r>
          </w:p>
        </w:tc>
      </w:tr>
    </w:tbl>
    <w:p w:rsidR="004D60FA" w:rsidRDefault="004D60FA" w:rsidP="009D3023">
      <w:pPr>
        <w:pStyle w:val="Ttulo"/>
        <w:rPr>
          <w:rStyle w:val="Textoennegrita"/>
          <w:b w:val="0"/>
          <w:bCs w:val="0"/>
          <w:color w:val="1F497D" w:themeColor="text2"/>
        </w:rPr>
      </w:pPr>
    </w:p>
    <w:p w:rsidR="009D3023" w:rsidRPr="000811BC" w:rsidRDefault="009D3023" w:rsidP="009D3023">
      <w:pPr>
        <w:pStyle w:val="Ttulo"/>
        <w:rPr>
          <w:color w:val="1F497D" w:themeColor="text2"/>
        </w:rPr>
      </w:pPr>
      <w:r w:rsidRPr="000811BC">
        <w:rPr>
          <w:rStyle w:val="Textoennegrita"/>
          <w:b w:val="0"/>
          <w:bCs w:val="0"/>
          <w:color w:val="1F497D" w:themeColor="text2"/>
        </w:rPr>
        <w:t>Pagos</w:t>
      </w:r>
    </w:p>
    <w:p w:rsidR="0011193F" w:rsidRPr="0011193F" w:rsidRDefault="0011193F" w:rsidP="0011193F"/>
    <w:tbl>
      <w:tblPr>
        <w:tblW w:w="9720" w:type="dxa"/>
        <w:tblInd w:w="-11" w:type="dxa"/>
        <w:tblBorders>
          <w:top w:val="double" w:sz="4" w:space="0" w:color="1F497D" w:themeColor="text2"/>
          <w:left w:val="double" w:sz="4" w:space="0" w:color="1F497D" w:themeColor="text2"/>
          <w:bottom w:val="double" w:sz="4" w:space="0" w:color="1F497D" w:themeColor="text2"/>
          <w:right w:val="double" w:sz="4" w:space="0" w:color="1F497D" w:themeColor="text2"/>
          <w:insideH w:val="double" w:sz="4" w:space="0" w:color="1F497D" w:themeColor="text2"/>
          <w:insideV w:val="double" w:sz="4" w:space="0" w:color="1F497D" w:themeColor="text2"/>
        </w:tblBorders>
        <w:tblCellMar>
          <w:left w:w="70" w:type="dxa"/>
          <w:right w:w="70" w:type="dxa"/>
        </w:tblCellMar>
        <w:tblLook w:val="0000"/>
      </w:tblPr>
      <w:tblGrid>
        <w:gridCol w:w="9720"/>
      </w:tblGrid>
      <w:tr w:rsidR="00F26768" w:rsidTr="009D3023">
        <w:tc>
          <w:tcPr>
            <w:tcW w:w="9720" w:type="dxa"/>
            <w:tcMar>
              <w:top w:w="284" w:type="dxa"/>
              <w:left w:w="284" w:type="dxa"/>
              <w:bottom w:w="284" w:type="dxa"/>
              <w:right w:w="284" w:type="dxa"/>
            </w:tcMar>
            <w:vAlign w:val="center"/>
          </w:tcPr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Precio: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</w:t>
            </w:r>
            <w:r w:rsid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euros.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Número de Cuenta: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ES88 2100 0722 5301 0104 0019 – </w:t>
            </w:r>
            <w:proofErr w:type="spell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Caixabanc</w:t>
            </w:r>
            <w:proofErr w:type="spell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-.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Formas de Pago: </w:t>
            </w:r>
            <w:r w:rsidRPr="00D23329">
              <w:rPr>
                <w:rStyle w:val="estilo150"/>
                <w:rFonts w:asciiTheme="minorHAnsi" w:hAnsiTheme="minorHAnsi" w:cstheme="minorHAnsi"/>
                <w:color w:val="000000"/>
                <w:sz w:val="22"/>
                <w:szCs w:val="22"/>
              </w:rPr>
              <w:t>reserva de 200</w:t>
            </w:r>
            <w:r w:rsidRPr="00D23329">
              <w:rPr>
                <w:rStyle w:val="estilo135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euros en la cuenta indicada arriba. </w:t>
            </w:r>
          </w:p>
          <w:p w:rsidR="0011193F" w:rsidRPr="000811BC" w:rsidRDefault="0011193F" w:rsidP="000811BC">
            <w:pPr>
              <w:pStyle w:val="NormalWeb"/>
              <w:ind w:left="81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3329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Resto pagos fraccionados</w:t>
            </w:r>
            <w:r w:rsidR="000811B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="007809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  <w:r w:rsidR="000811BC" w:rsidRP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mensualidades consecutivas de 2</w:t>
            </w:r>
            <w:r w:rsidR="007809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0811BC" w:rsidRP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0 euros comenzando en </w:t>
            </w:r>
            <w:r w:rsidR="0078096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Octubre</w:t>
            </w:r>
            <w:r w:rsidR="000811BC" w:rsidRPr="000811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finalizando en Marzo. Para aquellas personas que abonen el total de la formación en un solo pago habrá un descuento de 50 euros (Consultar).</w:t>
            </w:r>
          </w:p>
          <w:p w:rsidR="0011193F" w:rsidRPr="00D23329" w:rsidRDefault="0011193F" w:rsidP="0011193F">
            <w:pPr>
              <w:pStyle w:val="NormalWeb"/>
              <w:ind w:left="81"/>
              <w:rPr>
                <w:rFonts w:asciiTheme="minorHAnsi" w:hAnsiTheme="minorHAnsi" w:cstheme="minorHAnsi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Reembolsos: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 se realizarán reembolsos una vez comenzado el </w:t>
            </w:r>
            <w:proofErr w:type="gram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curso .</w:t>
            </w:r>
            <w:proofErr w:type="gram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</w:t>
            </w:r>
            <w:proofErr w:type="gramEnd"/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alumnos que debido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 enfermedad propia o de un </w:t>
            </w:r>
            <w:r w:rsidRPr="00474F6A">
              <w:rPr>
                <w:rFonts w:asciiTheme="minorHAnsi" w:hAnsiTheme="minorHAnsi" w:cstheme="minorHAnsi"/>
                <w:color w:val="000000"/>
                <w:szCs w:val="22"/>
              </w:rPr>
              <w:t>famil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i</w:t>
            </w:r>
            <w:r w:rsidRPr="00474F6A">
              <w:rPr>
                <w:rFonts w:asciiTheme="minorHAnsi" w:hAnsiTheme="minorHAnsi" w:cstheme="minorHAnsi"/>
                <w:color w:val="000000"/>
                <w:szCs w:val="22"/>
              </w:rPr>
              <w:t xml:space="preserve">ar 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directo no puedan acabar la formación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deberán presentar justificante médico. En 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 caso, se aplicará un importe de 190 euros, en concepto de ocupación de plaza, y 150 euros  por fin de semana disfrutado y se les devolverá el importe abonado que exceda la cantidad resultante.</w:t>
            </w:r>
          </w:p>
          <w:p w:rsidR="00F26768" w:rsidRDefault="0011193F" w:rsidP="0011193F">
            <w:pPr>
              <w:pStyle w:val="NormalWeb"/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23329">
              <w:rPr>
                <w:rStyle w:val="Textoennegrita"/>
                <w:rFonts w:asciiTheme="minorHAnsi" w:hAnsiTheme="minorHAnsi" w:cstheme="minorHAnsi"/>
                <w:color w:val="000000"/>
                <w:sz w:val="22"/>
                <w:szCs w:val="22"/>
              </w:rPr>
              <w:t>Cancelación de reservas: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la fecha máxima para cancelación de reservas será el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04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Octubre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202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  <w:r w:rsidRPr="00D2332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De lo contrario se perderá la reserva de 200 euros.</w:t>
            </w:r>
          </w:p>
        </w:tc>
      </w:tr>
    </w:tbl>
    <w:p w:rsidR="000811BC" w:rsidRPr="000811BC" w:rsidRDefault="000811BC" w:rsidP="000811BC"/>
    <w:sectPr w:rsidR="000811BC" w:rsidRPr="000811BC" w:rsidSect="00F67B51">
      <w:pgSz w:w="12240" w:h="15840" w:code="1"/>
      <w:pgMar w:top="851" w:right="1041" w:bottom="851" w:left="1418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960B8C"/>
    <w:rsid w:val="00021AFA"/>
    <w:rsid w:val="000811BC"/>
    <w:rsid w:val="00095D7F"/>
    <w:rsid w:val="000978B9"/>
    <w:rsid w:val="000C3A2F"/>
    <w:rsid w:val="000D4988"/>
    <w:rsid w:val="0011193F"/>
    <w:rsid w:val="00125B75"/>
    <w:rsid w:val="00140773"/>
    <w:rsid w:val="0016029D"/>
    <w:rsid w:val="00165539"/>
    <w:rsid w:val="001A7659"/>
    <w:rsid w:val="001E6A34"/>
    <w:rsid w:val="0023478F"/>
    <w:rsid w:val="00247540"/>
    <w:rsid w:val="002D28C7"/>
    <w:rsid w:val="0035419C"/>
    <w:rsid w:val="00360CF1"/>
    <w:rsid w:val="0039603C"/>
    <w:rsid w:val="003D3874"/>
    <w:rsid w:val="004020B1"/>
    <w:rsid w:val="004138D3"/>
    <w:rsid w:val="00414A92"/>
    <w:rsid w:val="00474F6A"/>
    <w:rsid w:val="00483245"/>
    <w:rsid w:val="004B57D3"/>
    <w:rsid w:val="004D60FA"/>
    <w:rsid w:val="004E6B96"/>
    <w:rsid w:val="004F11B7"/>
    <w:rsid w:val="005209FE"/>
    <w:rsid w:val="005643B8"/>
    <w:rsid w:val="00686F25"/>
    <w:rsid w:val="006C2B61"/>
    <w:rsid w:val="00732045"/>
    <w:rsid w:val="00780965"/>
    <w:rsid w:val="007B418F"/>
    <w:rsid w:val="0088671D"/>
    <w:rsid w:val="008D1605"/>
    <w:rsid w:val="00920904"/>
    <w:rsid w:val="00931C46"/>
    <w:rsid w:val="00960B8C"/>
    <w:rsid w:val="009D3023"/>
    <w:rsid w:val="009F08CD"/>
    <w:rsid w:val="00AC1D92"/>
    <w:rsid w:val="00B022FB"/>
    <w:rsid w:val="00BA215D"/>
    <w:rsid w:val="00BF5DD6"/>
    <w:rsid w:val="00C666B4"/>
    <w:rsid w:val="00CB2332"/>
    <w:rsid w:val="00D23329"/>
    <w:rsid w:val="00D67080"/>
    <w:rsid w:val="00E014F3"/>
    <w:rsid w:val="00F26768"/>
    <w:rsid w:val="00F6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000000" w:themeColor="text1"/>
        <w:sz w:val="24"/>
        <w:szCs w:val="52"/>
        <w:lang w:val="es-ES" w:eastAsia="en-US" w:bidi="ar-SA"/>
      </w:rPr>
    </w:rPrDefault>
    <w:pPrDefault>
      <w:pPr>
        <w:spacing w:line="237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96"/>
  </w:style>
  <w:style w:type="paragraph" w:styleId="Ttulo1">
    <w:name w:val="heading 1"/>
    <w:basedOn w:val="Normal"/>
    <w:link w:val="Ttulo1Car"/>
    <w:uiPriority w:val="9"/>
    <w:qFormat/>
    <w:rsid w:val="0096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3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B8C"/>
    <w:rPr>
      <w:rFonts w:ascii="Times New Roman" w:eastAsia="Times New Roman" w:hAnsi="Times New Roman"/>
      <w:b/>
      <w:bCs/>
      <w:color w:val="auto"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960B8C"/>
    <w:rPr>
      <w:b/>
      <w:bCs/>
    </w:rPr>
  </w:style>
  <w:style w:type="paragraph" w:styleId="NormalWeb">
    <w:name w:val="Normal (Web)"/>
    <w:basedOn w:val="Normal"/>
    <w:uiPriority w:val="99"/>
    <w:unhideWhenUsed/>
    <w:rsid w:val="00960B8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  <w:lang w:eastAsia="es-ES"/>
    </w:rPr>
  </w:style>
  <w:style w:type="table" w:styleId="Tablaconcuadrcula">
    <w:name w:val="Table Grid"/>
    <w:basedOn w:val="Tablanormal"/>
    <w:uiPriority w:val="59"/>
    <w:rsid w:val="003D38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next w:val="Normal"/>
    <w:link w:val="TtuloCar"/>
    <w:uiPriority w:val="10"/>
    <w:qFormat/>
    <w:rsid w:val="000811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0811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</w:rPr>
  </w:style>
  <w:style w:type="paragraph" w:customStyle="1" w:styleId="CURSOS">
    <w:name w:val="CURSOS"/>
    <w:basedOn w:val="Ttulo"/>
    <w:link w:val="CURSOSCar"/>
    <w:qFormat/>
    <w:rsid w:val="00C666B4"/>
    <w:rPr>
      <w:b/>
      <w:color w:val="C00000"/>
      <w:sz w:val="36"/>
      <w:szCs w:val="36"/>
    </w:rPr>
  </w:style>
  <w:style w:type="character" w:styleId="nfasissutil">
    <w:name w:val="Subtle Emphasis"/>
    <w:basedOn w:val="Fuentedeprrafopredeter"/>
    <w:uiPriority w:val="19"/>
    <w:qFormat/>
    <w:rsid w:val="00C666B4"/>
    <w:rPr>
      <w:i/>
      <w:iCs/>
      <w:color w:val="808080" w:themeColor="text1" w:themeTint="7F"/>
    </w:rPr>
  </w:style>
  <w:style w:type="character" w:customStyle="1" w:styleId="CURSOSCar">
    <w:name w:val="CURSOS Car"/>
    <w:basedOn w:val="TtuloCar"/>
    <w:link w:val="CURSOS"/>
    <w:rsid w:val="00C666B4"/>
    <w:rPr>
      <w:b/>
      <w:color w:val="C00000"/>
      <w:sz w:val="36"/>
      <w:szCs w:val="36"/>
    </w:rPr>
  </w:style>
  <w:style w:type="character" w:styleId="nfasis">
    <w:name w:val="Emphasis"/>
    <w:basedOn w:val="Fuentedeprrafopredeter"/>
    <w:uiPriority w:val="20"/>
    <w:qFormat/>
    <w:rsid w:val="00C666B4"/>
    <w:rPr>
      <w:i/>
      <w:iCs/>
    </w:rPr>
  </w:style>
  <w:style w:type="character" w:customStyle="1" w:styleId="wpaicg-chat-message">
    <w:name w:val="wpaicg-chat-message"/>
    <w:basedOn w:val="Fuentedeprrafopredeter"/>
    <w:rsid w:val="00AC1D92"/>
  </w:style>
  <w:style w:type="paragraph" w:styleId="Textodeglobo">
    <w:name w:val="Balloon Text"/>
    <w:basedOn w:val="Normal"/>
    <w:link w:val="TextodegloboCar"/>
    <w:uiPriority w:val="99"/>
    <w:semiHidden/>
    <w:unhideWhenUsed/>
    <w:rsid w:val="00AC1D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D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4A92"/>
    <w:rPr>
      <w:color w:val="0000FF" w:themeColor="hyperlink"/>
      <w:u w:val="single"/>
    </w:rPr>
  </w:style>
  <w:style w:type="character" w:customStyle="1" w:styleId="estilo135">
    <w:name w:val="estilo135"/>
    <w:basedOn w:val="Fuentedeprrafopredeter"/>
    <w:rsid w:val="00D23329"/>
  </w:style>
  <w:style w:type="character" w:customStyle="1" w:styleId="estilo150">
    <w:name w:val="estilo150"/>
    <w:basedOn w:val="Fuentedeprrafopredeter"/>
    <w:rsid w:val="00D23329"/>
  </w:style>
  <w:style w:type="character" w:customStyle="1" w:styleId="Ttulo2Car">
    <w:name w:val="Título 2 Car"/>
    <w:basedOn w:val="Fuentedeprrafopredeter"/>
    <w:link w:val="Ttulo2"/>
    <w:uiPriority w:val="9"/>
    <w:rsid w:val="00D233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3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329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ina-ayurveda.es/inscripc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ecepci&#243;n@medicina-ayurveda.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1353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Lagunas</dc:creator>
  <cp:lastModifiedBy>Jesus Lagunas</cp:lastModifiedBy>
  <cp:revision>3</cp:revision>
  <dcterms:created xsi:type="dcterms:W3CDTF">2024-06-20T10:29:00Z</dcterms:created>
  <dcterms:modified xsi:type="dcterms:W3CDTF">2024-08-18T17:21:00Z</dcterms:modified>
</cp:coreProperties>
</file>