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F4EE" w14:textId="77777777" w:rsidR="0029452E" w:rsidRDefault="0029452E" w:rsidP="0029452E">
      <w:r>
        <w:t>IN THE UNITED STATES DISTRICT COURT</w:t>
      </w:r>
    </w:p>
    <w:p w14:paraId="0AB61B6A" w14:textId="77777777" w:rsidR="0029452E" w:rsidRDefault="0029452E" w:rsidP="0029452E">
      <w:r>
        <w:t>FOR THE SOUTHERN DISTRICT OF NEW YORK</w:t>
      </w:r>
    </w:p>
    <w:p w14:paraId="074679E4" w14:textId="77777777" w:rsidR="0029452E" w:rsidRDefault="0029452E" w:rsidP="0029452E"/>
    <w:p w14:paraId="35BEE523" w14:textId="77777777" w:rsidR="0029452E" w:rsidRDefault="0029452E" w:rsidP="0029452E">
      <w:r>
        <w:t>Case No. 24-CV-10542</w:t>
      </w:r>
    </w:p>
    <w:p w14:paraId="77694A3A" w14:textId="77777777" w:rsidR="0029452E" w:rsidRDefault="0029452E" w:rsidP="0029452E">
      <w:r>
        <w:t>JOHN SMITH, Plaintiff,</w:t>
      </w:r>
    </w:p>
    <w:p w14:paraId="1D517D19" w14:textId="77777777" w:rsidR="0029452E" w:rsidRDefault="0029452E" w:rsidP="0029452E">
      <w:r>
        <w:t>v.</w:t>
      </w:r>
    </w:p>
    <w:p w14:paraId="5A38DC75" w14:textId="77777777" w:rsidR="0029452E" w:rsidRDefault="0029452E" w:rsidP="0029452E">
      <w:r>
        <w:t>ACME CORPORATION, Defendant.</w:t>
      </w:r>
    </w:p>
    <w:p w14:paraId="526E4D11" w14:textId="77777777" w:rsidR="0029452E" w:rsidRDefault="0029452E" w:rsidP="0029452E"/>
    <w:p w14:paraId="6C8F79D6" w14:textId="77777777" w:rsidR="0029452E" w:rsidRDefault="0029452E" w:rsidP="0029452E">
      <w:r>
        <w:t>CASE CHRONOLOGY AND STATEMENT OF FACTS</w:t>
      </w:r>
    </w:p>
    <w:p w14:paraId="5741FFD3" w14:textId="77777777" w:rsidR="0029452E" w:rsidRDefault="0029452E" w:rsidP="0029452E"/>
    <w:p w14:paraId="1A002FE0" w14:textId="77777777" w:rsidR="0029452E" w:rsidRDefault="0029452E" w:rsidP="0029452E">
      <w:r>
        <w:t>On January 15, 2024, the Plaintiff, John Smith, formally filed a civil complaint against Acme Corporation, alleging breach of contract and wrongful termination. The initial filing was recorded by the clerk's office and a summons was issued the following day.</w:t>
      </w:r>
    </w:p>
    <w:p w14:paraId="14395F46" w14:textId="77777777" w:rsidR="0029452E" w:rsidRDefault="0029452E" w:rsidP="0029452E"/>
    <w:p w14:paraId="7808AB10" w14:textId="77777777" w:rsidR="0029452E" w:rsidRDefault="0029452E" w:rsidP="0029452E">
      <w:r>
        <w:t xml:space="preserve">Acme Corporation submitted their answer to the complaint on February 3rd, 2024, denying all substantive allegations and asserting several affirmative </w:t>
      </w:r>
      <w:proofErr w:type="spellStart"/>
      <w:r>
        <w:t>defenses</w:t>
      </w:r>
      <w:proofErr w:type="spellEnd"/>
      <w:r>
        <w:t>.</w:t>
      </w:r>
    </w:p>
    <w:p w14:paraId="7F976C36" w14:textId="77777777" w:rsidR="0029452E" w:rsidRDefault="0029452E" w:rsidP="0029452E"/>
    <w:p w14:paraId="6F1F46EE" w14:textId="77777777" w:rsidR="0029452E" w:rsidRDefault="0029452E" w:rsidP="0029452E">
      <w:r>
        <w:t>During the discovery phase, several key events occurred. A notice of deposition for Jane Doe, the former HR Director of Acme Corporation, was sent on 02/10/2024. The actual deposition of Jane Doe was taken on March 1st, 2024, at the offices of the Plaintiff's counsel.</w:t>
      </w:r>
    </w:p>
    <w:p w14:paraId="1DF10748" w14:textId="77777777" w:rsidR="0029452E" w:rsidRDefault="0029452E" w:rsidP="0029452E"/>
    <w:p w14:paraId="42B12182" w14:textId="77777777" w:rsidR="0029452E" w:rsidRDefault="0029452E" w:rsidP="0029452E">
      <w:r>
        <w:t>On 2024-03-20, both parties appeared before Judge Sarah Jenkins for a preliminary hearing to discuss discovery disputes and the scheduling order. Following this hearing, the court issued a compelling order for Acme Corporation to produce internal emails.</w:t>
      </w:r>
    </w:p>
    <w:p w14:paraId="205F5597" w14:textId="77777777" w:rsidR="0029452E" w:rsidRDefault="0029452E" w:rsidP="0029452E"/>
    <w:p w14:paraId="046341C6" w14:textId="77777777" w:rsidR="0029452E" w:rsidRDefault="0029452E" w:rsidP="0029452E">
      <w:r>
        <w:t>A crucial piece of evidence, an email correspondence between the CEO of Acme Corporation and the HR department, dated April 5, 2024, was produced by the Defendant. This email directly contradicted their earlier sworn statements.</w:t>
      </w:r>
    </w:p>
    <w:p w14:paraId="6EDEFA15" w14:textId="77777777" w:rsidR="0029452E" w:rsidRDefault="0029452E" w:rsidP="0029452E"/>
    <w:p w14:paraId="7B2CD775" w14:textId="77777777" w:rsidR="0029452E" w:rsidRDefault="0029452E" w:rsidP="0029452E">
      <w:r>
        <w:t>Mediation was scheduled and held on 05/15/2024. After nine hours of negotiation, the parties reached a preliminary agreement.</w:t>
      </w:r>
    </w:p>
    <w:p w14:paraId="0252B000" w14:textId="77777777" w:rsidR="0029452E" w:rsidRDefault="0029452E" w:rsidP="0029452E"/>
    <w:p w14:paraId="0F3D61AD" w14:textId="3936934B" w:rsidR="00574EB1" w:rsidRDefault="0029452E" w:rsidP="0029452E">
      <w:r>
        <w:t>The final settlement agreement was officially executed and signed on June 2, 2024 by all involved parties, effectively resolving all claims in this matter. A motion to dismiss the case with prejudice was subsequently filed on 2024-06-10.</w:t>
      </w:r>
    </w:p>
    <w:sectPr w:rsidR="00574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52E"/>
    <w:rsid w:val="000C0E6F"/>
    <w:rsid w:val="0029452E"/>
    <w:rsid w:val="00574EB1"/>
    <w:rsid w:val="006C38E7"/>
    <w:rsid w:val="00923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28A7"/>
  <w15:chartTrackingRefBased/>
  <w15:docId w15:val="{5CE4DBF1-75FF-4B8C-95E4-292E88BD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5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5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5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5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5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5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52E"/>
    <w:rPr>
      <w:rFonts w:eastAsiaTheme="majorEastAsia" w:cstheme="majorBidi"/>
      <w:color w:val="272727" w:themeColor="text1" w:themeTint="D8"/>
    </w:rPr>
  </w:style>
  <w:style w:type="paragraph" w:styleId="Title">
    <w:name w:val="Title"/>
    <w:basedOn w:val="Normal"/>
    <w:next w:val="Normal"/>
    <w:link w:val="TitleChar"/>
    <w:uiPriority w:val="10"/>
    <w:qFormat/>
    <w:rsid w:val="0029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52E"/>
    <w:pPr>
      <w:spacing w:before="160"/>
      <w:jc w:val="center"/>
    </w:pPr>
    <w:rPr>
      <w:i/>
      <w:iCs/>
      <w:color w:val="404040" w:themeColor="text1" w:themeTint="BF"/>
    </w:rPr>
  </w:style>
  <w:style w:type="character" w:customStyle="1" w:styleId="QuoteChar">
    <w:name w:val="Quote Char"/>
    <w:basedOn w:val="DefaultParagraphFont"/>
    <w:link w:val="Quote"/>
    <w:uiPriority w:val="29"/>
    <w:rsid w:val="0029452E"/>
    <w:rPr>
      <w:i/>
      <w:iCs/>
      <w:color w:val="404040" w:themeColor="text1" w:themeTint="BF"/>
    </w:rPr>
  </w:style>
  <w:style w:type="paragraph" w:styleId="ListParagraph">
    <w:name w:val="List Paragraph"/>
    <w:basedOn w:val="Normal"/>
    <w:uiPriority w:val="34"/>
    <w:qFormat/>
    <w:rsid w:val="0029452E"/>
    <w:pPr>
      <w:ind w:left="720"/>
      <w:contextualSpacing/>
    </w:pPr>
  </w:style>
  <w:style w:type="character" w:styleId="IntenseEmphasis">
    <w:name w:val="Intense Emphasis"/>
    <w:basedOn w:val="DefaultParagraphFont"/>
    <w:uiPriority w:val="21"/>
    <w:qFormat/>
    <w:rsid w:val="0029452E"/>
    <w:rPr>
      <w:i/>
      <w:iCs/>
      <w:color w:val="2F5496" w:themeColor="accent1" w:themeShade="BF"/>
    </w:rPr>
  </w:style>
  <w:style w:type="paragraph" w:styleId="IntenseQuote">
    <w:name w:val="Intense Quote"/>
    <w:basedOn w:val="Normal"/>
    <w:next w:val="Normal"/>
    <w:link w:val="IntenseQuoteChar"/>
    <w:uiPriority w:val="30"/>
    <w:qFormat/>
    <w:rsid w:val="00294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52E"/>
    <w:rPr>
      <w:i/>
      <w:iCs/>
      <w:color w:val="2F5496" w:themeColor="accent1" w:themeShade="BF"/>
    </w:rPr>
  </w:style>
  <w:style w:type="character" w:styleId="IntenseReference">
    <w:name w:val="Intense Reference"/>
    <w:basedOn w:val="DefaultParagraphFont"/>
    <w:uiPriority w:val="32"/>
    <w:qFormat/>
    <w:rsid w:val="002945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Hrushith Reddy Shiramsetty</dc:creator>
  <cp:keywords/>
  <dc:description/>
  <cp:lastModifiedBy>Hrushith Reddy Shiramsetty</cp:lastModifiedBy>
  <cp:revision>1</cp:revision>
  <dcterms:created xsi:type="dcterms:W3CDTF">2026-03-22T16:47:00Z</dcterms:created>
  <dcterms:modified xsi:type="dcterms:W3CDTF">2026-03-22T16:48:00Z</dcterms:modified>
</cp:coreProperties>
</file>