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del estado actual de HydroMate</w:t>
      </w:r>
    </w:p>
    <w:p>
      <w:pPr>
        <w:pStyle w:val="Subtitle"/>
      </w:pPr>
      <w:r>
        <w:t>Corte al 6 de octubre de 2026</w:t>
      </w:r>
    </w:p>
    <w:p>
      <w:pPr>
        <w:pStyle w:val="Heading1"/>
      </w:pPr>
      <w:r>
        <w:t>1 Estado general</w:t>
      </w:r>
    </w:p>
    <w:p>
      <w:r>
        <w:t>HydroMate cuenta con un prototipo local de software: la API Laravel y PostgreSQL tienen pruebas registradas, y la app Android está compilada e instalada en un teléfono. La interfaz vigente incorpora el diseño Jardín de cristal. La integración con sensores y bombas del ESP32, el funcionamiento autónomo de la torre y el acceso desde la nube siguen pendientes. [1–4]</w:t>
      </w:r>
    </w:p>
    <w:p>
      <w:r>
        <w:t>La siguiente etapa debe cerrar la validación de la app con los servicios existentes y preparar la integración física con protecciones locales. El ahorro energético ya tiene una estrategia documentada; todavía no hay firmware de control ni mediciones que demuestren una reducción de consumo. [5]</w:t>
      </w:r>
    </w:p>
    <w:p>
      <w:pPr>
        <w:pStyle w:val="Heading2"/>
      </w:pPr>
      <w:r>
        <w:t>Situación por componente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944"/>
        <w:gridCol w:w="2333"/>
        <w:gridCol w:w="5803"/>
      </w:tblGrid>
      <w:tr>
        <w:trPr>
          <w:tblHeader/>
          <w:cantSplit/>
        </w:trPr>
        <w:tc>
          <w:tcPr>
            <w:tcW w:type="dxa" w:w="1944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333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Estado al corte</w:t>
            </w:r>
          </w:p>
        </w:tc>
        <w:tc>
          <w:tcPr>
            <w:tcW w:type="dxa" w:w="5803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Alcance comprobado o pendiente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PostgreSQL y API</w:t>
            </w:r>
          </w:p>
        </w:tc>
        <w:tc>
          <w:tcPr>
            <w:tcW w:type="dxa" w:w="233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Probados en local</w:t>
            </w:r>
          </w:p>
        </w:tc>
        <w:tc>
          <w:tcPr>
            <w:tcW w:type="dxa" w:w="580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Registro y consulta de lecturas sintéticas; validación e identidad por torre.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Android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Implementado e instalado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Versión 0.6.0-garden; cinco secciones. Aceptación manual parcial.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Diseño visual</w:t>
            </w:r>
          </w:p>
        </w:tc>
        <w:tc>
          <w:tcPr>
            <w:tcW w:type="dxa" w:w="233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Implementado y revisado</w:t>
            </w:r>
          </w:p>
        </w:tc>
        <w:tc>
          <w:tcPr>
            <w:tcW w:type="dxa" w:w="580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Fondo botánico claro, tarjetas verdes translúcidas e iconos Aero Eco.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ESP32 y sensores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Pendientes de integración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Hardware contemplado; sin firmware ni calibración física comprobados.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Control de bombas</w:t>
            </w:r>
          </w:p>
        </w:tc>
        <w:tc>
          <w:tcPr>
            <w:tcW w:type="dxa" w:w="233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Diseño de seguridad</w:t>
            </w:r>
          </w:p>
        </w:tc>
        <w:tc>
          <w:tcPr>
            <w:tcW w:type="dxa" w:w="580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Interbloqueos, límites y reinicio seguro por implementar y ensayar.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Nube y MQTT</w:t>
            </w:r>
          </w:p>
        </w:tc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Arquitectura seleccionada</w:t>
            </w:r>
          </w:p>
        </w:tc>
        <w:tc>
          <w:tcPr>
            <w:tcW w:type="dxa" w:w="580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Sin despliegue público; alojamiento del broker y acceso por resolver.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Ahorro y mejoras</w:t>
            </w:r>
          </w:p>
        </w:tc>
        <w:tc>
          <w:tcPr>
            <w:tcW w:type="dxa" w:w="233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Plan documentado</w:t>
            </w:r>
          </w:p>
        </w:tc>
        <w:tc>
          <w:tcPr>
            <w:tcW w:type="dxa" w:w="580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14 oportunidades priorizadas y 13 casos de aceptación; sin ahorro medido.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Objetivo y alcance vigente</w:t>
      </w:r>
    </w:p>
    <w:p>
      <w:r>
        <w:t>El objetivo es monitorear y controlar una torre hidropónica recirculante, conservando su identidad y su seguridad aun sin Internet. El orden de trabajo es PostgreSQL, API Laravel, Android mínimo y ESP32 físico. Wokwi y un panel Blade no son requisitos de este incremento; perfiles sociales, grupos, notificaciones y funciones avanzadas permanecen como evolución. [1]</w:t>
      </w:r>
    </w:p>
    <w:p>
      <w:r>
        <w:rPr>
          <w:b/>
        </w:rPr>
        <w:t>Las últimas pruebas técnicas registradas</w:t>
      </w:r>
      <w:r>
        <w:t xml:space="preserve"> corresponden al 30 de septiembre y al 3 y 4 de octubre. El corte del reporte no implica una nueva ejecución de esas pruebas ni acredita operación continua desde entonces.</w:t>
      </w:r>
    </w:p>
    <w:p>
      <w:pPr>
        <w:pStyle w:val="Heading1"/>
        <w:pageBreakBefore/>
      </w:pPr>
      <w:r>
        <w:t>2 Backend y recorrido de los datos</w:t>
      </w:r>
    </w:p>
    <w:p>
      <w:r>
        <w:t>El recorrido local comprobado parte de lecturas sintéticas identificadas, enviadas a Laravel y almacenadas en PostgreSQL. Android consulta la API mediante HTTP en desarrollo y HTTPS en release; nunca accede directamente a la base de datos. [1–3]</w:t>
      </w:r>
    </w:p>
    <w:p>
      <w:r>
        <w:t>La arquitectura objetivo agrega el ESP32, MQTT sobre TLS y Mosquitto. MQTT transportará los mensajes, Mosquitto los recibirá como intermediario y un proceso de integración los entregará a la API. Ese tramo físico y su integración todavía no están implementados. [1, 6]</w:t>
      </w:r>
    </w:p>
    <w:p>
      <w:pPr>
        <w:pStyle w:val="Heading2"/>
      </w:pPr>
      <w:r>
        <w:t>Contrato disponible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800"/>
        <w:gridCol w:w="3672"/>
        <w:gridCol w:w="4608"/>
      </w:tblGrid>
      <w:tr>
        <w:trPr>
          <w:tblHeader/>
          <w:cantSplit/>
        </w:trPr>
        <w:tc>
          <w:tcPr>
            <w:tcW w:type="dxa" w:w="1800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3672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Interfaz</w:t>
            </w:r>
          </w:p>
        </w:tc>
        <w:tc>
          <w:tcPr>
            <w:tcW w:type="dxa" w:w="4608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Registrar</w:t>
            </w:r>
          </w:p>
        </w:tc>
        <w:tc>
          <w:tcPr>
            <w:tcW w:type="dxa" w:w="3672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POST /api/measurements</w:t>
            </w:r>
          </w:p>
        </w:tc>
        <w:tc>
          <w:tcPr>
            <w:tcW w:type="dxa" w:w="460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201 al guardar; 409 si se repite la identidad; 422 ante datos inválidos.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Consultar historial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GET /api/measurements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Filtro device_id y límite de 1 a 100; Android solicita 20 registros.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Consultar última lectura</w:t>
            </w:r>
          </w:p>
        </w:tc>
        <w:tc>
          <w:tcPr>
            <w:tcW w:type="dxa" w:w="3672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GET /api/measurements/latest</w:t>
            </w:r>
          </w:p>
        </w:tc>
        <w:tc>
          <w:tcPr>
            <w:tcW w:type="dxa" w:w="460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Último registro según recepción; 404 si no existen lecturas.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Cada lectura se identifica por device_id y sequence, con una restricción única que evita duplicar esa identidad. La aplicación usa una sola respuesta para Inicio e Historial. Los timestamps actuales indican recepción en el servidor; no representan el instante de medición del sensor. [6]</w:t>
      </w:r>
    </w:p>
    <w:p>
      <w:pPr>
        <w:pStyle w:val="Heading2"/>
      </w:pPr>
      <w:r>
        <w:t>Pruebas registradas y límites de su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037"/>
        <w:gridCol w:w="3053"/>
        <w:gridCol w:w="5990"/>
      </w:tblGrid>
      <w:tr>
        <w:trPr>
          <w:tblHeader/>
          <w:cantSplit/>
        </w:trPr>
        <w:tc>
          <w:tcPr>
            <w:tcW w:type="dxa" w:w="1037"/>
            <w:vAlign w:val="center"/>
            <w:shd w:fill="263E4D"/>
          </w:tcPr>
          <w:p>
            <w:pPr>
              <w:keepNext/>
              <w:spacing w:after="0" w:line="250" w:lineRule="auto"/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053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type="dxa" w:w="5990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30 sep</w:t>
            </w:r>
          </w:p>
        </w:tc>
        <w:tc>
          <w:tcPr>
            <w:tcW w:type="dxa" w:w="305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Backend automatizado</w:t>
            </w:r>
          </w:p>
        </w:tc>
        <w:tc>
          <w:tcPr>
            <w:tcW w:type="dxa" w:w="5990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17 pruebas y 104 aserciones con SQLite aislada.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30 sep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HTTP y PostgreSQL real</w:t>
            </w:r>
          </w:p>
        </w:tc>
        <w:tc>
          <w:tcPr>
            <w:tcW w:type="dxa" w:w="599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Altas, consultas, rechazo de inválidos y duplicados; 11 registros sintéticos.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3 oct</w:t>
            </w:r>
          </w:p>
        </w:tc>
        <w:tc>
          <w:tcPr>
            <w:tcW w:type="dxa" w:w="305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Cliente Android desde JVM</w:t>
            </w:r>
          </w:p>
        </w:tc>
        <w:tc>
          <w:tcPr>
            <w:tcW w:type="dxa" w:w="5990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18 pruebas correctas, incluida una consulta GET real.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4 oct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Android vigente</w:t>
            </w:r>
          </w:p>
        </w:tc>
        <w:tc>
          <w:tcPr>
            <w:tcW w:type="dxa" w:w="5990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17 pruebas correctas; 1 GET opcional omitido. Debug y release compilados.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4 oct</w:t>
            </w:r>
          </w:p>
        </w:tc>
        <w:tc>
          <w:tcPr>
            <w:tcW w:type="dxa" w:w="3053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Análisis estático Android</w:t>
            </w:r>
          </w:p>
        </w:tc>
        <w:tc>
          <w:tcPr>
            <w:tcW w:type="dxa" w:w="5990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Lint sin errores y con 3 avisos pendientes.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Ajustes necesarios antes de datos físicos</w:t>
      </w:r>
    </w:p>
    <w:p>
      <w:r>
        <w:t>El contrato v1 exige todas las magnitudes y no admite lecturas parciales, calidad de sensor ni hora de adquisición. Un flotador no entrega un porcentaje de nivel y el BH1750 mide iluminancia en lux. Se necesita una evolución compatible del contrato antes de integrar esos sensores, alarmas independientes o mensajes retenidos. No deben rellenarse ausencias con ceros ni convertir estados discretos en porcentajes inventados. [5, 6]</w:t>
      </w:r>
    </w:p>
    <w:p>
      <w:r>
        <w:t>Las rutas GET y POST no tienen autenticación. Filtrar por device_id separa lecturas, pero no autoriza a un usuario. La protección de acceso por torre es un requisito previo a exponer la API en Internet. [5]</w:t>
      </w:r>
    </w:p>
    <w:p>
      <w:pPr>
        <w:pStyle w:val="Heading1"/>
        <w:pageBreakBefore/>
      </w:pPr>
      <w:r>
        <w:t>3 Aplicación Android y diseño vigente</w:t>
      </w:r>
    </w:p>
    <w:p>
      <w:r>
        <w:t>La versión 0.6.0-garden mantiene cinco destinos: Inicio, Historial, Cultivo, Control y Más. Inicio e Historial presentan telemetría; Más reúne configuración y diagnóstico. Cultivo y Control preparan la navegación futura y no ejecutan dosificación ni órdenes físicas. [3, 4]</w:t>
      </w:r>
    </w:p>
    <w:p>
      <w:r>
        <w:t>El diseño Frutiger Aero y Frutiger Eco usa un fondo botánico claro, cristal verde translúcido y arte local. La barra combina cuatro iconos ajustados para tamaños pequeños y el emblema original de Cultivo. Recarga, pH y TDS tienen símbolos diferenciados.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103120" cy="4673600"/>
            <wp:docPr id="1" name="Picture 1" descr="Pantalla Inicio de HydroMate Jardín de cristal. Captura de revisión visual del 4 de octubre de 2026 con datos simulados explícitamente identific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mo-3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6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Inicio en Jardín claro, capturado el 4 de octubre de 2026. La imagen pertenece a la revisión visual aislada y contiene datos simulados; no demuestra conexión con sensores ni valores reales del cultivo. [4]</w:t>
      </w:r>
    </w:p>
    <w:p>
      <w:pPr>
        <w:pStyle w:val="Heading2"/>
      </w:pPr>
      <w:r>
        <w:t>Validación realizada y pendiente</w:t>
      </w:r>
    </w:p>
    <w:p>
      <w:r>
        <w:t>Se registraron 26 revisiones nativas de composición en distintas anchuras, tamaños de texto y estados, sin recortes detectados ni objetivos táctiles menores de 48 dp. Las 28 comprobaciones de contraste dieron un mínimo calculado de 4.639:1. Estos resultados no sustituyen las pruebas manuales de accesibilidad. [4]</w:t>
      </w:r>
    </w:p>
    <w:p>
      <w:r>
        <w:t>Faltan TalkBack y foco, teclado y borradores, giro físico, gestos, ciclo de vida completo y repetir el GET por USB. El 4 de octubre se observó el estado real de servidor no disponible: la app mostró ausencias sin inventar mediciones. La demo es explícita y exclusiva de debug; release no incluye fixtures ni la pantalla de revisión. [3, 4]</w:t>
      </w:r>
    </w:p>
    <w:p>
      <w:pPr>
        <w:pStyle w:val="Heading1"/>
        <w:pageBreakBefore/>
      </w:pPr>
      <w:r>
        <w:t>4 Sistema físico y ahorro seguro</w:t>
      </w:r>
    </w:p>
    <w:p>
      <w:r>
        <w:t>Está confirmado que el ESP32 se alimentará mediante una fuente y que leerá sensores y controlará bombas. Están contemplados ESP32, DS18B20, flotador, pH, TDS, BH1750 y ADS1115, además del driver de conmutación. Su selección no acredita compra, instalación o calibración. No hay firmware del proyecto en embedded/. [1, 5]</w:t>
      </w:r>
    </w:p>
    <w:p>
      <w:pPr>
        <w:pStyle w:val="Heading2"/>
      </w:pPr>
      <w:r>
        <w:t>Condiciones previas al control físico</w:t>
      </w:r>
    </w:p>
    <w:p>
      <w:r>
        <w:t>La seguridad debe ejecutarse localmente, sin esperar a la red: impedir marcha en seco, invalidar sensores fallidos o antiguos, limitar dosis y tiempos, respetar mezcla y excluir pH Up y pH Down simultáneos. El arranque y la recuperación de energía deben dejar salidas seguras, sin reanudar automáticamente una dosis interrumpida. [5]</w:t>
      </w:r>
    </w:p>
    <w:p>
      <w:r>
        <w:t>Faltan el modelo exacto de placa, pines, drivers, mecanismo de los cuatro canales A/B/pH Up/pH Down, calibraciones y tiempo máximo admisible de reacción ante fallo. Ese tiempo depende del sistema físico; no puede fijarse en cinco segundos por la frecuencia de lectura. Los ensayos iniciales deben usar cargas de prueba antes de habilitar dosificación química. [5]</w:t>
      </w:r>
    </w:p>
    <w:p>
      <w:pPr>
        <w:pStyle w:val="Heading2"/>
      </w:pPr>
      <w:r>
        <w:t>Estrategia energética documentada</w:t>
      </w:r>
    </w:p>
    <w:p>
      <w:r>
        <w:t>El controlador permanecerá disponible. Primero se ensayarán esperas sin ocupar CPU, ahorro del módem Wi-Fi y ajuste dinámico de frecuencia. El sueño ligero solo se evaluará después de verificar despertar, salidas y reacción, inicialmente fuera de actuación, dosificación, mezcla y fallos. Deep sleep queda excluido de la operación normal del controlador de bombas.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045"/>
        <w:gridCol w:w="2707"/>
        <w:gridCol w:w="5328"/>
      </w:tblGrid>
      <w:tr>
        <w:trPr>
          <w:tblHeader/>
          <w:cantSplit/>
        </w:trPr>
        <w:tc>
          <w:tcPr>
            <w:tcW w:type="dxa" w:w="2045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2707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Propuesta para validar</w:t>
            </w:r>
          </w:p>
        </w:tc>
        <w:tc>
          <w:tcPr>
            <w:tcW w:type="dxa" w:w="5328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Condición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Seguridad local</w:t>
            </w:r>
          </w:p>
        </w:tc>
        <w:tc>
          <w:tcPr>
            <w:tcW w:type="dxa" w:w="2707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Plazo propio según riesgo</w:t>
            </w:r>
          </w:p>
        </w:tc>
        <w:tc>
          <w:tcPr>
            <w:tcW w:type="dxa" w:w="532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Independiente de adquisición, publicación y nube.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Lectura ambiental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Cada 5 segundos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Sin apagar o reiniciar el controlador entre lecturas.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Publicación estable</w:t>
            </w:r>
          </w:p>
        </w:tc>
        <w:tc>
          <w:tcPr>
            <w:tcW w:type="dxa" w:w="2707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Cada 300 segundos</w:t>
            </w:r>
          </w:p>
        </w:tc>
        <w:tc>
          <w:tcPr>
            <w:tcW w:type="dxa" w:w="532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Una instantánea válida; no cada muestra local.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Prueba intensiva</w:t>
            </w:r>
          </w:p>
        </w:tc>
        <w:tc>
          <w:tcPr>
            <w:tcW w:type="dxa" w:w="2707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Cada 30 segundos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Modo temporal con vencimiento local.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Cambio o fallo</w:t>
            </w:r>
          </w:p>
        </w:tc>
        <w:tc>
          <w:tcPr>
            <w:tcW w:type="dxa" w:w="2707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Aviso prioritario</w:t>
            </w:r>
          </w:p>
        </w:tc>
        <w:tc>
          <w:tcPr>
            <w:tcW w:type="dxa" w:w="532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La protección local actúa sin esperar al aviso.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Impacto calculado de la frecuencia de envío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3168"/>
        <w:gridCol w:w="3456"/>
        <w:gridCol w:w="3456"/>
      </w:tblGrid>
      <w:tr>
        <w:trPr>
          <w:tblHeader/>
          <w:cantSplit/>
        </w:trPr>
        <w:tc>
          <w:tcPr>
            <w:tcW w:type="dxa" w:w="3168"/>
            <w:vAlign w:val="center"/>
            <w:shd w:fill="263E4D"/>
          </w:tcPr>
          <w:p>
            <w:pPr>
              <w:keepNext/>
              <w:spacing w:after="0" w:line="250" w:lineRule="auto"/>
              <w:jc w:val="center"/>
            </w:pPr>
            <w:r>
              <w:rPr>
                <w:b/>
                <w:color w:val="FFFFFF"/>
                <w:sz w:val="20"/>
              </w:rPr>
              <w:t>Intervalo</w:t>
            </w:r>
          </w:p>
        </w:tc>
        <w:tc>
          <w:tcPr>
            <w:tcW w:type="dxa" w:w="3456"/>
            <w:vAlign w:val="center"/>
            <w:shd w:fill="263E4D"/>
          </w:tcPr>
          <w:p>
            <w:pPr>
              <w:keepNext/>
              <w:spacing w:after="0" w:line="250" w:lineRule="auto"/>
              <w:jc w:val="center"/>
            </w:pPr>
            <w:r>
              <w:rPr>
                <w:b/>
                <w:color w:val="FFFFFF"/>
                <w:sz w:val="20"/>
              </w:rPr>
              <w:t>Mensajes por día</w:t>
            </w:r>
          </w:p>
        </w:tc>
        <w:tc>
          <w:tcPr>
            <w:tcW w:type="dxa" w:w="3456"/>
            <w:vAlign w:val="center"/>
            <w:shd w:fill="263E4D"/>
          </w:tcPr>
          <w:p>
            <w:pPr>
              <w:keepNext/>
              <w:spacing w:after="0" w:line="250" w:lineRule="auto"/>
              <w:jc w:val="center"/>
            </w:pPr>
            <w:r>
              <w:rPr>
                <w:b/>
                <w:color w:val="FFFFFF"/>
                <w:sz w:val="20"/>
              </w:rPr>
              <w:t>Mensajes en 30 días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5 segundos</w:t>
            </w:r>
          </w:p>
        </w:tc>
        <w:tc>
          <w:tcPr>
            <w:tcW w:type="dxa" w:w="3456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17 280</w:t>
            </w:r>
          </w:p>
        </w:tc>
        <w:tc>
          <w:tcPr>
            <w:tcW w:type="dxa" w:w="3456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518 400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30 segundos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2 880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86 400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300 segundos</w:t>
            </w:r>
          </w:p>
        </w:tc>
        <w:tc>
          <w:tcPr>
            <w:tcW w:type="dxa" w:w="3456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288</w:t>
            </w:r>
          </w:p>
        </w:tc>
        <w:tc>
          <w:tcPr>
            <w:tcW w:type="dxa" w:w="3456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8 640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Estimación para una torre y un mensaje con todos los sensores; excluye eventos y reintentos. Pasar de 30 a 300 segundos reduce 90 % los mensajes rutinarios. El ahorro eléctrico sigue sin medirse: se escogerá la configuración con menor consumo observado que conserve seguridad, precisión y entrega. [5]</w:t>
      </w:r>
    </w:p>
    <w:p>
      <w:pPr>
        <w:pStyle w:val="Heading1"/>
        <w:pageBreakBefore/>
      </w:pPr>
      <w:r>
        <w:t>5 Nube y procesos por mejorar</w:t>
      </w:r>
    </w:p>
    <w:p>
      <w:pPr>
        <w:pStyle w:val="Heading2"/>
      </w:pPr>
      <w:r>
        <w:t>Preparación para acceso remoto</w:t>
      </w:r>
    </w:p>
    <w:p>
      <w:r>
        <w:t>HydroMate todavía no tiene un servicio público desplegado. Render para Laravel y Aiven para PostgreSQL se evaluaron el 4 de octubre como candidatos de prueba. No hay proveedor contratado ni alojamiento resuelto para Mosquitto y el proceso de integración. La app instalada, por sí sola, no ofrece acceso desde cualquier lugar. [1, 5]</w:t>
      </w:r>
    </w:p>
    <w:p>
      <w:r>
        <w:t>Antes del despliegue se necesitan HTTPS, credenciales separadas para envío y consulta, autorización por torre, límites de peticiones, respaldos y restauración comprobada. También debe probarse el arranque frío del alojamiento frente a los tiempos de espera de la app. El alcance gratuito depende de cuotas, disponibilidad y carga real; no está demostrado un costo cero permanente. [5]</w:t>
      </w:r>
    </w:p>
    <w:p>
      <w:pPr>
        <w:pStyle w:val="Heading2"/>
      </w:pPr>
      <w:r>
        <w:t>Mejoras identificadas y todavía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368"/>
        <w:gridCol w:w="2448"/>
        <w:gridCol w:w="6264"/>
      </w:tblGrid>
      <w:tr>
        <w:trPr>
          <w:tblHeader/>
          <w:cantSplit/>
        </w:trPr>
        <w:tc>
          <w:tcPr>
            <w:tcW w:type="dxa" w:w="1368"/>
            <w:vAlign w:val="center"/>
            <w:shd w:fill="263E4D"/>
          </w:tcPr>
          <w:p>
            <w:pPr>
              <w:keepNext/>
              <w:spacing w:after="0" w:line="250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448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6264"/>
            <w:vAlign w:val="center"/>
            <w:shd w:fill="263E4D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20"/>
              </w:rPr>
              <w:t>Acción propuesta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44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Seguridad y datos</w:t>
            </w:r>
          </w:p>
        </w:tc>
        <w:tc>
          <w:tcPr>
            <w:tcW w:type="dxa" w:w="626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Definir reacción segura y ampliar calidad, ausencias, eventos y hora de captura.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Acceso a la API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Autenticar y autorizar por torre antes de exposición pública.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44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Envío y recuperación</w:t>
            </w:r>
          </w:p>
        </w:tc>
        <w:tc>
          <w:tcPr>
            <w:tcW w:type="dxa" w:w="626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Telemetría adaptativa, cola acotada y reintentos espaciados con confirmación tras guardar.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Adquisición y CPU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Conversiones asíncronas y ahorro gradual, comparados con una medición base.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44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Despliegue</w:t>
            </w:r>
          </w:p>
        </w:tc>
        <w:tc>
          <w:tcPr>
            <w:tcW w:type="dxa" w:w="626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Configuración productiva, secretos protegidos, logs limitados y backups restaurables.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Consultas e historial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Medir antes de añadir índices o paginación; definir retención sin borrar datos anticipadamente.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5F7"/>
          </w:tcPr>
          <w:p>
            <w:pPr>
              <w:keepNext w:val="0"/>
              <w:spacing w:after="0" w:line="250" w:lineRule="auto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type="dxa" w:w="2448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Android y energía total</w:t>
            </w:r>
          </w:p>
        </w:tc>
        <w:tc>
          <w:tcPr>
            <w:tcW w:type="dxa" w:w="6264"/>
            <w:vAlign w:val="center"/>
            <w:shd w:fill="F2F5F7"/>
          </w:tcPr>
          <w:p>
            <w:pPr>
              <w:keepNext w:val="0"/>
              <w:spacing w:after="0" w:line="250" w:lineRule="auto"/>
            </w:pPr>
            <w:r>
              <w:rPr>
                <w:sz w:val="20"/>
              </w:rPr>
              <w:t>Probar cancelación de red; perfilar gráficos y medir consumo conjunto sin degradar el diseño.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Caption"/>
      </w:pPr>
      <w:r>
        <w:t>P0 indica un requisito previo a la integración física o la exposición pública; P1, trabajo del siguiente incremento; P2, mejoras que requieren medición. La lista agrupa las 14 oportunidades registradas, sin darlas por implementadas. [5]</w:t>
      </w:r>
    </w:p>
    <w:p>
      <w:pPr>
        <w:pStyle w:val="Heading2"/>
      </w:pPr>
      <w:r>
        <w:t>Decisiones que conviene conservar</w:t>
      </w:r>
    </w:p>
    <w:p>
      <w:r>
        <w:t>Android consulta al abrir o actualizar manualmente y reutiliza hasta 20 registros para sus vistas; no mantiene consultas periódicas en segundo plano. La API limita cada consulta a 100 resultados y conserva la unicidad por torre y secuencia. Son protecciones existentes que reducen trabajo innecesario. [5, 6]</w:t>
      </w:r>
    </w:p>
    <w:p>
      <w:pPr>
        <w:pStyle w:val="Heading2"/>
      </w:pPr>
      <w:r>
        <w:t>Recursos y continuidad del trabajo</w:t>
      </w:r>
    </w:p>
    <w:p>
      <w:r>
        <w:t>Los gastos y la recepción de componentes siguen por conciliar; no se presenta un saldo disponible ni un costo final. El volumen existente de PostgreSQL debe preservarse. La carpeta del proyecto no tiene Git: hay respaldos locales, y conviene iniciar control de versiones antes del siguiente cambio importante. [1]</w:t>
      </w:r>
    </w:p>
    <w:p>
      <w:pPr>
        <w:pStyle w:val="Heading1"/>
        <w:pageBreakBefore/>
      </w:pPr>
      <w:r>
        <w:t>6 Próximos pasos y evidencia</w:t>
      </w:r>
    </w:p>
    <w:p>
      <w:r>
        <w:t>El próximo resultado verificable es una app consultando correctamente los servicios locales existentes, seguida por una integración física segura y medible. El orden siguiente mantiene la prioridad del proyecto; no asigna fechas de entrega sin confirmar hardware y resultados de ensayo.</w:t>
      </w:r>
    </w:p>
    <w:p>
      <w:pPr>
        <w:pStyle w:val="Heading2"/>
      </w:pPr>
      <w:r>
        <w:t>1 Completar la aceptación Android</w:t>
      </w:r>
    </w:p>
    <w:p>
      <w:r>
        <w:t>Revisar teclado, giro, navegación y accesibilidad; repetir el GET real por USB. Cierre: evidencia de consulta y errores correctos sin mezclar torres ni fuentes.</w:t>
      </w:r>
    </w:p>
    <w:p>
      <w:pPr>
        <w:pStyle w:val="Heading2"/>
      </w:pPr>
      <w:r>
        <w:t>2 Confirmar el montaje físico</w:t>
      </w:r>
    </w:p>
    <w:p>
      <w:r>
        <w:t>Registrar placa, fuente, sensores, drivers y dosificadores. Definir calibración, salidas seguras y plazo de reacción. Cierre: criterios verificables antes de habilitar actuadores.</w:t>
      </w:r>
    </w:p>
    <w:p>
      <w:pPr>
        <w:pStyle w:val="Heading2"/>
      </w:pPr>
      <w:r>
        <w:t>3 Evolucionar el contrato de telemetría</w:t>
      </w:r>
    </w:p>
    <w:p>
      <w:r>
        <w:t>Representar magnitudes reales, ausencias, calidad, eventos y adquisición conservando compatibilidad. Cierre: ejemplos y pruebas de datos válidos, fallos y entrega tardía.</w:t>
      </w:r>
    </w:p>
    <w:p>
      <w:pPr>
        <w:pStyle w:val="Heading2"/>
      </w:pPr>
      <w:r>
        <w:t>4 Implementar y ensayar el ESP32</w:t>
      </w:r>
    </w:p>
    <w:p>
      <w:r>
        <w:t>Separar seguridad, adquisición y red; medir consumo base y aplicar ahorro por etapas. Cierre: protecciones comprobadas y comparación de energía, sin dosificación no calibrada.</w:t>
      </w:r>
    </w:p>
    <w:p>
      <w:pPr>
        <w:pStyle w:val="Heading2"/>
      </w:pPr>
      <w:r>
        <w:t>5 Preparar una prueba remota protegida</w:t>
      </w:r>
    </w:p>
    <w:p>
      <w:r>
        <w:t>Resolver API, base de datos, broker e integración, con acceso por torre y recuperación. Cierre: prueba externa autenticada, cuotas observadas y restauración validada.</w:t>
      </w:r>
    </w:p>
    <w:p>
      <w:pPr>
        <w:pStyle w:val="Heading2"/>
      </w:pPr>
      <w:r>
        <w:t>Fuentes de verificación</w:t>
      </w:r>
    </w:p>
    <w:p>
      <w:pPr>
        <w:pStyle w:val="Caption"/>
      </w:pPr>
      <w:r>
        <w:t>Referencias internas relativas a C:\Hydromate. Los identificadores entre corchetes remiten a estos documentos y evidencias; las fechas de prueba permanecen asociadas a cada resultado.</w:t>
      </w:r>
    </w:p>
    <w:p>
      <w:pPr>
        <w:spacing w:after="100" w:line="240" w:lineRule="auto"/>
      </w:pPr>
      <w:r>
        <w:rPr>
          <w:sz w:val="18"/>
        </w:rPr>
        <w:t>[1] Estado y decisiones. docs/STATUS.md · docs/PROJECT_CONTEXT.md · docs/DECISIONS.md · docs/ARCHITECTURE.md</w:t>
      </w:r>
    </w:p>
    <w:p>
      <w:pPr>
        <w:spacing w:after="100" w:line="240" w:lineRule="auto"/>
      </w:pPr>
      <w:r>
        <w:rPr>
          <w:sz w:val="18"/>
        </w:rPr>
        <w:t>[2] Backend del 30 de septiembre. docs/evidence/backend-step1-http.json · docs/evidence/postgres-step1.json</w:t>
      </w:r>
    </w:p>
    <w:p>
      <w:pPr>
        <w:spacing w:after="100" w:line="240" w:lineRule="auto"/>
      </w:pPr>
      <w:r>
        <w:rPr>
          <w:sz w:val="18"/>
        </w:rPr>
        <w:t>[3] Pruebas Android. docs/evidence/android-aero-2026-10-03.json · docs/evidence/android-garden-2026-10-04.json</w:t>
      </w:r>
    </w:p>
    <w:p>
      <w:pPr>
        <w:spacing w:after="100" w:line="240" w:lineRule="auto"/>
      </w:pPr>
      <w:r>
        <w:rPr>
          <w:sz w:val="18"/>
        </w:rPr>
        <w:t>[4] Diseño y aceptación. docs/AERO_DESIGN.md · docs/AERO_ACCEPTANCE.md · docs/evidence/garden-light-2026-10-04/</w:t>
      </w:r>
    </w:p>
    <w:p>
      <w:pPr>
        <w:spacing w:after="100" w:line="240" w:lineRule="auto"/>
      </w:pPr>
      <w:r>
        <w:rPr>
          <w:sz w:val="18"/>
        </w:rPr>
        <w:t>[5] Ahorro y optimización. docs/ENERGY_OPTIMIZATION.md · docs/evidence/energy-review-2026-10-04.json</w:t>
      </w:r>
    </w:p>
    <w:p>
      <w:pPr>
        <w:spacing w:after="100" w:line="240" w:lineRule="auto"/>
      </w:pPr>
      <w:r>
        <w:rPr>
          <w:sz w:val="18"/>
        </w:rPr>
        <w:t>[6] Contrato e interfaces. docs/TELEMETRY_CONTRACT.md · docs/API.md · hydromate-backend/routes/api.php</w:t>
      </w:r>
    </w:p>
    <w:sectPr w:rsidR="00FC693F" w:rsidRPr="0006063C" w:rsidSect="00034616">
      <w:footerReference w:type="default" r:id="rId9"/>
      <w:pgSz w:w="12240" w:h="15840"/>
      <w:pgMar w:top="979" w:right="1080" w:bottom="95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HydroMate  |  Estado del proyecto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000000"/>
      <w:sz w:val="22"/>
      <w:u w:val="none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 w:val="0"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del estado actual de HydroMate</dc:title>
  <dc:subject>Avance comprobado y próximos pasos al 6 de octubre de 2026</dc:subject>
  <dc:creator>HydroMate</dc:creator>
  <cp:keywords>HydroMate, estado, Android, Laravel, PostgreSQL, ESP32</cp:keywords>
  <dc:description>generated by python-docx</dc:description>
  <cp:lastModifiedBy/>
  <cp:revision>1</cp:revision>
  <dcterms:created xsi:type="dcterms:W3CDTF">2026-10-06T12:00:00Z</dcterms:created>
  <dcterms:modified xsi:type="dcterms:W3CDTF">2026-10-06T12:00:00Z</dcterms:modified>
  <cp:category/>
</cp:coreProperties>
</file>