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  <w:jc w:val="center"/>
      </w:pPr>
      <w:r>
        <w:rPr>
          <w:rFonts w:ascii="Arial" w:hAnsi="Arial"/>
          <w:b/>
          <w:i w:val="0"/>
          <w:color w:val="000000"/>
          <w:sz w:val="30"/>
        </w:rPr>
        <w:t>ESTÁNDAR EC0935</w:t>
      </w:r>
    </w:p>
    <w:p>
      <w:pPr>
        <w:spacing w:after="0"/>
        <w:jc w:val="center"/>
      </w:pPr>
      <w:r>
        <w:rPr>
          <w:rFonts w:ascii="Arial" w:hAnsi="Arial"/>
          <w:b/>
          <w:i w:val="0"/>
          <w:color w:val="000000"/>
          <w:sz w:val="26"/>
        </w:rPr>
        <w:t>Elemento 2 de 5</w:t>
      </w:r>
    </w:p>
    <w:p>
      <w:pPr>
        <w:spacing w:after="0"/>
        <w:jc w:val="center"/>
      </w:pPr>
      <w:r>
        <w:rPr>
          <w:rFonts w:ascii="Arial" w:hAnsi="Arial"/>
          <w:b/>
          <w:i w:val="0"/>
          <w:color w:val="000000"/>
          <w:sz w:val="26"/>
        </w:rPr>
        <w:t>Organizar el proyecto</w:t>
      </w:r>
    </w:p>
    <w:p>
      <w:pPr>
        <w:spacing w:after="0"/>
        <w:jc w:val="center"/>
      </w:pPr>
      <w:r>
        <w:rPr>
          <w:rFonts w:ascii="Arial" w:hAnsi="Arial"/>
          <w:b/>
          <w:i w:val="0"/>
          <w:color w:val="000000"/>
          <w:sz w:val="26"/>
        </w:rPr>
        <w:t>PRODUCTO 2.1</w:t>
      </w:r>
    </w:p>
    <w:p>
      <w:pPr>
        <w:spacing w:after="160"/>
        <w:jc w:val="center"/>
      </w:pPr>
      <w:r>
        <w:rPr>
          <w:rFonts w:ascii="Arial" w:hAnsi="Arial"/>
          <w:b/>
          <w:i w:val="0"/>
          <w:color w:val="000000"/>
          <w:sz w:val="22"/>
        </w:rPr>
        <w:t>2.1 El plan detallado del proyecto elaborado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Nombre del proyecto: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HydroMate - Torre hidropónica inteligente automatizada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Duración: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16 semanas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Horario: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Lunes a viernes, 16:00 a 19:00; pruebas adicionales según necesidad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Lugar: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FCQI, UABC Campus Tijuana y área de pruebas del prototipo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Fecha de inicio: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24 de agosto de 2026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Líder del proyecto: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Kevin Osmar Valdez Meza</w:t>
            </w:r>
          </w:p>
        </w:tc>
      </w:tr>
    </w:tbl>
    <w:p>
      <w:pPr>
        <w:spacing w:after="40"/>
      </w:pPr>
      <w:r>
        <w:rPr>
          <w:rFonts w:ascii="Arial" w:hAnsi="Arial"/>
          <w:b w:val="0"/>
          <w:i w:val="0"/>
          <w:color w:val="000000"/>
          <w:sz w:val="20"/>
        </w:rPr>
      </w:r>
    </w:p>
    <w:p>
      <w:pPr>
        <w:spacing w:after="0"/>
        <w:jc w:val="center"/>
      </w:pPr>
      <w:r>
        <w:rPr>
          <w:rFonts w:ascii="Arial" w:hAnsi="Arial"/>
          <w:b/>
          <w:i w:val="0"/>
          <w:color w:val="000000"/>
          <w:sz w:val="24"/>
        </w:rPr>
        <w:t>PLAN DETALLADO DEL PROYECTO</w:t>
      </w:r>
    </w:p>
    <w:p>
      <w:pPr>
        <w:spacing w:after="160"/>
        <w:jc w:val="center"/>
      </w:pPr>
      <w:r>
        <w:rPr>
          <w:rFonts w:ascii="Arial" w:hAnsi="Arial"/>
          <w:b/>
          <w:i w:val="0"/>
          <w:color w:val="000000"/>
          <w:sz w:val="22"/>
        </w:rPr>
        <w:t>HydroMate - Torre hidropónica inteligente automatizada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1. Descripción general del proyecto.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Nombre del proyecto: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HydroMate - Torre hidropónica inteligente automatizada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Fecha de inicio: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24 de agosto de 2026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Fecha de terminación: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 de diciembre de 2026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Duración: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16 semanas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Horario: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Lunes a viernes, 16:00 a 19:00; pruebas adicionales según necesidad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Lugar: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FCQI, UABC Campus Tijuana y área de pruebas del prototipo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Dueño del proyecto: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Kevin Osmar Valdez Meza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Líder del proyecto: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Kevin Osmar Valdez Meza</w:t>
            </w:r>
          </w:p>
        </w:tc>
      </w:tr>
    </w:tbl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2. División del Trabajo en Paquetes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blHeader w:val="true"/>
          <w:cantSplit/>
        </w:trPr>
        <w:tc>
          <w:tcPr>
            <w:tcW w:type="dxa" w:w="23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Paquete de Trabajo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PT1. Planeación y diseño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Alcance, arquitectura, lista de materiales, presupuesto y criterios de prueba documentados y aprobados; sin decisiones críticas pendientes antes de comprar componentes.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PT2. Torre e hidráulica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Torre y depósito montados. La solución llega a la parte superior y regresa al depósito durante 60 minutos continuos sin fugas importantes ni desbordamientos.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PT3. Electrónica y sensores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ESP32 y sensores de nivel, temperatura, pH, TDS/EC y luz integrados; lecturas disponibles y calibración inicial documentada. Corte por nivel bajo funcional en 100% de pruebas.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PT4. Actuadores y automatización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Bomba principal, iluminación y bombas dosificadoras operan en modo manual y automático; cada canal dosificador queda calibrado y limitado por reglas de seguridad.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PT5. Firmware y control local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El ESP32 ejecuta riego, iluminación, seguridad, perfiles y dosificación sin Internet durante al menos 30 minutos y entra en estado seguro ante sensor inválido.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PT6. Backend, base de datos y comunicación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ESP32 envía/recibe datos por Wi-Fi; backend almacena mediciones, eventos, alertas y perfiles y recupera sincronización después de una desconexión controlada.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PT7. Frontend y perfiles de cultivo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Interfaz muestra estado e historial y permite crear, editar, duplicar y seleccionar perfiles. Incluye jalapeño, serrano, chiltepín y al menos un perfil personalizado.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PT8. Integración, pruebas y documentación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Sistema integrado ejecuta al menos 95% de los ciclos automáticos programados en la prueba final y se entrega con evidencias, costos, manual y resultados de validación.</w:t>
            </w:r>
          </w:p>
        </w:tc>
      </w:tr>
    </w:tbl>
    <w:p>
      <w:pPr>
        <w:pageBreakBefore/>
        <w:spacing w:after="80"/>
      </w:pPr>
      <w:r>
        <w:rPr>
          <w:rFonts w:ascii="Arial" w:hAnsi="Arial"/>
          <w:b/>
          <w:i w:val="0"/>
          <w:color w:val="000000"/>
          <w:sz w:val="22"/>
        </w:rPr>
        <w:t>3. Actividades para Terminar los Paquetes de Trabajo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blHeader w:val="true"/>
          <w:cantSplit/>
        </w:trPr>
        <w:tc>
          <w:tcPr>
            <w:tcW w:type="dxa" w:w="23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Paquete de Trabajo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Actividades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PT1. Planeación y diseño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Confirmar alcance; definir arquitectura; revisar EC0935; actualizar lista de materiales; estimar costos; fijar criterios de aceptación y plan de pruebas.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PT2. Torre e hidráulica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Comprar/medir PVC, depósito y conexiones; fabricar la torre; instalar bomba, tubería y difusor; probar caudal, retorno, fugas, drenaje y estabilidad.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PT3. Electrónica y sensores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Montar fuente, buck, fusibles y borneras; cablear ESP32; integrar nivel, temperatura, pH, TDS/EC y luz; calibrar y evaluar ruido eléctrico.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PT4. Actuadores y automatización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Instalar drivers/MOSFET, bomba principal, iluminación y bombas dosificadoras; separar líneas químicas; calibrar mL/s; configurar zona muerta, dosis máximas y tiempos de mezcla.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PT5. Firmware y control local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Programar estados, temporizadores no bloqueantes, watchdog, protección por nivel, reglas de riego/luz, perfiles, dosificación segura y conservación local de configuración crítica.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PT6. Backend, base de datos y comunicación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Definir API y modelo de datos; recibir telemetría; almacenar histórico y eventos; sincronizar perfiles; implementar reconexión y recuperación de datos.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PT7. Frontend y perfiles de cultivo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Diseñar panel; mostrar variables, actuadores, gráficas y alertas; implementar alta/edición/duplicado de perfiles; probar jalapeño, serrano y chiltepín.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PT8. Integración, pruebas y documentación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Integrar subsistemas; ejecutar pruebas funcionales y de falla; registrar métricas; corregir defectos; elaborar manual, bitácora, evidencias, costos y presentación final.</w:t>
            </w:r>
          </w:p>
        </w:tc>
      </w:tr>
    </w:tbl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4. Costo Estimado del Proyecto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blHeader w:val="true"/>
          <w:cantSplit/>
        </w:trPr>
        <w:tc>
          <w:tcPr>
            <w:tcW w:type="dxa" w:w="65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Paquete de Trabajo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Costo Estimado (MXN)</w:t>
            </w:r>
          </w:p>
        </w:tc>
      </w:tr>
      <w:tr>
        <w:trPr>
          <w:cantSplit/>
        </w:trPr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PT1. Planeación y diseño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$150</w:t>
            </w:r>
          </w:p>
        </w:tc>
      </w:tr>
      <w:tr>
        <w:trPr>
          <w:cantSplit/>
        </w:trPr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PT2. Torre e hidráulica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$1,650</w:t>
            </w:r>
          </w:p>
        </w:tc>
      </w:tr>
      <w:tr>
        <w:trPr>
          <w:cantSplit/>
        </w:trPr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PT3. Electrónica y sensores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$1,550</w:t>
            </w:r>
          </w:p>
        </w:tc>
      </w:tr>
      <w:tr>
        <w:trPr>
          <w:cantSplit/>
        </w:trPr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PT4. Actuadores y automatización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$1,700</w:t>
            </w:r>
          </w:p>
        </w:tc>
      </w:tr>
      <w:tr>
        <w:trPr>
          <w:cantSplit/>
        </w:trPr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PT5. Firmware y control local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$150</w:t>
            </w:r>
          </w:p>
        </w:tc>
      </w:tr>
      <w:tr>
        <w:trPr>
          <w:cantSplit/>
        </w:trPr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PT6. Backend, base de datos y comunicación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$250</w:t>
            </w:r>
          </w:p>
        </w:tc>
      </w:tr>
      <w:tr>
        <w:trPr>
          <w:cantSplit/>
        </w:trPr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PT7. Frontend y perfiles de cultivo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$150</w:t>
            </w:r>
          </w:p>
        </w:tc>
      </w:tr>
      <w:tr>
        <w:trPr>
          <w:cantSplit/>
        </w:trPr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PT8. Integración, pruebas y documentación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$750</w:t>
            </w:r>
          </w:p>
        </w:tc>
      </w:tr>
      <w:tr>
        <w:trPr>
          <w:cantSplit/>
        </w:trPr>
        <w:tc>
          <w:tcPr>
            <w:tcW w:type="dxa" w:w="6552"/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 estimado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000000"/>
                <w:sz w:val="16"/>
              </w:rPr>
              <w:t>$6,350</w:t>
            </w:r>
          </w:p>
        </w:tc>
      </w:tr>
    </w:tbl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5. Tiempo Estimado del Proyecto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 w:val="true"/>
          <w:cantSplit/>
        </w:trPr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Paquete de Trabajo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Duración Estimada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Fechas Clave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PT1. Planeación y diseño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 semanas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24 de agosto - 4 de septiembre de 2026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PT2. Torre e hidráulica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4 semanas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31 de agosto - 25 de septiembre de 2026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PT3. Electrónica y sensores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4 semanas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14 de septiembre - 9 de octubre de 2026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PT4. Actuadores y automatización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4 semanas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28 de septiembre - 23 de octubre de 2026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PT5. Firmware y control local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6 semanas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28 de septiembre - 6 de noviembre de 2026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PT6. Backend, base de datos y comunicación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5 semanas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5 de octubre - 6 de noviembre de 2026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PT7. Frontend y perfiles de cultivo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5 semanas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12 de octubre - 13 de noviembre de 2026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PT8. Integración, pruebas y documentación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5 semanas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9 de noviembre - 11 de diciembre de 2026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000000"/>
                <w:sz w:val="15"/>
              </w:rPr>
              <w:t>TOTAL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000000"/>
                <w:sz w:val="15"/>
              </w:rPr>
              <w:t>16 semanas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000000"/>
                <w:sz w:val="15"/>
              </w:rPr>
              <w:t>24 de agosto - 11 de diciembre de 2026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6. Fechas Importantes</w:t>
      </w:r>
    </w:p>
    <w:p>
      <w:pPr>
        <w:spacing w:after="20"/>
        <w:ind w:left="360" w:hanging="216"/>
      </w:pPr>
      <w:r>
        <w:rPr>
          <w:rFonts w:ascii="Arial" w:hAnsi="Arial"/>
          <w:b w:val="0"/>
          <w:i w:val="0"/>
          <w:color w:val="000000"/>
          <w:sz w:val="18"/>
        </w:rPr>
        <w:t>• Inicio del proyecto: 24 de agosto de 2026.</w:t>
      </w:r>
    </w:p>
    <w:p>
      <w:pPr>
        <w:spacing w:after="20"/>
        <w:ind w:left="360" w:hanging="216"/>
      </w:pPr>
      <w:r>
        <w:rPr>
          <w:rFonts w:ascii="Arial" w:hAnsi="Arial"/>
          <w:b w:val="0"/>
          <w:i w:val="0"/>
          <w:color w:val="000000"/>
          <w:sz w:val="18"/>
        </w:rPr>
        <w:t>• Aprobación del plan detallado y autorización para implementar: 11 de septiembre de 2026.</w:t>
      </w:r>
    </w:p>
    <w:p>
      <w:pPr>
        <w:spacing w:after="20"/>
        <w:ind w:left="360" w:hanging="216"/>
      </w:pPr>
      <w:r>
        <w:rPr>
          <w:rFonts w:ascii="Arial" w:hAnsi="Arial"/>
          <w:b w:val="0"/>
          <w:i w:val="0"/>
          <w:color w:val="000000"/>
          <w:sz w:val="18"/>
        </w:rPr>
        <w:t>• Torre e hidráulica funcionales: 25 de septiembre de 2026.</w:t>
      </w:r>
    </w:p>
    <w:p>
      <w:pPr>
        <w:spacing w:after="20"/>
        <w:ind w:left="360" w:hanging="216"/>
      </w:pPr>
      <w:r>
        <w:rPr>
          <w:rFonts w:ascii="Arial" w:hAnsi="Arial"/>
          <w:b w:val="0"/>
          <w:i w:val="0"/>
          <w:color w:val="000000"/>
          <w:sz w:val="18"/>
        </w:rPr>
        <w:t>• Sensores integrados y calibración inicial: 9 de octubre de 2026.</w:t>
      </w:r>
    </w:p>
    <w:p>
      <w:pPr>
        <w:spacing w:after="20"/>
        <w:ind w:left="360" w:hanging="216"/>
      </w:pPr>
      <w:r>
        <w:rPr>
          <w:rFonts w:ascii="Arial" w:hAnsi="Arial"/>
          <w:b w:val="0"/>
          <w:i w:val="0"/>
          <w:color w:val="000000"/>
          <w:sz w:val="18"/>
        </w:rPr>
        <w:t>• Dosificación e iluminación automatizadas: 23 de octubre de 2026.</w:t>
      </w:r>
    </w:p>
    <w:p>
      <w:pPr>
        <w:spacing w:after="20"/>
        <w:ind w:left="360" w:hanging="216"/>
      </w:pPr>
      <w:r>
        <w:rPr>
          <w:rFonts w:ascii="Arial" w:hAnsi="Arial"/>
          <w:b w:val="0"/>
          <w:i w:val="0"/>
          <w:color w:val="000000"/>
          <w:sz w:val="18"/>
        </w:rPr>
        <w:t>• Backend, base de datos y comunicación funcionales: 6 de noviembre de 2026.</w:t>
      </w:r>
    </w:p>
    <w:p>
      <w:pPr>
        <w:spacing w:after="20"/>
        <w:ind w:left="360" w:hanging="216"/>
      </w:pPr>
      <w:r>
        <w:rPr>
          <w:rFonts w:ascii="Arial" w:hAnsi="Arial"/>
          <w:b w:val="0"/>
          <w:i w:val="0"/>
          <w:color w:val="000000"/>
          <w:sz w:val="18"/>
        </w:rPr>
        <w:t>• Perfiles de cultivo e integración general: 13 de noviembre de 2026.</w:t>
      </w:r>
    </w:p>
    <w:p>
      <w:pPr>
        <w:spacing w:after="20"/>
        <w:ind w:left="360" w:hanging="216"/>
      </w:pPr>
      <w:r>
        <w:rPr>
          <w:rFonts w:ascii="Arial" w:hAnsi="Arial"/>
          <w:b w:val="0"/>
          <w:i w:val="0"/>
          <w:color w:val="000000"/>
          <w:sz w:val="18"/>
        </w:rPr>
        <w:t>• Pruebas integrales y ajustes: 27 de noviembre de 2026.</w:t>
      </w:r>
    </w:p>
    <w:p>
      <w:pPr>
        <w:spacing w:after="20"/>
        <w:ind w:left="360" w:hanging="216"/>
      </w:pPr>
      <w:r>
        <w:rPr>
          <w:rFonts w:ascii="Arial" w:hAnsi="Arial"/>
          <w:b w:val="0"/>
          <w:i w:val="0"/>
          <w:color w:val="000000"/>
          <w:sz w:val="18"/>
        </w:rPr>
        <w:t>• Cierre técnico y documentación final: 4 de diciembre de 2026.</w:t>
      </w:r>
    </w:p>
    <w:p>
      <w:pPr>
        <w:spacing w:after="20"/>
        <w:ind w:left="360" w:hanging="216"/>
      </w:pPr>
      <w:r>
        <w:rPr>
          <w:rFonts w:ascii="Arial" w:hAnsi="Arial"/>
          <w:b w:val="0"/>
          <w:i w:val="0"/>
          <w:color w:val="000000"/>
          <w:sz w:val="18"/>
        </w:rPr>
        <w:t>• Demostración y entrega final: 11 de diciembre de 2026.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7. Roles y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 w:val="true"/>
          <w:cantSplit/>
        </w:trPr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Rol / Participante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Responsabilidades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Interno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Dueño del proyecto - Kevin Osmar Valdez Meza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Autorizar alcance, presupuesto, cambios relevantes, paso a implementación y aceptación final; decidir continuidad ante desviaciones críticas.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Interno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Líder del proyecto - Kevin Osmar Valdez Meza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Planear y coordinar paquetes, controlar tiempo/costo/riesgos, gestionar documentación y dirigir integración y pruebas.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Interno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Participante principal - Kevin Osmar Valdez Meza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Diseñar, construir, programar, integrar y probar torre, electrónica, firmware, backend, base de datos, frontend y perfiles.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Externo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Ing. Agr. Daniela Castro Méndez - Asesora técnica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Revisar rangos hidropónicos, criterios de cultivo y estrategia de dosificación; emitir recomendaciones técnicas sin responsabilidad de ejecución.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Externo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Proveedores de materiales y componentes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Suministrar PVC, depósito, electrónica, sensores, bombas, iluminación, nutrientes y consumibles conforme a especificaciones y fechas de compra.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Externo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Servicio de impresión 3D, si se requiere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Fabricar soportes, adaptadores o caja electrónica en PETG de acuerdo con medidas y archivos proporcionados por el proyecto.</w:t>
            </w:r>
          </w:p>
        </w:tc>
      </w:tr>
    </w:tbl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8. Identificación de Riesgos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 w:val="true"/>
          <w:cantSplit/>
        </w:trPr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Riesgo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Impacto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Plan Alterno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Lecturas incorrectas de pH o TDS/EC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Alto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Detener dosificación ante lecturas inválidas; recalibrar; comparar con referencia y aplicar filtrado/muestreo escalonado.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Sobredosificación de nutrientes o pH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Alto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Usar dosis máximas, zona muerta, tiempo de mezcla y relectura; mantener líneas independientes y modo manual de recuperación.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Fuga, bloqueo de raíces o caudal insuficiente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Alto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Validar hidráulica antes de automatizar; limpiar obstrucciones y ajustar válvula, tubería o bomba.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Retraso o falta de componentes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Comprar componentes críticos con anticipación y mantener equivalentes compatibles identificados.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Interferencia eléctrica en sensores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Separar potencia/señal; mejorar filtrado y puesta a tierra; escalonar lecturas y apagar temporalmente cargas durante mediciones si es necesario.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Pérdida de Wi-Fi/backend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Mantener control crítico y perfil local en ESP32; almacenar eventos pendientes y resincronizar al recuperar conexión.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Crecimiento o densidad mayor a la prevista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Podar/tutorar; ajustar luz y riego; reducir de 8 a 6 plantas si raíces o follaje comprometen la operación.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Incremento de costo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Usar equivalentes, reutilizar materiales y priorizar funciones obligatorias; conservar margen hasta el máximo autorizado de $7,000 MXN.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9. Plan Alterno para Manejo de Riesgos Identificados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18"/>
        </w:rPr>
        <w:t>1. Realizar una revisión semanal del cronograma, costos, riesgos y estado de cada paquete para detectar desviaciones antes de afectar la fecha final.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18"/>
        </w:rPr>
        <w:t>2. Mantener $650 MXN de margen dentro del límite autorizado de $7,000 MXN para contingencias, repuestos o cambios de componente.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18"/>
        </w:rPr>
        <w:t>3. Validar el proyecto por capas: primero hidráulica, después potencia/sensores, posteriormente actuadores y finalmente conectividad/software. Ninguna capa crítica avanzará si la anterior no cumple su criterio de aceptación.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18"/>
        </w:rPr>
        <w:t>4. Ante falla de sensor, comunicación o dosificación, colocar el subsistema afectado en modo seguro y continuar solamente las funciones cuya operación sea confiable mientras se corrige la causa.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18"/>
        </w:rPr>
        <w:t>5. Si un componente no está disponible, utilizar un equivalente compatible documentando el cambio, costo, impacto técnico y efecto en el cronograma.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18"/>
        </w:rPr>
        <w:t>6. Si las pruebas con 8 plantas muestran problemas de raíces, luz o ventilación, reducir la densidad a 6 plantas sin considerar que el objetivo del prototipo haya fallado.</w:t>
      </w:r>
    </w:p>
    <w:p>
      <w:pPr>
        <w:spacing w:after="160"/>
      </w:pPr>
      <w:r>
        <w:rPr>
          <w:rFonts w:ascii="Arial" w:hAnsi="Arial"/>
          <w:b/>
          <w:i w:val="0"/>
          <w:color w:val="000000"/>
          <w:sz w:val="22"/>
        </w:rPr>
        <w:t>10. Firma del Dueño del Proyecto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1600200" cy="1920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493e77-bd81-4482-9261-35674a1b32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920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Arial" w:hAnsi="Arial"/>
          <w:b/>
          <w:i w:val="0"/>
          <w:color w:val="000000"/>
          <w:sz w:val="19"/>
        </w:rPr>
        <w:t>Firma: Kevin Osmar Valdez Meza</w:t>
      </w:r>
    </w:p>
    <w:p>
      <w:pPr>
        <w:spacing w:after="20"/>
      </w:pPr>
      <w:r>
        <w:rPr>
          <w:rFonts w:ascii="Arial" w:hAnsi="Arial"/>
          <w:b w:val="0"/>
          <w:i w:val="0"/>
          <w:color w:val="000000"/>
          <w:sz w:val="19"/>
        </w:rPr>
        <w:t>Fecha de autorización: 11 de septiembre de 2026</w:t>
      </w:r>
    </w:p>
    <w:p>
      <w:pPr>
        <w:spacing w:after="20"/>
      </w:pPr>
      <w:r>
        <w:rPr>
          <w:rFonts w:ascii="Arial" w:hAnsi="Arial"/>
          <w:b w:val="0"/>
          <w:i w:val="0"/>
          <w:color w:val="000000"/>
          <w:sz w:val="19"/>
        </w:rPr>
        <w:t>Autorización: Se aprueba el plan detallado y el paso a la fase de implementación.</w:t>
      </w:r>
    </w:p>
    <w:sectPr w:rsidR="000475E1" w:rsidRPr="000475E1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54653" w14:textId="77777777" w:rsidR="005E0FE6" w:rsidRDefault="005E0FE6" w:rsidP="00AD74F1">
      <w:pPr>
        <w:spacing w:after="0" w:line="240" w:lineRule="auto"/>
      </w:pPr>
      <w:r>
        <w:separator/>
      </w:r>
    </w:p>
  </w:endnote>
  <w:endnote w:type="continuationSeparator" w:id="0">
    <w:p w14:paraId="4C076845" w14:textId="77777777" w:rsidR="005E0FE6" w:rsidRDefault="005E0FE6" w:rsidP="00AD7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5785D" w14:textId="77777777" w:rsidR="00AD74F1" w:rsidRPr="00AD74F1" w:rsidRDefault="00AD74F1" w:rsidP="00AD74F1">
    <w:pPr>
      <w:pStyle w:val="Footer"/>
      <w:jc w:val="center"/>
      <w:rPr>
        <w:b/>
      </w:rPr>
    </w:pPr>
    <w:r w:rsidRPr="00AD74F1">
      <w:rPr>
        <w:rFonts w:ascii="Arial" w:hAnsi="Arial"/>
        <w:b/>
        <w:i w:val="0"/>
        <w:noProof/>
        <w:color w:val="000000"/>
        <w:sz w:val="18"/>
        <w:lang w:val="en-US"/>
      </w:rPr>
      <w:t>Elemento 2, Producto 1,</w:t>
    </w:r>
    <w:r w:rsidR="00BE30FD">
      <w:rPr>
        <w:b/>
      </w:rPr>
    </w:r>
    <w:r w:rsidR="003E60D6">
      <w:rPr>
        <w:b/>
      </w:rPr>
    </w:r>
    <w:r w:rsidR="005E7E7E">
      <w:rPr>
        <w:b/>
      </w:rPr>
    </w:r>
    <w:r w:rsidR="003E60D6">
      <w:rPr>
        <w:b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D0CD7" w14:textId="77777777" w:rsidR="005E0FE6" w:rsidRDefault="005E0FE6" w:rsidP="00AD74F1">
      <w:pPr>
        <w:spacing w:after="0" w:line="240" w:lineRule="auto"/>
      </w:pPr>
      <w:r>
        <w:separator/>
      </w:r>
    </w:p>
  </w:footnote>
  <w:footnote w:type="continuationSeparator" w:id="0">
    <w:p w14:paraId="4D6C3438" w14:textId="77777777" w:rsidR="005E0FE6" w:rsidRDefault="005E0FE6" w:rsidP="00AD7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81422" w14:textId="77777777" w:rsidR="00AD74F1" w:rsidRDefault="00AD74F1" w:rsidP="00AD74F1">
    <w:pPr>
      <w:pStyle w:val="Header"/>
      <w:jc w:val="center"/>
      <w:rPr>
        <w:b/>
        <w:lang w:val="es-ES"/>
      </w:rPr>
    </w:pPr>
    <w:r>
      <w:rPr>
        <w:rFonts w:ascii="Arial" w:hAnsi="Arial"/>
        <w:b/>
        <w:i w:val="0"/>
        <w:noProof/>
        <w:color w:val="000000"/>
        <w:sz w:val="20"/>
        <w:lang w:val="en-US"/>
      </w:rPr>
      <w:t>Estándar EC0935 Gestión de trabajo por proyectos</w:t>
    </w:r>
    <w:r w:rsidRPr="00AD74F1">
      <w:rPr>
        <w:b/>
        <w:lang w:val="es-ES"/>
      </w:rPr>
    </w:r>
  </w:p>
  <w:p w14:paraId="20593BAA" w14:textId="77777777" w:rsidR="003E60D6" w:rsidRPr="00AD74F1" w:rsidRDefault="003E60D6" w:rsidP="00AD74F1">
    <w:pPr>
      <w:pStyle w:val="Header"/>
      <w:jc w:val="center"/>
      <w:rPr>
        <w:b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9EE"/>
    <w:multiLevelType w:val="multilevel"/>
    <w:tmpl w:val="9CC4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0380B"/>
    <w:multiLevelType w:val="hybridMultilevel"/>
    <w:tmpl w:val="C5E6AE28"/>
    <w:lvl w:ilvl="0" w:tplc="0C0A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" w15:restartNumberingAfterBreak="0">
    <w:nsid w:val="0D2B674F"/>
    <w:multiLevelType w:val="hybridMultilevel"/>
    <w:tmpl w:val="240E96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D278C"/>
    <w:multiLevelType w:val="hybridMultilevel"/>
    <w:tmpl w:val="D378432C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1D28EFC">
      <w:numFmt w:val="bullet"/>
      <w:lvlText w:val="•"/>
      <w:lvlJc w:val="left"/>
      <w:pPr>
        <w:ind w:left="3705" w:hanging="2625"/>
      </w:pPr>
      <w:rPr>
        <w:rFonts w:ascii="Calibri" w:eastAsiaTheme="minorHAnsi" w:hAnsi="Calibri" w:cs="Calibr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1380B"/>
    <w:multiLevelType w:val="hybridMultilevel"/>
    <w:tmpl w:val="D378432C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1D28EFC">
      <w:numFmt w:val="bullet"/>
      <w:lvlText w:val="•"/>
      <w:lvlJc w:val="left"/>
      <w:pPr>
        <w:ind w:left="3705" w:hanging="2625"/>
      </w:pPr>
      <w:rPr>
        <w:rFonts w:ascii="Calibri" w:eastAsiaTheme="minorHAnsi" w:hAnsi="Calibri" w:cs="Calibr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70CC0"/>
    <w:multiLevelType w:val="hybridMultilevel"/>
    <w:tmpl w:val="950096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96AAE"/>
    <w:multiLevelType w:val="hybridMultilevel"/>
    <w:tmpl w:val="D378432C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1D28EFC">
      <w:numFmt w:val="bullet"/>
      <w:lvlText w:val="•"/>
      <w:lvlJc w:val="left"/>
      <w:pPr>
        <w:ind w:left="3705" w:hanging="2625"/>
      </w:pPr>
      <w:rPr>
        <w:rFonts w:ascii="Calibri" w:eastAsiaTheme="minorHAnsi" w:hAnsi="Calibri" w:cs="Calibr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8663CD"/>
    <w:multiLevelType w:val="hybridMultilevel"/>
    <w:tmpl w:val="E57EACE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5E5083"/>
    <w:multiLevelType w:val="hybridMultilevel"/>
    <w:tmpl w:val="5EE26A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E27F7"/>
    <w:multiLevelType w:val="hybridMultilevel"/>
    <w:tmpl w:val="72D4B35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33368A"/>
    <w:multiLevelType w:val="multilevel"/>
    <w:tmpl w:val="2AE6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23633F"/>
    <w:multiLevelType w:val="hybridMultilevel"/>
    <w:tmpl w:val="C36A3A3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1D28EFC">
      <w:numFmt w:val="bullet"/>
      <w:lvlText w:val="•"/>
      <w:lvlJc w:val="left"/>
      <w:pPr>
        <w:ind w:left="3705" w:hanging="2625"/>
      </w:pPr>
      <w:rPr>
        <w:rFonts w:ascii="Calibri" w:eastAsiaTheme="minorHAnsi" w:hAnsi="Calibri" w:cs="Calibr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0104FB"/>
    <w:multiLevelType w:val="hybridMultilevel"/>
    <w:tmpl w:val="6F2ECD5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DD94B32"/>
    <w:multiLevelType w:val="hybridMultilevel"/>
    <w:tmpl w:val="08200BE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8760F4"/>
    <w:multiLevelType w:val="hybridMultilevel"/>
    <w:tmpl w:val="D378432C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1D28EFC">
      <w:numFmt w:val="bullet"/>
      <w:lvlText w:val="•"/>
      <w:lvlJc w:val="left"/>
      <w:pPr>
        <w:ind w:left="3705" w:hanging="2625"/>
      </w:pPr>
      <w:rPr>
        <w:rFonts w:ascii="Calibri" w:eastAsiaTheme="minorHAnsi" w:hAnsi="Calibri" w:cs="Calibr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AA7716"/>
    <w:multiLevelType w:val="hybridMultilevel"/>
    <w:tmpl w:val="D378432C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1D28EFC">
      <w:numFmt w:val="bullet"/>
      <w:lvlText w:val="•"/>
      <w:lvlJc w:val="left"/>
      <w:pPr>
        <w:ind w:left="3705" w:hanging="2625"/>
      </w:pPr>
      <w:rPr>
        <w:rFonts w:ascii="Calibri" w:eastAsiaTheme="minorHAnsi" w:hAnsi="Calibri" w:cs="Calibr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E45613"/>
    <w:multiLevelType w:val="hybridMultilevel"/>
    <w:tmpl w:val="99A28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474321">
    <w:abstractNumId w:val="8"/>
  </w:num>
  <w:num w:numId="2" w16cid:durableId="2000694709">
    <w:abstractNumId w:val="7"/>
  </w:num>
  <w:num w:numId="3" w16cid:durableId="1191265064">
    <w:abstractNumId w:val="5"/>
  </w:num>
  <w:num w:numId="4" w16cid:durableId="324866088">
    <w:abstractNumId w:val="2"/>
  </w:num>
  <w:num w:numId="5" w16cid:durableId="1548107320">
    <w:abstractNumId w:val="12"/>
  </w:num>
  <w:num w:numId="6" w16cid:durableId="1523202663">
    <w:abstractNumId w:val="1"/>
  </w:num>
  <w:num w:numId="7" w16cid:durableId="84228261">
    <w:abstractNumId w:val="9"/>
  </w:num>
  <w:num w:numId="8" w16cid:durableId="115028620">
    <w:abstractNumId w:val="11"/>
  </w:num>
  <w:num w:numId="9" w16cid:durableId="553196736">
    <w:abstractNumId w:val="13"/>
  </w:num>
  <w:num w:numId="10" w16cid:durableId="633292709">
    <w:abstractNumId w:val="6"/>
  </w:num>
  <w:num w:numId="11" w16cid:durableId="1810779095">
    <w:abstractNumId w:val="3"/>
  </w:num>
  <w:num w:numId="12" w16cid:durableId="687218774">
    <w:abstractNumId w:val="15"/>
  </w:num>
  <w:num w:numId="13" w16cid:durableId="1492330515">
    <w:abstractNumId w:val="14"/>
  </w:num>
  <w:num w:numId="14" w16cid:durableId="1216890405">
    <w:abstractNumId w:val="4"/>
  </w:num>
  <w:num w:numId="15" w16cid:durableId="483818356">
    <w:abstractNumId w:val="16"/>
  </w:num>
  <w:num w:numId="16" w16cid:durableId="1676423670">
    <w:abstractNumId w:val="0"/>
  </w:num>
  <w:num w:numId="17" w16cid:durableId="16246522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010"/>
    <w:rsid w:val="000408D6"/>
    <w:rsid w:val="000475E1"/>
    <w:rsid w:val="000D03B7"/>
    <w:rsid w:val="000D37C7"/>
    <w:rsid w:val="001742D7"/>
    <w:rsid w:val="00180E03"/>
    <w:rsid w:val="001C1078"/>
    <w:rsid w:val="00262CC8"/>
    <w:rsid w:val="0029312B"/>
    <w:rsid w:val="002A5AA8"/>
    <w:rsid w:val="00307AB3"/>
    <w:rsid w:val="00340080"/>
    <w:rsid w:val="00367AD0"/>
    <w:rsid w:val="00396B76"/>
    <w:rsid w:val="003A5F3D"/>
    <w:rsid w:val="003D0839"/>
    <w:rsid w:val="003E60D6"/>
    <w:rsid w:val="00407F4C"/>
    <w:rsid w:val="00410B3A"/>
    <w:rsid w:val="00474845"/>
    <w:rsid w:val="004A2572"/>
    <w:rsid w:val="004D2449"/>
    <w:rsid w:val="004F23DA"/>
    <w:rsid w:val="004F7999"/>
    <w:rsid w:val="005528E1"/>
    <w:rsid w:val="0059412C"/>
    <w:rsid w:val="005B1E22"/>
    <w:rsid w:val="005E0FE6"/>
    <w:rsid w:val="005E7E7E"/>
    <w:rsid w:val="00634FFF"/>
    <w:rsid w:val="00642EE1"/>
    <w:rsid w:val="006B7767"/>
    <w:rsid w:val="006D3897"/>
    <w:rsid w:val="006E41ED"/>
    <w:rsid w:val="00731AEF"/>
    <w:rsid w:val="00735E04"/>
    <w:rsid w:val="00764165"/>
    <w:rsid w:val="00783E47"/>
    <w:rsid w:val="007E02AD"/>
    <w:rsid w:val="008008DE"/>
    <w:rsid w:val="00876247"/>
    <w:rsid w:val="008E7444"/>
    <w:rsid w:val="00992180"/>
    <w:rsid w:val="009C118C"/>
    <w:rsid w:val="009C51DC"/>
    <w:rsid w:val="009E32AB"/>
    <w:rsid w:val="009E3E13"/>
    <w:rsid w:val="009F5010"/>
    <w:rsid w:val="00A566C5"/>
    <w:rsid w:val="00A75B77"/>
    <w:rsid w:val="00A92142"/>
    <w:rsid w:val="00AB0A2C"/>
    <w:rsid w:val="00AD74F1"/>
    <w:rsid w:val="00B16339"/>
    <w:rsid w:val="00B90CC7"/>
    <w:rsid w:val="00BB1D5B"/>
    <w:rsid w:val="00BE30FD"/>
    <w:rsid w:val="00C525B9"/>
    <w:rsid w:val="00C957F5"/>
    <w:rsid w:val="00D23759"/>
    <w:rsid w:val="00D802CE"/>
    <w:rsid w:val="00DB02C4"/>
    <w:rsid w:val="00E0172F"/>
    <w:rsid w:val="00E6606F"/>
    <w:rsid w:val="00EB0058"/>
    <w:rsid w:val="00ED2D96"/>
    <w:rsid w:val="00F125DB"/>
    <w:rsid w:val="00F457CA"/>
    <w:rsid w:val="00F6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7C298A"/>
  <w15:chartTrackingRefBased/>
  <w15:docId w15:val="{8B7051AB-A3E5-4ACD-AA32-0FD7F78CF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5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59412C"/>
    <w:pPr>
      <w:keepNext/>
      <w:spacing w:after="0" w:line="240" w:lineRule="auto"/>
      <w:jc w:val="center"/>
      <w:outlineLvl w:val="5"/>
    </w:pPr>
    <w:rPr>
      <w:rFonts w:ascii="Arial" w:eastAsia="Times New Roman" w:hAnsi="Arial" w:cs="Arial"/>
      <w:b/>
      <w:bCs/>
      <w:sz w:val="20"/>
      <w:szCs w:val="20"/>
      <w:lang w:val="es-ES" w:eastAsia="es-ES"/>
    </w:rPr>
  </w:style>
  <w:style w:type="paragraph" w:styleId="Heading8">
    <w:name w:val="heading 8"/>
    <w:basedOn w:val="Normal"/>
    <w:next w:val="Normal"/>
    <w:link w:val="Heading8Char"/>
    <w:qFormat/>
    <w:rsid w:val="0059412C"/>
    <w:pPr>
      <w:keepNext/>
      <w:spacing w:after="0" w:line="240" w:lineRule="auto"/>
      <w:jc w:val="center"/>
      <w:outlineLvl w:val="7"/>
    </w:pPr>
    <w:rPr>
      <w:rFonts w:ascii="Arial" w:eastAsia="Times New Roman" w:hAnsi="Arial" w:cs="Arial"/>
      <w:b/>
      <w:bCs/>
      <w:color w:val="FFFFFF"/>
      <w:sz w:val="24"/>
      <w:szCs w:val="20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010"/>
    <w:pPr>
      <w:ind w:left="720"/>
      <w:contextualSpacing/>
    </w:pPr>
  </w:style>
  <w:style w:type="table" w:styleId="TableGrid">
    <w:name w:val="Table Grid"/>
    <w:basedOn w:val="TableNormal"/>
    <w:uiPriority w:val="39"/>
    <w:rsid w:val="009F5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B1633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B163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4">
    <w:name w:val="Grid Table 5 Dark Accent 4"/>
    <w:basedOn w:val="TableNormal"/>
    <w:uiPriority w:val="50"/>
    <w:rsid w:val="00B163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4-Accent4">
    <w:name w:val="Grid Table 4 Accent 4"/>
    <w:basedOn w:val="TableNormal"/>
    <w:uiPriority w:val="49"/>
    <w:rsid w:val="00B1633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B1633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Header">
    <w:name w:val="header"/>
    <w:basedOn w:val="Normal"/>
    <w:link w:val="HeaderChar"/>
    <w:unhideWhenUsed/>
    <w:rsid w:val="00AD74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4F1"/>
  </w:style>
  <w:style w:type="paragraph" w:styleId="Footer">
    <w:name w:val="footer"/>
    <w:basedOn w:val="Normal"/>
    <w:link w:val="FooterChar"/>
    <w:uiPriority w:val="99"/>
    <w:unhideWhenUsed/>
    <w:rsid w:val="00AD74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4F1"/>
  </w:style>
  <w:style w:type="character" w:customStyle="1" w:styleId="Heading6Char">
    <w:name w:val="Heading 6 Char"/>
    <w:basedOn w:val="DefaultParagraphFont"/>
    <w:link w:val="Heading6"/>
    <w:rsid w:val="0059412C"/>
    <w:rPr>
      <w:rFonts w:ascii="Arial" w:eastAsia="Times New Roman" w:hAnsi="Arial" w:cs="Arial"/>
      <w:b/>
      <w:bCs/>
      <w:sz w:val="20"/>
      <w:szCs w:val="20"/>
      <w:lang w:val="es-ES" w:eastAsia="es-ES"/>
    </w:rPr>
  </w:style>
  <w:style w:type="character" w:customStyle="1" w:styleId="Heading8Char">
    <w:name w:val="Heading 8 Char"/>
    <w:basedOn w:val="DefaultParagraphFont"/>
    <w:link w:val="Heading8"/>
    <w:rsid w:val="0059412C"/>
    <w:rPr>
      <w:rFonts w:ascii="Arial" w:eastAsia="Times New Roman" w:hAnsi="Arial" w:cs="Arial"/>
      <w:b/>
      <w:bCs/>
      <w:color w:val="FFFFFF"/>
      <w:sz w:val="24"/>
      <w:szCs w:val="20"/>
      <w:lang w:val="es-ES" w:eastAsia="es-ES"/>
    </w:rPr>
  </w:style>
  <w:style w:type="character" w:styleId="Strong">
    <w:name w:val="Strong"/>
    <w:basedOn w:val="DefaultParagraphFont"/>
    <w:uiPriority w:val="22"/>
    <w:qFormat/>
    <w:rsid w:val="00C525B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5E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8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4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Rosario Hidalgo</dc:creator>
  <cp:keywords/>
  <dc:description/>
  <cp:lastModifiedBy>Manuel Castañón-Puga</cp:lastModifiedBy>
  <cp:revision>25</cp:revision>
  <dcterms:created xsi:type="dcterms:W3CDTF">2023-04-22T03:43:00Z</dcterms:created>
  <dcterms:modified xsi:type="dcterms:W3CDTF">2025-01-14T19:39:00Z</dcterms:modified>
</cp:coreProperties>
</file>