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w:hAnsi="Aptos"/>
          <w:b/>
          <w:color w:val="1F4E79"/>
          <w:sz w:val="28"/>
        </w:rPr>
        <w:t>PROYECTO DE CARRERA</w:t>
      </w:r>
    </w:p>
    <w:p>
      <w:pPr>
        <w:spacing w:before="560"/>
        <w:jc w:val="center"/>
      </w:pPr>
      <w:r>
        <w:rPr>
          <w:rFonts w:ascii="Aptos" w:hAnsi="Aptos"/>
          <w:b/>
          <w:color w:val="1F4E79"/>
          <w:sz w:val="56"/>
        </w:rPr>
        <w:t>HydroMate</w:t>
      </w:r>
    </w:p>
    <w:p>
      <w:pPr>
        <w:jc w:val="center"/>
      </w:pPr>
      <w:r>
        <w:rPr>
          <w:rFonts w:ascii="Aptos" w:hAnsi="Aptos"/>
          <w:b/>
          <w:sz w:val="32"/>
        </w:rPr>
        <w:t>Bitácora técnica de pruebas de sensores, calibración y diagnóstico del módulo TDS</w:t>
      </w:r>
    </w:p>
    <w:p>
      <w:pPr>
        <w:spacing w:before="900"/>
        <w:jc w:val="center"/>
      </w:pPr>
    </w:p>
    <w:p>
      <w:pPr>
        <w:jc w:val="center"/>
      </w:pPr>
      <w:r>
        <w:rPr>
          <w:rFonts w:ascii="Aptos" w:hAnsi="Aptos"/>
          <w:b/>
          <w:sz w:val="24"/>
        </w:rPr>
        <w:t>Valdez Meza Kevin Osmar</w:t>
      </w:r>
    </w:p>
    <w:p>
      <w:pPr>
        <w:jc w:val="center"/>
      </w:pPr>
      <w:r>
        <w:rPr>
          <w:rFonts w:ascii="Aptos" w:hAnsi="Aptos"/>
          <w:b w:val="0"/>
          <w:sz w:val="24"/>
        </w:rPr>
        <w:t>1288703</w:t>
      </w:r>
    </w:p>
    <w:p>
      <w:pPr>
        <w:jc w:val="center"/>
      </w:pPr>
      <w:r>
        <w:rPr>
          <w:rFonts w:ascii="Aptos" w:hAnsi="Aptos"/>
          <w:b w:val="0"/>
          <w:sz w:val="24"/>
        </w:rPr>
        <w:t>5 de octubre de 2026</w:t>
      </w:r>
    </w:p>
    <w:p>
      <w:pPr>
        <w:spacing w:before="1100"/>
        <w:jc w:val="center"/>
      </w:pPr>
      <w:r>
        <w:rPr>
          <w:rFonts w:ascii="Aptos" w:hAnsi="Aptos"/>
          <w:color w:val="5A5A5A"/>
          <w:sz w:val="20"/>
        </w:rPr>
        <w:t>Documento consolidado de trabajo del prototipo HydroMate</w:t>
      </w:r>
    </w:p>
    <w:p>
      <w:r>
        <w:br w:type="page"/>
      </w:r>
    </w:p>
    <w:p>
      <w:pPr>
        <w:pStyle w:val="Heading1"/>
        <w:spacing w:before="200" w:after="100"/>
      </w:pPr>
      <w:r>
        <w:rPr>
          <w:rFonts w:ascii="Aptos" w:hAnsi="Aptos"/>
          <w:b/>
          <w:color w:val="1F4E79"/>
          <w:sz w:val="30"/>
        </w:rPr>
        <w:t>1. Propósito y alcance de esta bitácora</w:t>
      </w:r>
    </w:p>
    <w:p>
      <w:pPr>
        <w:spacing w:after="120" w:line="252" w:lineRule="auto"/>
      </w:pPr>
      <w:r>
        <w:rPr>
          <w:rFonts w:ascii="Aptos" w:hAnsi="Aptos"/>
          <w:sz w:val="21"/>
        </w:rPr>
        <w:t>Este documento consolida las pruebas realizadas durante la etapa de integración de sensores de HydroMate. Su objetivo es conservar las conexiones, resultados, calibraciones, errores detectados, decisiones técnicas y conclusiones para continuar con las siguientes etapas del proyecto sin repetir diagnósticos ya realizados.</w:t>
      </w:r>
    </w:p>
    <w:p>
      <w:pPr>
        <w:spacing w:after="120" w:line="252" w:lineRule="auto"/>
      </w:pPr>
      <w:r>
        <w:rPr>
          <w:rFonts w:ascii="Aptos" w:hAnsi="Aptos"/>
          <w:sz w:val="21"/>
        </w:rPr>
        <w:t>La etapa se concentró en validar temperatura, iluminación, nivel de agua, pH, conversión analógica mediante ADS1115 y TDS. La mayor parte de los sensores quedó funcional; el único componente que no logró una respuesta confiable fue el conjunto TDS Meter V1.0, por lo que se decidió reemplazarlo.</w:t>
      </w:r>
    </w:p>
    <w:p>
      <w:pPr>
        <w:pStyle w:val="Heading1"/>
        <w:spacing w:before="200" w:after="100"/>
      </w:pPr>
      <w:r>
        <w:rPr>
          <w:rFonts w:ascii="Aptos" w:hAnsi="Aptos"/>
          <w:b/>
          <w:color w:val="1F4E79"/>
          <w:sz w:val="30"/>
        </w:rPr>
        <w:t>2. Arquitectura electrónica validada</w:t>
      </w:r>
    </w:p>
    <w:p>
      <w:pPr>
        <w:spacing w:before="80" w:after="120"/>
        <w:ind w:left="360"/>
        <w:shd w:fill="F2F4F7"/>
      </w:pPr>
      <w:r>
        <w:rPr>
          <w:rFonts w:ascii="Consolas" w:hAnsi="Consolas"/>
          <w:color w:val="282828"/>
          <w:sz w:val="17"/>
        </w:rPr>
        <w:t>ESP32 DevKit V1</w:t>
        <w:br/>
        <w:t>│</w:t>
        <w:br/>
        <w:t>├── GPIO 4  -&gt; DS18B20 (temperatura)</w:t>
        <w:br/>
        <w:t>├── GPIO 27 -&gt; Flotador (nivel mínimo)</w:t>
        <w:br/>
        <w:t>│</w:t>
        <w:br/>
        <w:t>└── I2C</w:t>
        <w:br/>
        <w:t xml:space="preserve">    ├── SDA = GPIO 21</w:t>
        <w:br/>
        <w:t xml:space="preserve">    ├── SCL = GPIO 22</w:t>
        <w:br/>
        <w:t xml:space="preserve">    ├── BH1750 (luz)</w:t>
        <w:br/>
        <w:t xml:space="preserve">    └── ADS1115 (ADC externo)</w:t>
        <w:br/>
        <w:t xml:space="preserve">         ├── A0 -&gt; PH-4502C / pH</w:t>
        <w:br/>
        <w:t xml:space="preserve">         ├── A1 -&gt; TDS Meter V1.0</w:t>
        <w:br/>
        <w:t xml:space="preserve">         ├── A2 -&gt; libre</w:t>
        <w:br/>
        <w:t xml:space="preserve">         └── A3 -&gt; libre</w:t>
      </w:r>
    </w:p>
    <w:p>
      <w:pPr>
        <w:spacing w:after="120" w:line="252" w:lineRule="auto"/>
      </w:pPr>
      <w:r>
        <w:rPr>
          <w:rFonts w:ascii="Aptos" w:hAnsi="Aptos"/>
          <w:sz w:val="21"/>
        </w:rPr>
        <w:t>El BH1750 y el ADS1115 pueden compartir el mismo bus I2C porque trabajan con direcciones distintas. El ADS1115 quedó como conversor analógico principal para las señales de pH y TDS, evitando depender del ADC interno del ESP32 en señales pequeñas o sensibles.</w:t>
      </w:r>
    </w:p>
    <w:p>
      <w:pPr>
        <w:pStyle w:val="Heading1"/>
        <w:spacing w:before="200" w:after="100"/>
      </w:pPr>
      <w:r>
        <w:rPr>
          <w:rFonts w:ascii="Aptos" w:hAnsi="Aptos"/>
          <w:b/>
          <w:color w:val="1F4E79"/>
          <w:sz w:val="30"/>
        </w:rPr>
        <w:t>3. Resumen del estado de componentes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448"/>
            <w:shd w:fill="D9EAF7"/>
            <w:tcMar>
              <w:top w:w="80" w:type="dxa"/>
              <w:start w:w="90" w:type="dxa"/>
              <w:bottom w:w="80" w:type="dxa"/>
              <w:end w:w="90" w:type="dxa"/>
            </w:tcMar>
          </w:tcPr>
          <w:p>
            <w:pPr>
              <w:jc w:val="center"/>
            </w:pPr>
            <w:r/>
            <w:r>
              <w:rPr>
                <w:rFonts w:ascii="Aptos" w:hAnsi="Aptos"/>
                <w:b/>
                <w:sz w:val="19"/>
              </w:rPr>
              <w:t>Componente</w:t>
            </w:r>
          </w:p>
        </w:tc>
        <w:tc>
          <w:tcPr>
            <w:tcW w:type="dxa" w:w="1728"/>
            <w:shd w:fill="D9EAF7"/>
            <w:tcMar>
              <w:top w:w="80" w:type="dxa"/>
              <w:start w:w="90" w:type="dxa"/>
              <w:bottom w:w="80" w:type="dxa"/>
              <w:end w:w="90" w:type="dxa"/>
            </w:tcMar>
          </w:tcPr>
          <w:p>
            <w:pPr>
              <w:jc w:val="center"/>
            </w:pPr>
            <w:r/>
            <w:r>
              <w:rPr>
                <w:rFonts w:ascii="Aptos" w:hAnsi="Aptos"/>
                <w:b/>
                <w:sz w:val="19"/>
              </w:rPr>
              <w:t>Estado</w:t>
            </w:r>
          </w:p>
        </w:tc>
        <w:tc>
          <w:tcPr>
            <w:tcW w:type="dxa" w:w="5040"/>
            <w:shd w:fill="D9EAF7"/>
            <w:tcMar>
              <w:top w:w="80" w:type="dxa"/>
              <w:start w:w="90" w:type="dxa"/>
              <w:bottom w:w="80" w:type="dxa"/>
              <w:end w:w="90" w:type="dxa"/>
            </w:tcMar>
          </w:tcPr>
          <w:p>
            <w:pPr>
              <w:jc w:val="center"/>
            </w:pPr>
            <w:r/>
            <w:r>
              <w:rPr>
                <w:rFonts w:ascii="Aptos" w:hAnsi="Aptos"/>
                <w:b/>
                <w:sz w:val="19"/>
              </w:rPr>
              <w:t>Resultado</w:t>
            </w:r>
          </w:p>
        </w:tc>
      </w:tr>
      <w:tr>
        <w:tc>
          <w:tcPr>
            <w:tcW w:type="dxa" w:w="2448"/>
            <w:tcMar>
              <w:top w:w="80" w:type="dxa"/>
              <w:start w:w="90" w:type="dxa"/>
              <w:bottom w:w="80" w:type="dxa"/>
              <w:end w:w="90" w:type="dxa"/>
            </w:tcMar>
            <w:vAlign w:val="center"/>
          </w:tcPr>
          <w:p>
            <w:r/>
            <w:r>
              <w:rPr>
                <w:rFonts w:ascii="Aptos" w:hAnsi="Aptos"/>
                <w:sz w:val="18"/>
              </w:rPr>
              <w:t>ESP32 DevKit V1</w:t>
            </w:r>
          </w:p>
        </w:tc>
        <w:tc>
          <w:tcPr>
            <w:tcW w:type="dxa" w:w="1728"/>
            <w:tcMar>
              <w:top w:w="80" w:type="dxa"/>
              <w:start w:w="90" w:type="dxa"/>
              <w:bottom w:w="80" w:type="dxa"/>
              <w:end w:w="90" w:type="dxa"/>
            </w:tcMar>
            <w:vAlign w:val="center"/>
          </w:tcPr>
          <w:p>
            <w:r/>
            <w:r>
              <w:rPr>
                <w:rFonts w:ascii="Aptos" w:hAnsi="Aptos"/>
                <w:sz w:val="18"/>
              </w:rPr>
              <w:t>Validado</w:t>
            </w:r>
          </w:p>
        </w:tc>
        <w:tc>
          <w:tcPr>
            <w:tcW w:type="dxa" w:w="5040"/>
            <w:tcMar>
              <w:top w:w="80" w:type="dxa"/>
              <w:start w:w="90" w:type="dxa"/>
              <w:bottom w:w="80" w:type="dxa"/>
              <w:end w:w="90" w:type="dxa"/>
            </w:tcMar>
            <w:vAlign w:val="center"/>
          </w:tcPr>
          <w:p>
            <w:r/>
            <w:r>
              <w:rPr>
                <w:rFonts w:ascii="Aptos" w:hAnsi="Aptos"/>
                <w:sz w:val="18"/>
              </w:rPr>
              <w:t>Controlador principal.</w:t>
            </w:r>
          </w:p>
        </w:tc>
      </w:tr>
      <w:tr>
        <w:tc>
          <w:tcPr>
            <w:tcW w:type="dxa" w:w="2448"/>
            <w:tcMar>
              <w:top w:w="80" w:type="dxa"/>
              <w:start w:w="90" w:type="dxa"/>
              <w:bottom w:w="80" w:type="dxa"/>
              <w:end w:w="90" w:type="dxa"/>
            </w:tcMar>
            <w:vAlign w:val="center"/>
          </w:tcPr>
          <w:p>
            <w:r/>
            <w:r>
              <w:rPr>
                <w:rFonts w:ascii="Aptos" w:hAnsi="Aptos"/>
                <w:sz w:val="18"/>
              </w:rPr>
              <w:t>DS18B20</w:t>
            </w:r>
          </w:p>
        </w:tc>
        <w:tc>
          <w:tcPr>
            <w:tcW w:type="dxa" w:w="1728"/>
            <w:tcMar>
              <w:top w:w="80" w:type="dxa"/>
              <w:start w:w="90" w:type="dxa"/>
              <w:bottom w:w="80" w:type="dxa"/>
              <w:end w:w="90" w:type="dxa"/>
            </w:tcMar>
            <w:vAlign w:val="center"/>
          </w:tcPr>
          <w:p>
            <w:r/>
            <w:r>
              <w:rPr>
                <w:rFonts w:ascii="Aptos" w:hAnsi="Aptos"/>
                <w:sz w:val="18"/>
              </w:rPr>
              <w:t>Validado</w:t>
            </w:r>
          </w:p>
        </w:tc>
        <w:tc>
          <w:tcPr>
            <w:tcW w:type="dxa" w:w="5040"/>
            <w:tcMar>
              <w:top w:w="80" w:type="dxa"/>
              <w:start w:w="90" w:type="dxa"/>
              <w:bottom w:w="80" w:type="dxa"/>
              <w:end w:w="90" w:type="dxa"/>
            </w:tcMar>
            <w:vAlign w:val="center"/>
          </w:tcPr>
          <w:p>
            <w:r/>
            <w:r>
              <w:rPr>
                <w:rFonts w:ascii="Aptos" w:hAnsi="Aptos"/>
                <w:sz w:val="18"/>
              </w:rPr>
              <w:t>Lectura de temperatura de la solución.</w:t>
            </w:r>
          </w:p>
        </w:tc>
      </w:tr>
      <w:tr>
        <w:tc>
          <w:tcPr>
            <w:tcW w:type="dxa" w:w="2448"/>
            <w:tcMar>
              <w:top w:w="80" w:type="dxa"/>
              <w:start w:w="90" w:type="dxa"/>
              <w:bottom w:w="80" w:type="dxa"/>
              <w:end w:w="90" w:type="dxa"/>
            </w:tcMar>
            <w:vAlign w:val="center"/>
          </w:tcPr>
          <w:p>
            <w:r/>
            <w:r>
              <w:rPr>
                <w:rFonts w:ascii="Aptos" w:hAnsi="Aptos"/>
                <w:sz w:val="18"/>
              </w:rPr>
              <w:t>BH1750</w:t>
            </w:r>
          </w:p>
        </w:tc>
        <w:tc>
          <w:tcPr>
            <w:tcW w:type="dxa" w:w="1728"/>
            <w:tcMar>
              <w:top w:w="80" w:type="dxa"/>
              <w:start w:w="90" w:type="dxa"/>
              <w:bottom w:w="80" w:type="dxa"/>
              <w:end w:w="90" w:type="dxa"/>
            </w:tcMar>
            <w:vAlign w:val="center"/>
          </w:tcPr>
          <w:p>
            <w:r/>
            <w:r>
              <w:rPr>
                <w:rFonts w:ascii="Aptos" w:hAnsi="Aptos"/>
                <w:sz w:val="18"/>
              </w:rPr>
              <w:t>Validado</w:t>
            </w:r>
          </w:p>
        </w:tc>
        <w:tc>
          <w:tcPr>
            <w:tcW w:type="dxa" w:w="5040"/>
            <w:tcMar>
              <w:top w:w="80" w:type="dxa"/>
              <w:start w:w="90" w:type="dxa"/>
              <w:bottom w:w="80" w:type="dxa"/>
              <w:end w:w="90" w:type="dxa"/>
            </w:tcMar>
            <w:vAlign w:val="center"/>
          </w:tcPr>
          <w:p>
            <w:r/>
            <w:r>
              <w:rPr>
                <w:rFonts w:ascii="Aptos" w:hAnsi="Aptos"/>
                <w:sz w:val="18"/>
              </w:rPr>
              <w:t>Lectura estable de iluminación en lux.</w:t>
            </w:r>
          </w:p>
        </w:tc>
      </w:tr>
      <w:tr>
        <w:tc>
          <w:tcPr>
            <w:tcW w:type="dxa" w:w="2448"/>
            <w:tcMar>
              <w:top w:w="80" w:type="dxa"/>
              <w:start w:w="90" w:type="dxa"/>
              <w:bottom w:w="80" w:type="dxa"/>
              <w:end w:w="90" w:type="dxa"/>
            </w:tcMar>
            <w:vAlign w:val="center"/>
          </w:tcPr>
          <w:p>
            <w:r/>
            <w:r>
              <w:rPr>
                <w:rFonts w:ascii="Aptos" w:hAnsi="Aptos"/>
                <w:sz w:val="18"/>
              </w:rPr>
              <w:t>Flotador</w:t>
            </w:r>
          </w:p>
        </w:tc>
        <w:tc>
          <w:tcPr>
            <w:tcW w:type="dxa" w:w="1728"/>
            <w:tcMar>
              <w:top w:w="80" w:type="dxa"/>
              <w:start w:w="90" w:type="dxa"/>
              <w:bottom w:w="80" w:type="dxa"/>
              <w:end w:w="90" w:type="dxa"/>
            </w:tcMar>
            <w:vAlign w:val="center"/>
          </w:tcPr>
          <w:p>
            <w:r/>
            <w:r>
              <w:rPr>
                <w:rFonts w:ascii="Aptos" w:hAnsi="Aptos"/>
                <w:sz w:val="18"/>
              </w:rPr>
              <w:t>Validado</w:t>
            </w:r>
          </w:p>
        </w:tc>
        <w:tc>
          <w:tcPr>
            <w:tcW w:type="dxa" w:w="5040"/>
            <w:tcMar>
              <w:top w:w="80" w:type="dxa"/>
              <w:start w:w="90" w:type="dxa"/>
              <w:bottom w:w="80" w:type="dxa"/>
              <w:end w:w="90" w:type="dxa"/>
            </w:tcMar>
            <w:vAlign w:val="center"/>
          </w:tcPr>
          <w:p>
            <w:r/>
            <w:r>
              <w:rPr>
                <w:rFonts w:ascii="Aptos" w:hAnsi="Aptos"/>
                <w:sz w:val="18"/>
              </w:rPr>
              <w:t>LOW = agua detectada; HIGH = nivel bajo.</w:t>
            </w:r>
          </w:p>
        </w:tc>
      </w:tr>
      <w:tr>
        <w:tc>
          <w:tcPr>
            <w:tcW w:type="dxa" w:w="2448"/>
            <w:tcMar>
              <w:top w:w="80" w:type="dxa"/>
              <w:start w:w="90" w:type="dxa"/>
              <w:bottom w:w="80" w:type="dxa"/>
              <w:end w:w="90" w:type="dxa"/>
            </w:tcMar>
            <w:vAlign w:val="center"/>
          </w:tcPr>
          <w:p>
            <w:r/>
            <w:r>
              <w:rPr>
                <w:rFonts w:ascii="Aptos" w:hAnsi="Aptos"/>
                <w:sz w:val="18"/>
              </w:rPr>
              <w:t>ADS1115</w:t>
            </w:r>
          </w:p>
        </w:tc>
        <w:tc>
          <w:tcPr>
            <w:tcW w:type="dxa" w:w="1728"/>
            <w:tcMar>
              <w:top w:w="80" w:type="dxa"/>
              <w:start w:w="90" w:type="dxa"/>
              <w:bottom w:w="80" w:type="dxa"/>
              <w:end w:w="90" w:type="dxa"/>
            </w:tcMar>
            <w:vAlign w:val="center"/>
          </w:tcPr>
          <w:p>
            <w:r/>
            <w:r>
              <w:rPr>
                <w:rFonts w:ascii="Aptos" w:hAnsi="Aptos"/>
                <w:sz w:val="18"/>
              </w:rPr>
              <w:t>Validado</w:t>
            </w:r>
          </w:p>
        </w:tc>
        <w:tc>
          <w:tcPr>
            <w:tcW w:type="dxa" w:w="5040"/>
            <w:tcMar>
              <w:top w:w="80" w:type="dxa"/>
              <w:start w:w="90" w:type="dxa"/>
              <w:bottom w:w="80" w:type="dxa"/>
              <w:end w:w="90" w:type="dxa"/>
            </w:tcMar>
            <w:vAlign w:val="center"/>
          </w:tcPr>
          <w:p>
            <w:r/>
            <w:r>
              <w:rPr>
                <w:rFonts w:ascii="Aptos" w:hAnsi="Aptos"/>
                <w:sz w:val="18"/>
              </w:rPr>
              <w:t>I2C 0x48. A0 para pH y A1 para TDS.</w:t>
            </w:r>
          </w:p>
        </w:tc>
      </w:tr>
      <w:tr>
        <w:tc>
          <w:tcPr>
            <w:tcW w:type="dxa" w:w="2448"/>
            <w:tcMar>
              <w:top w:w="80" w:type="dxa"/>
              <w:start w:w="90" w:type="dxa"/>
              <w:bottom w:w="80" w:type="dxa"/>
              <w:end w:w="90" w:type="dxa"/>
            </w:tcMar>
            <w:vAlign w:val="center"/>
          </w:tcPr>
          <w:p>
            <w:r/>
            <w:r>
              <w:rPr>
                <w:rFonts w:ascii="Aptos" w:hAnsi="Aptos"/>
                <w:sz w:val="18"/>
              </w:rPr>
              <w:t>PH-4502C + sonda</w:t>
            </w:r>
          </w:p>
        </w:tc>
        <w:tc>
          <w:tcPr>
            <w:tcW w:type="dxa" w:w="1728"/>
            <w:tcMar>
              <w:top w:w="80" w:type="dxa"/>
              <w:start w:w="90" w:type="dxa"/>
              <w:bottom w:w="80" w:type="dxa"/>
              <w:end w:w="90" w:type="dxa"/>
            </w:tcMar>
            <w:vAlign w:val="center"/>
          </w:tcPr>
          <w:p>
            <w:r/>
            <w:r>
              <w:rPr>
                <w:rFonts w:ascii="Aptos" w:hAnsi="Aptos"/>
                <w:sz w:val="18"/>
              </w:rPr>
              <w:t>Validado</w:t>
            </w:r>
          </w:p>
        </w:tc>
        <w:tc>
          <w:tcPr>
            <w:tcW w:type="dxa" w:w="5040"/>
            <w:tcMar>
              <w:top w:w="80" w:type="dxa"/>
              <w:start w:w="90" w:type="dxa"/>
              <w:bottom w:w="80" w:type="dxa"/>
              <w:end w:w="90" w:type="dxa"/>
            </w:tcMar>
            <w:vAlign w:val="center"/>
          </w:tcPr>
          <w:p>
            <w:r/>
            <w:r>
              <w:rPr>
                <w:rFonts w:ascii="Aptos" w:hAnsi="Aptos"/>
                <w:sz w:val="18"/>
              </w:rPr>
              <w:t>Calibración de dos puntos realizada.</w:t>
            </w:r>
          </w:p>
        </w:tc>
      </w:tr>
      <w:tr>
        <w:tc>
          <w:tcPr>
            <w:tcW w:type="dxa" w:w="2448"/>
            <w:tcMar>
              <w:top w:w="80" w:type="dxa"/>
              <w:start w:w="90" w:type="dxa"/>
              <w:bottom w:w="80" w:type="dxa"/>
              <w:end w:w="90" w:type="dxa"/>
            </w:tcMar>
            <w:vAlign w:val="center"/>
          </w:tcPr>
          <w:p>
            <w:r/>
            <w:r>
              <w:rPr>
                <w:rFonts w:ascii="Aptos" w:hAnsi="Aptos"/>
                <w:sz w:val="18"/>
              </w:rPr>
              <w:t>TDS Meter V1.0 + sonda</w:t>
            </w:r>
          </w:p>
        </w:tc>
        <w:tc>
          <w:tcPr>
            <w:tcW w:type="dxa" w:w="1728"/>
            <w:tcMar>
              <w:top w:w="80" w:type="dxa"/>
              <w:start w:w="90" w:type="dxa"/>
              <w:bottom w:w="80" w:type="dxa"/>
              <w:end w:w="90" w:type="dxa"/>
            </w:tcMar>
            <w:vAlign w:val="center"/>
          </w:tcPr>
          <w:p>
            <w:r/>
            <w:r>
              <w:rPr>
                <w:rFonts w:ascii="Aptos" w:hAnsi="Aptos"/>
                <w:sz w:val="18"/>
              </w:rPr>
              <w:t>Reemplazar</w:t>
            </w:r>
          </w:p>
        </w:tc>
        <w:tc>
          <w:tcPr>
            <w:tcW w:type="dxa" w:w="5040"/>
            <w:tcMar>
              <w:top w:w="80" w:type="dxa"/>
              <w:start w:w="90" w:type="dxa"/>
              <w:bottom w:w="80" w:type="dxa"/>
              <w:end w:w="90" w:type="dxa"/>
            </w:tcMar>
            <w:vAlign w:val="center"/>
          </w:tcPr>
          <w:p>
            <w:r/>
            <w:r>
              <w:rPr>
                <w:rFonts w:ascii="Aptos" w:hAnsi="Aptos"/>
                <w:sz w:val="18"/>
              </w:rPr>
              <w:t>Responde, pero con amplitud anormalmente baja e inestable.</w:t>
            </w:r>
          </w:p>
        </w:tc>
      </w:tr>
      <w:tr>
        <w:tc>
          <w:tcPr>
            <w:tcW w:type="dxa" w:w="2448"/>
            <w:tcMar>
              <w:top w:w="80" w:type="dxa"/>
              <w:start w:w="90" w:type="dxa"/>
              <w:bottom w:w="80" w:type="dxa"/>
              <w:end w:w="90" w:type="dxa"/>
            </w:tcMar>
            <w:vAlign w:val="center"/>
          </w:tcPr>
          <w:p>
            <w:r/>
            <w:r>
              <w:rPr>
                <w:rFonts w:ascii="Aptos" w:hAnsi="Aptos"/>
                <w:sz w:val="18"/>
              </w:rPr>
              <w:t>Bomba / D4184 / potencia</w:t>
            </w:r>
          </w:p>
        </w:tc>
        <w:tc>
          <w:tcPr>
            <w:tcW w:type="dxa" w:w="1728"/>
            <w:tcMar>
              <w:top w:w="80" w:type="dxa"/>
              <w:start w:w="90" w:type="dxa"/>
              <w:bottom w:w="80" w:type="dxa"/>
              <w:end w:w="90" w:type="dxa"/>
            </w:tcMar>
            <w:vAlign w:val="center"/>
          </w:tcPr>
          <w:p>
            <w:r/>
            <w:r>
              <w:rPr>
                <w:rFonts w:ascii="Aptos" w:hAnsi="Aptos"/>
                <w:sz w:val="18"/>
              </w:rPr>
              <w:t>Pendiente</w:t>
            </w:r>
          </w:p>
        </w:tc>
        <w:tc>
          <w:tcPr>
            <w:tcW w:type="dxa" w:w="5040"/>
            <w:tcMar>
              <w:top w:w="80" w:type="dxa"/>
              <w:start w:w="90" w:type="dxa"/>
              <w:bottom w:w="80" w:type="dxa"/>
              <w:end w:w="90" w:type="dxa"/>
            </w:tcMar>
            <w:vAlign w:val="center"/>
          </w:tcPr>
          <w:p>
            <w:r/>
            <w:r>
              <w:rPr>
                <w:rFonts w:ascii="Aptos" w:hAnsi="Aptos"/>
                <w:sz w:val="18"/>
              </w:rPr>
              <w:t>Siguiente etapa de integración.</w:t>
            </w:r>
          </w:p>
        </w:tc>
      </w:tr>
    </w:tbl>
    <w:p>
      <w:pPr>
        <w:spacing w:after="20"/>
      </w:pPr>
    </w:p>
    <w:p>
      <w:pPr>
        <w:pStyle w:val="Heading1"/>
        <w:spacing w:before="200" w:after="100"/>
      </w:pPr>
      <w:r>
        <w:rPr>
          <w:rFonts w:ascii="Aptos" w:hAnsi="Aptos"/>
          <w:b/>
          <w:color w:val="1F4E79"/>
          <w:sz w:val="30"/>
        </w:rPr>
        <w:t>4. Pruebas de sensores sencillos</w:t>
      </w:r>
    </w:p>
    <w:p>
      <w:pPr>
        <w:pStyle w:val="Heading2"/>
        <w:spacing w:before="140" w:after="100"/>
      </w:pPr>
      <w:r>
        <w:rPr>
          <w:rFonts w:ascii="Aptos" w:hAnsi="Aptos"/>
          <w:b/>
          <w:color w:val="373737"/>
          <w:sz w:val="24"/>
        </w:rPr>
        <w:t>4.1 DS18B20 - temperatura</w:t>
      </w:r>
    </w:p>
    <w:p>
      <w:pPr>
        <w:spacing w:after="120" w:line="252" w:lineRule="auto"/>
      </w:pPr>
      <w:r>
        <w:rPr>
          <w:rFonts w:ascii="Aptos" w:hAnsi="Aptos"/>
          <w:sz w:val="21"/>
        </w:rPr>
        <w:t>El DS18B20 sumergible fue probado con Arduino IDE y respondió correctamente. Se utiliza como sensor de temperatura de la solución y posteriormente será la referencia para compensar la lectura TDS por temperatura.</w:t>
      </w:r>
    </w:p>
    <w:p>
      <w:pPr>
        <w:spacing w:before="80" w:after="120"/>
        <w:ind w:left="360"/>
        <w:shd w:fill="F2F4F7"/>
      </w:pPr>
      <w:r>
        <w:rPr>
          <w:rFonts w:ascii="Consolas" w:hAnsi="Consolas"/>
          <w:color w:val="282828"/>
          <w:sz w:val="17"/>
        </w:rPr>
        <w:t>DS18B20 -&gt; ESP32</w:t>
        <w:br/>
        <w:t>VCC  -&gt; 3.3 V</w:t>
        <w:br/>
        <w:t>GND  -&gt; GND</w:t>
        <w:br/>
        <w:t>DATA -&gt; GPIO 4</w:t>
        <w:br/>
        <w:br/>
        <w:t>Resistencia pull-up: 4.7 kΩ entre DATA y 3.3 V</w:t>
      </w:r>
    </w:p>
    <w:p>
      <w:pPr>
        <w:pStyle w:val="ListBullet"/>
        <w:spacing w:after="40"/>
      </w:pPr>
      <w:r>
        <w:rPr>
          <w:rFonts w:ascii="Aptos" w:hAnsi="Aptos"/>
          <w:sz w:val="21"/>
        </w:rPr>
        <w:t>La parte metálica impermeable es la que se sumerge en la solución.</w:t>
      </w:r>
    </w:p>
    <w:p>
      <w:pPr>
        <w:pStyle w:val="ListBullet"/>
        <w:spacing w:after="40"/>
      </w:pPr>
      <w:r>
        <w:rPr>
          <w:rFonts w:ascii="Aptos" w:hAnsi="Aptos"/>
          <w:sz w:val="21"/>
        </w:rPr>
        <w:t>Durante una prueba el sensor apareció como no detectado porque se había desconectado manualmente; no se identificó una falla del componente.</w:t>
      </w:r>
    </w:p>
    <w:p>
      <w:pPr>
        <w:pStyle w:val="Heading2"/>
        <w:spacing w:before="140" w:after="100"/>
      </w:pPr>
      <w:r>
        <w:rPr>
          <w:rFonts w:ascii="Aptos" w:hAnsi="Aptos"/>
          <w:b/>
          <w:color w:val="373737"/>
          <w:sz w:val="24"/>
        </w:rPr>
        <w:t>4.2 BH1750 - iluminación</w:t>
      </w:r>
    </w:p>
    <w:p>
      <w:pPr>
        <w:spacing w:after="120" w:line="252" w:lineRule="auto"/>
      </w:pPr>
      <w:r>
        <w:rPr>
          <w:rFonts w:ascii="Aptos" w:hAnsi="Aptos"/>
          <w:sz w:val="21"/>
        </w:rPr>
        <w:t>El BH1750 inicialmente produjo error porque estaba conectado incorrectamente. Al corregir VCC, GND, SDA y SCL, el módulo fue detectado y entregó lecturas coherentes en lux.</w:t>
      </w:r>
    </w:p>
    <w:p>
      <w:pPr>
        <w:spacing w:before="80" w:after="120"/>
        <w:ind w:left="360"/>
        <w:shd w:fill="F2F4F7"/>
      </w:pPr>
      <w:r>
        <w:rPr>
          <w:rFonts w:ascii="Consolas" w:hAnsi="Consolas"/>
          <w:color w:val="282828"/>
          <w:sz w:val="17"/>
        </w:rPr>
        <w:t>BH1750 -&gt; ESP32</w:t>
        <w:br/>
        <w:t>VCC  -&gt; 3.3 V</w:t>
        <w:br/>
        <w:t>GND  -&gt; GND</w:t>
        <w:br/>
        <w:t>SDA  -&gt; GPIO 21</w:t>
        <w:br/>
        <w:t>SCL  -&gt; GPIO 22</w:t>
        <w:br/>
        <w:t>ADDR -&gt; sin conectar</w:t>
      </w:r>
    </w:p>
    <w:p>
      <w:pPr>
        <w:pStyle w:val="ListBullet"/>
        <w:spacing w:after="40"/>
      </w:pPr>
      <w:r>
        <w:rPr>
          <w:rFonts w:ascii="Aptos" w:hAnsi="Aptos"/>
          <w:sz w:val="21"/>
        </w:rPr>
        <w:t>El módulo fue soldado con el lado del sensor/serigrafía visible hacia arriba; eléctricamente la orientación del header no altera el funcionamiento.</w:t>
      </w:r>
    </w:p>
    <w:p>
      <w:pPr>
        <w:pStyle w:val="ListBullet"/>
        <w:spacing w:after="40"/>
      </w:pPr>
      <w:r>
        <w:rPr>
          <w:rFonts w:ascii="Aptos" w:hAnsi="Aptos"/>
          <w:sz w:val="21"/>
        </w:rPr>
        <w:t>Una prueba de cubrir el sensor o acercarle una fuente luminosa permitió comprobar respuesta a cambios de iluminación.</w:t>
      </w:r>
    </w:p>
    <w:p>
      <w:pPr>
        <w:pStyle w:val="Heading2"/>
        <w:spacing w:before="140" w:after="100"/>
      </w:pPr>
      <w:r>
        <w:rPr>
          <w:rFonts w:ascii="Aptos" w:hAnsi="Aptos"/>
          <w:b/>
          <w:color w:val="373737"/>
          <w:sz w:val="24"/>
        </w:rPr>
        <w:t>4.3 Flotador - nivel mínimo</w:t>
      </w:r>
    </w:p>
    <w:p>
      <w:pPr>
        <w:spacing w:after="120" w:line="252" w:lineRule="auto"/>
      </w:pPr>
      <w:r>
        <w:rPr>
          <w:rFonts w:ascii="Aptos" w:hAnsi="Aptos"/>
          <w:sz w:val="21"/>
        </w:rPr>
        <w:t>El flotador se configuró con INPUT_PULLUP. Después de varias pruebas se confirmó que la lógica correcta del sensor utilizado es LOW cuando hay agua y HIGH cuando el nivel es bajo.</w:t>
      </w:r>
    </w:p>
    <w:p>
      <w:pPr>
        <w:spacing w:before="80" w:after="120"/>
        <w:ind w:left="360"/>
        <w:shd w:fill="F2F4F7"/>
      </w:pPr>
      <w:r>
        <w:rPr>
          <w:rFonts w:ascii="Consolas" w:hAnsi="Consolas"/>
          <w:color w:val="282828"/>
          <w:sz w:val="17"/>
        </w:rPr>
        <w:t>#define FLOAT_PIN 27</w:t>
        <w:br/>
        <w:t>pinMode(FLOAT_PIN, INPUT_PULLUP);</w:t>
        <w:br/>
        <w:br/>
        <w:t>bool hayAgua = (digitalRead(FLOAT_PIN) == LOW);</w:t>
      </w:r>
    </w:p>
    <w:p>
      <w:pPr>
        <w:spacing w:after="120" w:line="252" w:lineRule="auto"/>
      </w:pPr>
      <w:r>
        <w:rPr>
          <w:rFonts w:ascii="Aptos" w:hAnsi="Aptos"/>
          <w:sz w:val="21"/>
        </w:rPr>
        <w:t>Esta señal se usará como una protección local de HydroMate: si el nivel es insuficiente, la bomba principal deberá quedar bloqueada aunque exista un comando remoto de encendido.</w:t>
      </w:r>
    </w:p>
    <w:p>
      <w:pPr>
        <w:pStyle w:val="Heading1"/>
        <w:spacing w:before="200" w:after="100"/>
      </w:pPr>
      <w:r>
        <w:rPr>
          <w:rFonts w:ascii="Aptos" w:hAnsi="Aptos"/>
          <w:b/>
          <w:color w:val="1F4E79"/>
          <w:sz w:val="30"/>
        </w:rPr>
        <w:t>5. ADS1115</w:t>
      </w:r>
    </w:p>
    <w:p>
      <w:pPr>
        <w:spacing w:after="120" w:line="252" w:lineRule="auto"/>
      </w:pPr>
      <w:r>
        <w:rPr>
          <w:rFonts w:ascii="Aptos" w:hAnsi="Aptos"/>
          <w:sz w:val="21"/>
        </w:rPr>
        <w:t>El ADS1115 se integró al mismo bus I2C del BH1750 y fue detectado en la dirección 0x48. Se comprobó que sus cuatro entradas A0-A3 entregan lectura y que A0 y A1 pueden utilizarse simultáneamente para pH y TDS.</w:t>
      </w:r>
    </w:p>
    <w:p>
      <w:pPr>
        <w:spacing w:before="80" w:after="120"/>
        <w:ind w:left="360"/>
        <w:shd w:fill="F2F4F7"/>
      </w:pPr>
      <w:r>
        <w:rPr>
          <w:rFonts w:ascii="Consolas" w:hAnsi="Consolas"/>
          <w:color w:val="282828"/>
          <w:sz w:val="17"/>
        </w:rPr>
        <w:t>ADS1115 -&gt; ESP32</w:t>
        <w:br/>
        <w:t>VDD  -&gt; 3.3 V</w:t>
        <w:br/>
        <w:t>GND  -&gt; GND común</w:t>
        <w:br/>
        <w:t>SDA  -&gt; GPIO 21</w:t>
        <w:br/>
        <w:t>SCL  -&gt; GPIO 22</w:t>
        <w:br/>
        <w:t>ADDR -&gt; sin conectar</w:t>
        <w:br/>
        <w:t>ALRT -&gt; sin conectar</w:t>
      </w:r>
    </w:p>
    <w:p>
      <w:pPr>
        <w:spacing w:after="120" w:line="252" w:lineRule="auto"/>
      </w:pPr>
      <w:r>
        <w:rPr>
          <w:rFonts w:ascii="Aptos" w:hAnsi="Aptos"/>
          <w:sz w:val="21"/>
        </w:rPr>
        <w:t>Se verificó la precisión práctica comparando el voltaje leído por ADS1115 contra un multímetro. En el canal de pH ambos instrumentos coincidieron; en TDS también coincidieron en las decenas de milivoltios, lo cual permitió descartar al ADC como causa de las lecturas bajas.</w:t>
      </w:r>
    </w:p>
    <w:p>
      <w:pPr>
        <w:pStyle w:val="Heading1"/>
        <w:spacing w:before="200" w:after="100"/>
      </w:pPr>
      <w:r>
        <w:rPr>
          <w:rFonts w:ascii="Aptos" w:hAnsi="Aptos"/>
          <w:b/>
          <w:color w:val="1F4E79"/>
          <w:sz w:val="30"/>
        </w:rPr>
        <w:t>6. Sensor de pH PH-4502C</w:t>
      </w:r>
    </w:p>
    <w:p>
      <w:pPr>
        <w:pStyle w:val="Heading2"/>
        <w:spacing w:before="140" w:after="100"/>
      </w:pPr>
      <w:r>
        <w:rPr>
          <w:rFonts w:ascii="Aptos" w:hAnsi="Aptos"/>
          <w:b/>
          <w:color w:val="373737"/>
          <w:sz w:val="24"/>
        </w:rPr>
        <w:t>6.1 Conexión y verificación inicial</w:t>
      </w:r>
    </w:p>
    <w:p>
      <w:pPr>
        <w:spacing w:after="120" w:line="252" w:lineRule="auto"/>
      </w:pPr>
      <w:r>
        <w:rPr>
          <w:rFonts w:ascii="Aptos" w:hAnsi="Aptos"/>
          <w:sz w:val="21"/>
        </w:rPr>
        <w:t>El módulo PH-4502C utilizado presenta terminales TO, DO, PO, G, G y V+. Para HydroMate se utiliza la salida analógica PO y se dejan sin usar TO y DO.</w:t>
      </w:r>
    </w:p>
    <w:p>
      <w:pPr>
        <w:spacing w:before="80" w:after="120"/>
        <w:ind w:left="360"/>
        <w:shd w:fill="F2F4F7"/>
      </w:pPr>
      <w:r>
        <w:rPr>
          <w:rFonts w:ascii="Consolas" w:hAnsi="Consolas"/>
          <w:color w:val="282828"/>
          <w:sz w:val="17"/>
        </w:rPr>
        <w:t>PH-4502C</w:t>
        <w:br/>
        <w:t>V+ -&gt; 5 V</w:t>
        <w:br/>
        <w:t>G  -&gt; GND común</w:t>
        <w:br/>
        <w:t>PO -&gt; ADS1115 A0</w:t>
        <w:br/>
        <w:t>DO -&gt; sin conectar</w:t>
        <w:br/>
        <w:t>TO -&gt; sin conectar</w:t>
      </w:r>
    </w:p>
    <w:p>
      <w:pPr>
        <w:spacing w:after="120" w:line="252" w:lineRule="auto"/>
      </w:pPr>
      <w:r>
        <w:rPr>
          <w:rFonts w:ascii="Aptos" w:hAnsi="Aptos"/>
          <w:sz w:val="21"/>
        </w:rPr>
        <w:t>Se verificó una alimentación de aproximadamente 4.94 V. Con la sonda conectada, la salida PO produjo aproximadamente 1.8 V en una prueba inicial. El ADS1115 reprodujo prácticamente el mismo valor medido con multímetro, confirmando la cadena sonda -&gt; PH-4502C -&gt; ADS1115 -&gt; ESP32.</w:t>
      </w:r>
    </w:p>
    <w:p>
      <w:pPr>
        <w:pStyle w:val="Heading2"/>
        <w:spacing w:before="140" w:after="100"/>
      </w:pPr>
      <w:r>
        <w:rPr>
          <w:rFonts w:ascii="Aptos" w:hAnsi="Aptos"/>
          <w:b/>
          <w:color w:val="373737"/>
          <w:sz w:val="24"/>
        </w:rPr>
        <w:t>6.2 Preparación de buffers y calibración</w:t>
      </w:r>
    </w:p>
    <w:p>
      <w:pPr>
        <w:spacing w:after="120" w:line="252" w:lineRule="auto"/>
      </w:pPr>
      <w:r>
        <w:rPr>
          <w:rFonts w:ascii="Aptos" w:hAnsi="Aptos"/>
          <w:sz w:val="21"/>
        </w:rPr>
        <w:t>Se prepararon soluciones buffer de pH 6.86 y pH 4.01. Cada sobre se disolvió por separado en 250 mL de agua desmineralizada. La sonda se enjuagó entre soluciones y se dejó estabilizar antes de registrar el voltaje.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3744"/>
            <w:shd w:fill="D9EAF7"/>
            <w:tcMar>
              <w:top w:w="80" w:type="dxa"/>
              <w:start w:w="90" w:type="dxa"/>
              <w:bottom w:w="80" w:type="dxa"/>
              <w:end w:w="90" w:type="dxa"/>
            </w:tcMar>
          </w:tcPr>
          <w:p>
            <w:pPr>
              <w:jc w:val="center"/>
            </w:pPr>
            <w:r/>
            <w:r>
              <w:rPr>
                <w:rFonts w:ascii="Aptos" w:hAnsi="Aptos"/>
                <w:b/>
                <w:sz w:val="19"/>
              </w:rPr>
              <w:t>Punto de calibración</w:t>
            </w:r>
          </w:p>
        </w:tc>
        <w:tc>
          <w:tcPr>
            <w:tcW w:type="dxa" w:w="3744"/>
            <w:shd w:fill="D9EAF7"/>
            <w:tcMar>
              <w:top w:w="80" w:type="dxa"/>
              <w:start w:w="90" w:type="dxa"/>
              <w:bottom w:w="80" w:type="dxa"/>
              <w:end w:w="90" w:type="dxa"/>
            </w:tcMar>
          </w:tcPr>
          <w:p>
            <w:pPr>
              <w:jc w:val="center"/>
            </w:pPr>
            <w:r/>
            <w:r>
              <w:rPr>
                <w:rFonts w:ascii="Aptos" w:hAnsi="Aptos"/>
                <w:b/>
                <w:sz w:val="19"/>
              </w:rPr>
              <w:t>Resultado</w:t>
            </w:r>
          </w:p>
        </w:tc>
      </w:tr>
      <w:tr>
        <w:tc>
          <w:tcPr>
            <w:tcW w:type="dxa" w:w="3744"/>
            <w:tcMar>
              <w:top w:w="80" w:type="dxa"/>
              <w:start w:w="90" w:type="dxa"/>
              <w:bottom w:w="80" w:type="dxa"/>
              <w:end w:w="90" w:type="dxa"/>
            </w:tcMar>
            <w:vAlign w:val="center"/>
          </w:tcPr>
          <w:p>
            <w:r/>
            <w:r>
              <w:rPr>
                <w:rFonts w:ascii="Aptos" w:hAnsi="Aptos"/>
                <w:sz w:val="18"/>
              </w:rPr>
              <w:t>pH 6.86</w:t>
            </w:r>
          </w:p>
        </w:tc>
        <w:tc>
          <w:tcPr>
            <w:tcW w:type="dxa" w:w="3744"/>
            <w:tcMar>
              <w:top w:w="80" w:type="dxa"/>
              <w:start w:w="90" w:type="dxa"/>
              <w:bottom w:w="80" w:type="dxa"/>
              <w:end w:w="90" w:type="dxa"/>
            </w:tcMar>
            <w:vAlign w:val="center"/>
          </w:tcPr>
          <w:p>
            <w:r/>
            <w:r>
              <w:rPr>
                <w:rFonts w:ascii="Aptos" w:hAnsi="Aptos"/>
                <w:sz w:val="18"/>
              </w:rPr>
              <w:t>1.2916 V</w:t>
            </w:r>
          </w:p>
        </w:tc>
      </w:tr>
      <w:tr>
        <w:tc>
          <w:tcPr>
            <w:tcW w:type="dxa" w:w="3744"/>
            <w:tcMar>
              <w:top w:w="80" w:type="dxa"/>
              <w:start w:w="90" w:type="dxa"/>
              <w:bottom w:w="80" w:type="dxa"/>
              <w:end w:w="90" w:type="dxa"/>
            </w:tcMar>
            <w:vAlign w:val="center"/>
          </w:tcPr>
          <w:p>
            <w:r/>
            <w:r>
              <w:rPr>
                <w:rFonts w:ascii="Aptos" w:hAnsi="Aptos"/>
                <w:sz w:val="18"/>
              </w:rPr>
              <w:t>pH 4.01</w:t>
            </w:r>
          </w:p>
        </w:tc>
        <w:tc>
          <w:tcPr>
            <w:tcW w:type="dxa" w:w="3744"/>
            <w:tcMar>
              <w:top w:w="80" w:type="dxa"/>
              <w:start w:w="90" w:type="dxa"/>
              <w:bottom w:w="80" w:type="dxa"/>
              <w:end w:w="90" w:type="dxa"/>
            </w:tcMar>
            <w:vAlign w:val="center"/>
          </w:tcPr>
          <w:p>
            <w:r/>
            <w:r>
              <w:rPr>
                <w:rFonts w:ascii="Aptos" w:hAnsi="Aptos"/>
                <w:sz w:val="18"/>
              </w:rPr>
              <w:t>1.8024 V</w:t>
            </w:r>
          </w:p>
        </w:tc>
      </w:tr>
    </w:tbl>
    <w:p>
      <w:pPr>
        <w:spacing w:after="20"/>
      </w:pPr>
    </w:p>
    <w:p>
      <w:pPr>
        <w:spacing w:after="120" w:line="252" w:lineRule="auto"/>
      </w:pPr>
      <w:r>
        <w:rPr>
          <w:rFonts w:ascii="Aptos" w:hAnsi="Aptos"/>
          <w:sz w:val="21"/>
        </w:rPr>
        <w:t>Con estos dos puntos se obtuvo la relación lineal usada actualmente:</w:t>
      </w:r>
    </w:p>
    <w:p>
      <w:pPr>
        <w:spacing w:before="80" w:after="120"/>
        <w:ind w:left="360"/>
        <w:shd w:fill="F2F4F7"/>
      </w:pPr>
      <w:r>
        <w:rPr>
          <w:rFonts w:ascii="Consolas" w:hAnsi="Consolas"/>
          <w:color w:val="282828"/>
          <w:sz w:val="17"/>
        </w:rPr>
        <w:t>pH = -5.579 * voltaje + 14.066</w:t>
        <w:br/>
        <w:br/>
        <w:t>const float PH_M = -5.579;</w:t>
        <w:br/>
        <w:t>const float PH_B = 14.066;</w:t>
      </w:r>
    </w:p>
    <w:p>
      <w:pPr>
        <w:spacing w:after="120" w:line="252" w:lineRule="auto"/>
      </w:pPr>
      <w:r>
        <w:rPr>
          <w:rFonts w:ascii="Aptos" w:hAnsi="Aptos"/>
          <w:sz w:val="21"/>
        </w:rPr>
        <w:t>Al volver a colocar la sonda en el buffer 6.86, la lectura terminó estabilizándose alrededor de 6.88. La diferencia observada confirmó que la calibración inicial es adecuada para el prototipo.</w:t>
      </w:r>
    </w:p>
    <w:p>
      <w:pPr>
        <w:pStyle w:val="Heading2"/>
        <w:spacing w:before="140" w:after="100"/>
      </w:pPr>
      <w:r>
        <w:rPr>
          <w:rFonts w:ascii="Aptos" w:hAnsi="Aptos"/>
          <w:b/>
          <w:color w:val="373737"/>
          <w:sz w:val="24"/>
        </w:rPr>
        <w:t>6.3 Lecciones de uso de la sonda de pH</w:t>
      </w:r>
    </w:p>
    <w:p>
      <w:pPr>
        <w:pStyle w:val="ListBullet"/>
        <w:spacing w:after="40"/>
      </w:pPr>
      <w:r>
        <w:rPr>
          <w:rFonts w:ascii="Aptos" w:hAnsi="Aptos"/>
          <w:sz w:val="21"/>
        </w:rPr>
        <w:t>La lectura necesita tiempo para estabilizarse después de cambiar de líquido.</w:t>
      </w:r>
    </w:p>
    <w:p>
      <w:pPr>
        <w:pStyle w:val="ListBullet"/>
        <w:spacing w:after="40"/>
      </w:pPr>
      <w:r>
        <w:rPr>
          <w:rFonts w:ascii="Aptos" w:hAnsi="Aptos"/>
          <w:sz w:val="21"/>
        </w:rPr>
        <w:t>No conviene tomar como válida la primera lectura inmediatamente después de sumergir la sonda.</w:t>
      </w:r>
    </w:p>
    <w:p>
      <w:pPr>
        <w:pStyle w:val="ListBullet"/>
        <w:spacing w:after="40"/>
      </w:pPr>
      <w:r>
        <w:rPr>
          <w:rFonts w:ascii="Aptos" w:hAnsi="Aptos"/>
          <w:sz w:val="21"/>
        </w:rPr>
        <w:t>Es recomendable promediar varias muestras antes de reportar el pH.</w:t>
      </w:r>
    </w:p>
    <w:p>
      <w:pPr>
        <w:pStyle w:val="ListBullet"/>
        <w:spacing w:after="40"/>
      </w:pPr>
      <w:r>
        <w:rPr>
          <w:rFonts w:ascii="Aptos" w:hAnsi="Aptos"/>
          <w:sz w:val="21"/>
        </w:rPr>
        <w:t>La sonda debe mantenerse húmeda en su solución de almacenamiento cuando no se utiliza.</w:t>
      </w:r>
    </w:p>
    <w:p>
      <w:pPr>
        <w:pStyle w:val="ListBullet"/>
        <w:spacing w:after="40"/>
      </w:pPr>
      <w:r>
        <w:rPr>
          <w:rFonts w:ascii="Aptos" w:hAnsi="Aptos"/>
          <w:sz w:val="21"/>
        </w:rPr>
        <w:t>No se debe guardar la sonda de pH en agua destilada o desmineralizada.</w:t>
      </w:r>
    </w:p>
    <w:p>
      <w:pPr>
        <w:pStyle w:val="ListBullet"/>
        <w:spacing w:after="40"/>
      </w:pPr>
      <w:r>
        <w:rPr>
          <w:rFonts w:ascii="Aptos" w:hAnsi="Aptos"/>
          <w:sz w:val="21"/>
        </w:rPr>
        <w:t>Entre buffers se debe enjuagar con agua desmineralizada y evitar frotar el bulbo.</w:t>
      </w:r>
    </w:p>
    <w:p>
      <w:pPr>
        <w:pStyle w:val="ListBullet"/>
        <w:spacing w:after="40"/>
      </w:pPr>
      <w:r>
        <w:rPr>
          <w:rFonts w:ascii="Aptos" w:hAnsi="Aptos"/>
          <w:sz w:val="21"/>
        </w:rPr>
        <w:t>Los buffers preparados pueden conservarse temporalmente para verificación, pero una vez usados directamente con la sonda dejan de ser una referencia metrológica ideal.</w:t>
      </w:r>
    </w:p>
    <w:p>
      <w:pPr>
        <w:pStyle w:val="Heading1"/>
        <w:spacing w:before="200" w:after="100"/>
      </w:pPr>
      <w:r>
        <w:rPr>
          <w:rFonts w:ascii="Aptos" w:hAnsi="Aptos"/>
          <w:b/>
          <w:color w:val="1F4E79"/>
          <w:sz w:val="30"/>
        </w:rPr>
        <w:t>7. Sensor TDS Meter V1.0 - integración inicial</w:t>
      </w:r>
    </w:p>
    <w:p>
      <w:pPr>
        <w:spacing w:after="120" w:line="252" w:lineRule="auto"/>
      </w:pPr>
      <w:r>
        <w:rPr>
          <w:rFonts w:ascii="Aptos" w:hAnsi="Aptos"/>
          <w:sz w:val="21"/>
        </w:rPr>
        <w:t>El sensor TDS fue conectado inicialmente al canal A1 del ADS1115. Se verificó que la salida analógica del módulo sí llega físicamente hasta A1 y que el voltaje leído por el ADS1115 coincide con el multímetro.</w:t>
      </w:r>
    </w:p>
    <w:p>
      <w:pPr>
        <w:spacing w:before="80" w:after="120"/>
        <w:ind w:left="360"/>
        <w:shd w:fill="F2F4F7"/>
      </w:pPr>
      <w:r>
        <w:rPr>
          <w:rFonts w:ascii="Consolas" w:hAnsi="Consolas"/>
          <w:color w:val="282828"/>
          <w:sz w:val="17"/>
        </w:rPr>
        <w:t>TDS Meter V1.0</w:t>
        <w:br/>
        <w:t>+ -&gt; 3.3 V y posteriormente 5 V en pruebas</w:t>
        <w:br/>
        <w:t>- -&gt; GND común</w:t>
        <w:br/>
        <w:t>A -&gt; ADS1115 A1</w:t>
      </w:r>
    </w:p>
    <w:p>
      <w:pPr>
        <w:spacing w:after="120" w:line="252" w:lineRule="auto"/>
      </w:pPr>
      <w:r>
        <w:rPr>
          <w:rFonts w:ascii="Aptos" w:hAnsi="Aptos"/>
          <w:sz w:val="21"/>
        </w:rPr>
        <w:t>La alimentación se probó tanto a 3.3 V como a 5 V. El comportamiento de la salida prácticamente no cambió, por lo que una alimentación insuficiente no explica el problema.</w:t>
      </w:r>
    </w:p>
    <w:p>
      <w:pPr>
        <w:pStyle w:val="Heading1"/>
        <w:spacing w:before="200" w:after="100"/>
      </w:pPr>
      <w:r>
        <w:rPr>
          <w:rFonts w:ascii="Aptos" w:hAnsi="Aptos"/>
          <w:b/>
          <w:color w:val="1F4E79"/>
          <w:sz w:val="30"/>
        </w:rPr>
        <w:t>8. Problema observado en TDS</w:t>
      </w:r>
    </w:p>
    <w:p>
      <w:pPr>
        <w:spacing w:after="120" w:line="252" w:lineRule="auto"/>
      </w:pPr>
      <w:r>
        <w:rPr>
          <w:rFonts w:ascii="Aptos" w:hAnsi="Aptos"/>
          <w:sz w:val="21"/>
        </w:rPr>
        <w:t>La salida del TDS mostró respuesta a diferentes medios, pero con una amplitud extremadamente pequeña. Los valores típicos registrados durante las pruebas fueron: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608"/>
            <w:shd w:fill="D9EAF7"/>
            <w:tcMar>
              <w:top w:w="80" w:type="dxa"/>
              <w:start w:w="90" w:type="dxa"/>
              <w:bottom w:w="80" w:type="dxa"/>
              <w:end w:w="90" w:type="dxa"/>
            </w:tcMar>
          </w:tcPr>
          <w:p>
            <w:pPr>
              <w:jc w:val="center"/>
            </w:pPr>
            <w:r/>
            <w:r>
              <w:rPr>
                <w:rFonts w:ascii="Aptos" w:hAnsi="Aptos"/>
                <w:b/>
                <w:sz w:val="19"/>
              </w:rPr>
              <w:t>Condición</w:t>
            </w:r>
          </w:p>
        </w:tc>
        <w:tc>
          <w:tcPr>
            <w:tcW w:type="dxa" w:w="3744"/>
            <w:shd w:fill="D9EAF7"/>
            <w:tcMar>
              <w:top w:w="80" w:type="dxa"/>
              <w:start w:w="90" w:type="dxa"/>
              <w:bottom w:w="80" w:type="dxa"/>
              <w:end w:w="90" w:type="dxa"/>
            </w:tcMar>
          </w:tcPr>
          <w:p>
            <w:pPr>
              <w:jc w:val="center"/>
            </w:pPr>
            <w:r/>
            <w:r>
              <w:rPr>
                <w:rFonts w:ascii="Aptos" w:hAnsi="Aptos"/>
                <w:b/>
                <w:sz w:val="19"/>
              </w:rPr>
              <w:t>Salida aproximada</w:t>
            </w:r>
          </w:p>
        </w:tc>
      </w:tr>
      <w:tr>
        <w:tc>
          <w:tcPr>
            <w:tcW w:type="dxa" w:w="4608"/>
            <w:tcMar>
              <w:top w:w="80" w:type="dxa"/>
              <w:start w:w="90" w:type="dxa"/>
              <w:bottom w:w="80" w:type="dxa"/>
              <w:end w:w="90" w:type="dxa"/>
            </w:tcMar>
            <w:vAlign w:val="center"/>
          </w:tcPr>
          <w:p>
            <w:r/>
            <w:r>
              <w:rPr>
                <w:rFonts w:ascii="Aptos" w:hAnsi="Aptos"/>
                <w:sz w:val="18"/>
              </w:rPr>
              <w:t>Sonda desconectada</w:t>
            </w:r>
          </w:p>
        </w:tc>
        <w:tc>
          <w:tcPr>
            <w:tcW w:type="dxa" w:w="3744"/>
            <w:tcMar>
              <w:top w:w="80" w:type="dxa"/>
              <w:start w:w="90" w:type="dxa"/>
              <w:bottom w:w="80" w:type="dxa"/>
              <w:end w:w="90" w:type="dxa"/>
            </w:tcMar>
            <w:vAlign w:val="center"/>
          </w:tcPr>
          <w:p>
            <w:r/>
            <w:r>
              <w:rPr>
                <w:rFonts w:ascii="Aptos" w:hAnsi="Aptos"/>
                <w:sz w:val="18"/>
              </w:rPr>
              <w:t>~0.007 V</w:t>
            </w:r>
          </w:p>
        </w:tc>
      </w:tr>
      <w:tr>
        <w:tc>
          <w:tcPr>
            <w:tcW w:type="dxa" w:w="4608"/>
            <w:tcMar>
              <w:top w:w="80" w:type="dxa"/>
              <w:start w:w="90" w:type="dxa"/>
              <w:bottom w:w="80" w:type="dxa"/>
              <w:end w:w="90" w:type="dxa"/>
            </w:tcMar>
            <w:vAlign w:val="center"/>
          </w:tcPr>
          <w:p>
            <w:r/>
            <w:r>
              <w:rPr>
                <w:rFonts w:ascii="Aptos" w:hAnsi="Aptos"/>
                <w:sz w:val="18"/>
              </w:rPr>
              <w:t>Sonda conectada al aire</w:t>
            </w:r>
          </w:p>
        </w:tc>
        <w:tc>
          <w:tcPr>
            <w:tcW w:type="dxa" w:w="3744"/>
            <w:tcMar>
              <w:top w:w="80" w:type="dxa"/>
              <w:start w:w="90" w:type="dxa"/>
              <w:bottom w:w="80" w:type="dxa"/>
              <w:end w:w="90" w:type="dxa"/>
            </w:tcMar>
            <w:vAlign w:val="center"/>
          </w:tcPr>
          <w:p>
            <w:r/>
            <w:r>
              <w:rPr>
                <w:rFonts w:ascii="Aptos" w:hAnsi="Aptos"/>
                <w:sz w:val="18"/>
              </w:rPr>
              <w:t>~0.010 V / 0.00175 V en prueba aislada</w:t>
            </w:r>
          </w:p>
        </w:tc>
      </w:tr>
      <w:tr>
        <w:tc>
          <w:tcPr>
            <w:tcW w:type="dxa" w:w="4608"/>
            <w:tcMar>
              <w:top w:w="80" w:type="dxa"/>
              <w:start w:w="90" w:type="dxa"/>
              <w:bottom w:w="80" w:type="dxa"/>
              <w:end w:w="90" w:type="dxa"/>
            </w:tcMar>
            <w:vAlign w:val="center"/>
          </w:tcPr>
          <w:p>
            <w:r/>
            <w:r>
              <w:rPr>
                <w:rFonts w:ascii="Aptos" w:hAnsi="Aptos"/>
                <w:sz w:val="18"/>
              </w:rPr>
              <w:t>Agua de la llave</w:t>
            </w:r>
          </w:p>
        </w:tc>
        <w:tc>
          <w:tcPr>
            <w:tcW w:type="dxa" w:w="3744"/>
            <w:tcMar>
              <w:top w:w="80" w:type="dxa"/>
              <w:start w:w="90" w:type="dxa"/>
              <w:bottom w:w="80" w:type="dxa"/>
              <w:end w:w="90" w:type="dxa"/>
            </w:tcMar>
            <w:vAlign w:val="center"/>
          </w:tcPr>
          <w:p>
            <w:r/>
            <w:r>
              <w:rPr>
                <w:rFonts w:ascii="Aptos" w:hAnsi="Aptos"/>
                <w:sz w:val="18"/>
              </w:rPr>
              <w:t>~0.020-0.040 V</w:t>
            </w:r>
          </w:p>
        </w:tc>
      </w:tr>
      <w:tr>
        <w:tc>
          <w:tcPr>
            <w:tcW w:type="dxa" w:w="4608"/>
            <w:tcMar>
              <w:top w:w="80" w:type="dxa"/>
              <w:start w:w="90" w:type="dxa"/>
              <w:bottom w:w="80" w:type="dxa"/>
              <w:end w:w="90" w:type="dxa"/>
            </w:tcMar>
            <w:vAlign w:val="center"/>
          </w:tcPr>
          <w:p>
            <w:r/>
            <w:r>
              <w:rPr>
                <w:rFonts w:ascii="Aptos" w:hAnsi="Aptos"/>
                <w:sz w:val="18"/>
              </w:rPr>
              <w:t>Agua desmineralizada</w:t>
            </w:r>
          </w:p>
        </w:tc>
        <w:tc>
          <w:tcPr>
            <w:tcW w:type="dxa" w:w="3744"/>
            <w:tcMar>
              <w:top w:w="80" w:type="dxa"/>
              <w:start w:w="90" w:type="dxa"/>
              <w:bottom w:w="80" w:type="dxa"/>
              <w:end w:w="90" w:type="dxa"/>
            </w:tcMar>
            <w:vAlign w:val="center"/>
          </w:tcPr>
          <w:p>
            <w:r/>
            <w:r>
              <w:rPr>
                <w:rFonts w:ascii="Aptos" w:hAnsi="Aptos"/>
                <w:sz w:val="18"/>
              </w:rPr>
              <w:t>~0.032 V en pruebas previas</w:t>
            </w:r>
          </w:p>
        </w:tc>
      </w:tr>
      <w:tr>
        <w:tc>
          <w:tcPr>
            <w:tcW w:type="dxa" w:w="4608"/>
            <w:tcMar>
              <w:top w:w="80" w:type="dxa"/>
              <w:start w:w="90" w:type="dxa"/>
              <w:bottom w:w="80" w:type="dxa"/>
              <w:end w:w="90" w:type="dxa"/>
            </w:tcMar>
            <w:vAlign w:val="center"/>
          </w:tcPr>
          <w:p>
            <w:r/>
            <w:r>
              <w:rPr>
                <w:rFonts w:ascii="Aptos" w:hAnsi="Aptos"/>
                <w:sz w:val="18"/>
              </w:rPr>
              <w:t>Agua con bastante sal</w:t>
            </w:r>
          </w:p>
        </w:tc>
        <w:tc>
          <w:tcPr>
            <w:tcW w:type="dxa" w:w="3744"/>
            <w:tcMar>
              <w:top w:w="80" w:type="dxa"/>
              <w:start w:w="90" w:type="dxa"/>
              <w:bottom w:w="80" w:type="dxa"/>
              <w:end w:w="90" w:type="dxa"/>
            </w:tcMar>
            <w:vAlign w:val="center"/>
          </w:tcPr>
          <w:p>
            <w:r/>
            <w:r>
              <w:rPr>
                <w:rFonts w:ascii="Aptos" w:hAnsi="Aptos"/>
                <w:sz w:val="18"/>
              </w:rPr>
              <w:t>~0.040-0.064 V</w:t>
            </w:r>
          </w:p>
        </w:tc>
      </w:tr>
    </w:tbl>
    <w:p>
      <w:pPr>
        <w:spacing w:after="20"/>
      </w:pPr>
    </w:p>
    <w:p>
      <w:pPr>
        <w:spacing w:after="120" w:line="252" w:lineRule="auto"/>
      </w:pPr>
      <w:r>
        <w:rPr>
          <w:rFonts w:ascii="Aptos" w:hAnsi="Aptos"/>
          <w:sz w:val="21"/>
        </w:rPr>
        <w:t>Aunque el módulo distingue aire, agua y agua salada, la diferencia es demasiado pequeña para utilizar la conversión estándar de TDS con confianza. Una gran adición de sal solo produjo cambios de unas centésimas de voltio.</w:t>
      </w:r>
    </w:p>
    <w:p>
      <w:pPr>
        <w:pStyle w:val="Heading1"/>
        <w:spacing w:before="200" w:after="100"/>
      </w:pPr>
      <w:r>
        <w:rPr>
          <w:rFonts w:ascii="Aptos" w:hAnsi="Aptos"/>
          <w:b/>
          <w:color w:val="1F4E79"/>
          <w:sz w:val="30"/>
        </w:rPr>
        <w:t>9. Código y fórmula TDS evaluados</w:t>
      </w:r>
    </w:p>
    <w:p>
      <w:pPr>
        <w:spacing w:after="120" w:line="252" w:lineRule="auto"/>
      </w:pPr>
      <w:r>
        <w:rPr>
          <w:rFonts w:ascii="Aptos" w:hAnsi="Aptos"/>
          <w:sz w:val="21"/>
        </w:rPr>
        <w:t>Se utilizó la ecuación habitual del SEN0244/GravityTDS con compensación aproximada de temperatura a 25 °C. La fórmula empleada no fue la causa de la señal pequeña; primero se verificó el voltaje bruto antes de convertir a ppm.</w:t>
      </w:r>
    </w:p>
    <w:p>
      <w:pPr>
        <w:spacing w:before="80" w:after="120"/>
        <w:ind w:left="360"/>
        <w:shd w:fill="F2F4F7"/>
      </w:pPr>
      <w:r>
        <w:rPr>
          <w:rFonts w:ascii="Consolas" w:hAnsi="Consolas"/>
          <w:color w:val="282828"/>
          <w:sz w:val="17"/>
        </w:rPr>
        <w:t>compensationCoefficient = 1.0 + 0.02 * (temperatura - 25.0);</w:t>
        <w:br/>
        <w:t>compensationVoltage = voltaje / compensationCoefficient;</w:t>
        <w:br/>
        <w:br/>
        <w:t>tds = (133.42*V^3 - 255.86*V^2 + 857.39*V) * 0.5;</w:t>
      </w:r>
    </w:p>
    <w:p>
      <w:pPr>
        <w:spacing w:after="120" w:line="252" w:lineRule="auto"/>
      </w:pPr>
      <w:r>
        <w:rPr>
          <w:rFonts w:ascii="Aptos" w:hAnsi="Aptos"/>
          <w:sz w:val="21"/>
        </w:rPr>
        <w:t>Con la señal anormalmente baja, la conversión llegó a producir alrededor de 12-13 ppm en agua desmineralizada, 14-15 ppm en agua de la llave y apenas ~17 ppm después de añadir sal. Estos valores se consideraron no confiables.</w:t>
      </w:r>
    </w:p>
    <w:p>
      <w:pPr>
        <w:pStyle w:val="Heading1"/>
        <w:spacing w:before="200" w:after="100"/>
      </w:pPr>
      <w:r>
        <w:rPr>
          <w:rFonts w:ascii="Aptos" w:hAnsi="Aptos"/>
          <w:b/>
          <w:color w:val="1F4E79"/>
          <w:sz w:val="30"/>
        </w:rPr>
        <w:t>10. Ganancia del ADS1115 y filtrado</w:t>
      </w:r>
    </w:p>
    <w:p>
      <w:pPr>
        <w:spacing w:after="120" w:line="252" w:lineRule="auto"/>
      </w:pPr>
      <w:r>
        <w:rPr>
          <w:rFonts w:ascii="Aptos" w:hAnsi="Aptos"/>
          <w:sz w:val="21"/>
        </w:rPr>
        <w:t>Para estudiar la pequeña señal del TDS se utilizó temporalmente GAIN_SIXTEEN. Esto permitió que el ADS1115 mostrara aproximadamente los mismos 0.035-0.040 V que el multímetro. Sin embargo, GAIN_SIXTEEN no debe usarse como configuración final de un TDS normal porque su rango de entrada es demasiado pequeño.</w:t>
      </w:r>
    </w:p>
    <w:p>
      <w:pPr>
        <w:spacing w:before="80" w:after="120"/>
        <w:ind w:left="360"/>
        <w:shd w:fill="F2F4F7"/>
      </w:pPr>
      <w:r>
        <w:rPr>
          <w:rFonts w:ascii="Consolas" w:hAnsi="Consolas"/>
          <w:color w:val="282828"/>
          <w:sz w:val="17"/>
        </w:rPr>
        <w:t>pH: GAIN_TWOTHIRDS</w:t>
        <w:br/>
        <w:t>TDS durante diagnóstico de señal pequeña: GAIN_SIXTEEN</w:t>
        <w:br/>
        <w:t>TDS para prueba de rango completo: GAIN_ONE</w:t>
      </w:r>
    </w:p>
    <w:p>
      <w:pPr>
        <w:spacing w:after="120" w:line="252" w:lineRule="auto"/>
      </w:pPr>
      <w:r>
        <w:rPr>
          <w:rFonts w:ascii="Aptos" w:hAnsi="Aptos"/>
          <w:sz w:val="21"/>
        </w:rPr>
        <w:t>También se probaron promedios y mediana de múltiples muestras. El filtrado reduce el ruido, pero no puede corregir una señal físicamente demasiado pequeña.</w:t>
      </w:r>
    </w:p>
    <w:p>
      <w:pPr>
        <w:pStyle w:val="Heading1"/>
        <w:spacing w:before="200" w:after="100"/>
      </w:pPr>
      <w:r>
        <w:rPr>
          <w:rFonts w:ascii="Aptos" w:hAnsi="Aptos"/>
          <w:b/>
          <w:color w:val="1F4E79"/>
          <w:sz w:val="30"/>
        </w:rPr>
        <w:t>11. Pruebas independientes para descartar software y ADC</w:t>
      </w:r>
    </w:p>
    <w:p>
      <w:pPr>
        <w:pStyle w:val="Heading2"/>
        <w:spacing w:before="140" w:after="100"/>
      </w:pPr>
      <w:r>
        <w:rPr>
          <w:rFonts w:ascii="Aptos" w:hAnsi="Aptos"/>
          <w:b/>
          <w:color w:val="373737"/>
          <w:sz w:val="24"/>
        </w:rPr>
        <w:t>11.1 Comparación multímetro vs ADS1115</w:t>
      </w:r>
    </w:p>
    <w:p>
      <w:pPr>
        <w:spacing w:after="120" w:line="252" w:lineRule="auto"/>
      </w:pPr>
      <w:r>
        <w:rPr>
          <w:rFonts w:ascii="Aptos" w:hAnsi="Aptos"/>
          <w:sz w:val="21"/>
        </w:rPr>
        <w:t>La salida A del TDS medida directamente con multímetro fue aproximadamente 0.035-0.040 V y el ADS1115 mostró el mismo rango. Esto descartó al ADS1115 y al cableado A -&gt; A1 como origen del problema.</w:t>
      </w:r>
    </w:p>
    <w:p>
      <w:pPr>
        <w:pStyle w:val="Heading2"/>
        <w:spacing w:before="140" w:after="100"/>
      </w:pPr>
      <w:r>
        <w:rPr>
          <w:rFonts w:ascii="Aptos" w:hAnsi="Aptos"/>
          <w:b/>
          <w:color w:val="373737"/>
          <w:sz w:val="24"/>
        </w:rPr>
        <w:t>11.2 Prueba directa con ADC interno del ESP32</w:t>
      </w:r>
    </w:p>
    <w:p>
      <w:pPr>
        <w:spacing w:after="120" w:line="252" w:lineRule="auto"/>
      </w:pPr>
      <w:r>
        <w:rPr>
          <w:rFonts w:ascii="Aptos" w:hAnsi="Aptos"/>
          <w:sz w:val="21"/>
        </w:rPr>
        <w:t>Se conectó la salida A directamente a un ADC del ESP32. Con ADC_11db la lectura tendía a cero y solo aparecían picos al mover la sonda. Se concluyó que el ADC interno del ESP32 no es adecuado para diagnosticar decenas de milivoltios en esta configuración; los picos por movimiento eran transitorios y no una lectura estable de TDS.</w:t>
      </w:r>
    </w:p>
    <w:p>
      <w:pPr>
        <w:pStyle w:val="Heading2"/>
        <w:spacing w:before="140" w:after="100"/>
      </w:pPr>
      <w:r>
        <w:rPr>
          <w:rFonts w:ascii="Aptos" w:hAnsi="Aptos"/>
          <w:b/>
          <w:color w:val="373737"/>
          <w:sz w:val="24"/>
        </w:rPr>
        <w:t>11.3 Prueba con Arduino UNO y GravityTDS</w:t>
      </w:r>
    </w:p>
    <w:p>
      <w:pPr>
        <w:spacing w:after="120" w:line="252" w:lineRule="auto"/>
      </w:pPr>
      <w:r>
        <w:rPr>
          <w:rFonts w:ascii="Aptos" w:hAnsi="Aptos"/>
          <w:sz w:val="21"/>
        </w:rPr>
        <w:t>Como prueba completamente independiente se utilizó un Arduino UNO con la librería GravityTDS. El código original configuró AREF = 5.0 V y ADC de 10 bits. La salida fue muy inestable, por ejemplo 0, 2, 23, 25 o 29 ppm, lo cual coincidió con una señal de entrada muy cercana a cero.</w:t>
      </w:r>
    </w:p>
    <w:p>
      <w:pPr>
        <w:spacing w:after="120" w:line="252" w:lineRule="auto"/>
      </w:pPr>
      <w:r>
        <w:rPr>
          <w:rFonts w:ascii="Aptos" w:hAnsi="Aptos"/>
          <w:sz w:val="21"/>
        </w:rPr>
        <w:t>Se cargó posteriormente un programa mínimo para observar ADC RAW y voltaje sin usar GravityTDS. Los resultados fueron:</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440"/>
            <w:shd w:fill="D9EAF7"/>
            <w:tcMar>
              <w:top w:w="80" w:type="dxa"/>
              <w:start w:w="90" w:type="dxa"/>
              <w:bottom w:w="80" w:type="dxa"/>
              <w:end w:w="90" w:type="dxa"/>
            </w:tcMar>
          </w:tcPr>
          <w:p>
            <w:pPr>
              <w:jc w:val="center"/>
            </w:pPr>
            <w:r/>
            <w:r>
              <w:rPr>
                <w:rFonts w:ascii="Aptos" w:hAnsi="Aptos"/>
                <w:b/>
                <w:sz w:val="19"/>
              </w:rPr>
              <w:t>Muestra</w:t>
            </w:r>
          </w:p>
        </w:tc>
        <w:tc>
          <w:tcPr>
            <w:tcW w:type="dxa" w:w="1440"/>
            <w:shd w:fill="D9EAF7"/>
            <w:tcMar>
              <w:top w:w="80" w:type="dxa"/>
              <w:start w:w="90" w:type="dxa"/>
              <w:bottom w:w="80" w:type="dxa"/>
              <w:end w:w="90" w:type="dxa"/>
            </w:tcMar>
          </w:tcPr>
          <w:p>
            <w:pPr>
              <w:jc w:val="center"/>
            </w:pPr>
            <w:r/>
            <w:r>
              <w:rPr>
                <w:rFonts w:ascii="Aptos" w:hAnsi="Aptos"/>
                <w:b/>
                <w:sz w:val="19"/>
              </w:rPr>
              <w:t>ADC mín.</w:t>
            </w:r>
          </w:p>
        </w:tc>
        <w:tc>
          <w:tcPr>
            <w:tcW w:type="dxa" w:w="1440"/>
            <w:shd w:fill="D9EAF7"/>
            <w:tcMar>
              <w:top w:w="80" w:type="dxa"/>
              <w:start w:w="90" w:type="dxa"/>
              <w:bottom w:w="80" w:type="dxa"/>
              <w:end w:w="90" w:type="dxa"/>
            </w:tcMar>
          </w:tcPr>
          <w:p>
            <w:pPr>
              <w:jc w:val="center"/>
            </w:pPr>
            <w:r/>
            <w:r>
              <w:rPr>
                <w:rFonts w:ascii="Aptos" w:hAnsi="Aptos"/>
                <w:b/>
                <w:sz w:val="19"/>
              </w:rPr>
              <w:t>ADC máx.</w:t>
            </w:r>
          </w:p>
        </w:tc>
        <w:tc>
          <w:tcPr>
            <w:tcW w:type="dxa" w:w="1872"/>
            <w:shd w:fill="D9EAF7"/>
            <w:tcMar>
              <w:top w:w="80" w:type="dxa"/>
              <w:start w:w="90" w:type="dxa"/>
              <w:bottom w:w="80" w:type="dxa"/>
              <w:end w:w="90" w:type="dxa"/>
            </w:tcMar>
          </w:tcPr>
          <w:p>
            <w:pPr>
              <w:jc w:val="center"/>
            </w:pPr>
            <w:r/>
            <w:r>
              <w:rPr>
                <w:rFonts w:ascii="Aptos" w:hAnsi="Aptos"/>
                <w:b/>
                <w:sz w:val="19"/>
              </w:rPr>
              <w:t>ADC promedio</w:t>
            </w:r>
          </w:p>
        </w:tc>
        <w:tc>
          <w:tcPr>
            <w:tcW w:type="dxa" w:w="2160"/>
            <w:shd w:fill="D9EAF7"/>
            <w:tcMar>
              <w:top w:w="80" w:type="dxa"/>
              <w:start w:w="90" w:type="dxa"/>
              <w:bottom w:w="80" w:type="dxa"/>
              <w:end w:w="90" w:type="dxa"/>
            </w:tcMar>
          </w:tcPr>
          <w:p>
            <w:pPr>
              <w:jc w:val="center"/>
            </w:pPr>
            <w:r/>
            <w:r>
              <w:rPr>
                <w:rFonts w:ascii="Aptos" w:hAnsi="Aptos"/>
                <w:b/>
                <w:sz w:val="19"/>
              </w:rPr>
              <w:t>Voltaje promedio</w:t>
            </w:r>
          </w:p>
        </w:tc>
      </w:tr>
      <w:tr>
        <w:tc>
          <w:tcPr>
            <w:tcW w:type="dxa" w:w="1440"/>
            <w:tcMar>
              <w:top w:w="80" w:type="dxa"/>
              <w:start w:w="90" w:type="dxa"/>
              <w:bottom w:w="80" w:type="dxa"/>
              <w:end w:w="90" w:type="dxa"/>
            </w:tcMar>
            <w:vAlign w:val="center"/>
          </w:tcPr>
          <w:p>
            <w:r/>
            <w:r>
              <w:rPr>
                <w:rFonts w:ascii="Aptos" w:hAnsi="Aptos"/>
                <w:sz w:val="18"/>
              </w:rPr>
              <w:t>Muestra 1</w:t>
            </w:r>
          </w:p>
        </w:tc>
        <w:tc>
          <w:tcPr>
            <w:tcW w:type="dxa" w:w="1440"/>
            <w:tcMar>
              <w:top w:w="80" w:type="dxa"/>
              <w:start w:w="90" w:type="dxa"/>
              <w:bottom w:w="80" w:type="dxa"/>
              <w:end w:w="90" w:type="dxa"/>
            </w:tcMar>
            <w:vAlign w:val="center"/>
          </w:tcPr>
          <w:p>
            <w:r/>
            <w:r>
              <w:rPr>
                <w:rFonts w:ascii="Aptos" w:hAnsi="Aptos"/>
                <w:sz w:val="18"/>
              </w:rPr>
              <w:t>0</w:t>
            </w:r>
          </w:p>
        </w:tc>
        <w:tc>
          <w:tcPr>
            <w:tcW w:type="dxa" w:w="1440"/>
            <w:tcMar>
              <w:top w:w="80" w:type="dxa"/>
              <w:start w:w="90" w:type="dxa"/>
              <w:bottom w:w="80" w:type="dxa"/>
              <w:end w:w="90" w:type="dxa"/>
            </w:tcMar>
            <w:vAlign w:val="center"/>
          </w:tcPr>
          <w:p>
            <w:r/>
            <w:r>
              <w:rPr>
                <w:rFonts w:ascii="Aptos" w:hAnsi="Aptos"/>
                <w:sz w:val="18"/>
              </w:rPr>
              <w:t>22</w:t>
            </w:r>
          </w:p>
        </w:tc>
        <w:tc>
          <w:tcPr>
            <w:tcW w:type="dxa" w:w="1872"/>
            <w:tcMar>
              <w:top w:w="80" w:type="dxa"/>
              <w:start w:w="90" w:type="dxa"/>
              <w:bottom w:w="80" w:type="dxa"/>
              <w:end w:w="90" w:type="dxa"/>
            </w:tcMar>
            <w:vAlign w:val="center"/>
          </w:tcPr>
          <w:p>
            <w:r/>
            <w:r>
              <w:rPr>
                <w:rFonts w:ascii="Aptos" w:hAnsi="Aptos"/>
                <w:sz w:val="18"/>
              </w:rPr>
              <w:t>5.22</w:t>
            </w:r>
          </w:p>
        </w:tc>
        <w:tc>
          <w:tcPr>
            <w:tcW w:type="dxa" w:w="2160"/>
            <w:tcMar>
              <w:top w:w="80" w:type="dxa"/>
              <w:start w:w="90" w:type="dxa"/>
              <w:bottom w:w="80" w:type="dxa"/>
              <w:end w:w="90" w:type="dxa"/>
            </w:tcMar>
            <w:vAlign w:val="center"/>
          </w:tcPr>
          <w:p>
            <w:r/>
            <w:r>
              <w:rPr>
                <w:rFonts w:ascii="Aptos" w:hAnsi="Aptos"/>
                <w:sz w:val="18"/>
              </w:rPr>
              <w:t>0.02551 V</w:t>
            </w:r>
          </w:p>
        </w:tc>
      </w:tr>
      <w:tr>
        <w:tc>
          <w:tcPr>
            <w:tcW w:type="dxa" w:w="1440"/>
            <w:tcMar>
              <w:top w:w="80" w:type="dxa"/>
              <w:start w:w="90" w:type="dxa"/>
              <w:bottom w:w="80" w:type="dxa"/>
              <w:end w:w="90" w:type="dxa"/>
            </w:tcMar>
            <w:vAlign w:val="center"/>
          </w:tcPr>
          <w:p>
            <w:r/>
            <w:r>
              <w:rPr>
                <w:rFonts w:ascii="Aptos" w:hAnsi="Aptos"/>
                <w:sz w:val="18"/>
              </w:rPr>
              <w:t>Muestra 2</w:t>
            </w:r>
          </w:p>
        </w:tc>
        <w:tc>
          <w:tcPr>
            <w:tcW w:type="dxa" w:w="1440"/>
            <w:tcMar>
              <w:top w:w="80" w:type="dxa"/>
              <w:start w:w="90" w:type="dxa"/>
              <w:bottom w:w="80" w:type="dxa"/>
              <w:end w:w="90" w:type="dxa"/>
            </w:tcMar>
            <w:vAlign w:val="center"/>
          </w:tcPr>
          <w:p>
            <w:r/>
            <w:r>
              <w:rPr>
                <w:rFonts w:ascii="Aptos" w:hAnsi="Aptos"/>
                <w:sz w:val="18"/>
              </w:rPr>
              <w:t>0</w:t>
            </w:r>
          </w:p>
        </w:tc>
        <w:tc>
          <w:tcPr>
            <w:tcW w:type="dxa" w:w="1440"/>
            <w:tcMar>
              <w:top w:w="80" w:type="dxa"/>
              <w:start w:w="90" w:type="dxa"/>
              <w:bottom w:w="80" w:type="dxa"/>
              <w:end w:w="90" w:type="dxa"/>
            </w:tcMar>
            <w:vAlign w:val="center"/>
          </w:tcPr>
          <w:p>
            <w:r/>
            <w:r>
              <w:rPr>
                <w:rFonts w:ascii="Aptos" w:hAnsi="Aptos"/>
                <w:sz w:val="18"/>
              </w:rPr>
              <w:t>21</w:t>
            </w:r>
          </w:p>
        </w:tc>
        <w:tc>
          <w:tcPr>
            <w:tcW w:type="dxa" w:w="1872"/>
            <w:tcMar>
              <w:top w:w="80" w:type="dxa"/>
              <w:start w:w="90" w:type="dxa"/>
              <w:bottom w:w="80" w:type="dxa"/>
              <w:end w:w="90" w:type="dxa"/>
            </w:tcMar>
            <w:vAlign w:val="center"/>
          </w:tcPr>
          <w:p>
            <w:r/>
            <w:r>
              <w:rPr>
                <w:rFonts w:ascii="Aptos" w:hAnsi="Aptos"/>
                <w:sz w:val="18"/>
              </w:rPr>
              <w:t>5.99</w:t>
            </w:r>
          </w:p>
        </w:tc>
        <w:tc>
          <w:tcPr>
            <w:tcW w:type="dxa" w:w="2160"/>
            <w:tcMar>
              <w:top w:w="80" w:type="dxa"/>
              <w:start w:w="90" w:type="dxa"/>
              <w:bottom w:w="80" w:type="dxa"/>
              <w:end w:w="90" w:type="dxa"/>
            </w:tcMar>
            <w:vAlign w:val="center"/>
          </w:tcPr>
          <w:p>
            <w:r/>
            <w:r>
              <w:rPr>
                <w:rFonts w:ascii="Aptos" w:hAnsi="Aptos"/>
                <w:sz w:val="18"/>
              </w:rPr>
              <w:t>0.02928 V</w:t>
            </w:r>
          </w:p>
        </w:tc>
      </w:tr>
      <w:tr>
        <w:tc>
          <w:tcPr>
            <w:tcW w:type="dxa" w:w="1440"/>
            <w:tcMar>
              <w:top w:w="80" w:type="dxa"/>
              <w:start w:w="90" w:type="dxa"/>
              <w:bottom w:w="80" w:type="dxa"/>
              <w:end w:w="90" w:type="dxa"/>
            </w:tcMar>
            <w:vAlign w:val="center"/>
          </w:tcPr>
          <w:p>
            <w:r/>
            <w:r>
              <w:rPr>
                <w:rFonts w:ascii="Aptos" w:hAnsi="Aptos"/>
                <w:sz w:val="18"/>
              </w:rPr>
              <w:t>Muestra 3</w:t>
            </w:r>
          </w:p>
        </w:tc>
        <w:tc>
          <w:tcPr>
            <w:tcW w:type="dxa" w:w="1440"/>
            <w:tcMar>
              <w:top w:w="80" w:type="dxa"/>
              <w:start w:w="90" w:type="dxa"/>
              <w:bottom w:w="80" w:type="dxa"/>
              <w:end w:w="90" w:type="dxa"/>
            </w:tcMar>
            <w:vAlign w:val="center"/>
          </w:tcPr>
          <w:p>
            <w:r/>
            <w:r>
              <w:rPr>
                <w:rFonts w:ascii="Aptos" w:hAnsi="Aptos"/>
                <w:sz w:val="18"/>
              </w:rPr>
              <w:t>0</w:t>
            </w:r>
          </w:p>
        </w:tc>
        <w:tc>
          <w:tcPr>
            <w:tcW w:type="dxa" w:w="1440"/>
            <w:tcMar>
              <w:top w:w="80" w:type="dxa"/>
              <w:start w:w="90" w:type="dxa"/>
              <w:bottom w:w="80" w:type="dxa"/>
              <w:end w:w="90" w:type="dxa"/>
            </w:tcMar>
            <w:vAlign w:val="center"/>
          </w:tcPr>
          <w:p>
            <w:r/>
            <w:r>
              <w:rPr>
                <w:rFonts w:ascii="Aptos" w:hAnsi="Aptos"/>
                <w:sz w:val="18"/>
              </w:rPr>
              <w:t>21</w:t>
            </w:r>
          </w:p>
        </w:tc>
        <w:tc>
          <w:tcPr>
            <w:tcW w:type="dxa" w:w="1872"/>
            <w:tcMar>
              <w:top w:w="80" w:type="dxa"/>
              <w:start w:w="90" w:type="dxa"/>
              <w:bottom w:w="80" w:type="dxa"/>
              <w:end w:w="90" w:type="dxa"/>
            </w:tcMar>
            <w:vAlign w:val="center"/>
          </w:tcPr>
          <w:p>
            <w:r/>
            <w:r>
              <w:rPr>
                <w:rFonts w:ascii="Aptos" w:hAnsi="Aptos"/>
                <w:sz w:val="18"/>
              </w:rPr>
              <w:t>5.36</w:t>
            </w:r>
          </w:p>
        </w:tc>
        <w:tc>
          <w:tcPr>
            <w:tcW w:type="dxa" w:w="2160"/>
            <w:tcMar>
              <w:top w:w="80" w:type="dxa"/>
              <w:start w:w="90" w:type="dxa"/>
              <w:bottom w:w="80" w:type="dxa"/>
              <w:end w:w="90" w:type="dxa"/>
            </w:tcMar>
            <w:vAlign w:val="center"/>
          </w:tcPr>
          <w:p>
            <w:r/>
            <w:r>
              <w:rPr>
                <w:rFonts w:ascii="Aptos" w:hAnsi="Aptos"/>
                <w:sz w:val="18"/>
              </w:rPr>
              <w:t>0.02620 V</w:t>
            </w:r>
          </w:p>
        </w:tc>
      </w:tr>
      <w:tr>
        <w:tc>
          <w:tcPr>
            <w:tcW w:type="dxa" w:w="1440"/>
            <w:tcMar>
              <w:top w:w="80" w:type="dxa"/>
              <w:start w:w="90" w:type="dxa"/>
              <w:bottom w:w="80" w:type="dxa"/>
              <w:end w:w="90" w:type="dxa"/>
            </w:tcMar>
            <w:vAlign w:val="center"/>
          </w:tcPr>
          <w:p>
            <w:r/>
            <w:r>
              <w:rPr>
                <w:rFonts w:ascii="Aptos" w:hAnsi="Aptos"/>
                <w:sz w:val="18"/>
              </w:rPr>
              <w:t>Muestra 4</w:t>
            </w:r>
          </w:p>
        </w:tc>
        <w:tc>
          <w:tcPr>
            <w:tcW w:type="dxa" w:w="1440"/>
            <w:tcMar>
              <w:top w:w="80" w:type="dxa"/>
              <w:start w:w="90" w:type="dxa"/>
              <w:bottom w:w="80" w:type="dxa"/>
              <w:end w:w="90" w:type="dxa"/>
            </w:tcMar>
            <w:vAlign w:val="center"/>
          </w:tcPr>
          <w:p>
            <w:r/>
            <w:r>
              <w:rPr>
                <w:rFonts w:ascii="Aptos" w:hAnsi="Aptos"/>
                <w:sz w:val="18"/>
              </w:rPr>
              <w:t>0</w:t>
            </w:r>
          </w:p>
        </w:tc>
        <w:tc>
          <w:tcPr>
            <w:tcW w:type="dxa" w:w="1440"/>
            <w:tcMar>
              <w:top w:w="80" w:type="dxa"/>
              <w:start w:w="90" w:type="dxa"/>
              <w:bottom w:w="80" w:type="dxa"/>
              <w:end w:w="90" w:type="dxa"/>
            </w:tcMar>
            <w:vAlign w:val="center"/>
          </w:tcPr>
          <w:p>
            <w:r/>
            <w:r>
              <w:rPr>
                <w:rFonts w:ascii="Aptos" w:hAnsi="Aptos"/>
                <w:sz w:val="18"/>
              </w:rPr>
              <w:t>21</w:t>
            </w:r>
          </w:p>
        </w:tc>
        <w:tc>
          <w:tcPr>
            <w:tcW w:type="dxa" w:w="1872"/>
            <w:tcMar>
              <w:top w:w="80" w:type="dxa"/>
              <w:start w:w="90" w:type="dxa"/>
              <w:bottom w:w="80" w:type="dxa"/>
              <w:end w:w="90" w:type="dxa"/>
            </w:tcMar>
            <w:vAlign w:val="center"/>
          </w:tcPr>
          <w:p>
            <w:r/>
            <w:r>
              <w:rPr>
                <w:rFonts w:ascii="Aptos" w:hAnsi="Aptos"/>
                <w:sz w:val="18"/>
              </w:rPr>
              <w:t>4.98</w:t>
            </w:r>
          </w:p>
        </w:tc>
        <w:tc>
          <w:tcPr>
            <w:tcW w:type="dxa" w:w="2160"/>
            <w:tcMar>
              <w:top w:w="80" w:type="dxa"/>
              <w:start w:w="90" w:type="dxa"/>
              <w:bottom w:w="80" w:type="dxa"/>
              <w:end w:w="90" w:type="dxa"/>
            </w:tcMar>
            <w:vAlign w:val="center"/>
          </w:tcPr>
          <w:p>
            <w:r/>
            <w:r>
              <w:rPr>
                <w:rFonts w:ascii="Aptos" w:hAnsi="Aptos"/>
                <w:sz w:val="18"/>
              </w:rPr>
              <w:t>0.02434 V</w:t>
            </w:r>
          </w:p>
        </w:tc>
      </w:tr>
      <w:tr>
        <w:tc>
          <w:tcPr>
            <w:tcW w:type="dxa" w:w="1440"/>
            <w:tcMar>
              <w:top w:w="80" w:type="dxa"/>
              <w:start w:w="90" w:type="dxa"/>
              <w:bottom w:w="80" w:type="dxa"/>
              <w:end w:w="90" w:type="dxa"/>
            </w:tcMar>
            <w:vAlign w:val="center"/>
          </w:tcPr>
          <w:p>
            <w:r/>
            <w:r>
              <w:rPr>
                <w:rFonts w:ascii="Aptos" w:hAnsi="Aptos"/>
                <w:sz w:val="18"/>
              </w:rPr>
              <w:t>Muestra 5</w:t>
            </w:r>
          </w:p>
        </w:tc>
        <w:tc>
          <w:tcPr>
            <w:tcW w:type="dxa" w:w="1440"/>
            <w:tcMar>
              <w:top w:w="80" w:type="dxa"/>
              <w:start w:w="90" w:type="dxa"/>
              <w:bottom w:w="80" w:type="dxa"/>
              <w:end w:w="90" w:type="dxa"/>
            </w:tcMar>
            <w:vAlign w:val="center"/>
          </w:tcPr>
          <w:p>
            <w:r/>
            <w:r>
              <w:rPr>
                <w:rFonts w:ascii="Aptos" w:hAnsi="Aptos"/>
                <w:sz w:val="18"/>
              </w:rPr>
              <w:t>0</w:t>
            </w:r>
          </w:p>
        </w:tc>
        <w:tc>
          <w:tcPr>
            <w:tcW w:type="dxa" w:w="1440"/>
            <w:tcMar>
              <w:top w:w="80" w:type="dxa"/>
              <w:start w:w="90" w:type="dxa"/>
              <w:bottom w:w="80" w:type="dxa"/>
              <w:end w:w="90" w:type="dxa"/>
            </w:tcMar>
            <w:vAlign w:val="center"/>
          </w:tcPr>
          <w:p>
            <w:r/>
            <w:r>
              <w:rPr>
                <w:rFonts w:ascii="Aptos" w:hAnsi="Aptos"/>
                <w:sz w:val="18"/>
              </w:rPr>
              <w:t>21</w:t>
            </w:r>
          </w:p>
        </w:tc>
        <w:tc>
          <w:tcPr>
            <w:tcW w:type="dxa" w:w="1872"/>
            <w:tcMar>
              <w:top w:w="80" w:type="dxa"/>
              <w:start w:w="90" w:type="dxa"/>
              <w:bottom w:w="80" w:type="dxa"/>
              <w:end w:w="90" w:type="dxa"/>
            </w:tcMar>
            <w:vAlign w:val="center"/>
          </w:tcPr>
          <w:p>
            <w:r/>
            <w:r>
              <w:rPr>
                <w:rFonts w:ascii="Aptos" w:hAnsi="Aptos"/>
                <w:sz w:val="18"/>
              </w:rPr>
              <w:t>5.36</w:t>
            </w:r>
          </w:p>
        </w:tc>
        <w:tc>
          <w:tcPr>
            <w:tcW w:type="dxa" w:w="2160"/>
            <w:tcMar>
              <w:top w:w="80" w:type="dxa"/>
              <w:start w:w="90" w:type="dxa"/>
              <w:bottom w:w="80" w:type="dxa"/>
              <w:end w:w="90" w:type="dxa"/>
            </w:tcMar>
            <w:vAlign w:val="center"/>
          </w:tcPr>
          <w:p>
            <w:r/>
            <w:r>
              <w:rPr>
                <w:rFonts w:ascii="Aptos" w:hAnsi="Aptos"/>
                <w:sz w:val="18"/>
              </w:rPr>
              <w:t>0.02620 V</w:t>
            </w:r>
          </w:p>
        </w:tc>
      </w:tr>
    </w:tbl>
    <w:p>
      <w:pPr>
        <w:spacing w:after="20"/>
      </w:pPr>
    </w:p>
    <w:p>
      <w:pPr>
        <w:spacing w:after="120" w:line="252" w:lineRule="auto"/>
      </w:pPr>
      <w:r>
        <w:rPr>
          <w:rFonts w:ascii="Aptos" w:hAnsi="Aptos"/>
          <w:sz w:val="21"/>
        </w:rPr>
        <w:t>La prueba con UNO confirmó de manera independiente que la señal analógica real se encuentra alrededor de 0.025 V. Por lo tanto, el problema no depende del ESP32, del ADS1115 ni del código principal de HydroMate.</w:t>
      </w:r>
    </w:p>
    <w:p>
      <w:pPr>
        <w:pStyle w:val="Heading1"/>
        <w:spacing w:before="200" w:after="100"/>
      </w:pPr>
      <w:r>
        <w:rPr>
          <w:rFonts w:ascii="Aptos" w:hAnsi="Aptos"/>
          <w:b/>
          <w:color w:val="1F4E79"/>
          <w:sz w:val="30"/>
        </w:rPr>
        <w:t>12. Diagnóstico interno de la tarjeta TDS</w:t>
      </w:r>
    </w:p>
    <w:p>
      <w:pPr>
        <w:spacing w:after="120" w:line="252" w:lineRule="auto"/>
      </w:pPr>
      <w:r>
        <w:rPr>
          <w:rFonts w:ascii="Aptos" w:hAnsi="Aptos"/>
          <w:sz w:val="21"/>
        </w:rPr>
        <w:t>Se revisó visualmente y con multímetro el circuito del módulo para determinar si existía una falla reparable evidente.</w:t>
      </w:r>
    </w:p>
    <w:p>
      <w:pPr>
        <w:pStyle w:val="Heading2"/>
        <w:spacing w:before="140" w:after="100"/>
      </w:pPr>
      <w:r>
        <w:rPr>
          <w:rFonts w:ascii="Aptos" w:hAnsi="Aptos"/>
          <w:b/>
          <w:color w:val="373737"/>
          <w:sz w:val="24"/>
        </w:rPr>
        <w:t>12.1 Alimentación interna</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608"/>
            <w:shd w:fill="D9EAF7"/>
            <w:tcMar>
              <w:top w:w="80" w:type="dxa"/>
              <w:start w:w="90" w:type="dxa"/>
              <w:bottom w:w="80" w:type="dxa"/>
              <w:end w:w="90" w:type="dxa"/>
            </w:tcMar>
          </w:tcPr>
          <w:p>
            <w:pPr>
              <w:jc w:val="center"/>
            </w:pPr>
            <w:r/>
            <w:r>
              <w:rPr>
                <w:rFonts w:ascii="Aptos" w:hAnsi="Aptos"/>
                <w:b/>
                <w:sz w:val="19"/>
              </w:rPr>
              <w:t>Punto</w:t>
            </w:r>
          </w:p>
        </w:tc>
        <w:tc>
          <w:tcPr>
            <w:tcW w:type="dxa" w:w="3168"/>
            <w:shd w:fill="D9EAF7"/>
            <w:tcMar>
              <w:top w:w="80" w:type="dxa"/>
              <w:start w:w="90" w:type="dxa"/>
              <w:bottom w:w="80" w:type="dxa"/>
              <w:end w:w="90" w:type="dxa"/>
            </w:tcMar>
          </w:tcPr>
          <w:p>
            <w:pPr>
              <w:jc w:val="center"/>
            </w:pPr>
            <w:r/>
            <w:r>
              <w:rPr>
                <w:rFonts w:ascii="Aptos" w:hAnsi="Aptos"/>
                <w:b/>
                <w:sz w:val="19"/>
              </w:rPr>
              <w:t>Lectura</w:t>
            </w:r>
          </w:p>
        </w:tc>
      </w:tr>
      <w:tr>
        <w:tc>
          <w:tcPr>
            <w:tcW w:type="dxa" w:w="4608"/>
            <w:tcMar>
              <w:top w:w="80" w:type="dxa"/>
              <w:start w:w="90" w:type="dxa"/>
              <w:bottom w:w="80" w:type="dxa"/>
              <w:end w:w="90" w:type="dxa"/>
            </w:tcMar>
            <w:vAlign w:val="center"/>
          </w:tcPr>
          <w:p>
            <w:r/>
            <w:r>
              <w:rPr>
                <w:rFonts w:ascii="Aptos" w:hAnsi="Aptos"/>
                <w:sz w:val="18"/>
              </w:rPr>
              <w:t>CD4060BM pin 16</w:t>
            </w:r>
          </w:p>
        </w:tc>
        <w:tc>
          <w:tcPr>
            <w:tcW w:type="dxa" w:w="3168"/>
            <w:tcMar>
              <w:top w:w="80" w:type="dxa"/>
              <w:start w:w="90" w:type="dxa"/>
              <w:bottom w:w="80" w:type="dxa"/>
              <w:end w:w="90" w:type="dxa"/>
            </w:tcMar>
            <w:vAlign w:val="center"/>
          </w:tcPr>
          <w:p>
            <w:r/>
            <w:r>
              <w:rPr>
                <w:rFonts w:ascii="Aptos" w:hAnsi="Aptos"/>
                <w:sz w:val="18"/>
              </w:rPr>
              <w:t>~+3.03 V</w:t>
            </w:r>
          </w:p>
        </w:tc>
      </w:tr>
      <w:tr>
        <w:tc>
          <w:tcPr>
            <w:tcW w:type="dxa" w:w="4608"/>
            <w:tcMar>
              <w:top w:w="80" w:type="dxa"/>
              <w:start w:w="90" w:type="dxa"/>
              <w:bottom w:w="80" w:type="dxa"/>
              <w:end w:w="90" w:type="dxa"/>
            </w:tcMar>
            <w:vAlign w:val="center"/>
          </w:tcPr>
          <w:p>
            <w:r/>
            <w:r>
              <w:rPr>
                <w:rFonts w:ascii="Aptos" w:hAnsi="Aptos"/>
                <w:sz w:val="18"/>
              </w:rPr>
              <w:t>CD4060BM pin 8</w:t>
            </w:r>
          </w:p>
        </w:tc>
        <w:tc>
          <w:tcPr>
            <w:tcW w:type="dxa" w:w="3168"/>
            <w:tcMar>
              <w:top w:w="80" w:type="dxa"/>
              <w:start w:w="90" w:type="dxa"/>
              <w:bottom w:w="80" w:type="dxa"/>
              <w:end w:w="90" w:type="dxa"/>
            </w:tcMar>
            <w:vAlign w:val="center"/>
          </w:tcPr>
          <w:p>
            <w:r/>
            <w:r>
              <w:rPr>
                <w:rFonts w:ascii="Aptos" w:hAnsi="Aptos"/>
                <w:sz w:val="18"/>
              </w:rPr>
              <w:t>~-3.02 V</w:t>
            </w:r>
          </w:p>
        </w:tc>
      </w:tr>
      <w:tr>
        <w:tc>
          <w:tcPr>
            <w:tcW w:type="dxa" w:w="4608"/>
            <w:tcMar>
              <w:top w:w="80" w:type="dxa"/>
              <w:start w:w="90" w:type="dxa"/>
              <w:bottom w:w="80" w:type="dxa"/>
              <w:end w:w="90" w:type="dxa"/>
            </w:tcMar>
            <w:vAlign w:val="center"/>
          </w:tcPr>
          <w:p>
            <w:r/>
            <w:r>
              <w:rPr>
                <w:rFonts w:ascii="Aptos" w:hAnsi="Aptos"/>
                <w:sz w:val="18"/>
              </w:rPr>
              <w:t>LMV324 pin 4</w:t>
            </w:r>
          </w:p>
        </w:tc>
        <w:tc>
          <w:tcPr>
            <w:tcW w:type="dxa" w:w="3168"/>
            <w:tcMar>
              <w:top w:w="80" w:type="dxa"/>
              <w:start w:w="90" w:type="dxa"/>
              <w:bottom w:w="80" w:type="dxa"/>
              <w:end w:w="90" w:type="dxa"/>
            </w:tcMar>
            <w:vAlign w:val="center"/>
          </w:tcPr>
          <w:p>
            <w:r/>
            <w:r>
              <w:rPr>
                <w:rFonts w:ascii="Aptos" w:hAnsi="Aptos"/>
                <w:sz w:val="18"/>
              </w:rPr>
              <w:t>~+3.03 V</w:t>
            </w:r>
          </w:p>
        </w:tc>
      </w:tr>
      <w:tr>
        <w:tc>
          <w:tcPr>
            <w:tcW w:type="dxa" w:w="4608"/>
            <w:tcMar>
              <w:top w:w="80" w:type="dxa"/>
              <w:start w:w="90" w:type="dxa"/>
              <w:bottom w:w="80" w:type="dxa"/>
              <w:end w:w="90" w:type="dxa"/>
            </w:tcMar>
            <w:vAlign w:val="center"/>
          </w:tcPr>
          <w:p>
            <w:r/>
            <w:r>
              <w:rPr>
                <w:rFonts w:ascii="Aptos" w:hAnsi="Aptos"/>
                <w:sz w:val="18"/>
              </w:rPr>
              <w:t>LMV324 pin 11</w:t>
            </w:r>
          </w:p>
        </w:tc>
        <w:tc>
          <w:tcPr>
            <w:tcW w:type="dxa" w:w="3168"/>
            <w:tcMar>
              <w:top w:w="80" w:type="dxa"/>
              <w:start w:w="90" w:type="dxa"/>
              <w:bottom w:w="80" w:type="dxa"/>
              <w:end w:w="90" w:type="dxa"/>
            </w:tcMar>
            <w:vAlign w:val="center"/>
          </w:tcPr>
          <w:p>
            <w:r/>
            <w:r>
              <w:rPr>
                <w:rFonts w:ascii="Aptos" w:hAnsi="Aptos"/>
                <w:sz w:val="18"/>
              </w:rPr>
              <w:t>~-3.02 V</w:t>
            </w:r>
          </w:p>
        </w:tc>
      </w:tr>
    </w:tbl>
    <w:p>
      <w:pPr>
        <w:spacing w:after="20"/>
      </w:pPr>
    </w:p>
    <w:p>
      <w:pPr>
        <w:spacing w:after="120" w:line="252" w:lineRule="auto"/>
      </w:pPr>
      <w:r>
        <w:rPr>
          <w:rFonts w:ascii="Aptos" w:hAnsi="Aptos"/>
          <w:sz w:val="21"/>
        </w:rPr>
        <w:t>La presencia de rieles aproximados de +3 V y -3 V indicó que la generación interna de alimentación está funcionando.</w:t>
      </w:r>
    </w:p>
    <w:p>
      <w:pPr>
        <w:pStyle w:val="Heading2"/>
        <w:spacing w:before="140" w:after="100"/>
      </w:pPr>
      <w:r>
        <w:rPr>
          <w:rFonts w:ascii="Aptos" w:hAnsi="Aptos"/>
          <w:b/>
          <w:color w:val="373737"/>
          <w:sz w:val="24"/>
        </w:rPr>
        <w:t>12.2 CD4060BM</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D9EAF7"/>
            <w:tcMar>
              <w:top w:w="80" w:type="dxa"/>
              <w:start w:w="90" w:type="dxa"/>
              <w:bottom w:w="80" w:type="dxa"/>
              <w:end w:w="90" w:type="dxa"/>
            </w:tcMar>
          </w:tcPr>
          <w:p>
            <w:pPr>
              <w:jc w:val="center"/>
            </w:pPr>
            <w:r/>
            <w:r>
              <w:rPr>
                <w:rFonts w:ascii="Aptos" w:hAnsi="Aptos"/>
                <w:b/>
                <w:sz w:val="19"/>
              </w:rPr>
              <w:t>Pin</w:t>
            </w:r>
          </w:p>
        </w:tc>
        <w:tc>
          <w:tcPr>
            <w:tcW w:type="dxa" w:w="4896"/>
            <w:shd w:fill="D9EAF7"/>
            <w:tcMar>
              <w:top w:w="80" w:type="dxa"/>
              <w:start w:w="90" w:type="dxa"/>
              <w:bottom w:w="80" w:type="dxa"/>
              <w:end w:w="90" w:type="dxa"/>
            </w:tcMar>
          </w:tcPr>
          <w:p>
            <w:pPr>
              <w:jc w:val="center"/>
            </w:pPr>
            <w:r/>
            <w:r>
              <w:rPr>
                <w:rFonts w:ascii="Aptos" w:hAnsi="Aptos"/>
                <w:b/>
                <w:sz w:val="19"/>
              </w:rPr>
              <w:t>Comportamiento observado</w:t>
            </w:r>
          </w:p>
        </w:tc>
      </w:tr>
      <w:tr>
        <w:tc>
          <w:tcPr>
            <w:tcW w:type="dxa" w:w="2880"/>
            <w:tcMar>
              <w:top w:w="80" w:type="dxa"/>
              <w:start w:w="90" w:type="dxa"/>
              <w:bottom w:w="80" w:type="dxa"/>
              <w:end w:w="90" w:type="dxa"/>
            </w:tcMar>
            <w:vAlign w:val="center"/>
          </w:tcPr>
          <w:p>
            <w:r/>
            <w:r>
              <w:rPr>
                <w:rFonts w:ascii="Aptos" w:hAnsi="Aptos"/>
                <w:sz w:val="18"/>
              </w:rPr>
              <w:t>Pin 7</w:t>
            </w:r>
          </w:p>
        </w:tc>
        <w:tc>
          <w:tcPr>
            <w:tcW w:type="dxa" w:w="4896"/>
            <w:tcMar>
              <w:top w:w="80" w:type="dxa"/>
              <w:start w:w="90" w:type="dxa"/>
              <w:bottom w:w="80" w:type="dxa"/>
              <w:end w:w="90" w:type="dxa"/>
            </w:tcMar>
            <w:vAlign w:val="center"/>
          </w:tcPr>
          <w:p>
            <w:r/>
            <w:r>
              <w:rPr>
                <w:rFonts w:ascii="Aptos" w:hAnsi="Aptos"/>
                <w:sz w:val="18"/>
              </w:rPr>
              <w:t>-1.2 a +1.2 V</w:t>
            </w:r>
          </w:p>
        </w:tc>
      </w:tr>
      <w:tr>
        <w:tc>
          <w:tcPr>
            <w:tcW w:type="dxa" w:w="2880"/>
            <w:tcMar>
              <w:top w:w="80" w:type="dxa"/>
              <w:start w:w="90" w:type="dxa"/>
              <w:bottom w:w="80" w:type="dxa"/>
              <w:end w:w="90" w:type="dxa"/>
            </w:tcMar>
            <w:vAlign w:val="center"/>
          </w:tcPr>
          <w:p>
            <w:r/>
            <w:r>
              <w:rPr>
                <w:rFonts w:ascii="Aptos" w:hAnsi="Aptos"/>
                <w:sz w:val="18"/>
              </w:rPr>
              <w:t>Pin 5</w:t>
            </w:r>
          </w:p>
        </w:tc>
        <w:tc>
          <w:tcPr>
            <w:tcW w:type="dxa" w:w="4896"/>
            <w:tcMar>
              <w:top w:w="80" w:type="dxa"/>
              <w:start w:w="90" w:type="dxa"/>
              <w:bottom w:w="80" w:type="dxa"/>
              <w:end w:w="90" w:type="dxa"/>
            </w:tcMar>
            <w:vAlign w:val="center"/>
          </w:tcPr>
          <w:p>
            <w:r/>
            <w:r>
              <w:rPr>
                <w:rFonts w:ascii="Aptos" w:hAnsi="Aptos"/>
                <w:sz w:val="18"/>
              </w:rPr>
              <w:t>-2.4 a +2.4 V</w:t>
            </w:r>
          </w:p>
        </w:tc>
      </w:tr>
      <w:tr>
        <w:tc>
          <w:tcPr>
            <w:tcW w:type="dxa" w:w="2880"/>
            <w:tcMar>
              <w:top w:w="80" w:type="dxa"/>
              <w:start w:w="90" w:type="dxa"/>
              <w:bottom w:w="80" w:type="dxa"/>
              <w:end w:w="90" w:type="dxa"/>
            </w:tcMar>
            <w:vAlign w:val="center"/>
          </w:tcPr>
          <w:p>
            <w:r/>
            <w:r>
              <w:rPr>
                <w:rFonts w:ascii="Aptos" w:hAnsi="Aptos"/>
                <w:sz w:val="18"/>
              </w:rPr>
              <w:t>Pin 4</w:t>
            </w:r>
          </w:p>
        </w:tc>
        <w:tc>
          <w:tcPr>
            <w:tcW w:type="dxa" w:w="4896"/>
            <w:tcMar>
              <w:top w:w="80" w:type="dxa"/>
              <w:start w:w="90" w:type="dxa"/>
              <w:bottom w:w="80" w:type="dxa"/>
              <w:end w:w="90" w:type="dxa"/>
            </w:tcMar>
            <w:vAlign w:val="center"/>
          </w:tcPr>
          <w:p>
            <w:r/>
            <w:r>
              <w:rPr>
                <w:rFonts w:ascii="Aptos" w:hAnsi="Aptos"/>
                <w:sz w:val="18"/>
              </w:rPr>
              <w:t>-2.9 a +2.9 V</w:t>
            </w:r>
          </w:p>
        </w:tc>
      </w:tr>
      <w:tr>
        <w:tc>
          <w:tcPr>
            <w:tcW w:type="dxa" w:w="2880"/>
            <w:tcMar>
              <w:top w:w="80" w:type="dxa"/>
              <w:start w:w="90" w:type="dxa"/>
              <w:bottom w:w="80" w:type="dxa"/>
              <w:end w:w="90" w:type="dxa"/>
            </w:tcMar>
            <w:vAlign w:val="center"/>
          </w:tcPr>
          <w:p>
            <w:r/>
            <w:r>
              <w:rPr>
                <w:rFonts w:ascii="Aptos" w:hAnsi="Aptos"/>
                <w:sz w:val="18"/>
              </w:rPr>
              <w:t>Pin 6</w:t>
            </w:r>
          </w:p>
        </w:tc>
        <w:tc>
          <w:tcPr>
            <w:tcW w:type="dxa" w:w="4896"/>
            <w:tcMar>
              <w:top w:w="80" w:type="dxa"/>
              <w:start w:w="90" w:type="dxa"/>
              <w:bottom w:w="80" w:type="dxa"/>
              <w:end w:w="90" w:type="dxa"/>
            </w:tcMar>
            <w:vAlign w:val="center"/>
          </w:tcPr>
          <w:p>
            <w:r/>
            <w:r>
              <w:rPr>
                <w:rFonts w:ascii="Aptos" w:hAnsi="Aptos"/>
                <w:sz w:val="18"/>
              </w:rPr>
              <w:t>-1.4 a +1.9 V</w:t>
            </w:r>
          </w:p>
        </w:tc>
      </w:tr>
      <w:tr>
        <w:tc>
          <w:tcPr>
            <w:tcW w:type="dxa" w:w="2880"/>
            <w:tcMar>
              <w:top w:w="80" w:type="dxa"/>
              <w:start w:w="90" w:type="dxa"/>
              <w:bottom w:w="80" w:type="dxa"/>
              <w:end w:w="90" w:type="dxa"/>
            </w:tcMar>
            <w:vAlign w:val="center"/>
          </w:tcPr>
          <w:p>
            <w:r/>
            <w:r>
              <w:rPr>
                <w:rFonts w:ascii="Aptos" w:hAnsi="Aptos"/>
                <w:sz w:val="18"/>
              </w:rPr>
              <w:t>Pin 14</w:t>
            </w:r>
          </w:p>
        </w:tc>
        <w:tc>
          <w:tcPr>
            <w:tcW w:type="dxa" w:w="4896"/>
            <w:tcMar>
              <w:top w:w="80" w:type="dxa"/>
              <w:start w:w="90" w:type="dxa"/>
              <w:bottom w:w="80" w:type="dxa"/>
              <w:end w:w="90" w:type="dxa"/>
            </w:tcMar>
            <w:vAlign w:val="center"/>
          </w:tcPr>
          <w:p>
            <w:r/>
            <w:r>
              <w:rPr>
                <w:rFonts w:ascii="Aptos" w:hAnsi="Aptos"/>
                <w:sz w:val="18"/>
              </w:rPr>
              <w:t>-3 a +3 V</w:t>
            </w:r>
          </w:p>
        </w:tc>
      </w:tr>
      <w:tr>
        <w:tc>
          <w:tcPr>
            <w:tcW w:type="dxa" w:w="2880"/>
            <w:tcMar>
              <w:top w:w="80" w:type="dxa"/>
              <w:start w:w="90" w:type="dxa"/>
              <w:bottom w:w="80" w:type="dxa"/>
              <w:end w:w="90" w:type="dxa"/>
            </w:tcMar>
            <w:vAlign w:val="center"/>
          </w:tcPr>
          <w:p>
            <w:r/>
            <w:r>
              <w:rPr>
                <w:rFonts w:ascii="Aptos" w:hAnsi="Aptos"/>
                <w:sz w:val="18"/>
              </w:rPr>
              <w:t>Pin 13</w:t>
            </w:r>
          </w:p>
        </w:tc>
        <w:tc>
          <w:tcPr>
            <w:tcW w:type="dxa" w:w="4896"/>
            <w:tcMar>
              <w:top w:w="80" w:type="dxa"/>
              <w:start w:w="90" w:type="dxa"/>
              <w:bottom w:w="80" w:type="dxa"/>
              <w:end w:w="90" w:type="dxa"/>
            </w:tcMar>
            <w:vAlign w:val="center"/>
          </w:tcPr>
          <w:p>
            <w:r/>
            <w:r>
              <w:rPr>
                <w:rFonts w:ascii="Aptos" w:hAnsi="Aptos"/>
                <w:sz w:val="18"/>
              </w:rPr>
              <w:t>-3 a +3 V</w:t>
            </w:r>
          </w:p>
        </w:tc>
      </w:tr>
    </w:tbl>
    <w:p>
      <w:pPr>
        <w:spacing w:after="20"/>
      </w:pPr>
    </w:p>
    <w:p>
      <w:pPr>
        <w:spacing w:after="120" w:line="252" w:lineRule="auto"/>
      </w:pPr>
      <w:r>
        <w:rPr>
          <w:rFonts w:ascii="Aptos" w:hAnsi="Aptos"/>
          <w:sz w:val="21"/>
        </w:rPr>
        <w:t>El multímetro no permite observar la forma de onda real ni su frecuencia, pero estas variaciones indican que el CD4060BM presenta actividad y no parece estar completamente muerto.</w:t>
      </w:r>
    </w:p>
    <w:p>
      <w:pPr>
        <w:pStyle w:val="Heading2"/>
        <w:spacing w:before="140" w:after="100"/>
      </w:pPr>
      <w:r>
        <w:rPr>
          <w:rFonts w:ascii="Aptos" w:hAnsi="Aptos"/>
          <w:b/>
          <w:color w:val="373737"/>
          <w:sz w:val="24"/>
        </w:rPr>
        <w:t>12.3 LMV324A</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shd w:fill="D9EAF7"/>
            <w:tcMar>
              <w:top w:w="80" w:type="dxa"/>
              <w:start w:w="90" w:type="dxa"/>
              <w:bottom w:w="80" w:type="dxa"/>
              <w:end w:w="90" w:type="dxa"/>
            </w:tcMar>
          </w:tcPr>
          <w:p>
            <w:pPr>
              <w:jc w:val="center"/>
            </w:pPr>
            <w:r/>
            <w:r>
              <w:rPr>
                <w:rFonts w:ascii="Aptos" w:hAnsi="Aptos"/>
                <w:b/>
                <w:sz w:val="19"/>
              </w:rPr>
              <w:t>Salida LMV324</w:t>
            </w:r>
          </w:p>
        </w:tc>
        <w:tc>
          <w:tcPr>
            <w:tcW w:type="dxa" w:w="5040"/>
            <w:shd w:fill="D9EAF7"/>
            <w:tcMar>
              <w:top w:w="80" w:type="dxa"/>
              <w:start w:w="90" w:type="dxa"/>
              <w:bottom w:w="80" w:type="dxa"/>
              <w:end w:w="90" w:type="dxa"/>
            </w:tcMar>
          </w:tcPr>
          <w:p>
            <w:pPr>
              <w:jc w:val="center"/>
            </w:pPr>
            <w:r/>
            <w:r>
              <w:rPr>
                <w:rFonts w:ascii="Aptos" w:hAnsi="Aptos"/>
                <w:b/>
                <w:sz w:val="19"/>
              </w:rPr>
              <w:t>Lectura aproximada</w:t>
            </w:r>
          </w:p>
        </w:tc>
      </w:tr>
      <w:tr>
        <w:tc>
          <w:tcPr>
            <w:tcW w:type="dxa" w:w="2880"/>
            <w:tcMar>
              <w:top w:w="80" w:type="dxa"/>
              <w:start w:w="90" w:type="dxa"/>
              <w:bottom w:w="80" w:type="dxa"/>
              <w:end w:w="90" w:type="dxa"/>
            </w:tcMar>
            <w:vAlign w:val="center"/>
          </w:tcPr>
          <w:p>
            <w:r/>
            <w:r>
              <w:rPr>
                <w:rFonts w:ascii="Aptos" w:hAnsi="Aptos"/>
                <w:sz w:val="18"/>
              </w:rPr>
              <w:t>Pin 1</w:t>
            </w:r>
          </w:p>
        </w:tc>
        <w:tc>
          <w:tcPr>
            <w:tcW w:type="dxa" w:w="5040"/>
            <w:tcMar>
              <w:top w:w="80" w:type="dxa"/>
              <w:start w:w="90" w:type="dxa"/>
              <w:bottom w:w="80" w:type="dxa"/>
              <w:end w:w="90" w:type="dxa"/>
            </w:tcMar>
            <w:vAlign w:val="center"/>
          </w:tcPr>
          <w:p>
            <w:r/>
            <w:r>
              <w:rPr>
                <w:rFonts w:ascii="Aptos" w:hAnsi="Aptos"/>
                <w:sz w:val="18"/>
              </w:rPr>
              <w:t>Aire: 0 a ~0.07 V; salada: hasta ~0.078 V</w:t>
            </w:r>
          </w:p>
        </w:tc>
      </w:tr>
      <w:tr>
        <w:tc>
          <w:tcPr>
            <w:tcW w:type="dxa" w:w="2880"/>
            <w:tcMar>
              <w:top w:w="80" w:type="dxa"/>
              <w:start w:w="90" w:type="dxa"/>
              <w:bottom w:w="80" w:type="dxa"/>
              <w:end w:w="90" w:type="dxa"/>
            </w:tcMar>
            <w:vAlign w:val="center"/>
          </w:tcPr>
          <w:p>
            <w:r/>
            <w:r>
              <w:rPr>
                <w:rFonts w:ascii="Aptos" w:hAnsi="Aptos"/>
                <w:sz w:val="18"/>
              </w:rPr>
              <w:t>Pin 7</w:t>
            </w:r>
          </w:p>
        </w:tc>
        <w:tc>
          <w:tcPr>
            <w:tcW w:type="dxa" w:w="5040"/>
            <w:tcMar>
              <w:top w:w="80" w:type="dxa"/>
              <w:start w:w="90" w:type="dxa"/>
              <w:bottom w:w="80" w:type="dxa"/>
              <w:end w:w="90" w:type="dxa"/>
            </w:tcMar>
            <w:vAlign w:val="center"/>
          </w:tcPr>
          <w:p>
            <w:r/>
            <w:r>
              <w:rPr>
                <w:rFonts w:ascii="Aptos" w:hAnsi="Aptos"/>
                <w:sz w:val="18"/>
              </w:rPr>
              <w:t>Aire: señal variable; salada: ~-0.04 a 0.10 V</w:t>
            </w:r>
          </w:p>
        </w:tc>
      </w:tr>
      <w:tr>
        <w:tc>
          <w:tcPr>
            <w:tcW w:type="dxa" w:w="2880"/>
            <w:tcMar>
              <w:top w:w="80" w:type="dxa"/>
              <w:start w:w="90" w:type="dxa"/>
              <w:bottom w:w="80" w:type="dxa"/>
              <w:end w:w="90" w:type="dxa"/>
            </w:tcMar>
            <w:vAlign w:val="center"/>
          </w:tcPr>
          <w:p>
            <w:r/>
            <w:r>
              <w:rPr>
                <w:rFonts w:ascii="Aptos" w:hAnsi="Aptos"/>
                <w:sz w:val="18"/>
              </w:rPr>
              <w:t>Pin 8</w:t>
            </w:r>
          </w:p>
        </w:tc>
        <w:tc>
          <w:tcPr>
            <w:tcW w:type="dxa" w:w="5040"/>
            <w:tcMar>
              <w:top w:w="80" w:type="dxa"/>
              <w:start w:w="90" w:type="dxa"/>
              <w:bottom w:w="80" w:type="dxa"/>
              <w:end w:w="90" w:type="dxa"/>
            </w:tcMar>
            <w:vAlign w:val="center"/>
          </w:tcPr>
          <w:p>
            <w:r/>
            <w:r>
              <w:rPr>
                <w:rFonts w:ascii="Aptos" w:hAnsi="Aptos"/>
                <w:sz w:val="18"/>
              </w:rPr>
              <w:t>~-0.01 a +0.01 V</w:t>
            </w:r>
          </w:p>
        </w:tc>
      </w:tr>
      <w:tr>
        <w:tc>
          <w:tcPr>
            <w:tcW w:type="dxa" w:w="2880"/>
            <w:tcMar>
              <w:top w:w="80" w:type="dxa"/>
              <w:start w:w="90" w:type="dxa"/>
              <w:bottom w:w="80" w:type="dxa"/>
              <w:end w:w="90" w:type="dxa"/>
            </w:tcMar>
            <w:vAlign w:val="center"/>
          </w:tcPr>
          <w:p>
            <w:r/>
            <w:r>
              <w:rPr>
                <w:rFonts w:ascii="Aptos" w:hAnsi="Aptos"/>
                <w:sz w:val="18"/>
              </w:rPr>
              <w:t>Pin 14</w:t>
            </w:r>
          </w:p>
        </w:tc>
        <w:tc>
          <w:tcPr>
            <w:tcW w:type="dxa" w:w="5040"/>
            <w:tcMar>
              <w:top w:w="80" w:type="dxa"/>
              <w:start w:w="90" w:type="dxa"/>
              <w:bottom w:w="80" w:type="dxa"/>
              <w:end w:w="90" w:type="dxa"/>
            </w:tcMar>
            <w:vAlign w:val="center"/>
          </w:tcPr>
          <w:p>
            <w:r/>
            <w:r>
              <w:rPr>
                <w:rFonts w:ascii="Aptos" w:hAnsi="Aptos"/>
                <w:sz w:val="18"/>
              </w:rPr>
              <w:t>~-0.10 V, cambios pequeños</w:t>
            </w:r>
          </w:p>
        </w:tc>
      </w:tr>
    </w:tbl>
    <w:p>
      <w:pPr>
        <w:spacing w:after="20"/>
      </w:pPr>
    </w:p>
    <w:p>
      <w:pPr>
        <w:spacing w:after="120" w:line="252" w:lineRule="auto"/>
      </w:pPr>
      <w:r>
        <w:rPr>
          <w:rFonts w:ascii="Aptos" w:hAnsi="Aptos"/>
          <w:sz w:val="21"/>
        </w:rPr>
        <w:t>El LMV324A presenta actividad, por lo que no se pudo demostrar que esté completamente averiado. Aun así, una de sus secciones podría estar degradada; sustituirlo sería una reparación tentativa, no un diagnóstico seguro.</w:t>
      </w:r>
    </w:p>
    <w:p>
      <w:pPr>
        <w:pStyle w:val="Heading2"/>
        <w:spacing w:before="140" w:after="100"/>
      </w:pPr>
      <w:r>
        <w:rPr>
          <w:rFonts w:ascii="Aptos" w:hAnsi="Aptos"/>
          <w:b/>
          <w:color w:val="373737"/>
          <w:sz w:val="24"/>
        </w:rPr>
        <w:t>12.4 Diodos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880"/>
            <w:shd w:fill="D9EAF7"/>
            <w:tcMar>
              <w:top w:w="80" w:type="dxa"/>
              <w:start w:w="90" w:type="dxa"/>
              <w:bottom w:w="80" w:type="dxa"/>
              <w:end w:w="90" w:type="dxa"/>
            </w:tcMar>
          </w:tcPr>
          <w:p>
            <w:pPr>
              <w:jc w:val="center"/>
            </w:pPr>
            <w:r/>
            <w:r>
              <w:rPr>
                <w:rFonts w:ascii="Aptos" w:hAnsi="Aptos"/>
                <w:b/>
                <w:sz w:val="19"/>
              </w:rPr>
              <w:t>Componente</w:t>
            </w:r>
          </w:p>
        </w:tc>
        <w:tc>
          <w:tcPr>
            <w:tcW w:type="dxa" w:w="2448"/>
            <w:shd w:fill="D9EAF7"/>
            <w:tcMar>
              <w:top w:w="80" w:type="dxa"/>
              <w:start w:w="90" w:type="dxa"/>
              <w:bottom w:w="80" w:type="dxa"/>
              <w:end w:w="90" w:type="dxa"/>
            </w:tcMar>
          </w:tcPr>
          <w:p>
            <w:pPr>
              <w:jc w:val="center"/>
            </w:pPr>
            <w:r/>
            <w:r>
              <w:rPr>
                <w:rFonts w:ascii="Aptos" w:hAnsi="Aptos"/>
                <w:b/>
                <w:sz w:val="19"/>
              </w:rPr>
              <w:t>Modo diodo</w:t>
            </w:r>
          </w:p>
        </w:tc>
        <w:tc>
          <w:tcPr>
            <w:tcW w:type="dxa" w:w="3312"/>
            <w:shd w:fill="D9EAF7"/>
            <w:tcMar>
              <w:top w:w="80" w:type="dxa"/>
              <w:start w:w="90" w:type="dxa"/>
              <w:bottom w:w="80" w:type="dxa"/>
              <w:end w:w="90" w:type="dxa"/>
            </w:tcMar>
          </w:tcPr>
          <w:p>
            <w:pPr>
              <w:jc w:val="center"/>
            </w:pPr>
            <w:r/>
            <w:r>
              <w:rPr>
                <w:rFonts w:ascii="Aptos" w:hAnsi="Aptos"/>
                <w:b/>
                <w:sz w:val="19"/>
              </w:rPr>
              <w:t>Interpretación</w:t>
            </w:r>
          </w:p>
        </w:tc>
      </w:tr>
      <w:tr>
        <w:tc>
          <w:tcPr>
            <w:tcW w:type="dxa" w:w="2880"/>
            <w:tcMar>
              <w:top w:w="80" w:type="dxa"/>
              <w:start w:w="90" w:type="dxa"/>
              <w:bottom w:w="80" w:type="dxa"/>
              <w:end w:w="90" w:type="dxa"/>
            </w:tcMar>
            <w:vAlign w:val="center"/>
          </w:tcPr>
          <w:p>
            <w:r/>
            <w:r>
              <w:rPr>
                <w:rFonts w:ascii="Aptos" w:hAnsi="Aptos"/>
                <w:sz w:val="18"/>
              </w:rPr>
              <w:t>D1</w:t>
            </w:r>
          </w:p>
        </w:tc>
        <w:tc>
          <w:tcPr>
            <w:tcW w:type="dxa" w:w="2448"/>
            <w:tcMar>
              <w:top w:w="80" w:type="dxa"/>
              <w:start w:w="90" w:type="dxa"/>
              <w:bottom w:w="80" w:type="dxa"/>
              <w:end w:w="90" w:type="dxa"/>
            </w:tcMar>
            <w:vAlign w:val="center"/>
          </w:tcPr>
          <w:p>
            <w:r/>
            <w:r>
              <w:rPr>
                <w:rFonts w:ascii="Aptos" w:hAnsi="Aptos"/>
                <w:sz w:val="18"/>
              </w:rPr>
              <w:t>NA / 0.72 V</w:t>
            </w:r>
          </w:p>
        </w:tc>
        <w:tc>
          <w:tcPr>
            <w:tcW w:type="dxa" w:w="3312"/>
            <w:tcMar>
              <w:top w:w="80" w:type="dxa"/>
              <w:start w:w="90" w:type="dxa"/>
              <w:bottom w:w="80" w:type="dxa"/>
              <w:end w:w="90" w:type="dxa"/>
            </w:tcMar>
            <w:vAlign w:val="center"/>
          </w:tcPr>
          <w:p>
            <w:r/>
            <w:r>
              <w:rPr>
                <w:rFonts w:ascii="Aptos" w:hAnsi="Aptos"/>
                <w:sz w:val="18"/>
              </w:rPr>
              <w:t>Normal aparente</w:t>
            </w:r>
          </w:p>
        </w:tc>
      </w:tr>
      <w:tr>
        <w:tc>
          <w:tcPr>
            <w:tcW w:type="dxa" w:w="2880"/>
            <w:tcMar>
              <w:top w:w="80" w:type="dxa"/>
              <w:start w:w="90" w:type="dxa"/>
              <w:bottom w:w="80" w:type="dxa"/>
              <w:end w:w="90" w:type="dxa"/>
            </w:tcMar>
            <w:vAlign w:val="center"/>
          </w:tcPr>
          <w:p>
            <w:r/>
            <w:r>
              <w:rPr>
                <w:rFonts w:ascii="Aptos" w:hAnsi="Aptos"/>
                <w:sz w:val="18"/>
              </w:rPr>
              <w:t>D2</w:t>
            </w:r>
          </w:p>
        </w:tc>
        <w:tc>
          <w:tcPr>
            <w:tcW w:type="dxa" w:w="2448"/>
            <w:tcMar>
              <w:top w:w="80" w:type="dxa"/>
              <w:start w:w="90" w:type="dxa"/>
              <w:bottom w:w="80" w:type="dxa"/>
              <w:end w:w="90" w:type="dxa"/>
            </w:tcMar>
            <w:vAlign w:val="center"/>
          </w:tcPr>
          <w:p>
            <w:r/>
            <w:r>
              <w:rPr>
                <w:rFonts w:ascii="Aptos" w:hAnsi="Aptos"/>
                <w:sz w:val="18"/>
              </w:rPr>
              <w:t>0.72 V / NA</w:t>
            </w:r>
          </w:p>
        </w:tc>
        <w:tc>
          <w:tcPr>
            <w:tcW w:type="dxa" w:w="3312"/>
            <w:tcMar>
              <w:top w:w="80" w:type="dxa"/>
              <w:start w:w="90" w:type="dxa"/>
              <w:bottom w:w="80" w:type="dxa"/>
              <w:end w:w="90" w:type="dxa"/>
            </w:tcMar>
            <w:vAlign w:val="center"/>
          </w:tcPr>
          <w:p>
            <w:r/>
            <w:r>
              <w:rPr>
                <w:rFonts w:ascii="Aptos" w:hAnsi="Aptos"/>
                <w:sz w:val="18"/>
              </w:rPr>
              <w:t>Normal aparente</w:t>
            </w:r>
          </w:p>
        </w:tc>
      </w:tr>
      <w:tr>
        <w:tc>
          <w:tcPr>
            <w:tcW w:type="dxa" w:w="2880"/>
            <w:tcMar>
              <w:top w:w="80" w:type="dxa"/>
              <w:start w:w="90" w:type="dxa"/>
              <w:bottom w:w="80" w:type="dxa"/>
              <w:end w:w="90" w:type="dxa"/>
            </w:tcMar>
            <w:vAlign w:val="center"/>
          </w:tcPr>
          <w:p>
            <w:r/>
            <w:r>
              <w:rPr>
                <w:rFonts w:ascii="Aptos" w:hAnsi="Aptos"/>
                <w:sz w:val="18"/>
              </w:rPr>
              <w:t>D3</w:t>
            </w:r>
          </w:p>
        </w:tc>
        <w:tc>
          <w:tcPr>
            <w:tcW w:type="dxa" w:w="2448"/>
            <w:tcMar>
              <w:top w:w="80" w:type="dxa"/>
              <w:start w:w="90" w:type="dxa"/>
              <w:bottom w:w="80" w:type="dxa"/>
              <w:end w:w="90" w:type="dxa"/>
            </w:tcMar>
            <w:vAlign w:val="center"/>
          </w:tcPr>
          <w:p>
            <w:r/>
            <w:r>
              <w:rPr>
                <w:rFonts w:ascii="Aptos" w:hAnsi="Aptos"/>
                <w:sz w:val="18"/>
              </w:rPr>
              <w:t>0.72 V / NA</w:t>
            </w:r>
          </w:p>
        </w:tc>
        <w:tc>
          <w:tcPr>
            <w:tcW w:type="dxa" w:w="3312"/>
            <w:tcMar>
              <w:top w:w="80" w:type="dxa"/>
              <w:start w:w="90" w:type="dxa"/>
              <w:bottom w:w="80" w:type="dxa"/>
              <w:end w:w="90" w:type="dxa"/>
            </w:tcMar>
            <w:vAlign w:val="center"/>
          </w:tcPr>
          <w:p>
            <w:r/>
            <w:r>
              <w:rPr>
                <w:rFonts w:ascii="Aptos" w:hAnsi="Aptos"/>
                <w:sz w:val="18"/>
              </w:rPr>
              <w:t>Normal aparente</w:t>
            </w:r>
          </w:p>
        </w:tc>
      </w:tr>
      <w:tr>
        <w:tc>
          <w:tcPr>
            <w:tcW w:type="dxa" w:w="2880"/>
            <w:tcMar>
              <w:top w:w="80" w:type="dxa"/>
              <w:start w:w="90" w:type="dxa"/>
              <w:bottom w:w="80" w:type="dxa"/>
              <w:end w:w="90" w:type="dxa"/>
            </w:tcMar>
            <w:vAlign w:val="center"/>
          </w:tcPr>
          <w:p>
            <w:r/>
            <w:r>
              <w:rPr>
                <w:rFonts w:ascii="Aptos" w:hAnsi="Aptos"/>
                <w:sz w:val="18"/>
              </w:rPr>
              <w:t>D4</w:t>
            </w:r>
          </w:p>
        </w:tc>
        <w:tc>
          <w:tcPr>
            <w:tcW w:type="dxa" w:w="2448"/>
            <w:tcMar>
              <w:top w:w="80" w:type="dxa"/>
              <w:start w:w="90" w:type="dxa"/>
              <w:bottom w:w="80" w:type="dxa"/>
              <w:end w:w="90" w:type="dxa"/>
            </w:tcMar>
            <w:vAlign w:val="center"/>
          </w:tcPr>
          <w:p>
            <w:r/>
            <w:r>
              <w:rPr>
                <w:rFonts w:ascii="Aptos" w:hAnsi="Aptos"/>
                <w:sz w:val="18"/>
              </w:rPr>
              <w:t>NA / 0.71 V</w:t>
            </w:r>
          </w:p>
        </w:tc>
        <w:tc>
          <w:tcPr>
            <w:tcW w:type="dxa" w:w="3312"/>
            <w:tcMar>
              <w:top w:w="80" w:type="dxa"/>
              <w:start w:w="90" w:type="dxa"/>
              <w:bottom w:w="80" w:type="dxa"/>
              <w:end w:w="90" w:type="dxa"/>
            </w:tcMar>
            <w:vAlign w:val="center"/>
          </w:tcPr>
          <w:p>
            <w:r/>
            <w:r>
              <w:rPr>
                <w:rFonts w:ascii="Aptos" w:hAnsi="Aptos"/>
                <w:sz w:val="18"/>
              </w:rPr>
              <w:t>Normal aparente</w:t>
            </w:r>
          </w:p>
        </w:tc>
      </w:tr>
      <w:tr>
        <w:tc>
          <w:tcPr>
            <w:tcW w:type="dxa" w:w="2880"/>
            <w:tcMar>
              <w:top w:w="80" w:type="dxa"/>
              <w:start w:w="90" w:type="dxa"/>
              <w:bottom w:w="80" w:type="dxa"/>
              <w:end w:w="90" w:type="dxa"/>
            </w:tcMar>
            <w:vAlign w:val="center"/>
          </w:tcPr>
          <w:p>
            <w:r/>
            <w:r>
              <w:rPr>
                <w:rFonts w:ascii="Aptos" w:hAnsi="Aptos"/>
                <w:sz w:val="18"/>
              </w:rPr>
              <w:t>D5 candidato</w:t>
            </w:r>
          </w:p>
        </w:tc>
        <w:tc>
          <w:tcPr>
            <w:tcW w:type="dxa" w:w="2448"/>
            <w:tcMar>
              <w:top w:w="80" w:type="dxa"/>
              <w:start w:w="90" w:type="dxa"/>
              <w:bottom w:w="80" w:type="dxa"/>
              <w:end w:w="90" w:type="dxa"/>
            </w:tcMar>
            <w:vAlign w:val="center"/>
          </w:tcPr>
          <w:p>
            <w:r/>
            <w:r>
              <w:rPr>
                <w:rFonts w:ascii="Aptos" w:hAnsi="Aptos"/>
                <w:sz w:val="18"/>
              </w:rPr>
              <w:t>1.2 V / 0.2 V</w:t>
            </w:r>
          </w:p>
        </w:tc>
        <w:tc>
          <w:tcPr>
            <w:tcW w:type="dxa" w:w="3312"/>
            <w:tcMar>
              <w:top w:w="80" w:type="dxa"/>
              <w:start w:w="90" w:type="dxa"/>
              <w:bottom w:w="80" w:type="dxa"/>
              <w:end w:w="90" w:type="dxa"/>
            </w:tcMar>
            <w:vAlign w:val="center"/>
          </w:tcPr>
          <w:p>
            <w:r/>
            <w:r>
              <w:rPr>
                <w:rFonts w:ascii="Aptos" w:hAnsi="Aptos"/>
                <w:sz w:val="18"/>
              </w:rPr>
              <w:t>No concluyente en circuito</w:t>
            </w:r>
          </w:p>
        </w:tc>
      </w:tr>
    </w:tbl>
    <w:p>
      <w:pPr>
        <w:spacing w:after="20"/>
      </w:pPr>
    </w:p>
    <w:p>
      <w:pPr>
        <w:spacing w:after="120" w:line="252" w:lineRule="auto"/>
      </w:pPr>
      <w:r>
        <w:rPr>
          <w:rFonts w:ascii="Aptos" w:hAnsi="Aptos"/>
          <w:sz w:val="21"/>
        </w:rPr>
        <w:t>D1-D4 mostraron conducción en un sentido y bloqueo en el contrario. No se encontraron cortos de 0 V en ambos sentidos ni aperturas evidentes en ambos sentidos. El quinto componente no se consideró concluyente porque se midió soldado en circuito.</w:t>
      </w:r>
    </w:p>
    <w:p>
      <w:pPr>
        <w:pStyle w:val="Heading2"/>
        <w:spacing w:before="140" w:after="100"/>
      </w:pPr>
      <w:r>
        <w:rPr>
          <w:rFonts w:ascii="Aptos" w:hAnsi="Aptos"/>
          <w:b/>
          <w:color w:val="373737"/>
          <w:sz w:val="24"/>
        </w:rPr>
        <w:t>12.5 Resistencias y ruta hacia A</w:t>
      </w:r>
    </w:p>
    <w:p>
      <w:pPr>
        <w:spacing w:after="120" w:line="252" w:lineRule="auto"/>
      </w:pPr>
      <w:r>
        <w:rPr>
          <w:rFonts w:ascii="Aptos" w:hAnsi="Aptos"/>
          <w:sz w:val="21"/>
        </w:rPr>
        <w:t>Se midieron varias resistencias SMD marcadas 103, equivalentes nominalmente a 10 kΩ. Todas estuvieron dentro de un rango razonable. Una resistencia identificada durante la prueba como #2 presentó continuidad directa entre su lado izquierdo y la salida A.</w:t>
      </w:r>
    </w:p>
    <w:p>
      <w:pPr>
        <w:spacing w:before="80" w:after="120"/>
        <w:ind w:left="360"/>
        <w:shd w:fill="F2F4F7"/>
      </w:pPr>
      <w:r>
        <w:rPr>
          <w:rFonts w:ascii="Consolas" w:hAnsi="Consolas"/>
          <w:color w:val="282828"/>
          <w:sz w:val="17"/>
        </w:rPr>
        <w:t>Agua salada:</w:t>
        <w:br/>
        <w:t>#2 lado izquierdo = ~0.035 V</w:t>
        <w:br/>
        <w:t>#2 lado derecho   = ~0.042 V</w:t>
        <w:br/>
        <w:t>A                 = ~0.035 V</w:t>
      </w:r>
    </w:p>
    <w:p>
      <w:pPr>
        <w:spacing w:after="120" w:line="252" w:lineRule="auto"/>
      </w:pPr>
      <w:r>
        <w:rPr>
          <w:rFonts w:ascii="Aptos" w:hAnsi="Aptos"/>
          <w:sz w:val="21"/>
        </w:rPr>
        <w:t>La caída entre ambos extremos fue pequeña y no explica una pérdida grande de sensibilidad, por lo que esta resistencia no se identificó como causa probable.</w:t>
      </w:r>
    </w:p>
    <w:p>
      <w:pPr>
        <w:pStyle w:val="Heading1"/>
        <w:spacing w:before="200" w:after="100"/>
      </w:pPr>
      <w:r>
        <w:rPr>
          <w:rFonts w:ascii="Aptos" w:hAnsi="Aptos"/>
          <w:b/>
          <w:color w:val="1F4E79"/>
          <w:sz w:val="30"/>
        </w:rPr>
        <w:t>13. Prueba de la sonda TDS aislada</w:t>
      </w:r>
    </w:p>
    <w:p>
      <w:pPr>
        <w:spacing w:after="120" w:line="252" w:lineRule="auto"/>
      </w:pPr>
      <w:r>
        <w:rPr>
          <w:rFonts w:ascii="Aptos" w:hAnsi="Aptos"/>
          <w:sz w:val="21"/>
        </w:rPr>
        <w:t>Con la sonda desconectada de la tarjeta, el multímetro no mostraba conducción al aire. Al introducirla en una solución conductiva se observaron valores aproximados entre 500 kΩ y 1 MΩ. Esto indica que la sonda no está completamente abierta y que sus electrodos responden al medio, aunque esta prueba DC no permite determinar correctamente su sensibilidad en operación AC.</w:t>
      </w:r>
    </w:p>
    <w:p>
      <w:pPr>
        <w:spacing w:after="120" w:line="252" w:lineRule="auto"/>
      </w:pPr>
      <w:r>
        <w:rPr>
          <w:rFonts w:ascii="Aptos" w:hAnsi="Aptos"/>
          <w:sz w:val="21"/>
        </w:rPr>
        <w:t>Una investigación posterior encontró reportes de sondas similares que entregaban solo unas centésimas de voltio y recuperaban una salida cercana al rango esperado al reemplazar la sonda. Por ello la sonda sigue siendo uno de los principales sospechosos, incluso cuando la tarjeta muestra actividad.</w:t>
      </w:r>
    </w:p>
    <w:p>
      <w:pPr>
        <w:pStyle w:val="Heading1"/>
        <w:spacing w:before="200" w:after="100"/>
      </w:pPr>
      <w:r>
        <w:rPr>
          <w:rFonts w:ascii="Aptos" w:hAnsi="Aptos"/>
          <w:b/>
          <w:color w:val="1F4E79"/>
          <w:sz w:val="30"/>
        </w:rPr>
        <w:t>14. Por qué no se decidió escalar artificialmente la señal</w:t>
      </w:r>
    </w:p>
    <w:p>
      <w:pPr>
        <w:spacing w:after="120" w:line="252" w:lineRule="auto"/>
      </w:pPr>
      <w:r>
        <w:rPr>
          <w:rFonts w:ascii="Aptos" w:hAnsi="Aptos"/>
          <w:sz w:val="21"/>
        </w:rPr>
        <w:t>Se evaluó la posibilidad de multiplicar el voltaje o el resultado TDS por un factor grande para compensar la baja amplitud. Esta alternativa se descartó para el control automático de HydroMate.</w:t>
      </w:r>
    </w:p>
    <w:p>
      <w:pPr>
        <w:pStyle w:val="ListBullet"/>
        <w:spacing w:after="40"/>
      </w:pPr>
      <w:r>
        <w:rPr>
          <w:rFonts w:ascii="Aptos" w:hAnsi="Aptos"/>
          <w:sz w:val="21"/>
        </w:rPr>
        <w:t>Un factor elevado amplificaría también ruido, deriva y errores de contacto.</w:t>
      </w:r>
    </w:p>
    <w:p>
      <w:pPr>
        <w:pStyle w:val="ListBullet"/>
        <w:spacing w:after="40"/>
      </w:pPr>
      <w:r>
        <w:rPr>
          <w:rFonts w:ascii="Aptos" w:hAnsi="Aptos"/>
          <w:sz w:val="21"/>
        </w:rPr>
        <w:t>No existe evidencia de que la respuesta del conjunto defectuoso sea lineal en todo el rango.</w:t>
      </w:r>
    </w:p>
    <w:p>
      <w:pPr>
        <w:pStyle w:val="ListBullet"/>
        <w:spacing w:after="40"/>
      </w:pPr>
      <w:r>
        <w:rPr>
          <w:rFonts w:ascii="Aptos" w:hAnsi="Aptos"/>
          <w:sz w:val="21"/>
        </w:rPr>
        <w:t>La diferencia observada entre agua de llave y agua muy salada fue demasiado pequeña para justificar una calibración normal.</w:t>
      </w:r>
    </w:p>
    <w:p>
      <w:pPr>
        <w:pStyle w:val="ListBullet"/>
        <w:spacing w:after="40"/>
      </w:pPr>
      <w:r>
        <w:rPr>
          <w:rFonts w:ascii="Aptos" w:hAnsi="Aptos"/>
          <w:sz w:val="21"/>
        </w:rPr>
        <w:t>Una lectura TDS incorrecta podría causar dosificación automática errónea de Nutriente A/B.</w:t>
      </w:r>
    </w:p>
    <w:p>
      <w:pPr>
        <w:spacing w:after="120" w:line="252" w:lineRule="auto"/>
      </w:pPr>
      <w:r>
        <w:rPr>
          <w:rFonts w:ascii="Aptos" w:hAnsi="Aptos"/>
          <w:sz w:val="21"/>
        </w:rPr>
        <w:t>La calibración debe ajustar pequeñas diferencias de sensibilidad sobre un sensor funcional, no convertir una señal de decenas de milivoltios en una señal supuestamente equivalente a cientos de ppm sin una referencia confiable.</w:t>
      </w:r>
    </w:p>
    <w:p>
      <w:pPr>
        <w:pStyle w:val="Heading1"/>
        <w:spacing w:before="200" w:after="100"/>
      </w:pPr>
      <w:r>
        <w:rPr>
          <w:rFonts w:ascii="Aptos" w:hAnsi="Aptos"/>
          <w:b/>
          <w:color w:val="1F4E79"/>
          <w:sz w:val="30"/>
        </w:rPr>
        <w:t>15. Posibilidad de reparación</w:t>
      </w:r>
    </w:p>
    <w:p>
      <w:pPr>
        <w:spacing w:after="120" w:line="252" w:lineRule="auto"/>
      </w:pPr>
      <w:r>
        <w:rPr>
          <w:rFonts w:ascii="Aptos" w:hAnsi="Aptos"/>
          <w:sz w:val="21"/>
        </w:rPr>
        <w:t>La tarjeta no está completamente muerta y técnicamente podría repararse. Sin embargo, no se localizó un componente único cuya falla esté demostrada. Las posibilidades restantes incluyen una sección degradada del LMV324A, un capacitor SMD, un diodo que falle bajo señal, una falla parcial en la etapa de acondicionamiento o una sonda con sensibilidad anormalmente baja.</w:t>
      </w:r>
    </w:p>
    <w:p>
      <w:pPr>
        <w:spacing w:after="120" w:line="252" w:lineRule="auto"/>
      </w:pPr>
      <w:r>
        <w:rPr>
          <w:rFonts w:ascii="Aptos" w:hAnsi="Aptos"/>
          <w:sz w:val="21"/>
        </w:rPr>
        <w:t>Se realizó resoldado/reflow de componentes y conexiones, pero la amplitud siguió baja. Cambiar el LMV324A es posible y barato, pero sería una apuesta: si el problema está en la sonda u otro componente, el reemplazo no solucionará la falla.</w:t>
      </w:r>
    </w:p>
    <w:p>
      <w:pPr>
        <w:spacing w:after="120" w:line="252" w:lineRule="auto"/>
      </w:pPr>
      <w:r>
        <w:rPr>
          <w:rFonts w:ascii="Aptos" w:hAnsi="Aptos"/>
          <w:sz w:val="21"/>
        </w:rPr>
        <w:t>Decisión práctica: conservar el módulo viejo como material de diagnóstico/aprendizaje y reemplazar el kit TDS para no retrasar HydroMate.</w:t>
      </w:r>
    </w:p>
    <w:p>
      <w:pPr>
        <w:pStyle w:val="Heading1"/>
        <w:spacing w:before="200" w:after="100"/>
      </w:pPr>
      <w:r>
        <w:rPr>
          <w:rFonts w:ascii="Aptos" w:hAnsi="Aptos"/>
          <w:b/>
          <w:color w:val="1F4E79"/>
          <w:sz w:val="30"/>
        </w:rPr>
        <w:t>16. Decisión final sobre el TDS</w:t>
      </w:r>
    </w:p>
    <w:p>
      <w:pPr>
        <w:spacing w:after="120" w:line="252" w:lineRule="auto"/>
      </w:pPr>
      <w:r>
        <w:rPr>
          <w:rFonts w:ascii="Aptos" w:hAnsi="Aptos"/>
          <w:sz w:val="21"/>
        </w:rPr>
        <w:t>Se decidió reemplazar el conjunto TDS Meter V1.0/SEN0244, preferiblemente comprando tarjeta y sonda juntas. Cuando llegue el nuevo kit se realizarán tres combinaciones para identificar exactamente qué parte del conjunto anterior estaba fallando:</w:t>
      </w:r>
    </w:p>
    <w:p>
      <w:pPr>
        <w:pStyle w:val="ListNumber"/>
        <w:spacing w:after="40"/>
      </w:pPr>
      <w:r>
        <w:rPr>
          <w:rFonts w:ascii="Aptos" w:hAnsi="Aptos"/>
          <w:sz w:val="21"/>
        </w:rPr>
        <w:t>Tarjeta nueva + sonda nueva.</w:t>
      </w:r>
    </w:p>
    <w:p>
      <w:pPr>
        <w:pStyle w:val="ListNumber"/>
        <w:spacing w:after="40"/>
      </w:pPr>
      <w:r>
        <w:rPr>
          <w:rFonts w:ascii="Aptos" w:hAnsi="Aptos"/>
          <w:sz w:val="21"/>
        </w:rPr>
        <w:t>Tarjeta nueva + sonda vieja.</w:t>
      </w:r>
    </w:p>
    <w:p>
      <w:pPr>
        <w:pStyle w:val="ListNumber"/>
        <w:spacing w:after="40"/>
      </w:pPr>
      <w:r>
        <w:rPr>
          <w:rFonts w:ascii="Aptos" w:hAnsi="Aptos"/>
          <w:sz w:val="21"/>
        </w:rPr>
        <w:t>Tarjeta vieja + sonda nueva.</w:t>
      </w:r>
    </w:p>
    <w:p>
      <w:pPr>
        <w:spacing w:after="120" w:line="252" w:lineRule="auto"/>
      </w:pPr>
      <w:r>
        <w:rPr>
          <w:rFonts w:ascii="Aptos" w:hAnsi="Aptos"/>
          <w:sz w:val="21"/>
        </w:rPr>
        <w:t>Si la compra anterior continúa dentro del periodo de devolución de Mercado Libre, se recomienda intentar la devolución antes de modificar más la placa, reportando que la salida analógica es anormalmente baja e inestable pese a haber sido probada con varios métodos independientes.</w:t>
      </w:r>
    </w:p>
    <w:p>
      <w:pPr>
        <w:pStyle w:val="Heading1"/>
        <w:spacing w:before="200" w:after="100"/>
      </w:pPr>
      <w:r>
        <w:rPr>
          <w:rFonts w:ascii="Aptos" w:hAnsi="Aptos"/>
          <w:b/>
          <w:color w:val="1F4E79"/>
          <w:sz w:val="30"/>
        </w:rPr>
        <w:t>17. Interferencia entre pH y TDS y solución propuesta</w:t>
      </w:r>
    </w:p>
    <w:p>
      <w:pPr>
        <w:spacing w:after="120" w:line="252" w:lineRule="auto"/>
      </w:pPr>
      <w:r>
        <w:rPr>
          <w:rFonts w:ascii="Aptos" w:hAnsi="Aptos"/>
          <w:sz w:val="21"/>
        </w:rPr>
        <w:t>Durante la investigación se identificó un punto de diseño importante: el sensor TDS/EC excita eléctricamente sus electrodos y puede introducir ruido en mediciones electroquímicas sensibles como pH si ambos trabajan simultáneamente en la misma solución y comparten alimentación/tierra.</w:t>
      </w:r>
    </w:p>
    <w:p>
      <w:pPr>
        <w:spacing w:after="120" w:line="252" w:lineRule="auto"/>
      </w:pPr>
      <w:r>
        <w:rPr>
          <w:rFonts w:ascii="Aptos" w:hAnsi="Aptos"/>
          <w:sz w:val="21"/>
        </w:rPr>
        <w:t>Para la versión final de HydroMate se propone tomar las mediciones químicas de forma secuencial:</w:t>
      </w:r>
    </w:p>
    <w:p>
      <w:pPr>
        <w:spacing w:before="80" w:after="120"/>
        <w:ind w:left="360"/>
        <w:shd w:fill="F2F4F7"/>
      </w:pPr>
      <w:r>
        <w:rPr>
          <w:rFonts w:ascii="Consolas" w:hAnsi="Consolas"/>
          <w:color w:val="282828"/>
          <w:sz w:val="17"/>
        </w:rPr>
        <w:t>1. TDS apagado</w:t>
        <w:br/>
        <w:t>2. Esperar estabilización</w:t>
        <w:br/>
        <w:t>3. Leer pH y promediar</w:t>
        <w:br/>
        <w:t>4. Guardar pH</w:t>
        <w:br/>
        <w:t>5. Encender TDS</w:t>
        <w:br/>
        <w:t>6. Esperar estabilización</w:t>
        <w:br/>
        <w:t>7. Leer temperatura</w:t>
        <w:br/>
        <w:t>8. Leer TDS y filtrar</w:t>
        <w:br/>
        <w:t>9. Compensar TDS por temperatura</w:t>
        <w:br/>
        <w:t>10. Guardar TDS</w:t>
        <w:br/>
        <w:t>11. Apagar TDS</w:t>
      </w:r>
    </w:p>
    <w:p>
      <w:pPr>
        <w:spacing w:after="120" w:line="252" w:lineRule="auto"/>
      </w:pPr>
      <w:r>
        <w:rPr>
          <w:rFonts w:ascii="Aptos" w:hAnsi="Aptos"/>
          <w:sz w:val="21"/>
        </w:rPr>
        <w:t>Para apagar realmente el módulo TDS en el montaje final es preferible controlar su alimentación desde el lado positivo con un interruptor high-side, load switch, MOSFET P-channel o relé adecuado. No se recomienda cortar únicamente GND porque podrían aparecer retornos de corriente a través de la salida analógica.</w:t>
      </w:r>
    </w:p>
    <w:p>
      <w:pPr>
        <w:pStyle w:val="Heading1"/>
        <w:spacing w:before="200" w:after="100"/>
      </w:pPr>
      <w:r>
        <w:rPr>
          <w:rFonts w:ascii="Aptos" w:hAnsi="Aptos"/>
          <w:b/>
          <w:color w:val="1F4E79"/>
          <w:sz w:val="30"/>
        </w:rPr>
        <w:t>18. Código base consolidado para sensores funcionales</w:t>
      </w:r>
    </w:p>
    <w:p>
      <w:pPr>
        <w:spacing w:after="120" w:line="252" w:lineRule="auto"/>
      </w:pPr>
      <w:r>
        <w:rPr>
          <w:rFonts w:ascii="Aptos" w:hAnsi="Aptos"/>
          <w:sz w:val="21"/>
        </w:rPr>
        <w:t>El siguiente fragmento resume las constantes y asignaciones que deben mantenerse en la siguiente etapa. El canal TDS queda reservado para el nuevo sensor; no se recomienda seguir usando los ppm obtenidos del módulo defectuoso.</w:t>
      </w:r>
    </w:p>
    <w:p>
      <w:pPr>
        <w:spacing w:before="80" w:after="120"/>
        <w:ind w:left="360"/>
        <w:shd w:fill="F2F4F7"/>
      </w:pPr>
      <w:r>
        <w:rPr>
          <w:rFonts w:ascii="Consolas" w:hAnsi="Consolas"/>
          <w:color w:val="282828"/>
          <w:sz w:val="17"/>
        </w:rPr>
        <w:t>#define ONE_WIRE_BUS 4</w:t>
        <w:br/>
        <w:t>#define FLOAT_PIN 27</w:t>
        <w:br/>
        <w:t>#define SDA_PIN 21</w:t>
        <w:br/>
        <w:t>#define SCL_PIN 22</w:t>
        <w:br/>
        <w:br/>
        <w:t>// I2C</w:t>
        <w:br/>
        <w:t>BH1750 -&gt; bus GPIO21/GPIO22</w:t>
        <w:br/>
        <w:t>ADS1115 -&gt; 0x48</w:t>
        <w:br/>
        <w:br/>
        <w:t>// ADS1115</w:t>
        <w:br/>
        <w:t>A0 -&gt; PH-4502C</w:t>
        <w:br/>
        <w:t>A1 -&gt; TDS nuevo</w:t>
        <w:br/>
        <w:br/>
        <w:t>// pH calibrado</w:t>
        <w:br/>
        <w:t>const float PH_M = -5.579;</w:t>
        <w:br/>
        <w:t>const float PH_B = 14.066;</w:t>
        <w:br/>
        <w:br/>
        <w:t>// flotador</w:t>
        <w:br/>
        <w:t>bool hayAgua = (digitalRead(FLOAT_PIN) == LOW);</w:t>
      </w:r>
    </w:p>
    <w:p>
      <w:pPr>
        <w:pStyle w:val="Heading1"/>
        <w:spacing w:before="200" w:after="100"/>
      </w:pPr>
      <w:r>
        <w:rPr>
          <w:rFonts w:ascii="Aptos" w:hAnsi="Aptos"/>
          <w:b/>
          <w:color w:val="1F4E79"/>
          <w:sz w:val="30"/>
        </w:rPr>
        <w:t>19. Criterios para validar el nuevo TDS</w:t>
      </w:r>
    </w:p>
    <w:p>
      <w:pPr>
        <w:spacing w:after="120" w:line="252" w:lineRule="auto"/>
      </w:pPr>
      <w:r>
        <w:rPr>
          <w:rFonts w:ascii="Aptos" w:hAnsi="Aptos"/>
          <w:sz w:val="21"/>
        </w:rPr>
        <w:t>Al recibir el reemplazo no se comenzará directamente calculando ppm. Primero se validará el voltaje bruto para evitar repetir el diagnóstico.</w:t>
      </w:r>
    </w:p>
    <w:p>
      <w:pPr>
        <w:pStyle w:val="ListBullet"/>
        <w:spacing w:after="40"/>
      </w:pPr>
      <w:r>
        <w:rPr>
          <w:rFonts w:ascii="Aptos" w:hAnsi="Aptos"/>
          <w:sz w:val="21"/>
        </w:rPr>
        <w:t>Probar aire, agua desmineralizada, agua de llave y una solución claramente conductiva.</w:t>
      </w:r>
    </w:p>
    <w:p>
      <w:pPr>
        <w:pStyle w:val="ListBullet"/>
        <w:spacing w:after="40"/>
      </w:pPr>
      <w:r>
        <w:rPr>
          <w:rFonts w:ascii="Aptos" w:hAnsi="Aptos"/>
          <w:sz w:val="21"/>
        </w:rPr>
        <w:t>Usar ADS1115 con una ganancia suficientemente amplia, por ejemplo GAIN_ONE durante la caracterización.</w:t>
      </w:r>
    </w:p>
    <w:p>
      <w:pPr>
        <w:pStyle w:val="ListBullet"/>
        <w:spacing w:after="40"/>
      </w:pPr>
      <w:r>
        <w:rPr>
          <w:rFonts w:ascii="Aptos" w:hAnsi="Aptos"/>
          <w:sz w:val="21"/>
        </w:rPr>
        <w:t>Comparar la salida A con multímetro y ADS1115.</w:t>
      </w:r>
    </w:p>
    <w:p>
      <w:pPr>
        <w:pStyle w:val="ListBullet"/>
        <w:spacing w:after="40"/>
      </w:pPr>
      <w:r>
        <w:rPr>
          <w:rFonts w:ascii="Aptos" w:hAnsi="Aptos"/>
          <w:sz w:val="21"/>
        </w:rPr>
        <w:t>Confirmar una variación claramente mayor al aumentar la conductividad.</w:t>
      </w:r>
    </w:p>
    <w:p>
      <w:pPr>
        <w:pStyle w:val="ListBullet"/>
        <w:spacing w:after="40"/>
      </w:pPr>
      <w:r>
        <w:rPr>
          <w:rFonts w:ascii="Aptos" w:hAnsi="Aptos"/>
          <w:sz w:val="21"/>
        </w:rPr>
        <w:t>Conseguir posteriormente una solución patrón de conductividad/TDS para calibración real.</w:t>
      </w:r>
    </w:p>
    <w:p>
      <w:pPr>
        <w:pStyle w:val="ListBullet"/>
        <w:spacing w:after="40"/>
      </w:pPr>
      <w:r>
        <w:rPr>
          <w:rFonts w:ascii="Aptos" w:hAnsi="Aptos"/>
          <w:sz w:val="21"/>
        </w:rPr>
        <w:t>Utilizar el DS18B20 para compensación térmica durante la medición final.</w:t>
      </w:r>
    </w:p>
    <w:p>
      <w:pPr>
        <w:pStyle w:val="Heading1"/>
        <w:spacing w:before="200" w:after="100"/>
      </w:pPr>
      <w:r>
        <w:rPr>
          <w:rFonts w:ascii="Aptos" w:hAnsi="Aptos"/>
          <w:b/>
          <w:color w:val="1F4E79"/>
          <w:sz w:val="30"/>
        </w:rPr>
        <w:t>20. Próxima etapa recomendada</w:t>
      </w:r>
    </w:p>
    <w:p>
      <w:pPr>
        <w:spacing w:after="120" w:line="252" w:lineRule="auto"/>
      </w:pPr>
      <w:r>
        <w:rPr>
          <w:rFonts w:ascii="Aptos" w:hAnsi="Aptos"/>
          <w:sz w:val="21"/>
        </w:rPr>
        <w:t>El reemplazo del TDS puede realizarse en paralelo y no debe detener el avance de HydroMate. Los demás sensores principales ya están validados. La siguiente etapa recomendada es integrar potencia y actuadores.</w:t>
      </w:r>
    </w:p>
    <w:p>
      <w:pPr>
        <w:spacing w:before="80" w:after="120"/>
        <w:ind w:left="360"/>
        <w:shd w:fill="F2F4F7"/>
      </w:pPr>
      <w:r>
        <w:rPr>
          <w:rFonts w:ascii="Consolas" w:hAnsi="Consolas"/>
          <w:color w:val="282828"/>
          <w:sz w:val="17"/>
        </w:rPr>
        <w:t>Fuente 24 V / 5 A</w:t>
        <w:br/>
        <w:t xml:space="preserve">        ↓</w:t>
        <w:br/>
        <w:t xml:space="preserve">      XL4015</w:t>
        <w:br/>
        <w:t xml:space="preserve">        ↓</w:t>
        <w:br/>
        <w:t>ramas 12 V / 5 V según actuadores</w:t>
        <w:br/>
        <w:br/>
        <w:t>ESP32 -&gt; D4184 -&gt; bomba principal 24 V</w:t>
      </w:r>
    </w:p>
    <w:p>
      <w:pPr>
        <w:spacing w:after="120" w:line="252" w:lineRule="auto"/>
      </w:pPr>
      <w:r>
        <w:rPr>
          <w:rFonts w:ascii="Aptos" w:hAnsi="Aptos"/>
          <w:sz w:val="21"/>
        </w:rPr>
        <w:t>La primera automatización física deberá ser la protección por nivel: la bomba solo podrá funcionar si el flotador confirma agua suficiente. Después se probarán los servos o el mecanismo definitivo de dosificación, iluminación y finalmente la comunicación MQTT/backend.</w:t>
      </w:r>
    </w:p>
    <w:p>
      <w:pPr>
        <w:pStyle w:val="Heading1"/>
        <w:spacing w:before="200" w:after="100"/>
      </w:pPr>
      <w:r>
        <w:rPr>
          <w:rFonts w:ascii="Aptos" w:hAnsi="Aptos"/>
          <w:b/>
          <w:color w:val="1F4E79"/>
          <w:sz w:val="30"/>
        </w:rPr>
        <w:t>21. Conclusión</w:t>
      </w:r>
    </w:p>
    <w:p>
      <w:pPr>
        <w:spacing w:after="120" w:line="252" w:lineRule="auto"/>
      </w:pPr>
      <w:r>
        <w:rPr>
          <w:rFonts w:ascii="Aptos" w:hAnsi="Aptos"/>
          <w:sz w:val="21"/>
        </w:rPr>
        <w:t>La etapa permitió validar la mayor parte de la instrumentación de HydroMate. El DS18B20, BH1750, flotador, ADS1115 y sistema de pH quedaron operativos; además, el pH fue calibrado con dos buffers y verificado nuevamente. El problema del TDS se investigó con multímetro, ADS1115, ESP32, Arduino UNO, librería GravityTDS y diagnóstico parcial de su electrónica interna. Todos los métodos coinciden en que la salida analógica del conjunto TDS es anormalmente pequeña.</w:t>
      </w:r>
    </w:p>
    <w:p>
      <w:pPr>
        <w:spacing w:after="120" w:line="252" w:lineRule="auto"/>
      </w:pPr>
      <w:r>
        <w:rPr>
          <w:rFonts w:ascii="Aptos" w:hAnsi="Aptos"/>
          <w:sz w:val="21"/>
        </w:rPr>
        <w:t>Por confiabilidad se decidió no corregir artificialmente el valor por software y reemplazar el kit. Esta decisión es especialmente importante porque en la versión automatizada el TDS/EC influirá en la dosificación de nutrientes. La prioridad del proyecto pasa ahora a integración de potencia, bomba principal y protecciones locales, mientras el sensor TDS se reemplaza y valida por separado.</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HydroMate - Bitácora técnica de sensores y diagnóstico TDS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