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rFonts w:ascii="Arial" w:hAnsi="Arial"/>
          <w:b/>
          <w:sz w:val="40"/>
        </w:rPr>
        <w:t>PROYECTO DE CARRERA</w:t>
      </w:r>
    </w:p>
    <w:p>
      <w:pPr>
        <w:spacing w:before="160"/>
        <w:jc w:val="center"/>
      </w:pPr>
      <w:r>
        <w:rPr>
          <w:rFonts w:ascii="Arial" w:hAnsi="Arial"/>
          <w:b/>
          <w:sz w:val="30"/>
        </w:rPr>
        <w:t>Taller 3 – Investigación técnica y análisis de soluciones similares</w:t>
      </w:r>
    </w:p>
    <w:p>
      <w:pPr>
        <w:spacing w:before="2200"/>
        <w:jc w:val="center"/>
      </w:pPr>
      <w:r>
        <w:rPr>
          <w:rFonts w:ascii="Arial" w:hAnsi="Arial"/>
          <w:sz w:val="24"/>
        </w:rPr>
        <w:t>Valdez Meza Kevin Osmar</w:t>
      </w:r>
    </w:p>
    <w:p>
      <w:pPr>
        <w:jc w:val="center"/>
      </w:pPr>
      <w:r>
        <w:rPr>
          <w:rFonts w:ascii="Arial" w:hAnsi="Arial"/>
          <w:sz w:val="24"/>
        </w:rPr>
        <w:t>1288703</w:t>
      </w:r>
    </w:p>
    <w:p>
      <w:pPr>
        <w:spacing w:before="1500"/>
        <w:jc w:val="center"/>
      </w:pPr>
      <w:r>
        <w:rPr>
          <w:rFonts w:ascii="Arial" w:hAnsi="Arial"/>
          <w:sz w:val="24"/>
        </w:rPr>
        <w:t>02 – Septiembre – 2026</w:t>
      </w:r>
    </w:p>
    <w:p>
      <w:r>
        <w:br w:type="page"/>
      </w:r>
    </w:p>
    <w:p>
      <w:pPr>
        <w:pStyle w:val="Heading1"/>
        <w:spacing w:before="160" w:after="80"/>
      </w:pPr>
      <w:r>
        <w:t>1. Investigación técnica</w:t>
      </w:r>
    </w:p>
    <w:p>
      <w:pPr>
        <w:spacing w:after="100" w:line="252" w:lineRule="auto"/>
      </w:pPr>
      <w:r>
        <w:t>La investigación se enfocó en tecnologías y soluciones relacionadas con HydroMate: hidroponía inteligente, control de fertirrigación, sistemas embebidos, adquisición de señales y productos comerciales capaces de automatizar pH, concentración de nutrientes, riego y otras variables. El objetivo no es copiar una solución existente, sino identificar qué métodos ya se utilizan, qué desempeño reportan y qué aspectos pueden adaptarse a un prototipo de menor costo.</w:t>
      </w:r>
    </w:p>
    <w:p>
      <w:pPr>
        <w:spacing w:after="100" w:line="252" w:lineRule="auto"/>
      </w:pPr>
      <w:r>
        <w:t>Se revisaron artículos científicos, documentación técnica de fabricantes y productos comerciales. Cuando un fabricante no publica el microcontrolador interno, algoritmos, base de datos, precisión de una bomba o detalles del firmware, esa información se marca como no disponible y no se intenta inferir.</w:t>
      </w:r>
    </w:p>
    <w:p>
      <w:pPr>
        <w:pStyle w:val="Heading2"/>
        <w:spacing w:before="160" w:after="80"/>
      </w:pPr>
      <w:r>
        <w:t>1.1 Fuentes seleccionadas</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264"/>
            <w:vAlign w:val="center"/>
            <w:tcMar>
              <w:top w:w="90" w:type="dxa"/>
              <w:start w:w="90" w:type="dxa"/>
              <w:bottom w:w="90" w:type="dxa"/>
              <w:end w:w="90" w:type="dxa"/>
            </w:tcMar>
            <w:shd w:fill="E7E6E6"/>
          </w:tcPr>
          <w:p>
            <w:pPr>
              <w:spacing w:after="0"/>
            </w:pPr>
            <w:r>
              <w:rPr>
                <w:rFonts w:ascii="Arial" w:hAnsi="Arial"/>
                <w:b/>
                <w:sz w:val="18"/>
              </w:rPr>
              <w:t>Tipo</w:t>
            </w:r>
          </w:p>
        </w:tc>
        <w:tc>
          <w:tcPr>
            <w:tcW w:type="dxa" w:w="3264"/>
            <w:vAlign w:val="center"/>
            <w:tcMar>
              <w:top w:w="90" w:type="dxa"/>
              <w:start w:w="90" w:type="dxa"/>
              <w:bottom w:w="90" w:type="dxa"/>
              <w:end w:w="90" w:type="dxa"/>
            </w:tcMar>
            <w:shd w:fill="E7E6E6"/>
          </w:tcPr>
          <w:p>
            <w:pPr>
              <w:spacing w:after="0"/>
            </w:pPr>
            <w:r>
              <w:rPr>
                <w:rFonts w:ascii="Arial" w:hAnsi="Arial"/>
                <w:b/>
                <w:sz w:val="18"/>
              </w:rPr>
              <w:t>Fuente</w:t>
            </w:r>
          </w:p>
        </w:tc>
        <w:tc>
          <w:tcPr>
            <w:tcW w:type="dxa" w:w="3264"/>
            <w:vAlign w:val="center"/>
            <w:tcMar>
              <w:top w:w="90" w:type="dxa"/>
              <w:start w:w="90" w:type="dxa"/>
              <w:bottom w:w="90" w:type="dxa"/>
              <w:end w:w="90" w:type="dxa"/>
            </w:tcMar>
            <w:shd w:fill="E7E6E6"/>
          </w:tcPr>
          <w:p>
            <w:pPr>
              <w:spacing w:after="0"/>
            </w:pPr>
            <w:r>
              <w:rPr>
                <w:rFonts w:ascii="Arial" w:hAnsi="Arial"/>
                <w:b/>
                <w:sz w:val="18"/>
              </w:rPr>
              <w:t>Uso dentro del análisis</w:t>
            </w:r>
          </w:p>
        </w:tc>
      </w:tr>
      <w:tr>
        <w:trPr>
          <w:cantSplit/>
        </w:trPr>
        <w:tc>
          <w:tcPr>
            <w:tcW w:type="dxa" w:w="3264"/>
            <w:vAlign w:val="center"/>
            <w:tcMar>
              <w:top w:w="90" w:type="dxa"/>
              <w:start w:w="90" w:type="dxa"/>
              <w:bottom w:w="90" w:type="dxa"/>
              <w:end w:w="90" w:type="dxa"/>
            </w:tcMar>
          </w:tcPr>
          <w:p>
            <w:pPr>
              <w:spacing w:after="0"/>
            </w:pPr>
            <w:r>
              <w:rPr>
                <w:rFonts w:ascii="Arial" w:hAnsi="Arial"/>
                <w:sz w:val="18"/>
              </w:rPr>
              <w:t>Artículo científico</w:t>
            </w:r>
          </w:p>
        </w:tc>
        <w:tc>
          <w:tcPr>
            <w:tcW w:type="dxa" w:w="3264"/>
            <w:vAlign w:val="center"/>
            <w:tcMar>
              <w:top w:w="90" w:type="dxa"/>
              <w:start w:w="90" w:type="dxa"/>
              <w:bottom w:w="90" w:type="dxa"/>
              <w:end w:w="90" w:type="dxa"/>
            </w:tcMar>
          </w:tcPr>
          <w:p>
            <w:pPr>
              <w:spacing w:after="0"/>
            </w:pPr>
            <w:r>
              <w:rPr>
                <w:rFonts w:ascii="Arial" w:hAnsi="Arial"/>
                <w:sz w:val="18"/>
              </w:rPr>
              <w:t>Ahmed et al. (2025) [1]</w:t>
            </w:r>
          </w:p>
        </w:tc>
        <w:tc>
          <w:tcPr>
            <w:tcW w:type="dxa" w:w="3264"/>
            <w:vAlign w:val="center"/>
            <w:tcMar>
              <w:top w:w="90" w:type="dxa"/>
              <w:start w:w="90" w:type="dxa"/>
              <w:bottom w:w="90" w:type="dxa"/>
              <w:end w:w="90" w:type="dxa"/>
            </w:tcMar>
          </w:tcPr>
          <w:p>
            <w:pPr>
              <w:spacing w:after="0"/>
            </w:pPr>
            <w:r>
              <w:rPr>
                <w:rFonts w:ascii="Arial" w:hAnsi="Arial"/>
                <w:sz w:val="18"/>
              </w:rPr>
              <w:t>Panorama de hidroponía inteligente, IoT, middleware, automatización y retos.</w:t>
            </w:r>
          </w:p>
        </w:tc>
      </w:tr>
      <w:tr>
        <w:trPr>
          <w:cantSplit/>
        </w:trPr>
        <w:tc>
          <w:tcPr>
            <w:tcW w:type="dxa" w:w="3264"/>
            <w:vAlign w:val="center"/>
            <w:tcMar>
              <w:top w:w="90" w:type="dxa"/>
              <w:start w:w="90" w:type="dxa"/>
              <w:bottom w:w="90" w:type="dxa"/>
              <w:end w:w="90" w:type="dxa"/>
            </w:tcMar>
          </w:tcPr>
          <w:p>
            <w:pPr>
              <w:spacing w:after="0"/>
            </w:pPr>
            <w:r>
              <w:rPr>
                <w:rFonts w:ascii="Arial" w:hAnsi="Arial"/>
                <w:sz w:val="18"/>
              </w:rPr>
              <w:t>Artículo científico</w:t>
            </w:r>
          </w:p>
        </w:tc>
        <w:tc>
          <w:tcPr>
            <w:tcW w:type="dxa" w:w="3264"/>
            <w:vAlign w:val="center"/>
            <w:tcMar>
              <w:top w:w="90" w:type="dxa"/>
              <w:start w:w="90" w:type="dxa"/>
              <w:bottom w:w="90" w:type="dxa"/>
              <w:end w:w="90" w:type="dxa"/>
            </w:tcMar>
          </w:tcPr>
          <w:p>
            <w:pPr>
              <w:spacing w:after="0"/>
            </w:pPr>
            <w:r>
              <w:rPr>
                <w:rFonts w:ascii="Arial" w:hAnsi="Arial"/>
                <w:sz w:val="18"/>
              </w:rPr>
              <w:t>Bhat et al. (2025) [2]</w:t>
            </w:r>
          </w:p>
        </w:tc>
        <w:tc>
          <w:tcPr>
            <w:tcW w:type="dxa" w:w="3264"/>
            <w:vAlign w:val="center"/>
            <w:tcMar>
              <w:top w:w="90" w:type="dxa"/>
              <w:start w:w="90" w:type="dxa"/>
              <w:bottom w:w="90" w:type="dxa"/>
              <w:end w:w="90" w:type="dxa"/>
            </w:tcMar>
          </w:tcPr>
          <w:p>
            <w:pPr>
              <w:spacing w:after="0"/>
            </w:pPr>
            <w:r>
              <w:rPr>
                <w:rFonts w:ascii="Arial" w:hAnsi="Arial"/>
                <w:sz w:val="18"/>
              </w:rPr>
              <w:t>Sistema vertical IoT con fertirrigación automática y resultados experimentales.</w:t>
            </w:r>
          </w:p>
        </w:tc>
      </w:tr>
      <w:tr>
        <w:trPr>
          <w:cantSplit/>
        </w:trPr>
        <w:tc>
          <w:tcPr>
            <w:tcW w:type="dxa" w:w="3264"/>
            <w:vAlign w:val="center"/>
            <w:tcMar>
              <w:top w:w="90" w:type="dxa"/>
              <w:start w:w="90" w:type="dxa"/>
              <w:bottom w:w="90" w:type="dxa"/>
              <w:end w:w="90" w:type="dxa"/>
            </w:tcMar>
          </w:tcPr>
          <w:p>
            <w:pPr>
              <w:spacing w:after="0"/>
            </w:pPr>
            <w:r>
              <w:rPr>
                <w:rFonts w:ascii="Arial" w:hAnsi="Arial"/>
                <w:sz w:val="18"/>
              </w:rPr>
              <w:t>Documento técnico</w:t>
            </w:r>
          </w:p>
        </w:tc>
        <w:tc>
          <w:tcPr>
            <w:tcW w:type="dxa" w:w="3264"/>
            <w:vAlign w:val="center"/>
            <w:tcMar>
              <w:top w:w="90" w:type="dxa"/>
              <w:start w:w="90" w:type="dxa"/>
              <w:bottom w:w="90" w:type="dxa"/>
              <w:end w:w="90" w:type="dxa"/>
            </w:tcMar>
          </w:tcPr>
          <w:p>
            <w:pPr>
              <w:spacing w:after="0"/>
            </w:pPr>
            <w:r>
              <w:rPr>
                <w:rFonts w:ascii="Arial" w:hAnsi="Arial"/>
                <w:sz w:val="18"/>
              </w:rPr>
              <w:t>Espressif ESP32 Series Datasheet [3]</w:t>
            </w:r>
          </w:p>
        </w:tc>
        <w:tc>
          <w:tcPr>
            <w:tcW w:type="dxa" w:w="3264"/>
            <w:vAlign w:val="center"/>
            <w:tcMar>
              <w:top w:w="90" w:type="dxa"/>
              <w:start w:w="90" w:type="dxa"/>
              <w:bottom w:w="90" w:type="dxa"/>
              <w:end w:w="90" w:type="dxa"/>
            </w:tcMar>
          </w:tcPr>
          <w:p>
            <w:pPr>
              <w:spacing w:after="0"/>
            </w:pPr>
            <w:r>
              <w:rPr>
                <w:rFonts w:ascii="Arial" w:hAnsi="Arial"/>
                <w:sz w:val="18"/>
              </w:rPr>
              <w:t>Capacidades del sistema embebido, Wi-Fi, GPIO, ADC e interfaces.</w:t>
            </w:r>
          </w:p>
        </w:tc>
      </w:tr>
      <w:tr>
        <w:trPr>
          <w:cantSplit/>
        </w:trPr>
        <w:tc>
          <w:tcPr>
            <w:tcW w:type="dxa" w:w="3264"/>
            <w:vAlign w:val="center"/>
            <w:tcMar>
              <w:top w:w="90" w:type="dxa"/>
              <w:start w:w="90" w:type="dxa"/>
              <w:bottom w:w="90" w:type="dxa"/>
              <w:end w:w="90" w:type="dxa"/>
            </w:tcMar>
          </w:tcPr>
          <w:p>
            <w:pPr>
              <w:spacing w:after="0"/>
            </w:pPr>
            <w:r>
              <w:rPr>
                <w:rFonts w:ascii="Arial" w:hAnsi="Arial"/>
                <w:sz w:val="18"/>
              </w:rPr>
              <w:t>Documento técnico</w:t>
            </w:r>
          </w:p>
        </w:tc>
        <w:tc>
          <w:tcPr>
            <w:tcW w:type="dxa" w:w="3264"/>
            <w:vAlign w:val="center"/>
            <w:tcMar>
              <w:top w:w="90" w:type="dxa"/>
              <w:start w:w="90" w:type="dxa"/>
              <w:bottom w:w="90" w:type="dxa"/>
              <w:end w:w="90" w:type="dxa"/>
            </w:tcMar>
          </w:tcPr>
          <w:p>
            <w:pPr>
              <w:spacing w:after="0"/>
            </w:pPr>
            <w:r>
              <w:rPr>
                <w:rFonts w:ascii="Arial" w:hAnsi="Arial"/>
                <w:sz w:val="18"/>
              </w:rPr>
              <w:t>Texas Instruments ADS1115 [4]</w:t>
            </w:r>
          </w:p>
        </w:tc>
        <w:tc>
          <w:tcPr>
            <w:tcW w:type="dxa" w:w="3264"/>
            <w:vAlign w:val="center"/>
            <w:tcMar>
              <w:top w:w="90" w:type="dxa"/>
              <w:start w:w="90" w:type="dxa"/>
              <w:bottom w:w="90" w:type="dxa"/>
              <w:end w:w="90" w:type="dxa"/>
            </w:tcMar>
          </w:tcPr>
          <w:p>
            <w:pPr>
              <w:spacing w:after="0"/>
            </w:pPr>
            <w:r>
              <w:rPr>
                <w:rFonts w:ascii="Arial" w:hAnsi="Arial"/>
                <w:sz w:val="18"/>
              </w:rPr>
              <w:t>Conversión analógica de 16 bits para señales de sensores.</w:t>
            </w:r>
          </w:p>
        </w:tc>
      </w:tr>
      <w:tr>
        <w:trPr>
          <w:cantSplit/>
        </w:trPr>
        <w:tc>
          <w:tcPr>
            <w:tcW w:type="dxa" w:w="3264"/>
            <w:vAlign w:val="center"/>
            <w:tcMar>
              <w:top w:w="90" w:type="dxa"/>
              <w:start w:w="90" w:type="dxa"/>
              <w:bottom w:w="90" w:type="dxa"/>
              <w:end w:w="90" w:type="dxa"/>
            </w:tcMar>
          </w:tcPr>
          <w:p>
            <w:pPr>
              <w:spacing w:after="0"/>
            </w:pPr>
            <w:r>
              <w:rPr>
                <w:rFonts w:ascii="Arial" w:hAnsi="Arial"/>
                <w:sz w:val="18"/>
              </w:rPr>
              <w:t>Documento técnico</w:t>
            </w:r>
          </w:p>
        </w:tc>
        <w:tc>
          <w:tcPr>
            <w:tcW w:type="dxa" w:w="3264"/>
            <w:vAlign w:val="center"/>
            <w:tcMar>
              <w:top w:w="90" w:type="dxa"/>
              <w:start w:w="90" w:type="dxa"/>
              <w:bottom w:w="90" w:type="dxa"/>
              <w:end w:w="90" w:type="dxa"/>
            </w:tcMar>
          </w:tcPr>
          <w:p>
            <w:pPr>
              <w:spacing w:after="0"/>
            </w:pPr>
            <w:r>
              <w:rPr>
                <w:rFonts w:ascii="Arial" w:hAnsi="Arial"/>
                <w:sz w:val="18"/>
              </w:rPr>
              <w:t>DFRobot SEN0244 [5]</w:t>
            </w:r>
          </w:p>
        </w:tc>
        <w:tc>
          <w:tcPr>
            <w:tcW w:type="dxa" w:w="3264"/>
            <w:vAlign w:val="center"/>
            <w:tcMar>
              <w:top w:w="90" w:type="dxa"/>
              <w:start w:w="90" w:type="dxa"/>
              <w:bottom w:w="90" w:type="dxa"/>
              <w:end w:w="90" w:type="dxa"/>
            </w:tcMar>
          </w:tcPr>
          <w:p>
            <w:pPr>
              <w:spacing w:after="0"/>
            </w:pPr>
            <w:r>
              <w:rPr>
                <w:rFonts w:ascii="Arial" w:hAnsi="Arial"/>
                <w:sz w:val="18"/>
              </w:rPr>
              <w:t>Rango y precisión de un sensor TDS económico aplicable a prototipos.</w:t>
            </w:r>
          </w:p>
        </w:tc>
      </w:tr>
      <w:tr>
        <w:trPr>
          <w:cantSplit/>
        </w:trPr>
        <w:tc>
          <w:tcPr>
            <w:tcW w:type="dxa" w:w="3264"/>
            <w:vAlign w:val="center"/>
            <w:tcMar>
              <w:top w:w="90" w:type="dxa"/>
              <w:start w:w="90" w:type="dxa"/>
              <w:bottom w:w="90" w:type="dxa"/>
              <w:end w:w="90" w:type="dxa"/>
            </w:tcMar>
          </w:tcPr>
          <w:p>
            <w:pPr>
              <w:spacing w:after="0"/>
            </w:pPr>
            <w:r>
              <w:rPr>
                <w:rFonts w:ascii="Arial" w:hAnsi="Arial"/>
                <w:sz w:val="18"/>
              </w:rPr>
              <w:t>Producto similar</w:t>
            </w:r>
          </w:p>
        </w:tc>
        <w:tc>
          <w:tcPr>
            <w:tcW w:type="dxa" w:w="3264"/>
            <w:vAlign w:val="center"/>
            <w:tcMar>
              <w:top w:w="90" w:type="dxa"/>
              <w:start w:w="90" w:type="dxa"/>
              <w:bottom w:w="90" w:type="dxa"/>
              <w:end w:w="90" w:type="dxa"/>
            </w:tcMar>
          </w:tcPr>
          <w:p>
            <w:pPr>
              <w:spacing w:after="0"/>
            </w:pPr>
            <w:r>
              <w:rPr>
                <w:rFonts w:ascii="Arial" w:hAnsi="Arial"/>
                <w:sz w:val="18"/>
              </w:rPr>
              <w:t>NIDO ONE V2 [6]</w:t>
            </w:r>
          </w:p>
        </w:tc>
        <w:tc>
          <w:tcPr>
            <w:tcW w:type="dxa" w:w="3264"/>
            <w:vAlign w:val="center"/>
            <w:tcMar>
              <w:top w:w="90" w:type="dxa"/>
              <w:start w:w="90" w:type="dxa"/>
              <w:bottom w:w="90" w:type="dxa"/>
              <w:end w:w="90" w:type="dxa"/>
            </w:tcMar>
          </w:tcPr>
          <w:p>
            <w:pPr>
              <w:spacing w:after="0"/>
            </w:pPr>
            <w:r>
              <w:rPr>
                <w:rFonts w:ascii="Arial" w:hAnsi="Arial"/>
                <w:sz w:val="18"/>
              </w:rPr>
              <w:t>Automatización comercial de pH, EC, fertirrigación, clima y dispositivos.</w:t>
            </w:r>
          </w:p>
        </w:tc>
      </w:tr>
      <w:tr>
        <w:trPr>
          <w:cantSplit/>
        </w:trPr>
        <w:tc>
          <w:tcPr>
            <w:tcW w:type="dxa" w:w="3264"/>
            <w:vAlign w:val="center"/>
            <w:tcMar>
              <w:top w:w="90" w:type="dxa"/>
              <w:start w:w="90" w:type="dxa"/>
              <w:bottom w:w="90" w:type="dxa"/>
              <w:end w:w="90" w:type="dxa"/>
            </w:tcMar>
          </w:tcPr>
          <w:p>
            <w:pPr>
              <w:spacing w:after="0"/>
            </w:pPr>
            <w:r>
              <w:rPr>
                <w:rFonts w:ascii="Arial" w:hAnsi="Arial"/>
                <w:sz w:val="18"/>
              </w:rPr>
              <w:t>Producto similar</w:t>
            </w:r>
          </w:p>
        </w:tc>
        <w:tc>
          <w:tcPr>
            <w:tcW w:type="dxa" w:w="3264"/>
            <w:vAlign w:val="center"/>
            <w:tcMar>
              <w:top w:w="90" w:type="dxa"/>
              <w:start w:w="90" w:type="dxa"/>
              <w:bottom w:w="90" w:type="dxa"/>
              <w:end w:w="90" w:type="dxa"/>
            </w:tcMar>
          </w:tcPr>
          <w:p>
            <w:pPr>
              <w:spacing w:after="0"/>
            </w:pPr>
            <w:r>
              <w:rPr>
                <w:rFonts w:ascii="Arial" w:hAnsi="Arial"/>
                <w:sz w:val="18"/>
              </w:rPr>
              <w:t>Growee Pro Combo [7]</w:t>
            </w:r>
          </w:p>
        </w:tc>
        <w:tc>
          <w:tcPr>
            <w:tcW w:type="dxa" w:w="3264"/>
            <w:vAlign w:val="center"/>
            <w:tcMar>
              <w:top w:w="90" w:type="dxa"/>
              <w:start w:w="90" w:type="dxa"/>
              <w:bottom w:w="90" w:type="dxa"/>
              <w:end w:w="90" w:type="dxa"/>
            </w:tcMar>
          </w:tcPr>
          <w:p>
            <w:pPr>
              <w:spacing w:after="0"/>
            </w:pPr>
            <w:r>
              <w:rPr>
                <w:rFonts w:ascii="Arial" w:hAnsi="Arial"/>
                <w:sz w:val="18"/>
              </w:rPr>
              <w:t>Dosificación automática de nutrientes y pH con aplicación e historial.</w:t>
            </w:r>
          </w:p>
        </w:tc>
      </w:tr>
      <w:tr>
        <w:trPr>
          <w:cantSplit/>
        </w:trPr>
        <w:tc>
          <w:tcPr>
            <w:tcW w:type="dxa" w:w="3264"/>
            <w:vAlign w:val="center"/>
            <w:tcMar>
              <w:top w:w="90" w:type="dxa"/>
              <w:start w:w="90" w:type="dxa"/>
              <w:bottom w:w="90" w:type="dxa"/>
              <w:end w:w="90" w:type="dxa"/>
            </w:tcMar>
          </w:tcPr>
          <w:p>
            <w:pPr>
              <w:spacing w:after="0"/>
            </w:pPr>
            <w:r>
              <w:rPr>
                <w:rFonts w:ascii="Arial" w:hAnsi="Arial"/>
                <w:sz w:val="18"/>
              </w:rPr>
              <w:t>Producto similar</w:t>
            </w:r>
          </w:p>
        </w:tc>
        <w:tc>
          <w:tcPr>
            <w:tcW w:type="dxa" w:w="3264"/>
            <w:vAlign w:val="center"/>
            <w:tcMar>
              <w:top w:w="90" w:type="dxa"/>
              <w:start w:w="90" w:type="dxa"/>
              <w:bottom w:w="90" w:type="dxa"/>
              <w:end w:w="90" w:type="dxa"/>
            </w:tcMar>
          </w:tcPr>
          <w:p>
            <w:pPr>
              <w:spacing w:after="0"/>
            </w:pPr>
            <w:r>
              <w:rPr>
                <w:rFonts w:ascii="Arial" w:hAnsi="Arial"/>
                <w:sz w:val="18"/>
              </w:rPr>
              <w:t>Bluelab IntelliDose [8]</w:t>
            </w:r>
          </w:p>
        </w:tc>
        <w:tc>
          <w:tcPr>
            <w:tcW w:type="dxa" w:w="3264"/>
            <w:vAlign w:val="center"/>
            <w:tcMar>
              <w:top w:w="90" w:type="dxa"/>
              <w:start w:w="90" w:type="dxa"/>
              <w:bottom w:w="90" w:type="dxa"/>
              <w:end w:w="90" w:type="dxa"/>
            </w:tcMar>
          </w:tcPr>
          <w:p>
            <w:pPr>
              <w:spacing w:after="0"/>
            </w:pPr>
            <w:r>
              <w:rPr>
                <w:rFonts w:ascii="Arial" w:hAnsi="Arial"/>
                <w:sz w:val="18"/>
              </w:rPr>
              <w:t>Referencia profesional de fertirrigación y dosificación peristáltica.</w:t>
            </w:r>
          </w:p>
        </w:tc>
      </w:tr>
    </w:tbl>
    <w:p>
      <w:pPr>
        <w:pStyle w:val="Heading1"/>
        <w:spacing w:before="160" w:after="80"/>
      </w:pPr>
      <w:r>
        <w:t>2. Artículos científicos</w:t>
      </w:r>
    </w:p>
    <w:p>
      <w:pPr>
        <w:pStyle w:val="Heading2"/>
        <w:spacing w:before="160" w:after="80"/>
      </w:pPr>
      <w:r>
        <w:t>2.1 Revisión de sistemas hidropónicos inteligentes</w:t>
      </w:r>
    </w:p>
    <w:p>
      <w:pPr>
        <w:spacing w:after="100" w:line="252" w:lineRule="auto"/>
      </w:pPr>
      <w:r>
        <w:t>Ahmed et al. revisaron 40 publicaciones relacionadas con sistemas hidropónicos y acuapónicos inteligentes. El trabajo identifica al IoT, IIoT, inteligencia artificial, middleware y análisis de datos como tecnologías importantes para integrar sensores, comunicación y control. También señala retos como el costo inicial, integración entre componentes, seguridad, privacidad y escalabilidad [1]. Para HydroMate, esta fuente respalda la arquitectura por capas: sensores y control local, comunicación, backend, almacenamiento y aplicación.</w:t>
      </w:r>
    </w:p>
    <w:p>
      <w:pPr>
        <w:pStyle w:val="Heading2"/>
        <w:spacing w:before="160" w:after="80"/>
      </w:pPr>
      <w:r>
        <w:t>2.2 Sistema vertical IoT con fertirrigación automática</w:t>
      </w:r>
    </w:p>
    <w:p>
      <w:pPr>
        <w:spacing w:after="100" w:line="252" w:lineRule="auto"/>
      </w:pPr>
      <w:r>
        <w:t>Bhat et al. desarrollaron y evaluaron un sistema hidropónico vertical basado en IoT capaz de regular riego, ambiente de crecimiento y requerimientos de nutrientes. El estudio comparó fertirrigación manual, un dosificador comercial y un dosificador IoT desarrollado por los autores. Para albahaca, el sistema IoT obtuvo 19 % más rendimiento y 18 % más eficiencia de uso del agua frente a la fertirrigación manual; además, el sistema vertical alcanzó una densidad de cultivo 5.46 veces mayor que el método tradicional usado en la comparación [2]. Estos resultados no garantizan que HydroMate obtenga las mismas mejoras, pero demuestran que la automatización de fertirrigación y el monitoreo remoto tienen utilidad experimental medible.</w:t>
      </w:r>
    </w:p>
    <w:p>
      <w:pPr>
        <w:pStyle w:val="Heading1"/>
        <w:spacing w:before="160" w:after="80"/>
      </w:pPr>
      <w:r>
        <w:t>3. Documentación técnica relevante</w:t>
      </w:r>
    </w:p>
    <w:p>
      <w:pPr>
        <w:pStyle w:val="Heading2"/>
        <w:spacing w:before="160" w:after="80"/>
      </w:pPr>
      <w:r>
        <w:t>3.1 ESP32 como sistema embebido</w:t>
      </w:r>
    </w:p>
    <w:p>
      <w:pPr>
        <w:spacing w:after="100" w:line="252" w:lineRule="auto"/>
      </w:pPr>
      <w:r>
        <w:t>El ESP32 integra conectividad Wi-Fi 802.11 b/g/n, Bluetooth, GPIO programables, interfaces I2C, SPI y UART, PWM y un ADC SAR de 12 bits [3]. Estas capacidades permiten centralizar lectura de sensores, control de bombas y luces, reglas de seguridad y comunicación con el backend. Para HydroMate se mantiene como requisito que las decisiones críticas funcionen localmente aunque falle Internet.</w:t>
      </w:r>
    </w:p>
    <w:p>
      <w:pPr>
        <w:pStyle w:val="Heading2"/>
        <w:spacing w:before="160" w:after="80"/>
      </w:pPr>
      <w:r>
        <w:t>3.2 Conversión analógica con ADS1115</w:t>
      </w:r>
    </w:p>
    <w:p>
      <w:pPr>
        <w:spacing w:after="100" w:line="252" w:lineRule="auto"/>
      </w:pPr>
      <w:r>
        <w:t>El ADS1115 es un ADC delta-sigma de 16 bits con cuatro entradas single-ended, interfaz I2C, amplificador de ganancia programable y hasta 860 muestras por segundo [4]. Se considera útil para señales analógicas como pH y TDS/EC porque ofrece mayor resolución de conversión que el ADC interno del ESP32. Sin embargo, una mayor resolución del ADC no corrige por sí sola errores de la sonda, calibración, ruido eléctrico o interferencia entre sensores.</w:t>
      </w:r>
    </w:p>
    <w:p>
      <w:pPr>
        <w:pStyle w:val="Heading2"/>
        <w:spacing w:before="160" w:after="80"/>
      </w:pPr>
      <w:r>
        <w:t>3.3 Sensor TDS económico y su limitación</w:t>
      </w:r>
    </w:p>
    <w:p>
      <w:pPr>
        <w:spacing w:after="100" w:line="252" w:lineRule="auto"/>
      </w:pPr>
      <w:r>
        <w:t>Como referencia de bajo costo, el DFRobot SEN0244 trabaja de 3.3 a 5.5 V, entrega una señal de 0 a 2.3 V, mide de 0 a 1000 ppm y reporta una precisión de ±10 % de escala completa a 25 °C [5]. El fabricante recomienda compensación por temperatura y calibración con una solución conocida. Este rango puede resultar limitado si el cultivo trabaja con concentraciones superiores a 1000 ppm, por lo que HydroMate deberá evaluar si conviene mantener TDS como indicador económico o migrar a un sensor de EC con mayor rango y mejor precisión.</w:t>
      </w:r>
    </w:p>
    <w:p>
      <w:pPr>
        <w:pStyle w:val="Heading1"/>
        <w:spacing w:before="160" w:after="80"/>
      </w:pPr>
      <w:r>
        <w:t>4. Productos y soluciones similares</w:t>
      </w:r>
    </w:p>
    <w:p>
      <w:pPr>
        <w:pStyle w:val="Heading2"/>
        <w:spacing w:before="160" w:after="80"/>
      </w:pPr>
      <w:r>
        <w:t>4.1 NIDO ONE V2</w:t>
      </w:r>
    </w:p>
    <w:p>
      <w:pPr>
        <w:spacing w:after="100" w:line="252" w:lineRule="auto"/>
      </w:pPr>
      <w:r>
        <w:t>NIDO ONE V2 es un controlador comercial de fertirrigación para hidroponía, aeroponía y riego por goteo. Mide pH, EC, temperatura del agua, temperatura y humedad ambiental, y VPD. Permite hasta cuatro entradas configurables para fertilizantes y correctores, incluyendo A+B+pH+ +pH-. También puede automatizar riego, luces, humidificadores, calefactores y otros dispositivos mediante módulos adicionales [6].</w:t>
      </w:r>
    </w:p>
    <w:p>
      <w:pPr>
        <w:spacing w:after="100" w:line="252" w:lineRule="auto"/>
      </w:pPr>
      <w:r>
        <w:t>El fabricante publica una precisión de ±0.05 pH, ±0.05 mS para EC y ±0.5 °C para temperatura del agua. Utiliza Wi-Fi, NIDO App y NIDO Lab; la app permite recetas, objetivos y alertas, mientras que NIDO Lab agrega histórico amplio, reportes y API de lectura. Si se pierde Internet, las automatizaciones continúan y los datos se almacenan localmente hasta recuperar conexión [6]. Su precio publicado comienza alrededor de 1,490 EUR.</w:t>
      </w:r>
    </w:p>
    <w:p>
      <w:pPr>
        <w:pStyle w:val="Heading2"/>
        <w:spacing w:before="160" w:after="80"/>
      </w:pPr>
      <w:r>
        <w:t>4.2 Growee Pro Combo</w:t>
      </w:r>
    </w:p>
    <w:p>
      <w:pPr>
        <w:spacing w:after="100" w:line="252" w:lineRule="auto"/>
      </w:pPr>
      <w:r>
        <w:t>Growee Pro Combo está orientado al control automático del depósito. Incluye cuatro bombas para nutrientes y dos bombas para corrección de pH, con control de pH Up y pH Down. Monitoriza pH, EC y temperatura del agua y permite configurar un rango objetivo de EC/PPM para realizar dosificación automática [7]. Se comunica por Wi-Fi o Ethernet y utiliza la Growee App con gráficas e historial de mediciones.</w:t>
      </w:r>
    </w:p>
    <w:p>
      <w:pPr>
        <w:spacing w:after="100" w:line="252" w:lineRule="auto"/>
      </w:pPr>
      <w:r>
        <w:t>Growee publica valores de aproximadamente ±0.1 para pH y EC en las especificaciones de sus sondas, y temperatura del agua alrededor de ±1 °C según la versión [7]. La documentación comercial mezcla los términos resolución y tolerancia en algunas páginas, por lo que estos valores no se interpretan aquí como una certificación metrológica. El precio publicado del Pro Combo es aproximadamente 1,250 USD [7].</w:t>
      </w:r>
    </w:p>
    <w:p>
      <w:pPr>
        <w:pStyle w:val="Heading2"/>
        <w:spacing w:before="160" w:after="80"/>
      </w:pPr>
      <w:r>
        <w:t>4.3 Bluelab IntelliDose como referencia profesional</w:t>
      </w:r>
    </w:p>
    <w:p>
      <w:pPr>
        <w:spacing w:after="100" w:line="252" w:lineRule="auto"/>
      </w:pPr>
      <w:r>
        <w:t>Bluelab IntelliDose es un controlador profesional para pH, conductividad, temperatura, dosificación y fertirrigación. Puede trabajar con bombas peristálticas externas de distintos caudales y manejar mezclas de hasta nueve partes o dedicar algunas salidas a estaciones de riego [8]. El acceso remoto requiere hardware/software adicional de Bluelab. El controlador se publica alrededor de 1,499 USD antes de agregar todos los accesorios necesarios. Se usa aquí como referencia de un sistema profesional, no como competidor de precio directo del prototipo.</w:t>
      </w:r>
    </w:p>
    <w:p>
      <w:pPr>
        <w:pStyle w:val="Heading1"/>
        <w:spacing w:before="160" w:after="80"/>
      </w:pPr>
      <w:r>
        <w:t>5. Tabla comparativa de soluciones existentes</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264"/>
            <w:vAlign w:val="center"/>
            <w:tcMar>
              <w:top w:w="90" w:type="dxa"/>
              <w:start w:w="90" w:type="dxa"/>
              <w:bottom w:w="90" w:type="dxa"/>
              <w:end w:w="90" w:type="dxa"/>
            </w:tcMar>
            <w:shd w:fill="E7E6E6"/>
          </w:tcPr>
          <w:p>
            <w:pPr>
              <w:spacing w:after="0"/>
            </w:pPr>
            <w:r>
              <w:rPr>
                <w:rFonts w:ascii="Arial" w:hAnsi="Arial"/>
                <w:b/>
                <w:sz w:val="17"/>
              </w:rPr>
              <w:t>Aspecto</w:t>
            </w:r>
          </w:p>
        </w:tc>
        <w:tc>
          <w:tcPr>
            <w:tcW w:type="dxa" w:w="3264"/>
            <w:vAlign w:val="center"/>
            <w:tcMar>
              <w:top w:w="90" w:type="dxa"/>
              <w:start w:w="90" w:type="dxa"/>
              <w:bottom w:w="90" w:type="dxa"/>
              <w:end w:w="90" w:type="dxa"/>
            </w:tcMar>
            <w:shd w:fill="E7E6E6"/>
          </w:tcPr>
          <w:p>
            <w:pPr>
              <w:spacing w:after="0"/>
            </w:pPr>
            <w:r>
              <w:rPr>
                <w:rFonts w:ascii="Arial" w:hAnsi="Arial"/>
                <w:b/>
                <w:sz w:val="17"/>
              </w:rPr>
              <w:t>NIDO ONE V2 [6]</w:t>
            </w:r>
          </w:p>
        </w:tc>
        <w:tc>
          <w:tcPr>
            <w:tcW w:type="dxa" w:w="3264"/>
            <w:vAlign w:val="center"/>
            <w:tcMar>
              <w:top w:w="90" w:type="dxa"/>
              <w:start w:w="90" w:type="dxa"/>
              <w:bottom w:w="90" w:type="dxa"/>
              <w:end w:w="90" w:type="dxa"/>
            </w:tcMar>
            <w:shd w:fill="E7E6E6"/>
          </w:tcPr>
          <w:p>
            <w:pPr>
              <w:spacing w:after="0"/>
            </w:pPr>
            <w:r>
              <w:rPr>
                <w:rFonts w:ascii="Arial" w:hAnsi="Arial"/>
                <w:b/>
                <w:sz w:val="17"/>
              </w:rPr>
              <w:t>Growee Pro Combo [7]</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Funciones</w:t>
            </w:r>
          </w:p>
        </w:tc>
        <w:tc>
          <w:tcPr>
            <w:tcW w:type="dxa" w:w="3264"/>
            <w:vAlign w:val="center"/>
            <w:tcMar>
              <w:top w:w="90" w:type="dxa"/>
              <w:start w:w="90" w:type="dxa"/>
              <w:bottom w:w="90" w:type="dxa"/>
              <w:end w:w="90" w:type="dxa"/>
            </w:tcMar>
          </w:tcPr>
          <w:p>
            <w:pPr>
              <w:spacing w:after="0"/>
            </w:pPr>
            <w:r>
              <w:rPr>
                <w:rFonts w:ascii="Arial" w:hAnsi="Arial"/>
                <w:sz w:val="17"/>
              </w:rPr>
              <w:t>pH/EC, fertirrigación, riego, clima y control de dispositivos; hasta 4 canales configurables.</w:t>
            </w:r>
          </w:p>
        </w:tc>
        <w:tc>
          <w:tcPr>
            <w:tcW w:type="dxa" w:w="3264"/>
            <w:vAlign w:val="center"/>
            <w:tcMar>
              <w:top w:w="90" w:type="dxa"/>
              <w:start w:w="90" w:type="dxa"/>
              <w:bottom w:w="90" w:type="dxa"/>
              <w:end w:w="90" w:type="dxa"/>
            </w:tcMar>
          </w:tcPr>
          <w:p>
            <w:pPr>
              <w:spacing w:after="0"/>
            </w:pPr>
            <w:r>
              <w:rPr>
                <w:rFonts w:ascii="Arial" w:hAnsi="Arial"/>
                <w:sz w:val="17"/>
              </w:rPr>
              <w:t>pH/EC/temperatura, 4 canales de nutrientes y 2 de pH; dosificación automática.</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Hardware y software</w:t>
            </w:r>
          </w:p>
        </w:tc>
        <w:tc>
          <w:tcPr>
            <w:tcW w:type="dxa" w:w="3264"/>
            <w:vAlign w:val="center"/>
            <w:tcMar>
              <w:top w:w="90" w:type="dxa"/>
              <w:start w:w="90" w:type="dxa"/>
              <w:bottom w:w="90" w:type="dxa"/>
              <w:end w:w="90" w:type="dxa"/>
            </w:tcMar>
          </w:tcPr>
          <w:p>
            <w:pPr>
              <w:spacing w:after="0"/>
            </w:pPr>
            <w:r>
              <w:rPr>
                <w:rFonts w:ascii="Arial" w:hAnsi="Arial"/>
                <w:sz w:val="17"/>
              </w:rPr>
              <w:t>Controlador propietario, sondas digitales, bombas internas, NIDO Plug; NIDO App y NIDO Lab.</w:t>
            </w:r>
          </w:p>
        </w:tc>
        <w:tc>
          <w:tcPr>
            <w:tcW w:type="dxa" w:w="3264"/>
            <w:vAlign w:val="center"/>
            <w:tcMar>
              <w:top w:w="90" w:type="dxa"/>
              <w:start w:w="90" w:type="dxa"/>
              <w:bottom w:w="90" w:type="dxa"/>
              <w:end w:w="90" w:type="dxa"/>
            </w:tcMar>
          </w:tcPr>
          <w:p>
            <w:pPr>
              <w:spacing w:after="0"/>
            </w:pPr>
            <w:r>
              <w:rPr>
                <w:rFonts w:ascii="Arial" w:hAnsi="Arial"/>
                <w:sz w:val="17"/>
              </w:rPr>
              <w:t>Hydro Master, sondas pH/EC/temp., bombas dosificadoras; Growee App.</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Comunicación y almacenamiento</w:t>
            </w:r>
          </w:p>
        </w:tc>
        <w:tc>
          <w:tcPr>
            <w:tcW w:type="dxa" w:w="3264"/>
            <w:vAlign w:val="center"/>
            <w:tcMar>
              <w:top w:w="90" w:type="dxa"/>
              <w:start w:w="90" w:type="dxa"/>
              <w:bottom w:w="90" w:type="dxa"/>
              <w:end w:w="90" w:type="dxa"/>
            </w:tcMar>
          </w:tcPr>
          <w:p>
            <w:pPr>
              <w:spacing w:after="0"/>
            </w:pPr>
            <w:r>
              <w:rPr>
                <w:rFonts w:ascii="Arial" w:hAnsi="Arial"/>
                <w:sz w:val="17"/>
              </w:rPr>
              <w:t>Wi-Fi; App con histórico de 7 días; NIDO Lab con histórico ampliado y API de lectura. Automatización local si falla Internet.</w:t>
            </w:r>
          </w:p>
        </w:tc>
        <w:tc>
          <w:tcPr>
            <w:tcW w:type="dxa" w:w="3264"/>
            <w:vAlign w:val="center"/>
            <w:tcMar>
              <w:top w:w="90" w:type="dxa"/>
              <w:start w:w="90" w:type="dxa"/>
              <w:bottom w:w="90" w:type="dxa"/>
              <w:end w:w="90" w:type="dxa"/>
            </w:tcMar>
          </w:tcPr>
          <w:p>
            <w:pPr>
              <w:spacing w:after="0"/>
            </w:pPr>
            <w:r>
              <w:rPr>
                <w:rFonts w:ascii="Arial" w:hAnsi="Arial"/>
                <w:sz w:val="17"/>
              </w:rPr>
              <w:t>Wi-Fi 2.4 GHz o Ethernet; app e historial de mediciones publicado como ilimitado.</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Precisión / desempeño reportado</w:t>
            </w:r>
          </w:p>
        </w:tc>
        <w:tc>
          <w:tcPr>
            <w:tcW w:type="dxa" w:w="3264"/>
            <w:vAlign w:val="center"/>
            <w:tcMar>
              <w:top w:w="90" w:type="dxa"/>
              <w:start w:w="90" w:type="dxa"/>
              <w:bottom w:w="90" w:type="dxa"/>
              <w:end w:w="90" w:type="dxa"/>
            </w:tcMar>
          </w:tcPr>
          <w:p>
            <w:pPr>
              <w:spacing w:after="0"/>
            </w:pPr>
            <w:r>
              <w:rPr>
                <w:rFonts w:ascii="Arial" w:hAnsi="Arial"/>
                <w:sz w:val="17"/>
              </w:rPr>
              <w:t>pH ±0.05; EC ±0.05 mS; temp. agua ±0.5 °C; 96 verificaciones diarias.</w:t>
            </w:r>
          </w:p>
        </w:tc>
        <w:tc>
          <w:tcPr>
            <w:tcW w:type="dxa" w:w="3264"/>
            <w:vAlign w:val="center"/>
            <w:tcMar>
              <w:top w:w="90" w:type="dxa"/>
              <w:start w:w="90" w:type="dxa"/>
              <w:bottom w:w="90" w:type="dxa"/>
              <w:end w:w="90" w:type="dxa"/>
            </w:tcMar>
          </w:tcPr>
          <w:p>
            <w:pPr>
              <w:spacing w:after="0"/>
            </w:pPr>
            <w:r>
              <w:rPr>
                <w:rFonts w:ascii="Arial" w:hAnsi="Arial"/>
                <w:sz w:val="17"/>
              </w:rPr>
              <w:t>Publica pH ~±0.1, EC ~±0.1 y temp. ~±1 °C según la sonda/controlador; no se encontró precisión publicada de cada bomba.</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Costo publicado</w:t>
            </w:r>
          </w:p>
        </w:tc>
        <w:tc>
          <w:tcPr>
            <w:tcW w:type="dxa" w:w="3264"/>
            <w:vAlign w:val="center"/>
            <w:tcMar>
              <w:top w:w="90" w:type="dxa"/>
              <w:start w:w="90" w:type="dxa"/>
              <w:bottom w:w="90" w:type="dxa"/>
              <w:end w:w="90" w:type="dxa"/>
            </w:tcMar>
          </w:tcPr>
          <w:p>
            <w:pPr>
              <w:spacing w:after="0"/>
            </w:pPr>
            <w:r>
              <w:rPr>
                <w:rFonts w:ascii="Arial" w:hAnsi="Arial"/>
                <w:sz w:val="17"/>
              </w:rPr>
              <w:t>Desde ~1,490 EUR.</w:t>
            </w:r>
          </w:p>
        </w:tc>
        <w:tc>
          <w:tcPr>
            <w:tcW w:type="dxa" w:w="3264"/>
            <w:vAlign w:val="center"/>
            <w:tcMar>
              <w:top w:w="90" w:type="dxa"/>
              <w:start w:w="90" w:type="dxa"/>
              <w:bottom w:w="90" w:type="dxa"/>
              <w:end w:w="90" w:type="dxa"/>
            </w:tcMar>
          </w:tcPr>
          <w:p>
            <w:pPr>
              <w:spacing w:after="0"/>
            </w:pPr>
            <w:r>
              <w:rPr>
                <w:rFonts w:ascii="Arial" w:hAnsi="Arial"/>
                <w:sz w:val="17"/>
              </w:rPr>
              <w:t>~1,250 USD para Pro Combo.</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Ventajas</w:t>
            </w:r>
          </w:p>
        </w:tc>
        <w:tc>
          <w:tcPr>
            <w:tcW w:type="dxa" w:w="3264"/>
            <w:vAlign w:val="center"/>
            <w:tcMar>
              <w:top w:w="90" w:type="dxa"/>
              <w:start w:w="90" w:type="dxa"/>
              <w:bottom w:w="90" w:type="dxa"/>
              <w:end w:w="90" w:type="dxa"/>
            </w:tcMar>
          </w:tcPr>
          <w:p>
            <w:pPr>
              <w:spacing w:after="0"/>
            </w:pPr>
            <w:r>
              <w:rPr>
                <w:rFonts w:ascii="Arial" w:hAnsi="Arial"/>
                <w:sz w:val="17"/>
              </w:rPr>
              <w:t>Muy integrado, preciso, escalable, mantiene automatización sin Internet, controla también clima y luces.</w:t>
            </w:r>
          </w:p>
        </w:tc>
        <w:tc>
          <w:tcPr>
            <w:tcW w:type="dxa" w:w="3264"/>
            <w:vAlign w:val="center"/>
            <w:tcMar>
              <w:top w:w="90" w:type="dxa"/>
              <w:start w:w="90" w:type="dxa"/>
              <w:bottom w:w="90" w:type="dxa"/>
              <w:end w:w="90" w:type="dxa"/>
            </w:tcMar>
          </w:tcPr>
          <w:p>
            <w:pPr>
              <w:spacing w:after="0"/>
            </w:pPr>
            <w:r>
              <w:rPr>
                <w:rFonts w:ascii="Arial" w:hAnsi="Arial"/>
                <w:sz w:val="17"/>
              </w:rPr>
              <w:t>Especializado en dosificación, mayor número de canales, app sencilla, Wi-Fi/Ethernet e historial.</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Limitaciones</w:t>
            </w:r>
          </w:p>
        </w:tc>
        <w:tc>
          <w:tcPr>
            <w:tcW w:type="dxa" w:w="3264"/>
            <w:vAlign w:val="center"/>
            <w:tcMar>
              <w:top w:w="90" w:type="dxa"/>
              <w:start w:w="90" w:type="dxa"/>
              <w:bottom w:w="90" w:type="dxa"/>
              <w:end w:w="90" w:type="dxa"/>
            </w:tcMar>
          </w:tcPr>
          <w:p>
            <w:pPr>
              <w:spacing w:after="0"/>
            </w:pPr>
            <w:r>
              <w:rPr>
                <w:rFonts w:ascii="Arial" w:hAnsi="Arial"/>
                <w:sz w:val="17"/>
              </w:rPr>
              <w:t>Costo alto para prototipo doméstico; hardware y algoritmos internos propietarios; algunas funciones requieren módulos/suscripción.</w:t>
            </w:r>
          </w:p>
        </w:tc>
        <w:tc>
          <w:tcPr>
            <w:tcW w:type="dxa" w:w="3264"/>
            <w:vAlign w:val="center"/>
            <w:tcMar>
              <w:top w:w="90" w:type="dxa"/>
              <w:start w:w="90" w:type="dxa"/>
              <w:bottom w:w="90" w:type="dxa"/>
              <w:end w:w="90" w:type="dxa"/>
            </w:tcMar>
          </w:tcPr>
          <w:p>
            <w:pPr>
              <w:spacing w:after="0"/>
            </w:pPr>
            <w:r>
              <w:rPr>
                <w:rFonts w:ascii="Arial" w:hAnsi="Arial"/>
                <w:sz w:val="17"/>
              </w:rPr>
              <w:t>No incluye una torre física ni se encontró control de iluminación integrado equivalente; detalles internos y precisión de bombas no son públicos.</w:t>
            </w:r>
          </w:p>
        </w:tc>
      </w:tr>
    </w:tbl>
    <w:p>
      <w:pPr>
        <w:spacing w:after="100" w:line="252" w:lineRule="auto"/>
      </w:pPr>
      <w:r>
        <w:t>La comparación se limita a información publicada por los fabricantes. No se encontró información pública suficiente para comparar microcontroladores internos, esquemas electrónicos completos, algoritmos de dosificación, estructura de la base de datos ni precisión volumétrica de todas las bombas. Por esa razón, esos campos no se estiman.</w:t>
      </w:r>
    </w:p>
    <w:p>
      <w:pPr>
        <w:pStyle w:val="Heading1"/>
        <w:spacing w:before="160" w:after="80"/>
      </w:pPr>
      <w:r>
        <w:t>6. Aporte y diferencia propuesta de HydroMate</w:t>
      </w:r>
    </w:p>
    <w:p>
      <w:pPr>
        <w:spacing w:after="100" w:line="252" w:lineRule="auto"/>
      </w:pPr>
      <w:r>
        <w:t>La investigación muestra que varias funciones planeadas para HydroMate ya existen en productos comerciales. NIDO incluso incluye recetas de cultivo y Growee permite definir objetivos y datos de alimentación, por lo que la creación de perfiles no debe presentarse como una función completamente inédita. El aporte de HydroMate se plantea en la integración y adaptación al tipo de usuario del proyecto.</w:t>
      </w:r>
    </w:p>
    <w:p>
      <w:pPr>
        <w:pStyle w:val="ListBullet"/>
        <w:spacing w:after="40"/>
      </w:pPr>
      <w:r>
        <w:t>Integrar en un mismo prototipo la torre vertical, sensores, riego, iluminación y dosificación, en lugar de vender únicamente el controlador del depósito.</w:t>
      </w:r>
    </w:p>
    <w:p>
      <w:pPr>
        <w:pStyle w:val="ListBullet"/>
        <w:spacing w:after="40"/>
      </w:pPr>
      <w:r>
        <w:t>Utilizar ESP32 y componentes comerciales reemplazables para mantener el costo, mantenimiento y reparación al alcance de un usuario doméstico o pequeño productor.</w:t>
      </w:r>
    </w:p>
    <w:p>
      <w:pPr>
        <w:pStyle w:val="ListBullet"/>
        <w:spacing w:after="40"/>
      </w:pPr>
      <w:r>
        <w:t>Mantener control local de seguridad, riego, iluminación y dosificación aunque falle Internet.</w:t>
      </w:r>
    </w:p>
    <w:p>
      <w:pPr>
        <w:pStyle w:val="ListBullet"/>
        <w:spacing w:after="40"/>
      </w:pPr>
      <w:r>
        <w:t>Ofrecer perfiles predeterminados y perfiles creados por el usuario que puedan modificar de forma conjunta pH, EC/TDS, riego, iluminación, temperatura, límites de dosificación y alertas.</w:t>
      </w:r>
    </w:p>
    <w:p>
      <w:pPr>
        <w:pStyle w:val="ListBullet"/>
        <w:spacing w:after="40"/>
      </w:pPr>
      <w:r>
        <w:t>Permitir que el esquema de nutrientes sea configurable: un solo nutriente o varios canales. Para el prototipo puede usarse A+B, pero el software no debe quedar amarrado a una marca o formulación específica.</w:t>
      </w:r>
    </w:p>
    <w:p>
      <w:pPr>
        <w:pStyle w:val="ListBullet"/>
        <w:spacing w:after="40"/>
      </w:pPr>
      <w:r>
        <w:t>Registrar no solo mediciones, sino también acciones automáticas: qué bomba actuó, cuánto se estimó dosificar, por qué regla se activó y cuál fue la lectura posterior.</w:t>
      </w:r>
    </w:p>
    <w:p>
      <w:pPr>
        <w:spacing w:after="100" w:line="252" w:lineRule="auto"/>
      </w:pPr>
      <w:r>
        <w:t>Por lo tanto, el punto fuerte de venta no es únicamente “tener perfiles”, sino ofrecer una plataforma de automatización hidropónica integrada, de bajo costo y configurable, donde esos perfiles gobiernen el comportamiento completo del sistema.</w:t>
      </w:r>
    </w:p>
    <w:p>
      <w:pPr>
        <w:pStyle w:val="Heading1"/>
        <w:spacing w:before="160" w:after="80"/>
      </w:pPr>
      <w:r>
        <w:t>7. Conocimientos y tecnologías que deberán investigarse</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264"/>
            <w:vAlign w:val="center"/>
            <w:tcMar>
              <w:top w:w="90" w:type="dxa"/>
              <w:start w:w="90" w:type="dxa"/>
              <w:bottom w:w="90" w:type="dxa"/>
              <w:end w:w="90" w:type="dxa"/>
            </w:tcMar>
            <w:shd w:fill="E7E6E6"/>
          </w:tcPr>
          <w:p>
            <w:pPr>
              <w:spacing w:after="0"/>
            </w:pPr>
            <w:r>
              <w:rPr>
                <w:rFonts w:ascii="Arial" w:hAnsi="Arial"/>
                <w:b/>
                <w:sz w:val="17"/>
              </w:rPr>
              <w:t>Tema</w:t>
            </w:r>
          </w:p>
        </w:tc>
        <w:tc>
          <w:tcPr>
            <w:tcW w:type="dxa" w:w="3264"/>
            <w:vAlign w:val="center"/>
            <w:tcMar>
              <w:top w:w="90" w:type="dxa"/>
              <w:start w:w="90" w:type="dxa"/>
              <w:bottom w:w="90" w:type="dxa"/>
              <w:end w:w="90" w:type="dxa"/>
            </w:tcMar>
            <w:shd w:fill="E7E6E6"/>
          </w:tcPr>
          <w:p>
            <w:pPr>
              <w:spacing w:after="0"/>
            </w:pPr>
            <w:r>
              <w:rPr>
                <w:rFonts w:ascii="Arial" w:hAnsi="Arial"/>
                <w:b/>
                <w:sz w:val="17"/>
              </w:rPr>
              <w:t>Qué debe investigarse</w:t>
            </w:r>
          </w:p>
        </w:tc>
        <w:tc>
          <w:tcPr>
            <w:tcW w:type="dxa" w:w="3264"/>
            <w:vAlign w:val="center"/>
            <w:tcMar>
              <w:top w:w="90" w:type="dxa"/>
              <w:start w:w="90" w:type="dxa"/>
              <w:bottom w:w="90" w:type="dxa"/>
              <w:end w:w="90" w:type="dxa"/>
            </w:tcMar>
            <w:shd w:fill="E7E6E6"/>
          </w:tcPr>
          <w:p>
            <w:pPr>
              <w:spacing w:after="0"/>
            </w:pPr>
            <w:r>
              <w:rPr>
                <w:rFonts w:ascii="Arial" w:hAnsi="Arial"/>
                <w:b/>
                <w:sz w:val="17"/>
              </w:rPr>
              <w:t>Prioridad</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pH y EC/TDS</w:t>
            </w:r>
          </w:p>
        </w:tc>
        <w:tc>
          <w:tcPr>
            <w:tcW w:type="dxa" w:w="3264"/>
            <w:vAlign w:val="center"/>
            <w:tcMar>
              <w:top w:w="90" w:type="dxa"/>
              <w:start w:w="90" w:type="dxa"/>
              <w:bottom w:w="90" w:type="dxa"/>
              <w:end w:w="90" w:type="dxa"/>
            </w:tcMar>
          </w:tcPr>
          <w:p>
            <w:pPr>
              <w:spacing w:after="0"/>
            </w:pPr>
            <w:r>
              <w:rPr>
                <w:rFonts w:ascii="Arial" w:hAnsi="Arial"/>
                <w:sz w:val="17"/>
              </w:rPr>
              <w:t>Calibración, compensación por temperatura, deriva, mantenimiento, rango adecuado para chiles y comparación TDS vs EC.</w:t>
            </w:r>
          </w:p>
        </w:tc>
        <w:tc>
          <w:tcPr>
            <w:tcW w:type="dxa" w:w="3264"/>
            <w:vAlign w:val="center"/>
            <w:tcMar>
              <w:top w:w="90" w:type="dxa"/>
              <w:start w:w="90" w:type="dxa"/>
              <w:bottom w:w="90" w:type="dxa"/>
              <w:end w:w="90" w:type="dxa"/>
            </w:tcMar>
          </w:tcPr>
          <w:p>
            <w:pPr>
              <w:spacing w:after="0"/>
            </w:pPr>
            <w:r>
              <w:rPr>
                <w:rFonts w:ascii="Arial" w:hAnsi="Arial"/>
                <w:sz w:val="17"/>
              </w:rPr>
              <w:t>Alta</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Dosificación peristáltica</w:t>
            </w:r>
          </w:p>
        </w:tc>
        <w:tc>
          <w:tcPr>
            <w:tcW w:type="dxa" w:w="3264"/>
            <w:vAlign w:val="center"/>
            <w:tcMar>
              <w:top w:w="90" w:type="dxa"/>
              <w:start w:w="90" w:type="dxa"/>
              <w:bottom w:w="90" w:type="dxa"/>
              <w:end w:w="90" w:type="dxa"/>
            </w:tcMar>
          </w:tcPr>
          <w:p>
            <w:pPr>
              <w:spacing w:after="0"/>
            </w:pPr>
            <w:r>
              <w:rPr>
                <w:rFonts w:ascii="Arial" w:hAnsi="Arial"/>
                <w:sz w:val="17"/>
              </w:rPr>
              <w:t>Calibración en mL/s, repetibilidad, desgaste de tubo, antirretorno, sifonado y compatibilidad química.</w:t>
            </w:r>
          </w:p>
        </w:tc>
        <w:tc>
          <w:tcPr>
            <w:tcW w:type="dxa" w:w="3264"/>
            <w:vAlign w:val="center"/>
            <w:tcMar>
              <w:top w:w="90" w:type="dxa"/>
              <w:start w:w="90" w:type="dxa"/>
              <w:bottom w:w="90" w:type="dxa"/>
              <w:end w:w="90" w:type="dxa"/>
            </w:tcMar>
          </w:tcPr>
          <w:p>
            <w:pPr>
              <w:spacing w:after="0"/>
            </w:pPr>
            <w:r>
              <w:rPr>
                <w:rFonts w:ascii="Arial" w:hAnsi="Arial"/>
                <w:sz w:val="17"/>
              </w:rPr>
              <w:t>Alta</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Control automático</w:t>
            </w:r>
          </w:p>
        </w:tc>
        <w:tc>
          <w:tcPr>
            <w:tcW w:type="dxa" w:w="3264"/>
            <w:vAlign w:val="center"/>
            <w:tcMar>
              <w:top w:w="90" w:type="dxa"/>
              <w:start w:w="90" w:type="dxa"/>
              <w:bottom w:w="90" w:type="dxa"/>
              <w:end w:w="90" w:type="dxa"/>
            </w:tcMar>
          </w:tcPr>
          <w:p>
            <w:pPr>
              <w:spacing w:after="0"/>
            </w:pPr>
            <w:r>
              <w:rPr>
                <w:rFonts w:ascii="Arial" w:hAnsi="Arial"/>
                <w:sz w:val="17"/>
              </w:rPr>
              <w:t>Zona muerta, dosis máximas, tiempo de mezcla, relectura, límites por hora/día y estado seguro ante sensor inválido.</w:t>
            </w:r>
          </w:p>
        </w:tc>
        <w:tc>
          <w:tcPr>
            <w:tcW w:type="dxa" w:w="3264"/>
            <w:vAlign w:val="center"/>
            <w:tcMar>
              <w:top w:w="90" w:type="dxa"/>
              <w:start w:w="90" w:type="dxa"/>
              <w:bottom w:w="90" w:type="dxa"/>
              <w:end w:w="90" w:type="dxa"/>
            </w:tcMar>
          </w:tcPr>
          <w:p>
            <w:pPr>
              <w:spacing w:after="0"/>
            </w:pPr>
            <w:r>
              <w:rPr>
                <w:rFonts w:ascii="Arial" w:hAnsi="Arial"/>
                <w:sz w:val="17"/>
              </w:rPr>
              <w:t>Alta</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Iluminación</w:t>
            </w:r>
          </w:p>
        </w:tc>
        <w:tc>
          <w:tcPr>
            <w:tcW w:type="dxa" w:w="3264"/>
            <w:vAlign w:val="center"/>
            <w:tcMar>
              <w:top w:w="90" w:type="dxa"/>
              <w:start w:w="90" w:type="dxa"/>
              <w:bottom w:w="90" w:type="dxa"/>
              <w:end w:w="90" w:type="dxa"/>
            </w:tcMar>
          </w:tcPr>
          <w:p>
            <w:pPr>
              <w:spacing w:after="0"/>
            </w:pPr>
            <w:r>
              <w:rPr>
                <w:rFonts w:ascii="Arial" w:hAnsi="Arial"/>
                <w:sz w:val="17"/>
              </w:rPr>
              <w:t>Fotocelda/LDR vs sensor digital de lux, fotoperiodo, umbral de luz natural y control de lámparas.</w:t>
            </w:r>
          </w:p>
        </w:tc>
        <w:tc>
          <w:tcPr>
            <w:tcW w:type="dxa" w:w="3264"/>
            <w:vAlign w:val="center"/>
            <w:tcMar>
              <w:top w:w="90" w:type="dxa"/>
              <w:start w:w="90" w:type="dxa"/>
              <w:bottom w:w="90" w:type="dxa"/>
              <w:end w:w="90" w:type="dxa"/>
            </w:tcMar>
          </w:tcPr>
          <w:p>
            <w:pPr>
              <w:spacing w:after="0"/>
            </w:pPr>
            <w:r>
              <w:rPr>
                <w:rFonts w:ascii="Arial" w:hAnsi="Arial"/>
                <w:sz w:val="17"/>
              </w:rPr>
              <w:t>Alta</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ESP32 / ESP-IDF</w:t>
            </w:r>
          </w:p>
        </w:tc>
        <w:tc>
          <w:tcPr>
            <w:tcW w:type="dxa" w:w="3264"/>
            <w:vAlign w:val="center"/>
            <w:tcMar>
              <w:top w:w="90" w:type="dxa"/>
              <w:start w:w="90" w:type="dxa"/>
              <w:bottom w:w="90" w:type="dxa"/>
              <w:end w:w="90" w:type="dxa"/>
            </w:tcMar>
          </w:tcPr>
          <w:p>
            <w:pPr>
              <w:spacing w:after="0"/>
            </w:pPr>
            <w:r>
              <w:rPr>
                <w:rFonts w:ascii="Arial" w:hAnsi="Arial"/>
                <w:sz w:val="17"/>
              </w:rPr>
              <w:t>GPIO, ADC, I2C, tareas/temporizadores, watchdog, almacenamiento local y reconexión Wi-Fi.</w:t>
            </w:r>
          </w:p>
        </w:tc>
        <w:tc>
          <w:tcPr>
            <w:tcW w:type="dxa" w:w="3264"/>
            <w:vAlign w:val="center"/>
            <w:tcMar>
              <w:top w:w="90" w:type="dxa"/>
              <w:start w:w="90" w:type="dxa"/>
              <w:bottom w:w="90" w:type="dxa"/>
              <w:end w:w="90" w:type="dxa"/>
            </w:tcMar>
          </w:tcPr>
          <w:p>
            <w:pPr>
              <w:spacing w:after="0"/>
            </w:pPr>
            <w:r>
              <w:rPr>
                <w:rFonts w:ascii="Arial" w:hAnsi="Arial"/>
                <w:sz w:val="17"/>
              </w:rPr>
              <w:t>Alta</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Adquisición analógica</w:t>
            </w:r>
          </w:p>
        </w:tc>
        <w:tc>
          <w:tcPr>
            <w:tcW w:type="dxa" w:w="3264"/>
            <w:vAlign w:val="center"/>
            <w:tcMar>
              <w:top w:w="90" w:type="dxa"/>
              <w:start w:w="90" w:type="dxa"/>
              <w:bottom w:w="90" w:type="dxa"/>
              <w:end w:w="90" w:type="dxa"/>
            </w:tcMar>
          </w:tcPr>
          <w:p>
            <w:pPr>
              <w:spacing w:after="0"/>
            </w:pPr>
            <w:r>
              <w:rPr>
                <w:rFonts w:ascii="Arial" w:hAnsi="Arial"/>
                <w:sz w:val="17"/>
              </w:rPr>
              <w:t>ADS1115, acondicionamiento, ruido de bomba/MOSFET, filtrado y posible aislamiento de pH/EC.</w:t>
            </w:r>
          </w:p>
        </w:tc>
        <w:tc>
          <w:tcPr>
            <w:tcW w:type="dxa" w:w="3264"/>
            <w:vAlign w:val="center"/>
            <w:tcMar>
              <w:top w:w="90" w:type="dxa"/>
              <w:start w:w="90" w:type="dxa"/>
              <w:bottom w:w="90" w:type="dxa"/>
              <w:end w:w="90" w:type="dxa"/>
            </w:tcMar>
          </w:tcPr>
          <w:p>
            <w:pPr>
              <w:spacing w:after="0"/>
            </w:pPr>
            <w:r>
              <w:rPr>
                <w:rFonts w:ascii="Arial" w:hAnsi="Arial"/>
                <w:sz w:val="17"/>
              </w:rPr>
              <w:t>Alta</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Comunicación IoT</w:t>
            </w:r>
          </w:p>
        </w:tc>
        <w:tc>
          <w:tcPr>
            <w:tcW w:type="dxa" w:w="3264"/>
            <w:vAlign w:val="center"/>
            <w:tcMar>
              <w:top w:w="90" w:type="dxa"/>
              <w:start w:w="90" w:type="dxa"/>
              <w:bottom w:w="90" w:type="dxa"/>
              <w:end w:w="90" w:type="dxa"/>
            </w:tcMar>
          </w:tcPr>
          <w:p>
            <w:pPr>
              <w:spacing w:after="0"/>
            </w:pPr>
            <w:r>
              <w:rPr>
                <w:rFonts w:ascii="Arial" w:hAnsi="Arial"/>
                <w:sz w:val="17"/>
              </w:rPr>
              <w:t>MQTT vs HTTPS, calidad de servicio, reconexión, sincronización y funcionamiento offline.</w:t>
            </w:r>
          </w:p>
        </w:tc>
        <w:tc>
          <w:tcPr>
            <w:tcW w:type="dxa" w:w="3264"/>
            <w:vAlign w:val="center"/>
            <w:tcMar>
              <w:top w:w="90" w:type="dxa"/>
              <w:start w:w="90" w:type="dxa"/>
              <w:bottom w:w="90" w:type="dxa"/>
              <w:end w:w="90" w:type="dxa"/>
            </w:tcMar>
          </w:tcPr>
          <w:p>
            <w:pPr>
              <w:spacing w:after="0"/>
            </w:pPr>
            <w:r>
              <w:rPr>
                <w:rFonts w:ascii="Arial" w:hAnsi="Arial"/>
                <w:sz w:val="17"/>
              </w:rPr>
              <w:t>Media</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Backend y base de datos</w:t>
            </w:r>
          </w:p>
        </w:tc>
        <w:tc>
          <w:tcPr>
            <w:tcW w:type="dxa" w:w="3264"/>
            <w:vAlign w:val="center"/>
            <w:tcMar>
              <w:top w:w="90" w:type="dxa"/>
              <w:start w:w="90" w:type="dxa"/>
              <w:bottom w:w="90" w:type="dxa"/>
              <w:end w:w="90" w:type="dxa"/>
            </w:tcMar>
          </w:tcPr>
          <w:p>
            <w:pPr>
              <w:spacing w:after="0"/>
            </w:pPr>
            <w:r>
              <w:rPr>
                <w:rFonts w:ascii="Arial" w:hAnsi="Arial"/>
                <w:sz w:val="17"/>
              </w:rPr>
              <w:t>API, modelo de datos, históricos, eventos de dosificación, alertas y múltiples torres/zonas.</w:t>
            </w:r>
          </w:p>
        </w:tc>
        <w:tc>
          <w:tcPr>
            <w:tcW w:type="dxa" w:w="3264"/>
            <w:vAlign w:val="center"/>
            <w:tcMar>
              <w:top w:w="90" w:type="dxa"/>
              <w:start w:w="90" w:type="dxa"/>
              <w:bottom w:w="90" w:type="dxa"/>
              <w:end w:w="90" w:type="dxa"/>
            </w:tcMar>
          </w:tcPr>
          <w:p>
            <w:pPr>
              <w:spacing w:after="0"/>
            </w:pPr>
            <w:r>
              <w:rPr>
                <w:rFonts w:ascii="Arial" w:hAnsi="Arial"/>
                <w:sz w:val="17"/>
              </w:rPr>
              <w:t>Media</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Perfiles de cultivo</w:t>
            </w:r>
          </w:p>
        </w:tc>
        <w:tc>
          <w:tcPr>
            <w:tcW w:type="dxa" w:w="3264"/>
            <w:vAlign w:val="center"/>
            <w:tcMar>
              <w:top w:w="90" w:type="dxa"/>
              <w:start w:w="90" w:type="dxa"/>
              <w:bottom w:w="90" w:type="dxa"/>
              <w:end w:w="90" w:type="dxa"/>
            </w:tcMar>
          </w:tcPr>
          <w:p>
            <w:pPr>
              <w:spacing w:after="0"/>
            </w:pPr>
            <w:r>
              <w:rPr>
                <w:rFonts w:ascii="Arial" w:hAnsi="Arial"/>
                <w:sz w:val="17"/>
              </w:rPr>
              <w:t>Modelo de datos, valores por etapa, parámetros editables, validación de límites y versionado de perfiles.</w:t>
            </w:r>
          </w:p>
        </w:tc>
        <w:tc>
          <w:tcPr>
            <w:tcW w:type="dxa" w:w="3264"/>
            <w:vAlign w:val="center"/>
            <w:tcMar>
              <w:top w:w="90" w:type="dxa"/>
              <w:start w:w="90" w:type="dxa"/>
              <w:bottom w:w="90" w:type="dxa"/>
              <w:end w:w="90" w:type="dxa"/>
            </w:tcMar>
          </w:tcPr>
          <w:p>
            <w:pPr>
              <w:spacing w:after="0"/>
            </w:pPr>
            <w:r>
              <w:rPr>
                <w:rFonts w:ascii="Arial" w:hAnsi="Arial"/>
                <w:sz w:val="17"/>
              </w:rPr>
              <w:t>Alta</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Frontend móvil/web</w:t>
            </w:r>
          </w:p>
        </w:tc>
        <w:tc>
          <w:tcPr>
            <w:tcW w:type="dxa" w:w="3264"/>
            <w:vAlign w:val="center"/>
            <w:tcMar>
              <w:top w:w="90" w:type="dxa"/>
              <w:start w:w="90" w:type="dxa"/>
              <w:bottom w:w="90" w:type="dxa"/>
              <w:end w:w="90" w:type="dxa"/>
            </w:tcMar>
          </w:tcPr>
          <w:p>
            <w:pPr>
              <w:spacing w:after="0"/>
            </w:pPr>
            <w:r>
              <w:rPr>
                <w:rFonts w:ascii="Arial" w:hAnsi="Arial"/>
                <w:sz w:val="17"/>
              </w:rPr>
              <w:t>Visualización de estado, edición de perfiles, gráficas, alertas y controles manuales seguros.</w:t>
            </w:r>
          </w:p>
        </w:tc>
        <w:tc>
          <w:tcPr>
            <w:tcW w:type="dxa" w:w="3264"/>
            <w:vAlign w:val="center"/>
            <w:tcMar>
              <w:top w:w="90" w:type="dxa"/>
              <w:start w:w="90" w:type="dxa"/>
              <w:bottom w:w="90" w:type="dxa"/>
              <w:end w:w="90" w:type="dxa"/>
            </w:tcMar>
          </w:tcPr>
          <w:p>
            <w:pPr>
              <w:spacing w:after="0"/>
            </w:pPr>
            <w:r>
              <w:rPr>
                <w:rFonts w:ascii="Arial" w:hAnsi="Arial"/>
                <w:sz w:val="17"/>
              </w:rPr>
              <w:t>Media</w:t>
            </w:r>
          </w:p>
        </w:tc>
      </w:tr>
      <w:tr>
        <w:trPr>
          <w:cantSplit/>
        </w:trPr>
        <w:tc>
          <w:tcPr>
            <w:tcW w:type="dxa" w:w="3264"/>
            <w:vAlign w:val="center"/>
            <w:tcMar>
              <w:top w:w="90" w:type="dxa"/>
              <w:start w:w="90" w:type="dxa"/>
              <w:bottom w:w="90" w:type="dxa"/>
              <w:end w:w="90" w:type="dxa"/>
            </w:tcMar>
          </w:tcPr>
          <w:p>
            <w:pPr>
              <w:spacing w:after="0"/>
            </w:pPr>
            <w:r>
              <w:rPr>
                <w:rFonts w:ascii="Arial" w:hAnsi="Arial"/>
                <w:sz w:val="17"/>
              </w:rPr>
              <w:t>Seguridad eléctrica</w:t>
            </w:r>
          </w:p>
        </w:tc>
        <w:tc>
          <w:tcPr>
            <w:tcW w:type="dxa" w:w="3264"/>
            <w:vAlign w:val="center"/>
            <w:tcMar>
              <w:top w:w="90" w:type="dxa"/>
              <w:start w:w="90" w:type="dxa"/>
              <w:bottom w:w="90" w:type="dxa"/>
              <w:end w:w="90" w:type="dxa"/>
            </w:tcMar>
          </w:tcPr>
          <w:p>
            <w:pPr>
              <w:spacing w:after="0"/>
            </w:pPr>
            <w:r>
              <w:rPr>
                <w:rFonts w:ascii="Arial" w:hAnsi="Arial"/>
                <w:sz w:val="17"/>
              </w:rPr>
              <w:t>Fuente 24/12/5 V, MOSFETs, fusibles, puesta a tierra, separación de potencia/señal y protección cerca del agua.</w:t>
            </w:r>
          </w:p>
        </w:tc>
        <w:tc>
          <w:tcPr>
            <w:tcW w:type="dxa" w:w="3264"/>
            <w:vAlign w:val="center"/>
            <w:tcMar>
              <w:top w:w="90" w:type="dxa"/>
              <w:start w:w="90" w:type="dxa"/>
              <w:bottom w:w="90" w:type="dxa"/>
              <w:end w:w="90" w:type="dxa"/>
            </w:tcMar>
          </w:tcPr>
          <w:p>
            <w:pPr>
              <w:spacing w:after="0"/>
            </w:pPr>
            <w:r>
              <w:rPr>
                <w:rFonts w:ascii="Arial" w:hAnsi="Arial"/>
                <w:sz w:val="17"/>
              </w:rPr>
              <w:t>Alta</w:t>
            </w:r>
          </w:p>
        </w:tc>
      </w:tr>
    </w:tbl>
    <w:p>
      <w:pPr>
        <w:pStyle w:val="Heading1"/>
        <w:spacing w:before="160" w:after="80"/>
      </w:pPr>
      <w:r>
        <w:t>8. Actualización de la bitácora de retroalimentación</w:t>
      </w:r>
    </w:p>
    <w:tbl>
      <w:tblPr>
        <w:tblStyle w:val="TableGrid"/>
        <w:tblW w:type="auto" w:w="0"/>
        <w:jc w:val="center"/>
        <w:tblLook w:firstColumn="1" w:firstRow="1" w:lastColumn="0" w:lastRow="0" w:noHBand="0" w:noVBand="1" w:val="04A0"/>
      </w:tblPr>
      <w:tblGrid>
        <w:gridCol w:w="2448"/>
        <w:gridCol w:w="2448"/>
        <w:gridCol w:w="2448"/>
        <w:gridCol w:w="2448"/>
      </w:tblGrid>
      <w:tr>
        <w:trPr>
          <w:cantSplit/>
        </w:trPr>
        <w:tc>
          <w:tcPr>
            <w:tcW w:type="dxa" w:w="2448"/>
            <w:vAlign w:val="center"/>
            <w:tcMar>
              <w:top w:w="90" w:type="dxa"/>
              <w:start w:w="90" w:type="dxa"/>
              <w:bottom w:w="90" w:type="dxa"/>
              <w:end w:w="90" w:type="dxa"/>
            </w:tcMar>
            <w:shd w:fill="E7E6E6"/>
          </w:tcPr>
          <w:p>
            <w:pPr>
              <w:spacing w:after="0"/>
            </w:pPr>
            <w:r>
              <w:rPr>
                <w:rFonts w:ascii="Arial" w:hAnsi="Arial"/>
                <w:b/>
                <w:sz w:val="16"/>
              </w:rPr>
              <w:t>Fecha</w:t>
            </w:r>
          </w:p>
        </w:tc>
        <w:tc>
          <w:tcPr>
            <w:tcW w:type="dxa" w:w="2448"/>
            <w:vAlign w:val="center"/>
            <w:tcMar>
              <w:top w:w="90" w:type="dxa"/>
              <w:start w:w="90" w:type="dxa"/>
              <w:bottom w:w="90" w:type="dxa"/>
              <w:end w:w="90" w:type="dxa"/>
            </w:tcMar>
            <w:shd w:fill="E7E6E6"/>
          </w:tcPr>
          <w:p>
            <w:pPr>
              <w:spacing w:after="0"/>
            </w:pPr>
            <w:r>
              <w:rPr>
                <w:rFonts w:ascii="Arial" w:hAnsi="Arial"/>
                <w:b/>
                <w:sz w:val="16"/>
              </w:rPr>
              <w:t>Origen</w:t>
            </w:r>
          </w:p>
        </w:tc>
        <w:tc>
          <w:tcPr>
            <w:tcW w:type="dxa" w:w="2448"/>
            <w:vAlign w:val="center"/>
            <w:tcMar>
              <w:top w:w="90" w:type="dxa"/>
              <w:start w:w="90" w:type="dxa"/>
              <w:bottom w:w="90" w:type="dxa"/>
              <w:end w:w="90" w:type="dxa"/>
            </w:tcMar>
            <w:shd w:fill="E7E6E6"/>
          </w:tcPr>
          <w:p>
            <w:pPr>
              <w:spacing w:after="0"/>
            </w:pPr>
            <w:r>
              <w:rPr>
                <w:rFonts w:ascii="Arial" w:hAnsi="Arial"/>
                <w:b/>
                <w:sz w:val="16"/>
              </w:rPr>
              <w:t>Retroalimentación / hallazgo</w:t>
            </w:r>
          </w:p>
        </w:tc>
        <w:tc>
          <w:tcPr>
            <w:tcW w:type="dxa" w:w="2448"/>
            <w:vAlign w:val="center"/>
            <w:tcMar>
              <w:top w:w="90" w:type="dxa"/>
              <w:start w:w="90" w:type="dxa"/>
              <w:bottom w:w="90" w:type="dxa"/>
              <w:end w:w="90" w:type="dxa"/>
            </w:tcMar>
            <w:shd w:fill="E7E6E6"/>
          </w:tcPr>
          <w:p>
            <w:pPr>
              <w:spacing w:after="0"/>
            </w:pPr>
            <w:r>
              <w:rPr>
                <w:rFonts w:ascii="Arial" w:hAnsi="Arial"/>
                <w:b/>
                <w:sz w:val="16"/>
              </w:rPr>
              <w:t>Cambio aplicado</w:t>
            </w:r>
          </w:p>
        </w:tc>
      </w:tr>
      <w:tr>
        <w:trPr>
          <w:cantSplit/>
        </w:trPr>
        <w:tc>
          <w:tcPr>
            <w:tcW w:type="dxa" w:w="2448"/>
            <w:vAlign w:val="center"/>
            <w:tcMar>
              <w:top w:w="90" w:type="dxa"/>
              <w:start w:w="90" w:type="dxa"/>
              <w:bottom w:w="90" w:type="dxa"/>
              <w:end w:w="90" w:type="dxa"/>
            </w:tcMar>
          </w:tcPr>
          <w:p>
            <w:pPr>
              <w:spacing w:after="0"/>
            </w:pPr>
            <w:r>
              <w:rPr>
                <w:rFonts w:ascii="Arial" w:hAnsi="Arial"/>
                <w:sz w:val="16"/>
              </w:rPr>
              <w:t>26-08-2026</w:t>
            </w:r>
          </w:p>
        </w:tc>
        <w:tc>
          <w:tcPr>
            <w:tcW w:type="dxa" w:w="2448"/>
            <w:vAlign w:val="center"/>
            <w:tcMar>
              <w:top w:w="90" w:type="dxa"/>
              <w:start w:w="90" w:type="dxa"/>
              <w:bottom w:w="90" w:type="dxa"/>
              <w:end w:w="90" w:type="dxa"/>
            </w:tcMar>
          </w:tcPr>
          <w:p>
            <w:pPr>
              <w:spacing w:after="0"/>
            </w:pPr>
            <w:r>
              <w:rPr>
                <w:rFonts w:ascii="Arial" w:hAnsi="Arial"/>
                <w:sz w:val="16"/>
              </w:rPr>
              <w:t>Planeación inicial</w:t>
            </w:r>
          </w:p>
        </w:tc>
        <w:tc>
          <w:tcPr>
            <w:tcW w:type="dxa" w:w="2448"/>
            <w:vAlign w:val="center"/>
            <w:tcMar>
              <w:top w:w="90" w:type="dxa"/>
              <w:start w:w="90" w:type="dxa"/>
              <w:bottom w:w="90" w:type="dxa"/>
              <w:end w:w="90" w:type="dxa"/>
            </w:tcMar>
          </w:tcPr>
          <w:p>
            <w:pPr>
              <w:spacing w:after="0"/>
            </w:pPr>
            <w:r>
              <w:rPr>
                <w:rFonts w:ascii="Arial" w:hAnsi="Arial"/>
                <w:sz w:val="16"/>
              </w:rPr>
              <w:t>El alcance inicial dejaba nutrientes y pH como corrección manual asistida.</w:t>
            </w:r>
          </w:p>
        </w:tc>
        <w:tc>
          <w:tcPr>
            <w:tcW w:type="dxa" w:w="2448"/>
            <w:vAlign w:val="center"/>
            <w:tcMar>
              <w:top w:w="90" w:type="dxa"/>
              <w:start w:w="90" w:type="dxa"/>
              <w:bottom w:w="90" w:type="dxa"/>
              <w:end w:w="90" w:type="dxa"/>
            </w:tcMar>
          </w:tcPr>
          <w:p>
            <w:pPr>
              <w:spacing w:after="0"/>
            </w:pPr>
            <w:r>
              <w:rPr>
                <w:rFonts w:ascii="Arial" w:hAnsi="Arial"/>
                <w:sz w:val="16"/>
              </w:rPr>
              <w:t>Se mantuvo el monitoreo y riego como base mientras se evaluaba la dificultad de dosificar.</w:t>
            </w:r>
          </w:p>
        </w:tc>
      </w:tr>
      <w:tr>
        <w:trPr>
          <w:cantSplit/>
        </w:trPr>
        <w:tc>
          <w:tcPr>
            <w:tcW w:type="dxa" w:w="2448"/>
            <w:vAlign w:val="center"/>
            <w:tcMar>
              <w:top w:w="90" w:type="dxa"/>
              <w:start w:w="90" w:type="dxa"/>
              <w:bottom w:w="90" w:type="dxa"/>
              <w:end w:w="90" w:type="dxa"/>
            </w:tcMar>
          </w:tcPr>
          <w:p>
            <w:pPr>
              <w:spacing w:after="0"/>
            </w:pPr>
            <w:r>
              <w:rPr>
                <w:rFonts w:ascii="Arial" w:hAnsi="Arial"/>
                <w:sz w:val="16"/>
              </w:rPr>
              <w:t>01-09-2026</w:t>
            </w:r>
          </w:p>
        </w:tc>
        <w:tc>
          <w:tcPr>
            <w:tcW w:type="dxa" w:w="2448"/>
            <w:vAlign w:val="center"/>
            <w:tcMar>
              <w:top w:w="90" w:type="dxa"/>
              <w:start w:w="90" w:type="dxa"/>
              <w:bottom w:w="90" w:type="dxa"/>
              <w:end w:w="90" w:type="dxa"/>
            </w:tcMar>
          </w:tcPr>
          <w:p>
            <w:pPr>
              <w:spacing w:after="0"/>
            </w:pPr>
            <w:r>
              <w:rPr>
                <w:rFonts w:ascii="Arial" w:hAnsi="Arial"/>
                <w:sz w:val="16"/>
              </w:rPr>
              <w:t>Revisión de alcance</w:t>
            </w:r>
          </w:p>
        </w:tc>
        <w:tc>
          <w:tcPr>
            <w:tcW w:type="dxa" w:w="2448"/>
            <w:vAlign w:val="center"/>
            <w:tcMar>
              <w:top w:w="90" w:type="dxa"/>
              <w:start w:w="90" w:type="dxa"/>
              <w:bottom w:w="90" w:type="dxa"/>
              <w:end w:w="90" w:type="dxa"/>
            </w:tcMar>
          </w:tcPr>
          <w:p>
            <w:pPr>
              <w:spacing w:after="0"/>
            </w:pPr>
            <w:r>
              <w:rPr>
                <w:rFonts w:ascii="Arial" w:hAnsi="Arial"/>
                <w:sz w:val="16"/>
              </w:rPr>
              <w:t>La automatización completa sí formará parte de HydroMate.</w:t>
            </w:r>
          </w:p>
        </w:tc>
        <w:tc>
          <w:tcPr>
            <w:tcW w:type="dxa" w:w="2448"/>
            <w:vAlign w:val="center"/>
            <w:tcMar>
              <w:top w:w="90" w:type="dxa"/>
              <w:start w:w="90" w:type="dxa"/>
              <w:bottom w:w="90" w:type="dxa"/>
              <w:end w:w="90" w:type="dxa"/>
            </w:tcMar>
          </w:tcPr>
          <w:p>
            <w:pPr>
              <w:spacing w:after="0"/>
            </w:pPr>
            <w:r>
              <w:rPr>
                <w:rFonts w:ascii="Arial" w:hAnsi="Arial"/>
                <w:sz w:val="16"/>
              </w:rPr>
              <w:t>Se agregaron iluminación automática, fotocelda y actuadores de dosificación de nutrientes y pH Up/Down.</w:t>
            </w:r>
          </w:p>
        </w:tc>
      </w:tr>
      <w:tr>
        <w:trPr>
          <w:cantSplit/>
        </w:trPr>
        <w:tc>
          <w:tcPr>
            <w:tcW w:type="dxa" w:w="2448"/>
            <w:vAlign w:val="center"/>
            <w:tcMar>
              <w:top w:w="90" w:type="dxa"/>
              <w:start w:w="90" w:type="dxa"/>
              <w:bottom w:w="90" w:type="dxa"/>
              <w:end w:w="90" w:type="dxa"/>
            </w:tcMar>
          </w:tcPr>
          <w:p>
            <w:pPr>
              <w:spacing w:after="0"/>
            </w:pPr>
            <w:r>
              <w:rPr>
                <w:rFonts w:ascii="Arial" w:hAnsi="Arial"/>
                <w:sz w:val="16"/>
              </w:rPr>
              <w:t>01-09-2026</w:t>
            </w:r>
          </w:p>
        </w:tc>
        <w:tc>
          <w:tcPr>
            <w:tcW w:type="dxa" w:w="2448"/>
            <w:vAlign w:val="center"/>
            <w:tcMar>
              <w:top w:w="90" w:type="dxa"/>
              <w:start w:w="90" w:type="dxa"/>
              <w:bottom w:w="90" w:type="dxa"/>
              <w:end w:w="90" w:type="dxa"/>
            </w:tcMar>
          </w:tcPr>
          <w:p>
            <w:pPr>
              <w:spacing w:after="0"/>
            </w:pPr>
            <w:r>
              <w:rPr>
                <w:rFonts w:ascii="Arial" w:hAnsi="Arial"/>
                <w:sz w:val="16"/>
              </w:rPr>
              <w:t>Revisión de aplicación</w:t>
            </w:r>
          </w:p>
        </w:tc>
        <w:tc>
          <w:tcPr>
            <w:tcW w:type="dxa" w:w="2448"/>
            <w:vAlign w:val="center"/>
            <w:tcMar>
              <w:top w:w="90" w:type="dxa"/>
              <w:start w:w="90" w:type="dxa"/>
              <w:bottom w:w="90" w:type="dxa"/>
              <w:end w:w="90" w:type="dxa"/>
            </w:tcMar>
          </w:tcPr>
          <w:p>
            <w:pPr>
              <w:spacing w:after="0"/>
            </w:pPr>
            <w:r>
              <w:rPr>
                <w:rFonts w:ascii="Arial" w:hAnsi="Arial"/>
                <w:sz w:val="16"/>
              </w:rPr>
              <w:t>Los perfiles de cultivo serán una parte central del uso del sistema.</w:t>
            </w:r>
          </w:p>
        </w:tc>
        <w:tc>
          <w:tcPr>
            <w:tcW w:type="dxa" w:w="2448"/>
            <w:vAlign w:val="center"/>
            <w:tcMar>
              <w:top w:w="90" w:type="dxa"/>
              <w:start w:w="90" w:type="dxa"/>
              <w:bottom w:w="90" w:type="dxa"/>
              <w:end w:w="90" w:type="dxa"/>
            </w:tcMar>
          </w:tcPr>
          <w:p>
            <w:pPr>
              <w:spacing w:after="0"/>
            </w:pPr>
            <w:r>
              <w:rPr>
                <w:rFonts w:ascii="Arial" w:hAnsi="Arial"/>
                <w:sz w:val="16"/>
              </w:rPr>
              <w:t>Se definieron perfiles predeterminados y perfiles personalizados que pueden controlar rangos, riego, luz, dosificación y alertas.</w:t>
            </w:r>
          </w:p>
        </w:tc>
      </w:tr>
      <w:tr>
        <w:trPr>
          <w:cantSplit/>
        </w:trPr>
        <w:tc>
          <w:tcPr>
            <w:tcW w:type="dxa" w:w="2448"/>
            <w:vAlign w:val="center"/>
            <w:tcMar>
              <w:top w:w="90" w:type="dxa"/>
              <w:start w:w="90" w:type="dxa"/>
              <w:bottom w:w="90" w:type="dxa"/>
              <w:end w:w="90" w:type="dxa"/>
            </w:tcMar>
          </w:tcPr>
          <w:p>
            <w:pPr>
              <w:spacing w:after="0"/>
            </w:pPr>
            <w:r>
              <w:rPr>
                <w:rFonts w:ascii="Arial" w:hAnsi="Arial"/>
                <w:sz w:val="16"/>
              </w:rPr>
              <w:t>02-09-2026</w:t>
            </w:r>
          </w:p>
        </w:tc>
        <w:tc>
          <w:tcPr>
            <w:tcW w:type="dxa" w:w="2448"/>
            <w:vAlign w:val="center"/>
            <w:tcMar>
              <w:top w:w="90" w:type="dxa"/>
              <w:start w:w="90" w:type="dxa"/>
              <w:bottom w:w="90" w:type="dxa"/>
              <w:end w:w="90" w:type="dxa"/>
            </w:tcMar>
          </w:tcPr>
          <w:p>
            <w:pPr>
              <w:spacing w:after="0"/>
            </w:pPr>
            <w:r>
              <w:rPr>
                <w:rFonts w:ascii="Arial" w:hAnsi="Arial"/>
                <w:sz w:val="16"/>
              </w:rPr>
              <w:t>Revisión de nutrientes</w:t>
            </w:r>
          </w:p>
        </w:tc>
        <w:tc>
          <w:tcPr>
            <w:tcW w:type="dxa" w:w="2448"/>
            <w:vAlign w:val="center"/>
            <w:tcMar>
              <w:top w:w="90" w:type="dxa"/>
              <w:start w:w="90" w:type="dxa"/>
              <w:bottom w:w="90" w:type="dxa"/>
              <w:end w:w="90" w:type="dxa"/>
            </w:tcMar>
          </w:tcPr>
          <w:p>
            <w:pPr>
              <w:spacing w:after="0"/>
            </w:pPr>
            <w:r>
              <w:rPr>
                <w:rFonts w:ascii="Arial" w:hAnsi="Arial"/>
                <w:sz w:val="16"/>
              </w:rPr>
              <w:t>No todos los fertilizantes requieren exactamente dos soluciones A+B.</w:t>
            </w:r>
          </w:p>
        </w:tc>
        <w:tc>
          <w:tcPr>
            <w:tcW w:type="dxa" w:w="2448"/>
            <w:vAlign w:val="center"/>
            <w:tcMar>
              <w:top w:w="90" w:type="dxa"/>
              <w:start w:w="90" w:type="dxa"/>
              <w:bottom w:w="90" w:type="dxa"/>
              <w:end w:w="90" w:type="dxa"/>
            </w:tcMar>
          </w:tcPr>
          <w:p>
            <w:pPr>
              <w:spacing w:after="0"/>
            </w:pPr>
            <w:r>
              <w:rPr>
                <w:rFonts w:ascii="Arial" w:hAnsi="Arial"/>
                <w:sz w:val="16"/>
              </w:rPr>
              <w:t>La arquitectura se plantea con canales de nutrientes configurables; A+B queda como configuración posible del prototipo, no como requisito universal.</w:t>
            </w:r>
          </w:p>
        </w:tc>
      </w:tr>
      <w:tr>
        <w:trPr>
          <w:cantSplit/>
        </w:trPr>
        <w:tc>
          <w:tcPr>
            <w:tcW w:type="dxa" w:w="2448"/>
            <w:vAlign w:val="center"/>
            <w:tcMar>
              <w:top w:w="90" w:type="dxa"/>
              <w:start w:w="90" w:type="dxa"/>
              <w:bottom w:w="90" w:type="dxa"/>
              <w:end w:w="90" w:type="dxa"/>
            </w:tcMar>
          </w:tcPr>
          <w:p>
            <w:pPr>
              <w:spacing w:after="0"/>
            </w:pPr>
            <w:r>
              <w:rPr>
                <w:rFonts w:ascii="Arial" w:hAnsi="Arial"/>
                <w:sz w:val="16"/>
              </w:rPr>
              <w:t>02-09-2026</w:t>
            </w:r>
          </w:p>
        </w:tc>
        <w:tc>
          <w:tcPr>
            <w:tcW w:type="dxa" w:w="2448"/>
            <w:vAlign w:val="center"/>
            <w:tcMar>
              <w:top w:w="90" w:type="dxa"/>
              <w:start w:w="90" w:type="dxa"/>
              <w:bottom w:w="90" w:type="dxa"/>
              <w:end w:w="90" w:type="dxa"/>
            </w:tcMar>
          </w:tcPr>
          <w:p>
            <w:pPr>
              <w:spacing w:after="0"/>
            </w:pPr>
            <w:r>
              <w:rPr>
                <w:rFonts w:ascii="Arial" w:hAnsi="Arial"/>
                <w:sz w:val="16"/>
              </w:rPr>
              <w:t>Investigación de competencia</w:t>
            </w:r>
          </w:p>
        </w:tc>
        <w:tc>
          <w:tcPr>
            <w:tcW w:type="dxa" w:w="2448"/>
            <w:vAlign w:val="center"/>
            <w:tcMar>
              <w:top w:w="90" w:type="dxa"/>
              <w:start w:w="90" w:type="dxa"/>
              <w:bottom w:w="90" w:type="dxa"/>
              <w:end w:w="90" w:type="dxa"/>
            </w:tcMar>
          </w:tcPr>
          <w:p>
            <w:pPr>
              <w:spacing w:after="0"/>
            </w:pPr>
            <w:r>
              <w:rPr>
                <w:rFonts w:ascii="Arial" w:hAnsi="Arial"/>
                <w:sz w:val="16"/>
              </w:rPr>
              <w:t>NIDO ya ofrece recetas y Growee permite configurar objetivos/alimentación; los perfiles por sí solos no son exclusivos.</w:t>
            </w:r>
          </w:p>
        </w:tc>
        <w:tc>
          <w:tcPr>
            <w:tcW w:type="dxa" w:w="2448"/>
            <w:vAlign w:val="center"/>
            <w:tcMar>
              <w:top w:w="90" w:type="dxa"/>
              <w:start w:w="90" w:type="dxa"/>
              <w:bottom w:w="90" w:type="dxa"/>
              <w:end w:w="90" w:type="dxa"/>
            </w:tcMar>
          </w:tcPr>
          <w:p>
            <w:pPr>
              <w:spacing w:after="0"/>
            </w:pPr>
            <w:r>
              <w:rPr>
                <w:rFonts w:ascii="Arial" w:hAnsi="Arial"/>
                <w:sz w:val="16"/>
              </w:rPr>
              <w:t>El diferenciador se redefine como integración de torre + automatización + perfiles amplios + bajo costo + hardware reemplazable y control local.</w:t>
            </w:r>
          </w:p>
        </w:tc>
      </w:tr>
      <w:tr>
        <w:trPr>
          <w:cantSplit/>
        </w:trPr>
        <w:tc>
          <w:tcPr>
            <w:tcW w:type="dxa" w:w="2448"/>
            <w:vAlign w:val="center"/>
            <w:tcMar>
              <w:top w:w="90" w:type="dxa"/>
              <w:start w:w="90" w:type="dxa"/>
              <w:bottom w:w="90" w:type="dxa"/>
              <w:end w:w="90" w:type="dxa"/>
            </w:tcMar>
          </w:tcPr>
          <w:p>
            <w:pPr>
              <w:spacing w:after="0"/>
            </w:pPr>
            <w:r>
              <w:rPr>
                <w:rFonts w:ascii="Arial" w:hAnsi="Arial"/>
                <w:sz w:val="16"/>
              </w:rPr>
              <w:t>Pendiente</w:t>
            </w:r>
          </w:p>
        </w:tc>
        <w:tc>
          <w:tcPr>
            <w:tcW w:type="dxa" w:w="2448"/>
            <w:vAlign w:val="center"/>
            <w:tcMar>
              <w:top w:w="90" w:type="dxa"/>
              <w:start w:w="90" w:type="dxa"/>
              <w:bottom w:w="90" w:type="dxa"/>
              <w:end w:w="90" w:type="dxa"/>
            </w:tcMar>
          </w:tcPr>
          <w:p>
            <w:pPr>
              <w:spacing w:after="0"/>
            </w:pPr>
            <w:r>
              <w:rPr>
                <w:rFonts w:ascii="Arial" w:hAnsi="Arial"/>
                <w:sz w:val="16"/>
              </w:rPr>
              <w:t>Docente / compañeros</w:t>
            </w:r>
          </w:p>
        </w:tc>
        <w:tc>
          <w:tcPr>
            <w:tcW w:type="dxa" w:w="2448"/>
            <w:vAlign w:val="center"/>
            <w:tcMar>
              <w:top w:w="90" w:type="dxa"/>
              <w:start w:w="90" w:type="dxa"/>
              <w:bottom w:w="90" w:type="dxa"/>
              <w:end w:w="90" w:type="dxa"/>
            </w:tcMar>
          </w:tcPr>
          <w:p>
            <w:pPr>
              <w:spacing w:after="0"/>
            </w:pPr>
            <w:r>
              <w:rPr>
                <w:rFonts w:ascii="Arial" w:hAnsi="Arial"/>
                <w:sz w:val="16"/>
              </w:rPr>
              <w:t>Registrar aquí observaciones recibidas durante la exposición o revisión del Taller 3.</w:t>
            </w:r>
          </w:p>
        </w:tc>
        <w:tc>
          <w:tcPr>
            <w:tcW w:type="dxa" w:w="2448"/>
            <w:vAlign w:val="center"/>
            <w:tcMar>
              <w:top w:w="90" w:type="dxa"/>
              <w:start w:w="90" w:type="dxa"/>
              <w:bottom w:w="90" w:type="dxa"/>
              <w:end w:w="90" w:type="dxa"/>
            </w:tcMar>
          </w:tcPr>
          <w:p>
            <w:pPr>
              <w:spacing w:after="0"/>
            </w:pPr>
            <w:r>
              <w:rPr>
                <w:rFonts w:ascii="Arial" w:hAnsi="Arial"/>
                <w:sz w:val="16"/>
              </w:rPr>
              <w:t>Pendiente de actualizar después de recibir retroalimentación real.</w:t>
            </w:r>
          </w:p>
        </w:tc>
      </w:tr>
    </w:tbl>
    <w:p>
      <w:pPr>
        <w:pStyle w:val="Heading1"/>
        <w:spacing w:before="160" w:after="80"/>
      </w:pPr>
      <w:r>
        <w:t>9. Conclusión</w:t>
      </w:r>
    </w:p>
    <w:p>
      <w:pPr>
        <w:spacing w:after="100" w:line="252" w:lineRule="auto"/>
      </w:pPr>
      <w:r>
        <w:t>La investigación confirma que la automatización de pH, EC, nutrientes y riego es técnicamente viable y ya se utiliza tanto en investigación como en productos comerciales. También muestra que la principal dificultad no está en encender una bomba, sino en medir correctamente, calibrar, aplicar límites de seguridad y verificar el efecto de cada corrección. HydroMate deberá demostrar experimentalmente su precisión y confiabilidad antes de compararse de forma directa con equipos comerciales.</w:t>
      </w:r>
    </w:p>
    <w:p>
      <w:pPr>
        <w:spacing w:after="100" w:line="252" w:lineRule="auto"/>
      </w:pPr>
      <w:r>
        <w:t>El proyecto se diferencia principalmente por intentar integrar la torre física y la automatización completa en una plataforma accesible, reparable y configurable. Los perfiles de cultivo siguen siendo una función importante, pero su valor está en que puedan gobernar de forma conjunta riego, luz, nutrientes, pH y alertas dentro de un sistema de menor costo.</w:t>
      </w:r>
    </w:p>
    <w:p>
      <w:pPr>
        <w:pStyle w:val="Heading1"/>
        <w:spacing w:before="160" w:after="80"/>
      </w:pPr>
      <w:r>
        <w:t>Referencias</w:t>
      </w:r>
    </w:p>
    <w:p>
      <w:pPr>
        <w:spacing w:after="100"/>
        <w:ind w:left="317" w:hanging="317"/>
      </w:pPr>
      <w:r>
        <w:t>[1] A. Ahmed, R. Alnawasrah, B. Almadani, F. Aliyu and M. Ghaleb, “Contemporary smart hydroponics systems: Taxonomy, enabling technologies, and challenges,” Internet of Things, vol. 34, Art. no. 101794, 2025, doi: 10.1016/j.iot.2025.101794.</w:t>
      </w:r>
    </w:p>
    <w:p>
      <w:pPr>
        <w:spacing w:after="100"/>
        <w:ind w:left="317" w:hanging="317"/>
      </w:pPr>
      <w:r>
        <w:t>[2] A. G. Bhat, M. Hasan, D. K. Singh, R. N. Sahoo, M. Yeasin and V. Kumar S., “Design, development and testing of an IoT-based smart vertical hydroponic system for optimized nutrient management in a controlled environment,” Irrigation and Drainage, vol. 74, no. 5, pp. 1904–1920, 2025, doi: 10.1002/ird.4002.</w:t>
      </w:r>
    </w:p>
    <w:p>
      <w:pPr>
        <w:spacing w:after="100"/>
        <w:ind w:left="317" w:hanging="317"/>
      </w:pPr>
      <w:r>
        <w:t>[3] Espressif Systems, “ESP32 Series Datasheet,” ver. 5.3. [Online]. Available: https://documentation.espressif.com/esp32_datasheet_en.html. [Accessed: Sep. 2, 2026].</w:t>
      </w:r>
    </w:p>
    <w:p>
      <w:pPr>
        <w:spacing w:after="100"/>
        <w:ind w:left="317" w:hanging="317"/>
      </w:pPr>
      <w:r>
        <w:t>[4] Texas Instruments, “ADS111x Ultra-Small, Low-Power, I2C-Compatible, 860-SPS, 16-Bit ADCs with Internal Reference, Oscillator, and Programmable Comparator,” datasheet, rev. E, Dec. 2024. [Online]. Available: https://www.ti.com/product/ADS1115. [Accessed: Sep. 2, 2026].</w:t>
      </w:r>
    </w:p>
    <w:p>
      <w:pPr>
        <w:spacing w:after="100"/>
        <w:ind w:left="317" w:hanging="317"/>
      </w:pPr>
      <w:r>
        <w:t>[5] DFRobot, “Gravity: Analog TDS Sensor/Meter for Arduino (SEN0244).” [Online]. Available: https://wiki.dfrobot.com/sen0244/. [Accessed: Sep. 2, 2026].</w:t>
      </w:r>
    </w:p>
    <w:p>
      <w:pPr>
        <w:spacing w:after="100"/>
        <w:ind w:left="317" w:hanging="317"/>
      </w:pPr>
      <w:r>
        <w:t>[6] NIDO PRO, “NIDO ONE V2 – Controlador digital de pH y CE.” [Online]. Available: https://www.nidopro.com/es/invernaderos-automatizados-nido-one/. [Accessed: Sep. 2, 2026].</w:t>
      </w:r>
    </w:p>
    <w:p>
      <w:pPr>
        <w:spacing w:after="100"/>
        <w:ind w:left="317" w:hanging="317"/>
      </w:pPr>
      <w:r>
        <w:t>[7] Growee, “Growee Pro Combo – Smart Dosing System for Hydroponics.” [Online]. Available: https://getgrowee.com/product/full-automation/. [Accessed: Sep. 2, 2026].</w:t>
      </w:r>
    </w:p>
    <w:p>
      <w:pPr>
        <w:spacing w:after="100"/>
        <w:ind w:left="317" w:hanging="317"/>
      </w:pPr>
      <w:r>
        <w:t>[8] Bluelab, “Bluelab IntelliDose Controller Kit.” [Online]. Available: https://bluelab.com/products/bluelab-intellidose-controller-kit. [Accessed: Sep. 2, 2026].</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