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HYDROMATE</w:t>
      </w:r>
    </w:p>
    <w:p>
      <w:r>
        <w:t>Dossier integral de diseño 3D y arquitectura modular | 28 de octubre de 2026</w:t>
      </w:r>
    </w:p>
    <w:p>
      <w:r>
        <w:t>Consolidación de toda la información relevante conversada. Propuestas y dimensiones orientativas pendientes de validación.</w:t>
      </w:r>
    </w:p>
    <w:p>
      <w:pPr>
        <w:pStyle w:val="Heading1"/>
      </w:pPr>
      <w:r>
        <w:t>Objetivo y herramientas de IA</w:t>
      </w:r>
    </w:p>
    <w:p>
      <w:r>
        <w:t>Diseñar rápido, sin experiencia previa en Fusion/FreeCAD, un ecosistema 3D de PETG y TPU para HydroMate. Herramientas consideradas: Zoo Design Studio/Zookeeper, Fusion con scripts de IA, Onshape con IA, OpenSCAD/FreeCAD con código generado. Preferencia: CAD paramétrico, archivos fuente y STL separados, prototipos de ajuste antes de impresión final.</w:t>
      </w:r>
    </w:p>
    <w:p>
      <w:pPr>
        <w:pStyle w:val="Heading1"/>
      </w:pPr>
      <w:r>
        <w:t>Torre y circuito de agua</w:t>
      </w:r>
    </w:p>
    <w:p>
      <w:r>
        <w:t>Depósito principal de 51 L, con volumen operativo tentativo 40–45 L. Torre PVC azul nominal 6 pulgadas, pared gruesa, aproximadamente 1.30 m visible; apoya en el fondo del depósito. Bomba sumergible brushless 24 V, 25 W, caudal anunciado 1000–1200 L/h; línea de subida PVC 3/4 pulgada. Maceta superior con manguera central y agujeros como regadera, retorno por gravedad. La maceta ya se sostiene bien sobre PVC y puede quedar pegada.</w:t>
      </w:r>
    </w:p>
    <w:p>
      <w:pPr>
        <w:pStyle w:val="Heading1"/>
      </w:pPr>
      <w:r>
        <w:t>Tapa de la maceta superior</w:t>
      </w:r>
    </w:p>
    <w:p>
      <w:r>
        <w:t>La tapa requerida es de la MACETA SUPERIOR, no del depósito. La boca de la maceta es lisa, sin pestaña de cierre. Propuesta: anillo adaptador PETG fijado permanentemente al exterior de la boca (adhesivo adecuado al material real o abrazadera mecánica), con ranuras de bayoneta; tapa PETG que gira y comprime junta TPU. Alternativa: retención por tornillos manuales. La maceta no necesita desmontarse. El anillo no tapa la abertura. No usar la tapa para soportar lámparas. Prever topes, seguridad contra apertura y ventilación protegida; no presurizar. Medir diámetro de boca, espesor, conicidad, material y manguera.</w:t>
      </w:r>
    </w:p>
    <w:p>
      <w:pPr>
        <w:pStyle w:val="Heading1"/>
      </w:pPr>
      <w:r>
        <w:t>Soporte de luces</w:t>
      </w:r>
    </w:p>
    <w:p>
      <w:r>
        <w:t>Cuatro brazos LED USB salen de pinza original; evaluar desmontaje sin cortar cables. No tienen que estar arriba: se prefiere anillo a media altura para liberar tapa. Abrazadera PETG partida en dos semicircunferencias, cuatro tornillos M4, tuercas cautivas, nervaduras y dos bandas TPU internas; cuatro soportes intercambiables para bases de brazos. Dimensiones iniciales orientativas: 35–45 mm alto, 8–10 mm espesor radial. Ejemplo de carga ilustrativo: 0.6 kg a 0.25 m produce ~1.47 N·m si se concentra a un lado. Probar deslizamiento y deformación durante 24–48 h.</w:t>
      </w:r>
    </w:p>
    <w:p>
      <w:pPr>
        <w:pStyle w:val="Heading1"/>
      </w:pPr>
      <w:r>
        <w:t>Iluminación de respaldo y sensor de luz</w:t>
      </w:r>
    </w:p>
    <w:p>
      <w:r>
        <w:t>Los LED son iluminación complementaria: ejemplo hipotético 8 horas objetivo, 5 horas de luz natural suficiente, déficit 3 horas. El ESP32 registra periodos y activa luces según horario, umbral, histéresis, límites y oscuridad. El BH1750 irá arriba de la torre, orientado a luz natural y fuera de sombras y de la luz directa de LED, en carcasa con ventana óptica. BH1750 mide lux, no PPFD ni DLI: tres horas LED no equivalen automáticamente a tres horas solares. Futuro: segundo sensor o sensor PAR.</w:t>
      </w:r>
    </w:p>
    <w:p>
      <w:pPr>
        <w:pStyle w:val="Heading1"/>
      </w:pPr>
      <w:r>
        <w:t>Control de lámparas USB</w:t>
      </w:r>
    </w:p>
    <w:p>
      <w:r>
        <w:t>La lámpara tiene controlador integrado. Prueba realizada: al desconectar y reconectar USB permanece apagada (caso B). Por tanto, cortar y restablecer 5 V no basta. Preferencia: conservar controlador original y simular pulsación de su botón con interfaz aislada apropiada después de inspeccionar PCB. Es necesario conocer estado ON/OFF para evitar pulsaciones que inviertan la orden. No cortar controlador ni alimentar LED directamente sin conocer regulación. Módulo LIGHT-01 externo con 5 V desde buck dimensionado, señal del ESP32 y posible realimentación; controlar consumo y cableado.</w:t>
      </w:r>
    </w:p>
    <w:p>
      <w:pPr>
        <w:pStyle w:val="Heading1"/>
      </w:pPr>
      <w:r>
        <w:t>Arquitectura modular de sensores</w:t>
      </w:r>
    </w:p>
    <w:p>
      <w:r>
        <w:t>Cada sensor tendrá carcasa PETG propia y conector automotriz sellado, cableando SOLO alimentación y señales necesarias. El enlace enviado describe conector de 14 posiciones, pero NO se pretende usar 14 conductores por módulo; evaluar variantes de menos contactos o sellar cavidades vacías. PH-01: 5 V, GND, PO (3) con BNC original de sonda. TDS-01: alimentación conmutada, GND, señal (3). LUX-01: 3.3 V, GND, SDA, SCL (4). TEMP-01: 3.3 V, GND, DATA (3). LEVEL-01: GND, señal (2). LIGHT-01: 5 V, GND, control y posible retorno. DOSE-01: 5 V, GND y cuatro señales servo (6). Los conectores deben impedir confusiones de voltajes y tener crimpado y sellos correctos. Cable-a-cable no implica montaje estanco en panel: usar pigtail por prensaestopas si procede. Pinout específico no significa exclusividad electrónica absoluta.</w:t>
      </w:r>
    </w:p>
    <w:p>
      <w:pPr>
        <w:pStyle w:val="Heading1"/>
      </w:pPr>
      <w:r>
        <w:t>Conexiones ESP32 y pruebas de sensores</w:t>
      </w:r>
    </w:p>
    <w:p>
      <w:r>
        <w:t>ESP32 DevKit V1: DS18B20 GPIO4 con pull-up 4.7 kΩ; flotador GPIO27 INPUT_PULLUP (LOW agua, HIGH nivel bajo); I²C SDA GPIO21, SCL GPIO22 para BH1750 y ADS1115; ADS1115 dirección 0x48, A0 pH, A1 TDS. PH-4502C: V+ 5 V, GND, PO a ADS1115; calibración registrada pH = -5.579 × voltaje + 14.066 con buffers 6.86 y 4.01. El TDS anterior mostró voltajes anormalmente bajos y se decidió reemplazarlo. No corregir por factor arbitrario. Medir pH con TDS apagado y energizar TDS secuencialmente, conmutando positivo.</w:t>
      </w:r>
    </w:p>
    <w:p>
      <w:pPr>
        <w:pStyle w:val="Heading1"/>
      </w:pPr>
      <w:r>
        <w:t>Gabinete principal CTRL-01</w:t>
      </w:r>
    </w:p>
    <w:p>
      <w:r>
        <w:t>Gabinete PETG con junta TPU, tapa atornillada, bandeja interior, panel de conectores reemplazable, fusibles y acceso USB protegido. ESP32, ADS1115, XL4015, D4184 y distribución DC. Los módulos pH/TDS van fuera. Separar potencia de analógico. Colocar a un costado del depósito, elevado, sin bloquear mantenimiento. Tamaño conceptual 220 × 160 × 70 mm, NO validado y en límite de K1C; reducir o dividir según medidas.</w:t>
      </w:r>
    </w:p>
    <w:p>
      <w:pPr>
        <w:pStyle w:val="Heading1"/>
      </w:pPr>
      <w:r>
        <w:t>Fuente POWER-01</w:t>
      </w:r>
    </w:p>
    <w:p>
      <w:r>
        <w:t>Fuente comprada 24 V/5 A/120 W, probablemente conmutada metálica ventilada y bornes de CA. No ponerla en PETG hermético sin diseño térmico y seguridad eléctrica. Preferir caja eléctrica comercial apropiada, separada de sensores, lejos de salpicaduras, con tierra de protección si corresponde, bornes inaccesibles, fusibles y alivio de tensión. Dimensión equivalente orientativa 130 × 98 × 40 mm, sin confirmar modelo real. Bomba principal 24 V controlada por D4184 inicialmente ON/OFF; no asumir PWM compatible.</w:t>
      </w:r>
    </w:p>
    <w:p>
      <w:pPr>
        <w:pStyle w:val="Heading1"/>
      </w:pPr>
      <w:r>
        <w:t>Estación DOSE-01</w:t>
      </w:r>
    </w:p>
    <w:p>
      <w:r>
        <w:t>Cuatro dosificadores independientes: Nutriente A, B, pH Up y pH Down. Alternativa prioritaria explorada: gravedad con servos y válvulas pinch; también se estudiaron peristálticas y diafragma. Preferir cierre por resorte normalmente cerrado, para impedir flujo si se pierde energía. Líquido solo toca manguera compatible. Depósitos elevados respecto a descarga, separados de electrónica. Servos con alimentación 5 V externa dimensionada, nunca GPIO. Secuencia medir → dosificar poco → mezclar → esperar → volver a medir; límites de dosis y bloqueo de pH Up/Down simultáneos.</w:t>
      </w:r>
    </w:p>
    <w:p>
      <w:pPr>
        <w:pStyle w:val="Heading1"/>
      </w:pPr>
      <w:r>
        <w:t>Volúmenes y botellas</w:t>
      </w:r>
    </w:p>
    <w:p>
      <w:r>
        <w:t>Propuesta inicial: A 250 mL, B 250 mL, Up 100 mL, Down 100 mL, total 700 mL; alternativa cuatro frascos iguales de 250 mL. No equivale a autonomía comprobada. Se prefieren frascos cuadrados/rectangulares HDPE o PP, con tapa roscada, y soporte PETG. No imprimir depósitos químicos porosos. Para gravedad hay que resolver salida de líquido, entrada de aire, desnivel y fugas. Referencias conversadas: Kartell 1565 250 mL Ø69 × 94 mm; Luzeren HDPE ámbar 250 mL; Megalab HDPE 250 mL Ø68 × 114; Nalgene 2007-0008 rectangular 250 mL 76 × 51 × 117; Nalgene 2018-0250 cuadrado 250 mL ~61 × 61 × 146; Isolab 061.42.250 cuadrado 250 mL; Plasti-Envases BC cuadrado HDPE 236 mL cuello 38 mm. Verificar dimensiones y existencias. Proveedores Tijuana comentados: El Crisol, Envases Reyplas, Banga Tijuana y distribuidores locales.</w:t>
      </w:r>
    </w:p>
    <w:p>
      <w:pPr>
        <w:pStyle w:val="Heading1"/>
      </w:pPr>
      <w:r>
        <w:t>Creality K1C, PETG y TPU</w:t>
      </w:r>
    </w:p>
    <w:p>
      <w:r>
        <w:t>Creality K1C: volumen nominal 220 × 220 × 250 mm, extrusor directo, boquilla usual 0.4 mm. PETG rígido para carcasas, abrazaderas y tapas; TPU 95A flexible para juntas y agarre. ABS es rígido y NO sustituye TPU; ASA puede resistir mejor UV. Pruebas iniciales PETG: capa 0.20 mm, 5–6 perímetros, 35–45 % relleno. TPU: 225–235 °C boquilla, 45–55 °C cama, 20–35 mm/s como referencia ajustable. Paredes de caja ~3–4 mm como inicio. Orientación de capas y creep son importantes. Ninguna pieza impresa es automáticamente IP65/IP67; realizar pruebas de fugas con cajas vacías.</w:t>
      </w:r>
    </w:p>
    <w:p>
      <w:pPr>
        <w:pStyle w:val="Heading1"/>
      </w:pPr>
      <w:r>
        <w:t>Dimensiones preliminares de placas</w:t>
      </w:r>
    </w:p>
    <w:p>
      <w:r>
        <w:t>Solo referencias, no medidas confirmadas de las unidades: ESP32 30 pines ~51.5 × 28.3 mm; PH-4502C ~42 × 32 × 20; ADS1115 ~28.3 × 18; BH1750 ~18.5 × 13.5; XL4015 ~54 × 23 × 18, con variantes 51 × 26.3 × 14 y 61.7 × 26.2 × 15; D4184 ~35 × 12 × 17 o 33.6 × 17 × 12; adaptador DS18B20 ~23 × 20.5; TDS ~42 × 32; fuente equivalente ~130 × 98 × 40. Faltan alturas, agujeros, ubicación de conectores y confirmar variantes exactas.</w:t>
      </w:r>
    </w:p>
    <w:p>
      <w:pPr>
        <w:pStyle w:val="Heading1"/>
      </w:pPr>
      <w:r>
        <w:t>Pruebas y decisiones abiertas</w:t>
      </w:r>
    </w:p>
    <w:p>
      <w:r>
        <w:t>Medir con calibrador PVC exterior real, boca de maceta, unión de brazos, peso, módulos y conectores. Verificar modelo pH-014 frente a PH-4502C, reemplazo TDS G2GKJ1022, XL4015, D4184, cantidad de servos, consumo de LED y capacidad de reguladores. Imprimir probetas de bayoneta, junta, abrazadera y alojamientos. Probar estanqueidad sin electrónica, estabilidad mecánica, temperatura de fuente, crimpados, seguridad ante pérdida de energía y calibración de dosificadores. Mantener seguridad local sin Internet.</w:t>
      </w:r>
    </w:p>
    <w:p>
      <w:pPr>
        <w:pStyle w:val="Heading1"/>
      </w:pPr>
      <w:r>
        <w:t>Enlaces y referencias mencionados</w:t>
      </w:r>
    </w:p>
    <w:p>
      <w:r>
        <w:t>DS18B20 adaptador: https://www.mercadolibre.com.mx/modulo-sensor-de-temperatura-digital-ds18b20-adaptador/p/MLM2069633959</w:t>
      </w:r>
    </w:p>
    <w:p>
      <w:r>
        <w:t>Fuente 24V: https://www.mercadolibre.com.mx/fuente-de-alimentacion-conmutada-24v-5a-120w/p/MLM2072522006</w:t>
      </w:r>
    </w:p>
    <w:p>
      <w:r>
        <w:t>BH1750: https://www.mercadolibre.com.mx/gy-302-bh1750-modulo-sensor-de-intensidad-luminosa/p/MLM2042127034</w:t>
      </w:r>
    </w:p>
    <w:p>
      <w:r>
        <w:t>XL4015: https://www.mercadolibre.com.mx/regulador-step-down-xl4015-voltaje-corriente-variables-5a/p/MLM2044166348</w:t>
      </w:r>
    </w:p>
    <w:p>
      <w:r>
        <w:t>pH-014: https://articulo.mercadolibre.com.mx/MLM-6266668376-sensor-de-ph014-arduino-pic-raspberry-generica-_JM</w:t>
      </w:r>
    </w:p>
    <w:p>
      <w:r>
        <w:t>D4184: https://www.mercadolibre.com.mx/2-piezas-de-modulo-mosfet-d4184-15a-400w/p/MLM2072860279</w:t>
      </w:r>
    </w:p>
    <w:p>
      <w:r>
        <w:t>Flotador: https://articulo.mercadolibre.com.mx/MLM-2253191585-sensor-switch-de-nivel-de-agua-arduino-sensor-flotador-_JM</w:t>
      </w:r>
    </w:p>
    <w:p>
      <w:r>
        <w:t>ADS1115: https://www.mercadolibre.com.mx/modulo-adc-16-bits-i2c-amplificador-de-ganancia-ads1115/p/MLM47831641</w:t>
      </w:r>
    </w:p>
    <w:p>
      <w:r>
        <w:t>TDS G2GKJ1022: https://www.mercadolibre.com.mx/sensor-de-conductividad-de-agua-tds-analogo-g2gkj1022/p/MLM2126002730</w:t>
      </w:r>
    </w:p>
    <w:p>
      <w:r>
        <w:t>Conector automotriz: https://www.mercadolibre.com.mx/conector-impermeable-automotriz-14-pines-352-pz-terminales/up/MLMU3900756722</w:t>
      </w:r>
    </w:p>
    <w:p>
      <w:r>
        <w:t>Nalgene rectangular: https://www.pro-lab.com.mx/frasco_rectangular_hdpe_250ml_4534.html</w:t>
      </w:r>
    </w:p>
    <w:p>
      <w:r>
        <w:t>Nalgene cuadrado: https://www.thermofisher.com/order/catalog/product/mx/es/2018-0250</w:t>
      </w:r>
    </w:p>
    <w:p>
      <w:r>
        <w:t>Plasti-Envases BC: https://plastienvasesbc.com/?page_id=15</w:t>
      </w:r>
    </w:p>
    <w:p>
      <w:r>
        <w:t>Envases Reyplas: https://envasesreyplas.com/frasco/</w:t>
      </w:r>
    </w:p>
    <w:p>
      <w:r>
        <w:t>Válvula pinch SG90: https://www.thingiverse.com/thing:5367793</w:t>
      </w:r>
    </w:p>
    <w:p>
      <w:pPr>
        <w:pStyle w:val="Heading1"/>
      </w:pPr>
      <w:r>
        <w:t>Fuentes documentales de HydroMate utilizadas</w:t>
      </w:r>
    </w:p>
    <w:p>
      <w:pPr>
        <w:pStyle w:val="ListBullet"/>
      </w:pPr>
      <w:r>
        <w:t>Planeación integral HydroMate (versiones septiembre 2026)</w:t>
      </w:r>
    </w:p>
    <w:p>
      <w:pPr>
        <w:pStyle w:val="ListBullet"/>
      </w:pPr>
      <w:r>
        <w:t>Actualización de compras y presupuesto 02-10-2026</w:t>
      </w:r>
    </w:p>
    <w:p>
      <w:pPr>
        <w:pStyle w:val="ListBullet"/>
      </w:pPr>
      <w:r>
        <w:t>Bitácora de pruebas sensores y diagnóstico TDS 05-10-2026</w:t>
      </w:r>
    </w:p>
    <w:p>
      <w:pPr>
        <w:pStyle w:val="ListBullet"/>
      </w:pPr>
      <w:r>
        <w:t>Reporte de estado actual 06-10-2026</w:t>
      </w:r>
    </w:p>
    <w:p>
      <w:pPr>
        <w:pStyle w:val="ListBullet"/>
      </w:pPr>
      <w:r>
        <w:t>Talleres T1–T4 Proyecto de Carrera</w:t>
      </w:r>
    </w:p>
    <w:p>
      <w:r>
        <w:t>Las medidas de vendedores y precios citados en la conversación requieren confirmación actual. El documento no supone compras no confirmadas.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