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1F4E79"/>
          <w:sz w:val="28"/>
        </w:rPr>
        <w:t>PROYECTO DE CARRERA</w:t>
      </w:r>
    </w:p>
    <w:p>
      <w:pPr>
        <w:spacing w:before="300"/>
        <w:jc w:val="center"/>
      </w:pPr>
      <w:r>
        <w:rPr>
          <w:rFonts w:ascii="Arial" w:hAnsi="Arial"/>
          <w:b/>
          <w:color w:val="1F4E79"/>
          <w:sz w:val="50"/>
        </w:rPr>
        <w:t>Planeación integral de HydroMate</w:t>
      </w:r>
    </w:p>
    <w:p>
      <w:pPr>
        <w:jc w:val="center"/>
      </w:pPr>
      <w:r>
        <w:t>Versión consolidada de diseño, compras, electrónica y alternativas de dosificación</w:t>
      </w:r>
    </w:p>
    <w:p/>
    <w:p/>
    <w:p/>
    <w:p/>
    <w:p>
      <w:pPr>
        <w:jc w:val="center"/>
      </w:pPr>
      <w:r>
        <w:rPr>
          <w:rFonts w:ascii="Arial" w:hAnsi="Arial"/>
          <w:b/>
          <w:sz w:val="24"/>
        </w:rPr>
        <w:t>Valdez Meza Kevin Osmar</w:t>
      </w:r>
    </w:p>
    <w:p>
      <w:pPr>
        <w:jc w:val="center"/>
      </w:pPr>
      <w:r>
        <w:rPr>
          <w:rFonts w:ascii="Arial" w:hAnsi="Arial"/>
          <w:b w:val="0"/>
          <w:sz w:val="24"/>
        </w:rPr>
        <w:t>1288703</w:t>
      </w:r>
    </w:p>
    <w:p>
      <w:pPr>
        <w:jc w:val="center"/>
      </w:pPr>
      <w:r>
        <w:t>22 – Septiembre – 2026</w:t>
      </w:r>
    </w:p>
    <w:p>
      <w:pPr>
        <w:spacing w:before="900"/>
        <w:jc w:val="center"/>
      </w:pPr>
      <w:r>
        <w:rPr>
          <w:rFonts w:ascii="Arial" w:hAnsi="Arial"/>
          <w:i/>
          <w:color w:val="646464"/>
          <w:sz w:val="20"/>
        </w:rPr>
        <w:t>Documento de trabajo del prototipo HydroMate</w:t>
      </w:r>
    </w:p>
    <w:p>
      <w:r>
        <w:br w:type="page"/>
      </w:r>
    </w:p>
    <w:p>
      <w:pPr>
        <w:pStyle w:val="Heading1"/>
        <w:keepNext/>
        <w:spacing w:before="160" w:after="80"/>
      </w:pPr>
      <w:r>
        <w:t>1. Estado general del diseño</w:t>
      </w:r>
    </w:p>
    <w:p>
      <w:pPr>
        <w:spacing w:after="120"/>
      </w:pPr>
      <w:r>
        <w:t>HydroMate se mantiene como una torre hidropónica vertical recirculante controlada por ESP32. El diseño actual integra estructura física, recirculación, monitoreo, dosificación automática de nutrientes A/B y corrección de pH, iluminación complementaria, perfiles de cultivo y una aplicación Android conectada a un backend externo.</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E8F3F0"/>
          </w:tcPr>
          <w:p>
            <w:r>
              <w:t>Actualización principal de esta versión</w:t>
              <w:br/>
              <w:t>Se agrega la compra del tubo principal de PVC azul de 6" x 2 m por $400 MXN. Por su pared gruesa y mayor peso, se adopta un apoyo estructural distinto: el tubo atravesará la tapa del depósito de 51 L y llegará hasta el fondo para soportar su propio peso. La tapa funcionará como guía lateral, no como soporte vertical. En la base del tubo se harán aberturas amplias y redondeadas para permitir el retorno del agua y el paso de la manguera hacia el riser de 3/4". Se corrigen también los pedidos con pago incierto: el gasto confirmado mínimo queda en $1,472.25 MXN y los cargos de Amazon se mantienen por conciliar.</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r>
              <w:rPr>
                <w:sz w:val="18"/>
              </w:rPr>
            </w:r>
            <w:r>
              <w:rPr>
                <w:rFonts w:ascii="Arial" w:hAnsi="Arial"/>
                <w:b/>
                <w:color w:val="FFFFFF"/>
                <w:sz w:val="18"/>
              </w:rPr>
              <w:t>Elemento</w:t>
            </w:r>
          </w:p>
        </w:tc>
        <w:tc>
          <w:tcPr>
            <w:tcW w:type="dxa" w:w="3389"/>
            <w:vAlign w:val="center"/>
            <w:shd w:fill="1F4E79"/>
          </w:tcPr>
          <w:p>
            <w:r>
              <w:rPr>
                <w:sz w:val="18"/>
              </w:rPr>
            </w:r>
            <w:r>
              <w:rPr>
                <w:rFonts w:ascii="Arial" w:hAnsi="Arial"/>
                <w:b/>
                <w:color w:val="FFFFFF"/>
                <w:sz w:val="18"/>
              </w:rPr>
              <w:t>Configuración actual</w:t>
            </w:r>
          </w:p>
        </w:tc>
        <w:tc>
          <w:tcPr>
            <w:tcW w:type="dxa" w:w="3389"/>
            <w:vAlign w:val="center"/>
            <w:shd w:fill="1F4E79"/>
          </w:tcPr>
          <w:p>
            <w:r>
              <w:rPr>
                <w:sz w:val="18"/>
              </w:rPr>
            </w:r>
            <w:r>
              <w:rPr>
                <w:rFonts w:ascii="Arial" w:hAnsi="Arial"/>
                <w:b/>
                <w:color w:val="FFFFFF"/>
                <w:sz w:val="18"/>
              </w:rPr>
              <w:t>Estado</w:t>
            </w:r>
          </w:p>
        </w:tc>
      </w:tr>
      <w:tr>
        <w:trPr>
          <w:cantSplit/>
        </w:trPr>
        <w:tc>
          <w:tcPr>
            <w:tcW w:type="dxa" w:w="3389"/>
            <w:vAlign w:val="center"/>
          </w:tcPr>
          <w:p>
            <w:r>
              <w:rPr>
                <w:sz w:val="18"/>
              </w:rPr>
            </w:r>
            <w:r>
              <w:rPr>
                <w:rFonts w:ascii="Arial" w:hAnsi="Arial"/>
                <w:b/>
                <w:sz w:val="17"/>
              </w:rPr>
              <w:t>Depósito principal</w:t>
            </w:r>
          </w:p>
        </w:tc>
        <w:tc>
          <w:tcPr>
            <w:tcW w:type="dxa" w:w="3389"/>
            <w:vAlign w:val="center"/>
          </w:tcPr>
          <w:p>
            <w:r>
              <w:rPr>
                <w:sz w:val="18"/>
              </w:rPr>
              <w:t>Caja transparente de 51 L, tapa rígida con empaque/sello y cierres; la tapa servirá como guía lateral de la torre</w:t>
            </w:r>
          </w:p>
        </w:tc>
        <w:tc>
          <w:tcPr>
            <w:tcW w:type="dxa" w:w="3389"/>
            <w:vAlign w:val="center"/>
            <w:shd w:fill="E2F0D9"/>
          </w:tcPr>
          <w:p>
            <w:r>
              <w:rPr>
                <w:sz w:val="18"/>
              </w:rPr>
            </w:r>
            <w:r>
              <w:rPr>
                <w:rFonts w:ascii="Arial" w:hAnsi="Arial"/>
                <w:b w:val="0"/>
                <w:sz w:val="17"/>
              </w:rPr>
              <w:t>Comprado</w:t>
            </w:r>
          </w:p>
        </w:tc>
      </w:tr>
      <w:tr>
        <w:trPr>
          <w:cantSplit/>
        </w:trPr>
        <w:tc>
          <w:tcPr>
            <w:tcW w:type="dxa" w:w="3389"/>
            <w:vAlign w:val="center"/>
          </w:tcPr>
          <w:p>
            <w:r>
              <w:rPr>
                <w:sz w:val="18"/>
              </w:rPr>
            </w:r>
            <w:r>
              <w:rPr>
                <w:rFonts w:ascii="Arial" w:hAnsi="Arial"/>
                <w:b/>
                <w:sz w:val="17"/>
              </w:rPr>
              <w:t>Cuerpo de torre</w:t>
            </w:r>
          </w:p>
        </w:tc>
        <w:tc>
          <w:tcPr>
            <w:tcW w:type="dxa" w:w="3389"/>
            <w:vAlign w:val="center"/>
          </w:tcPr>
          <w:p>
            <w:r>
              <w:rPr>
                <w:sz w:val="18"/>
              </w:rPr>
              <w:t>PVC azul rígido de 6" x 2 m, pared gruesa (~5–10 mm); ~1.30 m visibles sobre la tapa y extensión hasta el fondo del depósito</w:t>
            </w:r>
          </w:p>
        </w:tc>
        <w:tc>
          <w:tcPr>
            <w:tcW w:type="dxa" w:w="3389"/>
            <w:vAlign w:val="center"/>
            <w:shd w:fill="FFF2CC"/>
          </w:tcPr>
          <w:p>
            <w:r>
              <w:rPr>
                <w:sz w:val="18"/>
              </w:rPr>
              <w:t>Comprado ($400)</w:t>
            </w:r>
          </w:p>
        </w:tc>
      </w:tr>
      <w:tr>
        <w:trPr>
          <w:cantSplit/>
        </w:trPr>
        <w:tc>
          <w:tcPr>
            <w:tcW w:type="dxa" w:w="3389"/>
            <w:vAlign w:val="center"/>
          </w:tcPr>
          <w:p>
            <w:r>
              <w:rPr>
                <w:sz w:val="18"/>
              </w:rPr>
            </w:r>
            <w:r>
              <w:rPr>
                <w:rFonts w:ascii="Arial" w:hAnsi="Arial"/>
                <w:b/>
                <w:sz w:val="17"/>
              </w:rPr>
              <w:t>Riser / subida</w:t>
            </w:r>
          </w:p>
        </w:tc>
        <w:tc>
          <w:tcPr>
            <w:tcW w:type="dxa" w:w="3389"/>
            <w:vAlign w:val="center"/>
          </w:tcPr>
          <w:p>
            <w:r>
              <w:rPr>
                <w:sz w:val="18"/>
              </w:rPr>
            </w:r>
            <w:r>
              <w:rPr>
                <w:rFonts w:ascii="Arial" w:hAnsi="Arial"/>
                <w:b w:val="0"/>
                <w:sz w:val="17"/>
              </w:rPr>
              <w:t>PVC hidráulico de 3/4" x 1.5 m</w:t>
            </w:r>
          </w:p>
        </w:tc>
        <w:tc>
          <w:tcPr>
            <w:tcW w:type="dxa" w:w="3389"/>
            <w:vAlign w:val="center"/>
            <w:shd w:fill="E2F0D9"/>
          </w:tcPr>
          <w:p>
            <w:r>
              <w:rPr>
                <w:sz w:val="18"/>
              </w:rPr>
            </w:r>
            <w:r>
              <w:rPr>
                <w:rFonts w:ascii="Arial" w:hAnsi="Arial"/>
                <w:b w:val="0"/>
                <w:sz w:val="17"/>
              </w:rPr>
              <w:t>Comprado</w:t>
            </w:r>
          </w:p>
        </w:tc>
      </w:tr>
      <w:tr>
        <w:trPr>
          <w:cantSplit/>
        </w:trPr>
        <w:tc>
          <w:tcPr>
            <w:tcW w:type="dxa" w:w="3389"/>
            <w:vAlign w:val="center"/>
          </w:tcPr>
          <w:p>
            <w:r>
              <w:rPr>
                <w:sz w:val="18"/>
              </w:rPr>
            </w:r>
            <w:r>
              <w:rPr>
                <w:rFonts w:ascii="Arial" w:hAnsi="Arial"/>
                <w:b/>
                <w:sz w:val="17"/>
              </w:rPr>
              <w:t>Conexión de bomba</w:t>
            </w:r>
          </w:p>
        </w:tc>
        <w:tc>
          <w:tcPr>
            <w:tcW w:type="dxa" w:w="3389"/>
            <w:vAlign w:val="center"/>
          </w:tcPr>
          <w:p>
            <w:r>
              <w:rPr>
                <w:sz w:val="18"/>
              </w:rPr>
            </w:r>
            <w:r>
              <w:rPr>
                <w:rFonts w:ascii="Arial" w:hAnsi="Arial"/>
                <w:b w:val="0"/>
                <w:sz w:val="17"/>
              </w:rPr>
              <w:t>Manguera flexible + adaptadores hacia PVC de 3/4"</w:t>
            </w:r>
          </w:p>
        </w:tc>
        <w:tc>
          <w:tcPr>
            <w:tcW w:type="dxa" w:w="3389"/>
            <w:vAlign w:val="center"/>
            <w:shd w:fill="E2F0D9"/>
          </w:tcPr>
          <w:p>
            <w:r>
              <w:rPr>
                <w:sz w:val="18"/>
              </w:rPr>
            </w:r>
            <w:r>
              <w:rPr>
                <w:rFonts w:ascii="Arial" w:hAnsi="Arial"/>
                <w:b w:val="0"/>
                <w:sz w:val="17"/>
              </w:rPr>
              <w:t>Comprado</w:t>
            </w:r>
          </w:p>
        </w:tc>
      </w:tr>
      <w:tr>
        <w:trPr>
          <w:cantSplit/>
        </w:trPr>
        <w:tc>
          <w:tcPr>
            <w:tcW w:type="dxa" w:w="3389"/>
            <w:vAlign w:val="center"/>
          </w:tcPr>
          <w:p>
            <w:r>
              <w:rPr>
                <w:sz w:val="18"/>
              </w:rPr>
            </w:r>
            <w:r>
              <w:rPr>
                <w:rFonts w:ascii="Arial" w:hAnsi="Arial"/>
                <w:b/>
                <w:sz w:val="17"/>
              </w:rPr>
              <w:t>Distribuidor superior</w:t>
            </w:r>
          </w:p>
        </w:tc>
        <w:tc>
          <w:tcPr>
            <w:tcW w:type="dxa" w:w="3389"/>
            <w:vAlign w:val="center"/>
          </w:tcPr>
          <w:p>
            <w:r>
              <w:rPr>
                <w:sz w:val="18"/>
              </w:rPr>
            </w:r>
            <w:r>
              <w:rPr>
                <w:rFonts w:ascii="Arial" w:hAnsi="Arial"/>
                <w:b w:val="0"/>
                <w:sz w:val="17"/>
              </w:rPr>
              <w:t>Maceta plástica para convertirla en regadera/distribuidor</w:t>
            </w:r>
          </w:p>
        </w:tc>
        <w:tc>
          <w:tcPr>
            <w:tcW w:type="dxa" w:w="3389"/>
            <w:vAlign w:val="center"/>
            <w:shd w:fill="E2F0D9"/>
          </w:tcPr>
          <w:p>
            <w:r>
              <w:rPr>
                <w:sz w:val="18"/>
              </w:rPr>
            </w:r>
            <w:r>
              <w:rPr>
                <w:rFonts w:ascii="Arial" w:hAnsi="Arial"/>
                <w:b w:val="0"/>
                <w:sz w:val="17"/>
              </w:rPr>
              <w:t>Comprado</w:t>
            </w:r>
          </w:p>
        </w:tc>
      </w:tr>
      <w:tr>
        <w:trPr>
          <w:cantSplit/>
        </w:trPr>
        <w:tc>
          <w:tcPr>
            <w:tcW w:type="dxa" w:w="3389"/>
            <w:vAlign w:val="center"/>
          </w:tcPr>
          <w:p>
            <w:r>
              <w:rPr>
                <w:sz w:val="18"/>
              </w:rPr>
            </w:r>
            <w:r>
              <w:rPr>
                <w:b w:val="0"/>
                <w:sz w:val="18"/>
              </w:rPr>
              <w:t>Bomba principal</w:t>
            </w:r>
          </w:p>
        </w:tc>
        <w:tc>
          <w:tcPr>
            <w:tcW w:type="dxa" w:w="3389"/>
            <w:vAlign w:val="center"/>
          </w:tcPr>
          <w:p>
            <w:r>
              <w:rPr>
                <w:sz w:val="18"/>
              </w:rPr>
            </w:r>
            <w:r>
              <w:rPr>
                <w:b w:val="0"/>
                <w:sz w:val="18"/>
              </w:rPr>
              <w:t>24 V DC, 25 W, 1000–1200 L/h, elevación 3–5 m, brushless; espigas 13/19 mm y prefiltro</w:t>
            </w:r>
          </w:p>
        </w:tc>
        <w:tc>
          <w:tcPr>
            <w:tcW w:type="dxa" w:w="3389"/>
            <w:vAlign w:val="center"/>
            <w:shd w:fill="FFF2CC"/>
          </w:tcPr>
          <w:p>
            <w:r>
              <w:rPr>
                <w:sz w:val="18"/>
              </w:rPr>
              <w:t>Pedido realizado; pago/envío por confirmar</w:t>
            </w:r>
          </w:p>
        </w:tc>
      </w:tr>
      <w:tr>
        <w:trPr>
          <w:cantSplit/>
        </w:trPr>
        <w:tc>
          <w:tcPr>
            <w:tcW w:type="dxa" w:w="3389"/>
            <w:vAlign w:val="center"/>
          </w:tcPr>
          <w:p>
            <w:r>
              <w:rPr>
                <w:sz w:val="18"/>
              </w:rPr>
            </w:r>
            <w:r>
              <w:rPr>
                <w:rFonts w:ascii="Arial" w:hAnsi="Arial"/>
                <w:b/>
                <w:sz w:val="17"/>
              </w:rPr>
              <w:t>Net pots</w:t>
            </w:r>
          </w:p>
        </w:tc>
        <w:tc>
          <w:tcPr>
            <w:tcW w:type="dxa" w:w="3389"/>
            <w:vAlign w:val="center"/>
          </w:tcPr>
          <w:p>
            <w:r>
              <w:rPr>
                <w:sz w:val="18"/>
              </w:rPr>
            </w:r>
            <w:r>
              <w:rPr>
                <w:rFonts w:ascii="Arial" w:hAnsi="Arial"/>
                <w:b w:val="0"/>
                <w:sz w:val="17"/>
              </w:rPr>
              <w:t>Canastillas de 3"</w:t>
            </w:r>
          </w:p>
        </w:tc>
        <w:tc>
          <w:tcPr>
            <w:tcW w:type="dxa" w:w="3389"/>
            <w:vAlign w:val="center"/>
            <w:shd w:fill="E2F0D9"/>
          </w:tcPr>
          <w:p>
            <w:r>
              <w:rPr>
                <w:sz w:val="18"/>
              </w:rPr>
              <w:t>Pendiente; pago rechazado y reembolsado</w:t>
            </w:r>
          </w:p>
        </w:tc>
      </w:tr>
      <w:tr>
        <w:trPr>
          <w:cantSplit/>
        </w:trPr>
        <w:tc>
          <w:tcPr>
            <w:tcW w:type="dxa" w:w="3389"/>
            <w:vAlign w:val="center"/>
          </w:tcPr>
          <w:p>
            <w:r>
              <w:rPr>
                <w:sz w:val="18"/>
              </w:rPr>
            </w:r>
            <w:r>
              <w:rPr>
                <w:rFonts w:ascii="Arial" w:hAnsi="Arial"/>
                <w:b/>
                <w:sz w:val="17"/>
              </w:rPr>
              <w:t>Sustrato</w:t>
            </w:r>
          </w:p>
        </w:tc>
        <w:tc>
          <w:tcPr>
            <w:tcW w:type="dxa" w:w="3389"/>
            <w:vAlign w:val="center"/>
          </w:tcPr>
          <w:p>
            <w:r>
              <w:rPr>
                <w:sz w:val="18"/>
              </w:rPr>
            </w:r>
            <w:r>
              <w:rPr>
                <w:rFonts w:ascii="Arial" w:hAnsi="Arial"/>
                <w:b w:val="0"/>
                <w:sz w:val="17"/>
              </w:rPr>
              <w:t>LECA / arcilla expandida, aprox. 11–12 mm</w:t>
            </w:r>
          </w:p>
        </w:tc>
        <w:tc>
          <w:tcPr>
            <w:tcW w:type="dxa" w:w="3389"/>
            <w:vAlign w:val="center"/>
            <w:shd w:fill="E2F0D9"/>
          </w:tcPr>
          <w:p>
            <w:r>
              <w:rPr>
                <w:sz w:val="18"/>
              </w:rPr>
              <w:t>Pedido Amazon; confirmar cobro/entrega individual</w:t>
            </w:r>
          </w:p>
        </w:tc>
      </w:tr>
      <w:tr>
        <w:trPr>
          <w:cantSplit/>
        </w:trPr>
        <w:tc>
          <w:tcPr>
            <w:tcW w:type="dxa" w:w="3389"/>
            <w:vAlign w:val="center"/>
          </w:tcPr>
          <w:p>
            <w:r>
              <w:rPr>
                <w:sz w:val="18"/>
              </w:rPr>
            </w:r>
            <w:r>
              <w:rPr>
                <w:rFonts w:ascii="Arial" w:hAnsi="Arial"/>
                <w:b/>
                <w:sz w:val="17"/>
              </w:rPr>
              <w:t>Nutrientes</w:t>
            </w:r>
          </w:p>
        </w:tc>
        <w:tc>
          <w:tcPr>
            <w:tcW w:type="dxa" w:w="3389"/>
            <w:vAlign w:val="center"/>
          </w:tcPr>
          <w:p>
            <w:r>
              <w:rPr>
                <w:sz w:val="18"/>
              </w:rPr>
            </w:r>
            <w:r>
              <w:rPr>
                <w:rFonts w:ascii="Arial" w:hAnsi="Arial"/>
                <w:b w:val="0"/>
                <w:sz w:val="17"/>
              </w:rPr>
              <w:t>Kit líquido A+B de 125 mL por componente</w:t>
            </w:r>
          </w:p>
        </w:tc>
        <w:tc>
          <w:tcPr>
            <w:tcW w:type="dxa" w:w="3389"/>
            <w:vAlign w:val="center"/>
            <w:shd w:fill="E2F0D9"/>
          </w:tcPr>
          <w:p>
            <w:r>
              <w:rPr>
                <w:sz w:val="18"/>
              </w:rPr>
              <w:t>Seleccionado / pendiente de compra</w:t>
            </w:r>
          </w:p>
        </w:tc>
      </w:tr>
      <w:tr>
        <w:trPr>
          <w:cantSplit/>
        </w:trPr>
        <w:tc>
          <w:tcPr>
            <w:tcW w:type="dxa" w:w="3389"/>
            <w:vAlign w:val="center"/>
          </w:tcPr>
          <w:p>
            <w:r>
              <w:rPr>
                <w:sz w:val="18"/>
              </w:rPr>
            </w:r>
            <w:r>
              <w:rPr>
                <w:rFonts w:ascii="Arial" w:hAnsi="Arial"/>
                <w:b/>
                <w:sz w:val="17"/>
              </w:rPr>
              <w:t>Ajuste de pH</w:t>
            </w:r>
          </w:p>
        </w:tc>
        <w:tc>
          <w:tcPr>
            <w:tcW w:type="dxa" w:w="3389"/>
            <w:vAlign w:val="center"/>
          </w:tcPr>
          <w:p>
            <w:r>
              <w:rPr>
                <w:sz w:val="18"/>
              </w:rPr>
            </w:r>
            <w:r>
              <w:rPr>
                <w:rFonts w:ascii="Arial" w:hAnsi="Arial"/>
                <w:b w:val="0"/>
                <w:sz w:val="17"/>
              </w:rPr>
              <w:t>pH Up + pH Down pequeños incluidos en el kit; ácido fosfórico como reserva económica de pH Down</w:t>
            </w:r>
          </w:p>
        </w:tc>
        <w:tc>
          <w:tcPr>
            <w:tcW w:type="dxa" w:w="3389"/>
            <w:vAlign w:val="center"/>
            <w:shd w:fill="FFF2CC"/>
          </w:tcPr>
          <w:p>
            <w:r>
              <w:rPr>
                <w:sz w:val="18"/>
              </w:rPr>
              <w:t>Seleccionado / pendiente de compra</w:t>
            </w:r>
          </w:p>
        </w:tc>
      </w:tr>
      <w:tr>
        <w:trPr>
          <w:cantSplit/>
        </w:trPr>
        <w:tc>
          <w:tcPr>
            <w:tcW w:type="dxa" w:w="3389"/>
            <w:vAlign w:val="center"/>
          </w:tcPr>
          <w:p>
            <w:r>
              <w:rPr>
                <w:sz w:val="18"/>
              </w:rPr>
            </w:r>
            <w:r>
              <w:rPr>
                <w:rFonts w:ascii="Arial" w:hAnsi="Arial"/>
                <w:b/>
                <w:sz w:val="17"/>
              </w:rPr>
              <w:t>Plántulas</w:t>
            </w:r>
          </w:p>
        </w:tc>
        <w:tc>
          <w:tcPr>
            <w:tcW w:type="dxa" w:w="3389"/>
            <w:vAlign w:val="center"/>
          </w:tcPr>
          <w:p>
            <w:r>
              <w:rPr>
                <w:sz w:val="18"/>
              </w:rPr>
            </w:r>
            <w:r>
              <w:rPr>
                <w:rFonts w:ascii="Arial" w:hAnsi="Arial"/>
                <w:b w:val="0"/>
                <w:sz w:val="17"/>
              </w:rPr>
              <w:t>Chiles disponibles para el trasplante</w:t>
            </w:r>
          </w:p>
        </w:tc>
        <w:tc>
          <w:tcPr>
            <w:tcW w:type="dxa" w:w="3389"/>
            <w:vAlign w:val="center"/>
            <w:shd w:fill="E2F0D9"/>
          </w:tcPr>
          <w:p>
            <w:r>
              <w:rPr>
                <w:sz w:val="18"/>
              </w:rPr>
            </w:r>
            <w:r>
              <w:rPr>
                <w:rFonts w:ascii="Arial" w:hAnsi="Arial"/>
                <w:b w:val="0"/>
                <w:sz w:val="17"/>
              </w:rPr>
              <w:t>Disponible</w:t>
            </w:r>
          </w:p>
        </w:tc>
      </w:tr>
      <w:tr>
        <w:trPr>
          <w:cantSplit/>
        </w:trPr>
        <w:tc>
          <w:tcPr>
            <w:tcW w:type="dxa" w:w="3389"/>
            <w:vAlign w:val="center"/>
          </w:tcPr>
          <w:p>
            <w:r>
              <w:rPr>
                <w:sz w:val="18"/>
              </w:rPr>
            </w:r>
            <w:r>
              <w:rPr>
                <w:rFonts w:ascii="Arial" w:hAnsi="Arial"/>
                <w:b/>
                <w:sz w:val="17"/>
              </w:rPr>
              <w:t>Iluminación</w:t>
            </w:r>
          </w:p>
        </w:tc>
        <w:tc>
          <w:tcPr>
            <w:tcW w:type="dxa" w:w="3389"/>
            <w:vAlign w:val="center"/>
          </w:tcPr>
          <w:p>
            <w:r>
              <w:rPr>
                <w:sz w:val="18"/>
              </w:rPr>
            </w:r>
            <w:r>
              <w:rPr>
                <w:rFonts w:ascii="Arial" w:hAnsi="Arial"/>
                <w:b w:val="0"/>
                <w:sz w:val="17"/>
              </w:rPr>
              <w:t>Lámpara LED de cultivo de 4 brazos, ~20 W</w:t>
            </w:r>
          </w:p>
        </w:tc>
        <w:tc>
          <w:tcPr>
            <w:tcW w:type="dxa" w:w="3389"/>
            <w:vAlign w:val="center"/>
            <w:shd w:fill="FFF2CC"/>
          </w:tcPr>
          <w:p>
            <w:r>
              <w:rPr>
                <w:sz w:val="18"/>
              </w:rPr>
            </w:r>
            <w:r>
              <w:rPr>
                <w:b w:val="0"/>
                <w:sz w:val="18"/>
              </w:rPr>
              <w:t>Comprada / en camino</w:t>
            </w:r>
          </w:p>
        </w:tc>
      </w:tr>
    </w:tbl>
    <w:p>
      <w:r>
        <w:br w:type="page"/>
      </w:r>
    </w:p>
    <w:p>
      <w:pPr>
        <w:pStyle w:val="Heading1"/>
        <w:keepNext/>
        <w:spacing w:before="160" w:after="80"/>
      </w:pPr>
      <w:r>
        <w:t>2. Diseño físico e hidráulico actualizado</w:t>
      </w:r>
    </w:p>
    <w:p>
      <w:pPr>
        <w:pStyle w:val="Heading2"/>
        <w:keepNext/>
        <w:spacing w:before="160" w:after="80"/>
      </w:pPr>
      <w:r>
        <w:rPr>
          <w:sz w:val="24"/>
        </w:rPr>
        <w:t>2.1 Torre principal</w:t>
      </w:r>
    </w:p>
    <w:p>
      <w:pPr>
        <w:pStyle w:val="ListBullet"/>
        <w:spacing w:after="40"/>
      </w:pPr>
      <w:r>
        <w:t>El cuerpo de la torre será PVC azul rígido de 6 pulgadas, 2 m de longitud total y pared gruesa aproximada de 5–10 mm. El tubo ya fue comprado por $400 MXN.</w:t>
      </w:r>
    </w:p>
    <w:p>
      <w:pPr>
        <w:pStyle w:val="ListBullet"/>
        <w:spacing w:after="40"/>
      </w:pPr>
      <w:r>
        <w:t>La altura útil visible de la torre se mantiene alrededor de 1.30 m sobre la tapa. Debido al peso del tubo, ya no se plantea cortar la pieza principal a 1.30 m totales: el tubo atravesará la tapa y llegará hasta el fondo del depósito, de modo que su peso se apoye en la base del contenedor y no en la tapa.</w:t>
      </w:r>
    </w:p>
    <w:p>
      <w:pPr>
        <w:pStyle w:val="ListBullet"/>
        <w:spacing w:after="40"/>
      </w:pPr>
      <w:r>
        <w:t>Antes de cortar se medirá la distancia real entre la tapa y el fondo del depósito. La longitud final utilizada será aproximadamente: 1.30 m de torre visible + profundidad interna del depósito. El sobrante real se conservará para practicar calentamiento, perforaciones, cortes y soportes de net pots antes de modificar la pieza principal.</w:t>
      </w:r>
    </w:p>
    <w:p>
      <w:pPr>
        <w:pStyle w:val="ListBullet"/>
        <w:spacing w:after="40"/>
      </w:pPr>
      <w:r>
        <w:t>Los alojamientos para los net pots se formarán usando anillos/soportes de la medida real de las canastillas de 3". Antes de hacer todos los cortes se fabricará una sola muestra para verificar diámetro, inclinación, profundidad y comportamiento de la pared gruesa al calentarse.</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FFF2CC"/>
          </w:tcPr>
          <w:p>
            <w:pPr>
              <w:spacing w:after="40"/>
            </w:pPr>
            <w:r>
              <w:rPr>
                <w:rFonts w:ascii="Arial" w:hAnsi="Arial"/>
                <w:b/>
                <w:color w:val="2F6B5F"/>
                <w:sz w:val="18"/>
              </w:rPr>
              <w:t>Regla de fabricación</w:t>
              <w:br/>
            </w:r>
            <w:r>
              <w:rPr>
                <w:rFonts w:ascii="Arial" w:hAnsi="Arial"/>
                <w:sz w:val="19"/>
              </w:rPr>
              <w:t>No realizar todos los alojamientos de los net pots directamente en el tubo final. Primero practicar con el sobrante de PVC de 6" para definir temperatura, tiempo de calentamiento, forma e inclinación sin arriesgar la torre principal.</w:t>
            </w:r>
          </w:p>
        </w:tc>
      </w:tr>
    </w:tbl>
    <w:p>
      <w:pPr>
        <w:spacing w:after="20"/>
      </w:pPr>
    </w:p>
    <w:p>
      <w:pPr>
        <w:pStyle w:val="Heading2"/>
        <w:keepNext/>
        <w:spacing w:before="160" w:after="80"/>
      </w:pPr>
      <w:r>
        <w:rPr>
          <w:sz w:val="24"/>
        </w:rPr>
        <w:t>2.2 Depósito de 51 L</w:t>
      </w:r>
    </w:p>
    <w:p>
      <w:pPr>
        <w:pStyle w:val="ListBullet"/>
        <w:spacing w:after="40"/>
      </w:pPr>
      <w:r>
        <w:rPr>
          <w:rFonts w:ascii="Arial" w:hAnsi="Arial"/>
          <w:sz w:val="20"/>
        </w:rPr>
        <w:t>Se usará la caja transparente de 51 L ya comprada. La tapa rígida, los cierres y el sello perimetral son favorables para reducir polvo, salpicaduras y entrada accidental de objetos.</w:t>
      </w:r>
    </w:p>
    <w:p>
      <w:pPr>
        <w:pStyle w:val="ListBullet"/>
        <w:spacing w:after="40"/>
      </w:pPr>
      <w:r>
        <w:rPr>
          <w:rFonts w:ascii="Arial" w:hAnsi="Arial"/>
          <w:sz w:val="20"/>
        </w:rPr>
        <w:t>Por ser transparente, el depósito se cubrirá externamente con material opaco para bloquear la luz y reducir crecimiento de algas/biofilm. No se pintará el interior.</w:t>
      </w:r>
    </w:p>
    <w:p>
      <w:pPr>
        <w:pStyle w:val="ListBullet"/>
        <w:spacing w:after="40"/>
      </w:pPr>
      <w:r>
        <w:rPr>
          <w:rFonts w:ascii="Arial" w:hAnsi="Arial"/>
          <w:sz w:val="20"/>
        </w:rPr>
        <w:t>Se propone iniciar con un volumen operativo aproximado de 40–45 L y dejar espacio libre para el retorno de agua cuando se apague la bomba. El volumen final se ajustará después de la prueba hidráulica.</w:t>
      </w:r>
    </w:p>
    <w:p>
      <w:pPr>
        <w:pStyle w:val="ListBullet"/>
        <w:spacing w:after="40"/>
      </w:pPr>
      <w:r>
        <w:rPr>
          <w:rFonts w:ascii="Arial" w:hAnsi="Arial"/>
          <w:sz w:val="20"/>
        </w:rPr>
        <w:t>La cubierta exterior puede ser removible para facilitar inspección visual durante pruebas.</w:t>
      </w:r>
    </w:p>
    <w:p>
      <w:pPr>
        <w:pStyle w:val="Heading2"/>
        <w:keepNext/>
        <w:spacing w:before="160" w:after="80"/>
      </w:pPr>
      <w:r>
        <w:rPr>
          <w:sz w:val="24"/>
        </w:rPr>
        <w:t>2.3 Bomba, manguera y riser</w:t>
      </w:r>
    </w:p>
    <w:p>
      <w:pPr>
        <w:pStyle w:val="ListBullet"/>
        <w:spacing w:after="40"/>
      </w:pPr>
      <w:r>
        <w:t>La bomba principal seleccionada es un modelo sumergible brushless de 24 V DC, 25 W, caudal nominal de 1000–1200 L/h y elevación anunciada de 3–5 m. Incluye prefiltro y espigas para manguera de aproximadamente 13 mm y 19 mm. Se realizó un pedido por $242.10 MXN, pero el pago presentó un problema de autorización; no se considera compra confirmada hasta verificar el cargo y el envío.</w:t>
      </w:r>
    </w:p>
    <w:p>
      <w:pPr>
        <w:pStyle w:val="ListBullet"/>
        <w:spacing w:after="40"/>
      </w:pPr>
      <w:r>
        <w:rPr>
          <w:sz w:val="21"/>
        </w:rPr>
        <w:t>La bomba se conectará a la manguera flexible ya comprada utilizando la espiga que mejor ajuste. Si es necesario se cortarán los conectores originales de la manguera para emplearla como tramo flexible. Los adaptadores ya comprados harán la transición al PVC rígido de 3/4".</w:t>
      </w:r>
    </w:p>
    <w:p>
      <w:pPr>
        <w:pStyle w:val="ListBullet"/>
        <w:spacing w:after="40"/>
      </w:pPr>
      <w:r>
        <w:rPr>
          <w:rFonts w:ascii="Arial" w:hAnsi="Arial"/>
          <w:sz w:val="20"/>
        </w:rPr>
        <w:t>El riser central será de PVC de 3/4" y 1.5 m. Esta longitud permite cubrir la altura de la torre y dejar margen de ajuste en la parte superior.</w:t>
      </w:r>
    </w:p>
    <w:p>
      <w:pPr>
        <w:pStyle w:val="ListBullet"/>
        <w:spacing w:after="40"/>
      </w:pPr>
      <w:r>
        <w:rPr>
          <w:rFonts w:ascii="Arial" w:hAnsi="Arial"/>
          <w:sz w:val="20"/>
        </w:rPr>
        <w:t>La manguera flexible permitirá retirar la bomba para limpieza sin desmontar todo el tubo vertical y ayudará a desacoplar vibraciones.</w:t>
      </w:r>
    </w:p>
    <w:p>
      <w:pPr>
        <w:pStyle w:val="ListBullet"/>
        <w:spacing w:after="40"/>
      </w:pPr>
      <w:r>
        <w:rPr>
          <w:sz w:val="21"/>
        </w:rPr>
        <w:t>El caudal real deberá medirse con la torre a su altura final. Los 1000–1200 L/h son valores nominales y disminuirán con la elevación y las pérdidas en manguera, tubería, adaptadores y regadera. El objetivo no es usar el caudal máximo, sino lograr distribución uniforme sin saturar el drenaje.</w:t>
      </w:r>
    </w:p>
    <w:p>
      <w:r>
        <w:rPr>
          <w:sz w:val="21"/>
        </w:rPr>
        <w:t>Control eléctrico de la bomba: la bomba de 24 V no será alimentada por el ESP32. Recibirá potencia desde la rama de 24 V y será conmutada mediante un módulo MOSFET D4184. El ESP32 únicamente entregará la señal lógica de control. Inicialmente se utilizará control ON/OFF; no se aplicará PWM hasta verificar compatibilidad específica de la bomba brushless.</w:t>
      </w:r>
    </w:p>
    <w:p>
      <w:pPr>
        <w:jc w:val="center"/>
      </w:pPr>
      <w:r>
        <w:rPr>
          <w:b/>
          <w:color w:val="2F6B5F"/>
          <w:sz w:val="22"/>
        </w:rPr>
        <w:t>Ruta hidráulica prevista</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1452"/>
            <w:vAlign w:val="center"/>
            <w:shd w:fill="EAF2F8"/>
          </w:tcPr>
          <w:p>
            <w:pPr>
              <w:jc w:val="center"/>
            </w:pPr>
            <w:r>
              <w:rPr>
                <w:sz w:val="18"/>
              </w:rPr>
            </w:r>
            <w:r>
              <w:rPr>
                <w:rFonts w:ascii="Arial" w:hAnsi="Arial"/>
                <w:b/>
                <w:color w:val="1F4E79"/>
                <w:sz w:val="16"/>
              </w:rPr>
              <w:t>Depósito 51 L</w:t>
            </w:r>
          </w:p>
        </w:tc>
        <w:tc>
          <w:tcPr>
            <w:tcW w:type="dxa" w:w="1452"/>
            <w:vAlign w:val="center"/>
            <w:shd w:fill="EAF2F8"/>
          </w:tcPr>
          <w:p>
            <w:pPr>
              <w:jc w:val="center"/>
            </w:pPr>
            <w:r>
              <w:rPr>
                <w:sz w:val="18"/>
              </w:rPr>
            </w:r>
            <w:r>
              <w:rPr>
                <w:rFonts w:ascii="Arial" w:hAnsi="Arial"/>
                <w:b/>
                <w:color w:val="1F4E79"/>
                <w:sz w:val="16"/>
              </w:rPr>
              <w:t>Bomba</w:t>
            </w:r>
          </w:p>
        </w:tc>
        <w:tc>
          <w:tcPr>
            <w:tcW w:type="dxa" w:w="1452"/>
            <w:vAlign w:val="center"/>
            <w:shd w:fill="EAF2F8"/>
          </w:tcPr>
          <w:p>
            <w:pPr>
              <w:jc w:val="center"/>
            </w:pPr>
            <w:r>
              <w:rPr>
                <w:sz w:val="18"/>
              </w:rPr>
            </w:r>
            <w:r>
              <w:rPr>
                <w:rFonts w:ascii="Arial" w:hAnsi="Arial"/>
                <w:b/>
                <w:color w:val="1F4E79"/>
                <w:sz w:val="16"/>
              </w:rPr>
              <w:t>Manguera</w:t>
            </w:r>
          </w:p>
        </w:tc>
        <w:tc>
          <w:tcPr>
            <w:tcW w:type="dxa" w:w="1452"/>
            <w:vAlign w:val="center"/>
            <w:shd w:fill="EAF2F8"/>
          </w:tcPr>
          <w:p>
            <w:pPr>
              <w:jc w:val="center"/>
            </w:pPr>
            <w:r>
              <w:rPr>
                <w:sz w:val="18"/>
              </w:rPr>
            </w:r>
            <w:r>
              <w:rPr>
                <w:rFonts w:ascii="Arial" w:hAnsi="Arial"/>
                <w:b/>
                <w:color w:val="1F4E79"/>
                <w:sz w:val="16"/>
              </w:rPr>
              <w:t>Adaptadores</w:t>
            </w:r>
          </w:p>
        </w:tc>
        <w:tc>
          <w:tcPr>
            <w:tcW w:type="dxa" w:w="1452"/>
            <w:vAlign w:val="center"/>
            <w:shd w:fill="EAF2F8"/>
          </w:tcPr>
          <w:p>
            <w:pPr>
              <w:jc w:val="center"/>
            </w:pPr>
            <w:r>
              <w:rPr>
                <w:sz w:val="18"/>
              </w:rPr>
            </w:r>
            <w:r>
              <w:rPr>
                <w:rFonts w:ascii="Arial" w:hAnsi="Arial"/>
                <w:b/>
                <w:color w:val="1F4E79"/>
                <w:sz w:val="16"/>
              </w:rPr>
              <w:t>PVC 3/4"</w:t>
            </w:r>
          </w:p>
        </w:tc>
        <w:tc>
          <w:tcPr>
            <w:tcW w:type="dxa" w:w="1452"/>
            <w:vAlign w:val="center"/>
            <w:shd w:fill="EAF2F8"/>
          </w:tcPr>
          <w:p>
            <w:pPr>
              <w:jc w:val="center"/>
            </w:pPr>
            <w:r>
              <w:rPr>
                <w:sz w:val="18"/>
              </w:rPr>
            </w:r>
            <w:r>
              <w:rPr>
                <w:rFonts w:ascii="Arial" w:hAnsi="Arial"/>
                <w:b/>
                <w:color w:val="1F4E79"/>
                <w:sz w:val="16"/>
              </w:rPr>
              <w:t>Regadera superior</w:t>
            </w:r>
          </w:p>
        </w:tc>
        <w:tc>
          <w:tcPr>
            <w:tcW w:type="dxa" w:w="1452"/>
            <w:vAlign w:val="center"/>
            <w:shd w:fill="EAF2F8"/>
          </w:tcPr>
          <w:p>
            <w:pPr>
              <w:jc w:val="center"/>
            </w:pPr>
            <w:r>
              <w:rPr>
                <w:sz w:val="18"/>
              </w:rPr>
            </w:r>
            <w:r>
              <w:rPr>
                <w:rFonts w:ascii="Arial" w:hAnsi="Arial"/>
                <w:b/>
                <w:color w:val="1F4E79"/>
                <w:sz w:val="16"/>
              </w:rPr>
              <w:t>Torre → drenaje</w:t>
            </w:r>
          </w:p>
        </w:tc>
      </w:tr>
    </w:tbl>
    <w:p>
      <w:pPr>
        <w:pStyle w:val="Heading1"/>
        <w:keepNext/>
        <w:spacing w:before="160" w:after="80"/>
      </w:pPr>
      <w:r>
        <w:t>3. Regadera superior y drenaje</w:t>
      </w:r>
    </w:p>
    <w:p>
      <w:pPr>
        <w:pStyle w:val="Heading2"/>
        <w:keepNext/>
        <w:spacing w:before="160" w:after="80"/>
      </w:pPr>
      <w:r>
        <w:rPr>
          <w:sz w:val="24"/>
        </w:rPr>
        <w:t>3.1 Distribuidor superior</w:t>
      </w:r>
    </w:p>
    <w:p>
      <w:pPr>
        <w:pStyle w:val="ListBullet"/>
        <w:spacing w:after="40"/>
      </w:pPr>
      <w:r>
        <w:rPr>
          <w:rFonts w:ascii="Arial" w:hAnsi="Arial"/>
          <w:sz w:val="20"/>
        </w:rPr>
        <w:t>La maceta plástica comprada se utilizará como distribuidor/regadera en la parte superior.</w:t>
      </w:r>
    </w:p>
    <w:p>
      <w:pPr>
        <w:pStyle w:val="ListBullet"/>
        <w:spacing w:after="40"/>
      </w:pPr>
      <w:r>
        <w:rPr>
          <w:rFonts w:ascii="Arial" w:hAnsi="Arial"/>
          <w:sz w:val="20"/>
        </w:rPr>
        <w:t>El agua llegará desde el riser de 3/4" y se repartirá mediante perforaciones uniformes. El número y diámetro de los orificios se definirán experimentalmente para evitar zonas secas.</w:t>
      </w:r>
    </w:p>
    <w:p>
      <w:pPr>
        <w:pStyle w:val="ListBullet"/>
        <w:spacing w:after="40"/>
      </w:pPr>
      <w:r>
        <w:rPr>
          <w:rFonts w:ascii="Arial" w:hAnsi="Arial"/>
          <w:sz w:val="20"/>
        </w:rPr>
        <w:t>Si la maceta es transparente, se cubrirá por fuera una vez terminadas las pruebas para impedir entrada de luz. No se aplicarán pinturas o adhesivos en la superficie interna en contacto con la solución.</w:t>
      </w:r>
    </w:p>
    <w:p>
      <w:pPr>
        <w:pStyle w:val="ListBullet"/>
        <w:spacing w:after="40"/>
      </w:pPr>
      <w:r>
        <w:rPr>
          <w:rFonts w:ascii="Arial" w:hAnsi="Arial"/>
          <w:sz w:val="20"/>
        </w:rPr>
        <w:t>Durante las primeras pruebas conviene mantenerla visible para observar la distribución y detectar acumulaciones o zonas con poco flujo.</w:t>
      </w:r>
    </w:p>
    <w:p>
      <w:pPr>
        <w:pStyle w:val="Heading2"/>
        <w:keepNext/>
        <w:spacing w:before="160" w:after="80"/>
      </w:pPr>
      <w:r>
        <w:rPr>
          <w:sz w:val="24"/>
        </w:rPr>
        <w:t>3.2 Retorno por gravedad</w:t>
      </w:r>
    </w:p>
    <w:p>
      <w:pPr>
        <w:pStyle w:val="ListBullet"/>
        <w:spacing w:after="40"/>
      </w:pPr>
      <w:r>
        <w:t>El diseño adoptará un retorno simple por gravedad directamente al depósito. El tubo de 6" continuará dentro del depósito hasta apoyarse en el fondo; el agua bajará por el interior de la torre y saldrá hacia el depósito mediante aberturas laterales en la parte inferior.</w:t>
      </w:r>
    </w:p>
    <w:p>
      <w:pPr>
        <w:pStyle w:val="ListBullet"/>
        <w:spacing w:after="40"/>
      </w:pPr>
      <w:r>
        <w:t>La tapa tendrá una abertura ajustada al tubo de 6" y funcionará principalmente como guía lateral para evitar movimiento. No se pretende que la tapa cargue el peso vertical de la torre.</w:t>
      </w:r>
    </w:p>
    <w:p>
      <w:pPr>
        <w:pStyle w:val="ListBullet"/>
        <w:spacing w:after="40"/>
      </w:pPr>
      <w:r>
        <w:t>En la base se recomiendan 3–4 ventanas o arcos amplios, distribuidos alrededor del tubo, en lugar de ranuras estrechas. Como punto de partida pueden probarse aberturas de aproximadamente 4–5 cm de ancho por 4–5 cm de alto, con esquinas redondeadas y suficiente material entre ellas para conservar varios puntos de apoyo. Una de estas aberturas puede utilizarse para introducir la manguera hacia el riser de 3/4". La bomba permanecerá fuera del tubo de 6" para facilitar su limpieza y retiro.</w:t>
      </w:r>
    </w:p>
    <w:p>
      <w:pPr>
        <w:pStyle w:val="ListBullet"/>
        <w:spacing w:after="40"/>
      </w:pPr>
      <w:r>
        <w:t>Antes de integrar nutrientes o electrónica se realizará una prueba prolongada solo con agua para verificar fugas, drenaje, estabilidad del apoyo, deformación del fondo del depósito y capacidad de retorno. Si el fondo del contenedor flexiona demasiado bajo el tubo, se añadirá una placa plana de PP/HDPE u otro material compatible para repartir la carga.</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E8F3F0"/>
          </w:tcPr>
          <w:p>
            <w:r>
              <w:rPr>
                <w:sz w:val="18"/>
              </w:rPr>
              <w:t>Ventaja del nuevo apoyo y drenaje</w:t>
              <w:br/>
              <w:t>Al apoyar el tubo de 6" directamente en el fondo, la tapa deja de cargar la torre pesada y solo la estabiliza lateralmente. Las aberturas inferiores permiten que el retorno salga por gravedad con un paso amplio, toleran mejor raíces y residuos que una manguera de retorno estrecha y permiten pasar la manguera de alimentación hacia el riser interno de 3/4".</w:t>
            </w:r>
          </w:p>
        </w:tc>
      </w:tr>
    </w:tbl>
    <w:p>
      <w:pPr>
        <w:spacing w:after="20"/>
      </w:pPr>
    </w:p>
    <w:p>
      <w:pPr>
        <w:pStyle w:val="Heading1"/>
        <w:keepNext/>
        <w:spacing w:before="160" w:after="80"/>
      </w:pPr>
      <w:r>
        <w:t>4. Cultivo y consumibles</w:t>
      </w:r>
    </w:p>
    <w:p>
      <w:pPr>
        <w:pStyle w:val="Heading2"/>
        <w:keepNext/>
        <w:spacing w:before="160" w:after="80"/>
      </w:pPr>
      <w:r>
        <w:rPr>
          <w:sz w:val="24"/>
        </w:rPr>
        <w:t>4.1 Net pots y sustrato</w:t>
      </w:r>
    </w:p>
    <w:p>
      <w:pPr>
        <w:pStyle w:val="ListBullet"/>
        <w:spacing w:after="40"/>
      </w:pPr>
      <w:r>
        <w:rPr>
          <w:rFonts w:ascii="Arial" w:hAnsi="Arial"/>
          <w:sz w:val="20"/>
        </w:rPr>
        <w:t>Net pots de 3" para sostener las plantas y permitir que las raíces salgan al interior de la torre.</w:t>
      </w:r>
    </w:p>
    <w:p>
      <w:pPr>
        <w:pStyle w:val="ListBullet"/>
        <w:spacing w:after="40"/>
      </w:pPr>
      <w:r>
        <w:rPr>
          <w:rFonts w:ascii="Arial" w:hAnsi="Arial"/>
          <w:sz w:val="20"/>
        </w:rPr>
        <w:t>LECA / arcilla expandida de aproximadamente 11–12 mm como sustrato inerte. Antes de usarla se enjuagará varias veces hasta eliminar el polvo fino.</w:t>
      </w:r>
    </w:p>
    <w:p>
      <w:pPr>
        <w:pStyle w:val="ListBullet"/>
        <w:spacing w:after="40"/>
      </w:pPr>
      <w:r>
        <w:rPr>
          <w:rFonts w:ascii="Arial" w:hAnsi="Arial"/>
          <w:sz w:val="20"/>
        </w:rPr>
        <w:t>No se añadirá tierra al sistema recirculante. Las raíces de las plántulas se limpiarán cuidadosamente al momento del trasplante.</w:t>
      </w:r>
    </w:p>
    <w:p>
      <w:pPr>
        <w:pStyle w:val="Heading2"/>
        <w:keepNext/>
        <w:spacing w:before="160" w:after="80"/>
      </w:pPr>
      <w:r>
        <w:rPr>
          <w:sz w:val="24"/>
        </w:rPr>
        <w:t>4.2 Nutrientes y pH</w:t>
      </w:r>
    </w:p>
    <w:p>
      <w:pPr>
        <w:pStyle w:val="ListBullet"/>
        <w:spacing w:after="40"/>
      </w:pPr>
      <w:r>
        <w:t>Para la etapa inicial se utilizará el kit líquido seleccionado con Nutriente A 125 mL y Nutriente B 125 mL. Al ser líquidos, podrán dosificarse posteriormente con el actuador que resulte seleccionado: bomba peristáltica, bomba de diafragma o sistema por gravedad con válvula pinch.</w:t>
      </w:r>
    </w:p>
    <w:p>
      <w:pPr>
        <w:pStyle w:val="ListBullet"/>
        <w:spacing w:after="40"/>
      </w:pPr>
      <w:r>
        <w:rPr>
          <w:rFonts w:ascii="Arial" w:hAnsi="Arial"/>
          <w:sz w:val="20"/>
        </w:rPr>
        <w:t>El kit incluye pequeñas cantidades de pH Up y pH Down, suficientes para arrancar y conocer el comportamiento real del agua y los nutrientes.</w:t>
      </w:r>
    </w:p>
    <w:p>
      <w:pPr>
        <w:pStyle w:val="ListBullet"/>
        <w:spacing w:after="40"/>
      </w:pPr>
      <w:r>
        <w:t>Se planea adquirir ácido fosfórico como reserva económica de pH Down. No se dosificará ácido concentrado directamente al sistema; se preparará una solución de trabajo diluida antes de automatizar cualquier corrección.</w:t>
      </w:r>
    </w:p>
    <w:p>
      <w:pPr>
        <w:pStyle w:val="ListBullet"/>
        <w:spacing w:after="40"/>
      </w:pPr>
      <w:r>
        <w:rPr>
          <w:rFonts w:ascii="Arial" w:hAnsi="Arial"/>
          <w:sz w:val="20"/>
        </w:rPr>
        <w:t>Antes de automatizar la dosificación se deberá registrar la dosis recomendada por el fabricante del kit A+B y medir cómo modifica TDS/EC y pH en el volumen real del depósito.</w:t>
      </w:r>
    </w:p>
    <w:p>
      <w:pPr>
        <w:pStyle w:val="ListBullet"/>
        <w:spacing w:after="40"/>
      </w:pPr>
      <w:r>
        <w:rPr>
          <w:rFonts w:ascii="Arial" w:hAnsi="Arial"/>
          <w:sz w:val="20"/>
        </w:rPr>
        <w:t>Nutriente A y Nutriente B se mantendrán separados y se dosificarán en momentos distintos, con tiempo de mezcla entre ambos.</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EAF2F8"/>
          </w:tcPr>
          <w:p>
            <w:pPr>
              <w:spacing w:after="40"/>
            </w:pPr>
            <w:r>
              <w:rPr>
                <w:rFonts w:ascii="Arial" w:hAnsi="Arial"/>
                <w:b/>
                <w:color w:val="2F6B5F"/>
                <w:sz w:val="18"/>
              </w:rPr>
              <w:t>Secuencia de corrección prevista</w:t>
              <w:br/>
            </w:r>
            <w:r>
              <w:rPr>
                <w:rFonts w:ascii="Arial" w:hAnsi="Arial"/>
                <w:sz w:val="19"/>
              </w:rPr>
              <w:t>Medir → dosificar una cantidad pequeña → recircular/mezclar → esperar → volver a medir. El sistema no hará dosis repetidas sin una nueva lectura válida.</w:t>
            </w:r>
          </w:p>
        </w:tc>
      </w:tr>
    </w:tbl>
    <w:p>
      <w:pPr>
        <w:spacing w:after="20"/>
      </w:pPr>
    </w:p>
    <w:p>
      <w:pPr>
        <w:pStyle w:val="Heading2"/>
        <w:keepNext/>
        <w:spacing w:before="160" w:after="80"/>
      </w:pPr>
      <w:r>
        <w:rPr>
          <w:sz w:val="24"/>
        </w:rPr>
        <w:t>4.3 Plántulas e iluminación</w:t>
      </w:r>
    </w:p>
    <w:p>
      <w:pPr>
        <w:pStyle w:val="ListBullet"/>
        <w:spacing w:after="40"/>
      </w:pPr>
      <w:r>
        <w:rPr>
          <w:rFonts w:ascii="Arial" w:hAnsi="Arial"/>
          <w:sz w:val="20"/>
        </w:rPr>
        <w:t>Las plántulas ya están disponibles, por lo que la prioridad actual es terminar la hidráulica y realizar el trasplante cuando el sistema esté estable.</w:t>
      </w:r>
    </w:p>
    <w:p>
      <w:pPr>
        <w:pStyle w:val="ListBullet"/>
        <w:spacing w:after="40"/>
      </w:pPr>
      <w:r>
        <w:rPr>
          <w:rFonts w:ascii="Arial" w:hAnsi="Arial"/>
          <w:sz w:val="20"/>
        </w:rPr>
        <w:t>Se mantiene como iluminación complementaria la lámpara de cultivo LED de 4 brazos (~20 W). Su función será complementar la luz disponible, no sustituir necesariamente toda la radiación solar de plantas adultas.</w:t>
      </w:r>
    </w:p>
    <w:p>
      <w:pPr>
        <w:pStyle w:val="ListBullet"/>
        <w:spacing w:after="40"/>
      </w:pPr>
      <w:r>
        <w:rPr>
          <w:rFonts w:ascii="Arial" w:hAnsi="Arial"/>
          <w:sz w:val="20"/>
        </w:rPr>
        <w:t>Para la primera fase se recomienda trabajar con 6 plantas si la densidad de 8 provoca sombreado, competencia de raíces o ventilación insuficiente.</w:t>
      </w:r>
    </w:p>
    <w:p>
      <w:pPr>
        <w:pStyle w:val="Heading1"/>
        <w:keepNext/>
        <w:spacing w:before="160" w:after="80"/>
      </w:pPr>
      <w:r>
        <w:t>5. Electrónica y automatización</w:t>
      </w:r>
    </w:p>
    <w:p>
      <w:r>
        <w:t>La arquitectura seleccionada permanece sin cambios: ESP32 como controlador local y procesamiento no crítico fuera del dispositivo. La parte física puede ponerse en marcha primero y después integrar sensores y actuadores por etapas.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r>
              <w:rPr>
                <w:sz w:val="18"/>
              </w:rPr>
            </w:r>
            <w:r>
              <w:rPr>
                <w:rFonts w:ascii="Arial" w:hAnsi="Arial"/>
                <w:b/>
                <w:color w:val="FFFFFF"/>
                <w:sz w:val="18"/>
              </w:rPr>
              <w:t>Bloque</w:t>
            </w:r>
          </w:p>
        </w:tc>
        <w:tc>
          <w:tcPr>
            <w:tcW w:type="dxa" w:w="3389"/>
            <w:vAlign w:val="center"/>
            <w:shd w:fill="1F4E79"/>
          </w:tcPr>
          <w:p>
            <w:r>
              <w:rPr>
                <w:sz w:val="18"/>
              </w:rPr>
            </w:r>
            <w:r>
              <w:rPr>
                <w:rFonts w:ascii="Arial" w:hAnsi="Arial"/>
                <w:b/>
                <w:color w:val="FFFFFF"/>
                <w:sz w:val="18"/>
              </w:rPr>
              <w:t>Componente</w:t>
            </w:r>
          </w:p>
        </w:tc>
        <w:tc>
          <w:tcPr>
            <w:tcW w:type="dxa" w:w="3389"/>
            <w:vAlign w:val="center"/>
            <w:shd w:fill="1F4E79"/>
          </w:tcPr>
          <w:p>
            <w:r>
              <w:rPr>
                <w:sz w:val="18"/>
              </w:rPr>
            </w:r>
            <w:r>
              <w:rPr>
                <w:rFonts w:ascii="Arial" w:hAnsi="Arial"/>
                <w:b/>
                <w:color w:val="FFFFFF"/>
                <w:sz w:val="18"/>
              </w:rPr>
              <w:t>Función</w:t>
            </w:r>
          </w:p>
        </w:tc>
      </w:tr>
      <w:tr>
        <w:trPr>
          <w:cantSplit/>
        </w:trPr>
        <w:tc>
          <w:tcPr>
            <w:tcW w:type="dxa" w:w="3389"/>
            <w:vAlign w:val="center"/>
          </w:tcPr>
          <w:p>
            <w:r>
              <w:rPr>
                <w:sz w:val="18"/>
              </w:rPr>
            </w:r>
            <w:r>
              <w:rPr>
                <w:rFonts w:ascii="Arial" w:hAnsi="Arial"/>
                <w:b/>
                <w:sz w:val="17"/>
              </w:rPr>
              <w:t>Control</w:t>
            </w:r>
          </w:p>
        </w:tc>
        <w:tc>
          <w:tcPr>
            <w:tcW w:type="dxa" w:w="3389"/>
            <w:vAlign w:val="center"/>
          </w:tcPr>
          <w:p>
            <w:r>
              <w:rPr>
                <w:sz w:val="18"/>
              </w:rPr>
            </w:r>
            <w:r>
              <w:rPr>
                <w:rFonts w:ascii="Arial" w:hAnsi="Arial"/>
                <w:b w:val="0"/>
                <w:sz w:val="17"/>
              </w:rPr>
              <w:t>ESP32 DevKit V1</w:t>
            </w:r>
          </w:p>
        </w:tc>
        <w:tc>
          <w:tcPr>
            <w:tcW w:type="dxa" w:w="3389"/>
            <w:vAlign w:val="center"/>
          </w:tcPr>
          <w:p>
            <w:r>
              <w:rPr>
                <w:sz w:val="18"/>
              </w:rPr>
            </w:r>
            <w:r>
              <w:rPr>
                <w:rFonts w:ascii="Arial" w:hAnsi="Arial"/>
                <w:b w:val="0"/>
                <w:sz w:val="17"/>
              </w:rPr>
              <w:t>Control local, reglas de seguridad, comunicación</w:t>
            </w:r>
          </w:p>
        </w:tc>
      </w:tr>
      <w:tr>
        <w:trPr>
          <w:cantSplit/>
        </w:trPr>
        <w:tc>
          <w:tcPr>
            <w:tcW w:type="dxa" w:w="3389"/>
            <w:vAlign w:val="center"/>
          </w:tcPr>
          <w:p>
            <w:r>
              <w:rPr>
                <w:sz w:val="18"/>
              </w:rPr>
            </w:r>
            <w:r>
              <w:rPr>
                <w:rFonts w:ascii="Arial" w:hAnsi="Arial"/>
                <w:b/>
                <w:sz w:val="17"/>
              </w:rPr>
              <w:t>ADC</w:t>
            </w:r>
          </w:p>
        </w:tc>
        <w:tc>
          <w:tcPr>
            <w:tcW w:type="dxa" w:w="3389"/>
            <w:vAlign w:val="center"/>
          </w:tcPr>
          <w:p>
            <w:r>
              <w:rPr>
                <w:sz w:val="18"/>
              </w:rPr>
            </w:r>
            <w:r>
              <w:rPr>
                <w:rFonts w:ascii="Arial" w:hAnsi="Arial"/>
                <w:b w:val="0"/>
                <w:sz w:val="17"/>
              </w:rPr>
              <w:t>ADS1115</w:t>
            </w:r>
          </w:p>
        </w:tc>
        <w:tc>
          <w:tcPr>
            <w:tcW w:type="dxa" w:w="3389"/>
            <w:vAlign w:val="center"/>
          </w:tcPr>
          <w:p>
            <w:r>
              <w:rPr>
                <w:sz w:val="18"/>
              </w:rPr>
            </w:r>
            <w:r>
              <w:rPr>
                <w:rFonts w:ascii="Arial" w:hAnsi="Arial"/>
                <w:b w:val="0"/>
                <w:sz w:val="17"/>
              </w:rPr>
              <w:t>Mejorar adquisición de señales analógicas de pH/TDS</w:t>
            </w:r>
          </w:p>
        </w:tc>
      </w:tr>
      <w:tr>
        <w:trPr>
          <w:cantSplit/>
        </w:trPr>
        <w:tc>
          <w:tcPr>
            <w:tcW w:type="dxa" w:w="3389"/>
            <w:vAlign w:val="center"/>
          </w:tcPr>
          <w:p>
            <w:r>
              <w:rPr>
                <w:sz w:val="18"/>
              </w:rPr>
            </w:r>
            <w:r>
              <w:rPr>
                <w:rFonts w:ascii="Arial" w:hAnsi="Arial"/>
                <w:b/>
                <w:sz w:val="17"/>
              </w:rPr>
              <w:t>pH</w:t>
            </w:r>
          </w:p>
        </w:tc>
        <w:tc>
          <w:tcPr>
            <w:tcW w:type="dxa" w:w="3389"/>
            <w:vAlign w:val="center"/>
          </w:tcPr>
          <w:p>
            <w:r>
              <w:rPr>
                <w:sz w:val="18"/>
              </w:rPr>
            </w:r>
            <w:r>
              <w:rPr>
                <w:rFonts w:ascii="Arial" w:hAnsi="Arial"/>
                <w:b w:val="0"/>
                <w:sz w:val="17"/>
              </w:rPr>
              <w:t>PH-4502C + sonda</w:t>
            </w:r>
          </w:p>
        </w:tc>
        <w:tc>
          <w:tcPr>
            <w:tcW w:type="dxa" w:w="3389"/>
            <w:vAlign w:val="center"/>
          </w:tcPr>
          <w:p>
            <w:r>
              <w:rPr>
                <w:sz w:val="18"/>
              </w:rPr>
            </w:r>
            <w:r>
              <w:rPr>
                <w:rFonts w:ascii="Arial" w:hAnsi="Arial"/>
                <w:b w:val="0"/>
                <w:sz w:val="17"/>
              </w:rPr>
              <w:t>Medición de pH</w:t>
            </w:r>
          </w:p>
        </w:tc>
      </w:tr>
      <w:tr>
        <w:trPr>
          <w:cantSplit/>
        </w:trPr>
        <w:tc>
          <w:tcPr>
            <w:tcW w:type="dxa" w:w="3389"/>
            <w:vAlign w:val="center"/>
          </w:tcPr>
          <w:p>
            <w:r>
              <w:rPr>
                <w:sz w:val="18"/>
              </w:rPr>
            </w:r>
            <w:r>
              <w:rPr>
                <w:rFonts w:ascii="Arial" w:hAnsi="Arial"/>
                <w:b/>
                <w:sz w:val="17"/>
              </w:rPr>
              <w:t>TDS</w:t>
            </w:r>
          </w:p>
        </w:tc>
        <w:tc>
          <w:tcPr>
            <w:tcW w:type="dxa" w:w="3389"/>
            <w:vAlign w:val="center"/>
          </w:tcPr>
          <w:p>
            <w:r>
              <w:rPr>
                <w:sz w:val="18"/>
              </w:rPr>
            </w:r>
            <w:r>
              <w:rPr>
                <w:rFonts w:ascii="Arial" w:hAnsi="Arial"/>
                <w:b w:val="0"/>
                <w:sz w:val="17"/>
              </w:rPr>
              <w:t>SEN0244</w:t>
            </w:r>
          </w:p>
        </w:tc>
        <w:tc>
          <w:tcPr>
            <w:tcW w:type="dxa" w:w="3389"/>
            <w:vAlign w:val="center"/>
          </w:tcPr>
          <w:p>
            <w:r>
              <w:rPr>
                <w:sz w:val="18"/>
              </w:rPr>
            </w:r>
            <w:r>
              <w:rPr>
                <w:rFonts w:ascii="Arial" w:hAnsi="Arial"/>
                <w:b w:val="0"/>
                <w:sz w:val="17"/>
              </w:rPr>
              <w:t>Concentración aproximada de nutrientes</w:t>
            </w:r>
          </w:p>
        </w:tc>
      </w:tr>
      <w:tr>
        <w:trPr>
          <w:cantSplit/>
        </w:trPr>
        <w:tc>
          <w:tcPr>
            <w:tcW w:type="dxa" w:w="3389"/>
            <w:vAlign w:val="center"/>
          </w:tcPr>
          <w:p>
            <w:r>
              <w:rPr>
                <w:sz w:val="18"/>
              </w:rPr>
            </w:r>
            <w:r>
              <w:rPr>
                <w:rFonts w:ascii="Arial" w:hAnsi="Arial"/>
                <w:b/>
                <w:sz w:val="17"/>
              </w:rPr>
              <w:t>Temperatura</w:t>
            </w:r>
          </w:p>
        </w:tc>
        <w:tc>
          <w:tcPr>
            <w:tcW w:type="dxa" w:w="3389"/>
            <w:vAlign w:val="center"/>
          </w:tcPr>
          <w:p>
            <w:r>
              <w:rPr>
                <w:sz w:val="18"/>
              </w:rPr>
            </w:r>
            <w:r>
              <w:rPr>
                <w:rFonts w:ascii="Arial" w:hAnsi="Arial"/>
                <w:b w:val="0"/>
                <w:sz w:val="17"/>
              </w:rPr>
              <w:t>DS18B20 sumergible</w:t>
            </w:r>
          </w:p>
        </w:tc>
        <w:tc>
          <w:tcPr>
            <w:tcW w:type="dxa" w:w="3389"/>
            <w:vAlign w:val="center"/>
          </w:tcPr>
          <w:p>
            <w:r>
              <w:rPr>
                <w:sz w:val="18"/>
              </w:rPr>
            </w:r>
            <w:r>
              <w:rPr>
                <w:rFonts w:ascii="Arial" w:hAnsi="Arial"/>
                <w:b w:val="0"/>
                <w:sz w:val="17"/>
              </w:rPr>
              <w:t>Temperatura de la solución</w:t>
            </w:r>
          </w:p>
        </w:tc>
      </w:tr>
      <w:tr>
        <w:trPr>
          <w:cantSplit/>
        </w:trPr>
        <w:tc>
          <w:tcPr>
            <w:tcW w:type="dxa" w:w="3389"/>
            <w:vAlign w:val="center"/>
          </w:tcPr>
          <w:p>
            <w:r>
              <w:rPr>
                <w:sz w:val="18"/>
              </w:rPr>
            </w:r>
            <w:r>
              <w:rPr>
                <w:rFonts w:ascii="Arial" w:hAnsi="Arial"/>
                <w:b/>
                <w:sz w:val="17"/>
              </w:rPr>
              <w:t>Nivel</w:t>
            </w:r>
          </w:p>
        </w:tc>
        <w:tc>
          <w:tcPr>
            <w:tcW w:type="dxa" w:w="3389"/>
            <w:vAlign w:val="center"/>
          </w:tcPr>
          <w:p>
            <w:r>
              <w:rPr>
                <w:sz w:val="18"/>
              </w:rPr>
            </w:r>
            <w:r>
              <w:rPr>
                <w:rFonts w:ascii="Arial" w:hAnsi="Arial"/>
                <w:b w:val="0"/>
                <w:sz w:val="17"/>
              </w:rPr>
              <w:t>Flotador vertical</w:t>
            </w:r>
          </w:p>
        </w:tc>
        <w:tc>
          <w:tcPr>
            <w:tcW w:type="dxa" w:w="3389"/>
            <w:vAlign w:val="center"/>
          </w:tcPr>
          <w:p>
            <w:r>
              <w:rPr>
                <w:sz w:val="18"/>
              </w:rPr>
            </w:r>
            <w:r>
              <w:rPr>
                <w:rFonts w:ascii="Arial" w:hAnsi="Arial"/>
                <w:b w:val="0"/>
                <w:sz w:val="17"/>
              </w:rPr>
              <w:t>Bloqueo de bomba por nivel bajo</w:t>
            </w:r>
          </w:p>
        </w:tc>
      </w:tr>
      <w:tr>
        <w:trPr>
          <w:cantSplit/>
        </w:trPr>
        <w:tc>
          <w:tcPr>
            <w:tcW w:type="dxa" w:w="3389"/>
            <w:vAlign w:val="center"/>
          </w:tcPr>
          <w:p>
            <w:r>
              <w:rPr>
                <w:sz w:val="18"/>
              </w:rPr>
            </w:r>
            <w:r>
              <w:rPr>
                <w:rFonts w:ascii="Arial" w:hAnsi="Arial"/>
                <w:b/>
                <w:sz w:val="17"/>
              </w:rPr>
              <w:t>Luz</w:t>
            </w:r>
          </w:p>
        </w:tc>
        <w:tc>
          <w:tcPr>
            <w:tcW w:type="dxa" w:w="3389"/>
            <w:vAlign w:val="center"/>
          </w:tcPr>
          <w:p>
            <w:r>
              <w:rPr>
                <w:sz w:val="18"/>
              </w:rPr>
            </w:r>
            <w:r>
              <w:rPr>
                <w:rFonts w:ascii="Arial" w:hAnsi="Arial"/>
                <w:b w:val="0"/>
                <w:sz w:val="17"/>
              </w:rPr>
              <w:t>BH1750</w:t>
            </w:r>
          </w:p>
        </w:tc>
        <w:tc>
          <w:tcPr>
            <w:tcW w:type="dxa" w:w="3389"/>
            <w:vAlign w:val="center"/>
          </w:tcPr>
          <w:p>
            <w:r>
              <w:rPr>
                <w:sz w:val="18"/>
              </w:rPr>
            </w:r>
            <w:r>
              <w:rPr>
                <w:rFonts w:ascii="Arial" w:hAnsi="Arial"/>
                <w:b w:val="0"/>
                <w:sz w:val="17"/>
              </w:rPr>
              <w:t>Medición de intensidad luminosa</w:t>
            </w:r>
          </w:p>
        </w:tc>
      </w:tr>
      <w:tr>
        <w:trPr>
          <w:cantSplit/>
        </w:trPr>
        <w:tc>
          <w:tcPr>
            <w:tcW w:type="dxa" w:w="3389"/>
            <w:vAlign w:val="center"/>
          </w:tcPr>
          <w:p>
            <w:r>
              <w:rPr>
                <w:sz w:val="18"/>
              </w:rPr>
            </w:r>
            <w:r>
              <w:rPr>
                <w:rFonts w:ascii="Arial" w:hAnsi="Arial"/>
                <w:b/>
                <w:sz w:val="17"/>
              </w:rPr>
              <w:t>Energía</w:t>
            </w:r>
          </w:p>
        </w:tc>
        <w:tc>
          <w:tcPr>
            <w:tcW w:type="dxa" w:w="3389"/>
            <w:vAlign w:val="center"/>
          </w:tcPr>
          <w:p>
            <w:r>
              <w:rPr>
                <w:sz w:val="18"/>
              </w:rPr>
            </w:r>
            <w:r>
              <w:rPr>
                <w:rFonts w:ascii="Arial" w:hAnsi="Arial"/>
                <w:b w:val="0"/>
                <w:sz w:val="17"/>
              </w:rPr>
              <w:t>INA219</w:t>
            </w:r>
          </w:p>
        </w:tc>
        <w:tc>
          <w:tcPr>
            <w:tcW w:type="dxa" w:w="3389"/>
            <w:vAlign w:val="center"/>
          </w:tcPr>
          <w:p>
            <w:r>
              <w:rPr>
                <w:sz w:val="18"/>
              </w:rPr>
            </w:r>
            <w:r>
              <w:rPr>
                <w:rFonts w:ascii="Arial" w:hAnsi="Arial"/>
                <w:b w:val="0"/>
                <w:sz w:val="17"/>
              </w:rPr>
              <w:t>Medición de rama DC cuando sea compatible</w:t>
            </w:r>
          </w:p>
        </w:tc>
      </w:tr>
      <w:tr>
        <w:trPr>
          <w:cantSplit/>
        </w:trPr>
        <w:tc>
          <w:tcPr>
            <w:tcW w:type="dxa" w:w="3389"/>
            <w:vAlign w:val="center"/>
          </w:tcPr>
          <w:p>
            <w:r>
              <w:rPr>
                <w:sz w:val="18"/>
              </w:rPr>
            </w:r>
            <w:r>
              <w:rPr>
                <w:rFonts w:ascii="Arial" w:hAnsi="Arial"/>
                <w:b/>
                <w:sz w:val="17"/>
              </w:rPr>
              <w:t>Riego</w:t>
            </w:r>
          </w:p>
        </w:tc>
        <w:tc>
          <w:tcPr>
            <w:tcW w:type="dxa" w:w="3389"/>
            <w:vAlign w:val="center"/>
          </w:tcPr>
          <w:p>
            <w:r>
              <w:rPr>
                <w:sz w:val="18"/>
              </w:rPr>
            </w:r>
            <w:r>
              <w:rPr>
                <w:b w:val="0"/>
                <w:sz w:val="18"/>
              </w:rPr>
              <w:t>Bomba principal 24 V, 25 W, 1000–1200 L/h</w:t>
            </w:r>
          </w:p>
        </w:tc>
        <w:tc>
          <w:tcPr>
            <w:tcW w:type="dxa" w:w="3389"/>
            <w:vAlign w:val="center"/>
          </w:tcPr>
          <w:p>
            <w:r>
              <w:rPr>
                <w:sz w:val="18"/>
              </w:rPr>
            </w:r>
            <w:r>
              <w:rPr>
                <w:b w:val="0"/>
                <w:sz w:val="18"/>
              </w:rPr>
              <w:t>Recirculación; control ON/OFF por D4184 desde ESP32</w:t>
            </w:r>
          </w:p>
        </w:tc>
      </w:tr>
      <w:tr>
        <w:trPr>
          <w:cantSplit/>
        </w:trPr>
        <w:tc>
          <w:tcPr>
            <w:tcW w:type="dxa" w:w="3389"/>
            <w:vAlign w:val="center"/>
          </w:tcPr>
          <w:p>
            <w:r>
              <w:rPr>
                <w:sz w:val="18"/>
              </w:rPr>
            </w:r>
            <w:r>
              <w:rPr>
                <w:rFonts w:ascii="Arial" w:hAnsi="Arial"/>
                <w:b/>
                <w:sz w:val="17"/>
              </w:rPr>
              <w:t>Dosificación</w:t>
            </w:r>
          </w:p>
        </w:tc>
        <w:tc>
          <w:tcPr>
            <w:tcW w:type="dxa" w:w="3389"/>
            <w:vAlign w:val="center"/>
          </w:tcPr>
          <w:p>
            <w:r>
              <w:rPr>
                <w:sz w:val="18"/>
              </w:rPr>
              <w:t>Actuación por definir: peristálticas, diafragma o válvulas pinch por gravedad</w:t>
            </w:r>
          </w:p>
        </w:tc>
        <w:tc>
          <w:tcPr>
            <w:tcW w:type="dxa" w:w="3389"/>
            <w:vAlign w:val="center"/>
          </w:tcPr>
          <w:p>
            <w:r>
              <w:rPr>
                <w:sz w:val="18"/>
              </w:rPr>
              <w:t>A, B, pH Up y pH Down; la alternativa de bajo costo con servo queda en evaluación</w:t>
            </w:r>
          </w:p>
        </w:tc>
      </w:tr>
      <w:tr>
        <w:trPr>
          <w:cantSplit/>
        </w:trPr>
        <w:tc>
          <w:tcPr>
            <w:tcW w:type="dxa" w:w="3389"/>
            <w:vAlign w:val="center"/>
          </w:tcPr>
          <w:p>
            <w:r>
              <w:rPr>
                <w:sz w:val="18"/>
              </w:rPr>
            </w:r>
            <w:r>
              <w:rPr>
                <w:rFonts w:ascii="Arial" w:hAnsi="Arial"/>
                <w:b/>
                <w:sz w:val="17"/>
              </w:rPr>
              <w:t>Potencia</w:t>
            </w:r>
          </w:p>
        </w:tc>
        <w:tc>
          <w:tcPr>
            <w:tcW w:type="dxa" w:w="3389"/>
            <w:vAlign w:val="center"/>
          </w:tcPr>
          <w:p>
            <w:r>
              <w:rPr>
                <w:sz w:val="18"/>
              </w:rPr>
              <w:t>Fuente 24 V (3 A provisional; 5 A recomendada) + XL4015</w:t>
            </w:r>
          </w:p>
        </w:tc>
        <w:tc>
          <w:tcPr>
            <w:tcW w:type="dxa" w:w="3389"/>
            <w:vAlign w:val="center"/>
          </w:tcPr>
          <w:p>
            <w:r>
              <w:rPr>
                <w:sz w:val="18"/>
              </w:rPr>
              <w:t>24 V directo a bomba; 12 V/5 V mediante buck según actuadores elegidos. Recalcular corriente final.</w:t>
            </w:r>
          </w:p>
        </w:tc>
      </w:tr>
      <w:tr>
        <w:trPr>
          <w:cantSplit/>
        </w:trPr>
        <w:tc>
          <w:tcPr>
            <w:tcW w:type="dxa" w:w="3389"/>
            <w:vAlign w:val="center"/>
          </w:tcPr>
          <w:p>
            <w:r>
              <w:rPr>
                <w:sz w:val="18"/>
              </w:rPr>
            </w:r>
            <w:r>
              <w:rPr>
                <w:rFonts w:ascii="Arial" w:hAnsi="Arial"/>
                <w:b/>
                <w:sz w:val="17"/>
              </w:rPr>
              <w:t>Drivers</w:t>
            </w:r>
          </w:p>
        </w:tc>
        <w:tc>
          <w:tcPr>
            <w:tcW w:type="dxa" w:w="3389"/>
            <w:vAlign w:val="center"/>
          </w:tcPr>
          <w:p>
            <w:r>
              <w:rPr>
                <w:sz w:val="18"/>
              </w:rPr>
            </w:r>
            <w:r>
              <w:rPr>
                <w:rFonts w:ascii="Arial" w:hAnsi="Arial"/>
                <w:b w:val="0"/>
                <w:sz w:val="17"/>
              </w:rPr>
              <w:t>MOSFET D4184 / relé según carga</w:t>
            </w:r>
          </w:p>
        </w:tc>
        <w:tc>
          <w:tcPr>
            <w:tcW w:type="dxa" w:w="3389"/>
            <w:vAlign w:val="center"/>
          </w:tcPr>
          <w:p>
            <w:r>
              <w:rPr>
                <w:sz w:val="18"/>
              </w:rPr>
            </w:r>
            <w:r>
              <w:rPr>
                <w:rFonts w:ascii="Arial" w:hAnsi="Arial"/>
                <w:b w:val="0"/>
                <w:sz w:val="17"/>
              </w:rPr>
              <w:t>Control de bombas e iluminación</w:t>
            </w:r>
          </w:p>
        </w:tc>
      </w:tr>
    </w:tbl>
    <w:p>
      <w:pPr>
        <w:pStyle w:val="Heading1"/>
        <w:keepNext/>
        <w:spacing w:before="160" w:after="80"/>
      </w:pPr>
      <w:r>
        <w:t>6. Comunicación y software</w:t>
      </w:r>
    </w:p>
    <w:p>
      <w:pPr>
        <w:pStyle w:val="ListBullet"/>
        <w:spacing w:after="40"/>
      </w:pPr>
      <w:r>
        <w:rPr>
          <w:rFonts w:ascii="Arial" w:hAnsi="Arial"/>
          <w:sz w:val="20"/>
        </w:rPr>
        <w:t>ESP32 ↔ servidor: MQTT/TLS para telemetría, estado, eventos y comandos.</w:t>
      </w:r>
    </w:p>
    <w:p>
      <w:pPr>
        <w:pStyle w:val="ListBullet"/>
        <w:spacing w:after="40"/>
      </w:pPr>
      <w:r>
        <w:rPr>
          <w:rFonts w:ascii="Arial" w:hAnsi="Arial"/>
          <w:sz w:val="20"/>
        </w:rPr>
        <w:t>Aplicación Android ↔ Laravel: HTTPS/REST para usuarios, perfiles, historial y configuración.</w:t>
      </w:r>
    </w:p>
    <w:p>
      <w:pPr>
        <w:pStyle w:val="ListBullet"/>
        <w:spacing w:after="40"/>
      </w:pPr>
      <w:r>
        <w:rPr>
          <w:rFonts w:ascii="Arial" w:hAnsi="Arial"/>
          <w:sz w:val="20"/>
        </w:rPr>
        <w:t>Backend: Laravel; base de datos PostgreSQL; broker Mosquitto.</w:t>
      </w:r>
    </w:p>
    <w:p>
      <w:pPr>
        <w:pStyle w:val="ListBullet"/>
        <w:spacing w:after="40"/>
      </w:pPr>
      <w:r>
        <w:rPr>
          <w:rFonts w:ascii="Arial" w:hAnsi="Arial"/>
          <w:sz w:val="20"/>
        </w:rPr>
        <w:t>Provisionamiento inicial de Wi-Fi: BLE desde la aplicación Android.</w:t>
      </w:r>
    </w:p>
    <w:p>
      <w:pPr>
        <w:pStyle w:val="ListBullet"/>
        <w:spacing w:after="40"/>
      </w:pPr>
      <w:r>
        <w:rPr>
          <w:rFonts w:ascii="Arial" w:hAnsi="Arial"/>
          <w:sz w:val="20"/>
        </w:rPr>
        <w:t>Notificaciones: Firebase Cloud Messaging.</w:t>
      </w:r>
    </w:p>
    <w:p>
      <w:pPr>
        <w:pStyle w:val="ListBullet"/>
        <w:spacing w:after="40"/>
      </w:pPr>
      <w:r>
        <w:rPr>
          <w:rFonts w:ascii="Arial" w:hAnsi="Arial"/>
          <w:sz w:val="20"/>
        </w:rPr>
        <w:t>El control crítico de riego, dosificación, límites y seguridad debe continuar localmente aunque falle Internet.</w:t>
      </w:r>
    </w:p>
    <w:p>
      <w:pPr>
        <w:pStyle w:val="Heading1"/>
        <w:keepNext/>
        <w:spacing w:before="160" w:after="80"/>
      </w:pPr>
      <w:r>
        <w:t>7. Lista de materiales y estado de compra</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vAlign w:val="center"/>
            <w:shd w:fill="1F4E79"/>
          </w:tcPr>
          <w:p>
            <w:r>
              <w:rPr>
                <w:sz w:val="18"/>
              </w:rPr>
            </w:r>
            <w:r>
              <w:rPr>
                <w:rFonts w:ascii="Arial" w:hAnsi="Arial"/>
                <w:b/>
                <w:color w:val="FFFFFF"/>
                <w:sz w:val="17"/>
              </w:rPr>
              <w:t>Bloque</w:t>
            </w:r>
          </w:p>
        </w:tc>
        <w:tc>
          <w:tcPr>
            <w:tcW w:type="dxa" w:w="2033"/>
            <w:vAlign w:val="center"/>
            <w:shd w:fill="1F4E79"/>
          </w:tcPr>
          <w:p>
            <w:r>
              <w:rPr>
                <w:sz w:val="18"/>
              </w:rPr>
            </w:r>
            <w:r>
              <w:rPr>
                <w:rFonts w:ascii="Arial" w:hAnsi="Arial"/>
                <w:b/>
                <w:color w:val="FFFFFF"/>
                <w:sz w:val="17"/>
              </w:rPr>
              <w:t>Material / componente</w:t>
            </w:r>
          </w:p>
        </w:tc>
        <w:tc>
          <w:tcPr>
            <w:tcW w:type="dxa" w:w="2033"/>
            <w:vAlign w:val="center"/>
            <w:shd w:fill="1F4E79"/>
          </w:tcPr>
          <w:p>
            <w:r>
              <w:rPr>
                <w:sz w:val="18"/>
              </w:rPr>
            </w:r>
            <w:r>
              <w:rPr>
                <w:rFonts w:ascii="Arial" w:hAnsi="Arial"/>
                <w:b/>
                <w:color w:val="FFFFFF"/>
                <w:sz w:val="17"/>
              </w:rPr>
              <w:t>Cant.</w:t>
            </w:r>
          </w:p>
        </w:tc>
        <w:tc>
          <w:tcPr>
            <w:tcW w:type="dxa" w:w="2033"/>
            <w:vAlign w:val="center"/>
            <w:shd w:fill="1F4E79"/>
          </w:tcPr>
          <w:p>
            <w:r>
              <w:rPr>
                <w:sz w:val="18"/>
              </w:rPr>
            </w:r>
            <w:r>
              <w:rPr>
                <w:rFonts w:ascii="Arial" w:hAnsi="Arial"/>
                <w:b/>
                <w:color w:val="FFFFFF"/>
                <w:sz w:val="17"/>
              </w:rPr>
              <w:t>Estado</w:t>
            </w:r>
          </w:p>
        </w:tc>
        <w:tc>
          <w:tcPr>
            <w:tcW w:type="dxa" w:w="2033"/>
            <w:vAlign w:val="center"/>
            <w:shd w:fill="1F4E79"/>
          </w:tcPr>
          <w:p>
            <w:r>
              <w:rPr>
                <w:sz w:val="18"/>
              </w:rPr>
            </w:r>
            <w:r>
              <w:rPr>
                <w:rFonts w:ascii="Arial" w:hAnsi="Arial"/>
                <w:b/>
                <w:color w:val="FFFFFF"/>
                <w:sz w:val="17"/>
              </w:rPr>
              <w:t>Notas</w:t>
            </w:r>
          </w:p>
        </w:tc>
      </w:tr>
      <w:tr>
        <w:trPr>
          <w:cantSplit/>
        </w:trPr>
        <w:tc>
          <w:tcPr>
            <w:tcW w:type="dxa" w:w="2033"/>
            <w:vAlign w:val="center"/>
          </w:tcPr>
          <w:p>
            <w:r>
              <w:rPr>
                <w:sz w:val="18"/>
              </w:rPr>
            </w:r>
            <w:r>
              <w:rPr>
                <w:rFonts w:ascii="Arial" w:hAnsi="Arial"/>
                <w:b/>
                <w:sz w:val="15"/>
              </w:rPr>
              <w:t>Estructura</w:t>
            </w:r>
          </w:p>
        </w:tc>
        <w:tc>
          <w:tcPr>
            <w:tcW w:type="dxa" w:w="2033"/>
            <w:vAlign w:val="center"/>
          </w:tcPr>
          <w:p>
            <w:r>
              <w:rPr>
                <w:sz w:val="18"/>
              </w:rPr>
            </w:r>
            <w:r>
              <w:rPr>
                <w:rFonts w:ascii="Arial" w:hAnsi="Arial"/>
                <w:b w:val="0"/>
                <w:sz w:val="15"/>
              </w:rPr>
              <w:t>PVC azul 6" x 2 m</w:t>
            </w:r>
          </w:p>
        </w:tc>
        <w:tc>
          <w:tcPr>
            <w:tcW w:type="dxa" w:w="2033"/>
            <w:vAlign w:val="center"/>
          </w:tcPr>
          <w:p>
            <w:r>
              <w:rPr>
                <w:sz w:val="18"/>
              </w:rPr>
            </w:r>
            <w:r>
              <w:rPr>
                <w:rFonts w:ascii="Arial" w:hAnsi="Arial"/>
                <w:b w:val="0"/>
                <w:sz w:val="15"/>
              </w:rPr>
              <w:t>1</w:t>
            </w:r>
          </w:p>
        </w:tc>
        <w:tc>
          <w:tcPr>
            <w:tcW w:type="dxa" w:w="2033"/>
            <w:vAlign w:val="center"/>
            <w:shd w:fill="FFF2CC"/>
          </w:tcPr>
          <w:p>
            <w:r>
              <w:rPr>
                <w:sz w:val="18"/>
              </w:rPr>
              <w:t>Comprado</w:t>
            </w:r>
          </w:p>
        </w:tc>
        <w:tc>
          <w:tcPr>
            <w:tcW w:type="dxa" w:w="2033"/>
            <w:vAlign w:val="center"/>
          </w:tcPr>
          <w:p>
            <w:r>
              <w:rPr>
                <w:sz w:val="18"/>
              </w:rPr>
              <w:t>$400 MXN; pared gruesa (~5–10 mm); atravesará la tapa y apoyará en el fondo; sobrante para pruebas</w:t>
            </w:r>
          </w:p>
        </w:tc>
      </w:tr>
      <w:tr>
        <w:trPr>
          <w:cantSplit/>
        </w:trPr>
        <w:tc>
          <w:tcPr>
            <w:tcW w:type="dxa" w:w="2033"/>
            <w:vAlign w:val="center"/>
          </w:tcPr>
          <w:p>
            <w:r>
              <w:rPr>
                <w:sz w:val="18"/>
              </w:rPr>
            </w:r>
            <w:r>
              <w:rPr>
                <w:rFonts w:ascii="Arial" w:hAnsi="Arial"/>
                <w:b/>
                <w:sz w:val="15"/>
              </w:rPr>
              <w:t>Depósito</w:t>
            </w:r>
          </w:p>
        </w:tc>
        <w:tc>
          <w:tcPr>
            <w:tcW w:type="dxa" w:w="2033"/>
            <w:vAlign w:val="center"/>
          </w:tcPr>
          <w:p>
            <w:r>
              <w:rPr>
                <w:sz w:val="18"/>
              </w:rPr>
            </w:r>
            <w:r>
              <w:rPr>
                <w:rFonts w:ascii="Arial" w:hAnsi="Arial"/>
                <w:b w:val="0"/>
                <w:sz w:val="15"/>
              </w:rPr>
              <w:t>Caja transparente 51 L, tapa rígida y sellada</w:t>
            </w:r>
          </w:p>
        </w:tc>
        <w:tc>
          <w:tcPr>
            <w:tcW w:type="dxa" w:w="2033"/>
            <w:vAlign w:val="center"/>
          </w:tcPr>
          <w:p>
            <w:r>
              <w:rPr>
                <w:sz w:val="18"/>
              </w:rPr>
            </w:r>
            <w:r>
              <w:rPr>
                <w:rFonts w:ascii="Arial" w:hAnsi="Arial"/>
                <w:b w:val="0"/>
                <w:sz w:val="15"/>
              </w:rPr>
              <w:t>1</w:t>
            </w:r>
          </w:p>
        </w:tc>
        <w:tc>
          <w:tcPr>
            <w:tcW w:type="dxa" w:w="2033"/>
            <w:vAlign w:val="center"/>
            <w:shd w:fill="E2F0D9"/>
          </w:tcPr>
          <w:p>
            <w:r>
              <w:rPr>
                <w:sz w:val="18"/>
              </w:rPr>
            </w:r>
            <w:r>
              <w:rPr>
                <w:rFonts w:ascii="Arial" w:hAnsi="Arial"/>
                <w:b w:val="0"/>
                <w:sz w:val="15"/>
              </w:rPr>
              <w:t>Comprado</w:t>
            </w:r>
          </w:p>
        </w:tc>
        <w:tc>
          <w:tcPr>
            <w:tcW w:type="dxa" w:w="2033"/>
            <w:vAlign w:val="center"/>
          </w:tcPr>
          <w:p>
            <w:r>
              <w:rPr>
                <w:sz w:val="18"/>
              </w:rPr>
            </w:r>
            <w:r>
              <w:rPr>
                <w:rFonts w:ascii="Arial" w:hAnsi="Arial"/>
                <w:b w:val="0"/>
                <w:sz w:val="15"/>
              </w:rPr>
              <w:t>$389 MXN; cubrir exterior para bloquear luz</w:t>
            </w:r>
          </w:p>
        </w:tc>
      </w:tr>
      <w:tr>
        <w:trPr>
          <w:cantSplit/>
        </w:trPr>
        <w:tc>
          <w:tcPr>
            <w:tcW w:type="dxa" w:w="2033"/>
            <w:vAlign w:val="center"/>
          </w:tcPr>
          <w:p>
            <w:r>
              <w:rPr>
                <w:sz w:val="18"/>
              </w:rPr>
            </w:r>
            <w:r>
              <w:rPr>
                <w:rFonts w:ascii="Arial" w:hAnsi="Arial"/>
                <w:b/>
                <w:sz w:val="15"/>
              </w:rPr>
              <w:t>Hidráulica</w:t>
            </w:r>
          </w:p>
        </w:tc>
        <w:tc>
          <w:tcPr>
            <w:tcW w:type="dxa" w:w="2033"/>
            <w:vAlign w:val="center"/>
          </w:tcPr>
          <w:p>
            <w:r>
              <w:rPr>
                <w:sz w:val="18"/>
              </w:rPr>
            </w:r>
            <w:r>
              <w:rPr>
                <w:rFonts w:ascii="Arial" w:hAnsi="Arial"/>
                <w:b w:val="0"/>
                <w:sz w:val="15"/>
              </w:rPr>
              <w:t>PVC 3/4" x 1.5 m</w:t>
            </w:r>
          </w:p>
        </w:tc>
        <w:tc>
          <w:tcPr>
            <w:tcW w:type="dxa" w:w="2033"/>
            <w:vAlign w:val="center"/>
          </w:tcPr>
          <w:p>
            <w:r>
              <w:rPr>
                <w:sz w:val="18"/>
              </w:rPr>
            </w:r>
            <w:r>
              <w:rPr>
                <w:rFonts w:ascii="Arial" w:hAnsi="Arial"/>
                <w:b w:val="0"/>
                <w:sz w:val="15"/>
              </w:rPr>
              <w:t>1</w:t>
            </w:r>
          </w:p>
        </w:tc>
        <w:tc>
          <w:tcPr>
            <w:tcW w:type="dxa" w:w="2033"/>
            <w:vAlign w:val="center"/>
            <w:shd w:fill="E2F0D9"/>
          </w:tcPr>
          <w:p>
            <w:r>
              <w:rPr>
                <w:sz w:val="18"/>
              </w:rPr>
            </w:r>
            <w:r>
              <w:rPr>
                <w:rFonts w:ascii="Arial" w:hAnsi="Arial"/>
                <w:b w:val="0"/>
                <w:sz w:val="15"/>
              </w:rPr>
              <w:t>Comprado</w:t>
            </w:r>
          </w:p>
        </w:tc>
        <w:tc>
          <w:tcPr>
            <w:tcW w:type="dxa" w:w="2033"/>
            <w:vAlign w:val="center"/>
          </w:tcPr>
          <w:p>
            <w:r>
              <w:rPr>
                <w:sz w:val="18"/>
              </w:rPr>
            </w:r>
            <w:r>
              <w:rPr>
                <w:rFonts w:ascii="Arial" w:hAnsi="Arial"/>
                <w:b w:val="0"/>
                <w:sz w:val="15"/>
              </w:rPr>
              <w:t>Riser principal</w:t>
            </w:r>
          </w:p>
        </w:tc>
      </w:tr>
      <w:tr>
        <w:trPr>
          <w:cantSplit/>
        </w:trPr>
        <w:tc>
          <w:tcPr>
            <w:tcW w:type="dxa" w:w="2033"/>
            <w:vAlign w:val="center"/>
          </w:tcPr>
          <w:p>
            <w:r>
              <w:rPr>
                <w:sz w:val="18"/>
              </w:rPr>
            </w:r>
            <w:r>
              <w:rPr>
                <w:rFonts w:ascii="Arial" w:hAnsi="Arial"/>
                <w:b/>
                <w:sz w:val="15"/>
              </w:rPr>
              <w:t>Hidráulica</w:t>
            </w:r>
          </w:p>
        </w:tc>
        <w:tc>
          <w:tcPr>
            <w:tcW w:type="dxa" w:w="2033"/>
            <w:vAlign w:val="center"/>
          </w:tcPr>
          <w:p>
            <w:r>
              <w:rPr>
                <w:sz w:val="18"/>
              </w:rPr>
            </w:r>
            <w:r>
              <w:rPr>
                <w:rFonts w:ascii="Arial" w:hAnsi="Arial"/>
                <w:b w:val="0"/>
                <w:sz w:val="15"/>
              </w:rPr>
              <w:t>Manguera flexible + adaptadores</w:t>
            </w:r>
          </w:p>
        </w:tc>
        <w:tc>
          <w:tcPr>
            <w:tcW w:type="dxa" w:w="2033"/>
            <w:vAlign w:val="center"/>
          </w:tcPr>
          <w:p>
            <w:r>
              <w:rPr>
                <w:sz w:val="18"/>
              </w:rPr>
            </w:r>
            <w:r>
              <w:rPr>
                <w:rFonts w:ascii="Arial" w:hAnsi="Arial"/>
                <w:b w:val="0"/>
                <w:sz w:val="15"/>
              </w:rPr>
              <w:t>1 juego</w:t>
            </w:r>
          </w:p>
        </w:tc>
        <w:tc>
          <w:tcPr>
            <w:tcW w:type="dxa" w:w="2033"/>
            <w:vAlign w:val="center"/>
            <w:shd w:fill="E2F0D9"/>
          </w:tcPr>
          <w:p>
            <w:r>
              <w:rPr>
                <w:sz w:val="18"/>
              </w:rPr>
            </w:r>
            <w:r>
              <w:rPr>
                <w:rFonts w:ascii="Arial" w:hAnsi="Arial"/>
                <w:b w:val="0"/>
                <w:sz w:val="15"/>
              </w:rPr>
              <w:t>Comprado</w:t>
            </w:r>
          </w:p>
        </w:tc>
        <w:tc>
          <w:tcPr>
            <w:tcW w:type="dxa" w:w="2033"/>
            <w:vAlign w:val="center"/>
          </w:tcPr>
          <w:p>
            <w:r>
              <w:rPr>
                <w:sz w:val="18"/>
              </w:rPr>
            </w:r>
            <w:r>
              <w:rPr>
                <w:rFonts w:ascii="Arial" w:hAnsi="Arial"/>
                <w:b w:val="0"/>
                <w:sz w:val="15"/>
              </w:rPr>
              <w:t>Bomba → PVC 3/4"</w:t>
            </w:r>
          </w:p>
        </w:tc>
      </w:tr>
      <w:tr>
        <w:trPr>
          <w:cantSplit/>
        </w:trPr>
        <w:tc>
          <w:tcPr>
            <w:tcW w:type="dxa" w:w="2033"/>
            <w:vAlign w:val="center"/>
          </w:tcPr>
          <w:p>
            <w:r>
              <w:rPr>
                <w:sz w:val="18"/>
              </w:rPr>
            </w:r>
            <w:r>
              <w:rPr>
                <w:rFonts w:ascii="Arial" w:hAnsi="Arial"/>
                <w:b/>
                <w:sz w:val="15"/>
              </w:rPr>
              <w:t>Distribución</w:t>
            </w:r>
          </w:p>
        </w:tc>
        <w:tc>
          <w:tcPr>
            <w:tcW w:type="dxa" w:w="2033"/>
            <w:vAlign w:val="center"/>
          </w:tcPr>
          <w:p>
            <w:r>
              <w:rPr>
                <w:sz w:val="18"/>
              </w:rPr>
            </w:r>
            <w:r>
              <w:rPr>
                <w:rFonts w:ascii="Arial" w:hAnsi="Arial"/>
                <w:b w:val="0"/>
                <w:sz w:val="15"/>
              </w:rPr>
              <w:t>Maceta para regadera superior</w:t>
            </w:r>
          </w:p>
        </w:tc>
        <w:tc>
          <w:tcPr>
            <w:tcW w:type="dxa" w:w="2033"/>
            <w:vAlign w:val="center"/>
          </w:tcPr>
          <w:p>
            <w:r>
              <w:rPr>
                <w:sz w:val="18"/>
              </w:rPr>
            </w:r>
            <w:r>
              <w:rPr>
                <w:rFonts w:ascii="Arial" w:hAnsi="Arial"/>
                <w:b w:val="0"/>
                <w:sz w:val="15"/>
              </w:rPr>
              <w:t>1</w:t>
            </w:r>
          </w:p>
        </w:tc>
        <w:tc>
          <w:tcPr>
            <w:tcW w:type="dxa" w:w="2033"/>
            <w:vAlign w:val="center"/>
            <w:shd w:fill="E2F0D9"/>
          </w:tcPr>
          <w:p>
            <w:r>
              <w:rPr>
                <w:sz w:val="18"/>
              </w:rPr>
            </w:r>
            <w:r>
              <w:rPr>
                <w:rFonts w:ascii="Arial" w:hAnsi="Arial"/>
                <w:b w:val="0"/>
                <w:sz w:val="15"/>
              </w:rPr>
              <w:t>Comprado</w:t>
            </w:r>
          </w:p>
        </w:tc>
        <w:tc>
          <w:tcPr>
            <w:tcW w:type="dxa" w:w="2033"/>
            <w:vAlign w:val="center"/>
          </w:tcPr>
          <w:p>
            <w:r>
              <w:rPr>
                <w:sz w:val="18"/>
              </w:rPr>
            </w:r>
            <w:r>
              <w:rPr>
                <w:rFonts w:ascii="Arial" w:hAnsi="Arial"/>
                <w:b w:val="0"/>
                <w:sz w:val="15"/>
              </w:rPr>
              <w:t>Perforación por definir en pruebas</w:t>
            </w:r>
          </w:p>
        </w:tc>
      </w:tr>
      <w:tr>
        <w:trPr>
          <w:cantSplit/>
        </w:trPr>
        <w:tc>
          <w:tcPr>
            <w:tcW w:type="dxa" w:w="2033"/>
            <w:vAlign w:val="center"/>
          </w:tcPr>
          <w:p>
            <w:r>
              <w:rPr>
                <w:sz w:val="18"/>
              </w:rPr>
            </w:r>
            <w:r>
              <w:rPr>
                <w:rFonts w:ascii="Arial" w:hAnsi="Arial"/>
                <w:b/>
                <w:sz w:val="15"/>
              </w:rPr>
              <w:t>Riego</w:t>
            </w:r>
          </w:p>
        </w:tc>
        <w:tc>
          <w:tcPr>
            <w:tcW w:type="dxa" w:w="2033"/>
            <w:vAlign w:val="center"/>
          </w:tcPr>
          <w:p>
            <w:r>
              <w:rPr>
                <w:sz w:val="18"/>
              </w:rPr>
            </w:r>
            <w:r>
              <w:rPr>
                <w:b w:val="0"/>
                <w:sz w:val="18"/>
              </w:rPr>
              <w:t>Bomba brushless 24 V, 25 W, 1000–1200 L/h</w:t>
            </w:r>
          </w:p>
        </w:tc>
        <w:tc>
          <w:tcPr>
            <w:tcW w:type="dxa" w:w="2033"/>
            <w:vAlign w:val="center"/>
          </w:tcPr>
          <w:p>
            <w:r>
              <w:rPr>
                <w:sz w:val="18"/>
              </w:rPr>
            </w:r>
            <w:r>
              <w:rPr>
                <w:rFonts w:ascii="Arial" w:hAnsi="Arial"/>
                <w:b w:val="0"/>
                <w:sz w:val="15"/>
              </w:rPr>
              <w:t>1</w:t>
            </w:r>
          </w:p>
        </w:tc>
        <w:tc>
          <w:tcPr>
            <w:tcW w:type="dxa" w:w="2033"/>
            <w:vAlign w:val="center"/>
            <w:shd w:fill="FFF2CC"/>
          </w:tcPr>
          <w:p>
            <w:r>
              <w:rPr>
                <w:sz w:val="18"/>
              </w:rPr>
              <w:t>Pedido realizado; pago/envío por confirmar</w:t>
            </w:r>
          </w:p>
        </w:tc>
        <w:tc>
          <w:tcPr>
            <w:tcW w:type="dxa" w:w="2033"/>
            <w:vAlign w:val="center"/>
          </w:tcPr>
          <w:p>
            <w:r>
              <w:rPr>
                <w:sz w:val="18"/>
              </w:rPr>
              <w:t>$242.10 mostrado en Amazon; no tratar como gasto firme hasta confirmar cargo</w:t>
            </w:r>
          </w:p>
        </w:tc>
      </w:tr>
      <w:tr>
        <w:trPr>
          <w:cantSplit/>
        </w:trPr>
        <w:tc>
          <w:tcPr>
            <w:tcW w:type="dxa" w:w="2033"/>
            <w:vAlign w:val="center"/>
          </w:tcPr>
          <w:p>
            <w:r>
              <w:rPr>
                <w:sz w:val="18"/>
              </w:rPr>
            </w:r>
            <w:r>
              <w:rPr>
                <w:rFonts w:ascii="Arial" w:hAnsi="Arial"/>
                <w:b/>
                <w:sz w:val="15"/>
              </w:rPr>
              <w:t>Cultivo</w:t>
            </w:r>
          </w:p>
        </w:tc>
        <w:tc>
          <w:tcPr>
            <w:tcW w:type="dxa" w:w="2033"/>
            <w:vAlign w:val="center"/>
          </w:tcPr>
          <w:p>
            <w:r>
              <w:rPr>
                <w:sz w:val="18"/>
              </w:rPr>
            </w:r>
            <w:r>
              <w:rPr>
                <w:rFonts w:ascii="Arial" w:hAnsi="Arial"/>
                <w:b w:val="0"/>
                <w:sz w:val="15"/>
              </w:rPr>
              <w:t>Net pots 3"</w:t>
            </w:r>
          </w:p>
        </w:tc>
        <w:tc>
          <w:tcPr>
            <w:tcW w:type="dxa" w:w="2033"/>
            <w:vAlign w:val="center"/>
          </w:tcPr>
          <w:p>
            <w:r>
              <w:rPr>
                <w:sz w:val="18"/>
              </w:rPr>
            </w:r>
            <w:r>
              <w:rPr>
                <w:rFonts w:ascii="Arial" w:hAnsi="Arial"/>
                <w:b w:val="0"/>
                <w:sz w:val="15"/>
              </w:rPr>
              <w:t>6–10</w:t>
            </w:r>
          </w:p>
        </w:tc>
        <w:tc>
          <w:tcPr>
            <w:tcW w:type="dxa" w:w="2033"/>
            <w:vAlign w:val="center"/>
            <w:shd w:fill="E2F0D9"/>
          </w:tcPr>
          <w:p>
            <w:r>
              <w:rPr>
                <w:sz w:val="18"/>
              </w:rPr>
              <w:t>Pendiente</w:t>
            </w:r>
          </w:p>
        </w:tc>
        <w:tc>
          <w:tcPr>
            <w:tcW w:type="dxa" w:w="2033"/>
            <w:vAlign w:val="center"/>
          </w:tcPr>
          <w:p>
            <w:r>
              <w:rPr>
                <w:sz w:val="18"/>
              </w:rPr>
              <w:t>El pago del pedido fue rechazado/reembolsado; priorizar compra local de canastillas 3"</w:t>
            </w:r>
          </w:p>
        </w:tc>
      </w:tr>
      <w:tr>
        <w:trPr>
          <w:cantSplit/>
        </w:trPr>
        <w:tc>
          <w:tcPr>
            <w:tcW w:type="dxa" w:w="2033"/>
            <w:vAlign w:val="center"/>
          </w:tcPr>
          <w:p>
            <w:r>
              <w:rPr>
                <w:sz w:val="18"/>
              </w:rPr>
            </w:r>
            <w:r>
              <w:rPr>
                <w:rFonts w:ascii="Arial" w:hAnsi="Arial"/>
                <w:b/>
                <w:sz w:val="15"/>
              </w:rPr>
              <w:t>Cultivo</w:t>
            </w:r>
          </w:p>
        </w:tc>
        <w:tc>
          <w:tcPr>
            <w:tcW w:type="dxa" w:w="2033"/>
            <w:vAlign w:val="center"/>
          </w:tcPr>
          <w:p>
            <w:r>
              <w:rPr>
                <w:sz w:val="18"/>
              </w:rPr>
            </w:r>
            <w:r>
              <w:rPr>
                <w:rFonts w:ascii="Arial" w:hAnsi="Arial"/>
                <w:b w:val="0"/>
                <w:sz w:val="15"/>
              </w:rPr>
              <w:t>LECA 11–12 mm</w:t>
            </w:r>
          </w:p>
        </w:tc>
        <w:tc>
          <w:tcPr>
            <w:tcW w:type="dxa" w:w="2033"/>
            <w:vAlign w:val="center"/>
          </w:tcPr>
          <w:p>
            <w:r>
              <w:rPr>
                <w:sz w:val="18"/>
              </w:rPr>
            </w:r>
            <w:r>
              <w:rPr>
                <w:rFonts w:ascii="Arial" w:hAnsi="Arial"/>
                <w:b w:val="0"/>
                <w:sz w:val="15"/>
              </w:rPr>
              <w:t>~2 L o más</w:t>
            </w:r>
          </w:p>
        </w:tc>
        <w:tc>
          <w:tcPr>
            <w:tcW w:type="dxa" w:w="2033"/>
            <w:vAlign w:val="center"/>
            <w:shd w:fill="E2F0D9"/>
          </w:tcPr>
          <w:p>
            <w:r>
              <w:rPr>
                <w:sz w:val="18"/>
              </w:rPr>
              <w:t>Pedido Amazon / por confirmar</w:t>
            </w:r>
          </w:p>
        </w:tc>
        <w:tc>
          <w:tcPr>
            <w:tcW w:type="dxa" w:w="2033"/>
            <w:vAlign w:val="center"/>
          </w:tcPr>
          <w:p>
            <w:r>
              <w:rPr>
                <w:sz w:val="18"/>
              </w:rPr>
              <w:t>11–12 mm; confirmar si el cobro/entrega de LECA quedó vigente de forma separada</w:t>
            </w:r>
          </w:p>
        </w:tc>
      </w:tr>
      <w:tr>
        <w:trPr>
          <w:cantSplit/>
        </w:trPr>
        <w:tc>
          <w:tcPr>
            <w:tcW w:type="dxa" w:w="2033"/>
            <w:vAlign w:val="center"/>
          </w:tcPr>
          <w:p>
            <w:r>
              <w:rPr>
                <w:sz w:val="18"/>
              </w:rPr>
            </w:r>
            <w:r>
              <w:rPr>
                <w:rFonts w:ascii="Arial" w:hAnsi="Arial"/>
                <w:b/>
                <w:sz w:val="15"/>
              </w:rPr>
              <w:t>Nutrientes</w:t>
            </w:r>
          </w:p>
        </w:tc>
        <w:tc>
          <w:tcPr>
            <w:tcW w:type="dxa" w:w="2033"/>
            <w:vAlign w:val="center"/>
          </w:tcPr>
          <w:p>
            <w:r>
              <w:rPr>
                <w:sz w:val="18"/>
              </w:rPr>
            </w:r>
            <w:r>
              <w:rPr>
                <w:rFonts w:ascii="Arial" w:hAnsi="Arial"/>
                <w:b w:val="0"/>
                <w:sz w:val="15"/>
              </w:rPr>
              <w:t>Kit A+B líquido 125 mL + pH Up/Down pequeños</w:t>
            </w:r>
          </w:p>
        </w:tc>
        <w:tc>
          <w:tcPr>
            <w:tcW w:type="dxa" w:w="2033"/>
            <w:vAlign w:val="center"/>
          </w:tcPr>
          <w:p>
            <w:r>
              <w:rPr>
                <w:sz w:val="18"/>
              </w:rPr>
              <w:t>Seleccionado / pendiente de compra</w:t>
            </w:r>
          </w:p>
        </w:tc>
        <w:tc>
          <w:tcPr>
            <w:tcW w:type="dxa" w:w="2033"/>
            <w:vAlign w:val="center"/>
            <w:shd w:fill="E2F0D9"/>
          </w:tcPr>
          <w:p>
            <w:r>
              <w:rPr>
                <w:sz w:val="18"/>
              </w:rPr>
              <w:t>Seleccionado / pendiente</w:t>
            </w:r>
          </w:p>
        </w:tc>
        <w:tc>
          <w:tcPr>
            <w:tcW w:type="dxa" w:w="2033"/>
            <w:vAlign w:val="center"/>
          </w:tcPr>
          <w:p>
            <w:r>
              <w:rPr>
                <w:sz w:val="18"/>
              </w:rPr>
              <w:t>Kit líquido A+B 125 mL + pH Up/Down pequeños; aún no se registra pago confirmado</w:t>
            </w:r>
          </w:p>
        </w:tc>
      </w:tr>
      <w:tr>
        <w:trPr>
          <w:cantSplit/>
        </w:trPr>
        <w:tc>
          <w:tcPr>
            <w:tcW w:type="dxa" w:w="2033"/>
            <w:vAlign w:val="center"/>
          </w:tcPr>
          <w:p>
            <w:r>
              <w:rPr>
                <w:sz w:val="18"/>
              </w:rPr>
            </w:r>
            <w:r>
              <w:rPr>
                <w:rFonts w:ascii="Arial" w:hAnsi="Arial"/>
                <w:b/>
                <w:sz w:val="15"/>
              </w:rPr>
              <w:t>pH</w:t>
            </w:r>
          </w:p>
        </w:tc>
        <w:tc>
          <w:tcPr>
            <w:tcW w:type="dxa" w:w="2033"/>
            <w:vAlign w:val="center"/>
          </w:tcPr>
          <w:p>
            <w:r>
              <w:rPr>
                <w:sz w:val="18"/>
              </w:rPr>
            </w:r>
            <w:r>
              <w:rPr>
                <w:rFonts w:ascii="Arial" w:hAnsi="Arial"/>
                <w:b w:val="0"/>
                <w:sz w:val="15"/>
              </w:rPr>
              <w:t>Ácido fosfórico</w:t>
            </w:r>
          </w:p>
        </w:tc>
        <w:tc>
          <w:tcPr>
            <w:tcW w:type="dxa" w:w="2033"/>
            <w:vAlign w:val="center"/>
          </w:tcPr>
          <w:p>
            <w:r>
              <w:rPr>
                <w:sz w:val="18"/>
              </w:rPr>
            </w:r>
            <w:r>
              <w:rPr>
                <w:rFonts w:ascii="Arial" w:hAnsi="Arial"/>
                <w:b w:val="0"/>
                <w:sz w:val="15"/>
              </w:rPr>
              <w:t>1</w:t>
            </w:r>
          </w:p>
        </w:tc>
        <w:tc>
          <w:tcPr>
            <w:tcW w:type="dxa" w:w="2033"/>
            <w:vAlign w:val="center"/>
            <w:shd w:fill="FFF2CC"/>
          </w:tcPr>
          <w:p>
            <w:r>
              <w:rPr>
                <w:sz w:val="18"/>
              </w:rPr>
              <w:t>Alternativa planeada</w:t>
            </w:r>
          </w:p>
        </w:tc>
        <w:tc>
          <w:tcPr>
            <w:tcW w:type="dxa" w:w="2033"/>
            <w:vAlign w:val="center"/>
          </w:tcPr>
          <w:p>
            <w:r>
              <w:rPr>
                <w:sz w:val="18"/>
              </w:rPr>
              <w:t>Usar sólo como reserva de pH Down y preparar solución de trabajo diluida</w:t>
            </w:r>
          </w:p>
        </w:tc>
      </w:tr>
      <w:tr>
        <w:trPr>
          <w:cantSplit/>
        </w:trPr>
        <w:tc>
          <w:tcPr>
            <w:tcW w:type="dxa" w:w="2033"/>
            <w:vAlign w:val="center"/>
          </w:tcPr>
          <w:p>
            <w:r>
              <w:rPr>
                <w:sz w:val="18"/>
              </w:rPr>
            </w:r>
            <w:r>
              <w:rPr>
                <w:rFonts w:ascii="Arial" w:hAnsi="Arial"/>
                <w:b/>
                <w:sz w:val="15"/>
              </w:rPr>
              <w:t>Plantas</w:t>
            </w:r>
          </w:p>
        </w:tc>
        <w:tc>
          <w:tcPr>
            <w:tcW w:type="dxa" w:w="2033"/>
            <w:vAlign w:val="center"/>
          </w:tcPr>
          <w:p>
            <w:r>
              <w:rPr>
                <w:sz w:val="18"/>
              </w:rPr>
            </w:r>
            <w:r>
              <w:rPr>
                <w:rFonts w:ascii="Arial" w:hAnsi="Arial"/>
                <w:b w:val="0"/>
                <w:sz w:val="15"/>
              </w:rPr>
              <w:t>Plántulas de chile</w:t>
            </w:r>
          </w:p>
        </w:tc>
        <w:tc>
          <w:tcPr>
            <w:tcW w:type="dxa" w:w="2033"/>
            <w:vAlign w:val="center"/>
          </w:tcPr>
          <w:p>
            <w:r>
              <w:rPr>
                <w:sz w:val="18"/>
              </w:rPr>
            </w:r>
            <w:r>
              <w:rPr>
                <w:rFonts w:ascii="Arial" w:hAnsi="Arial"/>
                <w:b w:val="0"/>
                <w:sz w:val="15"/>
              </w:rPr>
              <w:t>6–8</w:t>
            </w:r>
          </w:p>
        </w:tc>
        <w:tc>
          <w:tcPr>
            <w:tcW w:type="dxa" w:w="2033"/>
            <w:vAlign w:val="center"/>
            <w:shd w:fill="E2F0D9"/>
          </w:tcPr>
          <w:p>
            <w:r>
              <w:rPr>
                <w:sz w:val="18"/>
              </w:rPr>
            </w:r>
            <w:r>
              <w:rPr>
                <w:rFonts w:ascii="Arial" w:hAnsi="Arial"/>
                <w:b w:val="0"/>
                <w:sz w:val="15"/>
              </w:rPr>
              <w:t>Disponible</w:t>
            </w:r>
          </w:p>
        </w:tc>
        <w:tc>
          <w:tcPr>
            <w:tcW w:type="dxa" w:w="2033"/>
            <w:vAlign w:val="center"/>
          </w:tcPr>
          <w:p>
            <w:r>
              <w:rPr>
                <w:sz w:val="18"/>
              </w:rPr>
            </w:r>
            <w:r>
              <w:rPr>
                <w:rFonts w:ascii="Arial" w:hAnsi="Arial"/>
                <w:b w:val="0"/>
                <w:sz w:val="15"/>
              </w:rPr>
              <w:t>Prioridad de trasplante</w:t>
            </w:r>
          </w:p>
        </w:tc>
      </w:tr>
      <w:tr>
        <w:trPr>
          <w:cantSplit/>
        </w:trPr>
        <w:tc>
          <w:tcPr>
            <w:tcW w:type="dxa" w:w="2033"/>
            <w:vAlign w:val="center"/>
          </w:tcPr>
          <w:p>
            <w:r>
              <w:rPr>
                <w:sz w:val="18"/>
              </w:rPr>
            </w:r>
            <w:r>
              <w:rPr>
                <w:rFonts w:ascii="Arial" w:hAnsi="Arial"/>
                <w:b/>
                <w:sz w:val="15"/>
              </w:rPr>
              <w:t>Iluminación</w:t>
            </w:r>
          </w:p>
        </w:tc>
        <w:tc>
          <w:tcPr>
            <w:tcW w:type="dxa" w:w="2033"/>
            <w:vAlign w:val="center"/>
          </w:tcPr>
          <w:p>
            <w:r>
              <w:rPr>
                <w:sz w:val="18"/>
              </w:rPr>
            </w:r>
            <w:r>
              <w:rPr>
                <w:rFonts w:ascii="Arial" w:hAnsi="Arial"/>
                <w:b w:val="0"/>
                <w:sz w:val="15"/>
              </w:rPr>
              <w:t>LED cultivo 4 brazos ~20 W</w:t>
            </w:r>
          </w:p>
        </w:tc>
        <w:tc>
          <w:tcPr>
            <w:tcW w:type="dxa" w:w="2033"/>
            <w:vAlign w:val="center"/>
          </w:tcPr>
          <w:p>
            <w:r>
              <w:rPr>
                <w:sz w:val="18"/>
              </w:rPr>
            </w:r>
            <w:r>
              <w:rPr>
                <w:rFonts w:ascii="Arial" w:hAnsi="Arial"/>
                <w:b w:val="0"/>
                <w:sz w:val="15"/>
              </w:rPr>
              <w:t>1</w:t>
            </w:r>
          </w:p>
        </w:tc>
        <w:tc>
          <w:tcPr>
            <w:tcW w:type="dxa" w:w="2033"/>
            <w:vAlign w:val="center"/>
            <w:shd w:fill="FFF2CC"/>
          </w:tcPr>
          <w:p>
            <w:r>
              <w:rPr>
                <w:sz w:val="18"/>
              </w:rPr>
            </w:r>
            <w:r>
              <w:rPr>
                <w:b w:val="0"/>
                <w:sz w:val="18"/>
              </w:rPr>
              <w:t>Comprada / en camino</w:t>
            </w:r>
          </w:p>
        </w:tc>
        <w:tc>
          <w:tcPr>
            <w:tcW w:type="dxa" w:w="2033"/>
            <w:vAlign w:val="center"/>
          </w:tcPr>
          <w:p>
            <w:r>
              <w:rPr>
                <w:sz w:val="18"/>
              </w:rPr>
            </w:r>
            <w:r>
              <w:rPr>
                <w:b w:val="0"/>
                <w:sz w:val="18"/>
              </w:rPr>
              <w:t>$243.31 MXN total pagado en Mercado Libre</w:t>
            </w:r>
          </w:p>
        </w:tc>
      </w:tr>
      <w:tr>
        <w:trPr>
          <w:cantSplit/>
        </w:trPr>
        <w:tc>
          <w:tcPr>
            <w:tcW w:type="dxa" w:w="2033"/>
            <w:vAlign w:val="center"/>
          </w:tcPr>
          <w:p>
            <w:r>
              <w:rPr>
                <w:sz w:val="18"/>
              </w:rPr>
            </w:r>
            <w:r>
              <w:rPr>
                <w:rFonts w:ascii="Arial" w:hAnsi="Arial"/>
                <w:b/>
                <w:sz w:val="15"/>
              </w:rPr>
              <w:t>Control</w:t>
            </w:r>
          </w:p>
        </w:tc>
        <w:tc>
          <w:tcPr>
            <w:tcW w:type="dxa" w:w="2033"/>
            <w:vAlign w:val="center"/>
          </w:tcPr>
          <w:p>
            <w:r>
              <w:rPr>
                <w:sz w:val="18"/>
              </w:rPr>
            </w:r>
            <w:r>
              <w:rPr>
                <w:rFonts w:ascii="Arial" w:hAnsi="Arial"/>
                <w:b w:val="0"/>
                <w:sz w:val="15"/>
              </w:rPr>
              <w:t>ESP32 DevKit V1</w:t>
            </w:r>
          </w:p>
        </w:tc>
        <w:tc>
          <w:tcPr>
            <w:tcW w:type="dxa" w:w="2033"/>
            <w:vAlign w:val="center"/>
          </w:tcPr>
          <w:p>
            <w:r>
              <w:rPr>
                <w:sz w:val="18"/>
              </w:rPr>
            </w:r>
            <w:r>
              <w:rPr>
                <w:rFonts w:ascii="Arial" w:hAnsi="Arial"/>
                <w:b w:val="0"/>
                <w:sz w:val="15"/>
              </w:rPr>
              <w:t>1</w:t>
            </w:r>
          </w:p>
        </w:tc>
        <w:tc>
          <w:tcPr>
            <w:tcW w:type="dxa" w:w="2033"/>
            <w:vAlign w:val="center"/>
            <w:shd w:fill="E2F0D9"/>
          </w:tcPr>
          <w:p>
            <w:r>
              <w:rPr>
                <w:sz w:val="18"/>
              </w:rPr>
            </w:r>
            <w:r>
              <w:rPr>
                <w:rFonts w:ascii="Arial" w:hAnsi="Arial"/>
                <w:b w:val="0"/>
                <w:sz w:val="15"/>
              </w:rPr>
              <w:t>Disponible</w:t>
            </w:r>
          </w:p>
        </w:tc>
        <w:tc>
          <w:tcPr>
            <w:tcW w:type="dxa" w:w="2033"/>
            <w:vAlign w:val="center"/>
          </w:tcPr>
          <w:p>
            <w:r>
              <w:rPr>
                <w:sz w:val="18"/>
              </w:rPr>
            </w:r>
            <w:r>
              <w:rPr>
                <w:rFonts w:ascii="Arial" w:hAnsi="Arial"/>
                <w:b w:val="0"/>
                <w:sz w:val="15"/>
              </w:rPr>
              <w:t>Controlador principal</w:t>
            </w:r>
          </w:p>
        </w:tc>
      </w:tr>
      <w:tr>
        <w:trPr>
          <w:cantSplit/>
        </w:trPr>
        <w:tc>
          <w:tcPr>
            <w:tcW w:type="dxa" w:w="2033"/>
            <w:vAlign w:val="center"/>
          </w:tcPr>
          <w:p>
            <w:r>
              <w:rPr>
                <w:sz w:val="18"/>
              </w:rPr>
            </w:r>
            <w:r>
              <w:rPr>
                <w:rFonts w:ascii="Arial" w:hAnsi="Arial"/>
                <w:b/>
                <w:sz w:val="15"/>
              </w:rPr>
              <w:t>Sensores</w:t>
            </w:r>
          </w:p>
        </w:tc>
        <w:tc>
          <w:tcPr>
            <w:tcW w:type="dxa" w:w="2033"/>
            <w:vAlign w:val="center"/>
          </w:tcPr>
          <w:p>
            <w:r>
              <w:rPr>
                <w:sz w:val="18"/>
              </w:rPr>
            </w:r>
            <w:r>
              <w:rPr>
                <w:rFonts w:ascii="Arial" w:hAnsi="Arial"/>
                <w:b w:val="0"/>
                <w:sz w:val="15"/>
              </w:rPr>
              <w:t>pH, TDS, DS18B20, flotador, BH1750, INA219, ADS1115</w:t>
            </w:r>
          </w:p>
        </w:tc>
        <w:tc>
          <w:tcPr>
            <w:tcW w:type="dxa" w:w="2033"/>
            <w:vAlign w:val="center"/>
          </w:tcPr>
          <w:p>
            <w:r>
              <w:rPr>
                <w:sz w:val="18"/>
              </w:rPr>
            </w:r>
            <w:r>
              <w:rPr>
                <w:rFonts w:ascii="Arial" w:hAnsi="Arial"/>
                <w:b w:val="0"/>
                <w:sz w:val="15"/>
              </w:rPr>
              <w:t>1 c/u</w:t>
            </w:r>
          </w:p>
        </w:tc>
        <w:tc>
          <w:tcPr>
            <w:tcW w:type="dxa" w:w="2033"/>
            <w:vAlign w:val="center"/>
            <w:shd w:fill="FFF2CC"/>
          </w:tcPr>
          <w:p>
            <w:r>
              <w:rPr>
                <w:sz w:val="18"/>
              </w:rPr>
            </w:r>
            <w:r>
              <w:rPr>
                <w:rFonts w:ascii="Arial" w:hAnsi="Arial"/>
                <w:b w:val="0"/>
                <w:sz w:val="15"/>
              </w:rPr>
              <w:t>Pendiente / según inventario</w:t>
            </w:r>
          </w:p>
        </w:tc>
        <w:tc>
          <w:tcPr>
            <w:tcW w:type="dxa" w:w="2033"/>
            <w:vAlign w:val="center"/>
          </w:tcPr>
          <w:p>
            <w:r>
              <w:rPr>
                <w:sz w:val="18"/>
              </w:rPr>
            </w:r>
            <w:r>
              <w:rPr>
                <w:rFonts w:ascii="Arial" w:hAnsi="Arial"/>
                <w:b w:val="0"/>
                <w:sz w:val="15"/>
              </w:rPr>
              <w:t>Integración por etapas</w:t>
            </w:r>
          </w:p>
        </w:tc>
      </w:tr>
      <w:tr>
        <w:trPr>
          <w:cantSplit/>
        </w:trPr>
        <w:tc>
          <w:tcPr>
            <w:tcW w:type="dxa" w:w="2033"/>
            <w:vAlign w:val="center"/>
          </w:tcPr>
          <w:p>
            <w:r>
              <w:rPr>
                <w:sz w:val="18"/>
              </w:rPr>
            </w:r>
            <w:r>
              <w:rPr>
                <w:rFonts w:ascii="Arial" w:hAnsi="Arial"/>
                <w:b/>
                <w:sz w:val="15"/>
              </w:rPr>
              <w:t>Dosificación</w:t>
            </w:r>
          </w:p>
        </w:tc>
        <w:tc>
          <w:tcPr>
            <w:tcW w:type="dxa" w:w="2033"/>
            <w:vAlign w:val="center"/>
          </w:tcPr>
          <w:p>
            <w:r>
              <w:rPr>
                <w:sz w:val="18"/>
              </w:rPr>
              <w:t>Sistema de dosificación</w:t>
            </w:r>
          </w:p>
        </w:tc>
        <w:tc>
          <w:tcPr>
            <w:tcW w:type="dxa" w:w="2033"/>
            <w:vAlign w:val="center"/>
          </w:tcPr>
          <w:p>
            <w:r>
              <w:rPr>
                <w:sz w:val="18"/>
              </w:rPr>
              <w:t>4 canales</w:t>
            </w:r>
          </w:p>
        </w:tc>
        <w:tc>
          <w:tcPr>
            <w:tcW w:type="dxa" w:w="2033"/>
            <w:vAlign w:val="center"/>
            <w:shd w:fill="FFF2CC"/>
          </w:tcPr>
          <w:p>
            <w:r>
              <w:rPr>
                <w:sz w:val="18"/>
              </w:rPr>
              <w:t>Alternativas en evaluación</w:t>
            </w:r>
          </w:p>
        </w:tc>
        <w:tc>
          <w:tcPr>
            <w:tcW w:type="dxa" w:w="2033"/>
            <w:vAlign w:val="center"/>
          </w:tcPr>
          <w:p>
            <w:r>
              <w:rPr>
                <w:sz w:val="18"/>
              </w:rPr>
              <w:t>Peristálticas, diafragma o gravedad + servo pinch; ver sección de alternativas</w:t>
            </w:r>
          </w:p>
        </w:tc>
      </w:tr>
      <w:tr>
        <w:tc>
          <w:tcPr>
            <w:tcW w:type="dxa" w:w="2033"/>
            <w:vAlign w:val="center"/>
          </w:tcPr>
          <w:p>
            <w:r>
              <w:rPr>
                <w:sz w:val="18"/>
              </w:rPr>
            </w:r>
            <w:r>
              <w:rPr>
                <w:b w:val="0"/>
                <w:sz w:val="18"/>
              </w:rPr>
              <w:t>Cultivo</w:t>
            </w:r>
          </w:p>
        </w:tc>
        <w:tc>
          <w:tcPr>
            <w:tcW w:type="dxa" w:w="2033"/>
            <w:vAlign w:val="center"/>
          </w:tcPr>
          <w:p>
            <w:r>
              <w:rPr>
                <w:sz w:val="18"/>
              </w:rPr>
            </w:r>
            <w:r>
              <w:rPr>
                <w:b w:val="0"/>
                <w:sz w:val="18"/>
              </w:rPr>
              <w:t>Semillas adicionales</w:t>
            </w:r>
          </w:p>
        </w:tc>
        <w:tc>
          <w:tcPr>
            <w:tcW w:type="dxa" w:w="2033"/>
            <w:vAlign w:val="center"/>
          </w:tcPr>
          <w:p>
            <w:r>
              <w:rPr>
                <w:sz w:val="18"/>
              </w:rPr>
            </w:r>
            <w:r>
              <w:rPr>
                <w:b w:val="0"/>
                <w:sz w:val="18"/>
              </w:rPr>
              <w:t>—</w:t>
            </w:r>
          </w:p>
        </w:tc>
        <w:tc>
          <w:tcPr>
            <w:tcW w:type="dxa" w:w="2033"/>
            <w:vAlign w:val="center"/>
          </w:tcPr>
          <w:p>
            <w:r>
              <w:rPr>
                <w:sz w:val="18"/>
              </w:rPr>
            </w:r>
            <w:r>
              <w:rPr>
                <w:b w:val="0"/>
                <w:sz w:val="18"/>
              </w:rPr>
              <w:t>Compradas</w:t>
            </w:r>
          </w:p>
        </w:tc>
        <w:tc>
          <w:tcPr>
            <w:tcW w:type="dxa" w:w="2033"/>
            <w:vAlign w:val="center"/>
          </w:tcPr>
          <w:p>
            <w:r>
              <w:rPr>
                <w:sz w:val="18"/>
              </w:rPr>
            </w:r>
            <w:r>
              <w:rPr>
                <w:b w:val="0"/>
                <w:sz w:val="18"/>
              </w:rPr>
              <w:t>$208 MXN dentro de compra Home Depot; las plántulas actuales siguen siendo prioridad para el primer trasplante</w:t>
            </w:r>
          </w:p>
        </w:tc>
      </w:tr>
    </w:tbl>
    <w:p>
      <w:pPr>
        <w:pStyle w:val="SmallNote"/>
      </w:pPr>
      <w:r>
        <w:t>Nota de presupuesto: al 22 de septiembre de 2026 el gasto confirmado mínimo es de $1,472.25 MXN. La bomba de Amazon ($242.10) y el pedido conjunto de LECA/net pots ($346.39) se mantienen por conciliar debido a problemas de autorización/cobro; no se suman como gasto firme hasta confirmar qué cargos quedaron realmente autorizados.</w:t>
      </w:r>
    </w:p>
    <w:p>
      <w:pPr>
        <w:pStyle w:val="Heading2"/>
      </w:pPr>
      <w:r>
        <w:rPr>
          <w:sz w:val="24"/>
        </w:rPr>
        <w:t>7.1 Compras confirmadas y gasto real</w:t>
      </w:r>
    </w:p>
    <w:p>
      <w:r>
        <w:t>Los montos siguientes corresponden a pagos reales informados o visibles en los pedidos compartidos. Cuando un pedido incluye más de un artículo y no se muestra el desglose por artículo, se conserva el total conjunto para no inventar precios individuales.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D9EAD3"/>
          </w:tcPr>
          <w:p>
            <w:r>
              <w:rPr>
                <w:sz w:val="18"/>
              </w:rPr>
            </w:r>
            <w:r>
              <w:rPr>
                <w:b/>
                <w:sz w:val="17"/>
              </w:rPr>
              <w:t>Compra</w:t>
            </w:r>
          </w:p>
        </w:tc>
        <w:tc>
          <w:tcPr>
            <w:tcW w:type="dxa" w:w="2541"/>
            <w:vAlign w:val="center"/>
            <w:shd w:fill="D9EAD3"/>
          </w:tcPr>
          <w:p>
            <w:r>
              <w:rPr>
                <w:sz w:val="18"/>
              </w:rPr>
            </w:r>
            <w:r>
              <w:rPr>
                <w:b/>
                <w:sz w:val="17"/>
              </w:rPr>
              <w:t>Contenido</w:t>
            </w:r>
          </w:p>
        </w:tc>
        <w:tc>
          <w:tcPr>
            <w:tcW w:type="dxa" w:w="2541"/>
            <w:vAlign w:val="center"/>
            <w:shd w:fill="D9EAD3"/>
          </w:tcPr>
          <w:p>
            <w:r>
              <w:rPr>
                <w:sz w:val="18"/>
              </w:rPr>
            </w:r>
            <w:r>
              <w:rPr>
                <w:b/>
                <w:sz w:val="17"/>
              </w:rPr>
              <w:t>Proveedor / origen</w:t>
            </w:r>
          </w:p>
        </w:tc>
        <w:tc>
          <w:tcPr>
            <w:tcW w:type="dxa" w:w="2541"/>
            <w:vAlign w:val="center"/>
            <w:shd w:fill="D9EAD3"/>
          </w:tcPr>
          <w:p>
            <w:r>
              <w:rPr>
                <w:sz w:val="18"/>
              </w:rPr>
            </w:r>
            <w:r>
              <w:rPr>
                <w:b/>
                <w:sz w:val="17"/>
              </w:rPr>
              <w:t>Costo real</w:t>
            </w:r>
          </w:p>
        </w:tc>
      </w:tr>
      <w:tr>
        <w:tc>
          <w:tcPr>
            <w:tcW w:type="dxa" w:w="2541"/>
            <w:vAlign w:val="center"/>
          </w:tcPr>
          <w:p>
            <w:r>
              <w:rPr>
                <w:sz w:val="18"/>
              </w:rPr>
            </w:r>
            <w:r>
              <w:rPr>
                <w:b w:val="0"/>
                <w:sz w:val="16"/>
              </w:rPr>
              <w:t>Depósito</w:t>
            </w:r>
          </w:p>
        </w:tc>
        <w:tc>
          <w:tcPr>
            <w:tcW w:type="dxa" w:w="2541"/>
            <w:vAlign w:val="center"/>
          </w:tcPr>
          <w:p>
            <w:r>
              <w:rPr>
                <w:sz w:val="18"/>
              </w:rPr>
            </w:r>
            <w:r>
              <w:rPr>
                <w:b w:val="0"/>
                <w:sz w:val="16"/>
              </w:rPr>
              <w:t>Caja transparente 51 L con tapa rígida y sellada</w:t>
            </w:r>
          </w:p>
        </w:tc>
        <w:tc>
          <w:tcPr>
            <w:tcW w:type="dxa" w:w="2541"/>
            <w:vAlign w:val="center"/>
          </w:tcPr>
          <w:p>
            <w:r>
              <w:rPr>
                <w:sz w:val="18"/>
              </w:rPr>
            </w:r>
            <w:r>
              <w:rPr>
                <w:b w:val="0"/>
                <w:sz w:val="16"/>
              </w:rPr>
              <w:t>Home Depot</w:t>
            </w:r>
          </w:p>
        </w:tc>
        <w:tc>
          <w:tcPr>
            <w:tcW w:type="dxa" w:w="2541"/>
            <w:vAlign w:val="center"/>
          </w:tcPr>
          <w:p>
            <w:r>
              <w:rPr>
                <w:sz w:val="18"/>
              </w:rPr>
            </w:r>
            <w:r>
              <w:rPr>
                <w:b w:val="0"/>
                <w:sz w:val="16"/>
              </w:rPr>
              <w:t>$389.00</w:t>
            </w:r>
          </w:p>
        </w:tc>
      </w:tr>
      <w:tr>
        <w:tc>
          <w:tcPr>
            <w:tcW w:type="dxa" w:w="2541"/>
            <w:vAlign w:val="center"/>
          </w:tcPr>
          <w:p>
            <w:r>
              <w:rPr>
                <w:sz w:val="18"/>
              </w:rPr>
            </w:r>
            <w:r>
              <w:rPr>
                <w:b w:val="0"/>
                <w:sz w:val="16"/>
              </w:rPr>
              <w:t>Regadera superior</w:t>
            </w:r>
          </w:p>
        </w:tc>
        <w:tc>
          <w:tcPr>
            <w:tcW w:type="dxa" w:w="2541"/>
            <w:vAlign w:val="center"/>
          </w:tcPr>
          <w:p>
            <w:r>
              <w:rPr>
                <w:sz w:val="18"/>
              </w:rPr>
            </w:r>
            <w:r>
              <w:rPr>
                <w:b w:val="0"/>
                <w:sz w:val="16"/>
              </w:rPr>
              <w:t>Maceta para convertir en distribuidor</w:t>
            </w:r>
          </w:p>
        </w:tc>
        <w:tc>
          <w:tcPr>
            <w:tcW w:type="dxa" w:w="2541"/>
            <w:vAlign w:val="center"/>
          </w:tcPr>
          <w:p>
            <w:r>
              <w:rPr>
                <w:sz w:val="18"/>
              </w:rPr>
            </w:r>
            <w:r>
              <w:rPr>
                <w:b w:val="0"/>
                <w:sz w:val="16"/>
              </w:rPr>
              <w:t>Home Depot</w:t>
            </w:r>
          </w:p>
        </w:tc>
        <w:tc>
          <w:tcPr>
            <w:tcW w:type="dxa" w:w="2541"/>
            <w:vAlign w:val="center"/>
          </w:tcPr>
          <w:p>
            <w:r>
              <w:rPr>
                <w:sz w:val="18"/>
              </w:rPr>
            </w:r>
            <w:r>
              <w:rPr>
                <w:b w:val="0"/>
                <w:sz w:val="16"/>
              </w:rPr>
              <w:t>$105.00</w:t>
            </w:r>
          </w:p>
        </w:tc>
      </w:tr>
      <w:tr>
        <w:tc>
          <w:tcPr>
            <w:tcW w:type="dxa" w:w="2541"/>
            <w:vAlign w:val="center"/>
          </w:tcPr>
          <w:p>
            <w:r>
              <w:rPr>
                <w:sz w:val="18"/>
              </w:rPr>
            </w:r>
            <w:r>
              <w:rPr>
                <w:b w:val="0"/>
                <w:sz w:val="16"/>
              </w:rPr>
              <w:t>Semillas</w:t>
            </w:r>
          </w:p>
        </w:tc>
        <w:tc>
          <w:tcPr>
            <w:tcW w:type="dxa" w:w="2541"/>
            <w:vAlign w:val="center"/>
          </w:tcPr>
          <w:p>
            <w:r>
              <w:rPr>
                <w:sz w:val="18"/>
              </w:rPr>
            </w:r>
            <w:r>
              <w:rPr>
                <w:b w:val="0"/>
                <w:sz w:val="16"/>
              </w:rPr>
              <w:t>Semillas adicionales</w:t>
            </w:r>
          </w:p>
        </w:tc>
        <w:tc>
          <w:tcPr>
            <w:tcW w:type="dxa" w:w="2541"/>
            <w:vAlign w:val="center"/>
          </w:tcPr>
          <w:p>
            <w:r>
              <w:rPr>
                <w:sz w:val="18"/>
              </w:rPr>
            </w:r>
            <w:r>
              <w:rPr>
                <w:b w:val="0"/>
                <w:sz w:val="16"/>
              </w:rPr>
              <w:t>Home Depot</w:t>
            </w:r>
          </w:p>
        </w:tc>
        <w:tc>
          <w:tcPr>
            <w:tcW w:type="dxa" w:w="2541"/>
            <w:vAlign w:val="center"/>
          </w:tcPr>
          <w:p>
            <w:r>
              <w:rPr>
                <w:sz w:val="18"/>
              </w:rPr>
            </w:r>
            <w:r>
              <w:rPr>
                <w:b w:val="0"/>
                <w:sz w:val="16"/>
              </w:rPr>
              <w:t>$208.00</w:t>
            </w:r>
          </w:p>
        </w:tc>
      </w:tr>
      <w:tr>
        <w:tc>
          <w:tcPr>
            <w:tcW w:type="dxa" w:w="2541"/>
            <w:vAlign w:val="center"/>
          </w:tcPr>
          <w:p>
            <w:r>
              <w:rPr>
                <w:sz w:val="18"/>
              </w:rPr>
            </w:r>
            <w:r>
              <w:rPr>
                <w:b w:val="0"/>
                <w:sz w:val="16"/>
              </w:rPr>
              <w:t>Hidráulica</w:t>
            </w:r>
          </w:p>
        </w:tc>
        <w:tc>
          <w:tcPr>
            <w:tcW w:type="dxa" w:w="2541"/>
            <w:vAlign w:val="center"/>
          </w:tcPr>
          <w:p>
            <w:r>
              <w:rPr>
                <w:sz w:val="18"/>
              </w:rPr>
            </w:r>
            <w:r>
              <w:rPr>
                <w:b w:val="0"/>
                <w:sz w:val="16"/>
              </w:rPr>
              <w:t>Manguera + PVC 3/4" x 1.5 m + adaptadores</w:t>
            </w:r>
          </w:p>
        </w:tc>
        <w:tc>
          <w:tcPr>
            <w:tcW w:type="dxa" w:w="2541"/>
            <w:vAlign w:val="center"/>
          </w:tcPr>
          <w:p>
            <w:r>
              <w:rPr>
                <w:sz w:val="18"/>
              </w:rPr>
            </w:r>
            <w:r>
              <w:rPr>
                <w:b w:val="0"/>
                <w:sz w:val="16"/>
              </w:rPr>
              <w:t>Compra adicional</w:t>
            </w:r>
          </w:p>
        </w:tc>
        <w:tc>
          <w:tcPr>
            <w:tcW w:type="dxa" w:w="2541"/>
            <w:vAlign w:val="center"/>
          </w:tcPr>
          <w:p>
            <w:r>
              <w:rPr>
                <w:sz w:val="18"/>
              </w:rPr>
            </w:r>
            <w:r>
              <w:rPr>
                <w:b w:val="0"/>
                <w:sz w:val="16"/>
              </w:rPr>
              <w:t>$126.94</w:t>
            </w:r>
          </w:p>
        </w:tc>
      </w:tr>
      <w:tr>
        <w:tc>
          <w:tcPr>
            <w:tcW w:type="dxa" w:w="2541"/>
            <w:vAlign w:val="center"/>
          </w:tcPr>
          <w:p>
            <w:r>
              <w:rPr>
                <w:sz w:val="18"/>
              </w:rPr>
            </w:r>
            <w:r>
              <w:rPr>
                <w:b w:val="0"/>
                <w:sz w:val="16"/>
              </w:rPr>
              <w:t>Bomba principal</w:t>
            </w:r>
          </w:p>
        </w:tc>
        <w:tc>
          <w:tcPr>
            <w:tcW w:type="dxa" w:w="2541"/>
            <w:vAlign w:val="center"/>
          </w:tcPr>
          <w:p>
            <w:r>
              <w:rPr>
                <w:sz w:val="18"/>
              </w:rPr>
              <w:t>24 V, 25 W, 1000–1200 L/h; pedido con problema de autorización de pago</w:t>
            </w:r>
          </w:p>
        </w:tc>
        <w:tc>
          <w:tcPr>
            <w:tcW w:type="dxa" w:w="2541"/>
            <w:vAlign w:val="center"/>
          </w:tcPr>
          <w:p>
            <w:r>
              <w:rPr>
                <w:sz w:val="18"/>
              </w:rPr>
              <w:t>Pedido realizado; pago/envío por confirmar</w:t>
            </w:r>
          </w:p>
        </w:tc>
        <w:tc>
          <w:tcPr>
            <w:tcW w:type="dxa" w:w="2541"/>
            <w:vAlign w:val="center"/>
          </w:tcPr>
          <w:p>
            <w:r>
              <w:rPr>
                <w:sz w:val="18"/>
              </w:rPr>
              <w:t>$242.10 (por confirmar)</w:t>
            </w:r>
          </w:p>
        </w:tc>
      </w:tr>
      <w:tr>
        <w:tc>
          <w:tcPr>
            <w:tcW w:type="dxa" w:w="2541"/>
            <w:vAlign w:val="center"/>
          </w:tcPr>
          <w:p>
            <w:r>
              <w:rPr>
                <w:sz w:val="18"/>
              </w:rPr>
            </w:r>
            <w:r>
              <w:rPr>
                <w:b w:val="0"/>
                <w:sz w:val="16"/>
              </w:rPr>
              <w:t>Cultivo</w:t>
            </w:r>
          </w:p>
        </w:tc>
        <w:tc>
          <w:tcPr>
            <w:tcW w:type="dxa" w:w="2541"/>
            <w:vAlign w:val="center"/>
          </w:tcPr>
          <w:p>
            <w:r>
              <w:rPr>
                <w:sz w:val="18"/>
              </w:rPr>
              <w:t>Pedido Amazon LECA + net pots; net pots con pago rechazado/reembolsado</w:t>
            </w:r>
          </w:p>
        </w:tc>
        <w:tc>
          <w:tcPr>
            <w:tcW w:type="dxa" w:w="2541"/>
            <w:vAlign w:val="center"/>
          </w:tcPr>
          <w:p>
            <w:r>
              <w:rPr>
                <w:sz w:val="18"/>
              </w:rPr>
            </w:r>
            <w:r>
              <w:rPr>
                <w:b w:val="0"/>
                <w:sz w:val="16"/>
              </w:rPr>
              <w:t>Amazon México</w:t>
            </w:r>
          </w:p>
        </w:tc>
        <w:tc>
          <w:tcPr>
            <w:tcW w:type="dxa" w:w="2541"/>
            <w:vAlign w:val="center"/>
          </w:tcPr>
          <w:p>
            <w:r>
              <w:rPr>
                <w:sz w:val="18"/>
              </w:rPr>
              <w:t>$346.39 (por conciliar)</w:t>
            </w:r>
          </w:p>
        </w:tc>
      </w:tr>
      <w:tr>
        <w:tc>
          <w:tcPr>
            <w:tcW w:type="dxa" w:w="2541"/>
            <w:vAlign w:val="center"/>
          </w:tcPr>
          <w:p>
            <w:r>
              <w:rPr>
                <w:sz w:val="18"/>
              </w:rPr>
            </w:r>
            <w:r>
              <w:rPr>
                <w:b w:val="0"/>
                <w:sz w:val="16"/>
              </w:rPr>
              <w:t>Iluminación</w:t>
            </w:r>
          </w:p>
        </w:tc>
        <w:tc>
          <w:tcPr>
            <w:tcW w:type="dxa" w:w="2541"/>
            <w:vAlign w:val="center"/>
          </w:tcPr>
          <w:p>
            <w:r>
              <w:rPr>
                <w:sz w:val="18"/>
              </w:rPr>
            </w:r>
            <w:r>
              <w:rPr>
                <w:b w:val="0"/>
                <w:sz w:val="16"/>
              </w:rPr>
              <w:t>Lámpara LED de cultivo de 4 brazos</w:t>
            </w:r>
          </w:p>
        </w:tc>
        <w:tc>
          <w:tcPr>
            <w:tcW w:type="dxa" w:w="2541"/>
            <w:vAlign w:val="center"/>
          </w:tcPr>
          <w:p>
            <w:r>
              <w:rPr>
                <w:sz w:val="18"/>
              </w:rPr>
            </w:r>
            <w:r>
              <w:rPr>
                <w:b w:val="0"/>
                <w:sz w:val="16"/>
              </w:rPr>
              <w:t>Mercado Libre</w:t>
            </w:r>
          </w:p>
        </w:tc>
        <w:tc>
          <w:tcPr>
            <w:tcW w:type="dxa" w:w="2541"/>
            <w:vAlign w:val="center"/>
          </w:tcPr>
          <w:p>
            <w:r>
              <w:rPr>
                <w:sz w:val="18"/>
              </w:rPr>
            </w:r>
            <w:r>
              <w:rPr>
                <w:b w:val="0"/>
                <w:sz w:val="16"/>
              </w:rPr>
              <w:t>$243.31</w:t>
            </w:r>
          </w:p>
        </w:tc>
      </w:tr>
      <w:tr>
        <w:tc>
          <w:tcPr>
            <w:tcW w:type="dxa" w:w="2541"/>
          </w:tcPr>
          <w:p>
            <w:r>
              <w:rPr>
                <w:sz w:val="18"/>
              </w:rPr>
              <w:t>Estructura</w:t>
            </w:r>
          </w:p>
        </w:tc>
        <w:tc>
          <w:tcPr>
            <w:tcW w:type="dxa" w:w="2541"/>
          </w:tcPr>
          <w:p>
            <w:r>
              <w:rPr>
                <w:sz w:val="18"/>
              </w:rPr>
              <w:t>PVC azul rígido 6" x 2 m, pared gruesa</w:t>
            </w:r>
          </w:p>
        </w:tc>
        <w:tc>
          <w:tcPr>
            <w:tcW w:type="dxa" w:w="2541"/>
          </w:tcPr>
          <w:p>
            <w:r>
              <w:rPr>
                <w:sz w:val="18"/>
              </w:rPr>
              <w:t>Compra local</w:t>
            </w:r>
          </w:p>
        </w:tc>
        <w:tc>
          <w:tcPr>
            <w:tcW w:type="dxa" w:w="2541"/>
          </w:tcPr>
          <w:p>
            <w:r>
              <w:rPr>
                <w:sz w:val="18"/>
              </w:rPr>
              <w:t>$400.00</w:t>
            </w:r>
          </w:p>
        </w:tc>
      </w:tr>
      <w:tr>
        <w:tc>
          <w:tcPr>
            <w:tcW w:type="dxa" w:w="2541"/>
            <w:vAlign w:val="center"/>
            <w:shd w:fill="FFF2CC"/>
          </w:tcPr>
          <w:p>
            <w:r>
              <w:rPr>
                <w:sz w:val="18"/>
              </w:rPr>
              <w:t>GASTO CONFIRMADO MÍNIMO</w:t>
            </w:r>
          </w:p>
        </w:tc>
        <w:tc>
          <w:tcPr>
            <w:tcW w:type="dxa" w:w="2541"/>
            <w:vAlign w:val="center"/>
            <w:shd w:fill="FFF2CC"/>
          </w:tcPr>
          <w:p>
            <w:r>
              <w:rPr>
                <w:sz w:val="18"/>
              </w:rPr>
            </w:r>
            <w:r>
              <w:rPr>
                <w:b w:val="0"/>
                <w:sz w:val="18"/>
              </w:rPr>
            </w:r>
          </w:p>
        </w:tc>
        <w:tc>
          <w:tcPr>
            <w:tcW w:type="dxa" w:w="2541"/>
            <w:vAlign w:val="center"/>
            <w:shd w:fill="FFF2CC"/>
          </w:tcPr>
          <w:p>
            <w:r>
              <w:rPr>
                <w:sz w:val="18"/>
              </w:rPr>
            </w:r>
            <w:r>
              <w:rPr>
                <w:b w:val="0"/>
                <w:sz w:val="18"/>
              </w:rPr>
            </w:r>
          </w:p>
        </w:tc>
        <w:tc>
          <w:tcPr>
            <w:tcW w:type="dxa" w:w="2541"/>
            <w:vAlign w:val="center"/>
            <w:shd w:fill="FFF2CC"/>
          </w:tcPr>
          <w:p>
            <w:r>
              <w:rPr>
                <w:sz w:val="18"/>
              </w:rPr>
              <w:t>$1,472.25 MXN</w:t>
            </w:r>
          </w:p>
        </w:tc>
      </w:tr>
      <w:tr>
        <w:tc>
          <w:tcPr>
            <w:tcW w:type="dxa" w:w="2541"/>
          </w:tcPr>
          <w:p>
            <w:r>
              <w:rPr>
                <w:sz w:val="18"/>
              </w:rPr>
              <w:t>POR CONCILIAR</w:t>
            </w:r>
          </w:p>
        </w:tc>
        <w:tc>
          <w:tcPr>
            <w:tcW w:type="dxa" w:w="2541"/>
          </w:tcPr>
          <w:p>
            <w:r>
              <w:rPr>
                <w:sz w:val="18"/>
              </w:rPr>
              <w:t>Amazon: bomba $242.10 y pedido LECA/net pots $346.39</w:t>
            </w:r>
          </w:p>
        </w:tc>
        <w:tc>
          <w:tcPr>
            <w:tcW w:type="dxa" w:w="2541"/>
          </w:tcPr>
          <w:p>
            <w:r>
              <w:rPr>
                <w:sz w:val="18"/>
              </w:rPr>
              <w:t>No sumar hasta confirmar cargo real</w:t>
            </w:r>
          </w:p>
        </w:tc>
        <w:tc>
          <w:tcPr>
            <w:tcW w:type="dxa" w:w="2541"/>
          </w:tcPr>
          <w:p>
            <w:r>
              <w:rPr>
                <w:sz w:val="18"/>
              </w:rPr>
              <w:t>$588.49 máximo mostrado</w:t>
            </w:r>
          </w:p>
        </w:tc>
      </w:tr>
    </w:tbl>
    <w:p>
      <w:pPr>
        <w:pStyle w:val="Heading2"/>
      </w:pPr>
      <w:r>
        <w:rPr>
          <w:sz w:val="24"/>
        </w:rPr>
        <w:t>7.2 Presupuesto actualizado del prototipo</w:t>
      </w:r>
    </w:p>
    <w:p>
      <w:r>
        <w:t>Para estimar lo que falta se conservan los precios preliminares de la planeación anterior en los componentes que todavía no tienen compra real. El tubo de 6" ya fue comprado por $400 MXN, por lo que se registra en el gasto real y deja de formar parte del presupuesto pendiente.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AD3"/>
          </w:tcPr>
          <w:p>
            <w:r>
              <w:rPr>
                <w:sz w:val="18"/>
              </w:rPr>
            </w:r>
            <w:r>
              <w:rPr>
                <w:b/>
                <w:sz w:val="17"/>
              </w:rPr>
              <w:t>Bloque pendiente</w:t>
            </w:r>
          </w:p>
        </w:tc>
        <w:tc>
          <w:tcPr>
            <w:tcW w:type="dxa" w:w="3389"/>
            <w:vAlign w:val="center"/>
            <w:shd w:fill="D9EAD3"/>
          </w:tcPr>
          <w:p>
            <w:r>
              <w:rPr>
                <w:sz w:val="18"/>
              </w:rPr>
            </w:r>
            <w:r>
              <w:rPr>
                <w:b/>
                <w:sz w:val="17"/>
              </w:rPr>
              <w:t>Estimación</w:t>
            </w:r>
          </w:p>
        </w:tc>
        <w:tc>
          <w:tcPr>
            <w:tcW w:type="dxa" w:w="3389"/>
            <w:vAlign w:val="center"/>
            <w:shd w:fill="D9EAD3"/>
          </w:tcPr>
          <w:p>
            <w:r>
              <w:rPr>
                <w:sz w:val="18"/>
              </w:rPr>
            </w:r>
            <w:r>
              <w:rPr>
                <w:b/>
                <w:sz w:val="17"/>
              </w:rPr>
              <w:t>Observación</w:t>
            </w:r>
          </w:p>
        </w:tc>
      </w:tr>
      <w:tr>
        <w:tc>
          <w:tcPr>
            <w:tcW w:type="dxa" w:w="3389"/>
            <w:vAlign w:val="center"/>
          </w:tcPr>
          <w:p>
            <w:r>
              <w:rPr>
                <w:sz w:val="18"/>
              </w:rPr>
            </w:r>
            <w:r>
              <w:rPr>
                <w:b w:val="0"/>
                <w:sz w:val="16"/>
              </w:rPr>
              <w:t>Fuente, XL4015, MOSFET D4184 y relé/SSR</w:t>
            </w:r>
          </w:p>
        </w:tc>
        <w:tc>
          <w:tcPr>
            <w:tcW w:type="dxa" w:w="3389"/>
            <w:vAlign w:val="center"/>
          </w:tcPr>
          <w:p>
            <w:r>
              <w:rPr>
                <w:sz w:val="18"/>
              </w:rPr>
            </w:r>
            <w:r>
              <w:rPr>
                <w:b w:val="0"/>
                <w:sz w:val="16"/>
              </w:rPr>
              <w:t>$571</w:t>
            </w:r>
          </w:p>
        </w:tc>
        <w:tc>
          <w:tcPr>
            <w:tcW w:type="dxa" w:w="3389"/>
            <w:vAlign w:val="center"/>
          </w:tcPr>
          <w:p>
            <w:r>
              <w:rPr>
                <w:sz w:val="18"/>
              </w:rPr>
            </w:r>
            <w:r>
              <w:rPr>
                <w:b w:val="0"/>
                <w:sz w:val="16"/>
              </w:rPr>
              <w:t>Revisar fuente final después de confirmar corrientes simultáneas</w:t>
            </w:r>
          </w:p>
        </w:tc>
      </w:tr>
      <w:tr>
        <w:tc>
          <w:tcPr>
            <w:tcW w:type="dxa" w:w="3389"/>
            <w:vAlign w:val="center"/>
          </w:tcPr>
          <w:p>
            <w:r>
              <w:rPr>
                <w:sz w:val="18"/>
              </w:rPr>
            </w:r>
            <w:r>
              <w:rPr>
                <w:b w:val="0"/>
                <w:sz w:val="16"/>
              </w:rPr>
              <w:t>Sensores + ADC + medición de energía</w:t>
            </w:r>
          </w:p>
        </w:tc>
        <w:tc>
          <w:tcPr>
            <w:tcW w:type="dxa" w:w="3389"/>
            <w:vAlign w:val="center"/>
          </w:tcPr>
          <w:p>
            <w:r>
              <w:rPr>
                <w:sz w:val="18"/>
              </w:rPr>
            </w:r>
            <w:r>
              <w:rPr>
                <w:b w:val="0"/>
                <w:sz w:val="16"/>
              </w:rPr>
              <w:t>$776</w:t>
            </w:r>
          </w:p>
        </w:tc>
        <w:tc>
          <w:tcPr>
            <w:tcW w:type="dxa" w:w="3389"/>
            <w:vAlign w:val="center"/>
          </w:tcPr>
          <w:p>
            <w:r>
              <w:rPr>
                <w:sz w:val="18"/>
              </w:rPr>
            </w:r>
            <w:r>
              <w:rPr>
                <w:b w:val="0"/>
                <w:sz w:val="16"/>
              </w:rPr>
              <w:t>ADS1115, DS18B20, flotador, pH, TDS, BH1750 e INA219</w:t>
            </w:r>
          </w:p>
        </w:tc>
      </w:tr>
      <w:tr>
        <w:tc>
          <w:tcPr>
            <w:tcW w:type="dxa" w:w="3389"/>
            <w:vAlign w:val="center"/>
          </w:tcPr>
          <w:p>
            <w:r>
              <w:rPr>
                <w:sz w:val="18"/>
              </w:rPr>
              <w:t>Dosificación automática (4 canales)</w:t>
            </w:r>
          </w:p>
        </w:tc>
        <w:tc>
          <w:tcPr>
            <w:tcW w:type="dxa" w:w="3389"/>
            <w:vAlign w:val="center"/>
          </w:tcPr>
          <w:p>
            <w:r>
              <w:rPr>
                <w:sz w:val="18"/>
              </w:rPr>
              <w:t>$100–$1,600 aprox.</w:t>
            </w:r>
          </w:p>
        </w:tc>
        <w:tc>
          <w:tcPr>
            <w:tcW w:type="dxa" w:w="3389"/>
            <w:vAlign w:val="center"/>
          </w:tcPr>
          <w:p>
            <w:r>
              <w:rPr>
                <w:sz w:val="18"/>
              </w:rPr>
              <w:t>Depende de alternativa: gravedad+servos, bombas de diafragma, peristálticas genéricas o G328</w:t>
            </w:r>
          </w:p>
        </w:tc>
      </w:tr>
      <w:tr>
        <w:tc>
          <w:tcPr>
            <w:tcW w:type="dxa" w:w="3389"/>
            <w:vAlign w:val="center"/>
          </w:tcPr>
          <w:p>
            <w:r>
              <w:rPr>
                <w:sz w:val="18"/>
              </w:rPr>
            </w:r>
            <w:r>
              <w:rPr>
                <w:b w:val="0"/>
                <w:sz w:val="16"/>
              </w:rPr>
              <w:t>Kit de nutrientes/pH + ácido fosfórico + buffers</w:t>
            </w:r>
          </w:p>
        </w:tc>
        <w:tc>
          <w:tcPr>
            <w:tcW w:type="dxa" w:w="3389"/>
            <w:vAlign w:val="center"/>
          </w:tcPr>
          <w:p>
            <w:r>
              <w:rPr>
                <w:sz w:val="18"/>
              </w:rPr>
              <w:t>Por definir</w:t>
            </w:r>
          </w:p>
        </w:tc>
        <w:tc>
          <w:tcPr>
            <w:tcW w:type="dxa" w:w="3389"/>
            <w:vAlign w:val="center"/>
          </w:tcPr>
          <w:p>
            <w:r>
              <w:rPr>
                <w:sz w:val="18"/>
              </w:rPr>
              <w:t>Kit A+B/pH seleccionado y ácido fosfórico opcional; no registrar como compra hasta pago real</w:t>
            </w:r>
          </w:p>
        </w:tc>
      </w:tr>
      <w:tr>
        <w:tc>
          <w:tcPr>
            <w:tcW w:type="dxa" w:w="3389"/>
            <w:vAlign w:val="center"/>
          </w:tcPr>
          <w:p>
            <w:r>
              <w:rPr>
                <w:sz w:val="18"/>
              </w:rPr>
            </w:r>
            <w:r>
              <w:rPr>
                <w:b w:val="0"/>
                <w:sz w:val="16"/>
              </w:rPr>
              <w:t>Integración eléctrica y consumibles</w:t>
            </w:r>
          </w:p>
        </w:tc>
        <w:tc>
          <w:tcPr>
            <w:tcW w:type="dxa" w:w="3389"/>
            <w:vAlign w:val="center"/>
          </w:tcPr>
          <w:p>
            <w:r>
              <w:rPr>
                <w:sz w:val="18"/>
              </w:rPr>
            </w:r>
            <w:r>
              <w:rPr>
                <w:b w:val="0"/>
                <w:sz w:val="16"/>
              </w:rPr>
              <w:t>$300</w:t>
            </w:r>
          </w:p>
        </w:tc>
        <w:tc>
          <w:tcPr>
            <w:tcW w:type="dxa" w:w="3389"/>
            <w:vAlign w:val="center"/>
          </w:tcPr>
          <w:p>
            <w:r>
              <w:rPr>
                <w:sz w:val="18"/>
              </w:rPr>
            </w:r>
            <w:r>
              <w:rPr>
                <w:b w:val="0"/>
                <w:sz w:val="16"/>
              </w:rPr>
              <w:t>Caja, fusibles, borneras, conectores y cableado; estimación conservadora</w:t>
            </w:r>
          </w:p>
        </w:tc>
      </w:tr>
      <w:tr>
        <w:tc>
          <w:tcPr>
            <w:tcW w:type="dxa" w:w="3389"/>
            <w:vAlign w:val="center"/>
          </w:tcPr>
          <w:p>
            <w:r>
              <w:rPr>
                <w:sz w:val="18"/>
              </w:rPr>
            </w:r>
            <w:r>
              <w:rPr>
                <w:b w:val="0"/>
                <w:sz w:val="16"/>
              </w:rPr>
              <w:t>PVC azul de 6" x 2 m</w:t>
            </w:r>
          </w:p>
        </w:tc>
        <w:tc>
          <w:tcPr>
            <w:tcW w:type="dxa" w:w="3389"/>
            <w:vAlign w:val="center"/>
          </w:tcPr>
          <w:p>
            <w:r>
              <w:rPr>
                <w:sz w:val="18"/>
              </w:rPr>
              <w:t>$0 pendiente</w:t>
            </w:r>
          </w:p>
        </w:tc>
        <w:tc>
          <w:tcPr>
            <w:tcW w:type="dxa" w:w="3389"/>
            <w:vAlign w:val="center"/>
          </w:tcPr>
          <w:p>
            <w:r>
              <w:rPr>
                <w:sz w:val="18"/>
              </w:rPr>
              <w:t>Comprado por $400 MXN; ya registrado en gasto real</w:t>
            </w:r>
          </w:p>
        </w:tc>
      </w:tr>
      <w:tr>
        <w:tc>
          <w:tcPr>
            <w:tcW w:type="dxa" w:w="3389"/>
            <w:vAlign w:val="center"/>
            <w:shd w:fill="E2F0D9"/>
          </w:tcPr>
          <w:p>
            <w:r>
              <w:rPr>
                <w:sz w:val="18"/>
              </w:rPr>
              <w:t>Pendiente restante</w:t>
            </w:r>
          </w:p>
        </w:tc>
        <w:tc>
          <w:tcPr>
            <w:tcW w:type="dxa" w:w="3389"/>
            <w:vAlign w:val="center"/>
            <w:shd w:fill="E2F0D9"/>
          </w:tcPr>
          <w:p>
            <w:r>
              <w:rPr>
                <w:sz w:val="18"/>
              </w:rPr>
              <w:t>Variable</w:t>
            </w:r>
          </w:p>
        </w:tc>
        <w:tc>
          <w:tcPr>
            <w:tcW w:type="dxa" w:w="3389"/>
            <w:vAlign w:val="center"/>
            <w:shd w:fill="E2F0D9"/>
          </w:tcPr>
          <w:p>
            <w:r>
              <w:rPr>
                <w:sz w:val="18"/>
              </w:rPr>
              <w:t>Recalcular después de conciliar Amazon y seleccionar arquitectura de dosificación</w:t>
            </w:r>
          </w:p>
        </w:tc>
      </w:tr>
      <w:tr>
        <w:tc>
          <w:tcPr>
            <w:tcW w:type="dxa" w:w="3389"/>
            <w:vAlign w:val="center"/>
            <w:shd w:fill="FFF2CC"/>
          </w:tcPr>
          <w:p>
            <w:r>
              <w:rPr>
                <w:sz w:val="18"/>
              </w:rPr>
              <w:t>Proyección total</w:t>
            </w:r>
          </w:p>
        </w:tc>
        <w:tc>
          <w:tcPr>
            <w:tcW w:type="dxa" w:w="3389"/>
            <w:vAlign w:val="center"/>
            <w:shd w:fill="FFF2CC"/>
          </w:tcPr>
          <w:p>
            <w:r>
              <w:rPr>
                <w:sz w:val="18"/>
              </w:rPr>
              <w:t>Por recalcular</w:t>
            </w:r>
          </w:p>
        </w:tc>
        <w:tc>
          <w:tcPr>
            <w:tcW w:type="dxa" w:w="3389"/>
            <w:vAlign w:val="center"/>
            <w:shd w:fill="FFF2CC"/>
          </w:tcPr>
          <w:p>
            <w:r>
              <w:rPr>
                <w:sz w:val="18"/>
              </w:rPr>
              <w:t>La proyección anterior deja de ser válida por pagos rechazados y nuevas alternativas de bajo costo</w:t>
            </w:r>
          </w:p>
        </w:tc>
      </w:tr>
    </w:tbl>
    <w:p>
      <w:r>
        <w:t>El margen frente al objetivo de $6,000 MXN se recalculará después de conciliar los pedidos de Amazon y elegir la arquitectura definitiva de dosificación. Las alternativas de gravedad con servos o bombas económicas pueden reducir de forma importante el costo frente a cuatro bombas peristálticas G328.</w:t>
      </w:r>
    </w:p>
    <w:p>
      <w:pPr>
        <w:pStyle w:val="Heading1"/>
        <w:keepNext/>
        <w:spacing w:before="160" w:after="80"/>
      </w:pPr>
      <w:r>
        <w:t>8. Secuencia de armado recomendada</w:t>
      </w:r>
    </w:p>
    <w:p>
      <w:pPr>
        <w:pStyle w:val="ListNumber"/>
        <w:spacing w:after="40"/>
      </w:pPr>
      <w:r>
        <w:t>Revisar el tubo azul de 6" x 2 m ya comprado: diámetro, espesor real, rectitud y estado de la pared.</w:t>
      </w:r>
    </w:p>
    <w:p>
      <w:pPr>
        <w:pStyle w:val="ListNumber"/>
        <w:spacing w:after="40"/>
      </w:pPr>
      <w:r>
        <w:t>Medir primero la profundidad interna del depósito y marcar la longitud necesaria para conservar ~1.30 m visibles sobre la tapa. Reservar el sobrante para practicar calentamiento, moldeado y cortes.</w:t>
      </w:r>
    </w:p>
    <w:p>
      <w:pPr>
        <w:pStyle w:val="ListNumber"/>
        <w:spacing w:after="40"/>
      </w:pPr>
      <w:r>
        <w:t>Preparar en la parte inferior 3–4 aberturas amplias y redondeadas que permitan el retorno del agua, dejen zonas sólidas de apoyo y permitan el paso de la manguera sin pinzarla.</w:t>
      </w:r>
    </w:p>
    <w:p>
      <w:pPr>
        <w:pStyle w:val="ListNumber"/>
        <w:spacing w:after="40"/>
      </w:pPr>
      <w:r>
        <w:rPr>
          <w:rFonts w:ascii="Arial" w:hAnsi="Arial"/>
          <w:sz w:val="20"/>
        </w:rPr>
        <w:t>Medir físicamente los net pots y fabricar un primer anillo/soporte de prueba. Ajustar antes de repetir el resto.</w:t>
      </w:r>
    </w:p>
    <w:p>
      <w:pPr>
        <w:pStyle w:val="ListNumber"/>
        <w:spacing w:after="40"/>
      </w:pPr>
      <w:r>
        <w:rPr>
          <w:rFonts w:ascii="Arial" w:hAnsi="Arial"/>
          <w:sz w:val="20"/>
        </w:rPr>
        <w:t>Marcar posiciones de las plantas en la torre buscando distribución escalonada y espacio para crecimiento.</w:t>
      </w:r>
    </w:p>
    <w:p>
      <w:pPr>
        <w:pStyle w:val="ListNumber"/>
        <w:spacing w:after="40"/>
      </w:pPr>
      <w:r>
        <w:t>Preparar la tapa del depósito con una abertura ajustada al tubo de 6". La tapa debe estabilizar lateralmente la torre, mientras el peso vertical se transmite al fondo del depósito.</w:t>
      </w:r>
    </w:p>
    <w:p>
      <w:pPr>
        <w:pStyle w:val="ListNumber"/>
        <w:spacing w:after="40"/>
      </w:pPr>
      <w:r>
        <w:rPr>
          <w:rFonts w:ascii="Arial" w:hAnsi="Arial"/>
          <w:sz w:val="20"/>
        </w:rPr>
        <w:t>Instalar bomba, manguera, adaptadores y PVC de 3/4".</w:t>
      </w:r>
    </w:p>
    <w:p>
      <w:pPr>
        <w:pStyle w:val="ListNumber"/>
        <w:spacing w:after="40"/>
      </w:pPr>
      <w:r>
        <w:rPr>
          <w:rFonts w:ascii="Arial" w:hAnsi="Arial"/>
          <w:sz w:val="20"/>
        </w:rPr>
        <w:t>Adaptar la maceta superior como regadera y hacer una primera versión de perforaciones.</w:t>
      </w:r>
    </w:p>
    <w:p>
      <w:pPr>
        <w:pStyle w:val="ListNumber"/>
        <w:spacing w:after="40"/>
      </w:pPr>
      <w:r>
        <w:rPr>
          <w:rFonts w:ascii="Arial" w:hAnsi="Arial"/>
          <w:sz w:val="20"/>
        </w:rPr>
        <w:t>Hacer una prueba completa únicamente con agua durante varias horas. Revisar fugas, retorno, nivel y uniformidad de riego.</w:t>
      </w:r>
    </w:p>
    <w:p>
      <w:pPr>
        <w:pStyle w:val="ListNumber"/>
        <w:spacing w:after="40"/>
      </w:pPr>
      <w:r>
        <w:rPr>
          <w:rFonts w:ascii="Arial" w:hAnsi="Arial"/>
          <w:sz w:val="20"/>
        </w:rPr>
        <w:t>Ajustar caudal y perforaciones de la regadera. Medir caudal real a la altura final.</w:t>
      </w:r>
    </w:p>
    <w:p>
      <w:pPr>
        <w:pStyle w:val="ListNumber"/>
        <w:spacing w:after="40"/>
      </w:pPr>
      <w:r>
        <w:rPr>
          <w:rFonts w:ascii="Arial" w:hAnsi="Arial"/>
          <w:sz w:val="20"/>
        </w:rPr>
        <w:t>Cubrir externamente el depósito y el distribuidor transparente para bloquear la luz.</w:t>
      </w:r>
    </w:p>
    <w:p>
      <w:pPr>
        <w:pStyle w:val="ListNumber"/>
        <w:spacing w:after="40"/>
      </w:pPr>
      <w:r>
        <w:rPr>
          <w:rFonts w:ascii="Arial" w:hAnsi="Arial"/>
          <w:sz w:val="20"/>
        </w:rPr>
        <w:t>Enjuagar LECA, preparar net pots y limpiar con cuidado las raíces de las plántulas.</w:t>
      </w:r>
    </w:p>
    <w:p>
      <w:pPr>
        <w:pStyle w:val="ListNumber"/>
        <w:spacing w:after="40"/>
      </w:pPr>
      <w:r>
        <w:rPr>
          <w:rFonts w:ascii="Arial" w:hAnsi="Arial"/>
          <w:sz w:val="20"/>
        </w:rPr>
        <w:t>Preparar solución nutritiva inicial siguiendo la etiqueta del kit A+B, medir pH/TDS y trasplantar.</w:t>
      </w:r>
    </w:p>
    <w:p>
      <w:pPr>
        <w:pStyle w:val="ListNumber"/>
        <w:spacing w:after="40"/>
      </w:pPr>
      <w:r>
        <w:rPr>
          <w:rFonts w:ascii="Arial" w:hAnsi="Arial"/>
          <w:sz w:val="20"/>
        </w:rPr>
        <w:t>Integrar sensores, control ESP32 y automatización gradualmente sin interrumpir la circulación básica.</w:t>
      </w:r>
    </w:p>
    <w:p>
      <w:pPr>
        <w:pStyle w:val="ListNumber"/>
        <w:spacing w:after="40"/>
      </w:pPr>
      <w:r>
        <w:t>Calibrar el sistema de dosificación seleccionado antes de permitir automatización: mL/s para bombas o mL por segundo de apertura para el sistema de gravedad/servo.</w:t>
      </w:r>
    </w:p>
    <w:p>
      <w:pPr>
        <w:pStyle w:val="Heading1"/>
        <w:keepNext/>
        <w:pageBreakBefore/>
        <w:spacing w:before="160" w:after="80"/>
      </w:pPr>
      <w:r>
        <w:t>9. Pruebas obligatorias antes de automatizar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2F6B5F"/>
          </w:tcPr>
          <w:p>
            <w:r>
              <w:rPr>
                <w:sz w:val="18"/>
              </w:rPr>
            </w:r>
            <w:r>
              <w:rPr>
                <w:rFonts w:ascii="Arial" w:hAnsi="Arial"/>
                <w:b/>
                <w:color w:val="FFFFFF"/>
                <w:sz w:val="17"/>
              </w:rPr>
              <w:t>Prueba</w:t>
            </w:r>
          </w:p>
        </w:tc>
        <w:tc>
          <w:tcPr>
            <w:tcW w:type="dxa" w:w="3389"/>
            <w:vAlign w:val="center"/>
            <w:shd w:fill="2F6B5F"/>
          </w:tcPr>
          <w:p>
            <w:r>
              <w:rPr>
                <w:sz w:val="18"/>
              </w:rPr>
            </w:r>
            <w:r>
              <w:rPr>
                <w:rFonts w:ascii="Arial" w:hAnsi="Arial"/>
                <w:b/>
                <w:color w:val="FFFFFF"/>
                <w:sz w:val="17"/>
              </w:rPr>
              <w:t>Método</w:t>
            </w:r>
          </w:p>
        </w:tc>
        <w:tc>
          <w:tcPr>
            <w:tcW w:type="dxa" w:w="3389"/>
            <w:vAlign w:val="center"/>
            <w:shd w:fill="2F6B5F"/>
          </w:tcPr>
          <w:p>
            <w:r>
              <w:rPr>
                <w:sz w:val="18"/>
              </w:rPr>
            </w:r>
            <w:r>
              <w:rPr>
                <w:rFonts w:ascii="Arial" w:hAnsi="Arial"/>
                <w:b/>
                <w:color w:val="FFFFFF"/>
                <w:sz w:val="17"/>
              </w:rPr>
              <w:t>Criterio</w:t>
            </w:r>
          </w:p>
        </w:tc>
      </w:tr>
      <w:tr>
        <w:trPr>
          <w:cantSplit/>
        </w:trPr>
        <w:tc>
          <w:tcPr>
            <w:tcW w:type="dxa" w:w="3389"/>
            <w:vAlign w:val="center"/>
          </w:tcPr>
          <w:p>
            <w:r>
              <w:rPr>
                <w:sz w:val="18"/>
              </w:rPr>
            </w:r>
            <w:r>
              <w:rPr>
                <w:rFonts w:ascii="Arial" w:hAnsi="Arial"/>
                <w:b/>
                <w:sz w:val="16"/>
              </w:rPr>
              <w:t>Prueba de fugas</w:t>
            </w:r>
          </w:p>
        </w:tc>
        <w:tc>
          <w:tcPr>
            <w:tcW w:type="dxa" w:w="3389"/>
            <w:vAlign w:val="center"/>
          </w:tcPr>
          <w:p>
            <w:r>
              <w:rPr>
                <w:sz w:val="18"/>
              </w:rPr>
            </w:r>
            <w:r>
              <w:rPr>
                <w:rFonts w:ascii="Arial" w:hAnsi="Arial"/>
                <w:b w:val="0"/>
                <w:sz w:val="16"/>
              </w:rPr>
              <w:t>Agua limpia; varias horas de operación</w:t>
            </w:r>
          </w:p>
        </w:tc>
        <w:tc>
          <w:tcPr>
            <w:tcW w:type="dxa" w:w="3389"/>
            <w:vAlign w:val="center"/>
          </w:tcPr>
          <w:p>
            <w:r>
              <w:rPr>
                <w:sz w:val="18"/>
              </w:rPr>
            </w:r>
            <w:r>
              <w:rPr>
                <w:rFonts w:ascii="Arial" w:hAnsi="Arial"/>
                <w:b w:val="0"/>
                <w:sz w:val="16"/>
              </w:rPr>
              <w:t>Sin goteos ni salida fuera del depósito</w:t>
            </w:r>
          </w:p>
        </w:tc>
      </w:tr>
      <w:tr>
        <w:trPr>
          <w:cantSplit/>
        </w:trPr>
        <w:tc>
          <w:tcPr>
            <w:tcW w:type="dxa" w:w="3389"/>
            <w:vAlign w:val="center"/>
          </w:tcPr>
          <w:p>
            <w:r>
              <w:rPr>
                <w:sz w:val="18"/>
              </w:rPr>
            </w:r>
            <w:r>
              <w:rPr>
                <w:rFonts w:ascii="Arial" w:hAnsi="Arial"/>
                <w:b/>
                <w:sz w:val="16"/>
              </w:rPr>
              <w:t>Caudal superior</w:t>
            </w:r>
          </w:p>
        </w:tc>
        <w:tc>
          <w:tcPr>
            <w:tcW w:type="dxa" w:w="3389"/>
            <w:vAlign w:val="center"/>
          </w:tcPr>
          <w:p>
            <w:r>
              <w:rPr>
                <w:sz w:val="18"/>
              </w:rPr>
            </w:r>
            <w:r>
              <w:rPr>
                <w:rFonts w:ascii="Arial" w:hAnsi="Arial"/>
                <w:b w:val="0"/>
                <w:sz w:val="16"/>
              </w:rPr>
              <w:t>Medir L/min a la altura final</w:t>
            </w:r>
          </w:p>
        </w:tc>
        <w:tc>
          <w:tcPr>
            <w:tcW w:type="dxa" w:w="3389"/>
            <w:vAlign w:val="center"/>
          </w:tcPr>
          <w:p>
            <w:r>
              <w:rPr>
                <w:sz w:val="18"/>
              </w:rPr>
            </w:r>
            <w:r>
              <w:rPr>
                <w:rFonts w:ascii="Arial" w:hAnsi="Arial"/>
                <w:b w:val="0"/>
                <w:sz w:val="16"/>
              </w:rPr>
              <w:t>Flujo suficiente para mojar uniformemente la torre</w:t>
            </w:r>
          </w:p>
        </w:tc>
      </w:tr>
      <w:tr>
        <w:trPr>
          <w:cantSplit/>
        </w:trPr>
        <w:tc>
          <w:tcPr>
            <w:tcW w:type="dxa" w:w="3389"/>
            <w:vAlign w:val="center"/>
          </w:tcPr>
          <w:p>
            <w:r>
              <w:rPr>
                <w:sz w:val="18"/>
              </w:rPr>
            </w:r>
            <w:r>
              <w:rPr>
                <w:rFonts w:ascii="Arial" w:hAnsi="Arial"/>
                <w:b/>
                <w:sz w:val="16"/>
              </w:rPr>
              <w:t>Retorno</w:t>
            </w:r>
          </w:p>
        </w:tc>
        <w:tc>
          <w:tcPr>
            <w:tcW w:type="dxa" w:w="3389"/>
            <w:vAlign w:val="center"/>
          </w:tcPr>
          <w:p>
            <w:r>
              <w:rPr>
                <w:sz w:val="18"/>
              </w:rPr>
            </w:r>
            <w:r>
              <w:rPr>
                <w:rFonts w:ascii="Arial" w:hAnsi="Arial"/>
                <w:b w:val="0"/>
                <w:sz w:val="16"/>
              </w:rPr>
              <w:t>Apagar bomba con sistema lleno</w:t>
            </w:r>
          </w:p>
        </w:tc>
        <w:tc>
          <w:tcPr>
            <w:tcW w:type="dxa" w:w="3389"/>
            <w:vAlign w:val="center"/>
          </w:tcPr>
          <w:p>
            <w:r>
              <w:rPr>
                <w:sz w:val="18"/>
              </w:rPr>
            </w:r>
            <w:r>
              <w:rPr>
                <w:rFonts w:ascii="Arial" w:hAnsi="Arial"/>
                <w:b w:val="0"/>
                <w:sz w:val="16"/>
              </w:rPr>
              <w:t>El agua que regresa no desborda el depósito</w:t>
            </w:r>
          </w:p>
        </w:tc>
      </w:tr>
      <w:tr>
        <w:trPr>
          <w:cantSplit/>
        </w:trPr>
        <w:tc>
          <w:tcPr>
            <w:tcW w:type="dxa" w:w="3389"/>
            <w:vAlign w:val="center"/>
          </w:tcPr>
          <w:p>
            <w:r>
              <w:rPr>
                <w:sz w:val="18"/>
              </w:rPr>
            </w:r>
            <w:r>
              <w:rPr>
                <w:rFonts w:ascii="Arial" w:hAnsi="Arial"/>
                <w:b/>
                <w:sz w:val="16"/>
              </w:rPr>
              <w:t>Regadera</w:t>
            </w:r>
          </w:p>
        </w:tc>
        <w:tc>
          <w:tcPr>
            <w:tcW w:type="dxa" w:w="3389"/>
            <w:vAlign w:val="center"/>
          </w:tcPr>
          <w:p>
            <w:r>
              <w:rPr>
                <w:sz w:val="18"/>
              </w:rPr>
            </w:r>
            <w:r>
              <w:rPr>
                <w:rFonts w:ascii="Arial" w:hAnsi="Arial"/>
                <w:b w:val="0"/>
                <w:sz w:val="16"/>
              </w:rPr>
              <w:t>Observar distribución</w:t>
            </w:r>
          </w:p>
        </w:tc>
        <w:tc>
          <w:tcPr>
            <w:tcW w:type="dxa" w:w="3389"/>
            <w:vAlign w:val="center"/>
          </w:tcPr>
          <w:p>
            <w:r>
              <w:rPr>
                <w:sz w:val="18"/>
              </w:rPr>
            </w:r>
            <w:r>
              <w:rPr>
                <w:rFonts w:ascii="Arial" w:hAnsi="Arial"/>
                <w:b w:val="0"/>
                <w:sz w:val="16"/>
              </w:rPr>
              <w:t>Sin zonas secas importantes ni chorros que salgan de la torre</w:t>
            </w:r>
          </w:p>
        </w:tc>
      </w:tr>
      <w:tr>
        <w:trPr>
          <w:cantSplit/>
        </w:trPr>
        <w:tc>
          <w:tcPr>
            <w:tcW w:type="dxa" w:w="3389"/>
            <w:vAlign w:val="center"/>
          </w:tcPr>
          <w:p>
            <w:r>
              <w:rPr>
                <w:sz w:val="18"/>
              </w:rPr>
            </w:r>
            <w:r>
              <w:rPr>
                <w:rFonts w:ascii="Arial" w:hAnsi="Arial"/>
                <w:b/>
                <w:sz w:val="16"/>
              </w:rPr>
              <w:t>Obstrucción</w:t>
            </w:r>
          </w:p>
        </w:tc>
        <w:tc>
          <w:tcPr>
            <w:tcW w:type="dxa" w:w="3389"/>
            <w:vAlign w:val="center"/>
          </w:tcPr>
          <w:p>
            <w:r>
              <w:rPr>
                <w:sz w:val="18"/>
              </w:rPr>
            </w:r>
            <w:r>
              <w:rPr>
                <w:rFonts w:ascii="Arial" w:hAnsi="Arial"/>
                <w:b w:val="0"/>
                <w:sz w:val="16"/>
              </w:rPr>
              <w:t>Inspeccionar rejilla y drenaje</w:t>
            </w:r>
          </w:p>
        </w:tc>
        <w:tc>
          <w:tcPr>
            <w:tcW w:type="dxa" w:w="3389"/>
            <w:vAlign w:val="center"/>
          </w:tcPr>
          <w:p>
            <w:r>
              <w:rPr>
                <w:sz w:val="18"/>
              </w:rPr>
            </w:r>
            <w:r>
              <w:rPr>
                <w:rFonts w:ascii="Arial" w:hAnsi="Arial"/>
                <w:b w:val="0"/>
                <w:sz w:val="16"/>
              </w:rPr>
              <w:t>Paso libre; rejilla removible</w:t>
            </w:r>
          </w:p>
        </w:tc>
      </w:tr>
      <w:tr>
        <w:trPr>
          <w:cantSplit/>
        </w:trPr>
        <w:tc>
          <w:tcPr>
            <w:tcW w:type="dxa" w:w="3389"/>
            <w:vAlign w:val="center"/>
          </w:tcPr>
          <w:p>
            <w:r>
              <w:rPr>
                <w:sz w:val="18"/>
              </w:rPr>
            </w:r>
            <w:r>
              <w:rPr>
                <w:rFonts w:ascii="Arial" w:hAnsi="Arial"/>
                <w:b/>
                <w:sz w:val="16"/>
              </w:rPr>
              <w:t>LECA</w:t>
            </w:r>
          </w:p>
        </w:tc>
        <w:tc>
          <w:tcPr>
            <w:tcW w:type="dxa" w:w="3389"/>
            <w:vAlign w:val="center"/>
          </w:tcPr>
          <w:p>
            <w:r>
              <w:rPr>
                <w:sz w:val="18"/>
              </w:rPr>
            </w:r>
            <w:r>
              <w:rPr>
                <w:rFonts w:ascii="Arial" w:hAnsi="Arial"/>
                <w:b w:val="0"/>
                <w:sz w:val="16"/>
              </w:rPr>
              <w:t>Enjuague previo</w:t>
            </w:r>
          </w:p>
        </w:tc>
        <w:tc>
          <w:tcPr>
            <w:tcW w:type="dxa" w:w="3389"/>
            <w:vAlign w:val="center"/>
          </w:tcPr>
          <w:p>
            <w:r>
              <w:rPr>
                <w:sz w:val="18"/>
              </w:rPr>
            </w:r>
            <w:r>
              <w:rPr>
                <w:rFonts w:ascii="Arial" w:hAnsi="Arial"/>
                <w:b w:val="0"/>
                <w:sz w:val="16"/>
              </w:rPr>
              <w:t>Sin polvo fino visible circulando</w:t>
            </w:r>
          </w:p>
        </w:tc>
      </w:tr>
      <w:tr>
        <w:trPr>
          <w:cantSplit/>
        </w:trPr>
        <w:tc>
          <w:tcPr>
            <w:tcW w:type="dxa" w:w="3389"/>
            <w:vAlign w:val="center"/>
          </w:tcPr>
          <w:p>
            <w:r>
              <w:rPr>
                <w:sz w:val="18"/>
              </w:rPr>
            </w:r>
            <w:r>
              <w:rPr>
                <w:rFonts w:ascii="Arial" w:hAnsi="Arial"/>
                <w:b/>
                <w:sz w:val="16"/>
              </w:rPr>
              <w:t>pH/TDS</w:t>
            </w:r>
          </w:p>
        </w:tc>
        <w:tc>
          <w:tcPr>
            <w:tcW w:type="dxa" w:w="3389"/>
            <w:vAlign w:val="center"/>
          </w:tcPr>
          <w:p>
            <w:r>
              <w:rPr>
                <w:sz w:val="18"/>
              </w:rPr>
            </w:r>
            <w:r>
              <w:rPr>
                <w:rFonts w:ascii="Arial" w:hAnsi="Arial"/>
                <w:b w:val="0"/>
                <w:sz w:val="16"/>
              </w:rPr>
              <w:t>Medición manual inicial</w:t>
            </w:r>
          </w:p>
        </w:tc>
        <w:tc>
          <w:tcPr>
            <w:tcW w:type="dxa" w:w="3389"/>
            <w:vAlign w:val="center"/>
          </w:tcPr>
          <w:p>
            <w:r>
              <w:rPr>
                <w:sz w:val="18"/>
              </w:rPr>
            </w:r>
            <w:r>
              <w:rPr>
                <w:rFonts w:ascii="Arial" w:hAnsi="Arial"/>
                <w:b w:val="0"/>
                <w:sz w:val="16"/>
              </w:rPr>
              <w:t>Lecturas coherentes antes de conectar dosificación automática</w:t>
            </w:r>
          </w:p>
        </w:tc>
      </w:tr>
      <w:tr>
        <w:trPr>
          <w:cantSplit/>
        </w:trPr>
        <w:tc>
          <w:tcPr>
            <w:tcW w:type="dxa" w:w="3389"/>
            <w:vAlign w:val="center"/>
          </w:tcPr>
          <w:p>
            <w:r>
              <w:rPr>
                <w:sz w:val="18"/>
              </w:rPr>
              <w:t>Dosificación</w:t>
            </w:r>
          </w:p>
        </w:tc>
        <w:tc>
          <w:tcPr>
            <w:tcW w:type="dxa" w:w="3389"/>
            <w:vAlign w:val="center"/>
          </w:tcPr>
          <w:p>
            <w:r>
              <w:rPr>
                <w:sz w:val="18"/>
              </w:rPr>
              <w:t>Calibración del actuador elegido</w:t>
            </w:r>
          </w:p>
        </w:tc>
        <w:tc>
          <w:tcPr>
            <w:tcW w:type="dxa" w:w="3389"/>
            <w:vAlign w:val="center"/>
          </w:tcPr>
          <w:p>
            <w:r>
              <w:rPr>
                <w:sz w:val="18"/>
              </w:rPr>
              <w:t>Caudal/dosis conocida y repetible: mL/s para bombas o mL por segundo de apertura en gravedad/servo</w:t>
            </w:r>
          </w:p>
        </w:tc>
      </w:tr>
      <w:tr>
        <w:trPr>
          <w:cantSplit/>
        </w:trPr>
        <w:tc>
          <w:tcPr>
            <w:tcW w:type="dxa" w:w="3389"/>
            <w:vAlign w:val="center"/>
          </w:tcPr>
          <w:p>
            <w:r>
              <w:rPr>
                <w:sz w:val="18"/>
              </w:rPr>
            </w:r>
            <w:r>
              <w:rPr>
                <w:rFonts w:ascii="Arial" w:hAnsi="Arial"/>
                <w:b/>
                <w:sz w:val="16"/>
              </w:rPr>
              <w:t>Seguridad de nivel</w:t>
            </w:r>
          </w:p>
        </w:tc>
        <w:tc>
          <w:tcPr>
            <w:tcW w:type="dxa" w:w="3389"/>
            <w:vAlign w:val="center"/>
          </w:tcPr>
          <w:p>
            <w:r>
              <w:rPr>
                <w:sz w:val="18"/>
              </w:rPr>
            </w:r>
            <w:r>
              <w:rPr>
                <w:rFonts w:ascii="Arial" w:hAnsi="Arial"/>
                <w:b w:val="0"/>
                <w:sz w:val="16"/>
              </w:rPr>
              <w:t>Simular nivel bajo</w:t>
            </w:r>
          </w:p>
        </w:tc>
        <w:tc>
          <w:tcPr>
            <w:tcW w:type="dxa" w:w="3389"/>
            <w:vAlign w:val="center"/>
          </w:tcPr>
          <w:p>
            <w:r>
              <w:rPr>
                <w:sz w:val="18"/>
              </w:rPr>
            </w:r>
            <w:r>
              <w:rPr>
                <w:rFonts w:ascii="Arial" w:hAnsi="Arial"/>
                <w:b w:val="0"/>
                <w:sz w:val="16"/>
              </w:rPr>
              <w:t>Bomba principal bloqueada cuando no hay agua suficiente</w:t>
            </w:r>
          </w:p>
        </w:tc>
      </w:tr>
      <w:tr>
        <w:tc>
          <w:tcPr>
            <w:tcW w:type="dxa" w:w="3389"/>
          </w:tcPr>
          <w:p>
            <w:r>
              <w:rPr>
                <w:sz w:val="18"/>
              </w:rPr>
              <w:t>Apoyo estructural</w:t>
            </w:r>
          </w:p>
        </w:tc>
        <w:tc>
          <w:tcPr>
            <w:tcW w:type="dxa" w:w="3389"/>
          </w:tcPr>
          <w:p>
            <w:r>
              <w:rPr>
                <w:sz w:val="18"/>
              </w:rPr>
              <w:t>Torre apoyada en el fondo con depósito lleno</w:t>
            </w:r>
          </w:p>
        </w:tc>
        <w:tc>
          <w:tcPr>
            <w:tcW w:type="dxa" w:w="3389"/>
          </w:tcPr>
          <w:p>
            <w:r>
              <w:rPr>
                <w:sz w:val="18"/>
              </w:rPr>
              <w:t>La tapa no carga el peso; fondo sin deformación excesiva y aberturas inferiores libres</w:t>
            </w:r>
          </w:p>
        </w:tc>
      </w:tr>
    </w:tbl>
    <w:p>
      <w:pPr>
        <w:pStyle w:val="Heading1"/>
        <w:keepNext/>
        <w:spacing w:before="160" w:after="80"/>
      </w:pPr>
      <w:r>
        <w:t>10. Riesgos y controles del diseño actual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2F6B5F"/>
          </w:tcPr>
          <w:p>
            <w:r>
              <w:rPr>
                <w:sz w:val="18"/>
              </w:rPr>
            </w:r>
            <w:r>
              <w:rPr>
                <w:rFonts w:ascii="Arial" w:hAnsi="Arial"/>
                <w:b/>
                <w:color w:val="FFFFFF"/>
                <w:sz w:val="17"/>
              </w:rPr>
              <w:t>Riesgo</w:t>
            </w:r>
          </w:p>
        </w:tc>
        <w:tc>
          <w:tcPr>
            <w:tcW w:type="dxa" w:w="3389"/>
            <w:vAlign w:val="center"/>
            <w:shd w:fill="2F6B5F"/>
          </w:tcPr>
          <w:p>
            <w:r>
              <w:rPr>
                <w:sz w:val="18"/>
              </w:rPr>
            </w:r>
            <w:r>
              <w:rPr>
                <w:rFonts w:ascii="Arial" w:hAnsi="Arial"/>
                <w:b/>
                <w:color w:val="FFFFFF"/>
                <w:sz w:val="17"/>
              </w:rPr>
              <w:t>Efecto</w:t>
            </w:r>
          </w:p>
        </w:tc>
        <w:tc>
          <w:tcPr>
            <w:tcW w:type="dxa" w:w="3389"/>
            <w:vAlign w:val="center"/>
            <w:shd w:fill="2F6B5F"/>
          </w:tcPr>
          <w:p>
            <w:r>
              <w:rPr>
                <w:sz w:val="18"/>
              </w:rPr>
            </w:r>
            <w:r>
              <w:rPr>
                <w:rFonts w:ascii="Arial" w:hAnsi="Arial"/>
                <w:b/>
                <w:color w:val="FFFFFF"/>
                <w:sz w:val="17"/>
              </w:rPr>
              <w:t>Control</w:t>
            </w:r>
          </w:p>
        </w:tc>
      </w:tr>
      <w:tr>
        <w:trPr>
          <w:cantSplit/>
        </w:trPr>
        <w:tc>
          <w:tcPr>
            <w:tcW w:type="dxa" w:w="3389"/>
            <w:vAlign w:val="center"/>
          </w:tcPr>
          <w:p>
            <w:r>
              <w:rPr>
                <w:sz w:val="18"/>
              </w:rPr>
            </w:r>
            <w:r>
              <w:rPr>
                <w:rFonts w:ascii="Arial" w:hAnsi="Arial"/>
                <w:b/>
                <w:sz w:val="16"/>
              </w:rPr>
              <w:t>Luz en depósito transparente</w:t>
            </w:r>
          </w:p>
        </w:tc>
        <w:tc>
          <w:tcPr>
            <w:tcW w:type="dxa" w:w="3389"/>
            <w:vAlign w:val="center"/>
          </w:tcPr>
          <w:p>
            <w:r>
              <w:rPr>
                <w:sz w:val="18"/>
              </w:rPr>
            </w:r>
            <w:r>
              <w:rPr>
                <w:rFonts w:ascii="Arial" w:hAnsi="Arial"/>
                <w:b w:val="0"/>
                <w:sz w:val="16"/>
              </w:rPr>
              <w:t>Algas/biofilm</w:t>
            </w:r>
          </w:p>
        </w:tc>
        <w:tc>
          <w:tcPr>
            <w:tcW w:type="dxa" w:w="3389"/>
            <w:vAlign w:val="center"/>
          </w:tcPr>
          <w:p>
            <w:r>
              <w:rPr>
                <w:sz w:val="18"/>
              </w:rPr>
            </w:r>
            <w:r>
              <w:rPr>
                <w:rFonts w:ascii="Arial" w:hAnsi="Arial"/>
                <w:b w:val="0"/>
                <w:sz w:val="16"/>
              </w:rPr>
              <w:t>Cubierta exterior opaca; inspección periódica</w:t>
            </w:r>
          </w:p>
        </w:tc>
      </w:tr>
      <w:tr>
        <w:trPr>
          <w:cantSplit/>
        </w:trPr>
        <w:tc>
          <w:tcPr>
            <w:tcW w:type="dxa" w:w="3389"/>
            <w:vAlign w:val="center"/>
          </w:tcPr>
          <w:p>
            <w:r>
              <w:rPr>
                <w:sz w:val="18"/>
              </w:rPr>
            </w:r>
            <w:r>
              <w:rPr>
                <w:rFonts w:ascii="Arial" w:hAnsi="Arial"/>
                <w:b/>
                <w:sz w:val="16"/>
              </w:rPr>
              <w:t>Raíces o LECA en retorno</w:t>
            </w:r>
          </w:p>
        </w:tc>
        <w:tc>
          <w:tcPr>
            <w:tcW w:type="dxa" w:w="3389"/>
            <w:vAlign w:val="center"/>
          </w:tcPr>
          <w:p>
            <w:r>
              <w:rPr>
                <w:sz w:val="18"/>
              </w:rPr>
            </w:r>
            <w:r>
              <w:rPr>
                <w:rFonts w:ascii="Arial" w:hAnsi="Arial"/>
                <w:b w:val="0"/>
                <w:sz w:val="16"/>
              </w:rPr>
              <w:t>Obstrucción / daño de bomba</w:t>
            </w:r>
          </w:p>
        </w:tc>
        <w:tc>
          <w:tcPr>
            <w:tcW w:type="dxa" w:w="3389"/>
            <w:vAlign w:val="center"/>
          </w:tcPr>
          <w:p>
            <w:r>
              <w:rPr>
                <w:sz w:val="18"/>
              </w:rPr>
            </w:r>
            <w:r>
              <w:rPr>
                <w:rFonts w:ascii="Arial" w:hAnsi="Arial"/>
                <w:b w:val="0"/>
                <w:sz w:val="16"/>
              </w:rPr>
              <w:t>Rejilla gruesa removible y limpieza</w:t>
            </w:r>
          </w:p>
        </w:tc>
      </w:tr>
      <w:tr>
        <w:trPr>
          <w:cantSplit/>
        </w:trPr>
        <w:tc>
          <w:tcPr>
            <w:tcW w:type="dxa" w:w="3389"/>
            <w:vAlign w:val="center"/>
          </w:tcPr>
          <w:p>
            <w:r>
              <w:rPr>
                <w:sz w:val="18"/>
              </w:rPr>
            </w:r>
            <w:r>
              <w:rPr>
                <w:rFonts w:ascii="Arial" w:hAnsi="Arial"/>
                <w:b/>
                <w:sz w:val="16"/>
              </w:rPr>
              <w:t>Caudal insuficiente a 1.3 m</w:t>
            </w:r>
          </w:p>
        </w:tc>
        <w:tc>
          <w:tcPr>
            <w:tcW w:type="dxa" w:w="3389"/>
            <w:vAlign w:val="center"/>
          </w:tcPr>
          <w:p>
            <w:r>
              <w:rPr>
                <w:sz w:val="18"/>
              </w:rPr>
            </w:r>
            <w:r>
              <w:rPr>
                <w:rFonts w:ascii="Arial" w:hAnsi="Arial"/>
                <w:b w:val="0"/>
                <w:sz w:val="16"/>
              </w:rPr>
              <w:t>Riego irregular</w:t>
            </w:r>
          </w:p>
        </w:tc>
        <w:tc>
          <w:tcPr>
            <w:tcW w:type="dxa" w:w="3389"/>
            <w:vAlign w:val="center"/>
          </w:tcPr>
          <w:p>
            <w:r>
              <w:rPr>
                <w:sz w:val="18"/>
              </w:rPr>
            </w:r>
            <w:r>
              <w:rPr>
                <w:rFonts w:ascii="Arial" w:hAnsi="Arial"/>
                <w:b w:val="0"/>
                <w:sz w:val="16"/>
              </w:rPr>
              <w:t>Medición real y ajuste de regadera/diámetro/caudal</w:t>
            </w:r>
          </w:p>
        </w:tc>
      </w:tr>
      <w:tr>
        <w:trPr>
          <w:cantSplit/>
        </w:trPr>
        <w:tc>
          <w:tcPr>
            <w:tcW w:type="dxa" w:w="3389"/>
            <w:vAlign w:val="center"/>
          </w:tcPr>
          <w:p>
            <w:r>
              <w:rPr>
                <w:sz w:val="18"/>
              </w:rPr>
            </w:r>
            <w:r>
              <w:rPr>
                <w:rFonts w:ascii="Arial" w:hAnsi="Arial"/>
                <w:b/>
                <w:sz w:val="16"/>
              </w:rPr>
              <w:t>Demasiado caudal</w:t>
            </w:r>
          </w:p>
        </w:tc>
        <w:tc>
          <w:tcPr>
            <w:tcW w:type="dxa" w:w="3389"/>
            <w:vAlign w:val="center"/>
          </w:tcPr>
          <w:p>
            <w:r>
              <w:rPr>
                <w:sz w:val="18"/>
              </w:rPr>
            </w:r>
            <w:r>
              <w:rPr>
                <w:rFonts w:ascii="Arial" w:hAnsi="Arial"/>
                <w:b w:val="0"/>
                <w:sz w:val="16"/>
              </w:rPr>
              <w:t>Salpicaduras y drenaje saturado</w:t>
            </w:r>
          </w:p>
        </w:tc>
        <w:tc>
          <w:tcPr>
            <w:tcW w:type="dxa" w:w="3389"/>
            <w:vAlign w:val="center"/>
          </w:tcPr>
          <w:p>
            <w:r>
              <w:rPr>
                <w:sz w:val="18"/>
              </w:rPr>
            </w:r>
            <w:r>
              <w:rPr>
                <w:rFonts w:ascii="Arial" w:hAnsi="Arial"/>
                <w:b w:val="0"/>
                <w:sz w:val="16"/>
              </w:rPr>
              <w:t>Regular distribución y limitar caudal</w:t>
            </w:r>
          </w:p>
        </w:tc>
      </w:tr>
      <w:tr>
        <w:trPr>
          <w:cantSplit/>
        </w:trPr>
        <w:tc>
          <w:tcPr>
            <w:tcW w:type="dxa" w:w="3389"/>
            <w:vAlign w:val="center"/>
          </w:tcPr>
          <w:p>
            <w:r>
              <w:rPr>
                <w:sz w:val="18"/>
              </w:rPr>
            </w:r>
            <w:r>
              <w:rPr>
                <w:rFonts w:ascii="Arial" w:hAnsi="Arial"/>
                <w:b/>
                <w:sz w:val="16"/>
              </w:rPr>
              <w:t>Sedimento de nutrientes</w:t>
            </w:r>
          </w:p>
        </w:tc>
        <w:tc>
          <w:tcPr>
            <w:tcW w:type="dxa" w:w="3389"/>
            <w:vAlign w:val="center"/>
          </w:tcPr>
          <w:p>
            <w:r>
              <w:rPr>
                <w:sz w:val="18"/>
              </w:rPr>
            </w:r>
            <w:r>
              <w:rPr>
                <w:rFonts w:ascii="Arial" w:hAnsi="Arial"/>
                <w:b w:val="0"/>
                <w:sz w:val="16"/>
              </w:rPr>
              <w:t>Acumulación en línea o bomba</w:t>
            </w:r>
          </w:p>
        </w:tc>
        <w:tc>
          <w:tcPr>
            <w:tcW w:type="dxa" w:w="3389"/>
            <w:vAlign w:val="center"/>
          </w:tcPr>
          <w:p>
            <w:r>
              <w:rPr>
                <w:sz w:val="18"/>
              </w:rPr>
            </w:r>
            <w:r>
              <w:rPr>
                <w:rFonts w:ascii="Arial" w:hAnsi="Arial"/>
                <w:b w:val="0"/>
                <w:sz w:val="16"/>
              </w:rPr>
              <w:t>Usar nutrientes completamente disueltos/líquidos y vigilar precipitados</w:t>
            </w:r>
          </w:p>
        </w:tc>
      </w:tr>
      <w:tr>
        <w:trPr>
          <w:cantSplit/>
        </w:trPr>
        <w:tc>
          <w:tcPr>
            <w:tcW w:type="dxa" w:w="3389"/>
            <w:vAlign w:val="center"/>
          </w:tcPr>
          <w:p>
            <w:r>
              <w:rPr>
                <w:sz w:val="18"/>
              </w:rPr>
            </w:r>
            <w:r>
              <w:rPr>
                <w:rFonts w:ascii="Arial" w:hAnsi="Arial"/>
                <w:b/>
                <w:sz w:val="16"/>
              </w:rPr>
              <w:t>Sobredosificación</w:t>
            </w:r>
          </w:p>
        </w:tc>
        <w:tc>
          <w:tcPr>
            <w:tcW w:type="dxa" w:w="3389"/>
            <w:vAlign w:val="center"/>
          </w:tcPr>
          <w:p>
            <w:r>
              <w:rPr>
                <w:sz w:val="18"/>
              </w:rPr>
            </w:r>
            <w:r>
              <w:rPr>
                <w:rFonts w:ascii="Arial" w:hAnsi="Arial"/>
                <w:b w:val="0"/>
                <w:sz w:val="16"/>
              </w:rPr>
              <w:t>Daño al cultivo</w:t>
            </w:r>
          </w:p>
        </w:tc>
        <w:tc>
          <w:tcPr>
            <w:tcW w:type="dxa" w:w="3389"/>
            <w:vAlign w:val="center"/>
          </w:tcPr>
          <w:p>
            <w:r>
              <w:rPr>
                <w:sz w:val="18"/>
              </w:rPr>
            </w:r>
            <w:r>
              <w:rPr>
                <w:rFonts w:ascii="Arial" w:hAnsi="Arial"/>
                <w:b w:val="0"/>
                <w:sz w:val="16"/>
              </w:rPr>
              <w:t>Dosis pequeñas, mezcla, relectura y límites de software</w:t>
            </w:r>
          </w:p>
        </w:tc>
      </w:tr>
      <w:tr>
        <w:trPr>
          <w:cantSplit/>
        </w:trPr>
        <w:tc>
          <w:tcPr>
            <w:tcW w:type="dxa" w:w="3389"/>
            <w:vAlign w:val="center"/>
          </w:tcPr>
          <w:p>
            <w:r>
              <w:rPr>
                <w:sz w:val="18"/>
              </w:rPr>
            </w:r>
            <w:r>
              <w:rPr>
                <w:rFonts w:ascii="Arial" w:hAnsi="Arial"/>
                <w:b/>
                <w:sz w:val="16"/>
              </w:rPr>
              <w:t>pH concentrado</w:t>
            </w:r>
          </w:p>
        </w:tc>
        <w:tc>
          <w:tcPr>
            <w:tcW w:type="dxa" w:w="3389"/>
            <w:vAlign w:val="center"/>
          </w:tcPr>
          <w:p>
            <w:r>
              <w:rPr>
                <w:sz w:val="18"/>
              </w:rPr>
            </w:r>
            <w:r>
              <w:rPr>
                <w:rFonts w:ascii="Arial" w:hAnsi="Arial"/>
                <w:b w:val="0"/>
                <w:sz w:val="16"/>
              </w:rPr>
              <w:t>Corrección brusca / riesgo químico</w:t>
            </w:r>
          </w:p>
        </w:tc>
        <w:tc>
          <w:tcPr>
            <w:tcW w:type="dxa" w:w="3389"/>
            <w:vAlign w:val="center"/>
          </w:tcPr>
          <w:p>
            <w:r>
              <w:rPr>
                <w:sz w:val="18"/>
              </w:rPr>
            </w:r>
            <w:r>
              <w:rPr>
                <w:rFonts w:ascii="Arial" w:hAnsi="Arial"/>
                <w:b w:val="0"/>
                <w:sz w:val="16"/>
              </w:rPr>
              <w:t>Usar solución de trabajo y calibrar mL por corrección</w:t>
            </w:r>
          </w:p>
        </w:tc>
      </w:tr>
      <w:tr>
        <w:trPr>
          <w:cantSplit/>
        </w:trPr>
        <w:tc>
          <w:tcPr>
            <w:tcW w:type="dxa" w:w="3389"/>
            <w:vAlign w:val="center"/>
          </w:tcPr>
          <w:p>
            <w:r>
              <w:rPr>
                <w:sz w:val="18"/>
              </w:rPr>
            </w:r>
            <w:r>
              <w:rPr>
                <w:rFonts w:ascii="Arial" w:hAnsi="Arial"/>
                <w:b/>
                <w:sz w:val="16"/>
              </w:rPr>
              <w:t>8 plantas muy densas</w:t>
            </w:r>
          </w:p>
        </w:tc>
        <w:tc>
          <w:tcPr>
            <w:tcW w:type="dxa" w:w="3389"/>
            <w:vAlign w:val="center"/>
          </w:tcPr>
          <w:p>
            <w:r>
              <w:rPr>
                <w:sz w:val="18"/>
              </w:rPr>
            </w:r>
            <w:r>
              <w:rPr>
                <w:rFonts w:ascii="Arial" w:hAnsi="Arial"/>
                <w:b w:val="0"/>
                <w:sz w:val="16"/>
              </w:rPr>
              <w:t>Sombreado/raíces</w:t>
            </w:r>
          </w:p>
        </w:tc>
        <w:tc>
          <w:tcPr>
            <w:tcW w:type="dxa" w:w="3389"/>
            <w:vAlign w:val="center"/>
          </w:tcPr>
          <w:p>
            <w:r>
              <w:rPr>
                <w:sz w:val="18"/>
              </w:rPr>
            </w:r>
            <w:r>
              <w:rPr>
                <w:rFonts w:ascii="Arial" w:hAnsi="Arial"/>
                <w:b w:val="0"/>
                <w:sz w:val="16"/>
              </w:rPr>
              <w:t>Reducir a 6 si las pruebas lo justifican</w:t>
            </w:r>
          </w:p>
        </w:tc>
      </w:tr>
      <w:tr>
        <w:tc>
          <w:tcPr>
            <w:tcW w:type="dxa" w:w="3389"/>
          </w:tcPr>
          <w:p>
            <w:r>
              <w:rPr>
                <w:sz w:val="18"/>
              </w:rPr>
              <w:t>Peso del tubo sobre el depósito</w:t>
            </w:r>
          </w:p>
        </w:tc>
        <w:tc>
          <w:tcPr>
            <w:tcW w:type="dxa" w:w="3389"/>
          </w:tcPr>
          <w:p>
            <w:r>
              <w:rPr>
                <w:sz w:val="18"/>
              </w:rPr>
              <w:t>Deformación del fondo / inestabilidad</w:t>
            </w:r>
          </w:p>
        </w:tc>
        <w:tc>
          <w:tcPr>
            <w:tcW w:type="dxa" w:w="3389"/>
          </w:tcPr>
          <w:p>
            <w:r>
              <w:rPr>
                <w:sz w:val="18"/>
              </w:rPr>
              <w:t>Apoyar el tubo en el fondo, usar la tapa solo como guía y añadir placa de reparto si el plástico flexiona</w:t>
            </w:r>
          </w:p>
        </w:tc>
      </w:tr>
    </w:tbl>
    <w:p>
      <w:pPr>
        <w:pStyle w:val="Heading1"/>
        <w:keepNext/>
        <w:spacing w:before="160" w:after="80"/>
      </w:pPr>
      <w:r>
        <w:t>11. Prioridades inmediatas</w:t>
      </w:r>
    </w:p>
    <w:p>
      <w:pPr>
        <w:pStyle w:val="ListBullet"/>
        <w:spacing w:after="40"/>
      </w:pPr>
      <w:r>
        <w:rPr>
          <w:rFonts w:ascii="Arial" w:hAnsi="Arial"/>
          <w:sz w:val="20"/>
        </w:rPr>
        <w:t>1) Terminar la torre física y validar la hidráulica antes de mover las plántulas.</w:t>
      </w:r>
    </w:p>
    <w:p>
      <w:pPr>
        <w:pStyle w:val="ListBullet"/>
        <w:spacing w:after="40"/>
      </w:pPr>
      <w:r>
        <w:rPr>
          <w:rFonts w:ascii="Arial" w:hAnsi="Arial"/>
          <w:sz w:val="20"/>
        </w:rPr>
        <w:t>2) Confirmar ajuste real de net pots y fabricar los alojamientos usando primero el sobrante del tubo de 6".</w:t>
      </w:r>
    </w:p>
    <w:p>
      <w:pPr>
        <w:pStyle w:val="ListBullet"/>
        <w:spacing w:after="40"/>
      </w:pPr>
      <w:r>
        <w:rPr>
          <w:rFonts w:ascii="Arial" w:hAnsi="Arial"/>
          <w:sz w:val="20"/>
        </w:rPr>
        <w:t>3) Hacer la prueba de agua con depósito, bomba, PVC de 3/4" y regadera superior.</w:t>
      </w:r>
    </w:p>
    <w:p>
      <w:pPr>
        <w:pStyle w:val="ListBullet"/>
        <w:spacing w:after="40"/>
      </w:pPr>
      <w:r>
        <w:rPr>
          <w:rFonts w:ascii="Arial" w:hAnsi="Arial"/>
          <w:sz w:val="20"/>
        </w:rPr>
        <w:t>4) Dejar opacos depósito y regadera una vez terminadas las pruebas visuales.</w:t>
      </w:r>
    </w:p>
    <w:p>
      <w:pPr>
        <w:pStyle w:val="ListBullet"/>
        <w:spacing w:after="40"/>
      </w:pPr>
      <w:r>
        <w:rPr>
          <w:rFonts w:ascii="Arial" w:hAnsi="Arial"/>
          <w:sz w:val="20"/>
        </w:rPr>
        <w:t>5) Trasplantar cuando circulación, drenaje, nutrientes y pH estén estables.</w:t>
      </w:r>
    </w:p>
    <w:p>
      <w:pPr>
        <w:pStyle w:val="ListBullet"/>
        <w:spacing w:after="40"/>
      </w:pPr>
      <w:r>
        <w:rPr>
          <w:rFonts w:ascii="Arial" w:hAnsi="Arial"/>
          <w:sz w:val="20"/>
        </w:rPr>
        <w:t>6) Integrar electrónica y dosificación automática después de que el cultivo pueda mantenerse de forma manual.</w:t>
      </w:r>
    </w:p>
    <w:p>
      <w:pPr>
        <w:pStyle w:val="Heading1"/>
        <w:keepNext/>
        <w:pageBreakBefore w:val="0"/>
        <w:spacing w:before="160" w:after="80"/>
      </w:pPr>
      <w:r>
        <w:rPr>
          <w:sz w:val="24"/>
        </w:rPr>
        <w:t>12. Referencias de componentes conservadas de la planeación</w:t>
      </w:r>
    </w:p>
    <w:p>
      <w:pPr>
        <w:pStyle w:val="SmallNote"/>
        <w:spacing w:before="0" w:after="40" w:line="240" w:lineRule="auto"/>
      </w:pPr>
      <w:r>
        <w:t>[1] Bomba principal seleccionada/pedida: Amazon México, bomba sumergible DC 24 V, 25 W, 1000–1200 L/h, elevación anunciada 3–5 m, motor brushless; confirmar pago y envío antes de tratarla como compra efectiva.</w:t>
      </w:r>
    </w:p>
    <w:p>
      <w:pPr>
        <w:pStyle w:val="SmallNote"/>
        <w:spacing w:before="0" w:after="40" w:line="240" w:lineRule="auto"/>
      </w:pPr>
      <w:r>
        <w:rPr>
          <w:sz w:val="17"/>
        </w:rPr>
        <w:t>[2] Lámpara de cultivo: Mercado Libre México, “Lámpara cultivo LED de 4 brazos / espectro completo”, ref. MLMU3909643369.</w:t>
      </w:r>
    </w:p>
    <w:p>
      <w:pPr>
        <w:pStyle w:val="SmallNote"/>
        <w:spacing w:before="0" w:after="40" w:line="240" w:lineRule="auto"/>
      </w:pPr>
      <w:r>
        <w:rPr>
          <w:sz w:val="17"/>
        </w:rPr>
        <w:t>[3] ESP32 DevKit V1, sensores y módulos: referencias UNIT Electronics utilizadas en la planeación técnica previa.</w:t>
      </w:r>
    </w:p>
    <w:p>
      <w:pPr>
        <w:pStyle w:val="SmallNote"/>
        <w:spacing w:before="0" w:after="40" w:line="240" w:lineRule="auto"/>
      </w:pPr>
      <w:r>
        <w:rPr>
          <w:sz w:val="17"/>
        </w:rPr>
        <w:t>[4] Net pots de 3" y LECA: publicaciones seleccionadas para el prototipo; las dimensiones finales deberán verificarse físicamente antes de cortar la torre.</w:t>
      </w:r>
    </w:p>
    <w:p>
      <w:pPr>
        <w:pStyle w:val="SmallNote"/>
        <w:spacing w:before="0" w:after="40" w:line="240" w:lineRule="auto"/>
      </w:pPr>
      <w:r>
        <w:rPr>
          <w:sz w:val="17"/>
        </w:rPr>
        <w:t>[5] Arquitectura de software: ESP32 + Laravel + PostgreSQL + Mosquitto + aplicación Android, conforme a la alternativa seleccionada en el Taller 4.</w:t>
      </w:r>
    </w:p>
    <w:p>
      <w:pPr>
        <w:pStyle w:val="Heading1"/>
      </w:pPr>
      <w:r>
        <w:t>13. Actualización de contexto: sensores y electrónica de bajo costo</w:t>
      </w:r>
    </w:p>
    <w:p>
      <w:r>
        <w:rPr>
          <w:b/>
        </w:rPr>
        <w:t xml:space="preserve">Compatibilidad Arduino/ESP32. </w:t>
      </w:r>
      <w:r>
        <w:t>Los sensores anunciados como “para Arduino” pueden utilizarse con ESP32 siempre que su alimentación y, sobre todo, su señal sean compatibles con lógica de 3.3 V. No se debe aplicar una señal de 5 V directamente a un GPIO del ESP32.</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D3"/>
          </w:tcPr>
          <w:p>
            <w:r>
              <w:rPr>
                <w:sz w:val="18"/>
              </w:rPr>
            </w:r>
            <w:r>
              <w:rPr>
                <w:b/>
                <w:sz w:val="18"/>
              </w:rPr>
              <w:t>Componente</w:t>
            </w:r>
          </w:p>
        </w:tc>
        <w:tc>
          <w:tcPr>
            <w:tcW w:type="dxa" w:w="2541"/>
            <w:vAlign w:val="center"/>
            <w:shd w:fill="D9EAD3"/>
          </w:tcPr>
          <w:p>
            <w:r>
              <w:rPr>
                <w:sz w:val="18"/>
              </w:rPr>
            </w:r>
            <w:r>
              <w:rPr>
                <w:b/>
                <w:sz w:val="18"/>
              </w:rPr>
              <w:t>Función</w:t>
            </w:r>
          </w:p>
        </w:tc>
        <w:tc>
          <w:tcPr>
            <w:tcW w:type="dxa" w:w="2541"/>
            <w:vAlign w:val="center"/>
            <w:shd w:fill="D9EAD3"/>
          </w:tcPr>
          <w:p>
            <w:r>
              <w:rPr>
                <w:sz w:val="18"/>
              </w:rPr>
            </w:r>
            <w:r>
              <w:rPr>
                <w:b/>
                <w:sz w:val="18"/>
              </w:rPr>
              <w:t>Prioridad</w:t>
            </w:r>
          </w:p>
        </w:tc>
        <w:tc>
          <w:tcPr>
            <w:tcW w:type="dxa" w:w="2541"/>
            <w:vAlign w:val="center"/>
            <w:shd w:fill="D9EAD3"/>
          </w:tcPr>
          <w:p>
            <w:r>
              <w:rPr>
                <w:sz w:val="18"/>
              </w:rPr>
            </w:r>
            <w:r>
              <w:rPr>
                <w:b/>
                <w:sz w:val="18"/>
              </w:rPr>
              <w:t>Nota de integración</w:t>
            </w:r>
          </w:p>
        </w:tc>
      </w:tr>
      <w:tr>
        <w:tc>
          <w:tcPr>
            <w:tcW w:type="dxa" w:w="2541"/>
            <w:vAlign w:val="center"/>
          </w:tcPr>
          <w:p>
            <w:r>
              <w:rPr>
                <w:sz w:val="18"/>
              </w:rPr>
            </w:r>
            <w:r>
              <w:rPr>
                <w:b w:val="0"/>
                <w:sz w:val="18"/>
              </w:rPr>
              <w:t>DS18B20 impermeable</w:t>
            </w:r>
          </w:p>
        </w:tc>
        <w:tc>
          <w:tcPr>
            <w:tcW w:type="dxa" w:w="2541"/>
            <w:vAlign w:val="center"/>
          </w:tcPr>
          <w:p>
            <w:r>
              <w:rPr>
                <w:sz w:val="18"/>
              </w:rPr>
            </w:r>
            <w:r>
              <w:rPr>
                <w:b w:val="0"/>
                <w:sz w:val="18"/>
              </w:rPr>
              <w:t>Temperatura de la solución</w:t>
            </w:r>
          </w:p>
        </w:tc>
        <w:tc>
          <w:tcPr>
            <w:tcW w:type="dxa" w:w="2541"/>
            <w:vAlign w:val="center"/>
          </w:tcPr>
          <w:p>
            <w:r>
              <w:rPr>
                <w:sz w:val="18"/>
              </w:rPr>
            </w:r>
            <w:r>
              <w:rPr>
                <w:b w:val="0"/>
                <w:sz w:val="18"/>
              </w:rPr>
              <w:t>Compra prioritaria</w:t>
            </w:r>
          </w:p>
        </w:tc>
        <w:tc>
          <w:tcPr>
            <w:tcW w:type="dxa" w:w="2541"/>
            <w:vAlign w:val="center"/>
          </w:tcPr>
          <w:p>
            <w:r>
              <w:rPr>
                <w:sz w:val="18"/>
              </w:rPr>
            </w:r>
            <w:r>
              <w:rPr>
                <w:b w:val="0"/>
                <w:sz w:val="18"/>
              </w:rPr>
              <w:t>Compatible con ESP32 a 3.3 V; bus 1-Wire y resistencia pull-up de 4.7 kΩ.</w:t>
            </w:r>
          </w:p>
        </w:tc>
      </w:tr>
      <w:tr>
        <w:tc>
          <w:tcPr>
            <w:tcW w:type="dxa" w:w="2541"/>
            <w:vAlign w:val="center"/>
          </w:tcPr>
          <w:p>
            <w:r>
              <w:rPr>
                <w:sz w:val="18"/>
              </w:rPr>
            </w:r>
            <w:r>
              <w:rPr>
                <w:b w:val="0"/>
                <w:sz w:val="18"/>
              </w:rPr>
              <w:t>Flotador vertical / YZ-1</w:t>
            </w:r>
          </w:p>
        </w:tc>
        <w:tc>
          <w:tcPr>
            <w:tcW w:type="dxa" w:w="2541"/>
            <w:vAlign w:val="center"/>
          </w:tcPr>
          <w:p>
            <w:r>
              <w:rPr>
                <w:sz w:val="18"/>
              </w:rPr>
            </w:r>
            <w:r>
              <w:rPr>
                <w:b w:val="0"/>
                <w:sz w:val="18"/>
              </w:rPr>
              <w:t>Nivel mínimo</w:t>
            </w:r>
          </w:p>
        </w:tc>
        <w:tc>
          <w:tcPr>
            <w:tcW w:type="dxa" w:w="2541"/>
            <w:vAlign w:val="center"/>
          </w:tcPr>
          <w:p>
            <w:r>
              <w:rPr>
                <w:sz w:val="18"/>
              </w:rPr>
            </w:r>
            <w:r>
              <w:rPr>
                <w:b w:val="0"/>
                <w:sz w:val="18"/>
              </w:rPr>
              <w:t>Compra prioritaria</w:t>
            </w:r>
          </w:p>
        </w:tc>
        <w:tc>
          <w:tcPr>
            <w:tcW w:type="dxa" w:w="2541"/>
            <w:vAlign w:val="center"/>
          </w:tcPr>
          <w:p>
            <w:r>
              <w:rPr>
                <w:sz w:val="18"/>
              </w:rPr>
            </w:r>
            <w:r>
              <w:rPr>
                <w:b w:val="0"/>
                <w:sz w:val="18"/>
              </w:rPr>
              <w:t>Entrada digital; bloquear bomba principal cuando el nivel sea insuficiente.</w:t>
            </w:r>
          </w:p>
        </w:tc>
      </w:tr>
      <w:tr>
        <w:tc>
          <w:tcPr>
            <w:tcW w:type="dxa" w:w="2541"/>
            <w:vAlign w:val="center"/>
          </w:tcPr>
          <w:p>
            <w:r>
              <w:rPr>
                <w:sz w:val="18"/>
              </w:rPr>
            </w:r>
            <w:r>
              <w:rPr>
                <w:b w:val="0"/>
                <w:sz w:val="18"/>
              </w:rPr>
              <w:t>BH1750 / GY-302</w:t>
            </w:r>
          </w:p>
        </w:tc>
        <w:tc>
          <w:tcPr>
            <w:tcW w:type="dxa" w:w="2541"/>
            <w:vAlign w:val="center"/>
          </w:tcPr>
          <w:p>
            <w:r>
              <w:rPr>
                <w:sz w:val="18"/>
              </w:rPr>
            </w:r>
            <w:r>
              <w:rPr>
                <w:b w:val="0"/>
                <w:sz w:val="18"/>
              </w:rPr>
              <w:t>Intensidad luminosa</w:t>
            </w:r>
          </w:p>
        </w:tc>
        <w:tc>
          <w:tcPr>
            <w:tcW w:type="dxa" w:w="2541"/>
            <w:vAlign w:val="center"/>
          </w:tcPr>
          <w:p>
            <w:r>
              <w:rPr>
                <w:sz w:val="18"/>
              </w:rPr>
            </w:r>
            <w:r>
              <w:rPr>
                <w:b w:val="0"/>
                <w:sz w:val="18"/>
              </w:rPr>
              <w:t>Barato / recomendable</w:t>
            </w:r>
          </w:p>
        </w:tc>
        <w:tc>
          <w:tcPr>
            <w:tcW w:type="dxa" w:w="2541"/>
            <w:vAlign w:val="center"/>
          </w:tcPr>
          <w:p>
            <w:r>
              <w:rPr>
                <w:sz w:val="18"/>
              </w:rPr>
            </w:r>
            <w:r>
              <w:rPr>
                <w:b w:val="0"/>
                <w:sz w:val="18"/>
              </w:rPr>
              <w:t>I2C; usar 3.3 V con ESP32. Permite reglas de iluminación complementaria.</w:t>
            </w:r>
          </w:p>
        </w:tc>
      </w:tr>
      <w:tr>
        <w:tc>
          <w:tcPr>
            <w:tcW w:type="dxa" w:w="2541"/>
            <w:vAlign w:val="center"/>
          </w:tcPr>
          <w:p>
            <w:r>
              <w:rPr>
                <w:sz w:val="18"/>
              </w:rPr>
            </w:r>
            <w:r>
              <w:rPr>
                <w:b w:val="0"/>
                <w:sz w:val="18"/>
              </w:rPr>
              <w:t>ADS1115</w:t>
            </w:r>
          </w:p>
        </w:tc>
        <w:tc>
          <w:tcPr>
            <w:tcW w:type="dxa" w:w="2541"/>
            <w:vAlign w:val="center"/>
          </w:tcPr>
          <w:p>
            <w:r>
              <w:rPr>
                <w:sz w:val="18"/>
              </w:rPr>
            </w:r>
            <w:r>
              <w:rPr>
                <w:b w:val="0"/>
                <w:sz w:val="18"/>
              </w:rPr>
              <w:t>ADC externo de 16 bits</w:t>
            </w:r>
          </w:p>
        </w:tc>
        <w:tc>
          <w:tcPr>
            <w:tcW w:type="dxa" w:w="2541"/>
            <w:vAlign w:val="center"/>
          </w:tcPr>
          <w:p>
            <w:r>
              <w:rPr>
                <w:sz w:val="18"/>
              </w:rPr>
            </w:r>
            <w:r>
              <w:rPr>
                <w:b w:val="0"/>
                <w:sz w:val="18"/>
              </w:rPr>
              <w:t>Recomendable</w:t>
            </w:r>
          </w:p>
        </w:tc>
        <w:tc>
          <w:tcPr>
            <w:tcW w:type="dxa" w:w="2541"/>
            <w:vAlign w:val="center"/>
          </w:tcPr>
          <w:p>
            <w:r>
              <w:rPr>
                <w:sz w:val="18"/>
              </w:rPr>
            </w:r>
            <w:r>
              <w:rPr>
                <w:b w:val="0"/>
                <w:sz w:val="18"/>
              </w:rPr>
              <w:t>No es sensor, pero mejora la adquisición de pH/TDS analógicos.</w:t>
            </w:r>
          </w:p>
        </w:tc>
      </w:tr>
      <w:tr>
        <w:tc>
          <w:tcPr>
            <w:tcW w:type="dxa" w:w="2541"/>
            <w:vAlign w:val="center"/>
          </w:tcPr>
          <w:p>
            <w:r>
              <w:rPr>
                <w:sz w:val="18"/>
              </w:rPr>
            </w:r>
            <w:r>
              <w:rPr>
                <w:b w:val="0"/>
                <w:sz w:val="18"/>
              </w:rPr>
              <w:t>PH-4502C + sonda</w:t>
            </w:r>
          </w:p>
        </w:tc>
        <w:tc>
          <w:tcPr>
            <w:tcW w:type="dxa" w:w="2541"/>
            <w:vAlign w:val="center"/>
          </w:tcPr>
          <w:p>
            <w:r>
              <w:rPr>
                <w:sz w:val="18"/>
              </w:rPr>
            </w:r>
            <w:r>
              <w:rPr>
                <w:b w:val="0"/>
                <w:sz w:val="18"/>
              </w:rPr>
              <w:t>pH</w:t>
            </w:r>
          </w:p>
        </w:tc>
        <w:tc>
          <w:tcPr>
            <w:tcW w:type="dxa" w:w="2541"/>
            <w:vAlign w:val="center"/>
          </w:tcPr>
          <w:p>
            <w:r>
              <w:rPr>
                <w:sz w:val="18"/>
              </w:rPr>
            </w:r>
            <w:r>
              <w:rPr>
                <w:b w:val="0"/>
                <w:sz w:val="18"/>
              </w:rPr>
              <w:t>Comprar después</w:t>
            </w:r>
          </w:p>
        </w:tc>
        <w:tc>
          <w:tcPr>
            <w:tcW w:type="dxa" w:w="2541"/>
            <w:vAlign w:val="center"/>
          </w:tcPr>
          <w:p>
            <w:r>
              <w:rPr>
                <w:sz w:val="18"/>
              </w:rPr>
            </w:r>
            <w:r>
              <w:rPr>
                <w:b w:val="0"/>
                <w:sz w:val="18"/>
              </w:rPr>
              <w:t>Validar rango de salida hacia ESP32/ADS1115; requiere calibración.</w:t>
            </w:r>
          </w:p>
        </w:tc>
      </w:tr>
      <w:tr>
        <w:tc>
          <w:tcPr>
            <w:tcW w:type="dxa" w:w="2541"/>
            <w:vAlign w:val="center"/>
          </w:tcPr>
          <w:p>
            <w:r>
              <w:rPr>
                <w:sz w:val="18"/>
              </w:rPr>
            </w:r>
            <w:r>
              <w:rPr>
                <w:b w:val="0"/>
                <w:sz w:val="18"/>
              </w:rPr>
              <w:t>SEN0244 TDS</w:t>
            </w:r>
          </w:p>
        </w:tc>
        <w:tc>
          <w:tcPr>
            <w:tcW w:type="dxa" w:w="2541"/>
            <w:vAlign w:val="center"/>
          </w:tcPr>
          <w:p>
            <w:r>
              <w:rPr>
                <w:sz w:val="18"/>
              </w:rPr>
            </w:r>
            <w:r>
              <w:rPr>
                <w:b w:val="0"/>
                <w:sz w:val="18"/>
              </w:rPr>
              <w:t>Concentración aproximada</w:t>
            </w:r>
          </w:p>
        </w:tc>
        <w:tc>
          <w:tcPr>
            <w:tcW w:type="dxa" w:w="2541"/>
            <w:vAlign w:val="center"/>
          </w:tcPr>
          <w:p>
            <w:r>
              <w:rPr>
                <w:sz w:val="18"/>
              </w:rPr>
            </w:r>
            <w:r>
              <w:rPr>
                <w:b w:val="0"/>
                <w:sz w:val="18"/>
              </w:rPr>
              <w:t>Comprar después</w:t>
            </w:r>
          </w:p>
        </w:tc>
        <w:tc>
          <w:tcPr>
            <w:tcW w:type="dxa" w:w="2541"/>
            <w:vAlign w:val="center"/>
          </w:tcPr>
          <w:p>
            <w:r>
              <w:rPr>
                <w:sz w:val="18"/>
              </w:rPr>
            </w:r>
            <w:r>
              <w:rPr>
                <w:b w:val="0"/>
                <w:sz w:val="18"/>
              </w:rPr>
              <w:t>Analógico; documentar limitaciones de rango y calibración.</w:t>
            </w:r>
          </w:p>
        </w:tc>
      </w:tr>
      <w:tr>
        <w:tc>
          <w:tcPr>
            <w:tcW w:type="dxa" w:w="2541"/>
            <w:vAlign w:val="center"/>
          </w:tcPr>
          <w:p>
            <w:r>
              <w:rPr>
                <w:sz w:val="18"/>
              </w:rPr>
            </w:r>
            <w:r>
              <w:rPr>
                <w:b w:val="0"/>
                <w:sz w:val="18"/>
              </w:rPr>
              <w:t>INA226 / INA219</w:t>
            </w:r>
          </w:p>
        </w:tc>
        <w:tc>
          <w:tcPr>
            <w:tcW w:type="dxa" w:w="2541"/>
            <w:vAlign w:val="center"/>
          </w:tcPr>
          <w:p>
            <w:r>
              <w:rPr>
                <w:sz w:val="18"/>
              </w:rPr>
            </w:r>
            <w:r>
              <w:rPr>
                <w:b w:val="0"/>
                <w:sz w:val="18"/>
              </w:rPr>
              <w:t>Energía</w:t>
            </w:r>
          </w:p>
        </w:tc>
        <w:tc>
          <w:tcPr>
            <w:tcW w:type="dxa" w:w="2541"/>
            <w:vAlign w:val="center"/>
          </w:tcPr>
          <w:p>
            <w:r>
              <w:rPr>
                <w:sz w:val="18"/>
              </w:rPr>
            </w:r>
            <w:r>
              <w:rPr>
                <w:b w:val="0"/>
                <w:sz w:val="18"/>
              </w:rPr>
              <w:t>Opcional</w:t>
            </w:r>
          </w:p>
        </w:tc>
        <w:tc>
          <w:tcPr>
            <w:tcW w:type="dxa" w:w="2541"/>
            <w:vAlign w:val="center"/>
          </w:tcPr>
          <w:p>
            <w:r>
              <w:rPr>
                <w:sz w:val="18"/>
              </w:rPr>
            </w:r>
            <w:r>
              <w:rPr>
                <w:b w:val="0"/>
                <w:sz w:val="18"/>
              </w:rPr>
              <w:t>Para 24 V se prefiere INA226 por mayor margen de tensión; no es necesario para arrancar el cultivo.</w:t>
            </w:r>
          </w:p>
        </w:tc>
      </w:tr>
    </w:tbl>
    <w:p>
      <w:pPr>
        <w:pStyle w:val="Heading2"/>
      </w:pPr>
      <w:r>
        <w:t>13.1 Potencia y control</w:t>
      </w:r>
    </w:p>
    <w:p>
      <w:pPr>
        <w:pStyle w:val="ListBullet"/>
      </w:pPr>
      <w:r>
        <w:t>El ESP32 sólo entrega señales de control; ninguna bomba o servo debe alimentarse desde los GPIO del ESP32.</w:t>
      </w:r>
    </w:p>
    <w:p>
      <w:pPr>
        <w:pStyle w:val="ListBullet"/>
      </w:pPr>
      <w:r>
        <w:t>La bomba principal de 24 V se controlará mediante D4184 en modo ON/OFF. El mismo tipo de MOSFET es válido para las bombas DC de 12/24 V evaluadas, siempre dentro de su corriente nominal.</w:t>
      </w:r>
    </w:p>
    <w:p>
      <w:pPr>
        <w:pStyle w:val="ListBullet"/>
      </w:pPr>
      <w:r>
        <w:t>La fuente de 24 V / 3 A queda como valor provisional. Para el montaje final se recomienda considerar 24 V / 5 A para dejar margen, y luego dimensionar los convertidores buck según la alternativa de dosificación seleccionada.</w:t>
      </w:r>
    </w:p>
    <w:p>
      <w:pPr>
        <w:pStyle w:val="ListBullet"/>
      </w:pPr>
      <w:r>
        <w:t>Si se usan servos SG90/MG90S, deberán recibir 5 V desde una fuente/buck externo; el ESP32 sólo entrega la señal de control. Todos los módulos deben compartir GND común.</w:t>
      </w:r>
    </w:p>
    <w:p>
      <w:pPr>
        <w:pStyle w:val="ListBullet"/>
      </w:pPr>
      <w:r>
        <w:t>La bomba principal brushless se manejará inicialmente sólo ON/OFF; no se utilizará PWM para variar velocidad hasta confirmar que el modelo específico lo admita.</w:t>
      </w:r>
    </w:p>
    <w:p>
      <w:pPr>
        <w:pStyle w:val="Heading1"/>
      </w:pPr>
      <w:r>
        <w:t>14. Alternativas de dosificación automática evaluadas</w:t>
      </w:r>
    </w:p>
    <w:p>
      <w:r>
        <w:t>La dosificación definitiva todavía no se cierra. Se mantienen varias alternativas para comparar costo, precisión, compatibilidad química y facilidad de mantenimiento. En todos los casos HydroMate trabajará en lazo cerrado: medir → dosificar poco → recircular/mezclar → esperar → volver a medir → repetir sólo si sigue fuera de rango.</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D9EAF7"/>
          </w:tcPr>
          <w:p>
            <w:r>
              <w:rPr>
                <w:sz w:val="18"/>
              </w:rPr>
            </w:r>
            <w:r>
              <w:rPr>
                <w:b/>
                <w:sz w:val="18"/>
              </w:rPr>
              <w:t>Alternativa</w:t>
            </w:r>
          </w:p>
        </w:tc>
        <w:tc>
          <w:tcPr>
            <w:tcW w:type="dxa" w:w="2033"/>
            <w:vAlign w:val="center"/>
            <w:shd w:fill="D9EAF7"/>
          </w:tcPr>
          <w:p>
            <w:r>
              <w:rPr>
                <w:sz w:val="18"/>
              </w:rPr>
            </w:r>
            <w:r>
              <w:rPr>
                <w:b/>
                <w:sz w:val="18"/>
              </w:rPr>
              <w:t>Precisión mecánica</w:t>
            </w:r>
          </w:p>
        </w:tc>
        <w:tc>
          <w:tcPr>
            <w:tcW w:type="dxa" w:w="2033"/>
            <w:vAlign w:val="center"/>
            <w:shd w:fill="D9EAF7"/>
          </w:tcPr>
          <w:p>
            <w:r>
              <w:rPr>
                <w:sz w:val="18"/>
              </w:rPr>
            </w:r>
            <w:r>
              <w:rPr>
                <w:b/>
                <w:sz w:val="18"/>
              </w:rPr>
              <w:t>Costo</w:t>
            </w:r>
          </w:p>
        </w:tc>
        <w:tc>
          <w:tcPr>
            <w:tcW w:type="dxa" w:w="2033"/>
            <w:vAlign w:val="center"/>
            <w:shd w:fill="D9EAF7"/>
          </w:tcPr>
          <w:p>
            <w:r>
              <w:rPr>
                <w:sz w:val="18"/>
              </w:rPr>
            </w:r>
            <w:r>
              <w:rPr>
                <w:b/>
                <w:sz w:val="18"/>
              </w:rPr>
              <w:t>Contacto químico</w:t>
            </w:r>
          </w:p>
        </w:tc>
        <w:tc>
          <w:tcPr>
            <w:tcW w:type="dxa" w:w="2033"/>
            <w:vAlign w:val="center"/>
            <w:shd w:fill="D9EAF7"/>
          </w:tcPr>
          <w:p>
            <w:r>
              <w:rPr>
                <w:sz w:val="18"/>
              </w:rPr>
            </w:r>
            <w:r>
              <w:rPr>
                <w:b/>
                <w:sz w:val="18"/>
              </w:rPr>
              <w:t>Evaluación actual</w:t>
            </w:r>
          </w:p>
        </w:tc>
      </w:tr>
      <w:tr>
        <w:tc>
          <w:tcPr>
            <w:tcW w:type="dxa" w:w="2033"/>
            <w:vAlign w:val="center"/>
          </w:tcPr>
          <w:p>
            <w:r>
              <w:rPr>
                <w:sz w:val="18"/>
              </w:rPr>
            </w:r>
            <w:r>
              <w:rPr>
                <w:b w:val="0"/>
                <w:sz w:val="18"/>
              </w:rPr>
              <w:t>A. 4 bombas peristálticas G328</w:t>
            </w:r>
          </w:p>
        </w:tc>
        <w:tc>
          <w:tcPr>
            <w:tcW w:type="dxa" w:w="2033"/>
            <w:vAlign w:val="center"/>
          </w:tcPr>
          <w:p>
            <w:r>
              <w:rPr>
                <w:sz w:val="18"/>
              </w:rPr>
            </w:r>
            <w:r>
              <w:rPr>
                <w:b w:val="0"/>
                <w:sz w:val="18"/>
              </w:rPr>
              <w:t>Alta</w:t>
            </w:r>
          </w:p>
        </w:tc>
        <w:tc>
          <w:tcPr>
            <w:tcW w:type="dxa" w:w="2033"/>
            <w:vAlign w:val="center"/>
          </w:tcPr>
          <w:p>
            <w:r>
              <w:rPr>
                <w:sz w:val="18"/>
              </w:rPr>
            </w:r>
            <w:r>
              <w:rPr>
                <w:b w:val="0"/>
                <w:sz w:val="18"/>
              </w:rPr>
              <w:t>Alto</w:t>
            </w:r>
          </w:p>
        </w:tc>
        <w:tc>
          <w:tcPr>
            <w:tcW w:type="dxa" w:w="2033"/>
            <w:vAlign w:val="center"/>
          </w:tcPr>
          <w:p>
            <w:r>
              <w:rPr>
                <w:sz w:val="18"/>
              </w:rPr>
            </w:r>
            <w:r>
              <w:rPr>
                <w:b w:val="0"/>
                <w:sz w:val="18"/>
              </w:rPr>
              <w:t>Muy buena: el líquido sólo toca el tubo</w:t>
            </w:r>
          </w:p>
        </w:tc>
        <w:tc>
          <w:tcPr>
            <w:tcW w:type="dxa" w:w="2033"/>
            <w:vAlign w:val="center"/>
          </w:tcPr>
          <w:p>
            <w:r>
              <w:rPr>
                <w:sz w:val="18"/>
              </w:rPr>
            </w:r>
            <w:r>
              <w:rPr>
                <w:b w:val="0"/>
                <w:sz w:val="18"/>
              </w:rPr>
              <w:t>Opción técnicamente más limpia, pero demasiado costosa para el presupuesto actual.</w:t>
            </w:r>
          </w:p>
        </w:tc>
      </w:tr>
      <w:tr>
        <w:tc>
          <w:tcPr>
            <w:tcW w:type="dxa" w:w="2033"/>
            <w:vAlign w:val="center"/>
          </w:tcPr>
          <w:p>
            <w:r>
              <w:rPr>
                <w:sz w:val="18"/>
              </w:rPr>
            </w:r>
            <w:r>
              <w:rPr>
                <w:b w:val="0"/>
                <w:sz w:val="18"/>
              </w:rPr>
              <w:t>B. 4 peristálticas genéricas económicas</w:t>
            </w:r>
          </w:p>
        </w:tc>
        <w:tc>
          <w:tcPr>
            <w:tcW w:type="dxa" w:w="2033"/>
            <w:vAlign w:val="center"/>
          </w:tcPr>
          <w:p>
            <w:r>
              <w:rPr>
                <w:sz w:val="18"/>
              </w:rPr>
            </w:r>
            <w:r>
              <w:rPr>
                <w:b w:val="0"/>
                <w:sz w:val="18"/>
              </w:rPr>
              <w:t>Media/alta</w:t>
            </w:r>
          </w:p>
        </w:tc>
        <w:tc>
          <w:tcPr>
            <w:tcW w:type="dxa" w:w="2033"/>
            <w:vAlign w:val="center"/>
          </w:tcPr>
          <w:p>
            <w:r>
              <w:rPr>
                <w:sz w:val="18"/>
              </w:rPr>
            </w:r>
            <w:r>
              <w:rPr>
                <w:b w:val="0"/>
                <w:sz w:val="18"/>
              </w:rPr>
              <w:t>Medio</w:t>
            </w:r>
          </w:p>
        </w:tc>
        <w:tc>
          <w:tcPr>
            <w:tcW w:type="dxa" w:w="2033"/>
            <w:vAlign w:val="center"/>
          </w:tcPr>
          <w:p>
            <w:r>
              <w:rPr>
                <w:sz w:val="18"/>
              </w:rPr>
            </w:r>
            <w:r>
              <w:rPr>
                <w:b w:val="0"/>
                <w:sz w:val="18"/>
              </w:rPr>
              <w:t>Buena si el tubo es compatible</w:t>
            </w:r>
          </w:p>
        </w:tc>
        <w:tc>
          <w:tcPr>
            <w:tcW w:type="dxa" w:w="2033"/>
            <w:vAlign w:val="center"/>
          </w:tcPr>
          <w:p>
            <w:r>
              <w:rPr>
                <w:sz w:val="18"/>
              </w:rPr>
            </w:r>
            <w:r>
              <w:rPr>
                <w:b w:val="0"/>
                <w:sz w:val="18"/>
              </w:rPr>
              <w:t>Requieren calibración individual en mL/s; mejor relación costo/precisión que G328 si se consiguen baratas.</w:t>
            </w:r>
          </w:p>
        </w:tc>
      </w:tr>
      <w:tr>
        <w:tc>
          <w:tcPr>
            <w:tcW w:type="dxa" w:w="2033"/>
            <w:vAlign w:val="center"/>
          </w:tcPr>
          <w:p>
            <w:r>
              <w:rPr>
                <w:sz w:val="18"/>
              </w:rPr>
            </w:r>
            <w:r>
              <w:rPr>
                <w:b w:val="0"/>
                <w:sz w:val="18"/>
              </w:rPr>
              <w:t>C. Diafragma para A/B + peristáltica para pH</w:t>
            </w:r>
          </w:p>
        </w:tc>
        <w:tc>
          <w:tcPr>
            <w:tcW w:type="dxa" w:w="2033"/>
            <w:vAlign w:val="center"/>
          </w:tcPr>
          <w:p>
            <w:r>
              <w:rPr>
                <w:sz w:val="18"/>
              </w:rPr>
            </w:r>
            <w:r>
              <w:rPr>
                <w:b w:val="0"/>
                <w:sz w:val="18"/>
              </w:rPr>
              <w:t>Media</w:t>
            </w:r>
          </w:p>
        </w:tc>
        <w:tc>
          <w:tcPr>
            <w:tcW w:type="dxa" w:w="2033"/>
            <w:vAlign w:val="center"/>
          </w:tcPr>
          <w:p>
            <w:r>
              <w:rPr>
                <w:sz w:val="18"/>
              </w:rPr>
            </w:r>
            <w:r>
              <w:rPr>
                <w:b w:val="0"/>
                <w:sz w:val="18"/>
              </w:rPr>
              <w:t>Medio-bajo</w:t>
            </w:r>
          </w:p>
        </w:tc>
        <w:tc>
          <w:tcPr>
            <w:tcW w:type="dxa" w:w="2033"/>
            <w:vAlign w:val="center"/>
          </w:tcPr>
          <w:p>
            <w:r>
              <w:rPr>
                <w:sz w:val="18"/>
              </w:rPr>
            </w:r>
            <w:r>
              <w:rPr>
                <w:b w:val="0"/>
                <w:sz w:val="18"/>
              </w:rPr>
              <w:t>A/B aceptable; pH protegido por peristáltica</w:t>
            </w:r>
          </w:p>
        </w:tc>
        <w:tc>
          <w:tcPr>
            <w:tcW w:type="dxa" w:w="2033"/>
            <w:vAlign w:val="center"/>
          </w:tcPr>
          <w:p>
            <w:r>
              <w:rPr>
                <w:sz w:val="18"/>
              </w:rPr>
            </w:r>
            <w:r>
              <w:rPr>
                <w:b w:val="0"/>
                <w:sz w:val="18"/>
              </w:rPr>
              <w:t>Alternativa híbrida. Las bombas de diafragma son rápidas y requieren dosificación por pulsos/calibración.</w:t>
            </w:r>
          </w:p>
        </w:tc>
      </w:tr>
      <w:tr>
        <w:tc>
          <w:tcPr>
            <w:tcW w:type="dxa" w:w="2033"/>
            <w:vAlign w:val="center"/>
          </w:tcPr>
          <w:p>
            <w:r>
              <w:rPr>
                <w:sz w:val="18"/>
              </w:rPr>
            </w:r>
            <w:r>
              <w:rPr>
                <w:b w:val="0"/>
                <w:sz w:val="18"/>
              </w:rPr>
              <w:t>D. 4 bombas de diafragma + pH diluido</w:t>
            </w:r>
          </w:p>
        </w:tc>
        <w:tc>
          <w:tcPr>
            <w:tcW w:type="dxa" w:w="2033"/>
            <w:vAlign w:val="center"/>
          </w:tcPr>
          <w:p>
            <w:r>
              <w:rPr>
                <w:sz w:val="18"/>
              </w:rPr>
            </w:r>
            <w:r>
              <w:rPr>
                <w:b w:val="0"/>
                <w:sz w:val="18"/>
              </w:rPr>
              <w:t>Media-baja</w:t>
            </w:r>
          </w:p>
        </w:tc>
        <w:tc>
          <w:tcPr>
            <w:tcW w:type="dxa" w:w="2033"/>
            <w:vAlign w:val="center"/>
          </w:tcPr>
          <w:p>
            <w:r>
              <w:rPr>
                <w:sz w:val="18"/>
              </w:rPr>
            </w:r>
            <w:r>
              <w:rPr>
                <w:b w:val="0"/>
                <w:sz w:val="18"/>
              </w:rPr>
              <w:t>Bajo</w:t>
            </w:r>
          </w:p>
        </w:tc>
        <w:tc>
          <w:tcPr>
            <w:tcW w:type="dxa" w:w="2033"/>
            <w:vAlign w:val="center"/>
          </w:tcPr>
          <w:p>
            <w:r>
              <w:rPr>
                <w:sz w:val="18"/>
              </w:rPr>
            </w:r>
            <w:r>
              <w:rPr>
                <w:b w:val="0"/>
                <w:sz w:val="18"/>
              </w:rPr>
              <w:t>Compatibilidad química no garantizada</w:t>
            </w:r>
          </w:p>
        </w:tc>
        <w:tc>
          <w:tcPr>
            <w:tcW w:type="dxa" w:w="2033"/>
            <w:vAlign w:val="center"/>
          </w:tcPr>
          <w:p>
            <w:r>
              <w:rPr>
                <w:sz w:val="18"/>
              </w:rPr>
            </w:r>
            <w:r>
              <w:rPr>
                <w:b w:val="0"/>
                <w:sz w:val="18"/>
              </w:rPr>
              <w:t>Viable para prototipo si pH Up/Down se usan como soluciones de trabajo muy diluidas. Riesgo de desgaste y caudal alto.</w:t>
            </w:r>
          </w:p>
        </w:tc>
      </w:tr>
      <w:tr>
        <w:tc>
          <w:tcPr>
            <w:tcW w:type="dxa" w:w="2033"/>
            <w:vAlign w:val="center"/>
          </w:tcPr>
          <w:p>
            <w:r>
              <w:rPr>
                <w:sz w:val="18"/>
              </w:rPr>
            </w:r>
            <w:r>
              <w:rPr>
                <w:b w:val="0"/>
                <w:sz w:val="18"/>
              </w:rPr>
              <w:t>E. Gravedad + servo + válvula pinch</w:t>
            </w:r>
          </w:p>
        </w:tc>
        <w:tc>
          <w:tcPr>
            <w:tcW w:type="dxa" w:w="2033"/>
            <w:vAlign w:val="center"/>
          </w:tcPr>
          <w:p>
            <w:r>
              <w:rPr>
                <w:sz w:val="18"/>
              </w:rPr>
            </w:r>
            <w:r>
              <w:rPr>
                <w:b w:val="0"/>
                <w:sz w:val="18"/>
              </w:rPr>
              <w:t>Suficiente por realimentación</w:t>
            </w:r>
          </w:p>
        </w:tc>
        <w:tc>
          <w:tcPr>
            <w:tcW w:type="dxa" w:w="2033"/>
            <w:vAlign w:val="center"/>
          </w:tcPr>
          <w:p>
            <w:r>
              <w:rPr>
                <w:sz w:val="18"/>
              </w:rPr>
            </w:r>
            <w:r>
              <w:rPr>
                <w:b w:val="0"/>
                <w:sz w:val="18"/>
              </w:rPr>
              <w:t>Muy bajo</w:t>
            </w:r>
          </w:p>
        </w:tc>
        <w:tc>
          <w:tcPr>
            <w:tcW w:type="dxa" w:w="2033"/>
            <w:vAlign w:val="center"/>
          </w:tcPr>
          <w:p>
            <w:r>
              <w:rPr>
                <w:sz w:val="18"/>
              </w:rPr>
            </w:r>
            <w:r>
              <w:rPr>
                <w:b w:val="0"/>
                <w:sz w:val="18"/>
              </w:rPr>
              <w:t>Excelente: el líquido sólo toca la manguera</w:t>
            </w:r>
          </w:p>
        </w:tc>
        <w:tc>
          <w:tcPr>
            <w:tcW w:type="dxa" w:w="2033"/>
            <w:vAlign w:val="center"/>
          </w:tcPr>
          <w:p>
            <w:r>
              <w:rPr>
                <w:sz w:val="18"/>
              </w:rPr>
            </w:r>
            <w:r>
              <w:rPr>
                <w:b w:val="0"/>
                <w:sz w:val="18"/>
              </w:rPr>
              <w:t>Alternativa de bajo costo más interesante para prototipo; aprovecha la realimentación de pH/TDS y reduce el número de bombas.</w:t>
            </w:r>
          </w:p>
        </w:tc>
      </w:tr>
    </w:tbl>
    <w:p>
      <w:pPr>
        <w:pStyle w:val="Heading2"/>
      </w:pPr>
      <w:r>
        <w:t>14.1 Alternativa de gravedad con válvulas pinch y servos</w:t>
      </w:r>
    </w:p>
    <w:p>
      <w:r>
        <w:t>Configuración propuesta: cuatro depósitos elevados y ventilados (A, B, pH Up y pH Down), cada uno con una manguera independiente que descarga por gravedad hacia el depósito principal. Cada línea se abre/cierra pinzando externamente la manguera flexible con un servo.</w:t>
      </w:r>
    </w:p>
    <w:p>
      <w:pPr>
        <w:pStyle w:val="ListBullet"/>
      </w:pPr>
      <w:r>
        <w:t>Usar una manguera de silicón flexible (por ejemplo 3×5 mm o 4×6 mm, medida final por confirmar) para que pueda cerrarse por compresión sin válvulas mojadas por el químico.</w:t>
      </w:r>
    </w:p>
    <w:p>
      <w:pPr>
        <w:pStyle w:val="ListBullet"/>
      </w:pPr>
      <w:r>
        <w:t>Configurar la válvula como normalmente cerrada: un resorte mantiene la manguera pinzada y el servo sólo vence el resorte durante la dosificación. Si se pierde energía, la línea vuelve a cerrarse.</w:t>
      </w:r>
    </w:p>
    <w:p>
      <w:pPr>
        <w:pStyle w:val="ListBullet"/>
      </w:pPr>
      <w:r>
        <w:t>Para el primer prototipo puede reutilizarse el resorte de torsión de una pinza de ropa; no se comprará un resorte “preciso” hasta conocer la manguera real y medir la fuerza necesaria.</w:t>
      </w:r>
    </w:p>
    <w:p>
      <w:pPr>
        <w:pStyle w:val="ListBullet"/>
      </w:pPr>
      <w:r>
        <w:t>El servo puede ser SG90 para pruebas; MG90S queda como mejora si se necesita más resistencia mecánica. No alimentar servos desde el ESP32.</w:t>
      </w:r>
    </w:p>
    <w:p>
      <w:pPr>
        <w:pStyle w:val="ListBullet"/>
      </w:pPr>
      <w:r>
        <w:t>Los depósitos no necesitan estar herméticos. Al permanecer cerrados pero ventilados permiten la entrada de aire y el flujo por gravedad. Una botella de Mariotte queda sólo como mejora futura si la variación del caudal con el nivel resulta problemática.</w:t>
      </w:r>
    </w:p>
    <w:p>
      <w:pPr>
        <w:pStyle w:val="ListBullet"/>
      </w:pPr>
      <w:r>
        <w:t>Controlar la dosis por tiempo de apertura, no por posición parcial. Ejemplo: abrir 1–3 s, cerrar, mezclar, medir de nuevo. Si el caudal es alto, reducir diámetro/restringir la línea y/o diluir el corrector de pH.</w:t>
      </w:r>
    </w:p>
    <w:p>
      <w:pPr>
        <w:pStyle w:val="ListBullet"/>
      </w:pPr>
      <w:r>
        <w:t>pH Up y pH Down deben permanecer en líneas separadas. Nutriente A y B también deben tener líneas independientes y no dosificarse simultáneamente como concentrados.</w:t>
      </w:r>
    </w:p>
    <w:p>
      <w:pPr>
        <w:pStyle w:val="ListBullet"/>
      </w:pPr>
      <w:r>
        <w:t>Agregar límites de seguridad: máximo de segundos de apertura por evento, por hora y por día; bloqueo cuando el sensor sea inválido; nunca permitir pH Up y pH Down a la vez.</w:t>
      </w:r>
    </w:p>
    <w:p>
      <w:pPr>
        <w:pStyle w:val="Heading3"/>
      </w:pPr>
      <w:r>
        <w:t>Diseños 3D de referencia</w:t>
      </w:r>
    </w:p>
    <w:p>
      <w:pPr>
        <w:pStyle w:val="ListBullet"/>
      </w:pPr>
      <w:r>
        <w:t>Pinch valve powered by servo (SG90, diseño gratuito): https://www.thingiverse.com/thing:5367793</w:t>
      </w:r>
    </w:p>
    <w:p>
      <w:pPr>
        <w:pStyle w:val="ListBullet"/>
      </w:pPr>
      <w:r>
        <w:t>Modelo SG90 + brazo para adaptar en CAD: https://www.printables.com/es/model/727559-servo-sg90-and-arm</w:t>
      </w:r>
    </w:p>
    <w:p>
      <w:pPr>
        <w:pStyle w:val="Heading1"/>
      </w:pPr>
      <w:r>
        <w:t>15. Estado de compras y pedidos por conciliar</w:t>
      </w:r>
    </w:p>
    <w:p>
      <w:r>
        <w:t>Se corrige el estado de compras para no tratar como pagados componentes cuyo cobro fue rechazado o quedó incierto. El total confirmado mínimo se separa de los pedidos de Amazon que requieren conciliación.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FCE5CD"/>
          </w:tcPr>
          <w:p>
            <w:r>
              <w:rPr>
                <w:sz w:val="18"/>
              </w:rPr>
            </w:r>
            <w:r>
              <w:rPr>
                <w:b/>
                <w:sz w:val="18"/>
              </w:rPr>
              <w:t>Origen</w:t>
            </w:r>
          </w:p>
        </w:tc>
        <w:tc>
          <w:tcPr>
            <w:tcW w:type="dxa" w:w="2541"/>
            <w:vAlign w:val="center"/>
            <w:shd w:fill="FCE5CD"/>
          </w:tcPr>
          <w:p>
            <w:r>
              <w:rPr>
                <w:sz w:val="18"/>
              </w:rPr>
            </w:r>
            <w:r>
              <w:rPr>
                <w:b/>
                <w:sz w:val="18"/>
              </w:rPr>
              <w:t>Compra</w:t>
            </w:r>
          </w:p>
        </w:tc>
        <w:tc>
          <w:tcPr>
            <w:tcW w:type="dxa" w:w="2541"/>
            <w:vAlign w:val="center"/>
            <w:shd w:fill="FCE5CD"/>
          </w:tcPr>
          <w:p>
            <w:r>
              <w:rPr>
                <w:sz w:val="18"/>
              </w:rPr>
            </w:r>
            <w:r>
              <w:rPr>
                <w:b/>
                <w:sz w:val="18"/>
              </w:rPr>
              <w:t>Monto mostrado</w:t>
            </w:r>
          </w:p>
        </w:tc>
        <w:tc>
          <w:tcPr>
            <w:tcW w:type="dxa" w:w="2541"/>
            <w:vAlign w:val="center"/>
            <w:shd w:fill="FCE5CD"/>
          </w:tcPr>
          <w:p>
            <w:r>
              <w:rPr>
                <w:sz w:val="18"/>
              </w:rPr>
            </w:r>
            <w:r>
              <w:rPr>
                <w:b/>
                <w:sz w:val="18"/>
              </w:rPr>
              <w:t>Estado real</w:t>
            </w:r>
          </w:p>
        </w:tc>
      </w:tr>
      <w:tr>
        <w:tc>
          <w:tcPr>
            <w:tcW w:type="dxa" w:w="2541"/>
            <w:vAlign w:val="center"/>
          </w:tcPr>
          <w:p>
            <w:r>
              <w:rPr>
                <w:sz w:val="18"/>
              </w:rPr>
            </w:r>
            <w:r>
              <w:rPr>
                <w:b w:val="0"/>
                <w:sz w:val="18"/>
              </w:rPr>
              <w:t>Home Depot</w:t>
            </w:r>
          </w:p>
        </w:tc>
        <w:tc>
          <w:tcPr>
            <w:tcW w:type="dxa" w:w="2541"/>
            <w:vAlign w:val="center"/>
          </w:tcPr>
          <w:p>
            <w:r>
              <w:rPr>
                <w:sz w:val="18"/>
              </w:rPr>
            </w:r>
            <w:r>
              <w:rPr>
                <w:b w:val="0"/>
                <w:sz w:val="18"/>
              </w:rPr>
              <w:t>Depósito 51 L</w:t>
            </w:r>
          </w:p>
        </w:tc>
        <w:tc>
          <w:tcPr>
            <w:tcW w:type="dxa" w:w="2541"/>
            <w:vAlign w:val="center"/>
          </w:tcPr>
          <w:p>
            <w:r>
              <w:rPr>
                <w:sz w:val="18"/>
              </w:rPr>
            </w:r>
            <w:r>
              <w:rPr>
                <w:b w:val="0"/>
                <w:sz w:val="18"/>
              </w:rPr>
              <w:t>$389.00</w:t>
            </w:r>
          </w:p>
        </w:tc>
        <w:tc>
          <w:tcPr>
            <w:tcW w:type="dxa" w:w="2541"/>
            <w:vAlign w:val="center"/>
          </w:tcPr>
          <w:p>
            <w:r>
              <w:rPr>
                <w:sz w:val="18"/>
              </w:rPr>
            </w:r>
            <w:r>
              <w:rPr>
                <w:b w:val="0"/>
                <w:sz w:val="18"/>
              </w:rPr>
              <w:t>Confirmado</w:t>
            </w:r>
          </w:p>
        </w:tc>
      </w:tr>
      <w:tr>
        <w:tc>
          <w:tcPr>
            <w:tcW w:type="dxa" w:w="2541"/>
            <w:vAlign w:val="center"/>
          </w:tcPr>
          <w:p>
            <w:r>
              <w:rPr>
                <w:sz w:val="18"/>
              </w:rPr>
            </w:r>
            <w:r>
              <w:rPr>
                <w:b w:val="0"/>
                <w:sz w:val="18"/>
              </w:rPr>
              <w:t>Home Depot</w:t>
            </w:r>
          </w:p>
        </w:tc>
        <w:tc>
          <w:tcPr>
            <w:tcW w:type="dxa" w:w="2541"/>
            <w:vAlign w:val="center"/>
          </w:tcPr>
          <w:p>
            <w:r>
              <w:rPr>
                <w:sz w:val="18"/>
              </w:rPr>
            </w:r>
            <w:r>
              <w:rPr>
                <w:b w:val="0"/>
                <w:sz w:val="18"/>
              </w:rPr>
              <w:t>Maceta para regadera</w:t>
            </w:r>
          </w:p>
        </w:tc>
        <w:tc>
          <w:tcPr>
            <w:tcW w:type="dxa" w:w="2541"/>
            <w:vAlign w:val="center"/>
          </w:tcPr>
          <w:p>
            <w:r>
              <w:rPr>
                <w:sz w:val="18"/>
              </w:rPr>
            </w:r>
            <w:r>
              <w:rPr>
                <w:b w:val="0"/>
                <w:sz w:val="18"/>
              </w:rPr>
              <w:t>$105.00</w:t>
            </w:r>
          </w:p>
        </w:tc>
        <w:tc>
          <w:tcPr>
            <w:tcW w:type="dxa" w:w="2541"/>
            <w:vAlign w:val="center"/>
          </w:tcPr>
          <w:p>
            <w:r>
              <w:rPr>
                <w:sz w:val="18"/>
              </w:rPr>
            </w:r>
            <w:r>
              <w:rPr>
                <w:b w:val="0"/>
                <w:sz w:val="18"/>
              </w:rPr>
              <w:t>Confirmado</w:t>
            </w:r>
          </w:p>
        </w:tc>
      </w:tr>
      <w:tr>
        <w:tc>
          <w:tcPr>
            <w:tcW w:type="dxa" w:w="2541"/>
            <w:vAlign w:val="center"/>
          </w:tcPr>
          <w:p>
            <w:r>
              <w:rPr>
                <w:sz w:val="18"/>
              </w:rPr>
            </w:r>
            <w:r>
              <w:rPr>
                <w:b w:val="0"/>
                <w:sz w:val="18"/>
              </w:rPr>
              <w:t>Home Depot</w:t>
            </w:r>
          </w:p>
        </w:tc>
        <w:tc>
          <w:tcPr>
            <w:tcW w:type="dxa" w:w="2541"/>
            <w:vAlign w:val="center"/>
          </w:tcPr>
          <w:p>
            <w:r>
              <w:rPr>
                <w:sz w:val="18"/>
              </w:rPr>
            </w:r>
            <w:r>
              <w:rPr>
                <w:b w:val="0"/>
                <w:sz w:val="18"/>
              </w:rPr>
              <w:t>Semillas</w:t>
            </w:r>
          </w:p>
        </w:tc>
        <w:tc>
          <w:tcPr>
            <w:tcW w:type="dxa" w:w="2541"/>
            <w:vAlign w:val="center"/>
          </w:tcPr>
          <w:p>
            <w:r>
              <w:rPr>
                <w:sz w:val="18"/>
              </w:rPr>
            </w:r>
            <w:r>
              <w:rPr>
                <w:b w:val="0"/>
                <w:sz w:val="18"/>
              </w:rPr>
              <w:t>$208.00</w:t>
            </w:r>
          </w:p>
        </w:tc>
        <w:tc>
          <w:tcPr>
            <w:tcW w:type="dxa" w:w="2541"/>
            <w:vAlign w:val="center"/>
          </w:tcPr>
          <w:p>
            <w:r>
              <w:rPr>
                <w:sz w:val="18"/>
              </w:rPr>
            </w:r>
            <w:r>
              <w:rPr>
                <w:b w:val="0"/>
                <w:sz w:val="18"/>
              </w:rPr>
              <w:t>Confirmado</w:t>
            </w:r>
          </w:p>
        </w:tc>
      </w:tr>
      <w:tr>
        <w:tc>
          <w:tcPr>
            <w:tcW w:type="dxa" w:w="2541"/>
            <w:vAlign w:val="center"/>
          </w:tcPr>
          <w:p>
            <w:r>
              <w:rPr>
                <w:sz w:val="18"/>
              </w:rPr>
            </w:r>
            <w:r>
              <w:rPr>
                <w:b w:val="0"/>
                <w:sz w:val="18"/>
              </w:rPr>
              <w:t>Compra hidráulica</w:t>
            </w:r>
          </w:p>
        </w:tc>
        <w:tc>
          <w:tcPr>
            <w:tcW w:type="dxa" w:w="2541"/>
            <w:vAlign w:val="center"/>
          </w:tcPr>
          <w:p>
            <w:r>
              <w:rPr>
                <w:sz w:val="18"/>
              </w:rPr>
            </w:r>
            <w:r>
              <w:rPr>
                <w:b w:val="0"/>
                <w:sz w:val="18"/>
              </w:rPr>
              <w:t>Manguera + PVC 3/4" × 1.5 m + adaptadores</w:t>
            </w:r>
          </w:p>
        </w:tc>
        <w:tc>
          <w:tcPr>
            <w:tcW w:type="dxa" w:w="2541"/>
            <w:vAlign w:val="center"/>
          </w:tcPr>
          <w:p>
            <w:r>
              <w:rPr>
                <w:sz w:val="18"/>
              </w:rPr>
            </w:r>
            <w:r>
              <w:rPr>
                <w:b w:val="0"/>
                <w:sz w:val="18"/>
              </w:rPr>
              <w:t>$126.94</w:t>
            </w:r>
          </w:p>
        </w:tc>
        <w:tc>
          <w:tcPr>
            <w:tcW w:type="dxa" w:w="2541"/>
            <w:vAlign w:val="center"/>
          </w:tcPr>
          <w:p>
            <w:r>
              <w:rPr>
                <w:sz w:val="18"/>
              </w:rPr>
            </w:r>
            <w:r>
              <w:rPr>
                <w:b w:val="0"/>
                <w:sz w:val="18"/>
              </w:rPr>
              <w:t>Confirmado</w:t>
            </w:r>
          </w:p>
        </w:tc>
      </w:tr>
      <w:tr>
        <w:tc>
          <w:tcPr>
            <w:tcW w:type="dxa" w:w="2541"/>
            <w:vAlign w:val="center"/>
          </w:tcPr>
          <w:p>
            <w:r>
              <w:rPr>
                <w:sz w:val="18"/>
              </w:rPr>
            </w:r>
            <w:r>
              <w:rPr>
                <w:b w:val="0"/>
                <w:sz w:val="18"/>
              </w:rPr>
              <w:t>Mercado Libre</w:t>
            </w:r>
          </w:p>
        </w:tc>
        <w:tc>
          <w:tcPr>
            <w:tcW w:type="dxa" w:w="2541"/>
            <w:vAlign w:val="center"/>
          </w:tcPr>
          <w:p>
            <w:r>
              <w:rPr>
                <w:sz w:val="18"/>
              </w:rPr>
            </w:r>
            <w:r>
              <w:rPr>
                <w:b w:val="0"/>
                <w:sz w:val="18"/>
              </w:rPr>
              <w:t>Lámpara LED 4 brazos</w:t>
            </w:r>
          </w:p>
        </w:tc>
        <w:tc>
          <w:tcPr>
            <w:tcW w:type="dxa" w:w="2541"/>
            <w:vAlign w:val="center"/>
          </w:tcPr>
          <w:p>
            <w:r>
              <w:rPr>
                <w:sz w:val="18"/>
              </w:rPr>
            </w:r>
            <w:r>
              <w:rPr>
                <w:b w:val="0"/>
                <w:sz w:val="18"/>
              </w:rPr>
              <w:t>$243.31</w:t>
            </w:r>
          </w:p>
        </w:tc>
        <w:tc>
          <w:tcPr>
            <w:tcW w:type="dxa" w:w="2541"/>
            <w:vAlign w:val="center"/>
          </w:tcPr>
          <w:p>
            <w:r>
              <w:rPr>
                <w:sz w:val="18"/>
              </w:rPr>
            </w:r>
            <w:r>
              <w:rPr>
                <w:b w:val="0"/>
                <w:sz w:val="18"/>
              </w:rPr>
              <w:t>Confirmado</w:t>
            </w:r>
          </w:p>
        </w:tc>
      </w:tr>
      <w:tr>
        <w:tc>
          <w:tcPr>
            <w:tcW w:type="dxa" w:w="2541"/>
            <w:vAlign w:val="center"/>
          </w:tcPr>
          <w:p>
            <w:r>
              <w:rPr>
                <w:sz w:val="18"/>
              </w:rPr>
            </w:r>
            <w:r>
              <w:rPr>
                <w:b w:val="0"/>
                <w:sz w:val="18"/>
              </w:rPr>
              <w:t>Compra local</w:t>
            </w:r>
          </w:p>
        </w:tc>
        <w:tc>
          <w:tcPr>
            <w:tcW w:type="dxa" w:w="2541"/>
            <w:vAlign w:val="center"/>
          </w:tcPr>
          <w:p>
            <w:r>
              <w:rPr>
                <w:sz w:val="18"/>
              </w:rPr>
            </w:r>
            <w:r>
              <w:rPr>
                <w:b w:val="0"/>
                <w:sz w:val="18"/>
              </w:rPr>
              <w:t>PVC azul 6" × 2 m, pared gruesa</w:t>
            </w:r>
          </w:p>
        </w:tc>
        <w:tc>
          <w:tcPr>
            <w:tcW w:type="dxa" w:w="2541"/>
            <w:vAlign w:val="center"/>
          </w:tcPr>
          <w:p>
            <w:r>
              <w:rPr>
                <w:sz w:val="18"/>
              </w:rPr>
            </w:r>
            <w:r>
              <w:rPr>
                <w:b w:val="0"/>
                <w:sz w:val="18"/>
              </w:rPr>
              <w:t>$400.00</w:t>
            </w:r>
          </w:p>
        </w:tc>
        <w:tc>
          <w:tcPr>
            <w:tcW w:type="dxa" w:w="2541"/>
            <w:vAlign w:val="center"/>
          </w:tcPr>
          <w:p>
            <w:r>
              <w:rPr>
                <w:sz w:val="18"/>
              </w:rPr>
            </w:r>
            <w:r>
              <w:rPr>
                <w:b w:val="0"/>
                <w:sz w:val="18"/>
              </w:rPr>
              <w:t>Confirmado</w:t>
            </w:r>
          </w:p>
        </w:tc>
      </w:tr>
      <w:tr>
        <w:tc>
          <w:tcPr>
            <w:tcW w:type="dxa" w:w="2541"/>
            <w:vAlign w:val="center"/>
          </w:tcPr>
          <w:p>
            <w:r>
              <w:rPr>
                <w:sz w:val="18"/>
              </w:rPr>
            </w:r>
            <w:r>
              <w:rPr>
                <w:b w:val="0"/>
                <w:sz w:val="18"/>
              </w:rPr>
              <w:t>Amazon</w:t>
            </w:r>
          </w:p>
        </w:tc>
        <w:tc>
          <w:tcPr>
            <w:tcW w:type="dxa" w:w="2541"/>
            <w:vAlign w:val="center"/>
          </w:tcPr>
          <w:p>
            <w:r>
              <w:rPr>
                <w:sz w:val="18"/>
              </w:rPr>
            </w:r>
            <w:r>
              <w:rPr>
                <w:b w:val="0"/>
                <w:sz w:val="18"/>
              </w:rPr>
              <w:t>Bomba 24 V / 25 W / 1000–1200 L/h</w:t>
            </w:r>
          </w:p>
        </w:tc>
        <w:tc>
          <w:tcPr>
            <w:tcW w:type="dxa" w:w="2541"/>
            <w:vAlign w:val="center"/>
          </w:tcPr>
          <w:p>
            <w:r>
              <w:rPr>
                <w:sz w:val="18"/>
              </w:rPr>
            </w:r>
            <w:r>
              <w:rPr>
                <w:b w:val="0"/>
                <w:sz w:val="18"/>
              </w:rPr>
              <w:t>$242.10</w:t>
            </w:r>
          </w:p>
        </w:tc>
        <w:tc>
          <w:tcPr>
            <w:tcW w:type="dxa" w:w="2541"/>
            <w:vAlign w:val="center"/>
          </w:tcPr>
          <w:p>
            <w:r>
              <w:rPr>
                <w:sz w:val="18"/>
              </w:rPr>
            </w:r>
            <w:r>
              <w:rPr>
                <w:b w:val="0"/>
                <w:sz w:val="18"/>
              </w:rPr>
              <w:t>Pedido con problema de pago; confirmar antes de sumar</w:t>
            </w:r>
          </w:p>
        </w:tc>
      </w:tr>
      <w:tr>
        <w:tc>
          <w:tcPr>
            <w:tcW w:type="dxa" w:w="2541"/>
            <w:vAlign w:val="center"/>
          </w:tcPr>
          <w:p>
            <w:r>
              <w:rPr>
                <w:sz w:val="18"/>
              </w:rPr>
            </w:r>
            <w:r>
              <w:rPr>
                <w:b w:val="0"/>
                <w:sz w:val="18"/>
              </w:rPr>
              <w:t>Amazon</w:t>
            </w:r>
          </w:p>
        </w:tc>
        <w:tc>
          <w:tcPr>
            <w:tcW w:type="dxa" w:w="2541"/>
            <w:vAlign w:val="center"/>
          </w:tcPr>
          <w:p>
            <w:r>
              <w:rPr>
                <w:sz w:val="18"/>
              </w:rPr>
            </w:r>
            <w:r>
              <w:rPr>
                <w:b w:val="0"/>
                <w:sz w:val="18"/>
              </w:rPr>
              <w:t>LECA + net pots</w:t>
            </w:r>
          </w:p>
        </w:tc>
        <w:tc>
          <w:tcPr>
            <w:tcW w:type="dxa" w:w="2541"/>
            <w:vAlign w:val="center"/>
          </w:tcPr>
          <w:p>
            <w:r>
              <w:rPr>
                <w:sz w:val="18"/>
              </w:rPr>
            </w:r>
            <w:r>
              <w:rPr>
                <w:b w:val="0"/>
                <w:sz w:val="18"/>
              </w:rPr>
              <w:t>$346.39</w:t>
            </w:r>
          </w:p>
        </w:tc>
        <w:tc>
          <w:tcPr>
            <w:tcW w:type="dxa" w:w="2541"/>
            <w:vAlign w:val="center"/>
          </w:tcPr>
          <w:p>
            <w:r>
              <w:rPr>
                <w:sz w:val="18"/>
              </w:rPr>
            </w:r>
            <w:r>
              <w:rPr>
                <w:b w:val="0"/>
                <w:sz w:val="18"/>
              </w:rPr>
              <w:t>Pedido conjunto; net pots rechazados/reembolsados; conciliar LECA por separado</w:t>
            </w:r>
          </w:p>
        </w:tc>
      </w:tr>
    </w:tbl>
    <w:p>
      <w:r>
        <w:rPr>
          <w:b/>
        </w:rPr>
        <w:t xml:space="preserve">Gasto confirmado mínimo actual: $1,472.25 MXN. </w:t>
      </w:r>
      <w:r>
        <w:t>Este monto excluye la bomba de Amazon y el pedido LECA/net pots hasta confirmar qué cargos realmente quedaron autorizados. El net pot se considera pendiente de compra y se priorizará búsqueda local/presencial para evitar costo de envío.</w:t>
      </w:r>
    </w:p>
    <w:p>
      <w:pPr>
        <w:pStyle w:val="Heading1"/>
      </w:pPr>
      <w:r>
        <w:t>16. Net pots y abastecimiento local</w:t>
      </w:r>
    </w:p>
    <w:p>
      <w:pPr>
        <w:pStyle w:val="ListBullet"/>
      </w:pPr>
      <w:r>
        <w:t>El pedido de net pots de 3" no quedó pagado; el dinero fue devuelto y el producto se considera pendiente.</w:t>
      </w:r>
    </w:p>
    <w:p>
      <w:pPr>
        <w:pStyle w:val="ListBullet"/>
      </w:pPr>
      <w:r>
        <w:t>Se buscarán primero canastillas hidropónicas de 3" en tiendas de hidroponía/viveros locales para evitar pagar envío.</w:t>
      </w:r>
    </w:p>
    <w:p>
      <w:pPr>
        <w:pStyle w:val="ListBullet"/>
      </w:pPr>
      <w:r>
        <w:t>Como alternativa de emergencia puede utilizarse una maceta ranurada de orquídea de tamaño equivalente o una maceta plástica de ~3" modificada con suficientes ranuras, siempre que sostenga la LECA y permita salida libre de raíces.</w:t>
      </w:r>
    </w:p>
    <w:p>
      <w:pPr>
        <w:pStyle w:val="ListBullet"/>
      </w:pPr>
      <w:r>
        <w:t>Antes de perforar el tubo de 6" se medirá físicamente el net pot definitivo; “3 pulgadas” es una medida nominal y puede variar entre fabricantes.</w:t>
      </w:r>
    </w:p>
    <w:p>
      <w:pPr>
        <w:pStyle w:val="Heading1"/>
      </w:pPr>
      <w:r>
        <w:t>17. Decisiones actuales y puntos aún abiertos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AD1DC"/>
          </w:tcPr>
          <w:p>
            <w:r>
              <w:rPr>
                <w:sz w:val="18"/>
              </w:rPr>
            </w:r>
            <w:r>
              <w:rPr>
                <w:b/>
                <w:sz w:val="18"/>
              </w:rPr>
              <w:t>Estado</w:t>
            </w:r>
          </w:p>
        </w:tc>
        <w:tc>
          <w:tcPr>
            <w:tcW w:type="dxa" w:w="5083"/>
            <w:vAlign w:val="center"/>
            <w:shd w:fill="EAD1DC"/>
          </w:tcPr>
          <w:p>
            <w:r>
              <w:rPr>
                <w:sz w:val="18"/>
              </w:rPr>
            </w:r>
            <w:r>
              <w:rPr>
                <w:b/>
                <w:sz w:val="18"/>
              </w:rPr>
              <w:t>Decisión / pendiente</w:t>
            </w:r>
          </w:p>
        </w:tc>
      </w:tr>
      <w:tr>
        <w:tc>
          <w:tcPr>
            <w:tcW w:type="dxa" w:w="5083"/>
            <w:vAlign w:val="center"/>
          </w:tcPr>
          <w:p>
            <w:r>
              <w:rPr>
                <w:sz w:val="18"/>
              </w:rPr>
            </w:r>
            <w:r>
              <w:rPr>
                <w:b w:val="0"/>
                <w:sz w:val="18"/>
              </w:rPr>
              <w:t>Confirmado</w:t>
            </w:r>
          </w:p>
        </w:tc>
        <w:tc>
          <w:tcPr>
            <w:tcW w:type="dxa" w:w="5083"/>
            <w:vAlign w:val="center"/>
          </w:tcPr>
          <w:p>
            <w:r>
              <w:rPr>
                <w:sz w:val="18"/>
              </w:rPr>
            </w:r>
            <w:r>
              <w:rPr>
                <w:b w:val="0"/>
                <w:sz w:val="18"/>
              </w:rPr>
              <w:t>Depósito transparente de 51 L con tapa rígida/sellada; cubrir exteriormente para bloquear luz.</w:t>
            </w:r>
          </w:p>
        </w:tc>
      </w:tr>
      <w:tr>
        <w:tc>
          <w:tcPr>
            <w:tcW w:type="dxa" w:w="5083"/>
            <w:vAlign w:val="center"/>
          </w:tcPr>
          <w:p>
            <w:r>
              <w:rPr>
                <w:sz w:val="18"/>
              </w:rPr>
            </w:r>
            <w:r>
              <w:rPr>
                <w:b w:val="0"/>
                <w:sz w:val="18"/>
              </w:rPr>
              <w:t>Confirmado</w:t>
            </w:r>
          </w:p>
        </w:tc>
        <w:tc>
          <w:tcPr>
            <w:tcW w:type="dxa" w:w="5083"/>
            <w:vAlign w:val="center"/>
          </w:tcPr>
          <w:p>
            <w:r>
              <w:rPr>
                <w:sz w:val="18"/>
              </w:rPr>
            </w:r>
            <w:r>
              <w:rPr>
                <w:b w:val="0"/>
                <w:sz w:val="18"/>
              </w:rPr>
              <w:t>PVC azul de 6" × 2 m, pared gruesa; atravesará la tapa y apoyará en el fondo del depósito.</w:t>
            </w:r>
          </w:p>
        </w:tc>
      </w:tr>
      <w:tr>
        <w:tc>
          <w:tcPr>
            <w:tcW w:type="dxa" w:w="5083"/>
            <w:vAlign w:val="center"/>
          </w:tcPr>
          <w:p>
            <w:r>
              <w:rPr>
                <w:sz w:val="18"/>
              </w:rPr>
            </w:r>
            <w:r>
              <w:rPr>
                <w:b w:val="0"/>
                <w:sz w:val="18"/>
              </w:rPr>
              <w:t>Confirmado</w:t>
            </w:r>
          </w:p>
        </w:tc>
        <w:tc>
          <w:tcPr>
            <w:tcW w:type="dxa" w:w="5083"/>
            <w:vAlign w:val="center"/>
          </w:tcPr>
          <w:p>
            <w:r>
              <w:rPr>
                <w:sz w:val="18"/>
              </w:rPr>
            </w:r>
            <w:r>
              <w:rPr>
                <w:b w:val="0"/>
                <w:sz w:val="18"/>
              </w:rPr>
              <w:t>PVC de 3/4" × 1.5 m como riser; manguera flexible y adaptadores entre bomba y riser.</w:t>
            </w:r>
          </w:p>
        </w:tc>
      </w:tr>
      <w:tr>
        <w:tc>
          <w:tcPr>
            <w:tcW w:type="dxa" w:w="5083"/>
            <w:vAlign w:val="center"/>
          </w:tcPr>
          <w:p>
            <w:r>
              <w:rPr>
                <w:sz w:val="18"/>
              </w:rPr>
            </w:r>
            <w:r>
              <w:rPr>
                <w:b w:val="0"/>
                <w:sz w:val="18"/>
              </w:rPr>
              <w:t>Confirmado</w:t>
            </w:r>
          </w:p>
        </w:tc>
        <w:tc>
          <w:tcPr>
            <w:tcW w:type="dxa" w:w="5083"/>
            <w:vAlign w:val="center"/>
          </w:tcPr>
          <w:p>
            <w:r>
              <w:rPr>
                <w:sz w:val="18"/>
              </w:rPr>
            </w:r>
            <w:r>
              <w:rPr>
                <w:b w:val="0"/>
                <w:sz w:val="18"/>
              </w:rPr>
              <w:t>Maceta superior como regadera/distribuidor; drenaje directo por gravedad mediante ventanas inferiores de la torre.</w:t>
            </w:r>
          </w:p>
        </w:tc>
      </w:tr>
      <w:tr>
        <w:tc>
          <w:tcPr>
            <w:tcW w:type="dxa" w:w="5083"/>
            <w:vAlign w:val="center"/>
          </w:tcPr>
          <w:p>
            <w:r>
              <w:rPr>
                <w:sz w:val="18"/>
              </w:rPr>
            </w:r>
            <w:r>
              <w:rPr>
                <w:b w:val="0"/>
                <w:sz w:val="18"/>
              </w:rPr>
              <w:t>Seleccionado</w:t>
            </w:r>
          </w:p>
        </w:tc>
        <w:tc>
          <w:tcPr>
            <w:tcW w:type="dxa" w:w="5083"/>
            <w:vAlign w:val="center"/>
          </w:tcPr>
          <w:p>
            <w:r>
              <w:rPr>
                <w:sz w:val="18"/>
              </w:rPr>
            </w:r>
            <w:r>
              <w:rPr>
                <w:b w:val="0"/>
                <w:sz w:val="18"/>
              </w:rPr>
              <w:t>Bomba principal 24 V, 25 W, 1000–1200 L/h; compra/pago debe confirmarse antes de darla por recibida.</w:t>
            </w:r>
          </w:p>
        </w:tc>
      </w:tr>
      <w:tr>
        <w:tc>
          <w:tcPr>
            <w:tcW w:type="dxa" w:w="5083"/>
            <w:vAlign w:val="center"/>
          </w:tcPr>
          <w:p>
            <w:r>
              <w:rPr>
                <w:sz w:val="18"/>
              </w:rPr>
            </w:r>
            <w:r>
              <w:rPr>
                <w:b w:val="0"/>
                <w:sz w:val="18"/>
              </w:rPr>
              <w:t>Confirmado</w:t>
            </w:r>
          </w:p>
        </w:tc>
        <w:tc>
          <w:tcPr>
            <w:tcW w:type="dxa" w:w="5083"/>
            <w:vAlign w:val="center"/>
          </w:tcPr>
          <w:p>
            <w:r>
              <w:rPr>
                <w:sz w:val="18"/>
              </w:rPr>
            </w:r>
            <w:r>
              <w:rPr>
                <w:b w:val="0"/>
                <w:sz w:val="18"/>
              </w:rPr>
              <w:t>ESP32 como controlador local; D4184 para cargas DC; control crítico local aunque falle Internet.</w:t>
            </w:r>
          </w:p>
        </w:tc>
      </w:tr>
      <w:tr>
        <w:tc>
          <w:tcPr>
            <w:tcW w:type="dxa" w:w="5083"/>
            <w:vAlign w:val="center"/>
          </w:tcPr>
          <w:p>
            <w:r>
              <w:rPr>
                <w:sz w:val="18"/>
              </w:rPr>
            </w:r>
            <w:r>
              <w:rPr>
                <w:b w:val="0"/>
                <w:sz w:val="18"/>
              </w:rPr>
              <w:t>Pendiente</w:t>
            </w:r>
          </w:p>
        </w:tc>
        <w:tc>
          <w:tcPr>
            <w:tcW w:type="dxa" w:w="5083"/>
            <w:vAlign w:val="center"/>
          </w:tcPr>
          <w:p>
            <w:r>
              <w:rPr>
                <w:sz w:val="18"/>
              </w:rPr>
            </w:r>
            <w:r>
              <w:rPr>
                <w:b w:val="0"/>
                <w:sz w:val="18"/>
              </w:rPr>
              <w:t>Net pots definitivos de 3"; compra local preferida.</w:t>
            </w:r>
          </w:p>
        </w:tc>
      </w:tr>
      <w:tr>
        <w:tc>
          <w:tcPr>
            <w:tcW w:type="dxa" w:w="5083"/>
            <w:vAlign w:val="center"/>
          </w:tcPr>
          <w:p>
            <w:r>
              <w:rPr>
                <w:sz w:val="18"/>
              </w:rPr>
            </w:r>
            <w:r>
              <w:rPr>
                <w:b w:val="0"/>
                <w:sz w:val="18"/>
              </w:rPr>
              <w:t>Pendiente</w:t>
            </w:r>
          </w:p>
        </w:tc>
        <w:tc>
          <w:tcPr>
            <w:tcW w:type="dxa" w:w="5083"/>
            <w:vAlign w:val="center"/>
          </w:tcPr>
          <w:p>
            <w:r>
              <w:rPr>
                <w:sz w:val="18"/>
              </w:rPr>
            </w:r>
            <w:r>
              <w:rPr>
                <w:b w:val="0"/>
                <w:sz w:val="18"/>
              </w:rPr>
              <w:t>Arquitectura final de dosificación. La alternativa gravedad + servo pinch pasa a ser opción prioritaria de bajo costo para probar.</w:t>
            </w:r>
          </w:p>
        </w:tc>
      </w:tr>
      <w:tr>
        <w:tc>
          <w:tcPr>
            <w:tcW w:type="dxa" w:w="5083"/>
            <w:vAlign w:val="center"/>
          </w:tcPr>
          <w:p>
            <w:r>
              <w:rPr>
                <w:sz w:val="18"/>
              </w:rPr>
            </w:r>
            <w:r>
              <w:rPr>
                <w:b w:val="0"/>
                <w:sz w:val="18"/>
              </w:rPr>
              <w:t>Pendiente</w:t>
            </w:r>
          </w:p>
        </w:tc>
        <w:tc>
          <w:tcPr>
            <w:tcW w:type="dxa" w:w="5083"/>
            <w:vAlign w:val="center"/>
          </w:tcPr>
          <w:p>
            <w:r>
              <w:rPr>
                <w:sz w:val="18"/>
              </w:rPr>
            </w:r>
            <w:r>
              <w:rPr>
                <w:b w:val="0"/>
                <w:sz w:val="18"/>
              </w:rPr>
              <w:t>Fuente definitiva: mantener arquitectura 24 V y dimensionar 5 A si el presupuesto eléctrico final lo justifica.</w:t>
            </w:r>
          </w:p>
        </w:tc>
      </w:tr>
      <w:tr>
        <w:tc>
          <w:tcPr>
            <w:tcW w:type="dxa" w:w="5083"/>
            <w:vAlign w:val="center"/>
          </w:tcPr>
          <w:p>
            <w:r>
              <w:rPr>
                <w:sz w:val="18"/>
              </w:rPr>
            </w:r>
            <w:r>
              <w:rPr>
                <w:b w:val="0"/>
                <w:sz w:val="18"/>
              </w:rPr>
              <w:t>Pendiente</w:t>
            </w:r>
          </w:p>
        </w:tc>
        <w:tc>
          <w:tcPr>
            <w:tcW w:type="dxa" w:w="5083"/>
            <w:vAlign w:val="center"/>
          </w:tcPr>
          <w:p>
            <w:r>
              <w:rPr>
                <w:sz w:val="18"/>
              </w:rPr>
            </w:r>
            <w:r>
              <w:rPr>
                <w:b w:val="0"/>
                <w:sz w:val="18"/>
              </w:rPr>
              <w:t>Compra por etapas de DS18B20, flotador, BH1750, ADS1115, pH y TDS.</w:t>
            </w:r>
          </w:p>
        </w:tc>
      </w:tr>
    </w:tbl>
    <w:p>
      <w:pPr>
        <w:jc w:val="center"/>
      </w:pPr>
      <w:r>
        <w:rPr>
          <w:i/>
          <w:sz w:val="18"/>
        </w:rPr>
        <w:t>Este documento consolida las decisiones tomadas en la conversación de diseño de HydroMate hasta el 22 de septiembre de 2026. Las alternativas marcadas como “pendiente” deben conservarse como opciones y no tratarse todavía como componentes definitivos.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HydroMate — Planeación actualizada — 22/09/2026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6B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eastAsia="Arial"/>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integral de HydroMate - actualización de compras 20-09-2026</dc:title>
  <dc:subject>Diseño, compras, presupuesto e integración de HydroMate</dc:subject>
  <dc:creator>Valdez Meza Kevin Osmar</dc:creator>
  <cp:keywords>HydroMate, hidroponía, ESP32, automatización, dosificación</cp:keywords>
  <dc:description>generated by python-docx</dc:description>
  <cp:lastModifiedBy/>
  <cp:revision>1</cp:revision>
  <dcterms:created xsi:type="dcterms:W3CDTF">2013-12-23T23:15:00Z</dcterms:created>
  <dcterms:modified xsi:type="dcterms:W3CDTF">2013-12-23T23:15:00Z</dcterms:modified>
  <cp:category/>
</cp:coreProperties>
</file>