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c>
          <w:tcPr>
            <w:tcW w:type="dxa" w:w="18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79437" cy="8503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uabc_crop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37" cy="8503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>EC0935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Gestión de trabajo por proyectos</w:t>
            </w:r>
          </w:p>
        </w:tc>
        <w:tc>
          <w:tcPr>
            <w:tcW w:type="dxa" w:w="244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08760" cy="6832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red_crop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683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2376"/>
            <w:tcMar>
              <w:top w:w="5" w:type="dxa"/>
              <w:start w:w="10" w:type="dxa"/>
              <w:bottom w:w="5" w:type="dxa"/>
              <w:end w:w="1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Nombre del proyecto:</w:t>
            </w:r>
          </w:p>
        </w:tc>
        <w:tc>
          <w:tcPr>
            <w:tcW w:type="dxa" w:w="7992"/>
            <w:tcMar>
              <w:top w:w="5" w:type="dxa"/>
              <w:start w:w="10" w:type="dxa"/>
              <w:bottom w:w="5" w:type="dxa"/>
              <w:end w:w="10" w:type="dxa"/>
            </w:tcMar>
            <w:tcBorders>
              <w:top w:val="nil"/>
              <w:start w:val="nil"/>
              <w:bottom w:val="single" w:sz="6" w:color="000000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HydroMate - Torre hidropónica inteligente automatizada</w:t>
            </w:r>
          </w:p>
        </w:tc>
      </w:tr>
      <w:tr>
        <w:tc>
          <w:tcPr>
            <w:tcW w:type="dxa" w:w="5198"/>
            <w:tcMar>
              <w:top w:w="5" w:type="dxa"/>
              <w:start w:w="10" w:type="dxa"/>
              <w:bottom w:w="5" w:type="dxa"/>
              <w:end w:w="1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Dueño del proyecto:</w:t>
            </w:r>
          </w:p>
        </w:tc>
        <w:tc>
          <w:tcPr>
            <w:tcW w:type="dxa" w:w="5198"/>
            <w:tcMar>
              <w:top w:w="5" w:type="dxa"/>
              <w:start w:w="10" w:type="dxa"/>
              <w:bottom w:w="5" w:type="dxa"/>
              <w:end w:w="10" w:type="dxa"/>
            </w:tcMar>
            <w:tcBorders>
              <w:top w:val="nil"/>
              <w:start w:val="nil"/>
              <w:bottom w:val="single" w:sz="6" w:color="000000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Kevin Osmar Valdez Meza</w:t>
            </w:r>
          </w:p>
        </w:tc>
      </w:tr>
      <w:tr>
        <w:tc>
          <w:tcPr>
            <w:tcW w:type="dxa" w:w="5198"/>
            <w:tcMar>
              <w:top w:w="5" w:type="dxa"/>
              <w:start w:w="10" w:type="dxa"/>
              <w:bottom w:w="5" w:type="dxa"/>
              <w:end w:w="1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Líder del proyecto:</w:t>
            </w:r>
          </w:p>
        </w:tc>
        <w:tc>
          <w:tcPr>
            <w:tcW w:type="dxa" w:w="5198"/>
            <w:tcMar>
              <w:top w:w="5" w:type="dxa"/>
              <w:start w:w="10" w:type="dxa"/>
              <w:bottom w:w="5" w:type="dxa"/>
              <w:end w:w="10" w:type="dxa"/>
            </w:tcMar>
            <w:tcBorders>
              <w:top w:val="nil"/>
              <w:start w:val="nil"/>
              <w:bottom w:val="single" w:sz="6" w:color="000000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Kevin Osmar Valdez Meza</w:t>
            </w:r>
          </w:p>
        </w:tc>
      </w:tr>
      <w:tr>
        <w:tc>
          <w:tcPr>
            <w:tcW w:type="dxa" w:w="5198"/>
            <w:tcMar>
              <w:top w:w="5" w:type="dxa"/>
              <w:start w:w="10" w:type="dxa"/>
              <w:bottom w:w="5" w:type="dxa"/>
              <w:end w:w="1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Participantes:</w:t>
            </w:r>
          </w:p>
        </w:tc>
        <w:tc>
          <w:tcPr>
            <w:tcW w:type="dxa" w:w="5198"/>
            <w:tcMar>
              <w:top w:w="5" w:type="dxa"/>
              <w:start w:w="10" w:type="dxa"/>
              <w:bottom w:w="5" w:type="dxa"/>
              <w:end w:w="10" w:type="dxa"/>
            </w:tcMar>
            <w:tcBorders>
              <w:top w:val="nil"/>
              <w:start w:val="nil"/>
              <w:bottom w:val="single" w:sz="6" w:color="000000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Kevin Osmar Valdez Meza; Mariana Fernanda López Torres; Diego Alejandro Hernández Ruiz</w:t>
            </w:r>
          </w:p>
        </w:tc>
      </w:tr>
    </w:tbl>
    <w:p>
      <w:pPr>
        <w:spacing w:before="0" w:after="80" w:line="240" w:lineRule="auto"/>
        <w:ind w:left="115"/>
      </w:pPr>
      <w:r>
        <w:rPr>
          <w:rFonts w:ascii="Arial" w:hAnsi="Arial" w:eastAsia="Arial"/>
          <w:b w:val="0"/>
          <w:i w:val="0"/>
          <w:color w:val="666666"/>
          <w:sz w:val="15"/>
        </w:rPr>
        <w:t>Todos los nombres se presentan completos.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39"/>
            <w:tcBorders>
              <w:top w:val="single" w:sz="7" w:color="000000"/>
              <w:start w:val="single" w:sz="7" w:color="000000"/>
              <w:bottom w:val="single" w:sz="7" w:color="000000"/>
              <w:end w:val="single" w:sz="7" w:color="000000"/>
            </w:tcBorders>
            <w:shd w:fill="2F7D1F" w:val="clear"/>
            <w:tcMar>
              <w:top w:w="20" w:type="dxa"/>
              <w:start w:w="75" w:type="dxa"/>
              <w:bottom w:w="18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I. EXPECTATIVAS</w:t>
            </w:r>
          </w:p>
        </w:tc>
      </w:tr>
      <w:tr>
        <w:trPr>
          <w:trHeight w:val="2232" w:hRule="atLeast"/>
        </w:trPr>
        <w:tc>
          <w:tcPr>
            <w:tcW w:type="dxa" w:w="10339"/>
            <w:tcBorders>
              <w:top w:val="single" w:sz="7" w:color="000000"/>
              <w:start w:val="single" w:sz="7" w:color="000000"/>
              <w:bottom w:val="single" w:sz="7" w:color="000000"/>
              <w:end w:val="single" w:sz="7" w:color="000000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  <w:ind w:left="216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Kevin Osmar Valdez Meza: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recibir a más tardar el 11 de diciembre de 2026 un prototipo HydroMate integrado y documentado, dentro del presupuesto autorizado, con todos los subsistemas críticos verificados mediante una lista de pruebas funcionales y con evidencia de cierre.</w:t>
            </w:r>
          </w:p>
          <w:p>
            <w:pPr>
              <w:spacing w:before="0" w:after="20" w:line="240" w:lineRule="auto"/>
              <w:ind w:left="216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Mariana Fernanda López Torres: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contar antes del 4 de diciembre de 2026 con rangos de operación, perfiles de cultivo, alertas y reglas de riego/dosificación documentados y coherentes para el prototipo; evaluará el cumplimiento revisando la configuración y los registros de prueba.</w:t>
            </w:r>
          </w:p>
          <w:p>
            <w:pPr>
              <w:spacing w:before="0" w:after="20" w:line="240" w:lineRule="auto"/>
              <w:ind w:left="216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Diego Alejandro Hernández Ruiz: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recibir antes del 27 de noviembre de 2026 la integración eléctrica, de control y comunicaciones del ESP32 documentada y funcional; validará protección por nivel bajo, actuación independiente de bombas, comportamiento seguro de dosificación y operación local ante pérdida de Internet.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39"/>
            <w:tcBorders>
              <w:top w:val="single" w:sz="7" w:color="000000"/>
              <w:start w:val="single" w:sz="7" w:color="000000"/>
              <w:bottom w:val="single" w:sz="7" w:color="000000"/>
              <w:end w:val="single" w:sz="7" w:color="000000"/>
            </w:tcBorders>
            <w:shd w:fill="2F7D1F" w:val="clear"/>
            <w:tcMar>
              <w:top w:w="20" w:type="dxa"/>
              <w:start w:w="75" w:type="dxa"/>
              <w:bottom w:w="18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II. OBJETIVO DEL PROYECTO</w:t>
            </w:r>
          </w:p>
        </w:tc>
      </w:tr>
      <w:tr>
        <w:trPr>
          <w:trHeight w:val="1843" w:hRule="atLeast"/>
        </w:trPr>
        <w:tc>
          <w:tcPr>
            <w:tcW w:type="dxa" w:w="10339"/>
            <w:tcBorders>
              <w:top w:val="single" w:sz="7" w:color="000000"/>
              <w:start w:val="single" w:sz="7" w:color="000000"/>
              <w:bottom w:val="single" w:sz="7" w:color="000000"/>
              <w:end w:val="single" w:sz="7" w:color="000000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Desarrollar e integrar, del 24 de agosto al 11 de diciembre de 2026 en un entorno de prototipado académico en Tijuana, un prototipo funcional de HydroMate para una torre hidropónica vertical de hasta 8 plantas, basado en ESP32 y conectado a un backend, base de datos e interfaz web o móvil. El sistema deberá monitorear cinco variables (nivel de agua, temperatura de la solución, pH, TDS/EC y luz), automatizar recirculación e iluminación, proteger la bomba ante nivel bajo, controlar de forma independiente Nutriente A, Nutriente B, pH Up y pH Down con límites de seguridad y relectura, y administrar perfiles de cultivo predeterminados y personalizados. El objetivo se considerará cumplido cuando cada subsistema supere su prueba funcional documentada, las reglas críticas continúen ejecutándose localmente sin Internet y el proyecto se mantenga dentro del presupuesto autorizado de $6,350 MXN.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39"/>
            <w:tcBorders>
              <w:top w:val="single" w:sz="7" w:color="000000"/>
              <w:start w:val="single" w:sz="7" w:color="000000"/>
              <w:bottom w:val="single" w:sz="7" w:color="000000"/>
              <w:end w:val="single" w:sz="7" w:color="000000"/>
            </w:tcBorders>
            <w:shd w:fill="2F7D1F" w:val="clear"/>
            <w:tcMar>
              <w:top w:w="20" w:type="dxa"/>
              <w:start w:w="75" w:type="dxa"/>
              <w:bottom w:w="18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III. DESCRIPCIÓN DEL PROYECTO</w:t>
            </w:r>
          </w:p>
        </w:tc>
      </w:tr>
      <w:tr>
        <w:trPr>
          <w:trHeight w:val="3240" w:hRule="atLeast"/>
        </w:trPr>
        <w:tc>
          <w:tcPr>
            <w:tcW w:type="dxa" w:w="10339"/>
            <w:tcBorders>
              <w:top w:val="single" w:sz="7" w:color="000000"/>
              <w:start w:val="single" w:sz="7" w:color="000000"/>
              <w:bottom w:val="single" w:sz="7" w:color="000000"/>
              <w:end w:val="single" w:sz="7" w:color="000000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1. Planeación y diseño: confirmar alcance, arquitectura física y lógica, lista de materiales, criterios de seguridad, perfiles de cultivo, cronograma y riesgos.</w:t>
            </w:r>
          </w:p>
          <w:p>
            <w:pPr>
              <w:spacing w:before="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2. Construcción física: ensamblar la torre, depósito, tubería y bomba de recirculación; comprobar flujo de retorno y ausencia de fugas visibles antes de instalar electrónica.</w:t>
            </w:r>
          </w:p>
          <w:p>
            <w:pPr>
              <w:spacing w:before="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3. Integración electrónica: conectar ESP32, sensores de nivel, temperatura, pH, TDS/EC y luz, junto con drivers/MOSFET, bomba principal, iluminación y cuatro canales de dosificación.</w:t>
            </w:r>
          </w:p>
          <w:p>
            <w:pPr>
              <w:spacing w:before="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4. Firmware y control local: implementar adquisición de sensores, riego, corte por nivel bajo, iluminación, dosificación por pequeñas correcciones, zona de tolerancia, tiempo de mezcla, relectura y límites máximos.</w:t>
            </w:r>
          </w:p>
          <w:p>
            <w:pPr>
              <w:spacing w:before="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5. Plataforma de software: implementar comunicación Wi-Fi, backend/API, base de datos para históricos, alertas, perfiles y acciones automáticas, además de una interfaz para supervisión y configuración.</w:t>
            </w:r>
          </w:p>
          <w:p>
            <w:pPr>
              <w:spacing w:before="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6. Integración y pruebas: calibrar sensores y bombas de manera individual, verificar alarmas y actuadores, probar pérdida de Internet, revisar registros y corregir fallas de integración.</w:t>
            </w:r>
          </w:p>
          <w:p>
            <w:pPr>
              <w:spacing w:before="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7. Cierre: integrar evidencias, estado de costos, resultados de pruebas, aprendizajes y documentación. Kevin ejecutará e integrará el trabajo; Mariana revisará criterios hidropónicos y Diego revisará electrónica, seguridad y comunicaciones.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c>
          <w:tcPr>
            <w:tcW w:type="dxa" w:w="18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79437" cy="85039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uabc_crop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37" cy="8503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>EC0935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Gestión de trabajo por proyectos</w:t>
            </w:r>
          </w:p>
        </w:tc>
        <w:tc>
          <w:tcPr>
            <w:tcW w:type="dxa" w:w="244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08760" cy="6832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red_crop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683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39"/>
            <w:tcBorders>
              <w:top w:val="single" w:sz="7" w:color="000000"/>
              <w:start w:val="single" w:sz="7" w:color="000000"/>
              <w:bottom w:val="single" w:sz="7" w:color="000000"/>
              <w:end w:val="single" w:sz="7" w:color="000000"/>
            </w:tcBorders>
            <w:shd w:fill="2F7D1F" w:val="clear"/>
            <w:tcMar>
              <w:top w:w="20" w:type="dxa"/>
              <w:start w:w="75" w:type="dxa"/>
              <w:bottom w:w="18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IV. DESCRIPCIÓN DEL PRODUCTO</w:t>
            </w:r>
          </w:p>
        </w:tc>
      </w:tr>
      <w:tr>
        <w:trPr>
          <w:trHeight w:val="3096" w:hRule="atLeast"/>
        </w:trPr>
        <w:tc>
          <w:tcPr>
            <w:tcW w:type="dxa" w:w="10339"/>
            <w:tcBorders>
              <w:top w:val="single" w:sz="7" w:color="000000"/>
              <w:start w:val="single" w:sz="7" w:color="000000"/>
              <w:bottom w:val="single" w:sz="7" w:color="000000"/>
              <w:end w:val="single" w:sz="7" w:color="000000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Se entregará un prototipo académico integrado de HydroMate compuesto por una torre hidropónica vertical para hasta 8 plantas, depósito y circuito de recirculación, sistema embebido ESP32, sensores de nivel, temperatura, pH, TDS/EC y luz, bomba principal, iluminación complementaria y cuatro canales de dosificación para Nutriente A, Nutriente B, pH Up y pH Down. Incluirá firmware de control local, comunicación Wi-Fi, backend/API, base de datos e interfaz web o móvil con históricos, alertas y gestión de perfiles predeterminados y personalizados.</w:t>
            </w:r>
          </w:p>
          <w:p>
            <w:pPr>
              <w:spacing w:before="0" w:after="20" w:line="240" w:lineRule="auto"/>
              <w:ind w:left="216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Criterio físico: el circuito deberá llevar agua a la parte superior y retornarla al depósito durante una prueba continua de 60 minutos sin fugas visibles relevantes.</w:t>
            </w:r>
          </w:p>
          <w:p>
            <w:pPr>
              <w:spacing w:before="0" w:after="20" w:line="240" w:lineRule="auto"/>
              <w:ind w:left="216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Criterio de control: las cinco variables deberán visualizarse y registrarse; la bomba deberá bloquearse por nivel bajo y cada actuador deberá poder probarse de forma independiente.</w:t>
            </w:r>
          </w:p>
          <w:p>
            <w:pPr>
              <w:spacing w:before="0" w:after="20" w:line="240" w:lineRule="auto"/>
              <w:ind w:left="216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Criterio de dosificación: pH Up y pH Down no podrán activarse simultáneamente y toda corrección deberá respetar límites configurados, tiempo de mezcla y nueva lectura antes de repetir.</w:t>
            </w:r>
          </w:p>
          <w:p>
            <w:pPr>
              <w:spacing w:before="0" w:after="20" w:line="240" w:lineRule="auto"/>
              <w:ind w:left="216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Criterio de conectividad: al desconectar Internet, las reglas críticas de riego, protección, iluminación y dosificación deberán seguir operando en el ESP32.</w:t>
            </w:r>
          </w:p>
          <w:p>
            <w:pPr>
              <w:spacing w:before="0" w:after="20" w:line="240" w:lineRule="auto"/>
              <w:ind w:left="216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Criterio de software: el usuario deberá poder seleccionar perfiles, crear, editar, duplicar y guardar perfiles personalizados, consultar estado actual, historial, alertas y acciones automáticas.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39"/>
            <w:tcBorders>
              <w:top w:val="single" w:sz="7" w:color="000000"/>
              <w:start w:val="single" w:sz="7" w:color="000000"/>
              <w:bottom w:val="single" w:sz="7" w:color="000000"/>
              <w:end w:val="single" w:sz="7" w:color="000000"/>
            </w:tcBorders>
            <w:shd w:fill="2F7D1F" w:val="clear"/>
            <w:tcMar>
              <w:top w:w="20" w:type="dxa"/>
              <w:start w:w="75" w:type="dxa"/>
              <w:bottom w:w="18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V. SUPUESTOS DEL PROYECTO</w:t>
            </w:r>
          </w:p>
        </w:tc>
      </w:tr>
      <w:tr>
        <w:trPr>
          <w:trHeight w:val="3384" w:hRule="atLeast"/>
        </w:trPr>
        <w:tc>
          <w:tcPr>
            <w:tcW w:type="dxa" w:w="10339"/>
            <w:tcBorders>
              <w:top w:val="single" w:sz="7" w:color="000000"/>
              <w:start w:val="single" w:sz="7" w:color="000000"/>
              <w:bottom w:val="single" w:sz="7" w:color="000000"/>
              <w:end w:val="single" w:sz="7" w:color="000000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  <w:ind w:left="216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>Presupuesto disponible: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se contará con hasta $6,350 MXN para materiales, componentes, fabricación y servicios requeridos durante el periodo del proyecto.</w:t>
            </w:r>
          </w:p>
          <w:p>
            <w:pPr>
              <w:spacing w:before="0" w:after="20" w:line="240" w:lineRule="auto"/>
              <w:ind w:left="216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>Disponibilidad de componentes: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ESP32, sensores, bombas, materiales de plomería y consumibles podrán adquirirse en comercios locales o en línea con tiempos compatibles con el cronograma.</w:t>
            </w:r>
          </w:p>
          <w:p>
            <w:pPr>
              <w:spacing w:before="0" w:after="20" w:line="240" w:lineRule="auto"/>
              <w:ind w:left="216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>Infraestructura de trabajo: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habrá acceso regular a computadora, herramientas de electrónica y fabricación, energía eléctrica, agua y un espacio seguro para armado y pruebas.</w:t>
            </w:r>
          </w:p>
          <w:p>
            <w:pPr>
              <w:spacing w:before="0" w:after="20" w:line="240" w:lineRule="auto"/>
              <w:ind w:left="216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>Conectividad: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se dispondrá de una red Wi-Fi de 2.4 GHz para las pruebas de comunicación; una falla de Internet no impedirá la ejecución de las funciones críticas locales.</w:t>
            </w:r>
          </w:p>
          <w:p>
            <w:pPr>
              <w:spacing w:before="0" w:after="20" w:line="240" w:lineRule="auto"/>
              <w:ind w:left="216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>Insumos de prueba: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estarán disponibles agua, soluciones de calibración, nutrientes y correctores de pH en cantidades pequeñas y apropiadas para un prototipo académico.</w:t>
            </w:r>
          </w:p>
          <w:p>
            <w:pPr>
              <w:spacing w:before="0" w:after="20" w:line="240" w:lineRule="auto"/>
              <w:ind w:left="216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>Participación: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Kevin mantendrá disponibilidad semanal para integración y documentación; Mariana y Diego participarán en las revisiones técnicas programadas.</w:t>
            </w:r>
          </w:p>
          <w:p>
            <w:pPr>
              <w:spacing w:before="0" w:after="20" w:line="240" w:lineRule="auto"/>
              <w:ind w:left="216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>Escala de validación: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una torre de hasta 8 plantas será suficiente para demostrar la arquitectura, automatización y trazabilidad del sistema antes de considerar una ampliación.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39"/>
            <w:tcBorders>
              <w:top w:val="single" w:sz="7" w:color="000000"/>
              <w:start w:val="single" w:sz="7" w:color="000000"/>
              <w:bottom w:val="single" w:sz="7" w:color="000000"/>
              <w:end w:val="single" w:sz="7" w:color="000000"/>
            </w:tcBorders>
            <w:shd w:fill="2F7D1F" w:val="clear"/>
            <w:tcMar>
              <w:top w:w="20" w:type="dxa"/>
              <w:start w:w="75" w:type="dxa"/>
              <w:bottom w:w="18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VI. LIMITANTES DEL PROYECTO</w:t>
            </w:r>
          </w:p>
        </w:tc>
      </w:tr>
      <w:tr>
        <w:trPr>
          <w:trHeight w:val="3096" w:hRule="atLeast"/>
        </w:trPr>
        <w:tc>
          <w:tcPr>
            <w:tcW w:type="dxa" w:w="10339"/>
            <w:tcBorders>
              <w:top w:val="single" w:sz="7" w:color="000000"/>
              <w:start w:val="single" w:sz="7" w:color="000000"/>
              <w:bottom w:val="single" w:sz="7" w:color="000000"/>
              <w:end w:val="single" w:sz="7" w:color="000000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  <w:ind w:left="216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>Tiempo: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el proyecto dispone de 16 semanas académicas y deberá cerrarse a más tardar el 11 de diciembre de 2026.</w:t>
            </w:r>
          </w:p>
          <w:p>
            <w:pPr>
              <w:spacing w:before="0" w:after="20" w:line="240" w:lineRule="auto"/>
              <w:ind w:left="216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>Costo: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el costo autorizado inicial es de $6,350 MXN; cualquier incremento posterior deberá documentarse como cambio autorizado.</w:t>
            </w:r>
          </w:p>
          <w:p>
            <w:pPr>
              <w:spacing w:before="0" w:after="20" w:line="240" w:lineRule="auto"/>
              <w:ind w:left="216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>Escala: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la validación se realizará en una sola torre de hasta 8 plantas; no se evaluará operación industrial ni múltiples depósitos simultáneos.</w:t>
            </w:r>
          </w:p>
          <w:p>
            <w:pPr>
              <w:spacing w:before="0" w:after="20" w:line="240" w:lineRule="auto"/>
              <w:ind w:left="216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>Metrología: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se utilizarán sensores accesibles y soluciones comerciales de calibración; no se cuenta con laboratorio metrológico para certificar exactitud de grado industrial.</w:t>
            </w:r>
          </w:p>
          <w:p>
            <w:pPr>
              <w:spacing w:before="0" w:after="20" w:line="240" w:lineRule="auto"/>
              <w:ind w:left="216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>Duración agronómica: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el semestre permite validar funcionamiento e integración, pero no garantiza completar un estudio de rendimiento de cultivo de largo plazo.</w:t>
            </w:r>
          </w:p>
          <w:p>
            <w:pPr>
              <w:spacing w:before="0" w:after="20" w:line="240" w:lineRule="auto"/>
              <w:ind w:left="216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>Entorno de red: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la conectividad externa puede presentar interrupciones o bloqueos; por ello las acciones críticas deben permanecer en el ESP32.</w:t>
            </w:r>
          </w:p>
          <w:p>
            <w:pPr>
              <w:spacing w:before="0" w:after="20" w:line="240" w:lineRule="auto"/>
              <w:ind w:left="216" w:hanging="158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>Seguridad y certificación: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el resultado será un prototipo académico; no contempla certificación comercial, sanitaria o industrial durante este proyecto.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c>
          <w:tcPr>
            <w:tcW w:type="dxa" w:w="18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79437" cy="85039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uabc_crop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37" cy="8503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>EC0935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Gestión de trabajo por proyectos</w:t>
            </w:r>
          </w:p>
        </w:tc>
        <w:tc>
          <w:tcPr>
            <w:tcW w:type="dxa" w:w="244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08760" cy="68321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red_crop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683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39"/>
            <w:tcBorders>
              <w:top w:val="single" w:sz="7" w:color="000000"/>
              <w:start w:val="single" w:sz="7" w:color="000000"/>
              <w:bottom w:val="single" w:sz="7" w:color="000000"/>
              <w:end w:val="single" w:sz="7" w:color="000000"/>
            </w:tcBorders>
            <w:shd w:fill="2F7D1F" w:val="clear"/>
            <w:tcMar>
              <w:top w:w="20" w:type="dxa"/>
              <w:start w:w="75" w:type="dxa"/>
              <w:bottom w:w="18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VII. FECHAS IMPORTANTES</w:t>
            </w:r>
          </w:p>
        </w:tc>
      </w:tr>
      <w:tr>
        <w:trPr>
          <w:trHeight w:val="3672" w:hRule="atLeast"/>
        </w:trPr>
        <w:tc>
          <w:tcPr>
            <w:tcW w:type="dxa" w:w="10339"/>
            <w:tcBorders>
              <w:top w:val="single" w:sz="7" w:color="000000"/>
              <w:start w:val="single" w:sz="7" w:color="000000"/>
              <w:bottom w:val="single" w:sz="7" w:color="000000"/>
              <w:end w:val="single" w:sz="7" w:color="000000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r/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446"/>
              <w:gridCol w:w="3446"/>
              <w:gridCol w:w="3446"/>
            </w:tblGrid>
            <w:tr>
              <w:tc>
                <w:tcPr>
                  <w:tcW w:type="dxa" w:w="1612"/>
                  <w:shd w:fill="E6E6E6" w:val="clear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5"/>
                    </w:rPr>
                    <w:t>Fecha</w:t>
                  </w:r>
                </w:p>
              </w:tc>
              <w:tc>
                <w:tcPr>
                  <w:tcW w:type="dxa" w:w="3528"/>
                  <w:shd w:fill="E6E6E6" w:val="clear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5"/>
                    </w:rPr>
                    <w:t>Actividad / hito</w:t>
                  </w:r>
                </w:p>
              </w:tc>
              <w:tc>
                <w:tcPr>
                  <w:tcW w:type="dxa" w:w="4536"/>
                  <w:shd w:fill="E6E6E6" w:val="clear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5"/>
                    </w:rPr>
                    <w:t>Resultado esperado</w:t>
                  </w:r>
                </w:p>
              </w:tc>
            </w:tr>
            <w:tr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24/08/2026</w:t>
                  </w:r>
                </w:p>
              </w:tc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Inicio del proyecto</w:t>
                  </w:r>
                </w:p>
              </w:tc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Alcance preliminar y recursos identificados.</w:t>
                  </w:r>
                </w:p>
              </w:tc>
            </w:tr>
            <w:tr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18/09/2026</w:t>
                  </w:r>
                </w:p>
              </w:tc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Aprobación del Plan Básico</w:t>
                  </w:r>
                </w:p>
              </w:tc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Objetivo, participantes, supuestos y limitantes formalizados.</w:t>
                  </w:r>
                </w:p>
              </w:tc>
            </w:tr>
            <w:tr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25/09/2026</w:t>
                  </w:r>
                </w:p>
              </w:tc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Arquitectura y plan detallado</w:t>
                  </w:r>
                </w:p>
              </w:tc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Paquetes de trabajo, riesgos, costos y ruta de implementación definidos.</w:t>
                  </w:r>
                </w:p>
              </w:tc>
            </w:tr>
            <w:tr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09/10/2026</w:t>
                  </w:r>
                </w:p>
              </w:tc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Torre y circuito hidráulico</w:t>
                  </w:r>
                </w:p>
              </w:tc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Estructura ensamblada y prueba inicial de flujo y fugas realizada.</w:t>
                  </w:r>
                </w:p>
              </w:tc>
            </w:tr>
            <w:tr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16/10/2026</w:t>
                  </w:r>
                </w:p>
              </w:tc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Límite de entregas externas</w:t>
                  </w:r>
                </w:p>
              </w:tc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Piezas fabricadas y componentes críticos de proveedores disponibles.</w:t>
                  </w:r>
                </w:p>
              </w:tc>
            </w:tr>
            <w:tr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23/10/2026</w:t>
                  </w:r>
                </w:p>
              </w:tc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Sensores y actuadores</w:t>
                  </w:r>
                </w:p>
              </w:tc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Electrónica integrada y primeras lecturas/actuaciones locales.</w:t>
                  </w:r>
                </w:p>
              </w:tc>
            </w:tr>
            <w:tr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06/11/2026</w:t>
                  </w:r>
                </w:p>
              </w:tc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Automatización local</w:t>
                  </w:r>
                </w:p>
              </w:tc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Riego, luz, protecciones y reglas de dosificación funcionando en ESP32.</w:t>
                  </w:r>
                </w:p>
              </w:tc>
            </w:tr>
            <w:tr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20/11/2026</w:t>
                  </w:r>
                </w:p>
              </w:tc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Backend, BD e interfaz</w:t>
                  </w:r>
                </w:p>
              </w:tc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Históricos, alertas, perfiles y acciones automáticas integrados.</w:t>
                  </w:r>
                </w:p>
              </w:tc>
            </w:tr>
            <w:tr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27/11/2026</w:t>
                  </w:r>
                </w:p>
              </w:tc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Pruebas integrales</w:t>
                  </w:r>
                </w:p>
              </w:tc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Pruebas de subsistemas, seguridad y pérdida de Internet documentadas.</w:t>
                  </w:r>
                </w:p>
              </w:tc>
            </w:tr>
            <w:tr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04/12/2026</w:t>
                  </w:r>
                </w:p>
              </w:tc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Correcciones y evidencias</w:t>
                  </w:r>
                </w:p>
              </w:tc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Hallazgos atendidos, evidencias y estado de costos consolidados.</w:t>
                  </w:r>
                </w:p>
              </w:tc>
            </w:tr>
            <w:tr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11/12/2026</w:t>
                  </w:r>
                </w:p>
              </w:tc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Entrega y cierre</w:t>
                  </w:r>
                </w:p>
              </w:tc>
              <w:tc>
                <w:tcPr>
                  <w:tcW w:type="dxa" w:w="3446"/>
                  <w:tcMar>
                    <w:top w:w="18" w:type="dxa"/>
                    <w:start w:w="35" w:type="dxa"/>
                    <w:bottom w:w="18" w:type="dxa"/>
                    <w:end w:w="35" w:type="dxa"/>
                  </w:tcMar>
                  <w:tcBorders>
                    <w:top w:val="single" w:sz="5" w:color="A0A0A0"/>
                    <w:start w:val="single" w:sz="5" w:color="A0A0A0"/>
                    <w:bottom w:val="single" w:sz="5" w:color="A0A0A0"/>
                    <w:end w:val="single" w:sz="5" w:color="A0A0A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4"/>
                    </w:rPr>
                    <w:t>Producto aceptado, reporte final y junta de cierre concluidos.</w:t>
                  </w:r>
                </w:p>
              </w:tc>
            </w:tr>
          </w:tbl>
          <w:p/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10339"/>
            <w:tcBorders>
              <w:top w:val="single" w:sz="7" w:color="000000"/>
              <w:start w:val="single" w:sz="7" w:color="000000"/>
              <w:bottom w:val="single" w:sz="7" w:color="000000"/>
              <w:end w:val="single" w:sz="7" w:color="000000"/>
            </w:tcBorders>
            <w:shd w:fill="2F7D1F" w:val="clear"/>
            <w:tcMar>
              <w:top w:w="20" w:type="dxa"/>
              <w:start w:w="75" w:type="dxa"/>
              <w:bottom w:w="18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VIII. INFORMACIÓN HISTÓRICA</w:t>
            </w:r>
          </w:p>
        </w:tc>
      </w:tr>
      <w:tr>
        <w:trPr>
          <w:trHeight w:val="3816" w:hRule="atLeast"/>
        </w:trPr>
        <w:tc>
          <w:tcPr>
            <w:tcW w:type="dxa" w:w="10339"/>
            <w:tcBorders>
              <w:top w:val="single" w:sz="7" w:color="000000"/>
              <w:start w:val="single" w:sz="7" w:color="000000"/>
              <w:bottom w:val="single" w:sz="7" w:color="000000"/>
              <w:end w:val="single" w:sz="7" w:color="000000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Como antecedente interno, HydroMate inició con una propuesta básica basada en Arduino UNO orientada a monitoreo y alarmas. La principal lección fue que la versión completa requiere mayor capacidad de procesamiento, conectividad integrada y control local, por lo que se adoptó ESP32 como controlador principal.</w:t>
            </w:r>
          </w:p>
          <w:p>
            <w:pPr>
              <w:spacing w:before="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Prácticas previas con ESP32, Wi-Fi y MQTT mostraron que una red puede bloquear puertos o perder conectividad. Por ello el diseño actual no depende del backend para proteger la bomba, regar, iluminar o dosificar: el ESP32 conserva las reglas críticas y sincroniza datos cuando la comunicación vuelve.</w:t>
            </w:r>
          </w:p>
          <w:p>
            <w:pPr>
              <w:spacing w:before="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La investigación técnica del proyecto revisó controladores comerciales como NIDO ONE V2, Growee Pro Combo y Bluelab IntelliDose. Se observó que la automatización de pH y nutrientes es viable, pero exige calibración, límites de dosis, tiempos de mezcla, relectura y mantenimiento. HydroMate incorpora estas prácticas sin atribuirse precisiones que todavía no han sido verificadas.</w:t>
            </w:r>
          </w:p>
          <w:p>
            <w:pPr>
              <w:spacing w:before="0" w:after="3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También se aprendió que la modularidad facilita mantenimiento y correcciones. Por ello se priorizan sensores, bombas y piezas comerciales reemplazables, separación entre potencia y señales, validación hidráulica antes de instalar electrónica y registro de cada acción automática para poder diagnosticar fallas.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96"/>
      </w:tblGrid>
      <w:tr>
        <w:tc>
          <w:tcPr>
            <w:tcW w:type="dxa" w:w="6048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41248" cy="106342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firma_kevi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10634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________________________________________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Kevin Osmar Valdez Meza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Firma del dueño del proyecto</w:t>
            </w:r>
          </w:p>
        </w:tc>
      </w:tr>
    </w:tbl>
    <w:sectPr w:rsidR="00FC693F" w:rsidRPr="0006063C" w:rsidSect="00034616">
      <w:pgSz w:w="12240" w:h="15840"/>
      <w:pgMar w:top="605" w:right="922" w:bottom="648" w:left="92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E1P1 - Plan básico del proyecto HydroMate</dc:title>
  <dc:subject>EC0935 Gestión de trabajo por proyectos</dc:subject>
  <dc:creator>Kevin Osmar Valdez Meza</dc:creator>
  <cp:keywords>EC0935, HydroMate, plan básico, gestión de proyectos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