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3580"/>
        <w:gridCol w:w="3580"/>
        <w:gridCol w:w="3582"/>
      </w:tblGrid>
      <w:tr>
        <w:tc>
          <w:tcPr>
            <w:tcW w:type="dxa" w:w="35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58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HydroMate - Torre hidropónica inteligente automatizada</w:t>
            </w:r>
          </w:p>
        </w:tc>
      </w:tr>
    </w:tbl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Fecha de corte del avance:</w:t>
            </w:r>
          </w:p>
        </w:tc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30 de octubre de 2026</w:t>
            </w:r>
          </w:p>
        </w:tc>
      </w:tr>
    </w:tbl>
    <w:p>
      <w:pPr>
        <w:spacing w:before="60" w:after="100" w:line="240" w:lineRule="auto"/>
        <w:ind w:left="115" w:right="115"/>
      </w:pPr>
      <w:r>
        <w:rPr>
          <w:rFonts w:ascii="Arial" w:hAnsi="Arial" w:eastAsia="Arial"/>
          <w:b w:val="0"/>
          <w:color w:val="666666"/>
          <w:sz w:val="14"/>
        </w:rPr>
        <w:t>La tabla registra el estado actual de cada paquete definido en el Plan Detallado. Cada paquete aparece marcado únicamente en un estado.</w:t>
      </w:r>
    </w:p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2"/>
      </w:tblGrid>
      <w:tr>
        <w:tc>
          <w:tcPr>
            <w:tcW w:type="dxa" w:w="1790"/>
            <w:shd w:fill="B0002A" w:val="clear"/>
            <w:tcMar>
              <w:top w:w="24" w:type="dxa"/>
              <w:start w:w="20" w:type="dxa"/>
              <w:bottom w:w="24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PAQUETE DE TRABAJO</w:t>
            </w:r>
          </w:p>
        </w:tc>
        <w:tc>
          <w:tcPr>
            <w:tcW w:type="dxa" w:w="1790"/>
            <w:shd w:fill="B0002A" w:val="clear"/>
            <w:tcMar>
              <w:top w:w="24" w:type="dxa"/>
              <w:start w:w="20" w:type="dxa"/>
              <w:bottom w:w="24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SIN INICIAR</w:t>
            </w:r>
          </w:p>
        </w:tc>
        <w:tc>
          <w:tcPr>
            <w:tcW w:type="dxa" w:w="1790"/>
            <w:shd w:fill="B0002A" w:val="clear"/>
            <w:tcMar>
              <w:top w:w="24" w:type="dxa"/>
              <w:start w:w="20" w:type="dxa"/>
              <w:bottom w:w="24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EN PROCESO</w:t>
            </w:r>
          </w:p>
        </w:tc>
        <w:tc>
          <w:tcPr>
            <w:tcW w:type="dxa" w:w="1790"/>
            <w:shd w:fill="B0002A" w:val="clear"/>
            <w:tcMar>
              <w:top w:w="24" w:type="dxa"/>
              <w:start w:w="20" w:type="dxa"/>
              <w:bottom w:w="24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TERMINADO</w:t>
            </w:r>
          </w:p>
        </w:tc>
        <w:tc>
          <w:tcPr>
            <w:tcW w:type="dxa" w:w="1790"/>
            <w:shd w:fill="B0002A" w:val="clear"/>
            <w:tcMar>
              <w:top w:w="24" w:type="dxa"/>
              <w:start w:w="20" w:type="dxa"/>
              <w:bottom w:w="24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EN ESPERA</w:t>
            </w:r>
          </w:p>
        </w:tc>
        <w:tc>
          <w:tcPr>
            <w:tcW w:type="dxa" w:w="1792"/>
            <w:shd w:fill="B0002A" w:val="clear"/>
            <w:tcMar>
              <w:top w:w="24" w:type="dxa"/>
              <w:start w:w="20" w:type="dxa"/>
              <w:bottom w:w="24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CANCELADO</w:t>
            </w:r>
          </w:p>
        </w:tc>
      </w:tr>
      <w:tr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PT1. Planeación y arquitectura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PT2. Torre y circuito hidráulico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PT3. Fabricación 3D y mecanizado de tapa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PT4. Electrónica, sensores y potencia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PT5. Fabricación de PCB y arnés de potencia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</w:tr>
      <w:tr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PT6. Firmware y control local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2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PT7. Backend, base de datos e interfaz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PT8. Dosificación e iluminación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shd w:fill="F2F2F2" w:val="clear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PT9. Integración, pruebas y documentación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X</w:t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0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792"/>
            <w:tcMar>
              <w:top w:w="24" w:type="dxa"/>
              <w:start w:w="18" w:type="dxa"/>
              <w:bottom w:w="24" w:type="dxa"/>
              <w:end w:w="18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</w:tr>
    </w:tbl>
    <w:p>
      <w:pPr>
        <w:spacing w:before="100" w:after="40" w:line="240" w:lineRule="auto"/>
      </w:pPr>
      <w:r>
        <w:rPr>
          <w:rFonts w:ascii="Arial" w:hAnsi="Arial" w:eastAsia="Arial"/>
          <w:b/>
          <w:color w:val="000000"/>
          <w:sz w:val="16"/>
        </w:rPr>
        <w:t>Observaciones de avance</w:t>
      </w:r>
    </w:p>
    <w:p>
      <w:pPr>
        <w:spacing w:before="0" w:after="20" w:line="240" w:lineRule="auto"/>
        <w:ind w:left="259" w:hanging="158"/>
      </w:pPr>
      <w:r>
        <w:rPr>
          <w:rFonts w:ascii="Arial" w:hAnsi="Arial" w:eastAsia="Arial"/>
          <w:b w:val="0"/>
          <w:color w:val="000000"/>
          <w:sz w:val="14"/>
        </w:rPr>
        <w:t xml:space="preserve">• </w:t>
      </w:r>
      <w:r>
        <w:rPr>
          <w:rFonts w:ascii="Arial" w:hAnsi="Arial" w:eastAsia="Arial"/>
          <w:b w:val="0"/>
          <w:color w:val="000000"/>
          <w:sz w:val="14"/>
        </w:rPr>
        <w:t>PT5 se canceló como servicio externo debido a que el arnés y la interconexión se simplificarán e integrarán dentro de PT4; el ajuste se documentará mediante el control formal de cambios.</w:t>
      </w:r>
    </w:p>
    <w:p>
      <w:pPr>
        <w:spacing w:before="0" w:after="20" w:line="240" w:lineRule="auto"/>
        <w:ind w:left="259" w:hanging="158"/>
      </w:pPr>
      <w:r>
        <w:rPr>
          <w:rFonts w:ascii="Arial" w:hAnsi="Arial" w:eastAsia="Arial"/>
          <w:b w:val="0"/>
          <w:color w:val="000000"/>
          <w:sz w:val="14"/>
        </w:rPr>
        <w:t xml:space="preserve">• </w:t>
      </w:r>
      <w:r>
        <w:rPr>
          <w:rFonts w:ascii="Arial" w:hAnsi="Arial" w:eastAsia="Arial"/>
          <w:b w:val="0"/>
          <w:color w:val="000000"/>
          <w:sz w:val="14"/>
        </w:rPr>
        <w:t>PT6 permanece en espera hasta concluir la integración eléctrica básica de PT4 para evitar desarrollar lógica sobre una configuración de hardware todavía inestable.</w:t>
      </w:r>
    </w:p>
    <w:p>
      <w:pPr>
        <w:spacing w:before="0" w:after="20" w:line="240" w:lineRule="auto"/>
        <w:ind w:left="259" w:hanging="158"/>
      </w:pPr>
      <w:r>
        <w:rPr>
          <w:rFonts w:ascii="Arial" w:hAnsi="Arial" w:eastAsia="Arial"/>
          <w:b w:val="0"/>
          <w:color w:val="000000"/>
          <w:sz w:val="14"/>
        </w:rPr>
        <w:t xml:space="preserve">• </w:t>
      </w:r>
      <w:r>
        <w:rPr>
          <w:rFonts w:ascii="Arial" w:hAnsi="Arial" w:eastAsia="Arial"/>
          <w:b w:val="0"/>
          <w:color w:val="000000"/>
          <w:sz w:val="14"/>
        </w:rPr>
        <w:t>PT8 y PT9 no se han iniciado porque dependen de que los paquetes de electrónica, firmware y plataforma alcancen un nivel suficiente de integración.</w:t>
      </w:r>
    </w:p>
    <w:sectPr w:rsidR="00FC693F" w:rsidRPr="0006063C" w:rsidSect="00034616">
      <w:pgSz w:w="12240" w:h="15840"/>
      <w:pgMar w:top="605" w:right="749" w:bottom="720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E3P4 Lista de verificación de avance del proyecto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