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2908" cy="8046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0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Gestión de trabajo por proyectos</w:t>
            </w:r>
          </w:p>
        </w:tc>
        <w:tc>
          <w:tcPr>
            <w:tcW w:type="dxa" w:w="350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6293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_goo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Nombre del Proyecto</w:t>
            </w:r>
          </w:p>
        </w:tc>
        <w:tc>
          <w:tcPr>
            <w:tcW w:type="dxa" w:w="5256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HydroMate - Torre hidropónica inteligente automatizada</w:t>
            </w:r>
          </w:p>
        </w:tc>
      </w:tr>
    </w:tbl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Responsable de la elaboración del documento:</w:t>
            </w:r>
          </w:p>
        </w:tc>
        <w:tc>
          <w:tcPr>
            <w:tcW w:type="dxa" w:w="5256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Kevin Osmar Valdez Meza</w:t>
            </w:r>
          </w:p>
        </w:tc>
      </w:tr>
    </w:tbl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Fecha de corte del reporte:</w:t>
            </w:r>
          </w:p>
        </w:tc>
        <w:tc>
          <w:tcPr>
            <w:tcW w:type="dxa" w:w="5256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27 de noviembre de 2026</w:t>
            </w:r>
          </w:p>
        </w:tc>
      </w:tr>
    </w:tbl>
    <w:p>
      <w:pPr>
        <w:spacing w:before="100" w:after="100" w:line="240" w:lineRule="auto"/>
        <w:jc w:val="center"/>
      </w:pPr>
      <w:r>
        <w:rPr>
          <w:rFonts w:ascii="Arial" w:hAnsi="Arial" w:eastAsia="Arial"/>
          <w:b/>
          <w:color w:val="000000"/>
          <w:sz w:val="28"/>
        </w:rPr>
        <w:t>REPORTE DE ESTADO ACTUAL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563F" w:val="clear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ESTADO ACTUAL DEL PROYECTO</w:t>
            </w:r>
          </w:p>
        </w:tc>
      </w:tr>
    </w:tbl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0563F" w:val="clear"/>
            <w:tcMar>
              <w:top w:w="16" w:type="dxa"/>
              <w:start w:w="20" w:type="dxa"/>
              <w:bottom w:w="16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RETRASADO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20" w:type="dxa"/>
              <w:bottom w:w="16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 TIEMPO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20" w:type="dxa"/>
              <w:bottom w:w="16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SIN INICIAR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20" w:type="dxa"/>
              <w:bottom w:w="16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TERMINADO</w:t>
            </w:r>
          </w:p>
        </w:tc>
      </w:tr>
      <w:tr>
        <w:tc>
          <w:tcPr>
            <w:tcW w:type="dxa" w:w="2628"/>
            <w:tcMar>
              <w:top w:w="18" w:type="dxa"/>
              <w:start w:w="20" w:type="dxa"/>
              <w:bottom w:w="18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</w:r>
          </w:p>
        </w:tc>
        <w:tc>
          <w:tcPr>
            <w:tcW w:type="dxa" w:w="2628"/>
            <w:tcMar>
              <w:top w:w="18" w:type="dxa"/>
              <w:start w:w="20" w:type="dxa"/>
              <w:bottom w:w="18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X</w:t>
            </w:r>
          </w:p>
        </w:tc>
        <w:tc>
          <w:tcPr>
            <w:tcW w:type="dxa" w:w="2628"/>
            <w:tcMar>
              <w:top w:w="18" w:type="dxa"/>
              <w:start w:w="20" w:type="dxa"/>
              <w:bottom w:w="18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</w:r>
          </w:p>
        </w:tc>
        <w:tc>
          <w:tcPr>
            <w:tcW w:type="dxa" w:w="2628"/>
            <w:tcMar>
              <w:top w:w="18" w:type="dxa"/>
              <w:start w:w="20" w:type="dxa"/>
              <w:bottom w:w="18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</w:r>
          </w:p>
        </w:tc>
      </w:tr>
    </w:tbl>
    <w:p>
      <w:pPr>
        <w:spacing w:before="20" w:after="100" w:line="240" w:lineRule="auto"/>
        <w:jc w:val="center"/>
      </w:pPr>
      <w:r>
        <w:rPr>
          <w:rFonts w:ascii="Arial" w:hAnsi="Arial" w:eastAsia="Arial"/>
          <w:b w:val="0"/>
          <w:color w:val="666666"/>
          <w:sz w:val="14"/>
        </w:rPr>
        <w:t>Estado general: EN TIEMPO. La fecha de cierre autorizada se mantiene en 11 de diciembre de 2026.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563F" w:val="clear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ESTADO DE CUENTA DEL COSTO</w:t>
            </w:r>
          </w:p>
        </w:tc>
      </w:tr>
    </w:tbl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0563F" w:val="clear"/>
            <w:tcMar>
              <w:top w:w="16" w:type="dxa"/>
              <w:start w:w="20" w:type="dxa"/>
              <w:bottom w:w="16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COSTO AUTORIZADO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20" w:type="dxa"/>
              <w:bottom w:w="16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CAMBIOS AUTORIZADOS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20" w:type="dxa"/>
              <w:bottom w:w="16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COSTO ACTUAL COMPROMETIDO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20" w:type="dxa"/>
              <w:bottom w:w="16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PAGADO</w:t>
            </w:r>
          </w:p>
        </w:tc>
      </w:tr>
      <w:tr>
        <w:tc>
          <w:tcPr>
            <w:tcW w:type="dxa" w:w="2628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$6,350 MXN</w:t>
            </w:r>
          </w:p>
        </w:tc>
        <w:tc>
          <w:tcPr>
            <w:tcW w:type="dxa" w:w="2628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-$105 MXN netos</w:t>
              <w:br/>
              <w:t>(costo ajustado: $6,245 MXN)</w:t>
            </w:r>
          </w:p>
        </w:tc>
        <w:tc>
          <w:tcPr>
            <w:tcW w:type="dxa" w:w="2628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$6,045 MXN</w:t>
            </w:r>
          </w:p>
        </w:tc>
        <w:tc>
          <w:tcPr>
            <w:tcW w:type="dxa" w:w="2628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$5,730 MXN</w:t>
            </w:r>
          </w:p>
        </w:tc>
      </w:tr>
    </w:tbl>
    <w:p>
      <w:pPr>
        <w:spacing w:before="20" w:after="100" w:line="240" w:lineRule="auto"/>
        <w:jc w:val="center"/>
      </w:pPr>
      <w:r>
        <w:rPr>
          <w:rFonts w:ascii="Arial" w:hAnsi="Arial" w:eastAsia="Arial"/>
          <w:b w:val="0"/>
          <w:color w:val="666666"/>
          <w:sz w:val="14"/>
        </w:rPr>
        <w:t>Saldo no comprometido frente al costo ajustado: $200 MXN. Saldo comprometido pendiente de pago: $315 MXN.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563F" w:val="clear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PRIORIDADES DEL PERIODO DEL PROYECTO</w:t>
            </w:r>
          </w:p>
        </w:tc>
      </w:tr>
    </w:tbl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0563F" w:val="clear"/>
            <w:tcMar>
              <w:top w:w="16" w:type="dxa"/>
              <w:start w:w="18" w:type="dxa"/>
              <w:bottom w:w="16" w:type="dxa"/>
              <w:end w:w="18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18" w:type="dxa"/>
              <w:bottom w:w="16" w:type="dxa"/>
              <w:end w:w="18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RESPONSABLE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18" w:type="dxa"/>
              <w:bottom w:w="16" w:type="dxa"/>
              <w:end w:w="18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FECHA DE</w:t>
              <w:br/>
              <w:t>COMPROMISO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18" w:type="dxa"/>
              <w:bottom w:w="16" w:type="dxa"/>
              <w:end w:w="18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PLAN DE ACCIÓN</w:t>
            </w:r>
          </w:p>
        </w:tc>
      </w:tr>
      <w:tr>
        <w:tc>
          <w:tcPr>
            <w:tcW w:type="dxa" w:w="2628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Cerrar integración de PT4 y habilitar PT6</w:t>
            </w:r>
          </w:p>
        </w:tc>
        <w:tc>
          <w:tcPr>
            <w:tcW w:type="dxa" w:w="2628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Kevin Osmar Valdez Meza / Diego Alejandro Hernández Ruiz</w:t>
            </w:r>
          </w:p>
        </w:tc>
        <w:tc>
          <w:tcPr>
            <w:tcW w:type="dxa" w:w="2628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29/11/2026</w:t>
            </w:r>
          </w:p>
        </w:tc>
        <w:tc>
          <w:tcPr>
            <w:tcW w:type="dxa" w:w="2628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Completar cableado definitivo, verificar cinco lecturas, validar salidas y liberar una configuración eléctrica estable para finalizar firmware.</w:t>
            </w:r>
          </w:p>
        </w:tc>
      </w:tr>
      <w:tr>
        <w:tc>
          <w:tcPr>
            <w:tcW w:type="dxa" w:w="2628"/>
            <w:shd w:fill="F2F2F2" w:val="clear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Completar PT8: dosificación e iluminación</w:t>
            </w:r>
          </w:p>
        </w:tc>
        <w:tc>
          <w:tcPr>
            <w:tcW w:type="dxa" w:w="2628"/>
            <w:shd w:fill="F2F2F2" w:val="clear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Kevin Osmar Valdez Meza / Mariana Fernanda López Torres</w:t>
            </w:r>
          </w:p>
        </w:tc>
        <w:tc>
          <w:tcPr>
            <w:tcW w:type="dxa" w:w="2628"/>
            <w:shd w:fill="F2F2F2" w:val="clear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02/12/2026</w:t>
            </w:r>
          </w:p>
        </w:tc>
        <w:tc>
          <w:tcPr>
            <w:tcW w:type="dxa" w:w="2628"/>
            <w:shd w:fill="F2F2F2" w:val="clear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Instalar cuatro canales, calibrar caudal en mL/s, comprobar interbloqueo pH Up/Down y validar automatización de iluminación con BH1750.</w:t>
            </w:r>
          </w:p>
        </w:tc>
      </w:tr>
      <w:tr>
        <w:tc>
          <w:tcPr>
            <w:tcW w:type="dxa" w:w="2628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Ejecutar pruebas integrales y modo sin Internet</w:t>
            </w:r>
          </w:p>
        </w:tc>
        <w:tc>
          <w:tcPr>
            <w:tcW w:type="dxa" w:w="2628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Kevin Osmar Valdez Meza / Diego Alejandro Hernández Ruiz</w:t>
            </w:r>
          </w:p>
        </w:tc>
        <w:tc>
          <w:tcPr>
            <w:tcW w:type="dxa" w:w="2628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04/12/2026</w:t>
            </w:r>
          </w:p>
        </w:tc>
        <w:tc>
          <w:tcPr>
            <w:tcW w:type="dxa" w:w="2628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Ejecutar matriz de pruebas, desconectar Internet, verificar control local y revisar históricos, alertas y eventos antes de aceptar integración.</w:t>
            </w:r>
          </w:p>
        </w:tc>
      </w:tr>
      <w:tr>
        <w:tc>
          <w:tcPr>
            <w:tcW w:type="dxa" w:w="2628"/>
            <w:shd w:fill="F2F2F2" w:val="clear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Consolidar evidencias, costos y documentación de cierre</w:t>
            </w:r>
          </w:p>
        </w:tc>
        <w:tc>
          <w:tcPr>
            <w:tcW w:type="dxa" w:w="2628"/>
            <w:shd w:fill="F2F2F2" w:val="clear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Kevin Osmar Valdez Meza</w:t>
            </w:r>
          </w:p>
        </w:tc>
        <w:tc>
          <w:tcPr>
            <w:tcW w:type="dxa" w:w="2628"/>
            <w:shd w:fill="F2F2F2" w:val="clear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08/12/2026</w:t>
            </w:r>
          </w:p>
        </w:tc>
        <w:tc>
          <w:tcPr>
            <w:tcW w:type="dxa" w:w="2628"/>
            <w:shd w:fill="F2F2F2" w:val="clear"/>
            <w:tcMar>
              <w:top w:w="18" w:type="dxa"/>
              <w:start w:w="22" w:type="dxa"/>
              <w:bottom w:w="18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Actualizar evidencias por paquete, conciliar pagos, cerrar pendientes documentales y preparar reporte final y junta de cierre.</w:t>
            </w:r>
          </w:p>
        </w:tc>
      </w:tr>
    </w:tbl>
    <w:p>
      <w:r>
        <w:br w:type="page"/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2908" cy="8046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0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Gestión de trabajo por proyectos</w:t>
            </w:r>
          </w:p>
        </w:tc>
        <w:tc>
          <w:tcPr>
            <w:tcW w:type="dxa" w:w="350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6293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_goo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 w:line="240" w:lineRule="auto"/>
      </w:pP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563F" w:val="clear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RIESGOS DEL PROYECTO</w:t>
            </w:r>
          </w:p>
        </w:tc>
      </w:tr>
    </w:tbl>
    <w:tbl>
      <w:tblPr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0563F" w:val="clear"/>
            <w:tcMar>
              <w:top w:w="16" w:type="dxa"/>
              <w:start w:w="18" w:type="dxa"/>
              <w:bottom w:w="16" w:type="dxa"/>
              <w:end w:w="18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RIESGOS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18" w:type="dxa"/>
              <w:bottom w:w="16" w:type="dxa"/>
              <w:end w:w="18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RESPONSABLE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18" w:type="dxa"/>
              <w:bottom w:w="16" w:type="dxa"/>
              <w:end w:w="18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FECHA DE</w:t>
              <w:br/>
              <w:t>COMPROMISO</w:t>
            </w:r>
          </w:p>
        </w:tc>
        <w:tc>
          <w:tcPr>
            <w:tcW w:type="dxa" w:w="2628"/>
            <w:shd w:fill="00563F" w:val="clear"/>
            <w:tcMar>
              <w:top w:w="16" w:type="dxa"/>
              <w:start w:w="18" w:type="dxa"/>
              <w:bottom w:w="16" w:type="dxa"/>
              <w:end w:w="18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PLAN DE ACCIÓN</w:t>
            </w:r>
          </w:p>
        </w:tc>
      </w:tr>
      <w:tr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Lecturas inestables o pérdida de calibración en pH/TDS-EC</w:t>
            </w:r>
          </w:p>
        </w:tc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Diego Alejandro Hernández Ruiz</w:t>
            </w:r>
          </w:p>
        </w:tc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30/11/2026</w:t>
            </w:r>
          </w:p>
        </w:tc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Revisar conexiones, limpiar y calibrar sondas con soluciones de referencia. Mantener suspendida la dosificación automática asociada si la lectura resulta inválida.</w:t>
            </w:r>
          </w:p>
        </w:tc>
      </w:tr>
      <w:tr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Sobredosificación o sifonado en líneas químicas</w:t>
            </w:r>
          </w:p>
        </w:tc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Kevin Osmar Valdez Meza / Mariana Fernanda López Torres</w:t>
            </w:r>
          </w:p>
        </w:tc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02/12/2026</w:t>
            </w:r>
          </w:p>
        </w:tc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Validar caudal de cada bomba, límites por ciclo/hora, tiempo de mezcla, relectura e instalación de válvulas antirretorno; mantener interbloqueo pH Up/Down.</w:t>
            </w:r>
          </w:p>
        </w:tc>
      </w:tr>
      <w:tr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Ruido eléctrico de bombas que altere sensores</w:t>
            </w:r>
          </w:p>
        </w:tc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Diego Alejandro Hernández Ruiz</w:t>
            </w:r>
          </w:p>
        </w:tc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29/11/2026</w:t>
            </w:r>
          </w:p>
        </w:tc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Separar cableado de potencia y señal, revisar tierra común, aplicar supresión/filtrado y repetir lecturas con actuadores encendidos antes de liberar PT4.</w:t>
            </w:r>
          </w:p>
        </w:tc>
      </w:tr>
      <w:tr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Fuga, obstrucción o flujo insuficiente en el circuito</w:t>
            </w:r>
          </w:p>
        </w:tc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Kevin Osmar Valdez Meza</w:t>
            </w:r>
          </w:p>
        </w:tc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02/12/2026</w:t>
            </w:r>
          </w:p>
        </w:tc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Inspeccionar conexiones y retorno, limpiar bloqueos, sustituir sellos defectuosos y repetir prueba hidráulica antes de la prueba integral.</w:t>
            </w:r>
          </w:p>
        </w:tc>
      </w:tr>
      <w:tr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Pérdida de Wi-Fi, Internet o disponibilidad del backend</w:t>
            </w:r>
          </w:p>
        </w:tc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Kevin Osmar Valdez Meza</w:t>
            </w:r>
          </w:p>
        </w:tc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04/12/2026</w:t>
            </w:r>
          </w:p>
        </w:tc>
        <w:tc>
          <w:tcPr>
            <w:tcW w:type="dxa" w:w="2628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Verificar que riego, protección, iluminación y dosificación crítica continúen en el ESP32; conservar eventos localmente y sincronizarlos al restablecer conexión.</w:t>
            </w:r>
          </w:p>
        </w:tc>
      </w:tr>
      <w:tr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3"/>
              </w:rPr>
              <w:t>Acumulación de pendientes cercana al cierre</w:t>
            </w:r>
          </w:p>
        </w:tc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Kevin Osmar Valdez Meza</w:t>
            </w:r>
          </w:p>
        </w:tc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04/12/2026</w:t>
            </w:r>
          </w:p>
        </w:tc>
        <w:tc>
          <w:tcPr>
            <w:tcW w:type="dxa" w:w="2628"/>
            <w:shd w:fill="F2F2F2" w:val="clear"/>
            <w:tcMar>
              <w:top w:w="20" w:type="dxa"/>
              <w:start w:w="22" w:type="dxa"/>
              <w:bottom w:w="20" w:type="dxa"/>
              <w:end w:w="22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Congelar funciones nuevas, priorizar criterios de aceptación obligatorios y mover únicamente mejoras no críticas sin afectar la entrega del 11 de diciembre.</w:t>
            </w:r>
          </w:p>
        </w:tc>
      </w:tr>
    </w:tbl>
    <w:p>
      <w:pPr>
        <w:spacing w:before="100" w:after="0" w:line="240" w:lineRule="auto"/>
        <w:ind w:left="115" w:right="115"/>
      </w:pPr>
      <w:r>
        <w:rPr>
          <w:rFonts w:ascii="Arial" w:hAnsi="Arial" w:eastAsia="Arial"/>
          <w:b w:val="0"/>
          <w:color w:val="666666"/>
          <w:sz w:val="14"/>
        </w:rPr>
        <w:t>Conclusión del corte: el proyecto permanece en tiempo y dentro del costo ajustado autorizado. Las prioridades y riesgos del periodo están asignados a responsables con fechas de compromiso previas al cierre.</w:t>
      </w:r>
    </w:p>
    <w:sectPr w:rsidR="00FC693F" w:rsidRPr="0006063C" w:rsidSect="00034616">
      <w:pgSz w:w="12240" w:h="15840"/>
      <w:pgMar w:top="547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AutofitConstrain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E4P2 Reporte de estado actual del proyecto HydroMate</dc:title>
  <dc:subject>EC0935 Gestión de trabajo por proyectos</dc:subject>
  <dc:creator>Kevin Osmar Valdez Meza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