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454"/>
        <w:jc w:val="center"/>
        <w:tblLayout w:type="fixed"/>
        <w:tblLook w:firstColumn="1" w:firstRow="1" w:lastColumn="0" w:lastRow="0" w:noHBand="0" w:noVBand="1" w:val="04A0"/>
      </w:tblPr>
      <w:tblGrid>
        <w:gridCol w:w="3484"/>
        <w:gridCol w:w="3484"/>
        <w:gridCol w:w="3486"/>
      </w:tblGrid>
      <w:tr>
        <w:tc>
          <w:tcPr>
            <w:tcW w:type="dxa" w:w="348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2908" cy="80467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uabc_crop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908" cy="8046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8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6"/>
              </w:rPr>
              <w:t>EC0935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4"/>
              </w:rPr>
              <w:t>Gestión de trabajo por proyectos</w:t>
            </w:r>
          </w:p>
        </w:tc>
        <w:tc>
          <w:tcPr>
            <w:tcW w:type="dxa" w:w="3486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89888" cy="62938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red_crop_goo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9888" cy="6293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 w:line="240" w:lineRule="auto"/>
      </w:pPr>
    </w:p>
    <w:tbl>
      <w:tblPr>
        <w:tblW w:type="dxa" w:w="10454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tcMar>
              <w:top w:w="2" w:type="dxa"/>
              <w:start w:w="0" w:type="dxa"/>
              <w:bottom w:w="2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Responsable de la elaboración del documento:</w:t>
            </w:r>
          </w:p>
        </w:tc>
        <w:tc>
          <w:tcPr>
            <w:tcW w:type="dxa" w:w="5227"/>
            <w:tcMar>
              <w:top w:w="2" w:type="dxa"/>
              <w:start w:w="0" w:type="dxa"/>
              <w:bottom w:w="2" w:type="dxa"/>
              <w:end w:w="0" w:type="dxa"/>
            </w:tcMar>
            <w:tcBorders>
              <w:top w:val="nil"/>
              <w:left w:val="nil"/>
              <w:bottom w:val="nil"/>
              <w:right w:val="nil"/>
              <w:bottom w:val="single" w:sz="6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Kevin Osmar Valdez Meza</w:t>
            </w:r>
          </w:p>
        </w:tc>
      </w:tr>
    </w:tbl>
    <w:p>
      <w:pPr>
        <w:spacing w:before="100" w:after="80" w:line="240" w:lineRule="auto"/>
        <w:jc w:val="center"/>
      </w:pPr>
      <w:r>
        <w:rPr>
          <w:rFonts w:ascii="Arial" w:hAnsi="Arial" w:eastAsia="Arial"/>
          <w:b/>
          <w:color w:val="000000"/>
          <w:sz w:val="28"/>
        </w:rPr>
        <w:t>JUNTA DE CIERRE</w:t>
      </w:r>
    </w:p>
    <w:tbl>
      <w:tblPr>
        <w:tblW w:type="dxa" w:w="10454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tcMar>
              <w:top w:w="2" w:type="dxa"/>
              <w:start w:w="0" w:type="dxa"/>
              <w:bottom w:w="2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Fecha</w:t>
            </w:r>
          </w:p>
        </w:tc>
        <w:tc>
          <w:tcPr>
            <w:tcW w:type="dxa" w:w="5227"/>
            <w:tcMar>
              <w:top w:w="2" w:type="dxa"/>
              <w:start w:w="0" w:type="dxa"/>
              <w:bottom w:w="2" w:type="dxa"/>
              <w:end w:w="0" w:type="dxa"/>
            </w:tcMar>
            <w:tcBorders>
              <w:top w:val="nil"/>
              <w:left w:val="nil"/>
              <w:bottom w:val="nil"/>
              <w:right w:val="nil"/>
              <w:bottom w:val="single" w:sz="6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11 de diciembre de 2026</w:t>
            </w:r>
          </w:p>
        </w:tc>
      </w:tr>
    </w:tbl>
    <w:tbl>
      <w:tblPr>
        <w:tblW w:type="dxa" w:w="10454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B8860B" w:val="clear"/>
            <w:tcMar>
              <w:top w:w="18" w:type="dxa"/>
              <w:start w:w="35" w:type="dxa"/>
              <w:bottom w:w="18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I. NOMBRE DE LOS INTEGRANTES</w:t>
            </w:r>
          </w:p>
        </w:tc>
      </w:tr>
      <w:tr>
        <w:trPr>
          <w:trHeight w:val="1656"/>
        </w:trPr>
        <w:tc>
          <w:tcPr>
            <w:tcW w:type="dxa" w:w="10454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26" w:line="240" w:lineRule="auto"/>
              <w:ind w:left="173" w:hanging="115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 xml:space="preserve">• </w:t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Kevin Osmar Valdez Meza - Líder del Proyecto y participante principal.</w:t>
            </w:r>
          </w:p>
          <w:p>
            <w:pPr>
              <w:spacing w:before="0" w:after="26" w:line="240" w:lineRule="auto"/>
              <w:ind w:left="173" w:hanging="115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 xml:space="preserve">• </w:t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Mariana Fernanda López Torres - Participante clave, revisión hidropónica y funcional.</w:t>
            </w:r>
          </w:p>
          <w:p>
            <w:pPr>
              <w:spacing w:before="0" w:after="26" w:line="240" w:lineRule="auto"/>
              <w:ind w:left="173" w:hanging="115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 xml:space="preserve">• </w:t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Diego Alejandro Hernández Ruiz - Participante clave, revisión electrónica, seguridad y comunicaciones.</w:t>
            </w:r>
          </w:p>
        </w:tc>
      </w:tr>
    </w:tbl>
    <w:p>
      <w:pPr>
        <w:spacing w:before="0" w:after="40" w:line="240" w:lineRule="auto"/>
      </w:pPr>
    </w:p>
    <w:tbl>
      <w:tblPr>
        <w:tblW w:type="dxa" w:w="10454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B8860B" w:val="clear"/>
            <w:tcMar>
              <w:top w:w="18" w:type="dxa"/>
              <w:start w:w="35" w:type="dxa"/>
              <w:bottom w:w="18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II. NOMBRE DEL RESPONSABLE DEL PROYECTO</w:t>
            </w:r>
          </w:p>
        </w:tc>
      </w:tr>
      <w:tr>
        <w:trPr>
          <w:trHeight w:val="1037"/>
        </w:trPr>
        <w:tc>
          <w:tcPr>
            <w:tcW w:type="dxa" w:w="10454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26" w:line="240" w:lineRule="auto"/>
              <w:ind w:left="173" w:hanging="115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 xml:space="preserve">• </w:t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Kevin Osmar Valdez Meza - Líder del Proyecto y responsable de preparar el presente reporte de junta de cierre.</w:t>
            </w:r>
          </w:p>
        </w:tc>
      </w:tr>
    </w:tbl>
    <w:p>
      <w:pPr>
        <w:spacing w:before="0" w:after="40" w:line="240" w:lineRule="auto"/>
      </w:pPr>
    </w:p>
    <w:tbl>
      <w:tblPr>
        <w:tblW w:type="dxa" w:w="10454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B8860B" w:val="clear"/>
            <w:tcMar>
              <w:top w:w="18" w:type="dxa"/>
              <w:start w:w="35" w:type="dxa"/>
              <w:bottom w:w="18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III. TEMAS</w:t>
            </w:r>
          </w:p>
        </w:tc>
      </w:tr>
      <w:tr>
        <w:trPr>
          <w:trHeight w:val="2376"/>
        </w:trPr>
        <w:tc>
          <w:tcPr>
            <w:tcW w:type="dxa" w:w="10454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26" w:line="240" w:lineRule="auto"/>
              <w:ind w:left="173" w:hanging="115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 xml:space="preserve">• </w:t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Revisión del cumplimiento del objetivo general y de los criterios de aceptación del proyecto HydroMate.</w:t>
            </w:r>
          </w:p>
          <w:p>
            <w:pPr>
              <w:spacing w:before="0" w:after="26" w:line="240" w:lineRule="auto"/>
              <w:ind w:left="173" w:hanging="115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 xml:space="preserve">• </w:t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Confirmación del cierre de los nueve paquetes de trabajo y revisión del tratamiento aplicado a PT5 mediante el cambio autorizado 001.</w:t>
            </w:r>
          </w:p>
          <w:p>
            <w:pPr>
              <w:spacing w:before="0" w:after="26" w:line="240" w:lineRule="auto"/>
              <w:ind w:left="173" w:hanging="115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 xml:space="preserve">• </w:t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Revisión del estado financiero final: costo ajustado de $6,245 MXN, gasto final de $6,045 MXN y ausencia de pagos pendientes.</w:t>
            </w:r>
          </w:p>
          <w:p>
            <w:pPr>
              <w:spacing w:before="0" w:after="26" w:line="240" w:lineRule="auto"/>
              <w:ind w:left="173" w:hanging="115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 xml:space="preserve">• </w:t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Presentación de resultados de integración, evidencias, funcionamiento local del ESP32 y operación de la plataforma de monitoreo.</w:t>
            </w:r>
          </w:p>
          <w:p>
            <w:pPr>
              <w:spacing w:before="0" w:after="26" w:line="240" w:lineRule="auto"/>
              <w:ind w:left="173" w:hanging="115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 xml:space="preserve">• </w:t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Revisión de los cambios autorizados, riesgos atendidos y decisiones técnicas adoptadas durante la ejecución.</w:t>
            </w:r>
          </w:p>
          <w:p>
            <w:pPr>
              <w:spacing w:before="0" w:after="26" w:line="240" w:lineRule="auto"/>
              <w:ind w:left="173" w:hanging="115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 xml:space="preserve">• </w:t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Discusión de aprendizajes del equipo y recomendaciones para una siguiente versión del prototipo.</w:t>
            </w:r>
          </w:p>
        </w:tc>
      </w:tr>
    </w:tbl>
    <w:p>
      <w:pPr>
        <w:spacing w:before="0" w:after="40" w:line="240" w:lineRule="auto"/>
      </w:pPr>
    </w:p>
    <w:tbl>
      <w:tblPr>
        <w:tblW w:type="dxa" w:w="10454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B8860B" w:val="clear"/>
            <w:tcMar>
              <w:top w:w="18" w:type="dxa"/>
              <w:start w:w="35" w:type="dxa"/>
              <w:bottom w:w="18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IV. ACUERDOS</w:t>
            </w:r>
          </w:p>
        </w:tc>
      </w:tr>
      <w:tr>
        <w:trPr>
          <w:trHeight w:val="1800"/>
        </w:trPr>
        <w:tc>
          <w:tcPr>
            <w:tcW w:type="dxa" w:w="10454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26" w:line="240" w:lineRule="auto"/>
              <w:ind w:left="173" w:hanging="115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 xml:space="preserve">• </w:t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Aceptar administrativamente el proyecto HydroMate como concluido el 11 de diciembre de 2026, al haberse verificado los paquetes, actividades y evidencias previstas.</w:t>
            </w:r>
          </w:p>
          <w:p>
            <w:pPr>
              <w:spacing w:before="0" w:after="26" w:line="240" w:lineRule="auto"/>
              <w:ind w:left="173" w:hanging="115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 xml:space="preserve">• </w:t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Cerrar el estado de cuenta del proyecto con $6,045 MXN ejercidos, $200 MXN no utilizados del costo ajustado y $0 MXN de adeudo.</w:t>
            </w:r>
          </w:p>
          <w:p>
            <w:pPr>
              <w:spacing w:before="0" w:after="26" w:line="240" w:lineRule="auto"/>
              <w:ind w:left="173" w:hanging="115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 xml:space="preserve">• </w:t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Conservar el expediente completo EC0935 y la documentación técnica del prototipo como referencia para futuras mejoras y validaciones.</w:t>
            </w:r>
          </w:p>
          <w:p>
            <w:pPr>
              <w:spacing w:before="0" w:after="26" w:line="240" w:lineRule="auto"/>
              <w:ind w:left="173" w:hanging="115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 xml:space="preserve">• </w:t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Mantener como recomendación para una versión posterior la validación agronómica de mayor duración, mejora de gabinete y cableado, y pruebas de confiabilidad extendidas.</w:t>
            </w:r>
          </w:p>
        </w:tc>
      </w:tr>
    </w:tbl>
    <w:p>
      <w:pPr>
        <w:spacing w:before="0" w:after="40" w:line="240" w:lineRule="auto"/>
      </w:pPr>
    </w:p>
    <w:p>
      <w:r>
        <w:br w:type="page"/>
      </w:r>
    </w:p>
    <w:tbl>
      <w:tblPr>
        <w:tblW w:type="dxa" w:w="10454"/>
        <w:jc w:val="center"/>
        <w:tblLayout w:type="fixed"/>
        <w:tblLook w:firstColumn="1" w:firstRow="1" w:lastColumn="0" w:lastRow="0" w:noHBand="0" w:noVBand="1" w:val="04A0"/>
      </w:tblPr>
      <w:tblGrid>
        <w:gridCol w:w="3484"/>
        <w:gridCol w:w="3484"/>
        <w:gridCol w:w="3486"/>
      </w:tblGrid>
      <w:tr>
        <w:tc>
          <w:tcPr>
            <w:tcW w:type="dxa" w:w="348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2908" cy="80467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uabc_crop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908" cy="8046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8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6"/>
              </w:rPr>
              <w:t>EC0935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4"/>
              </w:rPr>
              <w:t>Gestión de trabajo por proyectos</w:t>
            </w:r>
          </w:p>
        </w:tc>
        <w:tc>
          <w:tcPr>
            <w:tcW w:type="dxa" w:w="3486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89888" cy="62938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red_crop_goo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9888" cy="6293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100" w:line="240" w:lineRule="auto"/>
      </w:pPr>
    </w:p>
    <w:tbl>
      <w:tblPr>
        <w:tblW w:type="dxa" w:w="10454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B8860B" w:val="clear"/>
            <w:tcMar>
              <w:top w:w="18" w:type="dxa"/>
              <w:start w:w="35" w:type="dxa"/>
              <w:bottom w:w="18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V. APRENDIZAJES DEL EQUIPO</w:t>
            </w:r>
          </w:p>
        </w:tc>
      </w:tr>
      <w:tr>
        <w:trPr>
          <w:trHeight w:val="3096"/>
        </w:trPr>
        <w:tc>
          <w:tcPr>
            <w:tcW w:type="dxa" w:w="10454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26" w:line="240" w:lineRule="auto"/>
              <w:ind w:left="173" w:hanging="115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 xml:space="preserve">• </w:t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La integración incremental por subsistemas facilitó detectar fallas antes de que afectaran a todo el prototipo; probar primero hidráulica, luego electrónica y después automatización redujo retrabajo.</w:t>
            </w:r>
          </w:p>
          <w:p>
            <w:pPr>
              <w:spacing w:before="0" w:after="26" w:line="240" w:lineRule="auto"/>
              <w:ind w:left="173" w:hanging="115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 xml:space="preserve">• </w:t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La automatización química requiere más que activar bombas: es necesario calibrar cada canal, limitar dosis, esperar tiempo de mezcla y volver a medir antes de corregir nuevamente.</w:t>
            </w:r>
          </w:p>
          <w:p>
            <w:pPr>
              <w:spacing w:before="0" w:after="26" w:line="240" w:lineRule="auto"/>
              <w:ind w:left="173" w:hanging="115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 xml:space="preserve">• </w:t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El control crítico debe permanecer en el ESP32. Las pruebas y experiencias previas de conectividad demostraron que Wi-Fi o Internet pueden fallar sin que el riego, la protección de la bomba o la dosificación dejen de operar de forma segura.</w:t>
            </w:r>
          </w:p>
          <w:p>
            <w:pPr>
              <w:spacing w:before="0" w:after="26" w:line="240" w:lineRule="auto"/>
              <w:ind w:left="173" w:hanging="115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 xml:space="preserve">• </w:t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La documentación continua de costos, riesgos, cambios y evidencias permitió conservar trazabilidad y tomar decisiones sin perder el control del alcance.</w:t>
            </w:r>
          </w:p>
          <w:p>
            <w:pPr>
              <w:spacing w:before="0" w:after="26" w:line="240" w:lineRule="auto"/>
              <w:ind w:left="173" w:hanging="115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 xml:space="preserve">• </w:t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La colaboración entre revisión hidropónica y revisión electrónica ayudó a equilibrar necesidades del cultivo con seguridad, mantenimiento y viabilidad técnica del prototipo.</w:t>
            </w:r>
          </w:p>
        </w:tc>
      </w:tr>
    </w:tbl>
    <w:p>
      <w:pPr>
        <w:spacing w:before="0" w:after="40" w:line="240" w:lineRule="auto"/>
      </w:pPr>
    </w:p>
    <w:tbl>
      <w:tblPr>
        <w:tblW w:type="dxa" w:w="10454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B8860B" w:val="clear"/>
            <w:tcMar>
              <w:top w:w="18" w:type="dxa"/>
              <w:start w:w="35" w:type="dxa"/>
              <w:bottom w:w="18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VI. FIRMAS/CONFIRMACIÓN</w:t>
            </w:r>
          </w:p>
        </w:tc>
      </w:tr>
      <w:tr>
        <w:tc>
          <w:tcPr>
            <w:tcW w:type="dxa" w:w="10454"/>
            <w:tcMar>
              <w:top w:w="45" w:type="dxa"/>
              <w:start w:w="35" w:type="dxa"/>
              <w:bottom w:w="45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  <w:tbl>
            <w:tblPr>
              <w:tblW w:type="dxa" w:w="10454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3484"/>
              <w:gridCol w:w="3484"/>
              <w:gridCol w:w="3486"/>
            </w:tblGrid>
            <w:tr>
              <w:tc>
                <w:tcPr>
                  <w:tcW w:type="dxa" w:w="34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" w:type="dxa"/>
                    <w:start w:w="20" w:type="dxa"/>
                    <w:bottom w:w="10" w:type="dxa"/>
                    <w:end w:w="20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1098101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firma_kevin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109810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/>
                      <w:b w:val="0"/>
                      <w:color w:val="000000"/>
                      <w:sz w:val="14"/>
                    </w:rPr>
                    <w:t>________________________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14"/>
                    </w:rPr>
                    <w:t>Kevin Osmar Valdez Meza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/>
                      <w:b w:val="0"/>
                      <w:color w:val="000000"/>
                      <w:sz w:val="13"/>
                    </w:rPr>
                    <w:t>Líder del Proyecto</w:t>
                  </w:r>
                </w:p>
              </w:tc>
              <w:tc>
                <w:tcPr>
                  <w:tcW w:type="dxa" w:w="34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" w:type="dxa"/>
                    <w:start w:w="20" w:type="dxa"/>
                    <w:bottom w:w="10" w:type="dxa"/>
                    <w:end w:w="20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347472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firma_mariana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34747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/>
                      <w:b w:val="0"/>
                      <w:color w:val="000000"/>
                      <w:sz w:val="14"/>
                    </w:rPr>
                    <w:t>________________________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14"/>
                    </w:rPr>
                    <w:t>Mariana Fernanda López Torres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/>
                      <w:b w:val="0"/>
                      <w:color w:val="000000"/>
                      <w:sz w:val="13"/>
                    </w:rPr>
                    <w:t>Participante clave</w:t>
                  </w:r>
                </w:p>
              </w:tc>
              <w:tc>
                <w:tcPr>
                  <w:tcW w:type="dxa" w:w="3486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" w:type="dxa"/>
                    <w:start w:w="20" w:type="dxa"/>
                    <w:bottom w:w="10" w:type="dxa"/>
                    <w:end w:w="20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380048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firma_diego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38004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/>
                      <w:b w:val="0"/>
                      <w:color w:val="000000"/>
                      <w:sz w:val="14"/>
                    </w:rPr>
                    <w:t>________________________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14"/>
                    </w:rPr>
                    <w:t>Diego Alejandro Hernández Ruiz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/>
                      <w:b w:val="0"/>
                      <w:color w:val="000000"/>
                      <w:sz w:val="13"/>
                    </w:rPr>
                    <w:t>Participante clave</w:t>
                  </w:r>
                </w:p>
              </w:tc>
            </w:tr>
          </w:tbl>
          <w:p/>
        </w:tc>
      </w:tr>
    </w:tbl>
    <w:p>
      <w:pPr>
        <w:spacing w:before="80" w:after="0" w:line="240" w:lineRule="auto"/>
        <w:jc w:val="center"/>
      </w:pPr>
      <w:r>
        <w:rPr>
          <w:rFonts w:ascii="Arial" w:hAnsi="Arial" w:eastAsia="Arial"/>
          <w:b w:val="0"/>
          <w:color w:val="666666"/>
          <w:sz w:val="14"/>
        </w:rPr>
        <w:t>Con las firmas anteriores, los asistentes confirman su participación y conformidad con los acuerdos de cierre.</w:t>
      </w:r>
    </w:p>
    <w:sectPr w:rsidR="00FC693F" w:rsidRPr="0006063C" w:rsidSect="00034616">
      <w:pgSz w:w="12240" w:h="15840"/>
      <w:pgMar w:top="576" w:right="893" w:bottom="648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doNotAutofitConstrainedTables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E5P2 Reporte de junta de cierre - HydroMate</dc:title>
  <dc:subject>EC0935 Gestión de trabajo por proyectos</dc:subject>
  <dc:creator>Kevin Osmar Valdez Meza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