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A33A" w14:textId="77777777" w:rsidR="00A34ECD" w:rsidRDefault="00A34ECD" w:rsidP="00A34ECD">
      <w:pPr>
        <w:jc w:val="both"/>
      </w:pPr>
      <w:r>
        <w:rPr>
          <w:noProof/>
        </w:rPr>
        <w:drawing>
          <wp:inline distT="0" distB="0" distL="0" distR="0" wp14:anchorId="791BE573" wp14:editId="3E3E71A0">
            <wp:extent cx="5943600" cy="3016885"/>
            <wp:effectExtent l="0" t="0" r="0" b="0"/>
            <wp:docPr id="1297604719" name="Picture 1" descr="logo vector Universidad Autónoma de Baja California (UA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1701D29F" w14:textId="77777777" w:rsidR="00A34ECD" w:rsidRDefault="00A34ECD" w:rsidP="00A34ECD">
      <w:pPr>
        <w:jc w:val="both"/>
      </w:pPr>
    </w:p>
    <w:p w14:paraId="3BF9DC7A" w14:textId="77777777" w:rsidR="00A34ECD" w:rsidRDefault="00A34ECD" w:rsidP="00A34ECD">
      <w:pPr>
        <w:jc w:val="both"/>
        <w:rPr>
          <w:rFonts w:cs="Arial"/>
          <w:b/>
          <w:bCs/>
          <w:sz w:val="48"/>
          <w:szCs w:val="48"/>
        </w:rPr>
      </w:pPr>
    </w:p>
    <w:p w14:paraId="7B8C0F6E" w14:textId="77777777" w:rsidR="00A34ECD" w:rsidRDefault="00A34ECD" w:rsidP="00A34ECD">
      <w:pPr>
        <w:jc w:val="both"/>
        <w:rPr>
          <w:rFonts w:cs="Arial"/>
          <w:b/>
          <w:bCs/>
          <w:sz w:val="48"/>
          <w:szCs w:val="48"/>
        </w:rPr>
      </w:pPr>
    </w:p>
    <w:p w14:paraId="4738EA5E" w14:textId="49EA123E" w:rsidR="00A34ECD" w:rsidRPr="00F3436D" w:rsidRDefault="00A34ECD" w:rsidP="00A34ECD">
      <w:pPr>
        <w:jc w:val="center"/>
        <w:rPr>
          <w:rFonts w:cs="Arial"/>
          <w:b/>
          <w:bCs/>
          <w:sz w:val="48"/>
          <w:szCs w:val="48"/>
          <w:lang w:val="es-MX"/>
        </w:rPr>
      </w:pPr>
      <w:r>
        <w:rPr>
          <w:rFonts w:cs="Arial" w:ascii="Arial" w:hAnsi="Arial"/>
          <w:b/>
          <w:bCs/>
          <w:color w:val="000000"/>
          <w:sz w:val="48"/>
          <w:szCs w:val="48"/>
          <w:lang w:val="es-MX"/>
        </w:rPr>
        <w:t>Proyecto de Carrera</w:t>
      </w:r>
    </w:p>
    <w:p w14:paraId="6D83F847" w14:textId="4F86B035" w:rsidR="00A34ECD" w:rsidRDefault="00A34ECD" w:rsidP="00A34ECD">
      <w:pPr>
        <w:jc w:val="center"/>
        <w:rPr>
          <w:rFonts w:cs="Arial"/>
          <w:sz w:val="40"/>
          <w:szCs w:val="40"/>
          <w:lang w:val="es-MX"/>
        </w:rPr>
      </w:pPr>
      <w:r>
        <w:rPr>
          <w:rFonts w:cs="Arial" w:ascii="Arial" w:hAnsi="Arial"/>
          <w:color w:val="000000"/>
          <w:sz w:val="36"/>
          <w:szCs w:val="40"/>
          <w:lang w:val="es-MX"/>
        </w:rPr>
        <w:t>Taller 4 – Análisis de alternativas y selección de solución</w:t>
      </w:r>
      <w:r>
        <w:rPr>
          <w:rFonts w:cs="Arial"/>
          <w:sz w:val="40"/>
          <w:szCs w:val="40"/>
          <w:lang w:val="es-MX"/>
        </w:rPr>
      </w:r>
      <w:r>
        <w:rPr>
          <w:rFonts w:cs="Arial"/>
          <w:sz w:val="40"/>
          <w:szCs w:val="40"/>
          <w:lang w:val="es-MX"/>
        </w:rPr>
      </w:r>
    </w:p>
    <w:p w14:paraId="7AD8BDB7" w14:textId="77777777" w:rsidR="00A34ECD" w:rsidRDefault="00A34ECD" w:rsidP="00A34ECD">
      <w:pPr>
        <w:jc w:val="center"/>
        <w:rPr>
          <w:rFonts w:cs="Arial"/>
          <w:sz w:val="40"/>
          <w:szCs w:val="40"/>
          <w:lang w:val="es-MX"/>
        </w:rPr>
      </w:pPr>
    </w:p>
    <w:p w14:paraId="67F3147B" w14:textId="77777777" w:rsidR="00A34ECD" w:rsidRDefault="00A34ECD" w:rsidP="00A34ECD">
      <w:pPr>
        <w:jc w:val="center"/>
        <w:rPr>
          <w:rFonts w:cs="Arial"/>
          <w:sz w:val="40"/>
          <w:szCs w:val="40"/>
          <w:lang w:val="es-MX"/>
        </w:rPr>
      </w:pPr>
    </w:p>
    <w:p w14:paraId="7365AE63" w14:textId="77777777" w:rsidR="00A34ECD" w:rsidRDefault="00A34ECD" w:rsidP="00A34ECD">
      <w:pPr>
        <w:jc w:val="center"/>
        <w:rPr>
          <w:rFonts w:cs="Arial"/>
          <w:sz w:val="40"/>
          <w:szCs w:val="40"/>
          <w:lang w:val="es-MX"/>
        </w:rPr>
      </w:pPr>
    </w:p>
    <w:p w14:paraId="1EE007E6" w14:textId="77777777" w:rsidR="00A34ECD" w:rsidRDefault="00A34ECD" w:rsidP="00A34ECD">
      <w:pPr>
        <w:rPr>
          <w:rFonts w:cs="Arial"/>
          <w:sz w:val="40"/>
          <w:szCs w:val="40"/>
          <w:lang w:val="es-MX"/>
        </w:rPr>
      </w:pPr>
      <w:r>
        <w:rPr>
          <w:rFonts w:cs="Arial" w:ascii="Arial" w:hAnsi="Arial"/>
          <w:color w:val="000000"/>
          <w:sz w:val="40"/>
          <w:szCs w:val="40"/>
          <w:lang w:val="es-MX"/>
        </w:rPr>
        <w:t>Valdez Meza Kevin Osmar</w:t>
      </w:r>
    </w:p>
    <w:p w14:paraId="139BC6D1" w14:textId="77777777" w:rsidR="00A34ECD" w:rsidRDefault="00A34ECD" w:rsidP="00A34ECD">
      <w:pPr>
        <w:rPr>
          <w:rFonts w:cs="Arial"/>
          <w:sz w:val="40"/>
          <w:szCs w:val="40"/>
          <w:lang w:val="es-MX"/>
        </w:rPr>
      </w:pPr>
      <w:r>
        <w:rPr>
          <w:rFonts w:cs="Arial" w:ascii="Arial" w:hAnsi="Arial"/>
          <w:color w:val="000000"/>
          <w:sz w:val="40"/>
          <w:szCs w:val="40"/>
          <w:lang w:val="es-MX"/>
        </w:rPr>
        <w:t>1288703</w:t>
      </w:r>
    </w:p>
    <w:p w14:paraId="5A27059C" w14:textId="77777777" w:rsidR="00A34ECD" w:rsidRDefault="00A34ECD" w:rsidP="00A34ECD">
      <w:pPr>
        <w:jc w:val="both"/>
        <w:rPr>
          <w:rFonts w:cs="Arial"/>
          <w:lang w:val="es-MX"/>
        </w:rPr>
      </w:pPr>
    </w:p>
    <w:p w14:paraId="260F08AA" w14:textId="36AA2DD3" w:rsidR="00A34ECD" w:rsidRDefault="00A34ECD" w:rsidP="00A34ECD">
      <w:pPr>
        <w:tabs>
          <w:tab w:val="left" w:pos="2460"/>
        </w:tabs>
        <w:jc w:val="right"/>
        <w:rPr>
          <w:rFonts w:cs="Arial"/>
          <w:lang w:val="es-MX"/>
        </w:rPr>
      </w:pPr>
      <w:r>
        <w:rPr>
          <w:rFonts w:cs="Arial" w:ascii="Arial" w:hAnsi="Arial"/>
          <w:color w:val="000000"/>
          <w:sz w:val="22"/>
          <w:lang w:val="es-MX"/>
        </w:rPr>
        <w:t>9 – Septiembre – 2026</w:t>
      </w:r>
      <w:r>
        <w:rPr>
          <w:rFonts w:cs="Arial"/>
          <w:lang w:val="es-MX"/>
        </w:rPr>
      </w:r>
    </w:p>
    <w:p w14:paraId="073FF772" w14:textId="77777777" w:rsidR="00106F59" w:rsidRPr="00A34ECD" w:rsidRDefault="00000000">
      <w:pPr>
        <w:rPr>
          <w:lang w:val="es-MX"/>
        </w:rPr>
      </w:pPr>
      <w:r w:rsidRPr="00A34ECD">
        <w:rPr>
          <w:lang w:val="es-MX"/>
        </w:rPr>
        <w:br w:type="page"/>
      </w:r>
    </w:p>
    <w:p>
      <w:pPr>
        <w:spacing w:before="160" w:after="80"/>
      </w:pPr>
      <w:r>
        <w:rPr>
          <w:rFonts w:ascii="Arial" w:hAnsi="Arial"/>
          <w:b/>
          <w:i w:val="0"/>
          <w:color w:val="000000"/>
          <w:sz w:val="28"/>
        </w:rPr>
        <w:t>1. Propósito del análisis</w:t>
      </w:r>
    </w:p>
    <w:p>
      <w:pPr>
        <w:spacing w:after="80"/>
      </w:pPr>
      <w:r>
        <w:rPr>
          <w:rFonts w:ascii="Arial" w:hAnsi="Arial"/>
          <w:b w:val="0"/>
          <w:i w:val="0"/>
          <w:color w:val="000000"/>
          <w:sz w:val="21"/>
        </w:rPr>
        <w:t>El objetivo de este documento es comparar dos arquitecturas técnicas completas para HydroMate y seleccionar la que mejor cumple el alcance aprobado del proyecto. La selección considera desempeño técnico, confiabilidad, costo, tiempo, seguridad, mantenimiento, escalabilidad y viabilidad dentro del semestre. Las calificaciones de la matriz son una evaluación de ingeniería específica para este prototipo; no pretenden establecer que una plataforma sea universalmente superior a otra.</w:t>
      </w:r>
    </w:p>
    <w:p>
      <w:pPr>
        <w:spacing w:before="100" w:after="80"/>
      </w:pPr>
      <w:r>
        <w:rPr>
          <w:rFonts w:ascii="Arial" w:hAnsi="Arial"/>
          <w:b/>
          <w:i w:val="0"/>
          <w:color w:val="000000"/>
          <w:sz w:val="23"/>
        </w:rPr>
        <w:t>1.1 Alcance técnico actualizado</w:t>
      </w:r>
    </w:p>
    <w:p>
      <w:pPr>
        <w:spacing w:after="20"/>
        <w:ind w:left="389" w:hanging="230"/>
      </w:pPr>
      <w:r>
        <w:rPr>
          <w:rFonts w:ascii="Arial" w:hAnsi="Arial"/>
          <w:b w:val="0"/>
          <w:i w:val="0"/>
          <w:color w:val="000000"/>
          <w:sz w:val="20"/>
        </w:rPr>
        <w:t>• Torre hidropónica vertical de PVC moldeado, depósito recirculante y cultivo objetivo de jalapeño, serrano y chiltepín.</w:t>
      </w:r>
    </w:p>
    <w:p>
      <w:pPr>
        <w:spacing w:after="20"/>
        <w:ind w:left="389" w:hanging="230"/>
      </w:pPr>
      <w:r>
        <w:rPr>
          <w:rFonts w:ascii="Arial" w:hAnsi="Arial"/>
          <w:b w:val="0"/>
          <w:i w:val="0"/>
          <w:color w:val="000000"/>
          <w:sz w:val="20"/>
        </w:rPr>
        <w:t>• Monitoreo de nivel de agua, temperatura de la solución, pH, TDS, intensidad luminosa y consumo eléctrico.</w:t>
      </w:r>
    </w:p>
    <w:p>
      <w:pPr>
        <w:spacing w:after="20"/>
        <w:ind w:left="389" w:hanging="230"/>
      </w:pPr>
      <w:r>
        <w:rPr>
          <w:rFonts w:ascii="Arial" w:hAnsi="Arial"/>
          <w:b w:val="0"/>
          <w:i w:val="0"/>
          <w:color w:val="000000"/>
          <w:sz w:val="20"/>
        </w:rPr>
        <w:t>• Automatización de riego/recirculación, iluminación complementaria, Nutriente A, Nutriente B, pH Up y pH Down.</w:t>
      </w:r>
    </w:p>
    <w:p>
      <w:pPr>
        <w:spacing w:after="20"/>
        <w:ind w:left="389" w:hanging="230"/>
      </w:pPr>
      <w:r>
        <w:rPr>
          <w:rFonts w:ascii="Arial" w:hAnsi="Arial"/>
          <w:b w:val="0"/>
          <w:i w:val="0"/>
          <w:color w:val="000000"/>
          <w:sz w:val="20"/>
        </w:rPr>
        <w:t>• Control crítico local con reglas de seguridad, aun si se pierde Internet.</w:t>
      </w:r>
    </w:p>
    <w:p>
      <w:pPr>
        <w:spacing w:after="20"/>
        <w:ind w:left="389" w:hanging="230"/>
      </w:pPr>
      <w:r>
        <w:rPr>
          <w:rFonts w:ascii="Arial" w:hAnsi="Arial"/>
          <w:b w:val="0"/>
          <w:i w:val="0"/>
          <w:color w:val="000000"/>
          <w:sz w:val="20"/>
        </w:rPr>
        <w:t>• Backend Laravel, PostgreSQL, aplicación Android y notificaciones.</w:t>
      </w:r>
    </w:p>
    <w:p>
      <w:pPr>
        <w:spacing w:after="20"/>
        <w:ind w:left="389" w:hanging="230"/>
      </w:pPr>
      <w:r>
        <w:rPr>
          <w:rFonts w:ascii="Arial" w:hAnsi="Arial"/>
          <w:b w:val="0"/>
          <w:i w:val="0"/>
          <w:color w:val="000000"/>
          <w:sz w:val="20"/>
        </w:rPr>
        <w:t>• Perfiles de cultivo predeterminados y personalizados; los usuarios podrán publicar perfiles, consultar perfiles públicos y clonar uno a su biblioteca.</w:t>
      </w:r>
    </w:p>
    <w:p>
      <w:pPr>
        <w:spacing w:after="20"/>
        <w:ind w:left="389" w:hanging="230"/>
      </w:pPr>
      <w:r>
        <w:rPr>
          <w:rFonts w:ascii="Arial" w:hAnsi="Arial"/>
          <w:b w:val="0"/>
          <w:i w:val="0"/>
          <w:color w:val="000000"/>
          <w:sz w:val="20"/>
        </w:rPr>
        <w:t>• Validación biológica planificada mediante comparación con plantas testigo en maceta y registro cuantitativo del desarrollo vegetal.</w:t>
      </w:r>
    </w:p>
    <w:p>
      <w:pPr>
        <w:spacing w:after="20"/>
        <w:ind w:left="389" w:hanging="230"/>
      </w:pPr>
      <w:r>
        <w:rPr>
          <w:rFonts w:ascii="Arial" w:hAnsi="Arial"/>
          <w:b w:val="0"/>
          <w:i w:val="0"/>
          <w:color w:val="000000"/>
          <w:sz w:val="20"/>
        </w:rPr>
        <w:t>• Etapas automáticas de cultivo, llenado automático, cámara/visión artificial e implementación industrial quedan fuera de la primera versión.</w:t>
      </w:r>
    </w:p>
    <w:p>
      <w:pPr>
        <w:spacing w:before="160" w:after="80"/>
      </w:pPr>
      <w:r>
        <w:rPr>
          <w:rFonts w:ascii="Arial" w:hAnsi="Arial"/>
          <w:b/>
          <w:i w:val="0"/>
          <w:color w:val="000000"/>
          <w:sz w:val="28"/>
        </w:rPr>
        <w:t>2. Alternativas técnicas completas</w:t>
      </w:r>
    </w:p>
    <w:p>
      <w:pPr>
        <w:spacing w:before="100" w:after="80"/>
      </w:pPr>
      <w:r>
        <w:rPr>
          <w:rFonts w:ascii="Arial" w:hAnsi="Arial"/>
          <w:b/>
          <w:i w:val="0"/>
          <w:color w:val="000000"/>
          <w:sz w:val="23"/>
        </w:rPr>
        <w:t>2.1 Alternativa A: ESP32 + procesamiento externo</w:t>
      </w:r>
    </w:p>
    <w:p>
      <w:pPr>
        <w:spacing w:after="80"/>
      </w:pPr>
      <w:r>
        <w:rPr>
          <w:rFonts w:ascii="Arial" w:hAnsi="Arial"/>
          <w:b w:val="0"/>
          <w:i w:val="0"/>
          <w:color w:val="000000"/>
          <w:sz w:val="21"/>
        </w:rPr>
        <w:t>El ESP32 funciona como módulo de adquisición y control local. Lee sensores, aplica protecciones, ejecuta riego, iluminación y dosificación, conserva el perfil activo y mantiene el sistema en estado seguro sin conexión. El procesamiento no crítico, el historial, la administración de usuarios, los perfiles compartidos y el análisis de experimentos se realizan fuera del dispositivo, en una PC durante desarrollo o en un VPS para acceso remoto. El ESP32 dispone de Wi-Fi, Bluetooth/BLE, GPIO, ADC y buses como I2C/SPI/UART [1].</w:t>
      </w:r>
    </w:p>
    <w:p>
      <w:pPr>
        <w:spacing w:before="60" w:after="120"/>
        <w:jc w:val="center"/>
      </w:pPr>
      <w:r>
        <w:drawing>
          <wp:inline xmlns:a="http://schemas.openxmlformats.org/drawingml/2006/main" xmlns:pic="http://schemas.openxmlformats.org/drawingml/2006/picture">
            <wp:extent cx="5806440" cy="3290316"/>
            <wp:docPr id="1297604724" name="Picture 1297604724"/>
            <wp:cNvGraphicFramePr>
              <a:graphicFrameLocks noChangeAspect="1"/>
            </wp:cNvGraphicFramePr>
            <a:graphic>
              <a:graphicData uri="http://schemas.openxmlformats.org/drawingml/2006/picture">
                <pic:pic>
                  <pic:nvPicPr>
                    <pic:cNvPr id="0" name="alternativa_A_ESP32_final.png"/>
                    <pic:cNvPicPr/>
                  </pic:nvPicPr>
                  <pic:blipFill>
                    <a:blip r:embed="rId13"/>
                    <a:stretch>
                      <a:fillRect/>
                    </a:stretch>
                  </pic:blipFill>
                  <pic:spPr>
                    <a:xfrm>
                      <a:off x="0" y="0"/>
                      <a:ext cx="5806440" cy="3290316"/>
                    </a:xfrm>
                    <a:prstGeom prst="rect"/>
                  </pic:spPr>
                </pic:pic>
              </a:graphicData>
            </a:graphic>
          </wp:inline>
        </w:drawing>
      </w:r>
    </w:p>
    <w:p>
      <w:pPr>
        <w:spacing w:before="100" w:after="80"/>
      </w:pPr>
      <w:r>
        <w:rPr>
          <w:rFonts w:ascii="Arial" w:hAnsi="Arial"/>
          <w:b/>
          <w:i w:val="0"/>
          <w:color w:val="000000"/>
          <w:sz w:val="23"/>
        </w:rPr>
        <w:t>2.2 Alternativa B: Raspberry Pi Zero 2 W como controlador principal</w:t>
      </w:r>
    </w:p>
    <w:p>
      <w:pPr>
        <w:spacing w:after="80"/>
      </w:pPr>
      <w:r>
        <w:rPr>
          <w:rFonts w:ascii="Arial" w:hAnsi="Arial"/>
          <w:b w:val="0"/>
          <w:i w:val="0"/>
          <w:color w:val="000000"/>
          <w:sz w:val="21"/>
        </w:rPr>
        <w:t>La Raspberry Pi Zero 2 W sustituye al ESP32 como controlador principal y ejecuta Linux. Su CPU de cuatro núcleos a 1 GHz y 512 MB de RAM permiten alojar servicios locales y procesamiento de mayor nivel; incorpora Wi-Fi y BLE [2]. Para las señales analógicas de pH y TDS se mantendría un ADC externo, ya que sus GPIO se documentan como entradas/salidas digitales y buses de periféricos [3]. La nube seguiría utilizándose para acceso remoto, respaldo y funciones sociales.</w:t>
      </w:r>
    </w:p>
    <w:p>
      <w:pPr>
        <w:spacing w:before="60" w:after="120"/>
        <w:jc w:val="center"/>
      </w:pPr>
      <w:r>
        <w:drawing>
          <wp:inline xmlns:a="http://schemas.openxmlformats.org/drawingml/2006/main" xmlns:pic="http://schemas.openxmlformats.org/drawingml/2006/picture">
            <wp:extent cx="5806440" cy="3290316"/>
            <wp:docPr id="1297604725" name="Picture 1297604725"/>
            <wp:cNvGraphicFramePr>
              <a:graphicFrameLocks noChangeAspect="1"/>
            </wp:cNvGraphicFramePr>
            <a:graphic>
              <a:graphicData uri="http://schemas.openxmlformats.org/drawingml/2006/picture">
                <pic:pic>
                  <pic:nvPicPr>
                    <pic:cNvPr id="0" name="alternativa_B_RPi_final.png"/>
                    <pic:cNvPicPr/>
                  </pic:nvPicPr>
                  <pic:blipFill>
                    <a:blip r:embed="rId14"/>
                    <a:stretch>
                      <a:fillRect/>
                    </a:stretch>
                  </pic:blipFill>
                  <pic:spPr>
                    <a:xfrm>
                      <a:off x="0" y="0"/>
                      <a:ext cx="5806440" cy="3290316"/>
                    </a:xfrm>
                    <a:prstGeom prst="rect"/>
                  </pic:spPr>
                </pic:pic>
              </a:graphicData>
            </a:graphic>
          </wp:inline>
        </w:drawing>
      </w:r>
    </w:p>
    <w:p>
      <w:pPr>
        <w:spacing w:before="100" w:after="80"/>
      </w:pPr>
      <w:r>
        <w:rPr>
          <w:rFonts w:ascii="Arial" w:hAnsi="Arial"/>
          <w:b/>
          <w:i w:val="0"/>
          <w:color w:val="000000"/>
          <w:sz w:val="23"/>
        </w:rPr>
        <w:t>2.3 Comparación integral de arquitectura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shd w:fill="E7E7E7"/>
          </w:tcPr>
          <w:p>
            <w:pPr>
              <w:spacing w:after="0"/>
              <w:jc w:val="center"/>
            </w:pPr>
            <w:r/>
            <w:r>
              <w:rPr>
                <w:rFonts w:ascii="Arial" w:hAnsi="Arial"/>
                <w:b/>
                <w:i w:val="0"/>
                <w:color w:val="000000"/>
                <w:sz w:val="16"/>
              </w:rPr>
              <w:t>Aspecto</w:t>
            </w:r>
          </w:p>
        </w:tc>
        <w:tc>
          <w:tcPr>
            <w:tcW w:type="dxa" w:w="3672"/>
            <w:vAlign w:val="center"/>
            <w:shd w:fill="E7E7E7"/>
          </w:tcPr>
          <w:p>
            <w:pPr>
              <w:spacing w:after="0"/>
              <w:jc w:val="center"/>
            </w:pPr>
            <w:r/>
            <w:r>
              <w:rPr>
                <w:rFonts w:ascii="Arial" w:hAnsi="Arial"/>
                <w:b/>
                <w:i w:val="0"/>
                <w:color w:val="000000"/>
                <w:sz w:val="16"/>
              </w:rPr>
              <w:t>Alternativa A: ESP32 + servidor</w:t>
            </w:r>
          </w:p>
        </w:tc>
        <w:tc>
          <w:tcPr>
            <w:tcW w:type="dxa" w:w="3672"/>
            <w:vAlign w:val="center"/>
            <w:shd w:fill="E7E7E7"/>
          </w:tcPr>
          <w:p>
            <w:pPr>
              <w:spacing w:after="0"/>
              <w:jc w:val="center"/>
            </w:pPr>
            <w:r/>
            <w:r>
              <w:rPr>
                <w:rFonts w:ascii="Arial" w:hAnsi="Arial"/>
                <w:b/>
                <w:i w:val="0"/>
                <w:color w:val="000000"/>
                <w:sz w:val="16"/>
              </w:rPr>
              <w:t>Alternativa B: Raspberry Pi Zero 2 W</w:t>
            </w:r>
          </w:p>
        </w:tc>
      </w:tr>
      <w:tr>
        <w:trPr>
          <w:cantSplit/>
        </w:trPr>
        <w:tc>
          <w:tcPr>
            <w:tcW w:type="dxa" w:w="1800"/>
            <w:vAlign w:val="center"/>
          </w:tcPr>
          <w:p>
            <w:pPr>
              <w:spacing w:after="0"/>
              <w:jc w:val="left"/>
            </w:pPr>
            <w:r/>
            <w:r>
              <w:rPr>
                <w:rFonts w:ascii="Arial" w:hAnsi="Arial"/>
                <w:b w:val="0"/>
                <w:i w:val="0"/>
                <w:color w:val="000000"/>
                <w:sz w:val="15"/>
              </w:rPr>
              <w:t>Sistema embebido</w:t>
            </w:r>
          </w:p>
        </w:tc>
        <w:tc>
          <w:tcPr>
            <w:tcW w:type="dxa" w:w="3672"/>
            <w:vAlign w:val="center"/>
          </w:tcPr>
          <w:p>
            <w:pPr>
              <w:spacing w:after="0"/>
              <w:jc w:val="left"/>
            </w:pPr>
            <w:r/>
            <w:r>
              <w:rPr>
                <w:rFonts w:ascii="Arial" w:hAnsi="Arial"/>
                <w:b w:val="0"/>
                <w:i w:val="0"/>
                <w:color w:val="000000"/>
                <w:sz w:val="14"/>
              </w:rPr>
              <w:t>ESP32 DevKit V1; MCU dedicado al control local.</w:t>
            </w:r>
          </w:p>
        </w:tc>
        <w:tc>
          <w:tcPr>
            <w:tcW w:type="dxa" w:w="3672"/>
            <w:vAlign w:val="center"/>
          </w:tcPr>
          <w:p>
            <w:pPr>
              <w:spacing w:after="0"/>
              <w:jc w:val="left"/>
            </w:pPr>
            <w:r/>
            <w:r>
              <w:rPr>
                <w:rFonts w:ascii="Arial" w:hAnsi="Arial"/>
                <w:b w:val="0"/>
                <w:i w:val="0"/>
                <w:color w:val="000000"/>
                <w:sz w:val="14"/>
              </w:rPr>
              <w:t>Raspberry Pi Zero 2 W; computadora Linux de propósito general.</w:t>
            </w:r>
          </w:p>
        </w:tc>
      </w:tr>
      <w:tr>
        <w:trPr>
          <w:cantSplit/>
        </w:trPr>
        <w:tc>
          <w:tcPr>
            <w:tcW w:type="dxa" w:w="1800"/>
            <w:vAlign w:val="center"/>
          </w:tcPr>
          <w:p>
            <w:pPr>
              <w:spacing w:after="0"/>
              <w:jc w:val="left"/>
            </w:pPr>
            <w:r/>
            <w:r>
              <w:rPr>
                <w:rFonts w:ascii="Arial" w:hAnsi="Arial"/>
                <w:b w:val="0"/>
                <w:i w:val="0"/>
                <w:color w:val="000000"/>
                <w:sz w:val="15"/>
              </w:rPr>
              <w:t>Sensores</w:t>
            </w:r>
          </w:p>
        </w:tc>
        <w:tc>
          <w:tcPr>
            <w:tcW w:type="dxa" w:w="3672"/>
            <w:vAlign w:val="center"/>
          </w:tcPr>
          <w:p>
            <w:pPr>
              <w:spacing w:after="0"/>
              <w:jc w:val="left"/>
            </w:pPr>
            <w:r/>
            <w:r>
              <w:rPr>
                <w:rFonts w:ascii="Arial" w:hAnsi="Arial"/>
                <w:b w:val="0"/>
                <w:i w:val="0"/>
                <w:color w:val="000000"/>
                <w:sz w:val="14"/>
              </w:rPr>
              <w:t>Nivel, DS18B20, pH, TDS, BH1750, INA219; ADS1115 para analógicos.</w:t>
            </w:r>
          </w:p>
        </w:tc>
        <w:tc>
          <w:tcPr>
            <w:tcW w:type="dxa" w:w="3672"/>
            <w:vAlign w:val="center"/>
          </w:tcPr>
          <w:p>
            <w:pPr>
              <w:spacing w:after="0"/>
              <w:jc w:val="left"/>
            </w:pPr>
            <w:r/>
            <w:r>
              <w:rPr>
                <w:rFonts w:ascii="Arial" w:hAnsi="Arial"/>
                <w:b w:val="0"/>
                <w:i w:val="0"/>
                <w:color w:val="000000"/>
                <w:sz w:val="14"/>
              </w:rPr>
              <w:t>Mismos sensores; ADS1115 requerido para pH/TDS analógicos.</w:t>
            </w:r>
          </w:p>
        </w:tc>
      </w:tr>
      <w:tr>
        <w:trPr>
          <w:cantSplit/>
        </w:trPr>
        <w:tc>
          <w:tcPr>
            <w:tcW w:type="dxa" w:w="1800"/>
            <w:vAlign w:val="center"/>
          </w:tcPr>
          <w:p>
            <w:pPr>
              <w:spacing w:after="0"/>
              <w:jc w:val="left"/>
            </w:pPr>
            <w:r/>
            <w:r>
              <w:rPr>
                <w:rFonts w:ascii="Arial" w:hAnsi="Arial"/>
                <w:b w:val="0"/>
                <w:i w:val="0"/>
                <w:color w:val="000000"/>
                <w:sz w:val="15"/>
              </w:rPr>
              <w:t>Actuadores</w:t>
            </w:r>
          </w:p>
        </w:tc>
        <w:tc>
          <w:tcPr>
            <w:tcW w:type="dxa" w:w="3672"/>
            <w:vAlign w:val="center"/>
          </w:tcPr>
          <w:p>
            <w:pPr>
              <w:spacing w:after="0"/>
              <w:jc w:val="left"/>
            </w:pPr>
            <w:r/>
            <w:r>
              <w:rPr>
                <w:rFonts w:ascii="Arial" w:hAnsi="Arial"/>
                <w:b w:val="0"/>
                <w:i w:val="0"/>
                <w:color w:val="000000"/>
                <w:sz w:val="14"/>
              </w:rPr>
              <w:t>Bomba principal, 4 peristálticas, iluminación, LED/buzzer mediante MOSFET/relé.</w:t>
            </w:r>
          </w:p>
        </w:tc>
        <w:tc>
          <w:tcPr>
            <w:tcW w:type="dxa" w:w="3672"/>
            <w:vAlign w:val="center"/>
          </w:tcPr>
          <w:p>
            <w:pPr>
              <w:spacing w:after="0"/>
              <w:jc w:val="left"/>
            </w:pPr>
            <w:r/>
            <w:r>
              <w:rPr>
                <w:rFonts w:ascii="Arial" w:hAnsi="Arial"/>
                <w:b w:val="0"/>
                <w:i w:val="0"/>
                <w:color w:val="000000"/>
                <w:sz w:val="14"/>
              </w:rPr>
              <w:t>Mismos actuadores mediante drivers externos.</w:t>
            </w:r>
          </w:p>
        </w:tc>
      </w:tr>
      <w:tr>
        <w:trPr>
          <w:cantSplit/>
        </w:trPr>
        <w:tc>
          <w:tcPr>
            <w:tcW w:type="dxa" w:w="1800"/>
            <w:vAlign w:val="center"/>
          </w:tcPr>
          <w:p>
            <w:pPr>
              <w:spacing w:after="0"/>
              <w:jc w:val="left"/>
            </w:pPr>
            <w:r/>
            <w:r>
              <w:rPr>
                <w:rFonts w:ascii="Arial" w:hAnsi="Arial"/>
                <w:b w:val="0"/>
                <w:i w:val="0"/>
                <w:color w:val="000000"/>
                <w:sz w:val="15"/>
              </w:rPr>
              <w:t>Comunicación</w:t>
            </w:r>
          </w:p>
        </w:tc>
        <w:tc>
          <w:tcPr>
            <w:tcW w:type="dxa" w:w="3672"/>
            <w:vAlign w:val="center"/>
          </w:tcPr>
          <w:p>
            <w:pPr>
              <w:spacing w:after="0"/>
              <w:jc w:val="left"/>
            </w:pPr>
            <w:r/>
            <w:r>
              <w:rPr>
                <w:rFonts w:ascii="Arial" w:hAnsi="Arial"/>
                <w:b w:val="0"/>
                <w:i w:val="0"/>
                <w:color w:val="000000"/>
                <w:sz w:val="14"/>
              </w:rPr>
              <w:t>BLE para alta inicial; Wi-Fi; MQTT/TLS para dispositivo.</w:t>
            </w:r>
          </w:p>
        </w:tc>
        <w:tc>
          <w:tcPr>
            <w:tcW w:type="dxa" w:w="3672"/>
            <w:vAlign w:val="center"/>
          </w:tcPr>
          <w:p>
            <w:pPr>
              <w:spacing w:after="0"/>
              <w:jc w:val="left"/>
            </w:pPr>
            <w:r/>
            <w:r>
              <w:rPr>
                <w:rFonts w:ascii="Arial" w:hAnsi="Arial"/>
                <w:b w:val="0"/>
                <w:i w:val="0"/>
                <w:color w:val="000000"/>
                <w:sz w:val="14"/>
              </w:rPr>
              <w:t>Wi-Fi/BLE; MQTT/TLS y HTTPS; puede alojar servicios locales.</w:t>
            </w:r>
          </w:p>
        </w:tc>
      </w:tr>
      <w:tr>
        <w:trPr>
          <w:cantSplit/>
        </w:trPr>
        <w:tc>
          <w:tcPr>
            <w:tcW w:type="dxa" w:w="1800"/>
            <w:vAlign w:val="center"/>
          </w:tcPr>
          <w:p>
            <w:pPr>
              <w:spacing w:after="0"/>
              <w:jc w:val="left"/>
            </w:pPr>
            <w:r/>
            <w:r>
              <w:rPr>
                <w:rFonts w:ascii="Arial" w:hAnsi="Arial"/>
                <w:b w:val="0"/>
                <w:i w:val="0"/>
                <w:color w:val="000000"/>
                <w:sz w:val="15"/>
              </w:rPr>
              <w:t>Backend / nube</w:t>
            </w:r>
          </w:p>
        </w:tc>
        <w:tc>
          <w:tcPr>
            <w:tcW w:type="dxa" w:w="3672"/>
            <w:vAlign w:val="center"/>
          </w:tcPr>
          <w:p>
            <w:pPr>
              <w:spacing w:after="0"/>
              <w:jc w:val="left"/>
            </w:pPr>
            <w:r/>
            <w:r>
              <w:rPr>
                <w:rFonts w:ascii="Arial" w:hAnsi="Arial"/>
                <w:b w:val="0"/>
                <w:i w:val="0"/>
                <w:color w:val="000000"/>
                <w:sz w:val="14"/>
              </w:rPr>
              <w:t>Laravel + Mosquitto en PC/VPS; el ESP32 no aloja el backend.</w:t>
            </w:r>
          </w:p>
        </w:tc>
        <w:tc>
          <w:tcPr>
            <w:tcW w:type="dxa" w:w="3672"/>
            <w:vAlign w:val="center"/>
          </w:tcPr>
          <w:p>
            <w:pPr>
              <w:spacing w:after="0"/>
              <w:jc w:val="left"/>
            </w:pPr>
            <w:r/>
            <w:r>
              <w:rPr>
                <w:rFonts w:ascii="Arial" w:hAnsi="Arial"/>
                <w:b w:val="0"/>
                <w:i w:val="0"/>
                <w:color w:val="000000"/>
                <w:sz w:val="14"/>
              </w:rPr>
              <w:t>Puede ejecutar servicios locales, pero se mantiene Laravel externo para acceso remoto.</w:t>
            </w:r>
          </w:p>
        </w:tc>
      </w:tr>
      <w:tr>
        <w:trPr>
          <w:cantSplit/>
        </w:trPr>
        <w:tc>
          <w:tcPr>
            <w:tcW w:type="dxa" w:w="1800"/>
            <w:vAlign w:val="center"/>
          </w:tcPr>
          <w:p>
            <w:pPr>
              <w:spacing w:after="0"/>
              <w:jc w:val="left"/>
            </w:pPr>
            <w:r/>
            <w:r>
              <w:rPr>
                <w:rFonts w:ascii="Arial" w:hAnsi="Arial"/>
                <w:b w:val="0"/>
                <w:i w:val="0"/>
                <w:color w:val="000000"/>
                <w:sz w:val="15"/>
              </w:rPr>
              <w:t>Base de datos</w:t>
            </w:r>
          </w:p>
        </w:tc>
        <w:tc>
          <w:tcPr>
            <w:tcW w:type="dxa" w:w="3672"/>
            <w:vAlign w:val="center"/>
          </w:tcPr>
          <w:p>
            <w:pPr>
              <w:spacing w:after="0"/>
              <w:jc w:val="left"/>
            </w:pPr>
            <w:r/>
            <w:r>
              <w:rPr>
                <w:rFonts w:ascii="Arial" w:hAnsi="Arial"/>
                <w:b w:val="0"/>
                <w:i w:val="0"/>
                <w:color w:val="000000"/>
                <w:sz w:val="14"/>
              </w:rPr>
              <w:t>PostgreSQL en servidor externo.</w:t>
            </w:r>
          </w:p>
        </w:tc>
        <w:tc>
          <w:tcPr>
            <w:tcW w:type="dxa" w:w="3672"/>
            <w:vAlign w:val="center"/>
          </w:tcPr>
          <w:p>
            <w:pPr>
              <w:spacing w:after="0"/>
              <w:jc w:val="left"/>
            </w:pPr>
            <w:r/>
            <w:r>
              <w:rPr>
                <w:rFonts w:ascii="Arial" w:hAnsi="Arial"/>
                <w:b w:val="0"/>
                <w:i w:val="0"/>
                <w:color w:val="000000"/>
                <w:sz w:val="14"/>
              </w:rPr>
              <w:t>PostgreSQL externo; opcionalmente caché SQLite/local.</w:t>
            </w:r>
          </w:p>
        </w:tc>
      </w:tr>
      <w:tr>
        <w:trPr>
          <w:cantSplit/>
        </w:trPr>
        <w:tc>
          <w:tcPr>
            <w:tcW w:type="dxa" w:w="1800"/>
            <w:vAlign w:val="center"/>
          </w:tcPr>
          <w:p>
            <w:pPr>
              <w:spacing w:after="0"/>
              <w:jc w:val="left"/>
            </w:pPr>
            <w:r/>
            <w:r>
              <w:rPr>
                <w:rFonts w:ascii="Arial" w:hAnsi="Arial"/>
                <w:b w:val="0"/>
                <w:i w:val="0"/>
                <w:color w:val="000000"/>
                <w:sz w:val="15"/>
              </w:rPr>
              <w:t>Frontend</w:t>
            </w:r>
          </w:p>
        </w:tc>
        <w:tc>
          <w:tcPr>
            <w:tcW w:type="dxa" w:w="3672"/>
            <w:vAlign w:val="center"/>
          </w:tcPr>
          <w:p>
            <w:pPr>
              <w:spacing w:after="0"/>
              <w:jc w:val="left"/>
            </w:pPr>
            <w:r/>
            <w:r>
              <w:rPr>
                <w:rFonts w:ascii="Arial" w:hAnsi="Arial"/>
                <w:b w:val="0"/>
                <w:i w:val="0"/>
                <w:color w:val="000000"/>
                <w:sz w:val="14"/>
              </w:rPr>
              <w:t>App Android nativa por HTTPS/REST.</w:t>
            </w:r>
          </w:p>
        </w:tc>
        <w:tc>
          <w:tcPr>
            <w:tcW w:type="dxa" w:w="3672"/>
            <w:vAlign w:val="center"/>
          </w:tcPr>
          <w:p>
            <w:pPr>
              <w:spacing w:after="0"/>
              <w:jc w:val="left"/>
            </w:pPr>
            <w:r/>
            <w:r>
              <w:rPr>
                <w:rFonts w:ascii="Arial" w:hAnsi="Arial"/>
                <w:b w:val="0"/>
                <w:i w:val="0"/>
                <w:color w:val="000000"/>
                <w:sz w:val="14"/>
              </w:rPr>
              <w:t>App Android nativa por HTTPS/REST.</w:t>
            </w:r>
          </w:p>
        </w:tc>
      </w:tr>
      <w:tr>
        <w:trPr>
          <w:cantSplit/>
        </w:trPr>
        <w:tc>
          <w:tcPr>
            <w:tcW w:type="dxa" w:w="1800"/>
            <w:vAlign w:val="center"/>
          </w:tcPr>
          <w:p>
            <w:pPr>
              <w:spacing w:after="0"/>
              <w:jc w:val="left"/>
            </w:pPr>
            <w:r/>
            <w:r>
              <w:rPr>
                <w:rFonts w:ascii="Arial" w:hAnsi="Arial"/>
                <w:b w:val="0"/>
                <w:i w:val="0"/>
                <w:color w:val="000000"/>
                <w:sz w:val="15"/>
              </w:rPr>
              <w:t>Costo del controlador</w:t>
            </w:r>
          </w:p>
        </w:tc>
        <w:tc>
          <w:tcPr>
            <w:tcW w:type="dxa" w:w="3672"/>
            <w:vAlign w:val="center"/>
          </w:tcPr>
          <w:p>
            <w:pPr>
              <w:spacing w:after="0"/>
              <w:jc w:val="left"/>
            </w:pPr>
            <w:r/>
            <w:r>
              <w:rPr>
                <w:rFonts w:ascii="Arial" w:hAnsi="Arial"/>
                <w:b w:val="0"/>
                <w:i w:val="0"/>
                <w:color w:val="000000"/>
                <w:sz w:val="14"/>
              </w:rPr>
              <w:t>ESP32 ya disponible: $0 incremental; referencia de mercado $133–146 [11].</w:t>
            </w:r>
          </w:p>
        </w:tc>
        <w:tc>
          <w:tcPr>
            <w:tcW w:type="dxa" w:w="3672"/>
            <w:vAlign w:val="center"/>
          </w:tcPr>
          <w:p>
            <w:pPr>
              <w:spacing w:after="0"/>
              <w:jc w:val="left"/>
            </w:pPr>
            <w:r/>
            <w:r>
              <w:rPr>
                <w:rFonts w:ascii="Arial" w:hAnsi="Arial"/>
                <w:b w:val="0"/>
                <w:i w:val="0"/>
                <w:color w:val="000000"/>
                <w:sz w:val="14"/>
              </w:rPr>
              <w:t>Raspberry Pi Zero 2 W: $650 y microSD/adaptadores adicionales [12].</w:t>
            </w:r>
          </w:p>
        </w:tc>
      </w:tr>
      <w:tr>
        <w:trPr>
          <w:cantSplit/>
        </w:trPr>
        <w:tc>
          <w:tcPr>
            <w:tcW w:type="dxa" w:w="1800"/>
            <w:vAlign w:val="center"/>
          </w:tcPr>
          <w:p>
            <w:pPr>
              <w:spacing w:after="0"/>
              <w:jc w:val="left"/>
            </w:pPr>
            <w:r/>
            <w:r>
              <w:rPr>
                <w:rFonts w:ascii="Arial" w:hAnsi="Arial"/>
                <w:b w:val="0"/>
                <w:i w:val="0"/>
                <w:color w:val="000000"/>
                <w:sz w:val="15"/>
              </w:rPr>
              <w:t>Complejidad</w:t>
            </w:r>
          </w:p>
        </w:tc>
        <w:tc>
          <w:tcPr>
            <w:tcW w:type="dxa" w:w="3672"/>
            <w:vAlign w:val="center"/>
          </w:tcPr>
          <w:p>
            <w:pPr>
              <w:spacing w:after="0"/>
              <w:jc w:val="left"/>
            </w:pPr>
            <w:r/>
            <w:r>
              <w:rPr>
                <w:rFonts w:ascii="Arial" w:hAnsi="Arial"/>
                <w:b w:val="0"/>
                <w:i w:val="0"/>
                <w:color w:val="000000"/>
                <w:sz w:val="14"/>
              </w:rPr>
              <w:t>Menos capas de software; control embebido directo.</w:t>
            </w:r>
          </w:p>
        </w:tc>
        <w:tc>
          <w:tcPr>
            <w:tcW w:type="dxa" w:w="3672"/>
            <w:vAlign w:val="center"/>
          </w:tcPr>
          <w:p>
            <w:pPr>
              <w:spacing w:after="0"/>
              <w:jc w:val="left"/>
            </w:pPr>
            <w:r/>
            <w:r>
              <w:rPr>
                <w:rFonts w:ascii="Arial" w:hAnsi="Arial"/>
                <w:b w:val="0"/>
                <w:i w:val="0"/>
                <w:color w:val="000000"/>
                <w:sz w:val="14"/>
              </w:rPr>
              <w:t>Linux, microSD, servicios del sistema y más administración.</w:t>
            </w:r>
          </w:p>
        </w:tc>
      </w:tr>
      <w:tr>
        <w:trPr>
          <w:cantSplit/>
        </w:trPr>
        <w:tc>
          <w:tcPr>
            <w:tcW w:type="dxa" w:w="1800"/>
            <w:vAlign w:val="center"/>
          </w:tcPr>
          <w:p>
            <w:pPr>
              <w:spacing w:after="0"/>
              <w:jc w:val="left"/>
            </w:pPr>
            <w:r/>
            <w:r>
              <w:rPr>
                <w:rFonts w:ascii="Arial" w:hAnsi="Arial"/>
                <w:b w:val="0"/>
                <w:i w:val="0"/>
                <w:color w:val="000000"/>
                <w:sz w:val="15"/>
              </w:rPr>
              <w:t>Tiempo de desarrollo</w:t>
            </w:r>
          </w:p>
        </w:tc>
        <w:tc>
          <w:tcPr>
            <w:tcW w:type="dxa" w:w="3672"/>
            <w:vAlign w:val="center"/>
          </w:tcPr>
          <w:p>
            <w:pPr>
              <w:spacing w:after="0"/>
              <w:jc w:val="left"/>
            </w:pPr>
            <w:r/>
            <w:r>
              <w:rPr>
                <w:rFonts w:ascii="Arial" w:hAnsi="Arial"/>
                <w:b w:val="0"/>
                <w:i w:val="0"/>
                <w:color w:val="000000"/>
                <w:sz w:val="14"/>
              </w:rPr>
              <w:t>Menor riesgo de integración para control y sensores.</w:t>
            </w:r>
          </w:p>
        </w:tc>
        <w:tc>
          <w:tcPr>
            <w:tcW w:type="dxa" w:w="3672"/>
            <w:vAlign w:val="center"/>
          </w:tcPr>
          <w:p>
            <w:pPr>
              <w:spacing w:after="0"/>
              <w:jc w:val="left"/>
            </w:pPr>
            <w:r/>
            <w:r>
              <w:rPr>
                <w:rFonts w:ascii="Arial" w:hAnsi="Arial"/>
                <w:b w:val="0"/>
                <w:i w:val="0"/>
                <w:color w:val="000000"/>
                <w:sz w:val="14"/>
              </w:rPr>
              <w:t>Mayor configuración de SO/servicios antes de validar control.</w:t>
            </w:r>
          </w:p>
        </w:tc>
      </w:tr>
      <w:tr>
        <w:trPr>
          <w:cantSplit/>
        </w:trPr>
        <w:tc>
          <w:tcPr>
            <w:tcW w:type="dxa" w:w="1800"/>
            <w:vAlign w:val="center"/>
          </w:tcPr>
          <w:p>
            <w:pPr>
              <w:spacing w:after="0"/>
              <w:jc w:val="left"/>
            </w:pPr>
            <w:r/>
            <w:r>
              <w:rPr>
                <w:rFonts w:ascii="Arial" w:hAnsi="Arial"/>
                <w:b w:val="0"/>
                <w:i w:val="0"/>
                <w:color w:val="000000"/>
                <w:sz w:val="15"/>
              </w:rPr>
              <w:t>Seguridad</w:t>
            </w:r>
          </w:p>
        </w:tc>
        <w:tc>
          <w:tcPr>
            <w:tcW w:type="dxa" w:w="3672"/>
            <w:vAlign w:val="center"/>
          </w:tcPr>
          <w:p>
            <w:pPr>
              <w:spacing w:after="0"/>
              <w:jc w:val="left"/>
            </w:pPr>
            <w:r/>
            <w:r>
              <w:rPr>
                <w:rFonts w:ascii="Arial" w:hAnsi="Arial"/>
                <w:b w:val="0"/>
                <w:i w:val="0"/>
                <w:color w:val="000000"/>
                <w:sz w:val="14"/>
              </w:rPr>
              <w:t>Superficie reducida; TLS, credenciales del dispositivo y límites locales.</w:t>
            </w:r>
          </w:p>
        </w:tc>
        <w:tc>
          <w:tcPr>
            <w:tcW w:type="dxa" w:w="3672"/>
            <w:vAlign w:val="center"/>
          </w:tcPr>
          <w:p>
            <w:pPr>
              <w:spacing w:after="0"/>
              <w:jc w:val="left"/>
            </w:pPr>
            <w:r/>
            <w:r>
              <w:rPr>
                <w:rFonts w:ascii="Arial" w:hAnsi="Arial"/>
                <w:b w:val="0"/>
                <w:i w:val="0"/>
                <w:color w:val="000000"/>
                <w:sz w:val="14"/>
              </w:rPr>
              <w:t>Linux permite más herramientas, pero amplía superficie y mantenimiento de parches.</w:t>
            </w:r>
          </w:p>
        </w:tc>
      </w:tr>
      <w:tr>
        <w:trPr>
          <w:cantSplit/>
        </w:trPr>
        <w:tc>
          <w:tcPr>
            <w:tcW w:type="dxa" w:w="1800"/>
            <w:vAlign w:val="center"/>
          </w:tcPr>
          <w:p>
            <w:pPr>
              <w:spacing w:after="0"/>
              <w:jc w:val="left"/>
            </w:pPr>
            <w:r/>
            <w:r>
              <w:rPr>
                <w:rFonts w:ascii="Arial" w:hAnsi="Arial"/>
                <w:b w:val="0"/>
                <w:i w:val="0"/>
                <w:color w:val="000000"/>
                <w:sz w:val="15"/>
              </w:rPr>
              <w:t>Escalabilidad</w:t>
            </w:r>
          </w:p>
        </w:tc>
        <w:tc>
          <w:tcPr>
            <w:tcW w:type="dxa" w:w="3672"/>
            <w:vAlign w:val="center"/>
          </w:tcPr>
          <w:p>
            <w:pPr>
              <w:spacing w:after="0"/>
              <w:jc w:val="left"/>
            </w:pPr>
            <w:r/>
            <w:r>
              <w:rPr>
                <w:rFonts w:ascii="Arial" w:hAnsi="Arial"/>
                <w:b w:val="0"/>
                <w:i w:val="0"/>
                <w:color w:val="000000"/>
                <w:sz w:val="14"/>
              </w:rPr>
              <w:t>Cada torre puede tener su ESP32 y compartir backend.</w:t>
            </w:r>
          </w:p>
        </w:tc>
        <w:tc>
          <w:tcPr>
            <w:tcW w:type="dxa" w:w="3672"/>
            <w:vAlign w:val="center"/>
          </w:tcPr>
          <w:p>
            <w:pPr>
              <w:spacing w:after="0"/>
              <w:jc w:val="left"/>
            </w:pPr>
            <w:r/>
            <w:r>
              <w:rPr>
                <w:rFonts w:ascii="Arial" w:hAnsi="Arial"/>
                <w:b w:val="0"/>
                <w:i w:val="0"/>
                <w:color w:val="000000"/>
                <w:sz w:val="14"/>
              </w:rPr>
              <w:t>Adecuada como gateway local, pero costosa si se replica una Pi por torre.</w:t>
            </w:r>
          </w:p>
        </w:tc>
      </w:tr>
    </w:tbl>
    <w:p>
      <w:pPr>
        <w:spacing w:after="20"/>
      </w:pPr>
    </w:p>
    <w:p>
      <w:pPr>
        <w:spacing w:before="160" w:after="80"/>
      </w:pPr>
      <w:r>
        <w:rPr>
          <w:rFonts w:ascii="Arial" w:hAnsi="Arial"/>
          <w:b/>
          <w:i w:val="0"/>
          <w:color w:val="000000"/>
          <w:sz w:val="28"/>
        </w:rPr>
        <w:t>3. Comparación de comunicación: MQTT frente a HTTPS/REST</w:t>
      </w:r>
    </w:p>
    <w:p>
      <w:pPr>
        <w:spacing w:after="80"/>
      </w:pPr>
      <w:r>
        <w:rPr>
          <w:rFonts w:ascii="Arial" w:hAnsi="Arial"/>
          <w:b w:val="0"/>
          <w:i w:val="0"/>
          <w:color w:val="000000"/>
          <w:sz w:val="21"/>
        </w:rPr>
        <w:t>La aplicación Android no necesita comunicarse directamente con el broker MQTT. Se propone separar la comunicación del dispositivo de la comunicación de usuario. MQTT está diseñado alrededor de publicación/suscripción y niveles de calidad de servicio, mientras que HTTPS/REST resulta más natural para autenticación, consulta de recursos y operaciones CRUD de usuarios, perfiles e historial [4].</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872"/>
            <w:vAlign w:val="center"/>
            <w:shd w:fill="E7E7E7"/>
          </w:tcPr>
          <w:p>
            <w:pPr>
              <w:spacing w:after="0"/>
              <w:jc w:val="center"/>
            </w:pPr>
            <w:r/>
            <w:r>
              <w:rPr>
                <w:rFonts w:ascii="Arial" w:hAnsi="Arial"/>
                <w:b/>
                <w:i w:val="0"/>
                <w:color w:val="000000"/>
                <w:sz w:val="16"/>
              </w:rPr>
              <w:t>Criterio</w:t>
            </w:r>
          </w:p>
        </w:tc>
        <w:tc>
          <w:tcPr>
            <w:tcW w:type="dxa" w:w="2376"/>
            <w:vAlign w:val="center"/>
            <w:shd w:fill="E7E7E7"/>
          </w:tcPr>
          <w:p>
            <w:pPr>
              <w:spacing w:after="0"/>
              <w:jc w:val="center"/>
            </w:pPr>
            <w:r/>
            <w:r>
              <w:rPr>
                <w:rFonts w:ascii="Arial" w:hAnsi="Arial"/>
                <w:b/>
                <w:i w:val="0"/>
                <w:color w:val="000000"/>
                <w:sz w:val="16"/>
              </w:rPr>
              <w:t>MQTT</w:t>
            </w:r>
          </w:p>
        </w:tc>
        <w:tc>
          <w:tcPr>
            <w:tcW w:type="dxa" w:w="2376"/>
            <w:vAlign w:val="center"/>
            <w:shd w:fill="E7E7E7"/>
          </w:tcPr>
          <w:p>
            <w:pPr>
              <w:spacing w:after="0"/>
              <w:jc w:val="center"/>
            </w:pPr>
            <w:r/>
            <w:r>
              <w:rPr>
                <w:rFonts w:ascii="Arial" w:hAnsi="Arial"/>
                <w:b/>
                <w:i w:val="0"/>
                <w:color w:val="000000"/>
                <w:sz w:val="16"/>
              </w:rPr>
              <w:t>HTTPS/REST</w:t>
            </w:r>
          </w:p>
        </w:tc>
        <w:tc>
          <w:tcPr>
            <w:tcW w:type="dxa" w:w="2520"/>
            <w:vAlign w:val="center"/>
            <w:shd w:fill="E7E7E7"/>
          </w:tcPr>
          <w:p>
            <w:pPr>
              <w:spacing w:after="0"/>
              <w:jc w:val="center"/>
            </w:pPr>
            <w:r/>
            <w:r>
              <w:rPr>
                <w:rFonts w:ascii="Arial" w:hAnsi="Arial"/>
                <w:b/>
                <w:i w:val="0"/>
                <w:color w:val="000000"/>
                <w:sz w:val="16"/>
              </w:rPr>
              <w:t>Arquitectura híbrida</w:t>
            </w:r>
          </w:p>
        </w:tc>
      </w:tr>
      <w:tr>
        <w:trPr>
          <w:cantSplit/>
        </w:trPr>
        <w:tc>
          <w:tcPr>
            <w:tcW w:type="dxa" w:w="1872"/>
            <w:vAlign w:val="center"/>
          </w:tcPr>
          <w:p>
            <w:pPr>
              <w:spacing w:after="0"/>
              <w:jc w:val="left"/>
            </w:pPr>
            <w:r/>
            <w:r>
              <w:rPr>
                <w:rFonts w:ascii="Arial" w:hAnsi="Arial"/>
                <w:b w:val="0"/>
                <w:i w:val="0"/>
                <w:color w:val="000000"/>
                <w:sz w:val="14"/>
              </w:rPr>
              <w:t>Modelo</w:t>
            </w:r>
          </w:p>
        </w:tc>
        <w:tc>
          <w:tcPr>
            <w:tcW w:type="dxa" w:w="2376"/>
            <w:vAlign w:val="center"/>
          </w:tcPr>
          <w:p>
            <w:pPr>
              <w:spacing w:after="0"/>
              <w:jc w:val="left"/>
            </w:pPr>
            <w:r/>
            <w:r>
              <w:rPr>
                <w:rFonts w:ascii="Arial" w:hAnsi="Arial"/>
                <w:b w:val="0"/>
                <w:i w:val="0"/>
                <w:color w:val="000000"/>
                <w:sz w:val="14"/>
              </w:rPr>
              <w:t>Publicación/suscripción persistente.</w:t>
            </w:r>
          </w:p>
        </w:tc>
        <w:tc>
          <w:tcPr>
            <w:tcW w:type="dxa" w:w="2376"/>
            <w:vAlign w:val="center"/>
          </w:tcPr>
          <w:p>
            <w:pPr>
              <w:spacing w:after="0"/>
              <w:jc w:val="left"/>
            </w:pPr>
            <w:r/>
            <w:r>
              <w:rPr>
                <w:rFonts w:ascii="Arial" w:hAnsi="Arial"/>
                <w:b w:val="0"/>
                <w:i w:val="0"/>
                <w:color w:val="000000"/>
                <w:sz w:val="14"/>
              </w:rPr>
              <w:t>Petición/respuesta sobre recursos.</w:t>
            </w:r>
          </w:p>
        </w:tc>
        <w:tc>
          <w:tcPr>
            <w:tcW w:type="dxa" w:w="2520"/>
            <w:vAlign w:val="center"/>
          </w:tcPr>
          <w:p>
            <w:pPr>
              <w:spacing w:after="0"/>
              <w:jc w:val="left"/>
            </w:pPr>
            <w:r/>
            <w:r>
              <w:rPr>
                <w:rFonts w:ascii="Arial" w:hAnsi="Arial"/>
                <w:b w:val="0"/>
                <w:i w:val="0"/>
                <w:color w:val="000000"/>
                <w:sz w:val="14"/>
              </w:rPr>
              <w:t>MQTT para dispositivo; REST para app.</w:t>
            </w:r>
          </w:p>
        </w:tc>
      </w:tr>
      <w:tr>
        <w:trPr>
          <w:cantSplit/>
        </w:trPr>
        <w:tc>
          <w:tcPr>
            <w:tcW w:type="dxa" w:w="1872"/>
            <w:vAlign w:val="center"/>
          </w:tcPr>
          <w:p>
            <w:pPr>
              <w:spacing w:after="0"/>
              <w:jc w:val="left"/>
            </w:pPr>
            <w:r/>
            <w:r>
              <w:rPr>
                <w:rFonts w:ascii="Arial" w:hAnsi="Arial"/>
                <w:b w:val="0"/>
                <w:i w:val="0"/>
                <w:color w:val="000000"/>
                <w:sz w:val="14"/>
              </w:rPr>
              <w:t>Telemetría periódica</w:t>
            </w:r>
          </w:p>
        </w:tc>
        <w:tc>
          <w:tcPr>
            <w:tcW w:type="dxa" w:w="2376"/>
            <w:vAlign w:val="center"/>
          </w:tcPr>
          <w:p>
            <w:pPr>
              <w:spacing w:after="0"/>
              <w:jc w:val="left"/>
            </w:pPr>
            <w:r/>
            <w:r>
              <w:rPr>
                <w:rFonts w:ascii="Arial" w:hAnsi="Arial"/>
                <w:b w:val="0"/>
                <w:i w:val="0"/>
                <w:color w:val="000000"/>
                <w:sz w:val="14"/>
              </w:rPr>
              <w:t>Muy apropiado; bajo overhead.</w:t>
            </w:r>
          </w:p>
        </w:tc>
        <w:tc>
          <w:tcPr>
            <w:tcW w:type="dxa" w:w="2376"/>
            <w:vAlign w:val="center"/>
          </w:tcPr>
          <w:p>
            <w:pPr>
              <w:spacing w:after="0"/>
              <w:jc w:val="left"/>
            </w:pPr>
            <w:r/>
            <w:r>
              <w:rPr>
                <w:rFonts w:ascii="Arial" w:hAnsi="Arial"/>
                <w:b w:val="0"/>
                <w:i w:val="0"/>
                <w:color w:val="000000"/>
                <w:sz w:val="14"/>
              </w:rPr>
              <w:t>Funciona, pero añade cabeceras HTTP por solicitud.</w:t>
            </w:r>
          </w:p>
        </w:tc>
        <w:tc>
          <w:tcPr>
            <w:tcW w:type="dxa" w:w="2520"/>
            <w:vAlign w:val="center"/>
          </w:tcPr>
          <w:p>
            <w:pPr>
              <w:spacing w:after="0"/>
              <w:jc w:val="left"/>
            </w:pPr>
            <w:r/>
            <w:r>
              <w:rPr>
                <w:rFonts w:ascii="Arial" w:hAnsi="Arial"/>
                <w:b w:val="0"/>
                <w:i w:val="0"/>
                <w:color w:val="000000"/>
                <w:sz w:val="14"/>
              </w:rPr>
              <w:t>MQTT.</w:t>
            </w:r>
          </w:p>
        </w:tc>
      </w:tr>
      <w:tr>
        <w:trPr>
          <w:cantSplit/>
        </w:trPr>
        <w:tc>
          <w:tcPr>
            <w:tcW w:type="dxa" w:w="1872"/>
            <w:vAlign w:val="center"/>
          </w:tcPr>
          <w:p>
            <w:pPr>
              <w:spacing w:after="0"/>
              <w:jc w:val="left"/>
            </w:pPr>
            <w:r/>
            <w:r>
              <w:rPr>
                <w:rFonts w:ascii="Arial" w:hAnsi="Arial"/>
                <w:b w:val="0"/>
                <w:i w:val="0"/>
                <w:color w:val="000000"/>
                <w:sz w:val="14"/>
              </w:rPr>
              <w:t>Comandos servidor -&gt; dispositivo</w:t>
            </w:r>
          </w:p>
        </w:tc>
        <w:tc>
          <w:tcPr>
            <w:tcW w:type="dxa" w:w="2376"/>
            <w:vAlign w:val="center"/>
          </w:tcPr>
          <w:p>
            <w:pPr>
              <w:spacing w:after="0"/>
              <w:jc w:val="left"/>
            </w:pPr>
            <w:r/>
            <w:r>
              <w:rPr>
                <w:rFonts w:ascii="Arial" w:hAnsi="Arial"/>
                <w:b w:val="0"/>
                <w:i w:val="0"/>
                <w:color w:val="000000"/>
                <w:sz w:val="14"/>
              </w:rPr>
              <w:t>Natural mediante suscripción.</w:t>
            </w:r>
          </w:p>
        </w:tc>
        <w:tc>
          <w:tcPr>
            <w:tcW w:type="dxa" w:w="2376"/>
            <w:vAlign w:val="center"/>
          </w:tcPr>
          <w:p>
            <w:pPr>
              <w:spacing w:after="0"/>
              <w:jc w:val="left"/>
            </w:pPr>
            <w:r/>
            <w:r>
              <w:rPr>
                <w:rFonts w:ascii="Arial" w:hAnsi="Arial"/>
                <w:b w:val="0"/>
                <w:i w:val="0"/>
                <w:color w:val="000000"/>
                <w:sz w:val="14"/>
              </w:rPr>
              <w:t>Requiere polling u otro canal si se usa REST solo.</w:t>
            </w:r>
          </w:p>
        </w:tc>
        <w:tc>
          <w:tcPr>
            <w:tcW w:type="dxa" w:w="2520"/>
            <w:vAlign w:val="center"/>
          </w:tcPr>
          <w:p>
            <w:pPr>
              <w:spacing w:after="0"/>
              <w:jc w:val="left"/>
            </w:pPr>
            <w:r/>
            <w:r>
              <w:rPr>
                <w:rFonts w:ascii="Arial" w:hAnsi="Arial"/>
                <w:b w:val="0"/>
                <w:i w:val="0"/>
                <w:color w:val="000000"/>
                <w:sz w:val="14"/>
              </w:rPr>
              <w:t>MQTT.</w:t>
            </w:r>
          </w:p>
        </w:tc>
      </w:tr>
      <w:tr>
        <w:trPr>
          <w:cantSplit/>
        </w:trPr>
        <w:tc>
          <w:tcPr>
            <w:tcW w:type="dxa" w:w="1872"/>
            <w:vAlign w:val="center"/>
          </w:tcPr>
          <w:p>
            <w:pPr>
              <w:spacing w:after="0"/>
              <w:jc w:val="left"/>
            </w:pPr>
            <w:r/>
            <w:r>
              <w:rPr>
                <w:rFonts w:ascii="Arial" w:hAnsi="Arial"/>
                <w:b w:val="0"/>
                <w:i w:val="0"/>
                <w:color w:val="000000"/>
                <w:sz w:val="14"/>
              </w:rPr>
              <w:t>Usuarios/perfiles/historial</w:t>
            </w:r>
          </w:p>
        </w:tc>
        <w:tc>
          <w:tcPr>
            <w:tcW w:type="dxa" w:w="2376"/>
            <w:vAlign w:val="center"/>
          </w:tcPr>
          <w:p>
            <w:pPr>
              <w:spacing w:after="0"/>
              <w:jc w:val="left"/>
            </w:pPr>
            <w:r/>
            <w:r>
              <w:rPr>
                <w:rFonts w:ascii="Arial" w:hAnsi="Arial"/>
                <w:b w:val="0"/>
                <w:i w:val="0"/>
                <w:color w:val="000000"/>
                <w:sz w:val="14"/>
              </w:rPr>
              <w:t>Posible, pero poco natural para CRUD.</w:t>
            </w:r>
          </w:p>
        </w:tc>
        <w:tc>
          <w:tcPr>
            <w:tcW w:type="dxa" w:w="2376"/>
            <w:vAlign w:val="center"/>
          </w:tcPr>
          <w:p>
            <w:pPr>
              <w:spacing w:after="0"/>
              <w:jc w:val="left"/>
            </w:pPr>
            <w:r/>
            <w:r>
              <w:rPr>
                <w:rFonts w:ascii="Arial" w:hAnsi="Arial"/>
                <w:b w:val="0"/>
                <w:i w:val="0"/>
                <w:color w:val="000000"/>
                <w:sz w:val="14"/>
              </w:rPr>
              <w:t>Muy apropiado.</w:t>
            </w:r>
          </w:p>
        </w:tc>
        <w:tc>
          <w:tcPr>
            <w:tcW w:type="dxa" w:w="2520"/>
            <w:vAlign w:val="center"/>
          </w:tcPr>
          <w:p>
            <w:pPr>
              <w:spacing w:after="0"/>
              <w:jc w:val="left"/>
            </w:pPr>
            <w:r/>
            <w:r>
              <w:rPr>
                <w:rFonts w:ascii="Arial" w:hAnsi="Arial"/>
                <w:b w:val="0"/>
                <w:i w:val="0"/>
                <w:color w:val="000000"/>
                <w:sz w:val="14"/>
              </w:rPr>
              <w:t>REST.</w:t>
            </w:r>
          </w:p>
        </w:tc>
      </w:tr>
      <w:tr>
        <w:trPr>
          <w:cantSplit/>
        </w:trPr>
        <w:tc>
          <w:tcPr>
            <w:tcW w:type="dxa" w:w="1872"/>
            <w:vAlign w:val="center"/>
          </w:tcPr>
          <w:p>
            <w:pPr>
              <w:spacing w:after="0"/>
              <w:jc w:val="left"/>
            </w:pPr>
            <w:r/>
            <w:r>
              <w:rPr>
                <w:rFonts w:ascii="Arial" w:hAnsi="Arial"/>
                <w:b w:val="0"/>
                <w:i w:val="0"/>
                <w:color w:val="000000"/>
                <w:sz w:val="14"/>
              </w:rPr>
              <w:t>App Android</w:t>
            </w:r>
          </w:p>
        </w:tc>
        <w:tc>
          <w:tcPr>
            <w:tcW w:type="dxa" w:w="2376"/>
            <w:vAlign w:val="center"/>
          </w:tcPr>
          <w:p>
            <w:pPr>
              <w:spacing w:after="0"/>
              <w:jc w:val="left"/>
            </w:pPr>
            <w:r/>
            <w:r>
              <w:rPr>
                <w:rFonts w:ascii="Arial" w:hAnsi="Arial"/>
                <w:b w:val="0"/>
                <w:i w:val="0"/>
                <w:color w:val="000000"/>
                <w:sz w:val="14"/>
              </w:rPr>
              <w:t>Requeriría gestionar broker y credenciales MQTT en móvil.</w:t>
            </w:r>
          </w:p>
        </w:tc>
        <w:tc>
          <w:tcPr>
            <w:tcW w:type="dxa" w:w="2376"/>
            <w:vAlign w:val="center"/>
          </w:tcPr>
          <w:p>
            <w:pPr>
              <w:spacing w:after="0"/>
              <w:jc w:val="left"/>
            </w:pPr>
            <w:r/>
            <w:r>
              <w:rPr>
                <w:rFonts w:ascii="Arial" w:hAnsi="Arial"/>
                <w:b w:val="0"/>
                <w:i w:val="0"/>
                <w:color w:val="000000"/>
                <w:sz w:val="14"/>
              </w:rPr>
              <w:t>Integración directa con API móvil.</w:t>
            </w:r>
          </w:p>
        </w:tc>
        <w:tc>
          <w:tcPr>
            <w:tcW w:type="dxa" w:w="2520"/>
            <w:vAlign w:val="center"/>
          </w:tcPr>
          <w:p>
            <w:pPr>
              <w:spacing w:after="0"/>
              <w:jc w:val="left"/>
            </w:pPr>
            <w:r/>
            <w:r>
              <w:rPr>
                <w:rFonts w:ascii="Arial" w:hAnsi="Arial"/>
                <w:b w:val="0"/>
                <w:i w:val="0"/>
                <w:color w:val="000000"/>
                <w:sz w:val="14"/>
              </w:rPr>
              <w:t>REST + Laravel Sanctum [5].</w:t>
            </w:r>
          </w:p>
        </w:tc>
      </w:tr>
      <w:tr>
        <w:trPr>
          <w:cantSplit/>
        </w:trPr>
        <w:tc>
          <w:tcPr>
            <w:tcW w:type="dxa" w:w="1872"/>
            <w:vAlign w:val="center"/>
          </w:tcPr>
          <w:p>
            <w:pPr>
              <w:spacing w:after="0"/>
              <w:jc w:val="left"/>
            </w:pPr>
            <w:r/>
            <w:r>
              <w:rPr>
                <w:rFonts w:ascii="Arial" w:hAnsi="Arial"/>
                <w:b w:val="0"/>
                <w:i w:val="0"/>
                <w:color w:val="000000"/>
                <w:sz w:val="14"/>
              </w:rPr>
              <w:t>Seguridad</w:t>
            </w:r>
          </w:p>
        </w:tc>
        <w:tc>
          <w:tcPr>
            <w:tcW w:type="dxa" w:w="2376"/>
            <w:vAlign w:val="center"/>
          </w:tcPr>
          <w:p>
            <w:pPr>
              <w:spacing w:after="0"/>
              <w:jc w:val="left"/>
            </w:pPr>
            <w:r/>
            <w:r>
              <w:rPr>
                <w:rFonts w:ascii="Arial" w:hAnsi="Arial"/>
                <w:b w:val="0"/>
                <w:i w:val="0"/>
                <w:color w:val="000000"/>
                <w:sz w:val="14"/>
              </w:rPr>
              <w:t>MQTT sobre TLS + autenticación del broker.</w:t>
            </w:r>
          </w:p>
        </w:tc>
        <w:tc>
          <w:tcPr>
            <w:tcW w:type="dxa" w:w="2376"/>
            <w:vAlign w:val="center"/>
          </w:tcPr>
          <w:p>
            <w:pPr>
              <w:spacing w:after="0"/>
              <w:jc w:val="left"/>
            </w:pPr>
            <w:r/>
            <w:r>
              <w:rPr>
                <w:rFonts w:ascii="Arial" w:hAnsi="Arial"/>
                <w:b w:val="0"/>
                <w:i w:val="0"/>
                <w:color w:val="000000"/>
                <w:sz w:val="14"/>
              </w:rPr>
              <w:t>HTTPS/TLS + tokens Bearer.</w:t>
            </w:r>
          </w:p>
        </w:tc>
        <w:tc>
          <w:tcPr>
            <w:tcW w:type="dxa" w:w="2520"/>
            <w:vAlign w:val="center"/>
          </w:tcPr>
          <w:p>
            <w:pPr>
              <w:spacing w:after="0"/>
              <w:jc w:val="left"/>
            </w:pPr>
            <w:r/>
            <w:r>
              <w:rPr>
                <w:rFonts w:ascii="Arial" w:hAnsi="Arial"/>
                <w:b w:val="0"/>
                <w:i w:val="0"/>
                <w:color w:val="000000"/>
                <w:sz w:val="14"/>
              </w:rPr>
              <w:t>Ambos canales cifrados.</w:t>
            </w:r>
          </w:p>
        </w:tc>
      </w:tr>
      <w:tr>
        <w:trPr>
          <w:cantSplit/>
        </w:trPr>
        <w:tc>
          <w:tcPr>
            <w:tcW w:type="dxa" w:w="1872"/>
            <w:vAlign w:val="center"/>
          </w:tcPr>
          <w:p>
            <w:pPr>
              <w:spacing w:after="0"/>
              <w:jc w:val="left"/>
            </w:pPr>
            <w:r/>
            <w:r>
              <w:rPr>
                <w:rFonts w:ascii="Arial" w:hAnsi="Arial"/>
                <w:b w:val="0"/>
                <w:i w:val="0"/>
                <w:color w:val="000000"/>
                <w:sz w:val="14"/>
              </w:rPr>
              <w:t>Complejidad</w:t>
            </w:r>
          </w:p>
        </w:tc>
        <w:tc>
          <w:tcPr>
            <w:tcW w:type="dxa" w:w="2376"/>
            <w:vAlign w:val="center"/>
          </w:tcPr>
          <w:p>
            <w:pPr>
              <w:spacing w:after="0"/>
              <w:jc w:val="left"/>
            </w:pPr>
            <w:r/>
            <w:r>
              <w:rPr>
                <w:rFonts w:ascii="Arial" w:hAnsi="Arial"/>
                <w:b w:val="0"/>
                <w:i w:val="0"/>
                <w:color w:val="000000"/>
                <w:sz w:val="14"/>
              </w:rPr>
              <w:t>Broker adicional.</w:t>
            </w:r>
          </w:p>
        </w:tc>
        <w:tc>
          <w:tcPr>
            <w:tcW w:type="dxa" w:w="2376"/>
            <w:vAlign w:val="center"/>
          </w:tcPr>
          <w:p>
            <w:pPr>
              <w:spacing w:after="0"/>
              <w:jc w:val="left"/>
            </w:pPr>
            <w:r/>
            <w:r>
              <w:rPr>
                <w:rFonts w:ascii="Arial" w:hAnsi="Arial"/>
                <w:b w:val="0"/>
                <w:i w:val="0"/>
                <w:color w:val="000000"/>
                <w:sz w:val="14"/>
              </w:rPr>
              <w:t>API ya necesaria para la app.</w:t>
            </w:r>
          </w:p>
        </w:tc>
        <w:tc>
          <w:tcPr>
            <w:tcW w:type="dxa" w:w="2520"/>
            <w:vAlign w:val="center"/>
          </w:tcPr>
          <w:p>
            <w:pPr>
              <w:spacing w:after="0"/>
              <w:jc w:val="left"/>
            </w:pPr>
            <w:r/>
            <w:r>
              <w:rPr>
                <w:rFonts w:ascii="Arial" w:hAnsi="Arial"/>
                <w:b w:val="0"/>
                <w:i w:val="0"/>
                <w:color w:val="000000"/>
                <w:sz w:val="14"/>
              </w:rPr>
              <w:t>Más componentes, pero responsabilidades claras.</w:t>
            </w:r>
          </w:p>
        </w:tc>
      </w:tr>
      <w:tr>
        <w:trPr>
          <w:cantSplit/>
        </w:trPr>
        <w:tc>
          <w:tcPr>
            <w:tcW w:type="dxa" w:w="1872"/>
            <w:vAlign w:val="center"/>
          </w:tcPr>
          <w:p>
            <w:pPr>
              <w:spacing w:after="0"/>
              <w:jc w:val="left"/>
            </w:pPr>
            <w:r/>
            <w:r>
              <w:rPr>
                <w:rFonts w:ascii="Arial" w:hAnsi="Arial"/>
                <w:b w:val="0"/>
                <w:i w:val="0"/>
                <w:color w:val="000000"/>
                <w:sz w:val="14"/>
              </w:rPr>
              <w:t>Selección</w:t>
            </w:r>
          </w:p>
        </w:tc>
        <w:tc>
          <w:tcPr>
            <w:tcW w:type="dxa" w:w="2376"/>
            <w:vAlign w:val="center"/>
          </w:tcPr>
          <w:p>
            <w:pPr>
              <w:spacing w:after="0"/>
              <w:jc w:val="left"/>
            </w:pPr>
            <w:r/>
            <w:r>
              <w:rPr>
                <w:rFonts w:ascii="Arial" w:hAnsi="Arial"/>
                <w:b w:val="0"/>
                <w:i w:val="0"/>
                <w:color w:val="000000"/>
                <w:sz w:val="14"/>
              </w:rPr>
              <w:t>No se usa solo.</w:t>
            </w:r>
          </w:p>
        </w:tc>
        <w:tc>
          <w:tcPr>
            <w:tcW w:type="dxa" w:w="2376"/>
            <w:vAlign w:val="center"/>
          </w:tcPr>
          <w:p>
            <w:pPr>
              <w:spacing w:after="0"/>
              <w:jc w:val="left"/>
            </w:pPr>
            <w:r/>
            <w:r>
              <w:rPr>
                <w:rFonts w:ascii="Arial" w:hAnsi="Arial"/>
                <w:b w:val="0"/>
                <w:i w:val="0"/>
                <w:color w:val="000000"/>
                <w:sz w:val="14"/>
              </w:rPr>
              <w:t>No se usa solo.</w:t>
            </w:r>
          </w:p>
        </w:tc>
        <w:tc>
          <w:tcPr>
            <w:tcW w:type="dxa" w:w="2520"/>
            <w:vAlign w:val="center"/>
          </w:tcPr>
          <w:p>
            <w:pPr>
              <w:spacing w:after="0"/>
              <w:jc w:val="left"/>
            </w:pPr>
            <w:r/>
            <w:r>
              <w:rPr>
                <w:rFonts w:ascii="Arial" w:hAnsi="Arial"/>
                <w:b w:val="0"/>
                <w:i w:val="0"/>
                <w:color w:val="000000"/>
                <w:sz w:val="14"/>
              </w:rPr>
              <w:t>Seleccionada.</w:t>
            </w:r>
          </w:p>
        </w:tc>
      </w:tr>
    </w:tbl>
    <w:p>
      <w:pPr>
        <w:spacing w:after="20"/>
      </w:pPr>
    </w:p>
    <w:p>
      <w:pPr>
        <w:spacing w:after="80"/>
      </w:pPr>
      <w:r>
        <w:rPr>
          <w:rFonts w:ascii="Arial" w:hAnsi="Arial"/>
          <w:b/>
          <w:i w:val="0"/>
          <w:color w:val="000000"/>
          <w:sz w:val="21"/>
        </w:rPr>
        <w:t>Selección de comunicación:</w:t>
      </w:r>
      <w:r>
        <w:rPr>
          <w:rFonts w:ascii="Arial" w:hAnsi="Arial"/>
          <w:b w:val="0"/>
          <w:i w:val="0"/>
          <w:color w:val="000000"/>
          <w:sz w:val="21"/>
        </w:rPr>
        <w:t xml:space="preserve"> MQTT/TLS entre ESP32 y servidor para telemetría, eventos, estado y comandos; HTTPS/REST entre la app Android y Laravel para inicio de sesión, configuración, perfiles compartidos, historial y métricas. Laravel publicará al broker cuando una acción de usuario deba llegar al ESP32. Para el alta inicial de Wi-Fi se utilizará BLE desde la app Android; ESP-IDF soporta aprovisionamiento seguro por BLE o SoftAP [6].</w:t>
      </w:r>
    </w:p>
    <w:p>
      <w:pPr>
        <w:spacing w:before="160" w:after="80"/>
      </w:pPr>
      <w:r>
        <w:rPr>
          <w:rFonts w:ascii="Arial" w:hAnsi="Arial"/>
          <w:b/>
          <w:i w:val="0"/>
          <w:color w:val="000000"/>
          <w:sz w:val="28"/>
        </w:rPr>
        <w:t>4. Matriz de decisión ponderada</w:t>
      </w:r>
    </w:p>
    <w:p>
      <w:pPr>
        <w:spacing w:after="80"/>
      </w:pPr>
      <w:r>
        <w:rPr>
          <w:rFonts w:ascii="Arial" w:hAnsi="Arial"/>
          <w:b w:val="0"/>
          <w:i w:val="0"/>
          <w:color w:val="000000"/>
          <w:sz w:val="21"/>
        </w:rPr>
        <w:t>Escala: 1 = muy desfavorable y 5 = muy favorable. El puntaje ponderado se calcula como (calificación/5) × peso.</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3600"/>
            <w:vAlign w:val="center"/>
            <w:shd w:fill="E7E7E7"/>
          </w:tcPr>
          <w:p>
            <w:pPr>
              <w:spacing w:after="0"/>
              <w:jc w:val="center"/>
            </w:pPr>
            <w:r/>
            <w:r>
              <w:rPr>
                <w:rFonts w:ascii="Arial" w:hAnsi="Arial"/>
                <w:b/>
                <w:i w:val="0"/>
                <w:color w:val="000000"/>
                <w:sz w:val="16"/>
              </w:rPr>
              <w:t>Criterio</w:t>
            </w:r>
          </w:p>
        </w:tc>
        <w:tc>
          <w:tcPr>
            <w:tcW w:type="dxa" w:w="936"/>
            <w:vAlign w:val="center"/>
            <w:shd w:fill="E7E7E7"/>
          </w:tcPr>
          <w:p>
            <w:pPr>
              <w:spacing w:after="0"/>
              <w:jc w:val="center"/>
            </w:pPr>
            <w:r/>
            <w:r>
              <w:rPr>
                <w:rFonts w:ascii="Arial" w:hAnsi="Arial"/>
                <w:b/>
                <w:i w:val="0"/>
                <w:color w:val="000000"/>
                <w:sz w:val="16"/>
              </w:rPr>
              <w:t>Peso</w:t>
            </w:r>
          </w:p>
        </w:tc>
        <w:tc>
          <w:tcPr>
            <w:tcW w:type="dxa" w:w="792"/>
            <w:vAlign w:val="center"/>
            <w:shd w:fill="E7E7E7"/>
          </w:tcPr>
          <w:p>
            <w:pPr>
              <w:spacing w:after="0"/>
              <w:jc w:val="center"/>
            </w:pPr>
            <w:r/>
            <w:r>
              <w:rPr>
                <w:rFonts w:ascii="Arial" w:hAnsi="Arial"/>
                <w:b/>
                <w:i w:val="0"/>
                <w:color w:val="000000"/>
                <w:sz w:val="16"/>
              </w:rPr>
              <w:t>A</w:t>
            </w:r>
          </w:p>
        </w:tc>
        <w:tc>
          <w:tcPr>
            <w:tcW w:type="dxa" w:w="1368"/>
            <w:vAlign w:val="center"/>
            <w:shd w:fill="E7E7E7"/>
          </w:tcPr>
          <w:p>
            <w:pPr>
              <w:spacing w:after="0"/>
              <w:jc w:val="center"/>
            </w:pPr>
            <w:r/>
            <w:r>
              <w:rPr>
                <w:rFonts w:ascii="Arial" w:hAnsi="Arial"/>
                <w:b/>
                <w:i w:val="0"/>
                <w:color w:val="000000"/>
                <w:sz w:val="16"/>
              </w:rPr>
              <w:t>A ponderado</w:t>
            </w:r>
          </w:p>
        </w:tc>
        <w:tc>
          <w:tcPr>
            <w:tcW w:type="dxa" w:w="792"/>
            <w:vAlign w:val="center"/>
            <w:shd w:fill="E7E7E7"/>
          </w:tcPr>
          <w:p>
            <w:pPr>
              <w:spacing w:after="0"/>
              <w:jc w:val="center"/>
            </w:pPr>
            <w:r/>
            <w:r>
              <w:rPr>
                <w:rFonts w:ascii="Arial" w:hAnsi="Arial"/>
                <w:b/>
                <w:i w:val="0"/>
                <w:color w:val="000000"/>
                <w:sz w:val="16"/>
              </w:rPr>
              <w:t>B</w:t>
            </w:r>
          </w:p>
        </w:tc>
        <w:tc>
          <w:tcPr>
            <w:tcW w:type="dxa" w:w="1368"/>
            <w:vAlign w:val="center"/>
            <w:shd w:fill="E7E7E7"/>
          </w:tcPr>
          <w:p>
            <w:pPr>
              <w:spacing w:after="0"/>
              <w:jc w:val="center"/>
            </w:pPr>
            <w:r/>
            <w:r>
              <w:rPr>
                <w:rFonts w:ascii="Arial" w:hAnsi="Arial"/>
                <w:b/>
                <w:i w:val="0"/>
                <w:color w:val="000000"/>
                <w:sz w:val="16"/>
              </w:rPr>
              <w:t>B ponderado</w:t>
            </w:r>
          </w:p>
        </w:tc>
      </w:tr>
      <w:tr>
        <w:trPr>
          <w:cantSplit/>
        </w:trPr>
        <w:tc>
          <w:tcPr>
            <w:tcW w:type="dxa" w:w="3600"/>
            <w:vAlign w:val="center"/>
          </w:tcPr>
          <w:p>
            <w:pPr>
              <w:spacing w:after="0"/>
              <w:jc w:val="left"/>
            </w:pPr>
            <w:r/>
            <w:r>
              <w:rPr>
                <w:rFonts w:ascii="Arial" w:hAnsi="Arial"/>
                <w:b w:val="0"/>
                <w:i w:val="0"/>
                <w:color w:val="000000"/>
                <w:sz w:val="15"/>
              </w:rPr>
              <w:t>Adecuación técnica al proyecto</w:t>
            </w:r>
          </w:p>
        </w:tc>
        <w:tc>
          <w:tcPr>
            <w:tcW w:type="dxa" w:w="936"/>
            <w:vAlign w:val="center"/>
          </w:tcPr>
          <w:p>
            <w:pPr>
              <w:spacing w:after="0"/>
              <w:jc w:val="left"/>
            </w:pPr>
            <w:r/>
            <w:r>
              <w:rPr>
                <w:rFonts w:ascii="Arial" w:hAnsi="Arial"/>
                <w:b w:val="0"/>
                <w:i w:val="0"/>
                <w:color w:val="000000"/>
                <w:sz w:val="14"/>
              </w:rPr>
              <w:t>20%</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20</w:t>
            </w:r>
          </w:p>
        </w:tc>
        <w:tc>
          <w:tcPr>
            <w:tcW w:type="dxa" w:w="792"/>
            <w:vAlign w:val="center"/>
          </w:tcPr>
          <w:p>
            <w:pPr>
              <w:spacing w:after="0"/>
              <w:jc w:val="left"/>
            </w:pPr>
            <w:r/>
            <w:r>
              <w:rPr>
                <w:rFonts w:ascii="Arial" w:hAnsi="Arial"/>
                <w:b w:val="0"/>
                <w:i w:val="0"/>
                <w:color w:val="000000"/>
                <w:sz w:val="14"/>
              </w:rPr>
              <w:t>4</w:t>
            </w:r>
          </w:p>
        </w:tc>
        <w:tc>
          <w:tcPr>
            <w:tcW w:type="dxa" w:w="1368"/>
            <w:vAlign w:val="center"/>
          </w:tcPr>
          <w:p>
            <w:pPr>
              <w:spacing w:after="0"/>
              <w:jc w:val="left"/>
            </w:pPr>
            <w:r/>
            <w:r>
              <w:rPr>
                <w:rFonts w:ascii="Arial" w:hAnsi="Arial"/>
                <w:b w:val="0"/>
                <w:i w:val="0"/>
                <w:color w:val="000000"/>
                <w:sz w:val="14"/>
              </w:rPr>
              <w:t>16</w:t>
            </w:r>
          </w:p>
        </w:tc>
      </w:tr>
      <w:tr>
        <w:trPr>
          <w:cantSplit/>
        </w:trPr>
        <w:tc>
          <w:tcPr>
            <w:tcW w:type="dxa" w:w="3600"/>
            <w:vAlign w:val="center"/>
          </w:tcPr>
          <w:p>
            <w:pPr>
              <w:spacing w:after="0"/>
              <w:jc w:val="left"/>
            </w:pPr>
            <w:r/>
            <w:r>
              <w:rPr>
                <w:rFonts w:ascii="Arial" w:hAnsi="Arial"/>
                <w:b w:val="0"/>
                <w:i w:val="0"/>
                <w:color w:val="000000"/>
                <w:sz w:val="15"/>
              </w:rPr>
              <w:t>Confiabilidad y control local</w:t>
            </w:r>
          </w:p>
        </w:tc>
        <w:tc>
          <w:tcPr>
            <w:tcW w:type="dxa" w:w="936"/>
            <w:vAlign w:val="center"/>
          </w:tcPr>
          <w:p>
            <w:pPr>
              <w:spacing w:after="0"/>
              <w:jc w:val="left"/>
            </w:pPr>
            <w:r/>
            <w:r>
              <w:rPr>
                <w:rFonts w:ascii="Arial" w:hAnsi="Arial"/>
                <w:b w:val="0"/>
                <w:i w:val="0"/>
                <w:color w:val="000000"/>
                <w:sz w:val="14"/>
              </w:rPr>
              <w:t>15%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15</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9</w:t>
            </w:r>
          </w:p>
        </w:tc>
      </w:tr>
      <w:tr>
        <w:trPr>
          <w:cantSplit/>
        </w:trPr>
        <w:tc>
          <w:tcPr>
            <w:tcW w:type="dxa" w:w="3600"/>
            <w:vAlign w:val="center"/>
          </w:tcPr>
          <w:p>
            <w:pPr>
              <w:spacing w:after="0"/>
              <w:jc w:val="left"/>
            </w:pPr>
            <w:r/>
            <w:r>
              <w:rPr>
                <w:rFonts w:ascii="Arial" w:hAnsi="Arial"/>
                <w:b w:val="0"/>
                <w:i w:val="0"/>
                <w:color w:val="000000"/>
                <w:sz w:val="15"/>
              </w:rPr>
              <w:t>Costo</w:t>
            </w:r>
          </w:p>
        </w:tc>
        <w:tc>
          <w:tcPr>
            <w:tcW w:type="dxa" w:w="936"/>
            <w:vAlign w:val="center"/>
          </w:tcPr>
          <w:p>
            <w:pPr>
              <w:spacing w:after="0"/>
              <w:jc w:val="left"/>
            </w:pPr>
            <w:r/>
            <w:r>
              <w:rPr>
                <w:rFonts w:ascii="Arial" w:hAnsi="Arial"/>
                <w:b w:val="0"/>
                <w:i w:val="0"/>
                <w:color w:val="000000"/>
                <w:sz w:val="14"/>
              </w:rPr>
              <w:t>15%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15</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9</w:t>
            </w:r>
          </w:p>
        </w:tc>
      </w:tr>
      <w:tr>
        <w:trPr>
          <w:cantSplit/>
        </w:trPr>
        <w:tc>
          <w:tcPr>
            <w:tcW w:type="dxa" w:w="3600"/>
            <w:vAlign w:val="center"/>
          </w:tcPr>
          <w:p>
            <w:pPr>
              <w:spacing w:after="0"/>
              <w:jc w:val="left"/>
            </w:pPr>
            <w:r/>
            <w:r>
              <w:rPr>
                <w:rFonts w:ascii="Arial" w:hAnsi="Arial"/>
                <w:b w:val="0"/>
                <w:i w:val="0"/>
                <w:color w:val="000000"/>
                <w:sz w:val="15"/>
              </w:rPr>
              <w:t>Tiempo de desarrollo</w:t>
            </w:r>
          </w:p>
        </w:tc>
        <w:tc>
          <w:tcPr>
            <w:tcW w:type="dxa" w:w="936"/>
            <w:vAlign w:val="center"/>
          </w:tcPr>
          <w:p>
            <w:pPr>
              <w:spacing w:after="0"/>
              <w:jc w:val="left"/>
            </w:pPr>
            <w:r/>
            <w:r>
              <w:rPr>
                <w:rFonts w:ascii="Arial" w:hAnsi="Arial"/>
                <w:b w:val="0"/>
                <w:i w:val="0"/>
                <w:color w:val="000000"/>
                <w:sz w:val="14"/>
              </w:rPr>
              <w:t>10%</w:t>
            </w:r>
          </w:p>
        </w:tc>
        <w:tc>
          <w:tcPr>
            <w:tcW w:type="dxa" w:w="792"/>
            <w:vAlign w:val="center"/>
          </w:tcPr>
          <w:p>
            <w:pPr>
              <w:spacing w:after="0"/>
              <w:jc w:val="left"/>
            </w:pPr>
            <w:r/>
            <w:r>
              <w:rPr>
                <w:rFonts w:ascii="Arial" w:hAnsi="Arial"/>
                <w:b w:val="0"/>
                <w:i w:val="0"/>
                <w:color w:val="000000"/>
                <w:sz w:val="14"/>
              </w:rPr>
              <w:t>4</w:t>
            </w:r>
          </w:p>
        </w:tc>
        <w:tc>
          <w:tcPr>
            <w:tcW w:type="dxa" w:w="1368"/>
            <w:vAlign w:val="center"/>
          </w:tcPr>
          <w:p>
            <w:pPr>
              <w:spacing w:after="0"/>
              <w:jc w:val="left"/>
            </w:pPr>
            <w:r/>
            <w:r>
              <w:rPr>
                <w:rFonts w:ascii="Arial" w:hAnsi="Arial"/>
                <w:b w:val="0"/>
                <w:i w:val="0"/>
                <w:color w:val="000000"/>
                <w:sz w:val="14"/>
              </w:rPr>
              <w:t>8</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6</w:t>
            </w:r>
          </w:p>
        </w:tc>
      </w:tr>
      <w:tr>
        <w:trPr>
          <w:cantSplit/>
        </w:trPr>
        <w:tc>
          <w:tcPr>
            <w:tcW w:type="dxa" w:w="3600"/>
            <w:vAlign w:val="center"/>
          </w:tcPr>
          <w:p>
            <w:pPr>
              <w:spacing w:after="0"/>
              <w:jc w:val="left"/>
            </w:pPr>
            <w:r/>
            <w:r>
              <w:rPr>
                <w:rFonts w:ascii="Arial" w:hAnsi="Arial"/>
                <w:b w:val="0"/>
                <w:i w:val="0"/>
                <w:color w:val="000000"/>
                <w:sz w:val="15"/>
              </w:rPr>
              <w:t>Complejidad de integración</w:t>
            </w:r>
          </w:p>
        </w:tc>
        <w:tc>
          <w:tcPr>
            <w:tcW w:type="dxa" w:w="936"/>
            <w:vAlign w:val="center"/>
          </w:tcPr>
          <w:p>
            <w:pPr>
              <w:spacing w:after="0"/>
              <w:jc w:val="left"/>
            </w:pPr>
            <w:r/>
            <w:r>
              <w:rPr>
                <w:rFonts w:ascii="Arial" w:hAnsi="Arial"/>
                <w:b w:val="0"/>
                <w:i w:val="0"/>
                <w:color w:val="000000"/>
                <w:sz w:val="14"/>
              </w:rPr>
              <w:t>10%</w:t>
            </w:r>
          </w:p>
        </w:tc>
        <w:tc>
          <w:tcPr>
            <w:tcW w:type="dxa" w:w="792"/>
            <w:vAlign w:val="center"/>
          </w:tcPr>
          <w:p>
            <w:pPr>
              <w:spacing w:after="0"/>
              <w:jc w:val="left"/>
            </w:pPr>
            <w:r/>
            <w:r>
              <w:rPr>
                <w:rFonts w:ascii="Arial" w:hAnsi="Arial"/>
                <w:b w:val="0"/>
                <w:i w:val="0"/>
                <w:color w:val="000000"/>
                <w:sz w:val="14"/>
              </w:rPr>
              <w:t>4</w:t>
            </w:r>
          </w:p>
        </w:tc>
        <w:tc>
          <w:tcPr>
            <w:tcW w:type="dxa" w:w="1368"/>
            <w:vAlign w:val="center"/>
          </w:tcPr>
          <w:p>
            <w:pPr>
              <w:spacing w:after="0"/>
              <w:jc w:val="left"/>
            </w:pPr>
            <w:r/>
            <w:r>
              <w:rPr>
                <w:rFonts w:ascii="Arial" w:hAnsi="Arial"/>
                <w:b w:val="0"/>
                <w:i w:val="0"/>
                <w:color w:val="000000"/>
                <w:sz w:val="14"/>
              </w:rPr>
              <w:t>8</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6</w:t>
            </w:r>
          </w:p>
        </w:tc>
      </w:tr>
      <w:tr>
        <w:trPr>
          <w:cantSplit/>
        </w:trPr>
        <w:tc>
          <w:tcPr>
            <w:tcW w:type="dxa" w:w="3600"/>
            <w:vAlign w:val="center"/>
          </w:tcPr>
          <w:p>
            <w:pPr>
              <w:spacing w:after="0"/>
              <w:jc w:val="left"/>
            </w:pPr>
            <w:r/>
            <w:r>
              <w:rPr>
                <w:rFonts w:ascii="Arial" w:hAnsi="Arial"/>
                <w:b w:val="0"/>
                <w:i w:val="0"/>
                <w:color w:val="000000"/>
                <w:sz w:val="15"/>
              </w:rPr>
              <w:t>Escalabilidad</w:t>
            </w:r>
          </w:p>
        </w:tc>
        <w:tc>
          <w:tcPr>
            <w:tcW w:type="dxa" w:w="936"/>
            <w:vAlign w:val="center"/>
          </w:tcPr>
          <w:p>
            <w:pPr>
              <w:spacing w:after="0"/>
              <w:jc w:val="left"/>
            </w:pPr>
            <w:r/>
            <w:r>
              <w:rPr>
                <w:rFonts w:ascii="Arial" w:hAnsi="Arial"/>
                <w:b w:val="0"/>
                <w:i w:val="0"/>
                <w:color w:val="000000"/>
                <w:sz w:val="14"/>
              </w:rPr>
              <w:t>10%</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10</w:t>
            </w:r>
          </w:p>
        </w:tc>
        <w:tc>
          <w:tcPr>
            <w:tcW w:type="dxa" w:w="792"/>
            <w:vAlign w:val="center"/>
          </w:tcPr>
          <w:p>
            <w:pPr>
              <w:spacing w:after="0"/>
              <w:jc w:val="left"/>
            </w:pPr>
            <w:r/>
            <w:r>
              <w:rPr>
                <w:rFonts w:ascii="Arial" w:hAnsi="Arial"/>
                <w:b w:val="0"/>
                <w:i w:val="0"/>
                <w:color w:val="000000"/>
                <w:sz w:val="14"/>
              </w:rPr>
              <w:t>4</w:t>
            </w:r>
          </w:p>
        </w:tc>
        <w:tc>
          <w:tcPr>
            <w:tcW w:type="dxa" w:w="1368"/>
            <w:vAlign w:val="center"/>
          </w:tcPr>
          <w:p>
            <w:pPr>
              <w:spacing w:after="0"/>
              <w:jc w:val="left"/>
            </w:pPr>
            <w:r/>
            <w:r>
              <w:rPr>
                <w:rFonts w:ascii="Arial" w:hAnsi="Arial"/>
                <w:b w:val="0"/>
                <w:i w:val="0"/>
                <w:color w:val="000000"/>
                <w:sz w:val="14"/>
              </w:rPr>
              <w:t>8</w:t>
            </w:r>
          </w:p>
        </w:tc>
      </w:tr>
      <w:tr>
        <w:trPr>
          <w:cantSplit/>
        </w:trPr>
        <w:tc>
          <w:tcPr>
            <w:tcW w:type="dxa" w:w="3600"/>
            <w:vAlign w:val="center"/>
          </w:tcPr>
          <w:p>
            <w:pPr>
              <w:spacing w:after="0"/>
              <w:jc w:val="left"/>
            </w:pPr>
            <w:r/>
            <w:r>
              <w:rPr>
                <w:rFonts w:ascii="Arial" w:hAnsi="Arial"/>
                <w:b w:val="0"/>
                <w:i w:val="0"/>
                <w:color w:val="000000"/>
                <w:sz w:val="15"/>
              </w:rPr>
              <w:t>Consumo energético</w:t>
            </w:r>
          </w:p>
        </w:tc>
        <w:tc>
          <w:tcPr>
            <w:tcW w:type="dxa" w:w="936"/>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3</w:t>
            </w:r>
          </w:p>
        </w:tc>
      </w:tr>
      <w:tr>
        <w:trPr>
          <w:cantSplit/>
        </w:trPr>
        <w:tc>
          <w:tcPr>
            <w:tcW w:type="dxa" w:w="3600"/>
            <w:vAlign w:val="center"/>
          </w:tcPr>
          <w:p>
            <w:pPr>
              <w:spacing w:after="0"/>
              <w:jc w:val="left"/>
            </w:pPr>
            <w:r/>
            <w:r>
              <w:rPr>
                <w:rFonts w:ascii="Arial" w:hAnsi="Arial"/>
                <w:b w:val="0"/>
                <w:i w:val="0"/>
                <w:color w:val="000000"/>
                <w:sz w:val="15"/>
              </w:rPr>
              <w:t>Mantenimiento / reparabilidad</w:t>
            </w:r>
          </w:p>
        </w:tc>
        <w:tc>
          <w:tcPr>
            <w:tcW w:type="dxa" w:w="936"/>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3</w:t>
            </w:r>
          </w:p>
        </w:tc>
      </w:tr>
      <w:tr>
        <w:trPr>
          <w:cantSplit/>
        </w:trPr>
        <w:tc>
          <w:tcPr>
            <w:tcW w:type="dxa" w:w="3600"/>
            <w:vAlign w:val="center"/>
          </w:tcPr>
          <w:p>
            <w:pPr>
              <w:spacing w:after="0"/>
              <w:jc w:val="left"/>
            </w:pPr>
            <w:r/>
            <w:r>
              <w:rPr>
                <w:rFonts w:ascii="Arial" w:hAnsi="Arial"/>
                <w:b w:val="0"/>
                <w:i w:val="0"/>
                <w:color w:val="000000"/>
                <w:sz w:val="15"/>
              </w:rPr>
              <w:t>Flexibilidad de software y perfiles</w:t>
            </w:r>
          </w:p>
        </w:tc>
        <w:tc>
          <w:tcPr>
            <w:tcW w:type="dxa" w:w="936"/>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5</w:t>
            </w:r>
          </w:p>
        </w:tc>
      </w:tr>
      <w:tr>
        <w:trPr>
          <w:cantSplit/>
        </w:trPr>
        <w:tc>
          <w:tcPr>
            <w:tcW w:type="dxa" w:w="3600"/>
            <w:vAlign w:val="center"/>
          </w:tcPr>
          <w:p>
            <w:pPr>
              <w:spacing w:after="0"/>
              <w:jc w:val="left"/>
            </w:pPr>
            <w:r/>
            <w:r>
              <w:rPr>
                <w:rFonts w:ascii="Arial" w:hAnsi="Arial"/>
                <w:b w:val="0"/>
                <w:i w:val="0"/>
                <w:color w:val="000000"/>
                <w:sz w:val="15"/>
              </w:rPr>
              <w:t>Seguridad y tolerancia a fallos</w:t>
            </w:r>
          </w:p>
        </w:tc>
        <w:tc>
          <w:tcPr>
            <w:tcW w:type="dxa" w:w="936"/>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4</w:t>
            </w:r>
          </w:p>
        </w:tc>
        <w:tc>
          <w:tcPr>
            <w:tcW w:type="dxa" w:w="1368"/>
            <w:vAlign w:val="center"/>
          </w:tcPr>
          <w:p>
            <w:pPr>
              <w:spacing w:after="0"/>
              <w:jc w:val="left"/>
            </w:pPr>
            <w:r/>
            <w:r>
              <w:rPr>
                <w:rFonts w:ascii="Arial" w:hAnsi="Arial"/>
                <w:b w:val="0"/>
                <w:i w:val="0"/>
                <w:color w:val="000000"/>
                <w:sz w:val="14"/>
              </w:rPr>
              <w:t>4</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3</w:t>
            </w:r>
          </w:p>
        </w:tc>
      </w:tr>
      <w:tr>
        <w:trPr>
          <w:cantSplit/>
        </w:trPr>
        <w:tc>
          <w:tcPr>
            <w:tcW w:type="dxa" w:w="3600"/>
            <w:vAlign w:val="center"/>
          </w:tcPr>
          <w:p>
            <w:pPr>
              <w:spacing w:after="0"/>
              <w:jc w:val="left"/>
            </w:pPr>
            <w:r>
              <w:rPr>
                <w:b/>
              </w:rPr>
            </w:r>
            <w:r>
              <w:rPr>
                <w:rFonts w:ascii="Arial" w:hAnsi="Arial"/>
                <w:b/>
                <w:i w:val="0"/>
                <w:color w:val="000000"/>
                <w:sz w:val="15"/>
              </w:rPr>
              <w:t>TOTAL</w:t>
            </w:r>
          </w:p>
        </w:tc>
        <w:tc>
          <w:tcPr>
            <w:tcW w:type="dxa" w:w="936"/>
            <w:vAlign w:val="center"/>
          </w:tcPr>
          <w:p>
            <w:pPr>
              <w:spacing w:after="0"/>
              <w:jc w:val="left"/>
            </w:pPr>
            <w:r>
              <w:rPr>
                <w:b/>
              </w:rPr>
            </w:r>
            <w:r>
              <w:rPr>
                <w:rFonts w:ascii="Arial" w:hAnsi="Arial"/>
                <w:b/>
                <w:i w:val="0"/>
                <w:color w:val="000000"/>
                <w:sz w:val="14"/>
              </w:rPr>
              <w:t>100%</w:t>
            </w:r>
          </w:p>
        </w:tc>
        <w:tc>
          <w:tcPr>
            <w:tcW w:type="dxa" w:w="792"/>
            <w:vAlign w:val="center"/>
          </w:tcPr>
          <w:p>
            <w:pPr>
              <w:spacing w:after="0"/>
              <w:jc w:val="left"/>
            </w:pPr>
            <w:r>
              <w:rPr>
                <w:b/>
              </w:rPr>
            </w:r>
            <w:r>
              <w:rPr>
                <w:rFonts w:ascii="Arial" w:hAnsi="Arial"/>
                <w:b/>
                <w:i w:val="0"/>
                <w:color w:val="000000"/>
                <w:sz w:val="14"/>
              </w:rPr>
            </w:r>
          </w:p>
        </w:tc>
        <w:tc>
          <w:tcPr>
            <w:tcW w:type="dxa" w:w="1368"/>
            <w:vAlign w:val="center"/>
          </w:tcPr>
          <w:p>
            <w:pPr>
              <w:spacing w:after="0"/>
              <w:jc w:val="left"/>
            </w:pPr>
            <w:r>
              <w:rPr>
                <w:b/>
              </w:rPr>
            </w:r>
            <w:r>
              <w:rPr>
                <w:rFonts w:ascii="Arial" w:hAnsi="Arial"/>
                <w:b/>
                <w:i w:val="0"/>
                <w:color w:val="000000"/>
                <w:sz w:val="14"/>
              </w:rPr>
              <w:t>95/100</w:t>
            </w:r>
          </w:p>
        </w:tc>
        <w:tc>
          <w:tcPr>
            <w:tcW w:type="dxa" w:w="792"/>
            <w:vAlign w:val="center"/>
          </w:tcPr>
          <w:p>
            <w:pPr>
              <w:spacing w:after="0"/>
              <w:jc w:val="left"/>
            </w:pPr>
            <w:r>
              <w:rPr>
                <w:b/>
              </w:rPr>
            </w:r>
            <w:r>
              <w:rPr>
                <w:rFonts w:ascii="Arial" w:hAnsi="Arial"/>
                <w:b/>
                <w:i w:val="0"/>
                <w:color w:val="000000"/>
                <w:sz w:val="14"/>
              </w:rPr>
            </w:r>
          </w:p>
        </w:tc>
        <w:tc>
          <w:tcPr>
            <w:tcW w:type="dxa" w:w="1368"/>
            <w:vAlign w:val="center"/>
          </w:tcPr>
          <w:p>
            <w:pPr>
              <w:spacing w:after="0"/>
              <w:jc w:val="left"/>
            </w:pPr>
            <w:r>
              <w:rPr>
                <w:b/>
              </w:rPr>
            </w:r>
            <w:r>
              <w:rPr>
                <w:rFonts w:ascii="Arial" w:hAnsi="Arial"/>
                <w:b/>
                <w:i w:val="0"/>
                <w:color w:val="000000"/>
                <w:sz w:val="14"/>
              </w:rPr>
              <w:t>68/100</w:t>
            </w:r>
          </w:p>
        </w:tc>
      </w:tr>
    </w:tbl>
    <w:p>
      <w:pPr>
        <w:spacing w:after="20"/>
      </w:pPr>
    </w:p>
    <w:p>
      <w:pPr>
        <w:spacing w:before="160" w:after="80"/>
      </w:pPr>
      <w:r>
        <w:rPr>
          <w:rFonts w:ascii="Arial" w:hAnsi="Arial"/>
          <w:b/>
          <w:i w:val="0"/>
          <w:color w:val="000000"/>
          <w:sz w:val="28"/>
        </w:rPr>
        <w:t>5. Alternativa seleccionada y justificación</w:t>
      </w:r>
    </w:p>
    <w:p>
      <w:pPr>
        <w:spacing w:after="80"/>
      </w:pPr>
      <w:r>
        <w:rPr>
          <w:rFonts w:ascii="Arial" w:hAnsi="Arial"/>
          <w:b w:val="0"/>
          <w:i w:val="0"/>
          <w:color w:val="000000"/>
          <w:sz w:val="21"/>
        </w:rPr>
        <w:t>Se selecciona la Alternativa A: ESP32 como controlador local + procesamiento externo. Obtiene 95/100 frente a 68/100 de la alternativa con Raspberry Pi. La decisión no se basa únicamente en que el ESP32 ya esté disponible o resulte familiar: para una sola torre, sus recursos son suficientes para adquisición, control, temporización y seguridad, mientras que el procesamiento de usuarios, historial, perfiles, red social y análisis se desplaza al servidor. La Raspberry Pi aporta más capacidad de cómputo, pero esa capacidad no compensa en esta etapa el mayor costo, el sistema operativo, almacenamiento microSD, consumo, tiempo de arranque y mantenimiento adicional. Además, replicar un ESP32 por torre permite escalar por zonas con menor costo.</w:t>
      </w:r>
    </w:p>
    <w:p>
      <w:pPr>
        <w:spacing w:after="80"/>
      </w:pPr>
      <w:r>
        <w:rPr>
          <w:rFonts w:ascii="Arial" w:hAnsi="Arial"/>
          <w:b w:val="0"/>
          <w:i w:val="0"/>
          <w:color w:val="000000"/>
          <w:sz w:val="21"/>
        </w:rPr>
        <w:t>La Raspberry Pi se conserva como alternativa futura de gateway local cuando exista más de una torre, se requiera operación de servicios locales independientes de Internet o se incorporen tareas pesadas como visión artificial.</w:t>
      </w:r>
    </w:p>
    <w:p>
      <w:pPr>
        <w:spacing w:before="160" w:after="80"/>
      </w:pPr>
      <w:r>
        <w:rPr>
          <w:rFonts w:ascii="Arial" w:hAnsi="Arial"/>
          <w:b/>
          <w:i w:val="0"/>
          <w:color w:val="000000"/>
          <w:sz w:val="28"/>
        </w:rPr>
        <w:t>6. Backend, base de datos, aplicación y procesamiento externo</w:t>
      </w:r>
    </w:p>
    <w:p>
      <w:pPr>
        <w:spacing w:after="20"/>
        <w:ind w:left="389" w:hanging="230"/>
      </w:pPr>
      <w:r>
        <w:rPr>
          <w:rFonts w:ascii="Arial" w:hAnsi="Arial"/>
          <w:b w:val="0"/>
          <w:i w:val="0"/>
          <w:color w:val="000000"/>
          <w:sz w:val="20"/>
        </w:rPr>
        <w:t>• Backend: Laravel API. Laravel Sanctum admite autenticación de aplicaciones móviles mediante tokens Bearer y permite revocarlos [5].</w:t>
      </w:r>
    </w:p>
    <w:p>
      <w:pPr>
        <w:spacing w:after="20"/>
        <w:ind w:left="389" w:hanging="230"/>
      </w:pPr>
      <w:r>
        <w:rPr>
          <w:rFonts w:ascii="Arial" w:hAnsi="Arial"/>
          <w:b w:val="0"/>
          <w:i w:val="0"/>
          <w:color w:val="000000"/>
          <w:sz w:val="20"/>
        </w:rPr>
        <w:t>• Broker IoT: Mosquitto compatible con MQTT; MQTT/TLS se utilizará para dispositivo-servidor.</w:t>
      </w:r>
    </w:p>
    <w:p>
      <w:pPr>
        <w:spacing w:after="20"/>
        <w:ind w:left="389" w:hanging="230"/>
      </w:pPr>
      <w:r>
        <w:rPr>
          <w:rFonts w:ascii="Arial" w:hAnsi="Arial"/>
          <w:b w:val="0"/>
          <w:i w:val="0"/>
          <w:color w:val="000000"/>
          <w:sz w:val="20"/>
        </w:rPr>
        <w:t>• Base de datos: PostgreSQL, sistema relacional open source con enfoque en integridad y confiabilidad [7].</w:t>
      </w:r>
    </w:p>
    <w:p>
      <w:pPr>
        <w:spacing w:after="20"/>
        <w:ind w:left="389" w:hanging="230"/>
      </w:pPr>
      <w:r>
        <w:rPr>
          <w:rFonts w:ascii="Arial" w:hAnsi="Arial"/>
          <w:b w:val="0"/>
          <w:i w:val="0"/>
          <w:color w:val="000000"/>
          <w:sz w:val="20"/>
        </w:rPr>
        <w:t>• Frontend: aplicación Android nativa. Consumirá HTTPS/REST y recibirá notificaciones push.</w:t>
      </w:r>
    </w:p>
    <w:p>
      <w:pPr>
        <w:spacing w:after="20"/>
        <w:ind w:left="389" w:hanging="230"/>
      </w:pPr>
      <w:r>
        <w:rPr>
          <w:rFonts w:ascii="Arial" w:hAnsi="Arial"/>
          <w:b w:val="0"/>
          <w:i w:val="0"/>
          <w:color w:val="000000"/>
          <w:sz w:val="20"/>
        </w:rPr>
        <w:t>• Notificaciones: Firebase Cloud Messaging (FCM), servicio reportado como sin costo [8].</w:t>
      </w:r>
    </w:p>
    <w:p>
      <w:pPr>
        <w:spacing w:after="20"/>
        <w:ind w:left="389" w:hanging="230"/>
      </w:pPr>
      <w:r>
        <w:rPr>
          <w:rFonts w:ascii="Arial" w:hAnsi="Arial"/>
          <w:b w:val="0"/>
          <w:i w:val="0"/>
          <w:color w:val="000000"/>
          <w:sz w:val="20"/>
        </w:rPr>
        <w:t>• Servidor de desarrollo: PC existente para evitar costo recurrente mientras se implementa.</w:t>
      </w:r>
    </w:p>
    <w:p>
      <w:pPr>
        <w:spacing w:after="20"/>
        <w:ind w:left="389" w:hanging="230"/>
      </w:pPr>
      <w:r>
        <w:rPr>
          <w:rFonts w:ascii="Arial" w:hAnsi="Arial"/>
          <w:b w:val="0"/>
          <w:i w:val="0"/>
          <w:color w:val="000000"/>
          <w:sz w:val="20"/>
        </w:rPr>
        <w:t>• Servidor remoto de producción/prototipo: VPS. Como referencia, DigitalOcean publica un Basic Droplet de 2 GiB, 1 vCPU y 50 GiB SSD por USD 12/mes [9].</w:t>
      </w:r>
    </w:p>
    <w:p>
      <w:pPr>
        <w:spacing w:before="160" w:after="80"/>
      </w:pPr>
      <w:r>
        <w:rPr>
          <w:rFonts w:ascii="Arial" w:hAnsi="Arial"/>
          <w:b/>
          <w:i w:val="0"/>
          <w:color w:val="000000"/>
          <w:sz w:val="28"/>
        </w:rPr>
        <w:t>7. Lista preliminar de materiales y costo</w:t>
      </w:r>
    </w:p>
    <w:p>
      <w:pPr>
        <w:spacing w:after="80"/>
      </w:pPr>
      <w:r>
        <w:rPr>
          <w:rFonts w:ascii="Arial" w:hAnsi="Arial"/>
          <w:b w:val="0"/>
          <w:i w:val="0"/>
          <w:color w:val="000000"/>
          <w:sz w:val="21"/>
        </w:rPr>
        <w:t>Los precios siguientes son referencias consultadas en septiembre de 2026 o estimaciones claramente señaladas. Pueden cambiar por disponibilidad, envío y proveedor. El ESP32 ya está disponible, por lo que su costo incremental es $0 aunque se conserva su valor de mercado como referencia.</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224"/>
            <w:vAlign w:val="center"/>
            <w:shd w:fill="E7E7E7"/>
          </w:tcPr>
          <w:p>
            <w:pPr>
              <w:spacing w:after="0"/>
              <w:jc w:val="center"/>
            </w:pPr>
            <w:r/>
            <w:r>
              <w:rPr>
                <w:rFonts w:ascii="Arial" w:hAnsi="Arial"/>
                <w:b/>
                <w:i w:val="0"/>
                <w:color w:val="000000"/>
                <w:sz w:val="16"/>
              </w:rPr>
              <w:t>Bloque</w:t>
            </w:r>
          </w:p>
        </w:tc>
        <w:tc>
          <w:tcPr>
            <w:tcW w:type="dxa" w:w="2952"/>
            <w:vAlign w:val="center"/>
            <w:shd w:fill="E7E7E7"/>
          </w:tcPr>
          <w:p>
            <w:pPr>
              <w:spacing w:after="0"/>
              <w:jc w:val="center"/>
            </w:pPr>
            <w:r/>
            <w:r>
              <w:rPr>
                <w:rFonts w:ascii="Arial" w:hAnsi="Arial"/>
                <w:b/>
                <w:i w:val="0"/>
                <w:color w:val="000000"/>
                <w:sz w:val="16"/>
              </w:rPr>
              <w:t>Modelo / descripción</w:t>
            </w:r>
          </w:p>
        </w:tc>
        <w:tc>
          <w:tcPr>
            <w:tcW w:type="dxa" w:w="648"/>
            <w:vAlign w:val="center"/>
            <w:shd w:fill="E7E7E7"/>
          </w:tcPr>
          <w:p>
            <w:pPr>
              <w:spacing w:after="0"/>
              <w:jc w:val="center"/>
            </w:pPr>
            <w:r/>
            <w:r>
              <w:rPr>
                <w:rFonts w:ascii="Arial" w:hAnsi="Arial"/>
                <w:b/>
                <w:i w:val="0"/>
                <w:color w:val="000000"/>
                <w:sz w:val="16"/>
              </w:rPr>
              <w:t>Cant.</w:t>
            </w:r>
          </w:p>
        </w:tc>
        <w:tc>
          <w:tcPr>
            <w:tcW w:type="dxa" w:w="1008"/>
            <w:vAlign w:val="center"/>
            <w:shd w:fill="E7E7E7"/>
          </w:tcPr>
          <w:p>
            <w:pPr>
              <w:spacing w:after="0"/>
              <w:jc w:val="center"/>
            </w:pPr>
            <w:r/>
            <w:r>
              <w:rPr>
                <w:rFonts w:ascii="Arial" w:hAnsi="Arial"/>
                <w:b/>
                <w:i w:val="0"/>
                <w:color w:val="000000"/>
                <w:sz w:val="16"/>
              </w:rPr>
              <w:t>Costo unit.</w:t>
            </w:r>
          </w:p>
        </w:tc>
        <w:tc>
          <w:tcPr>
            <w:tcW w:type="dxa" w:w="1008"/>
            <w:vAlign w:val="center"/>
            <w:shd w:fill="E7E7E7"/>
          </w:tcPr>
          <w:p>
            <w:pPr>
              <w:spacing w:after="0"/>
              <w:jc w:val="center"/>
            </w:pPr>
            <w:r/>
            <w:r>
              <w:rPr>
                <w:rFonts w:ascii="Arial" w:hAnsi="Arial"/>
                <w:b/>
                <w:i w:val="0"/>
                <w:color w:val="000000"/>
                <w:sz w:val="16"/>
              </w:rPr>
              <w:t>Subtotal</w:t>
            </w:r>
          </w:p>
        </w:tc>
        <w:tc>
          <w:tcPr>
            <w:tcW w:type="dxa" w:w="2376"/>
            <w:vAlign w:val="center"/>
            <w:shd w:fill="E7E7E7"/>
          </w:tcPr>
          <w:p>
            <w:pPr>
              <w:spacing w:after="0"/>
              <w:jc w:val="center"/>
            </w:pPr>
            <w:r/>
            <w:r>
              <w:rPr>
                <w:rFonts w:ascii="Arial" w:hAnsi="Arial"/>
                <w:b/>
                <w:i w:val="0"/>
                <w:color w:val="000000"/>
                <w:sz w:val="16"/>
              </w:rPr>
              <w:t>Fuente / estado</w:t>
            </w:r>
          </w:p>
        </w:tc>
      </w:tr>
      <w:tr>
        <w:trPr>
          <w:cantSplit/>
        </w:trPr>
        <w:tc>
          <w:tcPr>
            <w:tcW w:type="dxa" w:w="1224"/>
            <w:vAlign w:val="center"/>
          </w:tcPr>
          <w:p>
            <w:pPr>
              <w:spacing w:after="0"/>
              <w:jc w:val="left"/>
            </w:pPr>
            <w:r/>
            <w:r>
              <w:rPr>
                <w:rFonts w:ascii="Arial" w:hAnsi="Arial"/>
                <w:b w:val="0"/>
                <w:i w:val="0"/>
                <w:color w:val="000000"/>
                <w:sz w:val="13"/>
              </w:rPr>
              <w:t>Control</w:t>
            </w:r>
          </w:p>
        </w:tc>
        <w:tc>
          <w:tcPr>
            <w:tcW w:type="dxa" w:w="2952"/>
            <w:vAlign w:val="center"/>
          </w:tcPr>
          <w:p>
            <w:pPr>
              <w:spacing w:after="0"/>
              <w:jc w:val="left"/>
            </w:pPr>
            <w:r/>
            <w:r>
              <w:rPr>
                <w:rFonts w:ascii="Arial" w:hAnsi="Arial"/>
                <w:b w:val="0"/>
                <w:i w:val="0"/>
                <w:color w:val="000000"/>
                <w:sz w:val="13"/>
              </w:rPr>
              <w:t>ESP32 DevKit V1</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$0</w:t>
            </w:r>
          </w:p>
        </w:tc>
        <w:tc>
          <w:tcPr>
            <w:tcW w:type="dxa" w:w="1008"/>
            <w:vAlign w:val="center"/>
          </w:tcPr>
          <w:p>
            <w:pPr>
              <w:spacing w:after="0"/>
              <w:jc w:val="left"/>
            </w:pPr>
            <w:r/>
            <w:r>
              <w:rPr>
                <w:rFonts w:ascii="Arial" w:hAnsi="Arial"/>
                <w:b w:val="0"/>
                <w:i w:val="0"/>
                <w:color w:val="000000"/>
                <w:sz w:val="13"/>
              </w:rPr>
              <w:t>$0</w:t>
            </w:r>
          </w:p>
        </w:tc>
        <w:tc>
          <w:tcPr>
            <w:tcW w:type="dxa" w:w="2376"/>
            <w:vAlign w:val="center"/>
          </w:tcPr>
          <w:p>
            <w:pPr>
              <w:spacing w:after="0"/>
              <w:jc w:val="left"/>
            </w:pPr>
            <w:r/>
            <w:r>
              <w:rPr>
                <w:rFonts w:ascii="Arial" w:hAnsi="Arial"/>
                <w:b w:val="0"/>
                <w:i w:val="0"/>
                <w:color w:val="000000"/>
                <w:sz w:val="12"/>
              </w:rPr>
              <w:t>Ya disponible; mercado $133–146 [11]</w:t>
            </w:r>
          </w:p>
        </w:tc>
      </w:tr>
      <w:tr>
        <w:trPr>
          <w:cantSplit/>
        </w:trPr>
        <w:tc>
          <w:tcPr>
            <w:tcW w:type="dxa" w:w="1224"/>
            <w:vAlign w:val="center"/>
          </w:tcPr>
          <w:p>
            <w:pPr>
              <w:spacing w:after="0"/>
              <w:jc w:val="left"/>
            </w:pPr>
            <w:r/>
            <w:r>
              <w:rPr>
                <w:rFonts w:ascii="Arial" w:hAnsi="Arial"/>
                <w:b w:val="0"/>
                <w:i w:val="0"/>
                <w:color w:val="000000"/>
                <w:sz w:val="13"/>
              </w:rPr>
              <w:t>Herramienta</w:t>
            </w:r>
          </w:p>
        </w:tc>
        <w:tc>
          <w:tcPr>
            <w:tcW w:type="dxa" w:w="2952"/>
            <w:vAlign w:val="center"/>
          </w:tcPr>
          <w:p>
            <w:pPr>
              <w:spacing w:after="0"/>
              <w:jc w:val="left"/>
            </w:pPr>
            <w:r/>
            <w:r>
              <w:rPr>
                <w:rFonts w:ascii="Arial" w:hAnsi="Arial"/>
                <w:b w:val="0"/>
                <w:i w:val="0"/>
                <w:color w:val="000000"/>
                <w:sz w:val="13"/>
              </w:rPr>
              <w:t>Pistola de calor 2000 W</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$250</w:t>
            </w:r>
          </w:p>
        </w:tc>
        <w:tc>
          <w:tcPr>
            <w:tcW w:type="dxa" w:w="1008"/>
            <w:vAlign w:val="center"/>
          </w:tcPr>
          <w:p>
            <w:pPr>
              <w:spacing w:after="0"/>
              <w:jc w:val="left"/>
            </w:pPr>
            <w:r/>
            <w:r>
              <w:rPr>
                <w:rFonts w:ascii="Arial" w:hAnsi="Arial"/>
                <w:b w:val="0"/>
                <w:i w:val="0"/>
                <w:color w:val="000000"/>
                <w:sz w:val="13"/>
              </w:rPr>
              <w:t>$250</w:t>
            </w:r>
          </w:p>
        </w:tc>
        <w:tc>
          <w:tcPr>
            <w:tcW w:type="dxa" w:w="2376"/>
            <w:vAlign w:val="center"/>
          </w:tcPr>
          <w:p>
            <w:pPr>
              <w:spacing w:after="0"/>
              <w:jc w:val="left"/>
            </w:pPr>
            <w:r/>
            <w:r>
              <w:rPr>
                <w:rFonts w:ascii="Arial" w:hAnsi="Arial"/>
                <w:b w:val="0"/>
                <w:i w:val="0"/>
                <w:color w:val="000000"/>
                <w:sz w:val="12"/>
              </w:rPr>
              <w:t>Costo real ya pagado</w:t>
            </w:r>
          </w:p>
        </w:tc>
      </w:tr>
      <w:tr>
        <w:trPr>
          <w:cantSplit/>
        </w:trPr>
        <w:tc>
          <w:tcPr>
            <w:tcW w:type="dxa" w:w="1224"/>
            <w:vAlign w:val="center"/>
          </w:tcPr>
          <w:p>
            <w:pPr>
              <w:spacing w:after="0"/>
              <w:jc w:val="left"/>
            </w:pPr>
            <w:r/>
            <w:r>
              <w:rPr>
                <w:rFonts w:ascii="Arial" w:hAnsi="Arial"/>
                <w:b w:val="0"/>
                <w:i w:val="0"/>
                <w:color w:val="000000"/>
                <w:sz w:val="13"/>
              </w:rPr>
              <w:t>Estructura</w:t>
            </w:r>
          </w:p>
        </w:tc>
        <w:tc>
          <w:tcPr>
            <w:tcW w:type="dxa" w:w="2952"/>
            <w:vAlign w:val="center"/>
          </w:tcPr>
          <w:p>
            <w:pPr>
              <w:spacing w:after="0"/>
              <w:jc w:val="left"/>
            </w:pPr>
            <w:r/>
            <w:r>
              <w:rPr>
                <w:rFonts w:ascii="Arial" w:hAnsi="Arial"/>
                <w:b w:val="0"/>
                <w:i w:val="0"/>
                <w:color w:val="000000"/>
                <w:sz w:val="13"/>
              </w:rPr>
              <w:t>PVC sanitario 6", ~1.3 m</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$579</w:t>
            </w:r>
          </w:p>
        </w:tc>
        <w:tc>
          <w:tcPr>
            <w:tcW w:type="dxa" w:w="1008"/>
            <w:vAlign w:val="center"/>
          </w:tcPr>
          <w:p>
            <w:pPr>
              <w:spacing w:after="0"/>
              <w:jc w:val="left"/>
            </w:pPr>
            <w:r/>
            <w:r>
              <w:rPr>
                <w:rFonts w:ascii="Arial" w:hAnsi="Arial"/>
                <w:b w:val="0"/>
                <w:i w:val="0"/>
                <w:color w:val="000000"/>
                <w:sz w:val="13"/>
              </w:rPr>
              <w:t>$579</w:t>
            </w:r>
          </w:p>
        </w:tc>
        <w:tc>
          <w:tcPr>
            <w:tcW w:type="dxa" w:w="2376"/>
            <w:vAlign w:val="center"/>
          </w:tcPr>
          <w:p>
            <w:pPr>
              <w:spacing w:after="0"/>
              <w:jc w:val="left"/>
            </w:pPr>
            <w:r/>
            <w:r>
              <w:rPr>
                <w:rFonts w:ascii="Arial" w:hAnsi="Arial"/>
                <w:b w:val="0"/>
                <w:i w:val="0"/>
                <w:color w:val="000000"/>
                <w:sz w:val="12"/>
              </w:rPr>
              <w:t>Estimado desde $445/m [31]; buscar recorte local</w:t>
            </w:r>
          </w:p>
        </w:tc>
      </w:tr>
      <w:tr>
        <w:trPr>
          <w:cantSplit/>
        </w:trPr>
        <w:tc>
          <w:tcPr>
            <w:tcW w:type="dxa" w:w="1224"/>
            <w:vAlign w:val="center"/>
          </w:tcPr>
          <w:p>
            <w:pPr>
              <w:spacing w:after="0"/>
              <w:jc w:val="left"/>
            </w:pPr>
            <w:r/>
            <w:r>
              <w:rPr>
                <w:rFonts w:ascii="Arial" w:hAnsi="Arial"/>
                <w:b w:val="0"/>
                <w:i w:val="0"/>
                <w:color w:val="000000"/>
                <w:sz w:val="13"/>
              </w:rPr>
              <w:t>Hidráulica</w:t>
            </w:r>
          </w:p>
        </w:tc>
        <w:tc>
          <w:tcPr>
            <w:tcW w:type="dxa" w:w="2952"/>
            <w:vAlign w:val="center"/>
          </w:tcPr>
          <w:p>
            <w:pPr>
              <w:spacing w:after="0"/>
              <w:jc w:val="left"/>
            </w:pPr>
            <w:r/>
            <w:r>
              <w:rPr>
                <w:rFonts w:ascii="Arial" w:hAnsi="Arial"/>
                <w:b w:val="0"/>
                <w:i w:val="0"/>
                <w:color w:val="000000"/>
                <w:sz w:val="13"/>
              </w:rPr>
              <w:t>PVC 3/4", manguera, válvula y adaptadores</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$250</w:t>
            </w:r>
          </w:p>
        </w:tc>
        <w:tc>
          <w:tcPr>
            <w:tcW w:type="dxa" w:w="1008"/>
            <w:vAlign w:val="center"/>
          </w:tcPr>
          <w:p>
            <w:pPr>
              <w:spacing w:after="0"/>
              <w:jc w:val="left"/>
            </w:pPr>
            <w:r/>
            <w:r>
              <w:rPr>
                <w:rFonts w:ascii="Arial" w:hAnsi="Arial"/>
                <w:b w:val="0"/>
                <w:i w:val="0"/>
                <w:color w:val="000000"/>
                <w:sz w:val="13"/>
              </w:rPr>
              <w:t>$250</w:t>
            </w:r>
          </w:p>
        </w:tc>
        <w:tc>
          <w:tcPr>
            <w:tcW w:type="dxa" w:w="2376"/>
            <w:vAlign w:val="center"/>
          </w:tcPr>
          <w:p>
            <w:pPr>
              <w:spacing w:after="0"/>
              <w:jc w:val="left"/>
            </w:pPr>
            <w:r/>
            <w:r>
              <w:rPr>
                <w:rFonts w:ascii="Arial" w:hAnsi="Arial"/>
                <w:b w:val="0"/>
                <w:i w:val="0"/>
                <w:color w:val="000000"/>
                <w:sz w:val="12"/>
              </w:rPr>
              <w:t>Estimación preliminar; cotizar local</w:t>
            </w:r>
          </w:p>
        </w:tc>
      </w:tr>
      <w:tr>
        <w:trPr>
          <w:cantSplit/>
        </w:trPr>
        <w:tc>
          <w:tcPr>
            <w:tcW w:type="dxa" w:w="1224"/>
            <w:vAlign w:val="center"/>
          </w:tcPr>
          <w:p>
            <w:pPr>
              <w:spacing w:after="0"/>
              <w:jc w:val="left"/>
            </w:pPr>
            <w:r/>
            <w:r>
              <w:rPr>
                <w:rFonts w:ascii="Arial" w:hAnsi="Arial"/>
                <w:b w:val="0"/>
                <w:i w:val="0"/>
                <w:color w:val="000000"/>
                <w:sz w:val="13"/>
              </w:rPr>
              <w:t>Depósito</w:t>
            </w:r>
          </w:p>
        </w:tc>
        <w:tc>
          <w:tcPr>
            <w:tcW w:type="dxa" w:w="2952"/>
            <w:vAlign w:val="center"/>
          </w:tcPr>
          <w:p>
            <w:pPr>
              <w:spacing w:after="0"/>
              <w:jc w:val="left"/>
            </w:pPr>
            <w:r/>
            <w:r>
              <w:rPr>
                <w:rFonts w:ascii="Arial" w:hAnsi="Arial"/>
                <w:b w:val="0"/>
                <w:i w:val="0"/>
                <w:color w:val="000000"/>
                <w:sz w:val="13"/>
              </w:rPr>
              <w:t>Contenedor plástico con tapa 40 L</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$498</w:t>
            </w:r>
          </w:p>
        </w:tc>
        <w:tc>
          <w:tcPr>
            <w:tcW w:type="dxa" w:w="1008"/>
            <w:vAlign w:val="center"/>
          </w:tcPr>
          <w:p>
            <w:pPr>
              <w:spacing w:after="0"/>
              <w:jc w:val="left"/>
            </w:pPr>
            <w:r/>
            <w:r>
              <w:rPr>
                <w:rFonts w:ascii="Arial" w:hAnsi="Arial"/>
                <w:b w:val="0"/>
                <w:i w:val="0"/>
                <w:color w:val="000000"/>
                <w:sz w:val="13"/>
              </w:rPr>
              <w:t>$498</w:t>
            </w:r>
          </w:p>
        </w:tc>
        <w:tc>
          <w:tcPr>
            <w:tcW w:type="dxa" w:w="2376"/>
            <w:vAlign w:val="center"/>
          </w:tcPr>
          <w:p>
            <w:pPr>
              <w:spacing w:after="0"/>
              <w:jc w:val="left"/>
            </w:pPr>
            <w:r/>
            <w:r>
              <w:rPr>
                <w:rFonts w:ascii="Arial" w:hAnsi="Arial"/>
                <w:b w:val="0"/>
                <w:i w:val="0"/>
                <w:color w:val="000000"/>
                <w:sz w:val="12"/>
              </w:rPr>
              <w:t>Referencia comercial [25]; validar opacidad/material</w:t>
            </w:r>
          </w:p>
        </w:tc>
      </w:tr>
      <w:tr>
        <w:trPr>
          <w:cantSplit/>
        </w:trPr>
        <w:tc>
          <w:tcPr>
            <w:tcW w:type="dxa" w:w="1224"/>
            <w:vAlign w:val="center"/>
          </w:tcPr>
          <w:p>
            <w:pPr>
              <w:spacing w:after="0"/>
              <w:jc w:val="left"/>
            </w:pPr>
            <w:r/>
            <w:r>
              <w:rPr>
                <w:rFonts w:ascii="Arial" w:hAnsi="Arial"/>
                <w:b w:val="0"/>
                <w:i w:val="0"/>
                <w:color w:val="000000"/>
                <w:sz w:val="13"/>
              </w:rPr>
              <w:t>Cultivo</w:t>
            </w:r>
          </w:p>
        </w:tc>
        <w:tc>
          <w:tcPr>
            <w:tcW w:type="dxa" w:w="2952"/>
            <w:vAlign w:val="center"/>
          </w:tcPr>
          <w:p>
            <w:pPr>
              <w:spacing w:after="0"/>
              <w:jc w:val="left"/>
            </w:pPr>
            <w:r/>
            <w:r>
              <w:rPr>
                <w:rFonts w:ascii="Arial" w:hAnsi="Arial"/>
                <w:b w:val="0"/>
                <w:i w:val="0"/>
                <w:color w:val="000000"/>
                <w:sz w:val="13"/>
              </w:rPr>
              <w:t>Net pots 3", paquete 10</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$174</w:t>
            </w:r>
          </w:p>
        </w:tc>
        <w:tc>
          <w:tcPr>
            <w:tcW w:type="dxa" w:w="1008"/>
            <w:vAlign w:val="center"/>
          </w:tcPr>
          <w:p>
            <w:pPr>
              <w:spacing w:after="0"/>
              <w:jc w:val="left"/>
            </w:pPr>
            <w:r/>
            <w:r>
              <w:rPr>
                <w:rFonts w:ascii="Arial" w:hAnsi="Arial"/>
                <w:b w:val="0"/>
                <w:i w:val="0"/>
                <w:color w:val="000000"/>
                <w:sz w:val="13"/>
              </w:rPr>
              <w:t>$174</w:t>
            </w:r>
          </w:p>
        </w:tc>
        <w:tc>
          <w:tcPr>
            <w:tcW w:type="dxa" w:w="2376"/>
            <w:vAlign w:val="center"/>
          </w:tcPr>
          <w:p>
            <w:pPr>
              <w:spacing w:after="0"/>
              <w:jc w:val="left"/>
            </w:pPr>
            <w:r/>
            <w:r>
              <w:rPr>
                <w:rFonts w:ascii="Arial" w:hAnsi="Arial"/>
                <w:b w:val="0"/>
                <w:i w:val="0"/>
                <w:color w:val="000000"/>
                <w:sz w:val="12"/>
              </w:rPr>
              <w:t>Referencia Inverfarms [22]</w:t>
            </w:r>
          </w:p>
        </w:tc>
      </w:tr>
      <w:tr>
        <w:trPr>
          <w:cantSplit/>
        </w:trPr>
        <w:tc>
          <w:tcPr>
            <w:tcW w:type="dxa" w:w="1224"/>
            <w:vAlign w:val="center"/>
          </w:tcPr>
          <w:p>
            <w:pPr>
              <w:spacing w:after="0"/>
              <w:jc w:val="left"/>
            </w:pPr>
            <w:r/>
            <w:r>
              <w:rPr>
                <w:rFonts w:ascii="Arial" w:hAnsi="Arial"/>
                <w:b w:val="0"/>
                <w:i w:val="0"/>
                <w:color w:val="000000"/>
                <w:sz w:val="13"/>
              </w:rPr>
              <w:t>Cultivo</w:t>
            </w:r>
          </w:p>
        </w:tc>
        <w:tc>
          <w:tcPr>
            <w:tcW w:type="dxa" w:w="2952"/>
            <w:vAlign w:val="center"/>
          </w:tcPr>
          <w:p>
            <w:pPr>
              <w:spacing w:after="0"/>
              <w:jc w:val="left"/>
            </w:pPr>
            <w:r/>
            <w:r>
              <w:rPr>
                <w:rFonts w:ascii="Arial" w:hAnsi="Arial"/>
                <w:b w:val="0"/>
                <w:i w:val="0"/>
                <w:color w:val="000000"/>
                <w:sz w:val="13"/>
              </w:rPr>
              <w:t>LECA / Hydroton 2 L</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$190</w:t>
            </w:r>
          </w:p>
        </w:tc>
        <w:tc>
          <w:tcPr>
            <w:tcW w:type="dxa" w:w="1008"/>
            <w:vAlign w:val="center"/>
          </w:tcPr>
          <w:p>
            <w:pPr>
              <w:spacing w:after="0"/>
              <w:jc w:val="left"/>
            </w:pPr>
            <w:r/>
            <w:r>
              <w:rPr>
                <w:rFonts w:ascii="Arial" w:hAnsi="Arial"/>
                <w:b w:val="0"/>
                <w:i w:val="0"/>
                <w:color w:val="000000"/>
                <w:sz w:val="13"/>
              </w:rPr>
              <w:t>$190</w:t>
            </w:r>
          </w:p>
        </w:tc>
        <w:tc>
          <w:tcPr>
            <w:tcW w:type="dxa" w:w="2376"/>
            <w:vAlign w:val="center"/>
          </w:tcPr>
          <w:p>
            <w:pPr>
              <w:spacing w:after="0"/>
              <w:jc w:val="left"/>
            </w:pPr>
            <w:r/>
            <w:r>
              <w:rPr>
                <w:rFonts w:ascii="Arial" w:hAnsi="Arial"/>
                <w:b w:val="0"/>
                <w:i w:val="0"/>
                <w:color w:val="000000"/>
                <w:sz w:val="12"/>
              </w:rPr>
              <w:t>Referencia $189.99 [24]</w:t>
            </w:r>
          </w:p>
        </w:tc>
      </w:tr>
      <w:tr>
        <w:trPr>
          <w:cantSplit/>
        </w:trPr>
        <w:tc>
          <w:tcPr>
            <w:tcW w:type="dxa" w:w="1224"/>
            <w:vAlign w:val="center"/>
          </w:tcPr>
          <w:p>
            <w:pPr>
              <w:spacing w:after="0"/>
              <w:jc w:val="left"/>
            </w:pPr>
            <w:r/>
            <w:r>
              <w:rPr>
                <w:rFonts w:ascii="Arial" w:hAnsi="Arial"/>
                <w:b w:val="0"/>
                <w:i w:val="0"/>
                <w:color w:val="000000"/>
                <w:sz w:val="13"/>
              </w:rPr>
              <w:t>Hidráulica</w:t>
            </w:r>
          </w:p>
        </w:tc>
        <w:tc>
          <w:tcPr>
            <w:tcW w:type="dxa" w:w="2952"/>
            <w:vAlign w:val="center"/>
          </w:tcPr>
          <w:p>
            <w:pPr>
              <w:spacing w:after="0"/>
              <w:jc w:val="left"/>
            </w:pPr>
            <w:r/>
            <w:r>
              <w:rPr>
                <w:rFonts w:ascii="Arial" w:hAnsi="Arial"/>
                <w:b w:val="0"/>
                <w:i w:val="0"/>
                <w:color w:val="000000"/>
                <w:sz w:val="13"/>
              </w:rPr>
              <w:t>Bomba DC 12–24 V, ~800 L/h</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$178</w:t>
            </w:r>
          </w:p>
        </w:tc>
        <w:tc>
          <w:tcPr>
            <w:tcW w:type="dxa" w:w="1008"/>
            <w:vAlign w:val="center"/>
          </w:tcPr>
          <w:p>
            <w:pPr>
              <w:spacing w:after="0"/>
              <w:jc w:val="left"/>
            </w:pPr>
            <w:r/>
            <w:r>
              <w:rPr>
                <w:rFonts w:ascii="Arial" w:hAnsi="Arial"/>
                <w:b w:val="0"/>
                <w:i w:val="0"/>
                <w:color w:val="000000"/>
                <w:sz w:val="13"/>
              </w:rPr>
              <w:t>$178</w:t>
            </w:r>
          </w:p>
        </w:tc>
        <w:tc>
          <w:tcPr>
            <w:tcW w:type="dxa" w:w="2376"/>
            <w:vAlign w:val="center"/>
          </w:tcPr>
          <w:p>
            <w:pPr>
              <w:spacing w:after="0"/>
              <w:jc w:val="left"/>
            </w:pPr>
            <w:r/>
            <w:r>
              <w:rPr>
                <w:rFonts w:ascii="Arial" w:hAnsi="Arial"/>
                <w:b w:val="0"/>
                <w:i w:val="0"/>
                <w:color w:val="000000"/>
                <w:sz w:val="12"/>
              </w:rPr>
              <w:t>Referencia activa [19]</w:t>
            </w:r>
          </w:p>
        </w:tc>
      </w:tr>
      <w:tr>
        <w:trPr>
          <w:cantSplit/>
        </w:trPr>
        <w:tc>
          <w:tcPr>
            <w:tcW w:type="dxa" w:w="1224"/>
            <w:vAlign w:val="center"/>
          </w:tcPr>
          <w:p>
            <w:pPr>
              <w:spacing w:after="0"/>
              <w:jc w:val="left"/>
            </w:pPr>
            <w:r/>
            <w:r>
              <w:rPr>
                <w:rFonts w:ascii="Arial" w:hAnsi="Arial"/>
                <w:b w:val="0"/>
                <w:i w:val="0"/>
                <w:color w:val="000000"/>
                <w:sz w:val="13"/>
              </w:rPr>
              <w:t>Potencia</w:t>
            </w:r>
          </w:p>
        </w:tc>
        <w:tc>
          <w:tcPr>
            <w:tcW w:type="dxa" w:w="2952"/>
            <w:vAlign w:val="center"/>
          </w:tcPr>
          <w:p>
            <w:pPr>
              <w:spacing w:after="0"/>
              <w:jc w:val="left"/>
            </w:pPr>
            <w:r/>
            <w:r>
              <w:rPr>
                <w:rFonts w:ascii="Arial" w:hAnsi="Arial"/>
                <w:b w:val="0"/>
                <w:i w:val="0"/>
                <w:color w:val="000000"/>
                <w:sz w:val="13"/>
              </w:rPr>
              <w:t>Fuente 24 V / 3 A</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$219</w:t>
            </w:r>
          </w:p>
        </w:tc>
        <w:tc>
          <w:tcPr>
            <w:tcW w:type="dxa" w:w="1008"/>
            <w:vAlign w:val="center"/>
          </w:tcPr>
          <w:p>
            <w:pPr>
              <w:spacing w:after="0"/>
              <w:jc w:val="left"/>
            </w:pPr>
            <w:r/>
            <w:r>
              <w:rPr>
                <w:rFonts w:ascii="Arial" w:hAnsi="Arial"/>
                <w:b w:val="0"/>
                <w:i w:val="0"/>
                <w:color w:val="000000"/>
                <w:sz w:val="13"/>
              </w:rPr>
              <w:t>$219</w:t>
            </w:r>
          </w:p>
        </w:tc>
        <w:tc>
          <w:tcPr>
            <w:tcW w:type="dxa" w:w="2376"/>
            <w:vAlign w:val="center"/>
          </w:tcPr>
          <w:p>
            <w:pPr>
              <w:spacing w:after="0"/>
              <w:jc w:val="left"/>
            </w:pPr>
            <w:r/>
            <w:r>
              <w:rPr>
                <w:rFonts w:ascii="Arial" w:hAnsi="Arial"/>
                <w:b w:val="0"/>
                <w:i w:val="0"/>
                <w:color w:val="000000"/>
                <w:sz w:val="12"/>
              </w:rPr>
              <w:t>Referencia de mercado [27]</w:t>
            </w:r>
          </w:p>
        </w:tc>
      </w:tr>
      <w:tr>
        <w:trPr>
          <w:cantSplit/>
        </w:trPr>
        <w:tc>
          <w:tcPr>
            <w:tcW w:type="dxa" w:w="1224"/>
            <w:vAlign w:val="center"/>
          </w:tcPr>
          <w:p>
            <w:pPr>
              <w:spacing w:after="0"/>
              <w:jc w:val="left"/>
            </w:pPr>
            <w:r/>
            <w:r>
              <w:rPr>
                <w:rFonts w:ascii="Arial" w:hAnsi="Arial"/>
                <w:b w:val="0"/>
                <w:i w:val="0"/>
                <w:color w:val="000000"/>
                <w:sz w:val="13"/>
              </w:rPr>
              <w:t>Potencia</w:t>
            </w:r>
          </w:p>
        </w:tc>
        <w:tc>
          <w:tcPr>
            <w:tcW w:type="dxa" w:w="2952"/>
            <w:vAlign w:val="center"/>
          </w:tcPr>
          <w:p>
            <w:pPr>
              <w:spacing w:after="0"/>
              <w:jc w:val="left"/>
            </w:pPr>
            <w:r/>
            <w:r>
              <w:rPr>
                <w:rFonts w:ascii="Arial" w:hAnsi="Arial"/>
                <w:b w:val="0"/>
                <w:i w:val="0"/>
                <w:color w:val="000000"/>
                <w:sz w:val="13"/>
              </w:rPr>
              <w:t>XL4015 buck</w:t>
            </w:r>
          </w:p>
        </w:tc>
        <w:tc>
          <w:tcPr>
            <w:tcW w:type="dxa" w:w="648"/>
            <w:vAlign w:val="center"/>
          </w:tcPr>
          <w:p>
            <w:pPr>
              <w:spacing w:after="0"/>
              <w:jc w:val="left"/>
            </w:pPr>
            <w:r/>
            <w:r>
              <w:rPr>
                <w:rFonts w:ascii="Arial" w:hAnsi="Arial"/>
                <w:b w:val="0"/>
                <w:i w:val="0"/>
                <w:color w:val="000000"/>
                <w:sz w:val="13"/>
              </w:rPr>
              <w:t>2</w:t>
            </w:r>
          </w:p>
        </w:tc>
        <w:tc>
          <w:tcPr>
            <w:tcW w:type="dxa" w:w="1008"/>
            <w:vAlign w:val="center"/>
          </w:tcPr>
          <w:p>
            <w:pPr>
              <w:spacing w:after="0"/>
              <w:jc w:val="left"/>
            </w:pPr>
            <w:r/>
            <w:r>
              <w:rPr>
                <w:rFonts w:ascii="Arial" w:hAnsi="Arial"/>
                <w:b w:val="0"/>
                <w:i w:val="0"/>
                <w:color w:val="000000"/>
                <w:sz w:val="13"/>
              </w:rPr>
              <w:t>$51</w:t>
            </w:r>
          </w:p>
        </w:tc>
        <w:tc>
          <w:tcPr>
            <w:tcW w:type="dxa" w:w="1008"/>
            <w:vAlign w:val="center"/>
          </w:tcPr>
          <w:p>
            <w:pPr>
              <w:spacing w:after="0"/>
              <w:jc w:val="left"/>
            </w:pPr>
            <w:r/>
            <w:r>
              <w:rPr>
                <w:rFonts w:ascii="Arial" w:hAnsi="Arial"/>
                <w:b w:val="0"/>
                <w:i w:val="0"/>
                <w:color w:val="000000"/>
                <w:sz w:val="13"/>
              </w:rPr>
              <w:t>$102</w:t>
            </w:r>
          </w:p>
        </w:tc>
        <w:tc>
          <w:tcPr>
            <w:tcW w:type="dxa" w:w="2376"/>
            <w:vAlign w:val="center"/>
          </w:tcPr>
          <w:p>
            <w:pPr>
              <w:spacing w:after="0"/>
              <w:jc w:val="left"/>
            </w:pPr>
            <w:r/>
            <w:r>
              <w:rPr>
                <w:rFonts w:ascii="Arial" w:hAnsi="Arial"/>
                <w:b w:val="0"/>
                <w:i w:val="0"/>
                <w:color w:val="000000"/>
                <w:sz w:val="12"/>
              </w:rPr>
              <w:t>24-&gt;12 V y 24-&gt;5 V [28]</w:t>
            </w:r>
          </w:p>
        </w:tc>
      </w:tr>
      <w:tr>
        <w:trPr>
          <w:cantSplit/>
        </w:trPr>
        <w:tc>
          <w:tcPr>
            <w:tcW w:type="dxa" w:w="1224"/>
            <w:vAlign w:val="center"/>
          </w:tcPr>
          <w:p>
            <w:pPr>
              <w:spacing w:after="0"/>
              <w:jc w:val="left"/>
            </w:pPr>
            <w:r/>
            <w:r>
              <w:rPr>
                <w:rFonts w:ascii="Arial" w:hAnsi="Arial"/>
                <w:b w:val="0"/>
                <w:i w:val="0"/>
                <w:color w:val="000000"/>
                <w:sz w:val="13"/>
              </w:rPr>
              <w:t>Potencia</w:t>
            </w:r>
          </w:p>
        </w:tc>
        <w:tc>
          <w:tcPr>
            <w:tcW w:type="dxa" w:w="2952"/>
            <w:vAlign w:val="center"/>
          </w:tcPr>
          <w:p>
            <w:pPr>
              <w:spacing w:after="0"/>
              <w:jc w:val="left"/>
            </w:pPr>
            <w:r/>
            <w:r>
              <w:rPr>
                <w:rFonts w:ascii="Arial" w:hAnsi="Arial"/>
                <w:b w:val="0"/>
                <w:i w:val="0"/>
                <w:color w:val="000000"/>
                <w:sz w:val="13"/>
              </w:rPr>
              <w:t>Dual MOSFET D4184, pack 2 canales</w:t>
            </w:r>
          </w:p>
        </w:tc>
        <w:tc>
          <w:tcPr>
            <w:tcW w:type="dxa" w:w="648"/>
            <w:vAlign w:val="center"/>
          </w:tcPr>
          <w:p>
            <w:pPr>
              <w:spacing w:after="0"/>
              <w:jc w:val="left"/>
            </w:pPr>
            <w:r/>
            <w:r>
              <w:rPr>
                <w:rFonts w:ascii="Arial" w:hAnsi="Arial"/>
                <w:b w:val="0"/>
                <w:i w:val="0"/>
                <w:color w:val="000000"/>
                <w:sz w:val="13"/>
              </w:rPr>
              <w:t>3</w:t>
            </w:r>
          </w:p>
        </w:tc>
        <w:tc>
          <w:tcPr>
            <w:tcW w:type="dxa" w:w="1008"/>
            <w:vAlign w:val="center"/>
          </w:tcPr>
          <w:p>
            <w:pPr>
              <w:spacing w:after="0"/>
              <w:jc w:val="left"/>
            </w:pPr>
            <w:r/>
            <w:r>
              <w:rPr>
                <w:rFonts w:ascii="Arial" w:hAnsi="Arial"/>
                <w:b w:val="0"/>
                <w:i w:val="0"/>
                <w:color w:val="000000"/>
                <w:sz w:val="13"/>
              </w:rPr>
              <w:t>$67.24</w:t>
            </w:r>
          </w:p>
        </w:tc>
        <w:tc>
          <w:tcPr>
            <w:tcW w:type="dxa" w:w="1008"/>
            <w:vAlign w:val="center"/>
          </w:tcPr>
          <w:p>
            <w:pPr>
              <w:spacing w:after="0"/>
              <w:jc w:val="left"/>
            </w:pPr>
            <w:r/>
            <w:r>
              <w:rPr>
                <w:rFonts w:ascii="Arial" w:hAnsi="Arial"/>
                <w:b w:val="0"/>
                <w:i w:val="0"/>
                <w:color w:val="000000"/>
                <w:sz w:val="13"/>
              </w:rPr>
              <w:t>$202</w:t>
            </w:r>
          </w:p>
        </w:tc>
        <w:tc>
          <w:tcPr>
            <w:tcW w:type="dxa" w:w="2376"/>
            <w:vAlign w:val="center"/>
          </w:tcPr>
          <w:p>
            <w:pPr>
              <w:spacing w:after="0"/>
              <w:jc w:val="left"/>
            </w:pPr>
            <w:r/>
            <w:r>
              <w:rPr>
                <w:rFonts w:ascii="Arial" w:hAnsi="Arial"/>
                <w:b w:val="0"/>
                <w:i w:val="0"/>
                <w:color w:val="000000"/>
                <w:sz w:val="12"/>
              </w:rPr>
              <w:t>6 canales disponibles [26]</w:t>
            </w:r>
          </w:p>
        </w:tc>
      </w:tr>
      <w:tr>
        <w:trPr>
          <w:cantSplit/>
        </w:trPr>
        <w:tc>
          <w:tcPr>
            <w:tcW w:type="dxa" w:w="1224"/>
            <w:vAlign w:val="center"/>
          </w:tcPr>
          <w:p>
            <w:pPr>
              <w:spacing w:after="0"/>
              <w:jc w:val="left"/>
            </w:pPr>
            <w:r/>
            <w:r>
              <w:rPr>
                <w:rFonts w:ascii="Arial" w:hAnsi="Arial"/>
                <w:b w:val="0"/>
                <w:i w:val="0"/>
                <w:color w:val="000000"/>
                <w:sz w:val="13"/>
              </w:rPr>
              <w:t>Potencia</w:t>
            </w:r>
          </w:p>
        </w:tc>
        <w:tc>
          <w:tcPr>
            <w:tcW w:type="dxa" w:w="2952"/>
            <w:vAlign w:val="center"/>
          </w:tcPr>
          <w:p>
            <w:pPr>
              <w:spacing w:after="0"/>
              <w:jc w:val="left"/>
            </w:pPr>
            <w:r/>
            <w:r>
              <w:rPr>
                <w:rFonts w:ascii="Arial" w:hAnsi="Arial"/>
                <w:b w:val="0"/>
                <w:i w:val="0"/>
                <w:color w:val="000000"/>
                <w:sz w:val="13"/>
              </w:rPr>
              <w:t>Relevador/SSR para iluminación</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$48</w:t>
            </w:r>
          </w:p>
        </w:tc>
        <w:tc>
          <w:tcPr>
            <w:tcW w:type="dxa" w:w="1008"/>
            <w:vAlign w:val="center"/>
          </w:tcPr>
          <w:p>
            <w:pPr>
              <w:spacing w:after="0"/>
              <w:jc w:val="left"/>
            </w:pPr>
            <w:r/>
            <w:r>
              <w:rPr>
                <w:rFonts w:ascii="Arial" w:hAnsi="Arial"/>
                <w:b w:val="0"/>
                <w:i w:val="0"/>
                <w:color w:val="000000"/>
                <w:sz w:val="13"/>
              </w:rPr>
              <w:t>$48</w:t>
            </w:r>
          </w:p>
        </w:tc>
        <w:tc>
          <w:tcPr>
            <w:tcW w:type="dxa" w:w="2376"/>
            <w:vAlign w:val="center"/>
          </w:tcPr>
          <w:p>
            <w:pPr>
              <w:spacing w:after="0"/>
              <w:jc w:val="left"/>
            </w:pPr>
            <w:r/>
            <w:r>
              <w:rPr>
                <w:rFonts w:ascii="Arial" w:hAnsi="Arial"/>
                <w:b w:val="0"/>
                <w:i w:val="0"/>
                <w:color w:val="000000"/>
                <w:sz w:val="12"/>
              </w:rPr>
              <w:t>Referencia de módulo; confirmar según lámpara</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ADS1115 ADC 16 bits</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$47</w:t>
            </w:r>
          </w:p>
        </w:tc>
        <w:tc>
          <w:tcPr>
            <w:tcW w:type="dxa" w:w="1008"/>
            <w:vAlign w:val="center"/>
          </w:tcPr>
          <w:p>
            <w:pPr>
              <w:spacing w:after="0"/>
              <w:jc w:val="left"/>
            </w:pPr>
            <w:r/>
            <w:r>
              <w:rPr>
                <w:rFonts w:ascii="Arial" w:hAnsi="Arial"/>
                <w:b w:val="0"/>
                <w:i w:val="0"/>
                <w:color w:val="000000"/>
                <w:sz w:val="13"/>
              </w:rPr>
              <w:t>$47</w:t>
            </w:r>
          </w:p>
        </w:tc>
        <w:tc>
          <w:tcPr>
            <w:tcW w:type="dxa" w:w="2376"/>
            <w:vAlign w:val="center"/>
          </w:tcPr>
          <w:p>
            <w:pPr>
              <w:spacing w:after="0"/>
              <w:jc w:val="left"/>
            </w:pPr>
            <w:r/>
            <w:r>
              <w:rPr>
                <w:rFonts w:ascii="Arial" w:hAnsi="Arial"/>
                <w:b w:val="0"/>
                <w:i w:val="0"/>
                <w:color w:val="000000"/>
                <w:sz w:val="12"/>
              </w:rPr>
              <w:t>UNIT Electronics [17]</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DS18B20 sumergible</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$30</w:t>
            </w:r>
          </w:p>
        </w:tc>
        <w:tc>
          <w:tcPr>
            <w:tcW w:type="dxa" w:w="1008"/>
            <w:vAlign w:val="center"/>
          </w:tcPr>
          <w:p>
            <w:pPr>
              <w:spacing w:after="0"/>
              <w:jc w:val="left"/>
            </w:pPr>
            <w:r/>
            <w:r>
              <w:rPr>
                <w:rFonts w:ascii="Arial" w:hAnsi="Arial"/>
                <w:b w:val="0"/>
                <w:i w:val="0"/>
                <w:color w:val="000000"/>
                <w:sz w:val="13"/>
              </w:rPr>
              <w:t>$30</w:t>
            </w:r>
          </w:p>
        </w:tc>
        <w:tc>
          <w:tcPr>
            <w:tcW w:type="dxa" w:w="2376"/>
            <w:vAlign w:val="center"/>
          </w:tcPr>
          <w:p>
            <w:pPr>
              <w:spacing w:after="0"/>
              <w:jc w:val="left"/>
            </w:pPr>
            <w:r/>
            <w:r>
              <w:rPr>
                <w:rFonts w:ascii="Arial" w:hAnsi="Arial"/>
                <w:b w:val="0"/>
                <w:i w:val="0"/>
                <w:color w:val="000000"/>
                <w:sz w:val="12"/>
              </w:rPr>
              <w:t>Referencia UNIT [14]</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Flotador vertical</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$46</w:t>
            </w:r>
          </w:p>
        </w:tc>
        <w:tc>
          <w:tcPr>
            <w:tcW w:type="dxa" w:w="1008"/>
            <w:vAlign w:val="center"/>
          </w:tcPr>
          <w:p>
            <w:pPr>
              <w:spacing w:after="0"/>
              <w:jc w:val="left"/>
            </w:pPr>
            <w:r/>
            <w:r>
              <w:rPr>
                <w:rFonts w:ascii="Arial" w:hAnsi="Arial"/>
                <w:b w:val="0"/>
                <w:i w:val="0"/>
                <w:color w:val="000000"/>
                <w:sz w:val="13"/>
              </w:rPr>
              <w:t>$46</w:t>
            </w:r>
          </w:p>
        </w:tc>
        <w:tc>
          <w:tcPr>
            <w:tcW w:type="dxa" w:w="2376"/>
            <w:vAlign w:val="center"/>
          </w:tcPr>
          <w:p>
            <w:pPr>
              <w:spacing w:after="0"/>
              <w:jc w:val="left"/>
            </w:pPr>
            <w:r/>
            <w:r>
              <w:rPr>
                <w:rFonts w:ascii="Arial" w:hAnsi="Arial"/>
                <w:b w:val="0"/>
                <w:i w:val="0"/>
                <w:color w:val="000000"/>
                <w:sz w:val="12"/>
              </w:rPr>
              <w:t>Referencia UNIT [18]</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PH-4502C + E201C-BNC</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$329</w:t>
            </w:r>
          </w:p>
        </w:tc>
        <w:tc>
          <w:tcPr>
            <w:tcW w:type="dxa" w:w="1008"/>
            <w:vAlign w:val="center"/>
          </w:tcPr>
          <w:p>
            <w:pPr>
              <w:spacing w:after="0"/>
              <w:jc w:val="left"/>
            </w:pPr>
            <w:r/>
            <w:r>
              <w:rPr>
                <w:rFonts w:ascii="Arial" w:hAnsi="Arial"/>
                <w:b w:val="0"/>
                <w:i w:val="0"/>
                <w:color w:val="000000"/>
                <w:sz w:val="13"/>
              </w:rPr>
              <w:t>$329</w:t>
            </w:r>
          </w:p>
        </w:tc>
        <w:tc>
          <w:tcPr>
            <w:tcW w:type="dxa" w:w="2376"/>
            <w:vAlign w:val="center"/>
          </w:tcPr>
          <w:p>
            <w:pPr>
              <w:spacing w:after="0"/>
              <w:jc w:val="left"/>
            </w:pPr>
            <w:r/>
            <w:r>
              <w:rPr>
                <w:rFonts w:ascii="Arial" w:hAnsi="Arial"/>
                <w:b w:val="0"/>
                <w:i w:val="0"/>
                <w:color w:val="000000"/>
                <w:sz w:val="12"/>
              </w:rPr>
              <w:t>Referencia UNIT [14]</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TDS Meter V1.0 / SEN0244</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$253</w:t>
            </w:r>
          </w:p>
        </w:tc>
        <w:tc>
          <w:tcPr>
            <w:tcW w:type="dxa" w:w="1008"/>
            <w:vAlign w:val="center"/>
          </w:tcPr>
          <w:p>
            <w:pPr>
              <w:spacing w:after="0"/>
              <w:jc w:val="left"/>
            </w:pPr>
            <w:r/>
            <w:r>
              <w:rPr>
                <w:rFonts w:ascii="Arial" w:hAnsi="Arial"/>
                <w:b w:val="0"/>
                <w:i w:val="0"/>
                <w:color w:val="000000"/>
                <w:sz w:val="13"/>
              </w:rPr>
              <w:t>$253</w:t>
            </w:r>
          </w:p>
        </w:tc>
        <w:tc>
          <w:tcPr>
            <w:tcW w:type="dxa" w:w="2376"/>
            <w:vAlign w:val="center"/>
          </w:tcPr>
          <w:p>
            <w:pPr>
              <w:spacing w:after="0"/>
              <w:jc w:val="left"/>
            </w:pPr>
            <w:r/>
            <w:r>
              <w:rPr>
                <w:rFonts w:ascii="Arial" w:hAnsi="Arial"/>
                <w:b w:val="0"/>
                <w:i w:val="0"/>
                <w:color w:val="000000"/>
                <w:sz w:val="12"/>
              </w:rPr>
              <w:t>Referencia UNIT [15]</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BH1750 GY-302</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$37</w:t>
            </w:r>
          </w:p>
        </w:tc>
        <w:tc>
          <w:tcPr>
            <w:tcW w:type="dxa" w:w="1008"/>
            <w:vAlign w:val="center"/>
          </w:tcPr>
          <w:p>
            <w:pPr>
              <w:spacing w:after="0"/>
              <w:jc w:val="left"/>
            </w:pPr>
            <w:r/>
            <w:r>
              <w:rPr>
                <w:rFonts w:ascii="Arial" w:hAnsi="Arial"/>
                <w:b w:val="0"/>
                <w:i w:val="0"/>
                <w:color w:val="000000"/>
                <w:sz w:val="13"/>
              </w:rPr>
              <w:t>$37</w:t>
            </w:r>
          </w:p>
        </w:tc>
        <w:tc>
          <w:tcPr>
            <w:tcW w:type="dxa" w:w="2376"/>
            <w:vAlign w:val="center"/>
          </w:tcPr>
          <w:p>
            <w:pPr>
              <w:spacing w:after="0"/>
              <w:jc w:val="left"/>
            </w:pPr>
            <w:r/>
            <w:r>
              <w:rPr>
                <w:rFonts w:ascii="Arial" w:hAnsi="Arial"/>
                <w:b w:val="0"/>
                <w:i w:val="0"/>
                <w:color w:val="000000"/>
                <w:sz w:val="12"/>
              </w:rPr>
              <w:t>Barato, digital I2C [13]</w:t>
            </w:r>
          </w:p>
        </w:tc>
      </w:tr>
      <w:tr>
        <w:trPr>
          <w:cantSplit/>
        </w:trPr>
        <w:tc>
          <w:tcPr>
            <w:tcW w:type="dxa" w:w="1224"/>
            <w:vAlign w:val="center"/>
          </w:tcPr>
          <w:p>
            <w:pPr>
              <w:spacing w:after="0"/>
              <w:jc w:val="left"/>
            </w:pPr>
            <w:r/>
            <w:r>
              <w:rPr>
                <w:rFonts w:ascii="Arial" w:hAnsi="Arial"/>
                <w:b w:val="0"/>
                <w:i w:val="0"/>
                <w:color w:val="000000"/>
                <w:sz w:val="13"/>
              </w:rPr>
              <w:t>Energía</w:t>
            </w:r>
          </w:p>
        </w:tc>
        <w:tc>
          <w:tcPr>
            <w:tcW w:type="dxa" w:w="2952"/>
            <w:vAlign w:val="center"/>
          </w:tcPr>
          <w:p>
            <w:pPr>
              <w:spacing w:after="0"/>
              <w:jc w:val="left"/>
            </w:pPr>
            <w:r/>
            <w:r>
              <w:rPr>
                <w:rFonts w:ascii="Arial" w:hAnsi="Arial"/>
                <w:b w:val="0"/>
                <w:i w:val="0"/>
                <w:color w:val="000000"/>
                <w:sz w:val="13"/>
              </w:rPr>
              <w:t>INA219</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$34</w:t>
            </w:r>
          </w:p>
        </w:tc>
        <w:tc>
          <w:tcPr>
            <w:tcW w:type="dxa" w:w="1008"/>
            <w:vAlign w:val="center"/>
          </w:tcPr>
          <w:p>
            <w:pPr>
              <w:spacing w:after="0"/>
              <w:jc w:val="left"/>
            </w:pPr>
            <w:r/>
            <w:r>
              <w:rPr>
                <w:rFonts w:ascii="Arial" w:hAnsi="Arial"/>
                <w:b w:val="0"/>
                <w:i w:val="0"/>
                <w:color w:val="000000"/>
                <w:sz w:val="13"/>
              </w:rPr>
              <w:t>$34</w:t>
            </w:r>
          </w:p>
        </w:tc>
        <w:tc>
          <w:tcPr>
            <w:tcW w:type="dxa" w:w="2376"/>
            <w:vAlign w:val="center"/>
          </w:tcPr>
          <w:p>
            <w:pPr>
              <w:spacing w:after="0"/>
              <w:jc w:val="left"/>
            </w:pPr>
            <w:r/>
            <w:r>
              <w:rPr>
                <w:rFonts w:ascii="Arial" w:hAnsi="Arial"/>
                <w:b w:val="0"/>
                <w:i w:val="0"/>
                <w:color w:val="000000"/>
                <w:sz w:val="12"/>
              </w:rPr>
              <w:t>Medición DC [29]</w:t>
            </w:r>
          </w:p>
        </w:tc>
      </w:tr>
      <w:tr>
        <w:trPr>
          <w:cantSplit/>
        </w:trPr>
        <w:tc>
          <w:tcPr>
            <w:tcW w:type="dxa" w:w="1224"/>
            <w:vAlign w:val="center"/>
          </w:tcPr>
          <w:p>
            <w:pPr>
              <w:spacing w:after="0"/>
              <w:jc w:val="left"/>
            </w:pPr>
            <w:r/>
            <w:r>
              <w:rPr>
                <w:rFonts w:ascii="Arial" w:hAnsi="Arial"/>
                <w:b w:val="0"/>
                <w:i w:val="0"/>
                <w:color w:val="000000"/>
                <w:sz w:val="13"/>
              </w:rPr>
              <w:t>Dosificación</w:t>
            </w:r>
          </w:p>
        </w:tc>
        <w:tc>
          <w:tcPr>
            <w:tcW w:type="dxa" w:w="2952"/>
            <w:vAlign w:val="center"/>
          </w:tcPr>
          <w:p>
            <w:pPr>
              <w:spacing w:after="0"/>
              <w:jc w:val="left"/>
            </w:pPr>
            <w:r/>
            <w:r>
              <w:rPr>
                <w:rFonts w:ascii="Arial" w:hAnsi="Arial"/>
                <w:b w:val="0"/>
                <w:i w:val="0"/>
                <w:color w:val="000000"/>
                <w:sz w:val="13"/>
              </w:rPr>
              <w:t>G328 12 V, objetivo tubo 1×3 mm</w:t>
            </w:r>
          </w:p>
        </w:tc>
        <w:tc>
          <w:tcPr>
            <w:tcW w:type="dxa" w:w="648"/>
            <w:vAlign w:val="center"/>
          </w:tcPr>
          <w:p>
            <w:pPr>
              <w:spacing w:after="0"/>
              <w:jc w:val="left"/>
            </w:pPr>
            <w:r/>
            <w:r>
              <w:rPr>
                <w:rFonts w:ascii="Arial" w:hAnsi="Arial"/>
                <w:b w:val="0"/>
                <w:i w:val="0"/>
                <w:color w:val="000000"/>
                <w:sz w:val="13"/>
              </w:rPr>
              <w:t>4</w:t>
            </w:r>
          </w:p>
        </w:tc>
        <w:tc>
          <w:tcPr>
            <w:tcW w:type="dxa" w:w="1008"/>
            <w:vAlign w:val="center"/>
          </w:tcPr>
          <w:p>
            <w:pPr>
              <w:spacing w:after="0"/>
              <w:jc w:val="left"/>
            </w:pPr>
            <w:r/>
            <w:r>
              <w:rPr>
                <w:rFonts w:ascii="Arial" w:hAnsi="Arial"/>
                <w:b w:val="0"/>
                <w:i w:val="0"/>
                <w:color w:val="000000"/>
                <w:sz w:val="13"/>
              </w:rPr>
              <w:t>$175</w:t>
            </w:r>
          </w:p>
        </w:tc>
        <w:tc>
          <w:tcPr>
            <w:tcW w:type="dxa" w:w="1008"/>
            <w:vAlign w:val="center"/>
          </w:tcPr>
          <w:p>
            <w:pPr>
              <w:spacing w:after="0"/>
              <w:jc w:val="left"/>
            </w:pPr>
            <w:r/>
            <w:r>
              <w:rPr>
                <w:rFonts w:ascii="Arial" w:hAnsi="Arial"/>
                <w:b w:val="0"/>
                <w:i w:val="0"/>
                <w:color w:val="000000"/>
                <w:sz w:val="13"/>
              </w:rPr>
              <w:t>$700</w:t>
            </w:r>
          </w:p>
        </w:tc>
        <w:tc>
          <w:tcPr>
            <w:tcW w:type="dxa" w:w="2376"/>
            <w:vAlign w:val="center"/>
          </w:tcPr>
          <w:p>
            <w:pPr>
              <w:spacing w:after="0"/>
              <w:jc w:val="left"/>
            </w:pPr>
            <w:r/>
            <w:r>
              <w:rPr>
                <w:rFonts w:ascii="Arial" w:hAnsi="Arial"/>
                <w:b w:val="0"/>
                <w:i w:val="0"/>
                <w:color w:val="000000"/>
                <w:sz w:val="12"/>
              </w:rPr>
              <w:t>Presupuesto por unidad; verificar variante/stock [20]</w:t>
            </w:r>
          </w:p>
        </w:tc>
      </w:tr>
      <w:tr>
        <w:trPr>
          <w:cantSplit/>
        </w:trPr>
        <w:tc>
          <w:tcPr>
            <w:tcW w:type="dxa" w:w="1224"/>
            <w:vAlign w:val="center"/>
          </w:tcPr>
          <w:p>
            <w:pPr>
              <w:spacing w:after="0"/>
              <w:jc w:val="left"/>
            </w:pPr>
            <w:r/>
            <w:r>
              <w:rPr>
                <w:rFonts w:ascii="Arial" w:hAnsi="Arial"/>
                <w:b w:val="0"/>
                <w:i w:val="0"/>
                <w:color w:val="000000"/>
                <w:sz w:val="13"/>
              </w:rPr>
              <w:t>Iluminación</w:t>
            </w:r>
          </w:p>
        </w:tc>
        <w:tc>
          <w:tcPr>
            <w:tcW w:type="dxa" w:w="2952"/>
            <w:vAlign w:val="center"/>
          </w:tcPr>
          <w:p>
            <w:pPr>
              <w:spacing w:after="0"/>
              <w:jc w:val="left"/>
            </w:pPr>
            <w:r/>
            <w:r>
              <w:rPr>
                <w:rFonts w:ascii="Arial" w:hAnsi="Arial"/>
                <w:b w:val="0"/>
                <w:i w:val="0"/>
                <w:color w:val="000000"/>
                <w:sz w:val="13"/>
              </w:rPr>
              <w:t>Lámpara cultivo 4 brazos / espectro completo</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$233</w:t>
            </w:r>
          </w:p>
        </w:tc>
        <w:tc>
          <w:tcPr>
            <w:tcW w:type="dxa" w:w="1008"/>
            <w:vAlign w:val="center"/>
          </w:tcPr>
          <w:p>
            <w:pPr>
              <w:spacing w:after="0"/>
              <w:jc w:val="left"/>
            </w:pPr>
            <w:r/>
            <w:r>
              <w:rPr>
                <w:rFonts w:ascii="Arial" w:hAnsi="Arial"/>
                <w:b w:val="0"/>
                <w:i w:val="0"/>
                <w:color w:val="000000"/>
                <w:sz w:val="13"/>
              </w:rPr>
              <w:t>$233</w:t>
            </w:r>
          </w:p>
        </w:tc>
        <w:tc>
          <w:tcPr>
            <w:tcW w:type="dxa" w:w="2376"/>
            <w:vAlign w:val="center"/>
          </w:tcPr>
          <w:p>
            <w:pPr>
              <w:spacing w:after="0"/>
              <w:jc w:val="left"/>
            </w:pPr>
            <w:r/>
            <w:r>
              <w:rPr>
                <w:rFonts w:ascii="Arial" w:hAnsi="Arial"/>
                <w:b w:val="0"/>
                <w:i w:val="0"/>
                <w:color w:val="000000"/>
                <w:sz w:val="12"/>
              </w:rPr>
              <w:t>Referencia $232.77 [21]</w:t>
            </w:r>
          </w:p>
        </w:tc>
      </w:tr>
      <w:tr>
        <w:trPr>
          <w:cantSplit/>
        </w:trPr>
        <w:tc>
          <w:tcPr>
            <w:tcW w:type="dxa" w:w="1224"/>
            <w:vAlign w:val="center"/>
          </w:tcPr>
          <w:p>
            <w:pPr>
              <w:spacing w:after="0"/>
              <w:jc w:val="left"/>
            </w:pPr>
            <w:r/>
            <w:r>
              <w:rPr>
                <w:rFonts w:ascii="Arial" w:hAnsi="Arial"/>
                <w:b w:val="0"/>
                <w:i w:val="0"/>
                <w:color w:val="000000"/>
                <w:sz w:val="13"/>
              </w:rPr>
              <w:t>Nutrientes</w:t>
            </w:r>
          </w:p>
        </w:tc>
        <w:tc>
          <w:tcPr>
            <w:tcW w:type="dxa" w:w="2952"/>
            <w:vAlign w:val="center"/>
          </w:tcPr>
          <w:p>
            <w:pPr>
              <w:spacing w:after="0"/>
              <w:jc w:val="left"/>
            </w:pPr>
            <w:r/>
            <w:r>
              <w:rPr>
                <w:rFonts w:ascii="Arial" w:hAnsi="Arial"/>
                <w:b w:val="0"/>
                <w:i w:val="0"/>
                <w:color w:val="000000"/>
                <w:sz w:val="13"/>
              </w:rPr>
              <w:t>Soluponics Pimiento A+B 500 L</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$290</w:t>
            </w:r>
          </w:p>
        </w:tc>
        <w:tc>
          <w:tcPr>
            <w:tcW w:type="dxa" w:w="1008"/>
            <w:vAlign w:val="center"/>
          </w:tcPr>
          <w:p>
            <w:pPr>
              <w:spacing w:after="0"/>
              <w:jc w:val="left"/>
            </w:pPr>
            <w:r/>
            <w:r>
              <w:rPr>
                <w:rFonts w:ascii="Arial" w:hAnsi="Arial"/>
                <w:b w:val="0"/>
                <w:i w:val="0"/>
                <w:color w:val="000000"/>
                <w:sz w:val="13"/>
              </w:rPr>
              <w:t>$290</w:t>
            </w:r>
          </w:p>
        </w:tc>
        <w:tc>
          <w:tcPr>
            <w:tcW w:type="dxa" w:w="2376"/>
            <w:vAlign w:val="center"/>
          </w:tcPr>
          <w:p>
            <w:pPr>
              <w:spacing w:after="0"/>
              <w:jc w:val="left"/>
            </w:pPr>
            <w:r/>
            <w:r>
              <w:rPr>
                <w:rFonts w:ascii="Arial" w:hAnsi="Arial"/>
                <w:b w:val="0"/>
                <w:i w:val="0"/>
                <w:color w:val="000000"/>
                <w:sz w:val="12"/>
              </w:rPr>
              <w:t>Referencia actual [22]</w:t>
            </w:r>
          </w:p>
        </w:tc>
      </w:tr>
      <w:tr>
        <w:trPr>
          <w:cantSplit/>
        </w:trPr>
        <w:tc>
          <w:tcPr>
            <w:tcW w:type="dxa" w:w="1224"/>
            <w:vAlign w:val="center"/>
          </w:tcPr>
          <w:p>
            <w:pPr>
              <w:spacing w:after="0"/>
              <w:jc w:val="left"/>
            </w:pPr>
            <w:r/>
            <w:r>
              <w:rPr>
                <w:rFonts w:ascii="Arial" w:hAnsi="Arial"/>
                <w:b w:val="0"/>
                <w:i w:val="0"/>
                <w:color w:val="000000"/>
                <w:sz w:val="13"/>
              </w:rPr>
              <w:t>pH</w:t>
            </w:r>
          </w:p>
        </w:tc>
        <w:tc>
          <w:tcPr>
            <w:tcW w:type="dxa" w:w="2952"/>
            <w:vAlign w:val="center"/>
          </w:tcPr>
          <w:p>
            <w:pPr>
              <w:spacing w:after="0"/>
              <w:jc w:val="left"/>
            </w:pPr>
            <w:r/>
            <w:r>
              <w:rPr>
                <w:rFonts w:ascii="Arial" w:hAnsi="Arial"/>
                <w:b w:val="0"/>
                <w:i w:val="0"/>
                <w:color w:val="000000"/>
                <w:sz w:val="13"/>
              </w:rPr>
              <w:t>Kit pH Up + pH Down Inverfarms</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$233</w:t>
            </w:r>
          </w:p>
        </w:tc>
        <w:tc>
          <w:tcPr>
            <w:tcW w:type="dxa" w:w="1008"/>
            <w:vAlign w:val="center"/>
          </w:tcPr>
          <w:p>
            <w:pPr>
              <w:spacing w:after="0"/>
              <w:jc w:val="left"/>
            </w:pPr>
            <w:r/>
            <w:r>
              <w:rPr>
                <w:rFonts w:ascii="Arial" w:hAnsi="Arial"/>
                <w:b w:val="0"/>
                <w:i w:val="0"/>
                <w:color w:val="000000"/>
                <w:sz w:val="13"/>
              </w:rPr>
              <w:t>$233</w:t>
            </w:r>
          </w:p>
        </w:tc>
        <w:tc>
          <w:tcPr>
            <w:tcW w:type="dxa" w:w="2376"/>
            <w:vAlign w:val="center"/>
          </w:tcPr>
          <w:p>
            <w:pPr>
              <w:spacing w:after="0"/>
              <w:jc w:val="left"/>
            </w:pPr>
            <w:r/>
            <w:r>
              <w:rPr>
                <w:rFonts w:ascii="Arial" w:hAnsi="Arial"/>
                <w:b w:val="0"/>
                <w:i w:val="0"/>
                <w:color w:val="000000"/>
                <w:sz w:val="12"/>
              </w:rPr>
              <w:t>Referencia $232.75 [23]</w:t>
            </w:r>
          </w:p>
        </w:tc>
      </w:tr>
      <w:tr>
        <w:trPr>
          <w:cantSplit/>
        </w:trPr>
        <w:tc>
          <w:tcPr>
            <w:tcW w:type="dxa" w:w="1224"/>
            <w:vAlign w:val="center"/>
          </w:tcPr>
          <w:p>
            <w:pPr>
              <w:spacing w:after="0"/>
              <w:jc w:val="left"/>
            </w:pPr>
            <w:r/>
            <w:r>
              <w:rPr>
                <w:rFonts w:ascii="Arial" w:hAnsi="Arial"/>
                <w:b w:val="0"/>
                <w:i w:val="0"/>
                <w:color w:val="000000"/>
                <w:sz w:val="13"/>
              </w:rPr>
              <w:t>Calibración</w:t>
            </w:r>
          </w:p>
        </w:tc>
        <w:tc>
          <w:tcPr>
            <w:tcW w:type="dxa" w:w="2952"/>
            <w:vAlign w:val="center"/>
          </w:tcPr>
          <w:p>
            <w:pPr>
              <w:spacing w:after="0"/>
              <w:jc w:val="left"/>
            </w:pPr>
            <w:r/>
            <w:r>
              <w:rPr>
                <w:rFonts w:ascii="Arial" w:hAnsi="Arial"/>
                <w:b w:val="0"/>
                <w:i w:val="0"/>
                <w:color w:val="000000"/>
                <w:sz w:val="13"/>
              </w:rPr>
              <w:t>Buffer pH 4.01/6.86/9.18, 3 sobres</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$99</w:t>
            </w:r>
          </w:p>
        </w:tc>
        <w:tc>
          <w:tcPr>
            <w:tcW w:type="dxa" w:w="1008"/>
            <w:vAlign w:val="center"/>
          </w:tcPr>
          <w:p>
            <w:pPr>
              <w:spacing w:after="0"/>
              <w:jc w:val="left"/>
            </w:pPr>
            <w:r/>
            <w:r>
              <w:rPr>
                <w:rFonts w:ascii="Arial" w:hAnsi="Arial"/>
                <w:b w:val="0"/>
                <w:i w:val="0"/>
                <w:color w:val="000000"/>
                <w:sz w:val="13"/>
              </w:rPr>
              <w:t>$99</w:t>
            </w:r>
          </w:p>
        </w:tc>
        <w:tc>
          <w:tcPr>
            <w:tcW w:type="dxa" w:w="2376"/>
            <w:vAlign w:val="center"/>
          </w:tcPr>
          <w:p>
            <w:pPr>
              <w:spacing w:after="0"/>
              <w:jc w:val="left"/>
            </w:pPr>
            <w:r/>
            <w:r>
              <w:rPr>
                <w:rFonts w:ascii="Arial" w:hAnsi="Arial"/>
                <w:b w:val="0"/>
                <w:i w:val="0"/>
                <w:color w:val="000000"/>
                <w:sz w:val="12"/>
              </w:rPr>
              <w:t>Referencia $98.99 [30]</w:t>
            </w:r>
          </w:p>
        </w:tc>
      </w:tr>
      <w:tr>
        <w:trPr>
          <w:cantSplit/>
        </w:trPr>
        <w:tc>
          <w:tcPr>
            <w:tcW w:type="dxa" w:w="1224"/>
            <w:vAlign w:val="center"/>
          </w:tcPr>
          <w:p>
            <w:pPr>
              <w:spacing w:after="0"/>
              <w:jc w:val="left"/>
            </w:pPr>
            <w:r/>
            <w:r>
              <w:rPr>
                <w:rFonts w:ascii="Arial" w:hAnsi="Arial"/>
                <w:b w:val="0"/>
                <w:i w:val="0"/>
                <w:color w:val="000000"/>
                <w:sz w:val="13"/>
              </w:rPr>
              <w:t>Integración</w:t>
            </w:r>
          </w:p>
        </w:tc>
        <w:tc>
          <w:tcPr>
            <w:tcW w:type="dxa" w:w="2952"/>
            <w:vAlign w:val="center"/>
          </w:tcPr>
          <w:p>
            <w:pPr>
              <w:spacing w:after="0"/>
              <w:jc w:val="left"/>
            </w:pPr>
            <w:r/>
            <w:r>
              <w:rPr>
                <w:rFonts w:ascii="Arial" w:hAnsi="Arial"/>
                <w:b w:val="0"/>
                <w:i w:val="0"/>
                <w:color w:val="000000"/>
                <w:sz w:val="13"/>
              </w:rPr>
              <w:t>Caja, cable, fusibles, borneras, conectores</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$300</w:t>
            </w:r>
          </w:p>
        </w:tc>
        <w:tc>
          <w:tcPr>
            <w:tcW w:type="dxa" w:w="1008"/>
            <w:vAlign w:val="center"/>
          </w:tcPr>
          <w:p>
            <w:pPr>
              <w:spacing w:after="0"/>
              <w:jc w:val="left"/>
            </w:pPr>
            <w:r/>
            <w:r>
              <w:rPr>
                <w:rFonts w:ascii="Arial" w:hAnsi="Arial"/>
                <w:b w:val="0"/>
                <w:i w:val="0"/>
                <w:color w:val="000000"/>
                <w:sz w:val="13"/>
              </w:rPr>
              <w:t>$300</w:t>
            </w:r>
          </w:p>
        </w:tc>
        <w:tc>
          <w:tcPr>
            <w:tcW w:type="dxa" w:w="2376"/>
            <w:vAlign w:val="center"/>
          </w:tcPr>
          <w:p>
            <w:pPr>
              <w:spacing w:after="0"/>
              <w:jc w:val="left"/>
            </w:pPr>
            <w:r/>
            <w:r>
              <w:rPr>
                <w:rFonts w:ascii="Arial" w:hAnsi="Arial"/>
                <w:b w:val="0"/>
                <w:i w:val="0"/>
                <w:color w:val="000000"/>
                <w:sz w:val="12"/>
              </w:rPr>
              <w:t>Estimación preliminar</w:t>
            </w:r>
          </w:p>
        </w:tc>
      </w:tr>
      <w:tr>
        <w:trPr>
          <w:cantSplit/>
        </w:trPr>
        <w:tc>
          <w:tcPr>
            <w:tcW w:type="dxa" w:w="1224"/>
            <w:vAlign w:val="center"/>
          </w:tcPr>
          <w:p>
            <w:pPr>
              <w:spacing w:after="0"/>
              <w:jc w:val="left"/>
            </w:pPr>
            <w:r/>
            <w:r>
              <w:rPr>
                <w:rFonts w:ascii="Arial" w:hAnsi="Arial"/>
                <w:b w:val="0"/>
                <w:i w:val="0"/>
                <w:color w:val="000000"/>
                <w:sz w:val="13"/>
              </w:rPr>
              <w:t>Validación</w:t>
            </w:r>
          </w:p>
        </w:tc>
        <w:tc>
          <w:tcPr>
            <w:tcW w:type="dxa" w:w="2952"/>
            <w:vAlign w:val="center"/>
          </w:tcPr>
          <w:p>
            <w:pPr>
              <w:spacing w:after="0"/>
              <w:jc w:val="left"/>
            </w:pPr>
            <w:r/>
            <w:r>
              <w:rPr>
                <w:rFonts w:ascii="Arial" w:hAnsi="Arial"/>
                <w:b w:val="0"/>
                <w:i w:val="0"/>
                <w:color w:val="000000"/>
                <w:sz w:val="13"/>
              </w:rPr>
              <w:t>Plantas + maceta/sustrato de control</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$180</w:t>
            </w:r>
          </w:p>
        </w:tc>
        <w:tc>
          <w:tcPr>
            <w:tcW w:type="dxa" w:w="1008"/>
            <w:vAlign w:val="center"/>
          </w:tcPr>
          <w:p>
            <w:pPr>
              <w:spacing w:after="0"/>
              <w:jc w:val="left"/>
            </w:pPr>
            <w:r/>
            <w:r>
              <w:rPr>
                <w:rFonts w:ascii="Arial" w:hAnsi="Arial"/>
                <w:b w:val="0"/>
                <w:i w:val="0"/>
                <w:color w:val="000000"/>
                <w:sz w:val="13"/>
              </w:rPr>
              <w:t>$180</w:t>
            </w:r>
          </w:p>
        </w:tc>
        <w:tc>
          <w:tcPr>
            <w:tcW w:type="dxa" w:w="2376"/>
            <w:vAlign w:val="center"/>
          </w:tcPr>
          <w:p>
            <w:pPr>
              <w:spacing w:after="0"/>
              <w:jc w:val="left"/>
            </w:pPr>
            <w:r/>
            <w:r>
              <w:rPr>
                <w:rFonts w:ascii="Arial" w:hAnsi="Arial"/>
                <w:b w:val="0"/>
                <w:i w:val="0"/>
                <w:color w:val="000000"/>
                <w:sz w:val="12"/>
              </w:rPr>
              <w:t>Estimación; compra final según plantas disponibles</w:t>
            </w:r>
          </w:p>
        </w:tc>
      </w:tr>
    </w:tbl>
    <w:p>
      <w:pPr>
        <w:spacing w:after="20"/>
      </w:pPr>
    </w:p>
    <w:p>
      <w:pPr>
        <w:spacing w:after="80"/>
      </w:pPr>
      <w:r>
        <w:rPr>
          <w:rFonts w:ascii="Arial" w:hAnsi="Arial"/>
          <w:b/>
          <w:i w:val="0"/>
          <w:color w:val="000000"/>
          <w:sz w:val="21"/>
        </w:rPr>
        <w:t>Costo preliminar de la alternativa seleccionada:</w:t>
      </w:r>
      <w:r>
        <w:rPr>
          <w:rFonts w:ascii="Arial" w:hAnsi="Arial"/>
          <w:b w:val="0"/>
          <w:i w:val="0"/>
          <w:color w:val="000000"/>
          <w:sz w:val="21"/>
        </w:rPr>
        <w:t xml:space="preserve"> aproximadamente $5,500 MXN. Esto deja cerca de $500 MXN de margen frente al objetivo máximo de $6,000 MXN para variaciones de proveedor o consumibles.</w:t>
      </w:r>
    </w:p>
    <w:p>
      <w:pPr>
        <w:spacing w:after="80"/>
      </w:pPr>
      <w:r>
        <w:rPr>
          <w:rFonts w:ascii="Arial" w:hAnsi="Arial"/>
          <w:b w:val="0"/>
          <w:i w:val="0"/>
          <w:color w:val="000000"/>
          <w:sz w:val="21"/>
        </w:rPr>
        <w:t>Si se sustituyera el TDS económico ($253) por el kit de conductividad eléctrica DFR0300 ($1,799), el incremento sería de aproximadamente $1,546 MXN y llevaría el prototipo por encima de la meta de $6,000. Por ello se mantiene TDS en esta versión y el sensor EC queda como mejora posterior. El SEN0244 tiene rango publicado de 0–1000 ppm y precisión de ±10% de escala completa a 25 °C, por lo que su limitación deberá documentarse durante las pruebas [16].</w:t>
      </w:r>
    </w:p>
    <w:p>
      <w:pPr>
        <w:spacing w:before="160" w:after="80"/>
      </w:pPr>
      <w:r>
        <w:rPr>
          <w:rFonts w:ascii="Arial" w:hAnsi="Arial"/>
          <w:b/>
          <w:i w:val="0"/>
          <w:color w:val="000000"/>
          <w:sz w:val="28"/>
        </w:rPr>
        <w:t>8. Costos recurrentes de nube y comunicación</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656"/>
            <w:vAlign w:val="center"/>
            <w:shd w:fill="E7E7E7"/>
          </w:tcPr>
          <w:p>
            <w:pPr>
              <w:spacing w:after="0"/>
              <w:jc w:val="center"/>
            </w:pPr>
            <w:r/>
            <w:r>
              <w:rPr>
                <w:rFonts w:ascii="Arial" w:hAnsi="Arial"/>
                <w:b/>
                <w:i w:val="0"/>
                <w:color w:val="000000"/>
                <w:sz w:val="16"/>
              </w:rPr>
              <w:t>Escenario</w:t>
            </w:r>
          </w:p>
        </w:tc>
        <w:tc>
          <w:tcPr>
            <w:tcW w:type="dxa" w:w="3384"/>
            <w:vAlign w:val="center"/>
            <w:shd w:fill="E7E7E7"/>
          </w:tcPr>
          <w:p>
            <w:pPr>
              <w:spacing w:after="0"/>
              <w:jc w:val="center"/>
            </w:pPr>
            <w:r/>
            <w:r>
              <w:rPr>
                <w:rFonts w:ascii="Arial" w:hAnsi="Arial"/>
                <w:b/>
                <w:i w:val="0"/>
                <w:color w:val="000000"/>
                <w:sz w:val="16"/>
              </w:rPr>
              <w:t>Servicio</w:t>
            </w:r>
          </w:p>
        </w:tc>
        <w:tc>
          <w:tcPr>
            <w:tcW w:type="dxa" w:w="1656"/>
            <w:vAlign w:val="center"/>
            <w:shd w:fill="E7E7E7"/>
          </w:tcPr>
          <w:p>
            <w:pPr>
              <w:spacing w:after="0"/>
              <w:jc w:val="center"/>
            </w:pPr>
            <w:r/>
            <w:r>
              <w:rPr>
                <w:rFonts w:ascii="Arial" w:hAnsi="Arial"/>
                <w:b/>
                <w:i w:val="0"/>
                <w:color w:val="000000"/>
                <w:sz w:val="16"/>
              </w:rPr>
              <w:t>Costo recurrente</w:t>
            </w:r>
          </w:p>
        </w:tc>
        <w:tc>
          <w:tcPr>
            <w:tcW w:type="dxa" w:w="3168"/>
            <w:vAlign w:val="center"/>
            <w:shd w:fill="E7E7E7"/>
          </w:tcPr>
          <w:p>
            <w:pPr>
              <w:spacing w:after="0"/>
              <w:jc w:val="center"/>
            </w:pPr>
            <w:r/>
            <w:r>
              <w:rPr>
                <w:rFonts w:ascii="Arial" w:hAnsi="Arial"/>
                <w:b/>
                <w:i w:val="0"/>
                <w:color w:val="000000"/>
                <w:sz w:val="16"/>
              </w:rPr>
              <w:t>Observación</w:t>
            </w:r>
          </w:p>
        </w:tc>
      </w:tr>
      <w:tr>
        <w:trPr>
          <w:cantSplit/>
        </w:trPr>
        <w:tc>
          <w:tcPr>
            <w:tcW w:type="dxa" w:w="1656"/>
            <w:vAlign w:val="center"/>
          </w:tcPr>
          <w:p>
            <w:pPr>
              <w:spacing w:after="0"/>
              <w:jc w:val="left"/>
            </w:pPr>
            <w:r/>
            <w:r>
              <w:rPr>
                <w:rFonts w:ascii="Arial" w:hAnsi="Arial"/>
                <w:b w:val="0"/>
                <w:i w:val="0"/>
                <w:color w:val="000000"/>
                <w:sz w:val="15"/>
              </w:rPr>
              <w:t>Desarrollo local</w:t>
            </w:r>
          </w:p>
        </w:tc>
        <w:tc>
          <w:tcPr>
            <w:tcW w:type="dxa" w:w="3384"/>
            <w:vAlign w:val="center"/>
          </w:tcPr>
          <w:p>
            <w:pPr>
              <w:spacing w:after="0"/>
              <w:jc w:val="left"/>
            </w:pPr>
            <w:r/>
            <w:r>
              <w:rPr>
                <w:rFonts w:ascii="Arial" w:hAnsi="Arial"/>
                <w:b w:val="0"/>
                <w:i w:val="0"/>
                <w:color w:val="000000"/>
                <w:sz w:val="14"/>
              </w:rPr>
              <w:t>PC existente: Laravel + Mosquitto + PostgreSQL</w:t>
            </w:r>
          </w:p>
        </w:tc>
        <w:tc>
          <w:tcPr>
            <w:tcW w:type="dxa" w:w="1656"/>
            <w:vAlign w:val="center"/>
          </w:tcPr>
          <w:p>
            <w:pPr>
              <w:spacing w:after="0"/>
              <w:jc w:val="left"/>
            </w:pPr>
            <w:r/>
            <w:r>
              <w:rPr>
                <w:rFonts w:ascii="Arial" w:hAnsi="Arial"/>
                <w:b w:val="0"/>
                <w:i w:val="0"/>
                <w:color w:val="000000"/>
                <w:sz w:val="14"/>
              </w:rPr>
              <w:t>$0 de servicio</w:t>
            </w:r>
          </w:p>
        </w:tc>
        <w:tc>
          <w:tcPr>
            <w:tcW w:type="dxa" w:w="3168"/>
            <w:vAlign w:val="center"/>
          </w:tcPr>
          <w:p>
            <w:pPr>
              <w:spacing w:after="0"/>
              <w:jc w:val="left"/>
            </w:pPr>
            <w:r/>
            <w:r>
              <w:rPr>
                <w:rFonts w:ascii="Arial" w:hAnsi="Arial"/>
                <w:b w:val="0"/>
                <w:i w:val="0"/>
                <w:color w:val="000000"/>
                <w:sz w:val="14"/>
              </w:rPr>
              <w:t>No incluye electricidad ni Internet ya contratados.</w:t>
            </w:r>
          </w:p>
        </w:tc>
      </w:tr>
      <w:tr>
        <w:trPr>
          <w:cantSplit/>
        </w:trPr>
        <w:tc>
          <w:tcPr>
            <w:tcW w:type="dxa" w:w="1656"/>
            <w:vAlign w:val="center"/>
          </w:tcPr>
          <w:p>
            <w:pPr>
              <w:spacing w:after="0"/>
              <w:jc w:val="left"/>
            </w:pPr>
            <w:r/>
            <w:r>
              <w:rPr>
                <w:rFonts w:ascii="Arial" w:hAnsi="Arial"/>
                <w:b w:val="0"/>
                <w:i w:val="0"/>
                <w:color w:val="000000"/>
                <w:sz w:val="15"/>
              </w:rPr>
              <w:t>Acceso remoto</w:t>
            </w:r>
          </w:p>
        </w:tc>
        <w:tc>
          <w:tcPr>
            <w:tcW w:type="dxa" w:w="3384"/>
            <w:vAlign w:val="center"/>
          </w:tcPr>
          <w:p>
            <w:pPr>
              <w:spacing w:after="0"/>
              <w:jc w:val="left"/>
            </w:pPr>
            <w:r/>
            <w:r>
              <w:rPr>
                <w:rFonts w:ascii="Arial" w:hAnsi="Arial"/>
                <w:b w:val="0"/>
                <w:i w:val="0"/>
                <w:color w:val="000000"/>
                <w:sz w:val="14"/>
              </w:rPr>
              <w:t>VPS Basic 2 GiB / 1 vCPU / 50 GiB</w:t>
            </w:r>
          </w:p>
        </w:tc>
        <w:tc>
          <w:tcPr>
            <w:tcW w:type="dxa" w:w="1656"/>
            <w:vAlign w:val="center"/>
          </w:tcPr>
          <w:p>
            <w:pPr>
              <w:spacing w:after="0"/>
              <w:jc w:val="left"/>
            </w:pPr>
            <w:r/>
            <w:r>
              <w:rPr>
                <w:rFonts w:ascii="Arial" w:hAnsi="Arial"/>
                <w:b w:val="0"/>
                <w:i w:val="0"/>
                <w:color w:val="000000"/>
                <w:sz w:val="14"/>
              </w:rPr>
              <w:t>USD 12/mes</w:t>
            </w:r>
          </w:p>
        </w:tc>
        <w:tc>
          <w:tcPr>
            <w:tcW w:type="dxa" w:w="3168"/>
            <w:vAlign w:val="center"/>
          </w:tcPr>
          <w:p>
            <w:pPr>
              <w:spacing w:after="0"/>
              <w:jc w:val="left"/>
            </w:pPr>
            <w:r/>
            <w:r>
              <w:rPr>
                <w:rFonts w:ascii="Arial" w:hAnsi="Arial"/>
                <w:b w:val="0"/>
                <w:i w:val="0"/>
                <w:color w:val="000000"/>
                <w:sz w:val="14"/>
              </w:rPr>
              <w:t>Referencia DigitalOcean [9]; conversión a MXN varía.</w:t>
            </w:r>
          </w:p>
        </w:tc>
      </w:tr>
      <w:tr>
        <w:trPr>
          <w:cantSplit/>
        </w:trPr>
        <w:tc>
          <w:tcPr>
            <w:tcW w:type="dxa" w:w="1656"/>
            <w:vAlign w:val="center"/>
          </w:tcPr>
          <w:p>
            <w:pPr>
              <w:spacing w:after="0"/>
              <w:jc w:val="left"/>
            </w:pPr>
            <w:r/>
            <w:r>
              <w:rPr>
                <w:rFonts w:ascii="Arial" w:hAnsi="Arial"/>
                <w:b w:val="0"/>
                <w:i w:val="0"/>
                <w:color w:val="000000"/>
                <w:sz w:val="15"/>
              </w:rPr>
              <w:t>Notificaciones</w:t>
            </w:r>
          </w:p>
        </w:tc>
        <w:tc>
          <w:tcPr>
            <w:tcW w:type="dxa" w:w="3384"/>
            <w:vAlign w:val="center"/>
          </w:tcPr>
          <w:p>
            <w:pPr>
              <w:spacing w:after="0"/>
              <w:jc w:val="left"/>
            </w:pPr>
            <w:r/>
            <w:r>
              <w:rPr>
                <w:rFonts w:ascii="Arial" w:hAnsi="Arial"/>
                <w:b w:val="0"/>
                <w:i w:val="0"/>
                <w:color w:val="000000"/>
                <w:sz w:val="14"/>
              </w:rPr>
              <w:t>Firebase Cloud Messaging</w:t>
            </w:r>
          </w:p>
        </w:tc>
        <w:tc>
          <w:tcPr>
            <w:tcW w:type="dxa" w:w="1656"/>
            <w:vAlign w:val="center"/>
          </w:tcPr>
          <w:p>
            <w:pPr>
              <w:spacing w:after="0"/>
              <w:jc w:val="left"/>
            </w:pPr>
            <w:r/>
            <w:r>
              <w:rPr>
                <w:rFonts w:ascii="Arial" w:hAnsi="Arial"/>
                <w:b w:val="0"/>
                <w:i w:val="0"/>
                <w:color w:val="000000"/>
                <w:sz w:val="14"/>
              </w:rPr>
              <w:t>$0</w:t>
            </w:r>
          </w:p>
        </w:tc>
        <w:tc>
          <w:tcPr>
            <w:tcW w:type="dxa" w:w="3168"/>
            <w:vAlign w:val="center"/>
          </w:tcPr>
          <w:p>
            <w:pPr>
              <w:spacing w:after="0"/>
              <w:jc w:val="left"/>
            </w:pPr>
            <w:r/>
            <w:r>
              <w:rPr>
                <w:rFonts w:ascii="Arial" w:hAnsi="Arial"/>
                <w:b w:val="0"/>
                <w:i w:val="0"/>
                <w:color w:val="000000"/>
                <w:sz w:val="14"/>
              </w:rPr>
              <w:t>FCM aparece como producto sin costo [8].</w:t>
            </w:r>
          </w:p>
        </w:tc>
      </w:tr>
      <w:tr>
        <w:trPr>
          <w:cantSplit/>
        </w:trPr>
        <w:tc>
          <w:tcPr>
            <w:tcW w:type="dxa" w:w="1656"/>
            <w:vAlign w:val="center"/>
          </w:tcPr>
          <w:p>
            <w:pPr>
              <w:spacing w:after="0"/>
              <w:jc w:val="left"/>
            </w:pPr>
            <w:r/>
            <w:r>
              <w:rPr>
                <w:rFonts w:ascii="Arial" w:hAnsi="Arial"/>
                <w:b w:val="0"/>
                <w:i w:val="0"/>
                <w:color w:val="000000"/>
                <w:sz w:val="15"/>
              </w:rPr>
              <w:t>Comunicación del dispositivo</w:t>
            </w:r>
          </w:p>
        </w:tc>
        <w:tc>
          <w:tcPr>
            <w:tcW w:type="dxa" w:w="3384"/>
            <w:vAlign w:val="center"/>
          </w:tcPr>
          <w:p>
            <w:pPr>
              <w:spacing w:after="0"/>
              <w:jc w:val="left"/>
            </w:pPr>
            <w:r/>
            <w:r>
              <w:rPr>
                <w:rFonts w:ascii="Arial" w:hAnsi="Arial"/>
                <w:b w:val="0"/>
                <w:i w:val="0"/>
                <w:color w:val="000000"/>
                <w:sz w:val="14"/>
              </w:rPr>
              <w:t>Wi-Fi local</w:t>
            </w:r>
          </w:p>
        </w:tc>
        <w:tc>
          <w:tcPr>
            <w:tcW w:type="dxa" w:w="1656"/>
            <w:vAlign w:val="center"/>
          </w:tcPr>
          <w:p>
            <w:pPr>
              <w:spacing w:after="0"/>
              <w:jc w:val="left"/>
            </w:pPr>
            <w:r/>
            <w:r>
              <w:rPr>
                <w:rFonts w:ascii="Arial" w:hAnsi="Arial"/>
                <w:b w:val="0"/>
                <w:i w:val="0"/>
                <w:color w:val="000000"/>
                <w:sz w:val="14"/>
              </w:rPr>
              <w:t>$0 incremental</w:t>
            </w:r>
          </w:p>
        </w:tc>
        <w:tc>
          <w:tcPr>
            <w:tcW w:type="dxa" w:w="3168"/>
            <w:vAlign w:val="center"/>
          </w:tcPr>
          <w:p>
            <w:pPr>
              <w:spacing w:after="0"/>
              <w:jc w:val="left"/>
            </w:pPr>
            <w:r/>
            <w:r>
              <w:rPr>
                <w:rFonts w:ascii="Arial" w:hAnsi="Arial"/>
                <w:b w:val="0"/>
                <w:i w:val="0"/>
                <w:color w:val="000000"/>
                <w:sz w:val="14"/>
              </w:rPr>
              <w:t>Utiliza la conexión existente; no requiere SIM ni plan celular.</w:t>
            </w:r>
          </w:p>
        </w:tc>
      </w:tr>
    </w:tbl>
    <w:p>
      <w:pPr>
        <w:spacing w:after="20"/>
      </w:pPr>
    </w:p>
    <w:p>
      <w:pPr>
        <w:spacing w:before="160" w:after="80"/>
      </w:pPr>
      <w:r>
        <w:rPr>
          <w:rFonts w:ascii="Arial" w:hAnsi="Arial"/>
          <w:b/>
          <w:i w:val="0"/>
          <w:color w:val="000000"/>
          <w:sz w:val="28"/>
        </w:rPr>
        <w:t>9. Validación cuantitativa del cultivo</w:t>
      </w:r>
    </w:p>
    <w:p>
      <w:pPr>
        <w:spacing w:after="80"/>
      </w:pPr>
      <w:r>
        <w:rPr>
          <w:rFonts w:ascii="Arial" w:hAnsi="Arial"/>
          <w:b w:val="0"/>
          <w:i w:val="0"/>
          <w:color w:val="000000"/>
          <w:sz w:val="21"/>
        </w:rPr>
        <w:t>Además de validar electrónica y software, HydroMate incorporará al ser vivo como indicador cuantitativo. Se comparará el desempeño de plantas cultivadas en HydroMate con plantas testigo de la misma especie/variedad en maceta. La comparación será una evaluación del sistema completo; no se afirmará que HydroMate mejora el cultivo hasta contar con datos. El trabajo de Bhat et al. utilizó métricas como altura, número de hojas, peso fresco, rendimiento y consumo de agua al evaluar un sistema hidropónico IoT, por lo que sirve como referencia metodológica [10].</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2232"/>
            <w:vAlign w:val="center"/>
            <w:shd w:fill="E7E7E7"/>
          </w:tcPr>
          <w:p>
            <w:pPr>
              <w:spacing w:after="0"/>
              <w:jc w:val="center"/>
            </w:pPr>
            <w:r/>
            <w:r>
              <w:rPr>
                <w:rFonts w:ascii="Arial" w:hAnsi="Arial"/>
                <w:b/>
                <w:i w:val="0"/>
                <w:color w:val="000000"/>
                <w:sz w:val="16"/>
              </w:rPr>
              <w:t>Indicador</w:t>
            </w:r>
          </w:p>
        </w:tc>
        <w:tc>
          <w:tcPr>
            <w:tcW w:type="dxa" w:w="1152"/>
            <w:vAlign w:val="center"/>
            <w:shd w:fill="E7E7E7"/>
          </w:tcPr>
          <w:p>
            <w:pPr>
              <w:spacing w:after="0"/>
              <w:jc w:val="center"/>
            </w:pPr>
            <w:r/>
            <w:r>
              <w:rPr>
                <w:rFonts w:ascii="Arial" w:hAnsi="Arial"/>
                <w:b/>
                <w:i w:val="0"/>
                <w:color w:val="000000"/>
                <w:sz w:val="16"/>
              </w:rPr>
              <w:t>Unidad</w:t>
            </w:r>
          </w:p>
        </w:tc>
        <w:tc>
          <w:tcPr>
            <w:tcW w:type="dxa" w:w="1584"/>
            <w:vAlign w:val="center"/>
            <w:shd w:fill="E7E7E7"/>
          </w:tcPr>
          <w:p>
            <w:pPr>
              <w:spacing w:after="0"/>
              <w:jc w:val="center"/>
            </w:pPr>
            <w:r/>
            <w:r>
              <w:rPr>
                <w:rFonts w:ascii="Arial" w:hAnsi="Arial"/>
                <w:b/>
                <w:i w:val="0"/>
                <w:color w:val="000000"/>
                <w:sz w:val="16"/>
              </w:rPr>
              <w:t>Frecuencia</w:t>
            </w:r>
          </w:p>
        </w:tc>
        <w:tc>
          <w:tcPr>
            <w:tcW w:type="dxa" w:w="4464"/>
            <w:vAlign w:val="center"/>
            <w:shd w:fill="E7E7E7"/>
          </w:tcPr>
          <w:p>
            <w:pPr>
              <w:spacing w:after="0"/>
              <w:jc w:val="center"/>
            </w:pPr>
            <w:r/>
            <w:r>
              <w:rPr>
                <w:rFonts w:ascii="Arial" w:hAnsi="Arial"/>
                <w:b/>
                <w:i w:val="0"/>
                <w:color w:val="000000"/>
                <w:sz w:val="16"/>
              </w:rPr>
              <w:t>Criterio</w:t>
            </w:r>
          </w:p>
        </w:tc>
      </w:tr>
      <w:tr>
        <w:trPr>
          <w:cantSplit/>
        </w:trPr>
        <w:tc>
          <w:tcPr>
            <w:tcW w:type="dxa" w:w="2232"/>
            <w:vAlign w:val="center"/>
          </w:tcPr>
          <w:p>
            <w:pPr>
              <w:spacing w:after="0"/>
              <w:jc w:val="left"/>
            </w:pPr>
            <w:r/>
            <w:r>
              <w:rPr>
                <w:rFonts w:ascii="Arial" w:hAnsi="Arial"/>
                <w:b w:val="0"/>
                <w:i w:val="0"/>
                <w:color w:val="000000"/>
                <w:sz w:val="15"/>
              </w:rPr>
              <w:t>Altura de planta</w:t>
            </w:r>
          </w:p>
        </w:tc>
        <w:tc>
          <w:tcPr>
            <w:tcW w:type="dxa" w:w="1152"/>
            <w:vAlign w:val="center"/>
          </w:tcPr>
          <w:p>
            <w:pPr>
              <w:spacing w:after="0"/>
              <w:jc w:val="left"/>
            </w:pPr>
            <w:r/>
            <w:r>
              <w:rPr>
                <w:rFonts w:ascii="Arial" w:hAnsi="Arial"/>
                <w:b w:val="0"/>
                <w:i w:val="0"/>
                <w:color w:val="000000"/>
                <w:sz w:val="15"/>
              </w:rPr>
              <w:t>cm</w:t>
            </w:r>
          </w:p>
        </w:tc>
        <w:tc>
          <w:tcPr>
            <w:tcW w:type="dxa" w:w="1584"/>
            <w:vAlign w:val="center"/>
          </w:tcPr>
          <w:p>
            <w:pPr>
              <w:spacing w:after="0"/>
              <w:jc w:val="left"/>
            </w:pPr>
            <w:r/>
            <w:r>
              <w:rPr>
                <w:rFonts w:ascii="Arial" w:hAnsi="Arial"/>
                <w:b w:val="0"/>
                <w:i w:val="0"/>
                <w:color w:val="000000"/>
                <w:sz w:val="15"/>
              </w:rPr>
              <w:t>Semanal</w:t>
            </w:r>
          </w:p>
        </w:tc>
        <w:tc>
          <w:tcPr>
            <w:tcW w:type="dxa" w:w="4464"/>
            <w:vAlign w:val="center"/>
          </w:tcPr>
          <w:p>
            <w:pPr>
              <w:spacing w:after="0"/>
              <w:jc w:val="left"/>
            </w:pPr>
            <w:r/>
            <w:r>
              <w:rPr>
                <w:rFonts w:ascii="Arial" w:hAnsi="Arial"/>
                <w:b w:val="0"/>
                <w:i w:val="0"/>
                <w:color w:val="000000"/>
                <w:sz w:val="14"/>
              </w:rPr>
              <w:t>Misma referencia de medición desde la base.</w:t>
            </w:r>
          </w:p>
        </w:tc>
      </w:tr>
      <w:tr>
        <w:trPr>
          <w:cantSplit/>
        </w:trPr>
        <w:tc>
          <w:tcPr>
            <w:tcW w:type="dxa" w:w="2232"/>
            <w:vAlign w:val="center"/>
          </w:tcPr>
          <w:p>
            <w:pPr>
              <w:spacing w:after="0"/>
              <w:jc w:val="left"/>
            </w:pPr>
            <w:r/>
            <w:r>
              <w:rPr>
                <w:rFonts w:ascii="Arial" w:hAnsi="Arial"/>
                <w:b w:val="0"/>
                <w:i w:val="0"/>
                <w:color w:val="000000"/>
                <w:sz w:val="15"/>
              </w:rPr>
              <w:t>Número de hojas</w:t>
            </w:r>
          </w:p>
        </w:tc>
        <w:tc>
          <w:tcPr>
            <w:tcW w:type="dxa" w:w="1152"/>
            <w:vAlign w:val="center"/>
          </w:tcPr>
          <w:p>
            <w:pPr>
              <w:spacing w:after="0"/>
              <w:jc w:val="left"/>
            </w:pPr>
            <w:r/>
            <w:r>
              <w:rPr>
                <w:rFonts w:ascii="Arial" w:hAnsi="Arial"/>
                <w:b w:val="0"/>
                <w:i w:val="0"/>
                <w:color w:val="000000"/>
                <w:sz w:val="15"/>
              </w:rPr>
              <w:t>hojas</w:t>
            </w:r>
          </w:p>
        </w:tc>
        <w:tc>
          <w:tcPr>
            <w:tcW w:type="dxa" w:w="1584"/>
            <w:vAlign w:val="center"/>
          </w:tcPr>
          <w:p>
            <w:pPr>
              <w:spacing w:after="0"/>
              <w:jc w:val="left"/>
            </w:pPr>
            <w:r/>
            <w:r>
              <w:rPr>
                <w:rFonts w:ascii="Arial" w:hAnsi="Arial"/>
                <w:b w:val="0"/>
                <w:i w:val="0"/>
                <w:color w:val="000000"/>
                <w:sz w:val="15"/>
              </w:rPr>
              <w:t>Semanal</w:t>
            </w:r>
          </w:p>
        </w:tc>
        <w:tc>
          <w:tcPr>
            <w:tcW w:type="dxa" w:w="4464"/>
            <w:vAlign w:val="center"/>
          </w:tcPr>
          <w:p>
            <w:pPr>
              <w:spacing w:after="0"/>
              <w:jc w:val="left"/>
            </w:pPr>
            <w:r/>
            <w:r>
              <w:rPr>
                <w:rFonts w:ascii="Arial" w:hAnsi="Arial"/>
                <w:b w:val="0"/>
                <w:i w:val="0"/>
                <w:color w:val="000000"/>
                <w:sz w:val="14"/>
              </w:rPr>
              <w:t>Definir criterio consistente para hojas plenamente desarrolladas.</w:t>
            </w:r>
          </w:p>
        </w:tc>
      </w:tr>
      <w:tr>
        <w:trPr>
          <w:cantSplit/>
        </w:trPr>
        <w:tc>
          <w:tcPr>
            <w:tcW w:type="dxa" w:w="2232"/>
            <w:vAlign w:val="center"/>
          </w:tcPr>
          <w:p>
            <w:pPr>
              <w:spacing w:after="0"/>
              <w:jc w:val="left"/>
            </w:pPr>
            <w:r/>
            <w:r>
              <w:rPr>
                <w:rFonts w:ascii="Arial" w:hAnsi="Arial"/>
                <w:b w:val="0"/>
                <w:i w:val="0"/>
                <w:color w:val="000000"/>
                <w:sz w:val="15"/>
              </w:rPr>
              <w:t>Diámetro de tallo</w:t>
            </w:r>
          </w:p>
        </w:tc>
        <w:tc>
          <w:tcPr>
            <w:tcW w:type="dxa" w:w="1152"/>
            <w:vAlign w:val="center"/>
          </w:tcPr>
          <w:p>
            <w:pPr>
              <w:spacing w:after="0"/>
              <w:jc w:val="left"/>
            </w:pPr>
            <w:r/>
            <w:r>
              <w:rPr>
                <w:rFonts w:ascii="Arial" w:hAnsi="Arial"/>
                <w:b w:val="0"/>
                <w:i w:val="0"/>
                <w:color w:val="000000"/>
                <w:sz w:val="15"/>
              </w:rPr>
              <w:t>mm</w:t>
            </w:r>
          </w:p>
        </w:tc>
        <w:tc>
          <w:tcPr>
            <w:tcW w:type="dxa" w:w="1584"/>
            <w:vAlign w:val="center"/>
          </w:tcPr>
          <w:p>
            <w:pPr>
              <w:spacing w:after="0"/>
              <w:jc w:val="left"/>
            </w:pPr>
            <w:r/>
            <w:r>
              <w:rPr>
                <w:rFonts w:ascii="Arial" w:hAnsi="Arial"/>
                <w:b w:val="0"/>
                <w:i w:val="0"/>
                <w:color w:val="000000"/>
                <w:sz w:val="15"/>
              </w:rPr>
              <w:t>Semanal</w:t>
            </w:r>
          </w:p>
        </w:tc>
        <w:tc>
          <w:tcPr>
            <w:tcW w:type="dxa" w:w="4464"/>
            <w:vAlign w:val="center"/>
          </w:tcPr>
          <w:p>
            <w:pPr>
              <w:spacing w:after="0"/>
              <w:jc w:val="left"/>
            </w:pPr>
            <w:r/>
            <w:r>
              <w:rPr>
                <w:rFonts w:ascii="Arial" w:hAnsi="Arial"/>
                <w:b w:val="0"/>
                <w:i w:val="0"/>
                <w:color w:val="000000"/>
                <w:sz w:val="14"/>
              </w:rPr>
              <w:t>Mismo punto del tallo y mismo instrumento.</w:t>
            </w:r>
          </w:p>
        </w:tc>
      </w:tr>
      <w:tr>
        <w:trPr>
          <w:cantSplit/>
        </w:trPr>
        <w:tc>
          <w:tcPr>
            <w:tcW w:type="dxa" w:w="2232"/>
            <w:vAlign w:val="center"/>
          </w:tcPr>
          <w:p>
            <w:pPr>
              <w:spacing w:after="0"/>
              <w:jc w:val="left"/>
            </w:pPr>
            <w:r/>
            <w:r>
              <w:rPr>
                <w:rFonts w:ascii="Arial" w:hAnsi="Arial"/>
                <w:b w:val="0"/>
                <w:i w:val="0"/>
                <w:color w:val="000000"/>
                <w:sz w:val="15"/>
              </w:rPr>
              <w:t>Flores / frutos</w:t>
            </w:r>
          </w:p>
        </w:tc>
        <w:tc>
          <w:tcPr>
            <w:tcW w:type="dxa" w:w="1152"/>
            <w:vAlign w:val="center"/>
          </w:tcPr>
          <w:p>
            <w:pPr>
              <w:spacing w:after="0"/>
              <w:jc w:val="left"/>
            </w:pPr>
            <w:r/>
            <w:r>
              <w:rPr>
                <w:rFonts w:ascii="Arial" w:hAnsi="Arial"/>
                <w:b w:val="0"/>
                <w:i w:val="0"/>
                <w:color w:val="000000"/>
                <w:sz w:val="15"/>
              </w:rPr>
              <w:t>conteo</w:t>
            </w:r>
          </w:p>
        </w:tc>
        <w:tc>
          <w:tcPr>
            <w:tcW w:type="dxa" w:w="1584"/>
            <w:vAlign w:val="center"/>
          </w:tcPr>
          <w:p>
            <w:pPr>
              <w:spacing w:after="0"/>
              <w:jc w:val="left"/>
            </w:pPr>
            <w:r/>
            <w:r>
              <w:rPr>
                <w:rFonts w:ascii="Arial" w:hAnsi="Arial"/>
                <w:b w:val="0"/>
                <w:i w:val="0"/>
                <w:color w:val="000000"/>
                <w:sz w:val="15"/>
              </w:rPr>
              <w:t>Semanal</w:t>
            </w:r>
          </w:p>
        </w:tc>
        <w:tc>
          <w:tcPr>
            <w:tcW w:type="dxa" w:w="4464"/>
            <w:vAlign w:val="center"/>
          </w:tcPr>
          <w:p>
            <w:pPr>
              <w:spacing w:after="0"/>
              <w:jc w:val="left"/>
            </w:pPr>
            <w:r/>
            <w:r>
              <w:rPr>
                <w:rFonts w:ascii="Arial" w:hAnsi="Arial"/>
                <w:b w:val="0"/>
                <w:i w:val="0"/>
                <w:color w:val="000000"/>
                <w:sz w:val="14"/>
              </w:rPr>
              <w:t>Si la etapa del semestre permite observarlos.</w:t>
            </w:r>
          </w:p>
        </w:tc>
      </w:tr>
      <w:tr>
        <w:trPr>
          <w:cantSplit/>
        </w:trPr>
        <w:tc>
          <w:tcPr>
            <w:tcW w:type="dxa" w:w="2232"/>
            <w:vAlign w:val="center"/>
          </w:tcPr>
          <w:p>
            <w:pPr>
              <w:spacing w:after="0"/>
              <w:jc w:val="left"/>
            </w:pPr>
            <w:r/>
            <w:r>
              <w:rPr>
                <w:rFonts w:ascii="Arial" w:hAnsi="Arial"/>
                <w:b w:val="0"/>
                <w:i w:val="0"/>
                <w:color w:val="000000"/>
                <w:sz w:val="15"/>
              </w:rPr>
              <w:t>Masa fresca cosechada</w:t>
            </w:r>
          </w:p>
        </w:tc>
        <w:tc>
          <w:tcPr>
            <w:tcW w:type="dxa" w:w="1152"/>
            <w:vAlign w:val="center"/>
          </w:tcPr>
          <w:p>
            <w:pPr>
              <w:spacing w:after="0"/>
              <w:jc w:val="left"/>
            </w:pPr>
            <w:r/>
            <w:r>
              <w:rPr>
                <w:rFonts w:ascii="Arial" w:hAnsi="Arial"/>
                <w:b w:val="0"/>
                <w:i w:val="0"/>
                <w:color w:val="000000"/>
                <w:sz w:val="15"/>
              </w:rPr>
              <w:t>g</w:t>
            </w:r>
          </w:p>
        </w:tc>
        <w:tc>
          <w:tcPr>
            <w:tcW w:type="dxa" w:w="1584"/>
            <w:vAlign w:val="center"/>
          </w:tcPr>
          <w:p>
            <w:pPr>
              <w:spacing w:after="0"/>
              <w:jc w:val="left"/>
            </w:pPr>
            <w:r/>
            <w:r>
              <w:rPr>
                <w:rFonts w:ascii="Arial" w:hAnsi="Arial"/>
                <w:b w:val="0"/>
                <w:i w:val="0"/>
                <w:color w:val="000000"/>
                <w:sz w:val="15"/>
              </w:rPr>
              <w:t>Por cosecha</w:t>
            </w:r>
          </w:p>
        </w:tc>
        <w:tc>
          <w:tcPr>
            <w:tcW w:type="dxa" w:w="4464"/>
            <w:vAlign w:val="center"/>
          </w:tcPr>
          <w:p>
            <w:pPr>
              <w:spacing w:after="0"/>
              <w:jc w:val="left"/>
            </w:pPr>
            <w:r/>
            <w:r>
              <w:rPr>
                <w:rFonts w:ascii="Arial" w:hAnsi="Arial"/>
                <w:b w:val="0"/>
                <w:i w:val="0"/>
                <w:color w:val="000000"/>
                <w:sz w:val="14"/>
              </w:rPr>
              <w:t>Solo si existe cosecha dentro del periodo.</w:t>
            </w:r>
          </w:p>
        </w:tc>
      </w:tr>
      <w:tr>
        <w:trPr>
          <w:cantSplit/>
        </w:trPr>
        <w:tc>
          <w:tcPr>
            <w:tcW w:type="dxa" w:w="2232"/>
            <w:vAlign w:val="center"/>
          </w:tcPr>
          <w:p>
            <w:pPr>
              <w:spacing w:after="0"/>
              <w:jc w:val="left"/>
            </w:pPr>
            <w:r/>
            <w:r>
              <w:rPr>
                <w:rFonts w:ascii="Arial" w:hAnsi="Arial"/>
                <w:b w:val="0"/>
                <w:i w:val="0"/>
                <w:color w:val="000000"/>
                <w:sz w:val="15"/>
              </w:rPr>
              <w:t>Agua añadida / consumida</w:t>
            </w:r>
          </w:p>
        </w:tc>
        <w:tc>
          <w:tcPr>
            <w:tcW w:type="dxa" w:w="1152"/>
            <w:vAlign w:val="center"/>
          </w:tcPr>
          <w:p>
            <w:pPr>
              <w:spacing w:after="0"/>
              <w:jc w:val="left"/>
            </w:pPr>
            <w:r/>
            <w:r>
              <w:rPr>
                <w:rFonts w:ascii="Arial" w:hAnsi="Arial"/>
                <w:b w:val="0"/>
                <w:i w:val="0"/>
                <w:color w:val="000000"/>
                <w:sz w:val="15"/>
              </w:rPr>
              <w:t>L</w:t>
            </w:r>
          </w:p>
        </w:tc>
        <w:tc>
          <w:tcPr>
            <w:tcW w:type="dxa" w:w="1584"/>
            <w:vAlign w:val="center"/>
          </w:tcPr>
          <w:p>
            <w:pPr>
              <w:spacing w:after="0"/>
              <w:jc w:val="left"/>
            </w:pPr>
            <w:r/>
            <w:r>
              <w:rPr>
                <w:rFonts w:ascii="Arial" w:hAnsi="Arial"/>
                <w:b w:val="0"/>
                <w:i w:val="0"/>
                <w:color w:val="000000"/>
                <w:sz w:val="15"/>
              </w:rPr>
              <w:t>Semanal</w:t>
            </w:r>
          </w:p>
        </w:tc>
        <w:tc>
          <w:tcPr>
            <w:tcW w:type="dxa" w:w="4464"/>
            <w:vAlign w:val="center"/>
          </w:tcPr>
          <w:p>
            <w:pPr>
              <w:spacing w:after="0"/>
              <w:jc w:val="left"/>
            </w:pPr>
            <w:r/>
            <w:r>
              <w:rPr>
                <w:rFonts w:ascii="Arial" w:hAnsi="Arial"/>
                <w:b w:val="0"/>
                <w:i w:val="0"/>
                <w:color w:val="000000"/>
                <w:sz w:val="14"/>
              </w:rPr>
              <w:t>Registrar por tratamiento.</w:t>
            </w:r>
          </w:p>
        </w:tc>
      </w:tr>
      <w:tr>
        <w:trPr>
          <w:cantSplit/>
        </w:trPr>
        <w:tc>
          <w:tcPr>
            <w:tcW w:type="dxa" w:w="2232"/>
            <w:vAlign w:val="center"/>
          </w:tcPr>
          <w:p>
            <w:pPr>
              <w:spacing w:after="0"/>
              <w:jc w:val="left"/>
            </w:pPr>
            <w:r/>
            <w:r>
              <w:rPr>
                <w:rFonts w:ascii="Arial" w:hAnsi="Arial"/>
                <w:b w:val="0"/>
                <w:i w:val="0"/>
                <w:color w:val="000000"/>
                <w:sz w:val="15"/>
              </w:rPr>
              <w:t>Días a floración / fructificación</w:t>
            </w:r>
          </w:p>
        </w:tc>
        <w:tc>
          <w:tcPr>
            <w:tcW w:type="dxa" w:w="1152"/>
            <w:vAlign w:val="center"/>
          </w:tcPr>
          <w:p>
            <w:pPr>
              <w:spacing w:after="0"/>
              <w:jc w:val="left"/>
            </w:pPr>
            <w:r/>
            <w:r>
              <w:rPr>
                <w:rFonts w:ascii="Arial" w:hAnsi="Arial"/>
                <w:b w:val="0"/>
                <w:i w:val="0"/>
                <w:color w:val="000000"/>
                <w:sz w:val="15"/>
              </w:rPr>
              <w:t>días</w:t>
            </w:r>
          </w:p>
        </w:tc>
        <w:tc>
          <w:tcPr>
            <w:tcW w:type="dxa" w:w="1584"/>
            <w:vAlign w:val="center"/>
          </w:tcPr>
          <w:p>
            <w:pPr>
              <w:spacing w:after="0"/>
              <w:jc w:val="left"/>
            </w:pPr>
            <w:r/>
            <w:r>
              <w:rPr>
                <w:rFonts w:ascii="Arial" w:hAnsi="Arial"/>
                <w:b w:val="0"/>
                <w:i w:val="0"/>
                <w:color w:val="000000"/>
                <w:sz w:val="15"/>
              </w:rPr>
              <w:t>Por evento</w:t>
            </w:r>
          </w:p>
        </w:tc>
        <w:tc>
          <w:tcPr>
            <w:tcW w:type="dxa" w:w="4464"/>
            <w:vAlign w:val="center"/>
          </w:tcPr>
          <w:p>
            <w:pPr>
              <w:spacing w:after="0"/>
              <w:jc w:val="left"/>
            </w:pPr>
            <w:r/>
            <w:r>
              <w:rPr>
                <w:rFonts w:ascii="Arial" w:hAnsi="Arial"/>
                <w:b w:val="0"/>
                <w:i w:val="0"/>
                <w:color w:val="000000"/>
                <w:sz w:val="14"/>
              </w:rPr>
              <w:t>Si ocurre dentro de la ventana de prueba.</w:t>
            </w:r>
          </w:p>
        </w:tc>
      </w:tr>
      <w:tr>
        <w:trPr>
          <w:cantSplit/>
        </w:trPr>
        <w:tc>
          <w:tcPr>
            <w:tcW w:type="dxa" w:w="2232"/>
            <w:vAlign w:val="center"/>
          </w:tcPr>
          <w:p>
            <w:pPr>
              <w:spacing w:after="0"/>
              <w:jc w:val="left"/>
            </w:pPr>
            <w:r/>
            <w:r>
              <w:rPr>
                <w:rFonts w:ascii="Arial" w:hAnsi="Arial"/>
                <w:b w:val="0"/>
                <w:i w:val="0"/>
                <w:color w:val="000000"/>
                <w:sz w:val="15"/>
              </w:rPr>
              <w:t>Energía HydroMate</w:t>
            </w:r>
          </w:p>
        </w:tc>
        <w:tc>
          <w:tcPr>
            <w:tcW w:type="dxa" w:w="1152"/>
            <w:vAlign w:val="center"/>
          </w:tcPr>
          <w:p>
            <w:pPr>
              <w:spacing w:after="0"/>
              <w:jc w:val="left"/>
            </w:pPr>
            <w:r/>
            <w:r>
              <w:rPr>
                <w:rFonts w:ascii="Arial" w:hAnsi="Arial"/>
                <w:b w:val="0"/>
                <w:i w:val="0"/>
                <w:color w:val="000000"/>
                <w:sz w:val="15"/>
              </w:rPr>
              <w:t>Wh / kWh</w:t>
            </w:r>
          </w:p>
        </w:tc>
        <w:tc>
          <w:tcPr>
            <w:tcW w:type="dxa" w:w="1584"/>
            <w:vAlign w:val="center"/>
          </w:tcPr>
          <w:p>
            <w:pPr>
              <w:spacing w:after="0"/>
              <w:jc w:val="left"/>
            </w:pPr>
            <w:r/>
            <w:r>
              <w:rPr>
                <w:rFonts w:ascii="Arial" w:hAnsi="Arial"/>
                <w:b w:val="0"/>
                <w:i w:val="0"/>
                <w:color w:val="000000"/>
                <w:sz w:val="15"/>
              </w:rPr>
              <w:t>Diaria/semanal</w:t>
            </w:r>
          </w:p>
        </w:tc>
        <w:tc>
          <w:tcPr>
            <w:tcW w:type="dxa" w:w="4464"/>
            <w:vAlign w:val="center"/>
          </w:tcPr>
          <w:p>
            <w:pPr>
              <w:spacing w:after="0"/>
              <w:jc w:val="left"/>
            </w:pPr>
            <w:r/>
            <w:r>
              <w:rPr>
                <w:rFonts w:ascii="Arial" w:hAnsi="Arial"/>
                <w:b w:val="0"/>
                <w:i w:val="0"/>
                <w:color w:val="000000"/>
                <w:sz w:val="14"/>
              </w:rPr>
              <w:t>INA219 para cargas DC; carga AC requiere medidor externo o estimación declarada.</w:t>
            </w:r>
          </w:p>
        </w:tc>
      </w:tr>
    </w:tbl>
    <w:p>
      <w:pPr>
        <w:spacing w:after="20"/>
      </w:pPr>
    </w:p>
    <w:p>
      <w:pPr>
        <w:spacing w:after="80"/>
      </w:pPr>
      <w:r>
        <w:rPr>
          <w:rFonts w:ascii="Arial" w:hAnsi="Arial"/>
          <w:b w:val="0"/>
          <w:i w:val="0"/>
          <w:color w:val="000000"/>
          <w:sz w:val="21"/>
        </w:rPr>
        <w:t>Diseño recomendado: al menos 3 plantas HydroMate y 3 plantas testigo si el espacio y disponibilidad lo permiten. Si solo se logra una planta por tratamiento, el resultado se reportará como demostración preliminar y no como evidencia estadísticamente generalizable. Para aislar el efecto del método hidropónico sería necesario igualar luz y otras condiciones; si HydroMate utiliza su iluminación automática y la maceta no, la comparación representará el rendimiento del sistema completo, no únicamente el efecto de cultivar sin suelo.</w:t>
      </w:r>
    </w:p>
    <w:p>
      <w:pPr>
        <w:spacing w:before="160" w:after="80"/>
      </w:pPr>
      <w:r>
        <w:rPr>
          <w:rFonts w:ascii="Arial" w:hAnsi="Arial"/>
          <w:b/>
          <w:i w:val="0"/>
          <w:color w:val="000000"/>
          <w:sz w:val="28"/>
        </w:rPr>
        <w:t>10. Gestión de energía</w:t>
      </w:r>
    </w:p>
    <w:p>
      <w:pPr>
        <w:spacing w:after="20"/>
        <w:ind w:left="389" w:hanging="230"/>
      </w:pPr>
      <w:r>
        <w:rPr>
          <w:rFonts w:ascii="Arial" w:hAnsi="Arial"/>
          <w:b w:val="0"/>
          <w:i w:val="0"/>
          <w:color w:val="000000"/>
          <w:sz w:val="20"/>
        </w:rPr>
        <w:t>• Registrar corriente/potencia de la rama DC mediante INA219 cuando el rango eléctrico del módulo sea compatible.</w:t>
      </w:r>
    </w:p>
    <w:p>
      <w:pPr>
        <w:spacing w:after="20"/>
        <w:ind w:left="389" w:hanging="230"/>
      </w:pPr>
      <w:r>
        <w:rPr>
          <w:rFonts w:ascii="Arial" w:hAnsi="Arial"/>
          <w:b w:val="0"/>
          <w:i w:val="0"/>
          <w:color w:val="000000"/>
          <w:sz w:val="20"/>
        </w:rPr>
        <w:t>• Registrar horas de operación de bomba principal, bombas dosificadoras e iluminación.</w:t>
      </w:r>
    </w:p>
    <w:p>
      <w:pPr>
        <w:spacing w:after="20"/>
        <w:ind w:left="389" w:hanging="230"/>
      </w:pPr>
      <w:r>
        <w:rPr>
          <w:rFonts w:ascii="Arial" w:hAnsi="Arial"/>
          <w:b w:val="0"/>
          <w:i w:val="0"/>
          <w:color w:val="000000"/>
          <w:sz w:val="20"/>
        </w:rPr>
        <w:t>• Calcular energía acumulada diaria/semanal y relacionarla con crecimiento, agua utilizada y ciclos ejecutados.</w:t>
      </w:r>
    </w:p>
    <w:p>
      <w:pPr>
        <w:spacing w:after="20"/>
        <w:ind w:left="389" w:hanging="230"/>
      </w:pPr>
      <w:r>
        <w:rPr>
          <w:rFonts w:ascii="Arial" w:hAnsi="Arial"/>
          <w:b w:val="0"/>
          <w:i w:val="0"/>
          <w:color w:val="000000"/>
          <w:sz w:val="20"/>
        </w:rPr>
        <w:t>• Si la lámpara seleccionada se alimenta directamente de CA, no se medirá con INA219; se usará un medidor de enchufe o se reportará una estimación basada en potencia nominal × tiempo, claramente marcada como estimación.</w:t>
      </w:r>
    </w:p>
    <w:p>
      <w:pPr>
        <w:spacing w:before="160" w:after="80"/>
      </w:pPr>
      <w:r>
        <w:rPr>
          <w:rFonts w:ascii="Arial" w:hAnsi="Arial"/>
          <w:b/>
          <w:i w:val="0"/>
          <w:color w:val="000000"/>
          <w:sz w:val="28"/>
        </w:rPr>
        <w:t>11. Perfiles de cultivo y función social</w:t>
      </w:r>
    </w:p>
    <w:p>
      <w:pPr>
        <w:spacing w:after="80"/>
      </w:pPr>
      <w:r>
        <w:rPr>
          <w:rFonts w:ascii="Arial" w:hAnsi="Arial"/>
          <w:b w:val="0"/>
          <w:i w:val="0"/>
          <w:color w:val="000000"/>
          <w:sz w:val="21"/>
        </w:rPr>
        <w:t>La aplicación tendrá perfiles predeterminados y perfiles creados por el usuario. Como extensión del concepto original, se incluye una función social mínima para compartir conocimiento sin permitir que un perfil remoto anule las protecciones físicas del dispositivo.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vAlign w:val="center"/>
            <w:shd w:fill="E7E7E7"/>
          </w:tcPr>
          <w:p>
            <w:pPr>
              <w:spacing w:after="0"/>
              <w:jc w:val="center"/>
            </w:pPr>
            <w:r/>
            <w:r>
              <w:rPr>
                <w:rFonts w:ascii="Arial" w:hAnsi="Arial"/>
                <w:b/>
                <w:i w:val="0"/>
                <w:color w:val="000000"/>
                <w:sz w:val="16"/>
              </w:rPr>
              <w:t>Función</w:t>
            </w:r>
          </w:p>
        </w:tc>
        <w:tc>
          <w:tcPr>
            <w:tcW w:type="dxa" w:w="7272"/>
            <w:vAlign w:val="center"/>
            <w:shd w:fill="E7E7E7"/>
          </w:tcPr>
          <w:p>
            <w:pPr>
              <w:spacing w:after="0"/>
              <w:jc w:val="center"/>
            </w:pPr>
            <w:r/>
            <w:r>
              <w:rPr>
                <w:rFonts w:ascii="Arial" w:hAnsi="Arial"/>
                <w:b/>
                <w:i w:val="0"/>
                <w:color w:val="000000"/>
                <w:sz w:val="16"/>
              </w:rPr>
              <w:t>Alcance inicial</w:t>
            </w:r>
          </w:p>
        </w:tc>
      </w:tr>
      <w:tr>
        <w:trPr>
          <w:cantSplit/>
        </w:trPr>
        <w:tc>
          <w:tcPr>
            <w:tcW w:type="dxa" w:w="2232"/>
            <w:vAlign w:val="center"/>
          </w:tcPr>
          <w:p>
            <w:pPr>
              <w:spacing w:after="0"/>
              <w:jc w:val="left"/>
            </w:pPr>
            <w:r/>
            <w:r>
              <w:rPr>
                <w:rFonts w:ascii="Arial" w:hAnsi="Arial"/>
                <w:b w:val="0"/>
                <w:i w:val="0"/>
                <w:color w:val="000000"/>
                <w:sz w:val="15"/>
              </w:rPr>
              <w:t>Perfil</w:t>
            </w:r>
          </w:p>
        </w:tc>
        <w:tc>
          <w:tcPr>
            <w:tcW w:type="dxa" w:w="7272"/>
            <w:vAlign w:val="center"/>
          </w:tcPr>
          <w:p>
            <w:pPr>
              <w:spacing w:after="0"/>
              <w:jc w:val="left"/>
            </w:pPr>
            <w:r/>
            <w:r>
              <w:rPr>
                <w:rFonts w:ascii="Arial" w:hAnsi="Arial"/>
                <w:b w:val="0"/>
                <w:i w:val="0"/>
                <w:color w:val="000000"/>
                <w:sz w:val="15"/>
              </w:rPr>
              <w:t>Autor, cultivo, descripción, pH, TDS/EC, riego, luz, límites de dosificación, versión y visibilidad.</w:t>
            </w:r>
          </w:p>
        </w:tc>
      </w:tr>
      <w:tr>
        <w:trPr>
          <w:cantSplit/>
        </w:trPr>
        <w:tc>
          <w:tcPr>
            <w:tcW w:type="dxa" w:w="2232"/>
            <w:vAlign w:val="center"/>
          </w:tcPr>
          <w:p>
            <w:pPr>
              <w:spacing w:after="0"/>
              <w:jc w:val="left"/>
            </w:pPr>
            <w:r/>
            <w:r>
              <w:rPr>
                <w:rFonts w:ascii="Arial" w:hAnsi="Arial"/>
                <w:b w:val="0"/>
                <w:i w:val="0"/>
                <w:color w:val="000000"/>
                <w:sz w:val="15"/>
              </w:rPr>
              <w:t>Biblioteca personal</w:t>
            </w:r>
          </w:p>
        </w:tc>
        <w:tc>
          <w:tcPr>
            <w:tcW w:type="dxa" w:w="7272"/>
            <w:vAlign w:val="center"/>
          </w:tcPr>
          <w:p>
            <w:pPr>
              <w:spacing w:after="0"/>
              <w:jc w:val="left"/>
            </w:pPr>
            <w:r/>
            <w:r>
              <w:rPr>
                <w:rFonts w:ascii="Arial" w:hAnsi="Arial"/>
                <w:b w:val="0"/>
                <w:i w:val="0"/>
                <w:color w:val="000000"/>
                <w:sz w:val="15"/>
              </w:rPr>
              <w:t>Crear, editar, duplicar y guardar perfiles privados.</w:t>
            </w:r>
          </w:p>
        </w:tc>
      </w:tr>
      <w:tr>
        <w:trPr>
          <w:cantSplit/>
        </w:trPr>
        <w:tc>
          <w:tcPr>
            <w:tcW w:type="dxa" w:w="2232"/>
            <w:vAlign w:val="center"/>
          </w:tcPr>
          <w:p>
            <w:pPr>
              <w:spacing w:after="0"/>
              <w:jc w:val="left"/>
            </w:pPr>
            <w:r/>
            <w:r>
              <w:rPr>
                <w:rFonts w:ascii="Arial" w:hAnsi="Arial"/>
                <w:b w:val="0"/>
                <w:i w:val="0"/>
                <w:color w:val="000000"/>
                <w:sz w:val="15"/>
              </w:rPr>
              <w:t>Catálogo público</w:t>
            </w:r>
          </w:p>
        </w:tc>
        <w:tc>
          <w:tcPr>
            <w:tcW w:type="dxa" w:w="7272"/>
            <w:vAlign w:val="center"/>
          </w:tcPr>
          <w:p>
            <w:pPr>
              <w:spacing w:after="0"/>
              <w:jc w:val="left"/>
            </w:pPr>
            <w:r/>
            <w:r>
              <w:rPr>
                <w:rFonts w:ascii="Arial" w:hAnsi="Arial"/>
                <w:b w:val="0"/>
                <w:i w:val="0"/>
                <w:color w:val="000000"/>
                <w:sz w:val="15"/>
              </w:rPr>
              <w:t>Buscar y consultar perfiles compartidos por otros usuarios.</w:t>
            </w:r>
          </w:p>
        </w:tc>
      </w:tr>
      <w:tr>
        <w:trPr>
          <w:cantSplit/>
        </w:trPr>
        <w:tc>
          <w:tcPr>
            <w:tcW w:type="dxa" w:w="2232"/>
            <w:vAlign w:val="center"/>
          </w:tcPr>
          <w:p>
            <w:pPr>
              <w:spacing w:after="0"/>
              <w:jc w:val="left"/>
            </w:pPr>
            <w:r/>
            <w:r>
              <w:rPr>
                <w:rFonts w:ascii="Arial" w:hAnsi="Arial"/>
                <w:b w:val="0"/>
                <w:i w:val="0"/>
                <w:color w:val="000000"/>
                <w:sz w:val="15"/>
              </w:rPr>
              <w:t>Clonar/importar</w:t>
            </w:r>
          </w:p>
        </w:tc>
        <w:tc>
          <w:tcPr>
            <w:tcW w:type="dxa" w:w="7272"/>
            <w:vAlign w:val="center"/>
          </w:tcPr>
          <w:p>
            <w:pPr>
              <w:spacing w:after="0"/>
              <w:jc w:val="left"/>
            </w:pPr>
            <w:r/>
            <w:r>
              <w:rPr>
                <w:rFonts w:ascii="Arial" w:hAnsi="Arial"/>
                <w:b w:val="0"/>
                <w:i w:val="0"/>
                <w:color w:val="000000"/>
                <w:sz w:val="15"/>
              </w:rPr>
              <w:t>Copiar un perfil público a la biblioteca propia antes de modificarlo o activarlo.</w:t>
            </w:r>
          </w:p>
        </w:tc>
      </w:tr>
      <w:tr>
        <w:trPr>
          <w:cantSplit/>
        </w:trPr>
        <w:tc>
          <w:tcPr>
            <w:tcW w:type="dxa" w:w="2232"/>
            <w:vAlign w:val="center"/>
          </w:tcPr>
          <w:p>
            <w:pPr>
              <w:spacing w:after="0"/>
              <w:jc w:val="left"/>
            </w:pPr>
            <w:r/>
            <w:r>
              <w:rPr>
                <w:rFonts w:ascii="Arial" w:hAnsi="Arial"/>
                <w:b w:val="0"/>
                <w:i w:val="0"/>
                <w:color w:val="000000"/>
                <w:sz w:val="15"/>
              </w:rPr>
              <w:t>Seguridad</w:t>
            </w:r>
          </w:p>
        </w:tc>
        <w:tc>
          <w:tcPr>
            <w:tcW w:type="dxa" w:w="7272"/>
            <w:vAlign w:val="center"/>
          </w:tcPr>
          <w:p>
            <w:pPr>
              <w:spacing w:after="0"/>
              <w:jc w:val="left"/>
            </w:pPr>
            <w:r/>
            <w:r>
              <w:rPr>
                <w:rFonts w:ascii="Arial" w:hAnsi="Arial"/>
                <w:b w:val="0"/>
                <w:i w:val="0"/>
                <w:color w:val="000000"/>
                <w:sz w:val="15"/>
              </w:rPr>
              <w:t>Backend valida rangos; ESP32 vuelve a validar y aplica límites locales que ningún perfil puede sobrepasar.</w:t>
            </w:r>
          </w:p>
        </w:tc>
      </w:tr>
      <w:tr>
        <w:trPr>
          <w:cantSplit/>
        </w:trPr>
        <w:tc>
          <w:tcPr>
            <w:tcW w:type="dxa" w:w="2232"/>
            <w:vAlign w:val="center"/>
          </w:tcPr>
          <w:p>
            <w:pPr>
              <w:spacing w:after="0"/>
              <w:jc w:val="left"/>
            </w:pPr>
            <w:r/>
            <w:r>
              <w:rPr>
                <w:rFonts w:ascii="Arial" w:hAnsi="Arial"/>
                <w:b w:val="0"/>
                <w:i w:val="0"/>
                <w:color w:val="000000"/>
                <w:sz w:val="15"/>
              </w:rPr>
              <w:t>Expansión futura</w:t>
            </w:r>
          </w:p>
        </w:tc>
        <w:tc>
          <w:tcPr>
            <w:tcW w:type="dxa" w:w="7272"/>
            <w:vAlign w:val="center"/>
          </w:tcPr>
          <w:p>
            <w:pPr>
              <w:spacing w:after="0"/>
              <w:jc w:val="left"/>
            </w:pPr>
            <w:r/>
            <w:r>
              <w:rPr>
                <w:rFonts w:ascii="Arial" w:hAnsi="Arial"/>
                <w:b w:val="0"/>
                <w:i w:val="0"/>
                <w:color w:val="000000"/>
                <w:sz w:val="15"/>
              </w:rPr>
              <w:t>Calificaciones, comentarios, etapas de cultivo y moderación avanzada.</w:t>
            </w:r>
          </w:p>
        </w:tc>
      </w:tr>
    </w:tbl>
    <w:p>
      <w:pPr>
        <w:spacing w:after="20"/>
      </w:pPr>
    </w:p>
    <w:p>
      <w:pPr>
        <w:spacing w:before="160" w:after="80"/>
      </w:pPr>
      <w:r>
        <w:rPr>
          <w:rFonts w:ascii="Arial" w:hAnsi="Arial"/>
          <w:b/>
          <w:i w:val="0"/>
          <w:color w:val="000000"/>
          <w:sz w:val="28"/>
        </w:rPr>
        <w:t>12. Viabilidad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512"/>
            <w:vAlign w:val="center"/>
            <w:shd w:fill="E7E7E7"/>
          </w:tcPr>
          <w:p>
            <w:pPr>
              <w:spacing w:after="0"/>
              <w:jc w:val="center"/>
            </w:pPr>
            <w:r/>
            <w:r>
              <w:rPr>
                <w:rFonts w:ascii="Arial" w:hAnsi="Arial"/>
                <w:b/>
                <w:i w:val="0"/>
                <w:color w:val="000000"/>
                <w:sz w:val="16"/>
              </w:rPr>
              <w:t>Dimensión</w:t>
            </w:r>
          </w:p>
        </w:tc>
        <w:tc>
          <w:tcPr>
            <w:tcW w:type="dxa" w:w="1656"/>
            <w:vAlign w:val="center"/>
            <w:shd w:fill="E7E7E7"/>
          </w:tcPr>
          <w:p>
            <w:pPr>
              <w:spacing w:after="0"/>
              <w:jc w:val="center"/>
            </w:pPr>
            <w:r/>
            <w:r>
              <w:rPr>
                <w:rFonts w:ascii="Arial" w:hAnsi="Arial"/>
                <w:b/>
                <w:i w:val="0"/>
                <w:color w:val="000000"/>
                <w:sz w:val="16"/>
              </w:rPr>
              <w:t>Evaluación</w:t>
            </w:r>
          </w:p>
        </w:tc>
        <w:tc>
          <w:tcPr>
            <w:tcW w:type="dxa" w:w="6264"/>
            <w:vAlign w:val="center"/>
            <w:shd w:fill="E7E7E7"/>
          </w:tcPr>
          <w:p>
            <w:pPr>
              <w:spacing w:after="0"/>
              <w:jc w:val="center"/>
            </w:pPr>
            <w:r/>
            <w:r>
              <w:rPr>
                <w:rFonts w:ascii="Arial" w:hAnsi="Arial"/>
                <w:b/>
                <w:i w:val="0"/>
                <w:color w:val="000000"/>
                <w:sz w:val="16"/>
              </w:rPr>
              <w:t>Justificación</w:t>
            </w:r>
          </w:p>
        </w:tc>
      </w:tr>
      <w:tr>
        <w:trPr>
          <w:cantSplit/>
        </w:trPr>
        <w:tc>
          <w:tcPr>
            <w:tcW w:type="dxa" w:w="1512"/>
            <w:vAlign w:val="center"/>
          </w:tcPr>
          <w:p>
            <w:pPr>
              <w:spacing w:after="0"/>
              <w:jc w:val="left"/>
            </w:pPr>
            <w:r/>
            <w:r>
              <w:rPr>
                <w:rFonts w:ascii="Arial" w:hAnsi="Arial"/>
                <w:b w:val="0"/>
                <w:i w:val="0"/>
                <w:color w:val="000000"/>
                <w:sz w:val="15"/>
              </w:rPr>
              <w:t>Técnica</w:t>
            </w:r>
          </w:p>
        </w:tc>
        <w:tc>
          <w:tcPr>
            <w:tcW w:type="dxa" w:w="1656"/>
            <w:vAlign w:val="center"/>
          </w:tcPr>
          <w:p>
            <w:pPr>
              <w:spacing w:after="0"/>
              <w:jc w:val="left"/>
            </w:pPr>
            <w:r/>
            <w:r>
              <w:rPr>
                <w:rFonts w:ascii="Arial" w:hAnsi="Arial"/>
                <w:b w:val="0"/>
                <w:i w:val="0"/>
                <w:color w:val="000000"/>
                <w:sz w:val="15"/>
              </w:rPr>
              <w:t>Viable</w:t>
            </w:r>
          </w:p>
        </w:tc>
        <w:tc>
          <w:tcPr>
            <w:tcW w:type="dxa" w:w="6264"/>
            <w:vAlign w:val="center"/>
          </w:tcPr>
          <w:p>
            <w:pPr>
              <w:spacing w:after="0"/>
              <w:jc w:val="left"/>
            </w:pPr>
            <w:r/>
            <w:r>
              <w:rPr>
                <w:rFonts w:ascii="Arial" w:hAnsi="Arial"/>
                <w:b w:val="0"/>
                <w:i w:val="0"/>
                <w:color w:val="000000"/>
                <w:sz w:val="14"/>
              </w:rPr>
              <w:t>Los sensores, actuadores, comunicación y software existen y son compatibles. La mayor incertidumbre está en calibración de pH/TDS y dosificación.</w:t>
            </w:r>
          </w:p>
        </w:tc>
      </w:tr>
      <w:tr>
        <w:trPr>
          <w:cantSplit/>
        </w:trPr>
        <w:tc>
          <w:tcPr>
            <w:tcW w:type="dxa" w:w="1512"/>
            <w:vAlign w:val="center"/>
          </w:tcPr>
          <w:p>
            <w:pPr>
              <w:spacing w:after="0"/>
              <w:jc w:val="left"/>
            </w:pPr>
            <w:r/>
            <w:r>
              <w:rPr>
                <w:rFonts w:ascii="Arial" w:hAnsi="Arial"/>
                <w:b w:val="0"/>
                <w:i w:val="0"/>
                <w:color w:val="000000"/>
                <w:sz w:val="15"/>
              </w:rPr>
              <w:t>Económica</w:t>
            </w:r>
          </w:p>
        </w:tc>
        <w:tc>
          <w:tcPr>
            <w:tcW w:type="dxa" w:w="1656"/>
            <w:vAlign w:val="center"/>
          </w:tcPr>
          <w:p>
            <w:pPr>
              <w:spacing w:after="0"/>
              <w:jc w:val="left"/>
            </w:pPr>
            <w:r/>
            <w:r>
              <w:rPr>
                <w:rFonts w:ascii="Arial" w:hAnsi="Arial"/>
                <w:b w:val="0"/>
                <w:i w:val="0"/>
                <w:color w:val="000000"/>
                <w:sz w:val="15"/>
              </w:rPr>
              <w:t>Viable con control</w:t>
            </w:r>
          </w:p>
        </w:tc>
        <w:tc>
          <w:tcPr>
            <w:tcW w:type="dxa" w:w="6264"/>
            <w:vAlign w:val="center"/>
          </w:tcPr>
          <w:p>
            <w:pPr>
              <w:spacing w:after="0"/>
              <w:jc w:val="left"/>
            </w:pPr>
            <w:r/>
            <w:r>
              <w:rPr>
                <w:rFonts w:ascii="Arial" w:hAnsi="Arial"/>
                <w:b w:val="0"/>
                <w:i w:val="0"/>
                <w:color w:val="000000"/>
                <w:sz w:val="14"/>
              </w:rPr>
              <w:t>BOM preliminar ~ $5,500 MXN, dentro de la meta de $6,000, usando ESP32 existente y TDS en lugar del kit EC de $1,799.</w:t>
            </w:r>
          </w:p>
        </w:tc>
      </w:tr>
      <w:tr>
        <w:trPr>
          <w:cantSplit/>
        </w:trPr>
        <w:tc>
          <w:tcPr>
            <w:tcW w:type="dxa" w:w="1512"/>
            <w:vAlign w:val="center"/>
          </w:tcPr>
          <w:p>
            <w:pPr>
              <w:spacing w:after="0"/>
              <w:jc w:val="left"/>
            </w:pPr>
            <w:r/>
            <w:r>
              <w:rPr>
                <w:rFonts w:ascii="Arial" w:hAnsi="Arial"/>
                <w:b w:val="0"/>
                <w:i w:val="0"/>
                <w:color w:val="000000"/>
                <w:sz w:val="15"/>
              </w:rPr>
              <w:t>Operativa</w:t>
            </w:r>
          </w:p>
        </w:tc>
        <w:tc>
          <w:tcPr>
            <w:tcW w:type="dxa" w:w="1656"/>
            <w:vAlign w:val="center"/>
          </w:tcPr>
          <w:p>
            <w:pPr>
              <w:spacing w:after="0"/>
              <w:jc w:val="left"/>
            </w:pPr>
            <w:r/>
            <w:r>
              <w:rPr>
                <w:rFonts w:ascii="Arial" w:hAnsi="Arial"/>
                <w:b w:val="0"/>
                <w:i w:val="0"/>
                <w:color w:val="000000"/>
                <w:sz w:val="15"/>
              </w:rPr>
              <w:t>Viable</w:t>
            </w:r>
          </w:p>
        </w:tc>
        <w:tc>
          <w:tcPr>
            <w:tcW w:type="dxa" w:w="6264"/>
            <w:vAlign w:val="center"/>
          </w:tcPr>
          <w:p>
            <w:pPr>
              <w:spacing w:after="0"/>
              <w:jc w:val="left"/>
            </w:pPr>
            <w:r/>
            <w:r>
              <w:rPr>
                <w:rFonts w:ascii="Arial" w:hAnsi="Arial"/>
                <w:b w:val="0"/>
                <w:i w:val="0"/>
                <w:color w:val="000000"/>
                <w:sz w:val="14"/>
              </w:rPr>
              <w:t>Perfiles predeterminados reducen configuración manual; perfiles personalizados dan flexibilidad. La seguridad crítica permanece local.</w:t>
            </w:r>
          </w:p>
        </w:tc>
      </w:tr>
      <w:tr>
        <w:trPr>
          <w:cantSplit/>
        </w:trPr>
        <w:tc>
          <w:tcPr>
            <w:tcW w:type="dxa" w:w="1512"/>
            <w:vAlign w:val="center"/>
          </w:tcPr>
          <w:p>
            <w:pPr>
              <w:spacing w:after="0"/>
              <w:jc w:val="left"/>
            </w:pPr>
            <w:r/>
            <w:r>
              <w:rPr>
                <w:rFonts w:ascii="Arial" w:hAnsi="Arial"/>
                <w:b w:val="0"/>
                <w:i w:val="0"/>
                <w:color w:val="000000"/>
                <w:sz w:val="15"/>
              </w:rPr>
              <w:t>Temporal</w:t>
            </w:r>
          </w:p>
        </w:tc>
        <w:tc>
          <w:tcPr>
            <w:tcW w:type="dxa" w:w="1656"/>
            <w:vAlign w:val="center"/>
          </w:tcPr>
          <w:p>
            <w:pPr>
              <w:spacing w:after="0"/>
              <w:jc w:val="left"/>
            </w:pPr>
            <w:r/>
            <w:r>
              <w:rPr>
                <w:rFonts w:ascii="Arial" w:hAnsi="Arial"/>
                <w:b w:val="0"/>
                <w:i w:val="0"/>
                <w:color w:val="000000"/>
                <w:sz w:val="15"/>
              </w:rPr>
              <w:t>Viable por etapas</w:t>
            </w:r>
          </w:p>
        </w:tc>
        <w:tc>
          <w:tcPr>
            <w:tcW w:type="dxa" w:w="6264"/>
            <w:vAlign w:val="center"/>
          </w:tcPr>
          <w:p>
            <w:pPr>
              <w:spacing w:after="0"/>
              <w:jc w:val="left"/>
            </w:pPr>
            <w:r/>
            <w:r>
              <w:rPr>
                <w:rFonts w:ascii="Arial" w:hAnsi="Arial"/>
                <w:b w:val="0"/>
                <w:i w:val="0"/>
                <w:color w:val="000000"/>
                <w:sz w:val="14"/>
              </w:rPr>
              <w:t>La implementación debe avanzar hidráulica -&gt; sensores -&gt; actuadores -&gt; comunicación/backend -&gt; app -&gt; integración/validación.</w:t>
            </w:r>
          </w:p>
        </w:tc>
      </w:tr>
    </w:tbl>
    <w:p>
      <w:pPr>
        <w:spacing w:after="20"/>
      </w:pPr>
    </w:p>
    <w:p>
      <w:pPr>
        <w:spacing w:before="160" w:after="80"/>
      </w:pPr>
      <w:r>
        <w:rPr>
          <w:rFonts w:ascii="Arial" w:hAnsi="Arial"/>
          <w:b/>
          <w:i w:val="0"/>
          <w:color w:val="000000"/>
          <w:sz w:val="28"/>
        </w:rPr>
        <w:t>13. Restricciones y riesgos técnicos principales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304"/>
            <w:vAlign w:val="center"/>
            <w:shd w:fill="E7E7E7"/>
          </w:tcPr>
          <w:p>
            <w:pPr>
              <w:spacing w:after="0"/>
              <w:jc w:val="center"/>
            </w:pPr>
            <w:r/>
            <w:r>
              <w:rPr>
                <w:rFonts w:ascii="Arial" w:hAnsi="Arial"/>
                <w:b/>
                <w:i w:val="0"/>
                <w:color w:val="000000"/>
                <w:sz w:val="16"/>
              </w:rPr>
              <w:t>Riesgo</w:t>
            </w:r>
          </w:p>
        </w:tc>
        <w:tc>
          <w:tcPr>
            <w:tcW w:type="dxa" w:w="3024"/>
            <w:vAlign w:val="center"/>
            <w:shd w:fill="E7E7E7"/>
          </w:tcPr>
          <w:p>
            <w:pPr>
              <w:spacing w:after="0"/>
              <w:jc w:val="center"/>
            </w:pPr>
            <w:r/>
            <w:r>
              <w:rPr>
                <w:rFonts w:ascii="Arial" w:hAnsi="Arial"/>
                <w:b/>
                <w:i w:val="0"/>
                <w:color w:val="000000"/>
                <w:sz w:val="16"/>
              </w:rPr>
              <w:t>Efecto</w:t>
            </w:r>
          </w:p>
        </w:tc>
        <w:tc>
          <w:tcPr>
            <w:tcW w:type="dxa" w:w="4248"/>
            <w:vAlign w:val="center"/>
            <w:shd w:fill="E7E7E7"/>
          </w:tcPr>
          <w:p>
            <w:pPr>
              <w:spacing w:after="0"/>
              <w:jc w:val="center"/>
            </w:pPr>
            <w:r/>
            <w:r>
              <w:rPr>
                <w:rFonts w:ascii="Arial" w:hAnsi="Arial"/>
                <w:b/>
                <w:i w:val="0"/>
                <w:color w:val="000000"/>
                <w:sz w:val="16"/>
              </w:rPr>
              <w:t>Tratamiento</w:t>
            </w:r>
          </w:p>
        </w:tc>
      </w:tr>
      <w:tr>
        <w:trPr>
          <w:cantSplit/>
        </w:trPr>
        <w:tc>
          <w:tcPr>
            <w:tcW w:type="dxa" w:w="2304"/>
            <w:vAlign w:val="center"/>
          </w:tcPr>
          <w:p>
            <w:pPr>
              <w:spacing w:after="0"/>
              <w:jc w:val="left"/>
            </w:pPr>
            <w:r/>
            <w:r>
              <w:rPr>
                <w:rFonts w:ascii="Arial" w:hAnsi="Arial"/>
                <w:b w:val="0"/>
                <w:i w:val="0"/>
                <w:color w:val="000000"/>
                <w:sz w:val="14"/>
              </w:rPr>
              <w:t>Error o deriva de pH</w:t>
            </w:r>
          </w:p>
        </w:tc>
        <w:tc>
          <w:tcPr>
            <w:tcW w:type="dxa" w:w="3024"/>
            <w:vAlign w:val="center"/>
          </w:tcPr>
          <w:p>
            <w:pPr>
              <w:spacing w:after="0"/>
              <w:jc w:val="left"/>
            </w:pPr>
            <w:r/>
            <w:r>
              <w:rPr>
                <w:rFonts w:ascii="Arial" w:hAnsi="Arial"/>
                <w:b w:val="0"/>
                <w:i w:val="0"/>
                <w:color w:val="000000"/>
                <w:sz w:val="14"/>
              </w:rPr>
              <w:t>Dosificación incorrecta</w:t>
            </w:r>
          </w:p>
        </w:tc>
        <w:tc>
          <w:tcPr>
            <w:tcW w:type="dxa" w:w="4248"/>
            <w:vAlign w:val="center"/>
          </w:tcPr>
          <w:p>
            <w:pPr>
              <w:spacing w:after="0"/>
              <w:jc w:val="left"/>
            </w:pPr>
            <w:r/>
            <w:r>
              <w:rPr>
                <w:rFonts w:ascii="Arial" w:hAnsi="Arial"/>
                <w:b w:val="0"/>
                <w:i w:val="0"/>
                <w:color w:val="000000"/>
                <w:sz w:val="14"/>
              </w:rPr>
              <w:t>Calibración, validación de rango y bloqueo ante lectura inválida.</w:t>
            </w:r>
          </w:p>
        </w:tc>
      </w:tr>
      <w:tr>
        <w:trPr>
          <w:cantSplit/>
        </w:trPr>
        <w:tc>
          <w:tcPr>
            <w:tcW w:type="dxa" w:w="2304"/>
            <w:vAlign w:val="center"/>
          </w:tcPr>
          <w:p>
            <w:pPr>
              <w:spacing w:after="0"/>
              <w:jc w:val="left"/>
            </w:pPr>
            <w:r/>
            <w:r>
              <w:rPr>
                <w:rFonts w:ascii="Arial" w:hAnsi="Arial"/>
                <w:b w:val="0"/>
                <w:i w:val="0"/>
                <w:color w:val="000000"/>
                <w:sz w:val="14"/>
              </w:rPr>
              <w:t>TDS limitado a 1000 ppm</w:t>
            </w:r>
          </w:p>
        </w:tc>
        <w:tc>
          <w:tcPr>
            <w:tcW w:type="dxa" w:w="3024"/>
            <w:vAlign w:val="center"/>
          </w:tcPr>
          <w:p>
            <w:pPr>
              <w:spacing w:after="0"/>
              <w:jc w:val="left"/>
            </w:pPr>
            <w:r/>
            <w:r>
              <w:rPr>
                <w:rFonts w:ascii="Arial" w:hAnsi="Arial"/>
                <w:b w:val="0"/>
                <w:i w:val="0"/>
                <w:color w:val="000000"/>
                <w:sz w:val="14"/>
              </w:rPr>
              <w:t>Saturación o poca utilidad en ciertas concentraciones</w:t>
            </w:r>
          </w:p>
        </w:tc>
        <w:tc>
          <w:tcPr>
            <w:tcW w:type="dxa" w:w="4248"/>
            <w:vAlign w:val="center"/>
          </w:tcPr>
          <w:p>
            <w:pPr>
              <w:spacing w:after="0"/>
              <w:jc w:val="left"/>
            </w:pPr>
            <w:r/>
            <w:r>
              <w:rPr>
                <w:rFonts w:ascii="Arial" w:hAnsi="Arial"/>
                <w:b w:val="0"/>
                <w:i w:val="0"/>
                <w:color w:val="000000"/>
                <w:sz w:val="14"/>
              </w:rPr>
              <w:t>Documentar rango; no dosificar si la lectura es inválida; EC como futura mejora.</w:t>
            </w:r>
          </w:p>
        </w:tc>
      </w:tr>
      <w:tr>
        <w:trPr>
          <w:cantSplit/>
        </w:trPr>
        <w:tc>
          <w:tcPr>
            <w:tcW w:type="dxa" w:w="2304"/>
            <w:vAlign w:val="center"/>
          </w:tcPr>
          <w:p>
            <w:pPr>
              <w:spacing w:after="0"/>
              <w:jc w:val="left"/>
            </w:pPr>
            <w:r/>
            <w:r>
              <w:rPr>
                <w:rFonts w:ascii="Arial" w:hAnsi="Arial"/>
                <w:b w:val="0"/>
                <w:i w:val="0"/>
                <w:color w:val="000000"/>
                <w:sz w:val="14"/>
              </w:rPr>
              <w:t>Sobredosificación</w:t>
            </w:r>
          </w:p>
        </w:tc>
        <w:tc>
          <w:tcPr>
            <w:tcW w:type="dxa" w:w="3024"/>
            <w:vAlign w:val="center"/>
          </w:tcPr>
          <w:p>
            <w:pPr>
              <w:spacing w:after="0"/>
              <w:jc w:val="left"/>
            </w:pPr>
            <w:r/>
            <w:r>
              <w:rPr>
                <w:rFonts w:ascii="Arial" w:hAnsi="Arial"/>
                <w:b w:val="0"/>
                <w:i w:val="0"/>
                <w:color w:val="000000"/>
                <w:sz w:val="14"/>
              </w:rPr>
              <w:t>Daño al cultivo</w:t>
            </w:r>
          </w:p>
        </w:tc>
        <w:tc>
          <w:tcPr>
            <w:tcW w:type="dxa" w:w="4248"/>
            <w:vAlign w:val="center"/>
          </w:tcPr>
          <w:p>
            <w:pPr>
              <w:spacing w:after="0"/>
              <w:jc w:val="left"/>
            </w:pPr>
            <w:r/>
            <w:r>
              <w:rPr>
                <w:rFonts w:ascii="Arial" w:hAnsi="Arial"/>
                <w:b w:val="0"/>
                <w:i w:val="0"/>
                <w:color w:val="000000"/>
                <w:sz w:val="14"/>
              </w:rPr>
              <w:t>Dosis máximas, zona muerta, mezcla, relectura y límites por hora/día.</w:t>
            </w:r>
          </w:p>
        </w:tc>
      </w:tr>
      <w:tr>
        <w:trPr>
          <w:cantSplit/>
        </w:trPr>
        <w:tc>
          <w:tcPr>
            <w:tcW w:type="dxa" w:w="2304"/>
            <w:vAlign w:val="center"/>
          </w:tcPr>
          <w:p>
            <w:pPr>
              <w:spacing w:after="0"/>
              <w:jc w:val="left"/>
            </w:pPr>
            <w:r/>
            <w:r>
              <w:rPr>
                <w:rFonts w:ascii="Arial" w:hAnsi="Arial"/>
                <w:b w:val="0"/>
                <w:i w:val="0"/>
                <w:color w:val="000000"/>
                <w:sz w:val="14"/>
              </w:rPr>
              <w:t>Interferencia eléctrica</w:t>
            </w:r>
          </w:p>
        </w:tc>
        <w:tc>
          <w:tcPr>
            <w:tcW w:type="dxa" w:w="3024"/>
            <w:vAlign w:val="center"/>
          </w:tcPr>
          <w:p>
            <w:pPr>
              <w:spacing w:after="0"/>
              <w:jc w:val="left"/>
            </w:pPr>
            <w:r/>
            <w:r>
              <w:rPr>
                <w:rFonts w:ascii="Arial" w:hAnsi="Arial"/>
                <w:b w:val="0"/>
                <w:i w:val="0"/>
                <w:color w:val="000000"/>
                <w:sz w:val="14"/>
              </w:rPr>
              <w:t>Lecturas inestables</w:t>
            </w:r>
          </w:p>
        </w:tc>
        <w:tc>
          <w:tcPr>
            <w:tcW w:type="dxa" w:w="4248"/>
            <w:vAlign w:val="center"/>
          </w:tcPr>
          <w:p>
            <w:pPr>
              <w:spacing w:after="0"/>
              <w:jc w:val="left"/>
            </w:pPr>
            <w:r/>
            <w:r>
              <w:rPr>
                <w:rFonts w:ascii="Arial" w:hAnsi="Arial"/>
                <w:b w:val="0"/>
                <w:i w:val="0"/>
                <w:color w:val="000000"/>
                <w:sz w:val="14"/>
              </w:rPr>
              <w:t>Separación potencia/señal, filtrado, ADS1115, muestreo escalonado.</w:t>
            </w:r>
          </w:p>
        </w:tc>
      </w:tr>
      <w:tr>
        <w:trPr>
          <w:cantSplit/>
        </w:trPr>
        <w:tc>
          <w:tcPr>
            <w:tcW w:type="dxa" w:w="2304"/>
            <w:vAlign w:val="center"/>
          </w:tcPr>
          <w:p>
            <w:pPr>
              <w:spacing w:after="0"/>
              <w:jc w:val="left"/>
            </w:pPr>
            <w:r/>
            <w:r>
              <w:rPr>
                <w:rFonts w:ascii="Arial" w:hAnsi="Arial"/>
                <w:b w:val="0"/>
                <w:i w:val="0"/>
                <w:color w:val="000000"/>
                <w:sz w:val="14"/>
              </w:rPr>
              <w:t>Fuga hidráulica</w:t>
            </w:r>
          </w:p>
        </w:tc>
        <w:tc>
          <w:tcPr>
            <w:tcW w:type="dxa" w:w="3024"/>
            <w:vAlign w:val="center"/>
          </w:tcPr>
          <w:p>
            <w:pPr>
              <w:spacing w:after="0"/>
              <w:jc w:val="left"/>
            </w:pPr>
            <w:r/>
            <w:r>
              <w:rPr>
                <w:rFonts w:ascii="Arial" w:hAnsi="Arial"/>
                <w:b w:val="0"/>
                <w:i w:val="0"/>
                <w:color w:val="000000"/>
                <w:sz w:val="14"/>
              </w:rPr>
              <w:t>Pérdida de solución / daño</w:t>
            </w:r>
          </w:p>
        </w:tc>
        <w:tc>
          <w:tcPr>
            <w:tcW w:type="dxa" w:w="4248"/>
            <w:vAlign w:val="center"/>
          </w:tcPr>
          <w:p>
            <w:pPr>
              <w:spacing w:after="0"/>
              <w:jc w:val="left"/>
            </w:pPr>
            <w:r/>
            <w:r>
              <w:rPr>
                <w:rFonts w:ascii="Arial" w:hAnsi="Arial"/>
                <w:b w:val="0"/>
                <w:i w:val="0"/>
                <w:color w:val="000000"/>
                <w:sz w:val="14"/>
              </w:rPr>
              <w:t>Prueba con agua antes de integrar química/electrónica.</w:t>
            </w:r>
          </w:p>
        </w:tc>
      </w:tr>
      <w:tr>
        <w:trPr>
          <w:cantSplit/>
        </w:trPr>
        <w:tc>
          <w:tcPr>
            <w:tcW w:type="dxa" w:w="2304"/>
            <w:vAlign w:val="center"/>
          </w:tcPr>
          <w:p>
            <w:pPr>
              <w:spacing w:after="0"/>
              <w:jc w:val="left"/>
            </w:pPr>
            <w:r/>
            <w:r>
              <w:rPr>
                <w:rFonts w:ascii="Arial" w:hAnsi="Arial"/>
                <w:b w:val="0"/>
                <w:i w:val="0"/>
                <w:color w:val="000000"/>
                <w:sz w:val="14"/>
              </w:rPr>
              <w:t>Raíces / obstrucción</w:t>
            </w:r>
          </w:p>
        </w:tc>
        <w:tc>
          <w:tcPr>
            <w:tcW w:type="dxa" w:w="3024"/>
            <w:vAlign w:val="center"/>
          </w:tcPr>
          <w:p>
            <w:pPr>
              <w:spacing w:after="0"/>
              <w:jc w:val="left"/>
            </w:pPr>
            <w:r/>
            <w:r>
              <w:rPr>
                <w:rFonts w:ascii="Arial" w:hAnsi="Arial"/>
                <w:b w:val="0"/>
                <w:i w:val="0"/>
                <w:color w:val="000000"/>
                <w:sz w:val="14"/>
              </w:rPr>
              <w:t>Distribución irregular</w:t>
            </w:r>
          </w:p>
        </w:tc>
        <w:tc>
          <w:tcPr>
            <w:tcW w:type="dxa" w:w="4248"/>
            <w:vAlign w:val="center"/>
          </w:tcPr>
          <w:p>
            <w:pPr>
              <w:spacing w:after="0"/>
              <w:jc w:val="left"/>
            </w:pPr>
            <w:r/>
            <w:r>
              <w:rPr>
                <w:rFonts w:ascii="Arial" w:hAnsi="Arial"/>
                <w:b w:val="0"/>
                <w:i w:val="0"/>
                <w:color w:val="000000"/>
                <w:sz w:val="14"/>
              </w:rPr>
              <w:t>Inspección, limpieza y posible reducción de densidad.</w:t>
            </w:r>
          </w:p>
        </w:tc>
      </w:tr>
      <w:tr>
        <w:trPr>
          <w:cantSplit/>
        </w:trPr>
        <w:tc>
          <w:tcPr>
            <w:tcW w:type="dxa" w:w="2304"/>
            <w:vAlign w:val="center"/>
          </w:tcPr>
          <w:p>
            <w:pPr>
              <w:spacing w:after="0"/>
              <w:jc w:val="left"/>
            </w:pPr>
            <w:r/>
            <w:r>
              <w:rPr>
                <w:rFonts w:ascii="Arial" w:hAnsi="Arial"/>
                <w:b w:val="0"/>
                <w:i w:val="0"/>
                <w:color w:val="000000"/>
                <w:sz w:val="14"/>
              </w:rPr>
              <w:t>Caudal insuficiente</w:t>
            </w:r>
          </w:p>
        </w:tc>
        <w:tc>
          <w:tcPr>
            <w:tcW w:type="dxa" w:w="3024"/>
            <w:vAlign w:val="center"/>
          </w:tcPr>
          <w:p>
            <w:pPr>
              <w:spacing w:after="0"/>
              <w:jc w:val="left"/>
            </w:pPr>
            <w:r/>
            <w:r>
              <w:rPr>
                <w:rFonts w:ascii="Arial" w:hAnsi="Arial"/>
                <w:b w:val="0"/>
                <w:i w:val="0"/>
                <w:color w:val="000000"/>
                <w:sz w:val="14"/>
              </w:rPr>
              <w:t>Riego incompleto en parte alta</w:t>
            </w:r>
          </w:p>
        </w:tc>
        <w:tc>
          <w:tcPr>
            <w:tcW w:type="dxa" w:w="4248"/>
            <w:vAlign w:val="center"/>
          </w:tcPr>
          <w:p>
            <w:pPr>
              <w:spacing w:after="0"/>
              <w:jc w:val="left"/>
            </w:pPr>
            <w:r/>
            <w:r>
              <w:rPr>
                <w:rFonts w:ascii="Arial" w:hAnsi="Arial"/>
                <w:b w:val="0"/>
                <w:i w:val="0"/>
                <w:color w:val="000000"/>
                <w:sz w:val="14"/>
              </w:rPr>
              <w:t>Prueba real de L/min a altura final; válvula/tubería/bomba alternativa.</w:t>
            </w:r>
          </w:p>
        </w:tc>
      </w:tr>
      <w:tr>
        <w:trPr>
          <w:cantSplit/>
        </w:trPr>
        <w:tc>
          <w:tcPr>
            <w:tcW w:type="dxa" w:w="2304"/>
            <w:vAlign w:val="center"/>
          </w:tcPr>
          <w:p>
            <w:pPr>
              <w:spacing w:after="0"/>
              <w:jc w:val="left"/>
            </w:pPr>
            <w:r/>
            <w:r>
              <w:rPr>
                <w:rFonts w:ascii="Arial" w:hAnsi="Arial"/>
                <w:b w:val="0"/>
                <w:i w:val="0"/>
                <w:color w:val="000000"/>
                <w:sz w:val="14"/>
              </w:rPr>
              <w:t>Falla Wi-Fi/backend</w:t>
            </w:r>
          </w:p>
        </w:tc>
        <w:tc>
          <w:tcPr>
            <w:tcW w:type="dxa" w:w="3024"/>
            <w:vAlign w:val="center"/>
          </w:tcPr>
          <w:p>
            <w:pPr>
              <w:spacing w:after="0"/>
              <w:jc w:val="left"/>
            </w:pPr>
            <w:r/>
            <w:r>
              <w:rPr>
                <w:rFonts w:ascii="Arial" w:hAnsi="Arial"/>
                <w:b w:val="0"/>
                <w:i w:val="0"/>
                <w:color w:val="000000"/>
                <w:sz w:val="14"/>
              </w:rPr>
              <w:t>Pérdida de supervisión remota</w:t>
            </w:r>
          </w:p>
        </w:tc>
        <w:tc>
          <w:tcPr>
            <w:tcW w:type="dxa" w:w="4248"/>
            <w:vAlign w:val="center"/>
          </w:tcPr>
          <w:p>
            <w:pPr>
              <w:spacing w:after="0"/>
              <w:jc w:val="left"/>
            </w:pPr>
            <w:r/>
            <w:r>
              <w:rPr>
                <w:rFonts w:ascii="Arial" w:hAnsi="Arial"/>
                <w:b w:val="0"/>
                <w:i w:val="0"/>
                <w:color w:val="000000"/>
                <w:sz w:val="14"/>
              </w:rPr>
              <w:t>Control crítico y perfil activo continúan en ESP32.</w:t>
            </w:r>
          </w:p>
        </w:tc>
      </w:tr>
      <w:tr>
        <w:trPr>
          <w:cantSplit/>
        </w:trPr>
        <w:tc>
          <w:tcPr>
            <w:tcW w:type="dxa" w:w="2304"/>
            <w:vAlign w:val="center"/>
          </w:tcPr>
          <w:p>
            <w:pPr>
              <w:spacing w:after="0"/>
              <w:jc w:val="left"/>
            </w:pPr>
            <w:r/>
            <w:r>
              <w:rPr>
                <w:rFonts w:ascii="Arial" w:hAnsi="Arial"/>
                <w:b w:val="0"/>
                <w:i w:val="0"/>
                <w:color w:val="000000"/>
                <w:sz w:val="14"/>
              </w:rPr>
              <w:t>Retraso de componentes</w:t>
            </w:r>
          </w:p>
        </w:tc>
        <w:tc>
          <w:tcPr>
            <w:tcW w:type="dxa" w:w="3024"/>
            <w:vAlign w:val="center"/>
          </w:tcPr>
          <w:p>
            <w:pPr>
              <w:spacing w:after="0"/>
              <w:jc w:val="left"/>
            </w:pPr>
            <w:r/>
            <w:r>
              <w:rPr>
                <w:rFonts w:ascii="Arial" w:hAnsi="Arial"/>
                <w:b w:val="0"/>
                <w:i w:val="0"/>
                <w:color w:val="000000"/>
                <w:sz w:val="14"/>
              </w:rPr>
              <w:t>Afecta cronograma</w:t>
            </w:r>
          </w:p>
        </w:tc>
        <w:tc>
          <w:tcPr>
            <w:tcW w:type="dxa" w:w="4248"/>
            <w:vAlign w:val="center"/>
          </w:tcPr>
          <w:p>
            <w:pPr>
              <w:spacing w:after="0"/>
              <w:jc w:val="left"/>
            </w:pPr>
            <w:r/>
            <w:r>
              <w:rPr>
                <w:rFonts w:ascii="Arial" w:hAnsi="Arial"/>
                <w:b w:val="0"/>
                <w:i w:val="0"/>
                <w:color w:val="000000"/>
                <w:sz w:val="14"/>
              </w:rPr>
              <w:t>Alternativas compatibles y compras críticas tempranas.</w:t>
            </w:r>
          </w:p>
        </w:tc>
      </w:tr>
      <w:tr>
        <w:trPr>
          <w:cantSplit/>
        </w:trPr>
        <w:tc>
          <w:tcPr>
            <w:tcW w:type="dxa" w:w="2304"/>
            <w:vAlign w:val="center"/>
          </w:tcPr>
          <w:p>
            <w:pPr>
              <w:spacing w:after="0"/>
              <w:jc w:val="left"/>
            </w:pPr>
            <w:r/>
            <w:r>
              <w:rPr>
                <w:rFonts w:ascii="Arial" w:hAnsi="Arial"/>
                <w:b w:val="0"/>
                <w:i w:val="0"/>
                <w:color w:val="000000"/>
                <w:sz w:val="14"/>
              </w:rPr>
              <w:t>Presupuesto</w:t>
            </w:r>
          </w:p>
        </w:tc>
        <w:tc>
          <w:tcPr>
            <w:tcW w:type="dxa" w:w="3024"/>
            <w:vAlign w:val="center"/>
          </w:tcPr>
          <w:p>
            <w:pPr>
              <w:spacing w:after="0"/>
              <w:jc w:val="left"/>
            </w:pPr>
            <w:r/>
            <w:r>
              <w:rPr>
                <w:rFonts w:ascii="Arial" w:hAnsi="Arial"/>
                <w:b w:val="0"/>
                <w:i w:val="0"/>
                <w:color w:val="000000"/>
                <w:sz w:val="14"/>
              </w:rPr>
              <w:t>Superar $6,000 MXN</w:t>
            </w:r>
          </w:p>
        </w:tc>
        <w:tc>
          <w:tcPr>
            <w:tcW w:type="dxa" w:w="4248"/>
            <w:vAlign w:val="center"/>
          </w:tcPr>
          <w:p>
            <w:pPr>
              <w:spacing w:after="0"/>
              <w:jc w:val="left"/>
            </w:pPr>
            <w:r/>
            <w:r>
              <w:rPr>
                <w:rFonts w:ascii="Arial" w:hAnsi="Arial"/>
                <w:b w:val="0"/>
                <w:i w:val="0"/>
                <w:color w:val="000000"/>
                <w:sz w:val="14"/>
              </w:rPr>
              <w:t>Priorizar funciones obligatorias; reutilizar ESP32; TDS temporal; búsqueda local de PVC.</w:t>
            </w:r>
          </w:p>
        </w:tc>
      </w:tr>
      <w:tr>
        <w:trPr>
          <w:cantSplit/>
        </w:trPr>
        <w:tc>
          <w:tcPr>
            <w:tcW w:type="dxa" w:w="2304"/>
            <w:vAlign w:val="center"/>
          </w:tcPr>
          <w:p>
            <w:pPr>
              <w:spacing w:after="0"/>
              <w:jc w:val="left"/>
            </w:pPr>
            <w:r/>
            <w:r>
              <w:rPr>
                <w:rFonts w:ascii="Arial" w:hAnsi="Arial"/>
                <w:b w:val="0"/>
                <w:i w:val="0"/>
                <w:color w:val="000000"/>
                <w:sz w:val="14"/>
              </w:rPr>
              <w:t>Tiempo de validación vegetal</w:t>
            </w:r>
          </w:p>
        </w:tc>
        <w:tc>
          <w:tcPr>
            <w:tcW w:type="dxa" w:w="3024"/>
            <w:vAlign w:val="center"/>
          </w:tcPr>
          <w:p>
            <w:pPr>
              <w:spacing w:after="0"/>
              <w:jc w:val="left"/>
            </w:pPr>
            <w:r/>
            <w:r>
              <w:rPr>
                <w:rFonts w:ascii="Arial" w:hAnsi="Arial"/>
                <w:b w:val="0"/>
                <w:i w:val="0"/>
                <w:color w:val="000000"/>
                <w:sz w:val="14"/>
              </w:rPr>
              <w:t>No llegar a cosecha</w:t>
            </w:r>
          </w:p>
        </w:tc>
        <w:tc>
          <w:tcPr>
            <w:tcW w:type="dxa" w:w="4248"/>
            <w:vAlign w:val="center"/>
          </w:tcPr>
          <w:p>
            <w:pPr>
              <w:spacing w:after="0"/>
              <w:jc w:val="left"/>
            </w:pPr>
            <w:r/>
            <w:r>
              <w:rPr>
                <w:rFonts w:ascii="Arial" w:hAnsi="Arial"/>
                <w:b w:val="0"/>
                <w:i w:val="0"/>
                <w:color w:val="000000"/>
                <w:sz w:val="14"/>
              </w:rPr>
              <w:t>Usar métricas semanales de crecimiento, no depender exclusivamente del fruto.</w:t>
            </w:r>
          </w:p>
        </w:tc>
      </w:tr>
      <w:tr>
        <w:trPr>
          <w:cantSplit/>
        </w:trPr>
        <w:tc>
          <w:tcPr>
            <w:tcW w:type="dxa" w:w="2304"/>
            <w:vAlign w:val="center"/>
          </w:tcPr>
          <w:p>
            <w:pPr>
              <w:spacing w:after="0"/>
              <w:jc w:val="left"/>
            </w:pPr>
            <w:r/>
            <w:r>
              <w:rPr>
                <w:rFonts w:ascii="Arial" w:hAnsi="Arial"/>
                <w:b w:val="0"/>
                <w:i w:val="0"/>
                <w:color w:val="000000"/>
                <w:sz w:val="14"/>
              </w:rPr>
              <w:t>8 chiles demasiado densos</w:t>
            </w:r>
          </w:p>
        </w:tc>
        <w:tc>
          <w:tcPr>
            <w:tcW w:type="dxa" w:w="3024"/>
            <w:vAlign w:val="center"/>
          </w:tcPr>
          <w:p>
            <w:pPr>
              <w:spacing w:after="0"/>
              <w:jc w:val="left"/>
            </w:pPr>
            <w:r/>
            <w:r>
              <w:rPr>
                <w:rFonts w:ascii="Arial" w:hAnsi="Arial"/>
                <w:b w:val="0"/>
                <w:i w:val="0"/>
                <w:color w:val="000000"/>
                <w:sz w:val="14"/>
              </w:rPr>
              <w:t>Sombreado / raíces / ventilación</w:t>
            </w:r>
          </w:p>
        </w:tc>
        <w:tc>
          <w:tcPr>
            <w:tcW w:type="dxa" w:w="4248"/>
            <w:vAlign w:val="center"/>
          </w:tcPr>
          <w:p>
            <w:pPr>
              <w:spacing w:after="0"/>
              <w:jc w:val="left"/>
            </w:pPr>
            <w:r/>
            <w:r>
              <w:rPr>
                <w:rFonts w:ascii="Arial" w:hAnsi="Arial"/>
                <w:b w:val="0"/>
                <w:i w:val="0"/>
                <w:color w:val="000000"/>
                <w:sz w:val="14"/>
              </w:rPr>
              <w:t>Aceptar reducción a 6 plantas si la evidencia de prueba lo justifica.</w:t>
            </w:r>
          </w:p>
        </w:tc>
      </w:tr>
    </w:tbl>
    <w:p>
      <w:pPr>
        <w:spacing w:after="20"/>
      </w:pPr>
    </w:p>
    <w:p>
      <w:pPr>
        <w:spacing w:before="160" w:after="80"/>
      </w:pPr>
      <w:r>
        <w:rPr>
          <w:rFonts w:ascii="Arial" w:hAnsi="Arial"/>
          <w:b/>
          <w:i w:val="0"/>
          <w:color w:val="000000"/>
          <w:sz w:val="28"/>
        </w:rPr>
        <w:t>14. Actualización del alcance aprobado</w:t>
      </w:r>
    </w:p>
    <w:p>
      <w:pPr>
        <w:spacing w:after="80"/>
      </w:pPr>
      <w:r>
        <w:rPr>
          <w:rFonts w:ascii="Arial" w:hAnsi="Arial"/>
          <w:b w:val="0"/>
          <w:i w:val="0"/>
          <w:color w:val="000000"/>
          <w:sz w:val="21"/>
        </w:rPr>
        <w:t>Se incorpora formalmente al alcance:</w:t>
      </w:r>
    </w:p>
    <w:p>
      <w:pPr>
        <w:spacing w:after="20"/>
        <w:ind w:left="389" w:hanging="230"/>
      </w:pPr>
      <w:r>
        <w:rPr>
          <w:rFonts w:ascii="Arial" w:hAnsi="Arial"/>
          <w:b w:val="0"/>
          <w:i w:val="0"/>
          <w:color w:val="000000"/>
          <w:sz w:val="20"/>
        </w:rPr>
        <w:t>• Dosificación automática de Nutriente A y Nutriente B para el prototipo, manteniendo software preparado para uno o varios canales de nutrientes.</w:t>
      </w:r>
    </w:p>
    <w:p>
      <w:pPr>
        <w:spacing w:after="20"/>
        <w:ind w:left="389" w:hanging="230"/>
      </w:pPr>
      <w:r>
        <w:rPr>
          <w:rFonts w:ascii="Arial" w:hAnsi="Arial"/>
          <w:b w:val="0"/>
          <w:i w:val="0"/>
          <w:color w:val="000000"/>
          <w:sz w:val="20"/>
        </w:rPr>
        <w:t>• Corrección automática de pH Up y pH Down con límites de seguridad.</w:t>
      </w:r>
    </w:p>
    <w:p>
      <w:pPr>
        <w:spacing w:after="20"/>
        <w:ind w:left="389" w:hanging="230"/>
      </w:pPr>
      <w:r>
        <w:rPr>
          <w:rFonts w:ascii="Arial" w:hAnsi="Arial"/>
          <w:b w:val="0"/>
          <w:i w:val="0"/>
          <w:color w:val="000000"/>
          <w:sz w:val="20"/>
        </w:rPr>
        <w:t>• Medición de luz con BH1750 y control automático de iluminación.</w:t>
      </w:r>
    </w:p>
    <w:p>
      <w:pPr>
        <w:spacing w:after="20"/>
        <w:ind w:left="389" w:hanging="230"/>
      </w:pPr>
      <w:r>
        <w:rPr>
          <w:rFonts w:ascii="Arial" w:hAnsi="Arial"/>
          <w:b w:val="0"/>
          <w:i w:val="0"/>
          <w:color w:val="000000"/>
          <w:sz w:val="20"/>
        </w:rPr>
        <w:t>• Medición/estimación de energía y registro de horas de actuadores.</w:t>
      </w:r>
    </w:p>
    <w:p>
      <w:pPr>
        <w:spacing w:after="20"/>
        <w:ind w:left="389" w:hanging="230"/>
      </w:pPr>
      <w:r>
        <w:rPr>
          <w:rFonts w:ascii="Arial" w:hAnsi="Arial"/>
          <w:b w:val="0"/>
          <w:i w:val="0"/>
          <w:color w:val="000000"/>
          <w:sz w:val="20"/>
        </w:rPr>
        <w:t>• Aplicación Android, no aplicación web, con provisionamiento Wi-Fi del ESP32 mediante BLE.</w:t>
      </w:r>
    </w:p>
    <w:p>
      <w:pPr>
        <w:spacing w:after="20"/>
        <w:ind w:left="389" w:hanging="230"/>
      </w:pPr>
      <w:r>
        <w:rPr>
          <w:rFonts w:ascii="Arial" w:hAnsi="Arial"/>
          <w:b w:val="0"/>
          <w:i w:val="0"/>
          <w:color w:val="000000"/>
          <w:sz w:val="20"/>
        </w:rPr>
        <w:t>• Arquitectura híbrida MQTT/TLS + HTTPS/REST.</w:t>
      </w:r>
    </w:p>
    <w:p>
      <w:pPr>
        <w:spacing w:after="20"/>
        <w:ind w:left="389" w:hanging="230"/>
      </w:pPr>
      <w:r>
        <w:rPr>
          <w:rFonts w:ascii="Arial" w:hAnsi="Arial"/>
          <w:b w:val="0"/>
          <w:i w:val="0"/>
          <w:color w:val="000000"/>
          <w:sz w:val="20"/>
        </w:rPr>
        <w:t>• Procesamiento no crítico fuera del ESP32 mediante Laravel, PostgreSQL y servidor externo.</w:t>
      </w:r>
    </w:p>
    <w:p>
      <w:pPr>
        <w:spacing w:after="20"/>
        <w:ind w:left="389" w:hanging="230"/>
      </w:pPr>
      <w:r>
        <w:rPr>
          <w:rFonts w:ascii="Arial" w:hAnsi="Arial"/>
          <w:b w:val="0"/>
          <w:i w:val="0"/>
          <w:color w:val="000000"/>
          <w:sz w:val="20"/>
        </w:rPr>
        <w:t>• Métricas biológicas comparativas HydroMate vs maceta testigo.</w:t>
      </w:r>
    </w:p>
    <w:p>
      <w:pPr>
        <w:spacing w:after="20"/>
        <w:ind w:left="389" w:hanging="230"/>
      </w:pPr>
      <w:r>
        <w:rPr>
          <w:rFonts w:ascii="Arial" w:hAnsi="Arial"/>
          <w:b w:val="0"/>
          <w:i w:val="0"/>
          <w:color w:val="000000"/>
          <w:sz w:val="20"/>
        </w:rPr>
        <w:t>• Catálogo social básico para publicar y clonar perfiles de cultivo.</w:t>
      </w:r>
    </w:p>
    <w:p>
      <w:pPr>
        <w:spacing w:after="80"/>
      </w:pPr>
      <w:r>
        <w:rPr>
          <w:rFonts w:ascii="Arial" w:hAnsi="Arial"/>
          <w:b w:val="0"/>
          <w:i w:val="0"/>
          <w:color w:val="000000"/>
          <w:sz w:val="21"/>
        </w:rPr>
        <w:t>Se mantienen fuera de la primera versión:</w:t>
      </w:r>
    </w:p>
    <w:p>
      <w:pPr>
        <w:spacing w:after="20"/>
        <w:ind w:left="389" w:hanging="230"/>
      </w:pPr>
      <w:r>
        <w:rPr>
          <w:rFonts w:ascii="Arial" w:hAnsi="Arial"/>
          <w:b w:val="0"/>
          <w:i w:val="0"/>
          <w:color w:val="000000"/>
          <w:sz w:val="20"/>
        </w:rPr>
        <w:t>• Llenado automático del depósito.</w:t>
      </w:r>
    </w:p>
    <w:p>
      <w:pPr>
        <w:spacing w:after="20"/>
        <w:ind w:left="389" w:hanging="230"/>
      </w:pPr>
      <w:r>
        <w:rPr>
          <w:rFonts w:ascii="Arial" w:hAnsi="Arial"/>
          <w:b w:val="0"/>
          <w:i w:val="0"/>
          <w:color w:val="000000"/>
          <w:sz w:val="20"/>
        </w:rPr>
        <w:t>• Cámara, visión artificial y detección automática de enfermedades.</w:t>
      </w:r>
    </w:p>
    <w:p>
      <w:pPr>
        <w:spacing w:after="20"/>
        <w:ind w:left="389" w:hanging="230"/>
      </w:pPr>
      <w:r>
        <w:rPr>
          <w:rFonts w:ascii="Arial" w:hAnsi="Arial"/>
          <w:b w:val="0"/>
          <w:i w:val="0"/>
          <w:color w:val="000000"/>
          <w:sz w:val="20"/>
        </w:rPr>
        <w:t>• Cambio automático de etapas vegetativa/floración/fructificación.</w:t>
      </w:r>
    </w:p>
    <w:p>
      <w:pPr>
        <w:spacing w:after="20"/>
        <w:ind w:left="389" w:hanging="230"/>
      </w:pPr>
      <w:r>
        <w:rPr>
          <w:rFonts w:ascii="Arial" w:hAnsi="Arial"/>
          <w:b w:val="0"/>
          <w:i w:val="0"/>
          <w:color w:val="000000"/>
          <w:sz w:val="20"/>
        </w:rPr>
        <w:t>• Validación industrial o certificación comercial.</w:t>
      </w:r>
    </w:p>
    <w:p>
      <w:pPr>
        <w:spacing w:before="160" w:after="80"/>
      </w:pPr>
      <w:r>
        <w:rPr>
          <w:rFonts w:ascii="Arial" w:hAnsi="Arial"/>
          <w:b/>
          <w:i w:val="0"/>
          <w:color w:val="000000"/>
          <w:sz w:val="28"/>
        </w:rPr>
        <w:t>15. Referencias</w:t>
      </w:r>
    </w:p>
    <w:p>
      <w:pPr>
        <w:spacing w:after="40"/>
        <w:ind w:left="259" w:hanging="259"/>
      </w:pPr>
      <w:r>
        <w:rPr>
          <w:rFonts w:ascii="Arial" w:hAnsi="Arial"/>
          <w:b w:val="0"/>
          <w:i w:val="0"/>
          <w:color w:val="000000"/>
          <w:sz w:val="16"/>
        </w:rPr>
        <w:t>[1] Espressif Systems, “ESP32 Series Datasheet,” ver. 5.3. [Online]. Available: https://documentation.espressif.com/esp32_datasheet_en.html. [Accessed: Sep. 16, 2026].</w:t>
      </w:r>
    </w:p>
    <w:p>
      <w:pPr>
        <w:spacing w:after="40"/>
        <w:ind w:left="259" w:hanging="259"/>
      </w:pPr>
      <w:r>
        <w:rPr>
          <w:rFonts w:ascii="Arial" w:hAnsi="Arial"/>
          <w:b w:val="0"/>
          <w:i w:val="0"/>
          <w:color w:val="000000"/>
          <w:sz w:val="16"/>
        </w:rPr>
        <w:t>[2] Raspberry Pi Ltd., “Raspberry Pi Zero 2 W.” [Online]. Available: https://www.raspberrypi.com/products/raspberry-pi-zero-2-w/. [Accessed: Sep. 16, 2026].</w:t>
      </w:r>
    </w:p>
    <w:p>
      <w:pPr>
        <w:spacing w:after="40"/>
        <w:ind w:left="259" w:hanging="259"/>
      </w:pPr>
      <w:r>
        <w:rPr>
          <w:rFonts w:ascii="Arial" w:hAnsi="Arial"/>
          <w:b w:val="0"/>
          <w:i w:val="0"/>
          <w:color w:val="000000"/>
          <w:sz w:val="16"/>
        </w:rPr>
        <w:t>[3] Raspberry Pi Ltd., “Raspberry Pi computer hardware - GPIO and Zero 2 W,” Documentation. [Online]. Available: https://www.raspberrypi.com/documentation/computers/raspberry-pi.html. [Accessed: Sep. 16, 2026].</w:t>
      </w:r>
    </w:p>
    <w:p>
      <w:pPr>
        <w:spacing w:after="40"/>
        <w:ind w:left="259" w:hanging="259"/>
      </w:pPr>
      <w:r>
        <w:rPr>
          <w:rFonts w:ascii="Arial" w:hAnsi="Arial"/>
          <w:b w:val="0"/>
          <w:i w:val="0"/>
          <w:color w:val="000000"/>
          <w:sz w:val="16"/>
        </w:rPr>
        <w:t>[4] OASIS, “MQTT Version 5.0,” OASIS Standard, Mar. 2019. [Online]. Available: https://docs.oasis-open.org/mqtt/mqtt/v5.0/mqtt-v5.0.html.</w:t>
      </w:r>
    </w:p>
    <w:p>
      <w:pPr>
        <w:spacing w:after="40"/>
        <w:ind w:left="259" w:hanging="259"/>
      </w:pPr>
      <w:r>
        <w:rPr>
          <w:rFonts w:ascii="Arial" w:hAnsi="Arial"/>
          <w:b w:val="0"/>
          <w:i w:val="0"/>
          <w:color w:val="000000"/>
          <w:sz w:val="16"/>
        </w:rPr>
        <w:t>[5] Laravel, “Laravel Sanctum - Mobile Application Authentication,” Laravel Documentation. [Online]. Available: https://laravel.com/framework/docs/12.x/sanctum. [Accessed: Sep. 16, 2026].</w:t>
      </w:r>
    </w:p>
    <w:p>
      <w:pPr>
        <w:spacing w:after="40"/>
        <w:ind w:left="259" w:hanging="259"/>
      </w:pPr>
      <w:r>
        <w:rPr>
          <w:rFonts w:ascii="Arial" w:hAnsi="Arial"/>
          <w:b w:val="0"/>
          <w:i w:val="0"/>
          <w:color w:val="000000"/>
          <w:sz w:val="16"/>
        </w:rPr>
        <w:t>[6] Espressif Systems, “Wi-Fi Provisioning / BluFi,” ESP-IDF Programming Guide. [Online]. Available: https://docs.espressif.com/projects/esp-idf/. [Accessed: Sep. 16, 2026].</w:t>
      </w:r>
    </w:p>
    <w:p>
      <w:pPr>
        <w:spacing w:after="40"/>
        <w:ind w:left="259" w:hanging="259"/>
      </w:pPr>
      <w:r>
        <w:rPr>
          <w:rFonts w:ascii="Arial" w:hAnsi="Arial"/>
          <w:b w:val="0"/>
          <w:i w:val="0"/>
          <w:color w:val="000000"/>
          <w:sz w:val="16"/>
        </w:rPr>
        <w:t>[7] PostgreSQL Global Development Group, “About PostgreSQL.” [Online]. Available: https://www.postgresql.org/about/. [Accessed: Sep. 16, 2026].</w:t>
      </w:r>
    </w:p>
    <w:p>
      <w:pPr>
        <w:spacing w:after="40"/>
        <w:ind w:left="259" w:hanging="259"/>
      </w:pPr>
      <w:r>
        <w:rPr>
          <w:rFonts w:ascii="Arial" w:hAnsi="Arial"/>
          <w:b w:val="0"/>
          <w:i w:val="0"/>
          <w:color w:val="000000"/>
          <w:sz w:val="16"/>
        </w:rPr>
        <w:t>[8] Google, “Firebase Pricing - Cloud Messaging (FCM).” [Online]. Available: https://firebase.google.com/pricing. [Accessed: Sep. 16, 2026].</w:t>
      </w:r>
    </w:p>
    <w:p>
      <w:pPr>
        <w:spacing w:after="40"/>
        <w:ind w:left="259" w:hanging="259"/>
      </w:pPr>
      <w:r>
        <w:rPr>
          <w:rFonts w:ascii="Arial" w:hAnsi="Arial"/>
          <w:b w:val="0"/>
          <w:i w:val="0"/>
          <w:color w:val="000000"/>
          <w:sz w:val="16"/>
        </w:rPr>
        <w:t>[9] DigitalOcean, “Droplet Pricing.” [Online]. Available: https://www.digitalocean.com/pricing/droplets. [Accessed: Sep. 16, 2026].</w:t>
      </w:r>
    </w:p>
    <w:p>
      <w:pPr>
        <w:spacing w:after="40"/>
        <w:ind w:left="259" w:hanging="259"/>
      </w:pPr>
      <w:r>
        <w:rPr>
          <w:rFonts w:ascii="Arial" w:hAnsi="Arial"/>
          <w:b w:val="0"/>
          <w:i w:val="0"/>
          <w:color w:val="000000"/>
          <w:sz w:val="16"/>
        </w:rPr>
        <w:t>[10] A. G. Bhat et al., “Design, development and testing of an IoT-based smart vertical hydroponic system for optimized nutrient management in a controlled environment,” Irrigation and Drainage, vol. 74, no. 5, pp. 1904–1920, 2025, doi: 10.1002/ird.4002.</w:t>
      </w:r>
    </w:p>
    <w:p>
      <w:pPr>
        <w:spacing w:after="40"/>
        <w:ind w:left="259" w:hanging="259"/>
      </w:pPr>
      <w:r>
        <w:rPr>
          <w:rFonts w:ascii="Arial" w:hAnsi="Arial"/>
          <w:b w:val="0"/>
          <w:i w:val="0"/>
          <w:color w:val="000000"/>
          <w:sz w:val="16"/>
        </w:rPr>
        <w:t>[11] UNIT Electronics, “ESP32 DEVKIT V1 30 Pines USB-C/MicroUSB.” [Online]. Available: https://uelectronics.com/producto/esp32-devkit-v1-30-pines-usb-c-microusb/. [Accessed: Sep. 16, 2026].</w:t>
      </w:r>
    </w:p>
    <w:p>
      <w:pPr>
        <w:spacing w:after="40"/>
        <w:ind w:left="259" w:hanging="259"/>
      </w:pPr>
      <w:r>
        <w:rPr>
          <w:rFonts w:ascii="Arial" w:hAnsi="Arial"/>
          <w:b w:val="0"/>
          <w:i w:val="0"/>
          <w:color w:val="000000"/>
          <w:sz w:val="16"/>
        </w:rPr>
        <w:t>[12] UNIT Electronics, “Raspberry Pi Zero 2 W.” [Online]. Available: https://uelectronics.com/producto/raspberry-pi-zero-2-w/. [Accessed: Sep. 16, 2026].</w:t>
      </w:r>
    </w:p>
    <w:p>
      <w:pPr>
        <w:spacing w:after="40"/>
        <w:ind w:left="259" w:hanging="259"/>
      </w:pPr>
      <w:r>
        <w:rPr>
          <w:rFonts w:ascii="Arial" w:hAnsi="Arial"/>
          <w:b w:val="0"/>
          <w:i w:val="0"/>
          <w:color w:val="000000"/>
          <w:sz w:val="16"/>
        </w:rPr>
        <w:t>[13] UNIT Electronics, “GY-302 Sensor de Intensidad Luminosa BH1750.” [Online]. Available: https://uelectronics.com/producto/gy-302-sensor-de-intensidad-luminosa-bh1750/. [Accessed: Sep. 16, 2026].</w:t>
      </w:r>
    </w:p>
    <w:p>
      <w:pPr>
        <w:spacing w:after="40"/>
        <w:ind w:left="259" w:hanging="259"/>
      </w:pPr>
      <w:r>
        <w:rPr>
          <w:rFonts w:ascii="Arial" w:hAnsi="Arial"/>
          <w:b w:val="0"/>
          <w:i w:val="0"/>
          <w:color w:val="000000"/>
          <w:sz w:val="16"/>
        </w:rPr>
        <w:t>[14] UNIT Electronics, “PH-4502C Sensor de pH líquido” y “DS18B20 sumergible.” [Online]. Available: https://uelectronics.com/. [Accessed: Sep. 16, 2026].</w:t>
      </w:r>
    </w:p>
    <w:p>
      <w:pPr>
        <w:spacing w:after="40"/>
        <w:ind w:left="259" w:hanging="259"/>
      </w:pPr>
      <w:r>
        <w:rPr>
          <w:rFonts w:ascii="Arial" w:hAnsi="Arial"/>
          <w:b w:val="0"/>
          <w:i w:val="0"/>
          <w:color w:val="000000"/>
          <w:sz w:val="16"/>
        </w:rPr>
        <w:t>[15] UNIT Electronics, “Sensor TDS Meter V1.0 Analógico.” [Online]. Available: https://uelectronics.com/producto/sensor-tds-meter-v1-0-analogico-sen0244/. [Accessed: Sep. 16, 2026].</w:t>
      </w:r>
    </w:p>
    <w:p>
      <w:pPr>
        <w:spacing w:after="40"/>
        <w:ind w:left="259" w:hanging="259"/>
      </w:pPr>
      <w:r>
        <w:rPr>
          <w:rFonts w:ascii="Arial" w:hAnsi="Arial"/>
          <w:b w:val="0"/>
          <w:i w:val="0"/>
          <w:color w:val="000000"/>
          <w:sz w:val="16"/>
        </w:rPr>
        <w:t>[16] DFRobot, “Gravity: Analog TDS Sensor/Meter for Arduino (SEN0244).” [Online]. Available: https://wiki.dfrobot.com/sen0244. [Accessed: Sep. 16, 2026].</w:t>
      </w:r>
    </w:p>
    <w:p>
      <w:pPr>
        <w:spacing w:after="40"/>
        <w:ind w:left="259" w:hanging="259"/>
      </w:pPr>
      <w:r>
        <w:rPr>
          <w:rFonts w:ascii="Arial" w:hAnsi="Arial"/>
          <w:b w:val="0"/>
          <w:i w:val="0"/>
          <w:color w:val="000000"/>
          <w:sz w:val="16"/>
        </w:rPr>
        <w:t>[17] UNIT Electronics, “ADS1115 ADC Amplificador de Ganancia Programable.” [Online]. Available: https://uelectronics.com/producto/ads1115-adc-amplificador-de-ganancia-programable/. [Accessed: Sep. 16, 2026].</w:t>
      </w:r>
    </w:p>
    <w:p>
      <w:pPr>
        <w:spacing w:after="40"/>
        <w:ind w:left="259" w:hanging="259"/>
      </w:pPr>
      <w:r>
        <w:rPr>
          <w:rFonts w:ascii="Arial" w:hAnsi="Arial"/>
          <w:b w:val="0"/>
          <w:i w:val="0"/>
          <w:color w:val="000000"/>
          <w:sz w:val="16"/>
        </w:rPr>
        <w:t>[18] UNIT Electronics, “Sensor de Nivel Flotador Vertical.” [Online]. Available: https://uelectronics.com/producto/sensor-de-nivel-flotador-vertical/. [Accessed: Sep. 16, 2026].</w:t>
      </w:r>
    </w:p>
    <w:p>
      <w:pPr>
        <w:spacing w:after="40"/>
        <w:ind w:left="259" w:hanging="259"/>
      </w:pPr>
      <w:r>
        <w:rPr>
          <w:rFonts w:ascii="Arial" w:hAnsi="Arial"/>
          <w:b w:val="0"/>
          <w:i w:val="0"/>
          <w:color w:val="000000"/>
          <w:sz w:val="16"/>
        </w:rPr>
        <w:t>[19] Mercado Libre México, “Bomba riego solar sumergible 12-24 V, 800 L/h.” [Online]. Available: https://articulo.mercadolibre.com.mx/MLM-955567321-bomba-riego-solar-sumergible-12-24v-sube-7-mts-800-lh-_JM. [Accessed: Sep. 16, 2026].</w:t>
      </w:r>
    </w:p>
    <w:p>
      <w:pPr>
        <w:spacing w:after="40"/>
        <w:ind w:left="259" w:hanging="259"/>
      </w:pPr>
      <w:r>
        <w:rPr>
          <w:rFonts w:ascii="Arial" w:hAnsi="Arial"/>
          <w:b w:val="0"/>
          <w:i w:val="0"/>
          <w:color w:val="000000"/>
          <w:sz w:val="16"/>
        </w:rPr>
        <w:t>[20] Walmart México / Mercado Libre, “Bomba peristáltica G328 12 V,” publicaciones consultadas para referencia de modelo y costo. [Accessed: Sep. 16, 2026].</w:t>
      </w:r>
    </w:p>
    <w:p>
      <w:pPr>
        <w:spacing w:after="40"/>
        <w:ind w:left="259" w:hanging="259"/>
      </w:pPr>
      <w:r>
        <w:rPr>
          <w:rFonts w:ascii="Arial" w:hAnsi="Arial"/>
          <w:b w:val="0"/>
          <w:i w:val="0"/>
          <w:color w:val="000000"/>
          <w:sz w:val="16"/>
        </w:rPr>
        <w:t>[21] Mercado Libre México, “Lámpara cultivo LED de 4 brazos / espectro completo,” ref. MLMU3909643369. [Accessed: Sep. 16, 2026].</w:t>
      </w:r>
    </w:p>
    <w:p>
      <w:pPr>
        <w:spacing w:after="40"/>
        <w:ind w:left="259" w:hanging="259"/>
      </w:pPr>
      <w:r>
        <w:rPr>
          <w:rFonts w:ascii="Arial" w:hAnsi="Arial"/>
          <w:b w:val="0"/>
          <w:i w:val="0"/>
          <w:color w:val="000000"/>
          <w:sz w:val="16"/>
        </w:rPr>
        <w:t>[22] Inverfarms Hidroponía México, “Soluponics Pimiento A+B 500 L” y canastillas hidropónicas. [Online]. Available: https://www.mercadolibre.com.mx/pagina/inverfarms-hidroponia-mexico. [Accessed: Sep. 16, 2026].</w:t>
      </w:r>
    </w:p>
    <w:p>
      <w:pPr>
        <w:spacing w:after="40"/>
        <w:ind w:left="259" w:hanging="259"/>
      </w:pPr>
      <w:r>
        <w:rPr>
          <w:rFonts w:ascii="Arial" w:hAnsi="Arial"/>
          <w:b w:val="0"/>
          <w:i w:val="0"/>
          <w:color w:val="000000"/>
          <w:sz w:val="16"/>
        </w:rPr>
        <w:t>[23] Inverfarms, “Kit reguladores concentrado pH +/- para hidroponía.” [Online]. Available: https://www.mercadolibre.com.mx/inverfarms-kit-reguladores-concentrado-ph--hidroponia-env/up/MLMU3016513901. [Accessed: Sep. 16, 2026].</w:t>
      </w:r>
    </w:p>
    <w:p>
      <w:pPr>
        <w:spacing w:after="40"/>
        <w:ind w:left="259" w:hanging="259"/>
      </w:pPr>
      <w:r>
        <w:rPr>
          <w:rFonts w:ascii="Arial" w:hAnsi="Arial"/>
          <w:b w:val="0"/>
          <w:i w:val="0"/>
          <w:color w:val="000000"/>
          <w:sz w:val="16"/>
        </w:rPr>
        <w:t>[24] Mercado Libre México, “Arcilla expandida 2 L (Hydroton).” [Online]. Available: https://www.mercadolibre.com.mx/arcilla-expandida-2-litros--hydroton/up/MLMU948064935. [Accessed: Sep. 16, 2026].</w:t>
      </w:r>
    </w:p>
    <w:p>
      <w:pPr>
        <w:spacing w:after="40"/>
        <w:ind w:left="259" w:hanging="259"/>
      </w:pPr>
      <w:r>
        <w:rPr>
          <w:rFonts w:ascii="Arial" w:hAnsi="Arial"/>
          <w:b w:val="0"/>
          <w:i w:val="0"/>
          <w:color w:val="000000"/>
          <w:sz w:val="16"/>
        </w:rPr>
        <w:t>[25] Mercado Libre México, “Contenedor plástico con tapa, 40 L.” [Online]. Available: https://articulo.mercadolibre.com.mx/MLM-3842661028-contenedor-40-l-con-tapa-2-en-1-recogedor-de-mano-plastico-_JM. [Accessed: Sep. 16, 2026].</w:t>
      </w:r>
    </w:p>
    <w:p>
      <w:pPr>
        <w:spacing w:after="40"/>
        <w:ind w:left="259" w:hanging="259"/>
      </w:pPr>
      <w:r>
        <w:rPr>
          <w:rFonts w:ascii="Arial" w:hAnsi="Arial"/>
          <w:b w:val="0"/>
          <w:i w:val="0"/>
          <w:color w:val="000000"/>
          <w:sz w:val="16"/>
        </w:rPr>
        <w:t>[26] UNIT Electronics / Mercado Libre, “Dual MOSFET D4184, pack de 2.” [Online]. Available: https://www.mercadolibre.com.mx/2pz-dual-mosfet-pwm-020khz-3320v-15a-400w/up/MLMU2906110951. [Accessed: Sep. 16, 2026].</w:t>
      </w:r>
    </w:p>
    <w:p>
      <w:pPr>
        <w:spacing w:after="40"/>
        <w:ind w:left="259" w:hanging="259"/>
      </w:pPr>
      <w:r>
        <w:rPr>
          <w:rFonts w:ascii="Arial" w:hAnsi="Arial"/>
          <w:b w:val="0"/>
          <w:i w:val="0"/>
          <w:color w:val="000000"/>
          <w:sz w:val="16"/>
        </w:rPr>
        <w:t>[27] Mercado Libre México, “Eliminador/adaptador 24 V 3 A,” referencia de mercado. [Accessed: Sep. 16, 2026].</w:t>
      </w:r>
    </w:p>
    <w:p>
      <w:pPr>
        <w:spacing w:after="40"/>
        <w:ind w:left="259" w:hanging="259"/>
      </w:pPr>
      <w:r>
        <w:rPr>
          <w:rFonts w:ascii="Arial" w:hAnsi="Arial"/>
          <w:b w:val="0"/>
          <w:i w:val="0"/>
          <w:color w:val="000000"/>
          <w:sz w:val="16"/>
        </w:rPr>
        <w:t>[28] UNIT Electronics, “XL4015 Convertidor DC-DC Buck Reductor.” [Online]. Available: https://uelectronics.com/producto/xl4015-convertidor-dc-dc-buck-reductor/. [Accessed: Sep. 16, 2026].</w:t>
      </w:r>
    </w:p>
    <w:p>
      <w:pPr>
        <w:spacing w:after="40"/>
        <w:ind w:left="259" w:hanging="259"/>
      </w:pPr>
      <w:r>
        <w:rPr>
          <w:rFonts w:ascii="Arial" w:hAnsi="Arial"/>
          <w:b w:val="0"/>
          <w:i w:val="0"/>
          <w:color w:val="000000"/>
          <w:sz w:val="16"/>
        </w:rPr>
        <w:t>[29] UNIT Electronics, “INA219 Sensor Corriente 3V-5V I2C.” [Online]. Available: https://uelectronics.com/categoria-producto/sensores/corriente-y-voltaje/. [Accessed: Sep. 16, 2026].</w:t>
      </w:r>
    </w:p>
    <w:p>
      <w:pPr>
        <w:spacing w:after="40"/>
        <w:ind w:left="259" w:hanging="259"/>
      </w:pPr>
      <w:r>
        <w:rPr>
          <w:rFonts w:ascii="Arial" w:hAnsi="Arial"/>
          <w:b w:val="0"/>
          <w:i w:val="0"/>
          <w:color w:val="000000"/>
          <w:sz w:val="16"/>
        </w:rPr>
        <w:t>[30] Mercado Libre México, “Solución buffer para calibrar pH 4.01/6.86/9.18, 3 pack.” [Online]. Available: https://www.mercadolibre.com.mx/solucion-buffer-para-calibrar-ph-401-686-918-3-pack/p/MLM2093670634. [Accessed: Sep. 16, 2026].</w:t>
      </w:r>
    </w:p>
    <w:p>
      <w:pPr>
        <w:spacing w:after="40"/>
        <w:ind w:left="259" w:hanging="259"/>
      </w:pPr>
      <w:r>
        <w:rPr>
          <w:rFonts w:ascii="Arial" w:hAnsi="Arial"/>
          <w:b w:val="0"/>
          <w:i w:val="0"/>
          <w:color w:val="000000"/>
          <w:sz w:val="16"/>
        </w:rPr>
        <w:t>[31] Mercado Libre México, “1 metro de tubo PVC sanitario 6 pulgadas,” listado de referencia. [Online]. Available: https://listado.mercadolibre.com.mx/precio-del-tubo-pvc-6-pulgadas-sanitarias. [Accessed: Sep. 16, 2026].</w:t>
      </w:r>
    </w:p>
    <w:sectPr w:rsidR="00106F59" w:rsidSect="00A34ECD">
      <w:pgSz w:w="12240" w:h="15840"/>
      <w:pgMar w:top="1152" w:right="1224" w:bottom="1080" w:left="1224" w:header="720" w:footer="720" w:gutter="0"/>
      <w:pgBorders w:offsetFrom="page">
        <w:top w:val="thickThinSmallGap" w:sz="18" w:space="24" w:color="00B050"/>
        <w:left w:val="thickThinSmallGap" w:sz="18" w:space="24" w:color="00B050"/>
        <w:bottom w:val="thinThickSmallGap" w:sz="18" w:space="24" w:color="00B050"/>
        <w:right w:val="thinThickSmallGap" w:sz="18" w:space="24" w:color="00B05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26333">
    <w:abstractNumId w:val="8"/>
  </w:num>
  <w:num w:numId="2" w16cid:durableId="568226999">
    <w:abstractNumId w:val="6"/>
  </w:num>
  <w:num w:numId="3" w16cid:durableId="1319116877">
    <w:abstractNumId w:val="5"/>
  </w:num>
  <w:num w:numId="4" w16cid:durableId="814836473">
    <w:abstractNumId w:val="4"/>
  </w:num>
  <w:num w:numId="5" w16cid:durableId="1874533189">
    <w:abstractNumId w:val="7"/>
  </w:num>
  <w:num w:numId="6" w16cid:durableId="1431896663">
    <w:abstractNumId w:val="3"/>
  </w:num>
  <w:num w:numId="7" w16cid:durableId="328875539">
    <w:abstractNumId w:val="2"/>
  </w:num>
  <w:num w:numId="8" w16cid:durableId="938219587">
    <w:abstractNumId w:val="1"/>
  </w:num>
  <w:num w:numId="9" w16cid:durableId="58545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F59"/>
    <w:rsid w:val="0015074B"/>
    <w:rsid w:val="0029639D"/>
    <w:rsid w:val="00326F90"/>
    <w:rsid w:val="00A34ECD"/>
    <w:rsid w:val="00AA1D8D"/>
    <w:rsid w:val="00AE619F"/>
    <w:rsid w:val="00B47730"/>
    <w:rsid w:val="00CB0664"/>
    <w:rsid w:val="00E71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92EA7"/>
  <w14:defaultImageDpi w14:val="300"/>
  <w15:docId w15:val="{5491ED96-4DBF-4DF9-852F-32B94B82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2400</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DANNA BENIGBE CRUZ OSORIO</cp:lastModifiedBy>
  <cp:revision>2</cp:revision>
  <dcterms:created xsi:type="dcterms:W3CDTF">2026-09-02T21:55:00Z</dcterms:created>
  <dcterms:modified xsi:type="dcterms:W3CDTF">2026-09-02T21:55:00Z</dcterms:modified>
  <cp:category/>
</cp:coreProperties>
</file>