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3210"/>
        <w:tblGridChange w:id="0">
          <w:tblGrid>
            <w:gridCol w:w="735"/>
            <w:gridCol w:w="2400"/>
            <w:gridCol w:w="3360"/>
            <w:gridCol w:w="321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 dashboard setup using React components, Context API for state management, and MongoDB collections for Products, Users, and Orders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Data is fetched via Axios; if the API call succeeds and the schema matches, data is displayed. Else, fallback UI or error boundary is triggered.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3070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- 98%</w:t>
              <w:br w:type="textWrapping"/>
              <w:br w:type="textWrapping"/>
              <w:t xml:space="preserve">Validation Accuracy - 98%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76" w:lineRule="auto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23871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Applicable for ShopSmart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(No object detection module used in this project)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xpU9gf4N6h4fdvR+75+4Fp2hw==">CgMxLjA4AHIhMTkxZ1FVUl9tTEZIbDl0Q1MyMFpCNW1ZelJVd0k3SmxK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2025-06-27T17:03:00Z</dcterms:created>
  <dc:creator>Chandrika Katakam</dc:creator>
</cp:coreProperties>
</file>