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Анализ проблем производительности Laravel-приложения</w:t>
      </w:r>
    </w:p>
    <w:p>
      <w:pPr>
        <w:jc w:val="center"/>
      </w:pPr>
      <w:r>
        <w:rPr>
          <w:color w:val="505050"/>
          <w:sz w:val="22"/>
        </w:rPr>
        <w:t>Таблица подготовлена в рамках решения тестового задания по оптимизации веб-приложения на Laravel (анализ проекта B2B-каталога).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15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2721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приводит к проблеме</w:t>
            </w:r>
          </w:p>
        </w:tc>
        <w:tc>
          <w:tcPr>
            <w:tcW w:type="dxa" w:w="294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Возможное решение</w:t>
            </w:r>
          </w:p>
        </w:tc>
        <w:tc>
          <w:tcPr>
            <w:tcW w:type="dxa" w:w="249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Потенциальное улучшение (показания)</w:t>
            </w:r>
          </w:p>
        </w:tc>
      </w:tr>
      <w:tr>
        <w:tc>
          <w:tcPr>
            <w:tcW w:type="dxa" w:w="2154"/>
            <w:vAlign w:val="top"/>
            <w:shd w:val="clear" w:color="auto" w:fill="D6E4F0"/>
          </w:tcPr>
          <w:p>
            <w:pPr>
              <w:jc w:val="left"/>
            </w:pPr>
            <w:r>
              <w:rPr>
                <w:b/>
                <w:sz w:val="18"/>
              </w:rPr>
              <w:t>Запись «pending» в таблицу cookie_consents при каждом визите</w:t>
            </w:r>
          </w:p>
        </w:tc>
        <w:tc>
          <w:tcPr>
            <w:tcW w:type="dxa" w:w="2721"/>
            <w:vAlign w:val="top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CookieConsentManager создаёт или читает строку со статусом pending для каждого pageview. Таблица выросла до 2 168 684 строк — самая большая в БД.</w:t>
            </w:r>
          </w:p>
        </w:tc>
        <w:tc>
          <w:tcPr>
            <w:tcW w:type="dxa" w:w="2948"/>
            <w:vAlign w:val="top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Хранить состояние pending только в браузерном cookie; писать в БД только реальные решения (accepted/rejected). Запустить Artisan-команду для периодического удаления старых pending-строк.</w:t>
            </w:r>
          </w:p>
        </w:tc>
        <w:tc>
          <w:tcPr>
            <w:tcW w:type="dxa" w:w="2494"/>
            <w:vAlign w:val="top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TTFB публичных страниц −10–25 %; DB writes −50–70 %; снижение lock waits на горячем индексе таблицы.</w:t>
            </w:r>
          </w:p>
        </w:tc>
      </w:tr>
      <w:tr>
        <w:tc>
          <w:tcPr>
            <w:tcW w:type="dxa" w:w="2154"/>
            <w:vAlign w:val="top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Производительность поиска: LIKE '%слово%' вместо полнотекстового индекса</w:t>
            </w:r>
          </w:p>
        </w:tc>
        <w:tc>
          <w:tcPr>
            <w:tcW w:type="dxa" w:w="2721"/>
            <w:vAlign w:val="top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FastSearch.php делает LIKE '%...%', который не использует индекс — всегда full scan по 22 000 товаров. В БД уже есть FULLTEXT-индекс items_name_synonyms_fulltext по полям name и synonyms.</w:t>
            </w:r>
          </w:p>
        </w:tc>
        <w:tc>
          <w:tcPr>
            <w:tcW w:type="dxa" w:w="2948"/>
            <w:vAlign w:val="top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Заменить LIKE-запросы на MATCH ... AGAINST с режимом boolean, добавить точный поиск по vendor_code, barcode, id_1c через индексные запросы.</w:t>
            </w:r>
          </w:p>
        </w:tc>
        <w:tc>
          <w:tcPr>
            <w:tcW w:type="dxa" w:w="2494"/>
            <w:vAlign w:val="top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Ускорение endpoint поиска в 3–10 раз; снижение rows examined с ~22 000 до ~десятков на запрос.</w:t>
            </w:r>
          </w:p>
        </w:tc>
      </w:tr>
      <w:tr>
        <w:tc>
          <w:tcPr>
            <w:tcW w:type="dxa" w:w="2154"/>
            <w:vAlign w:val="top"/>
            <w:shd w:val="clear" w:color="auto" w:fill="D6E4F0"/>
          </w:tcPr>
          <w:p>
            <w:pPr>
              <w:jc w:val="left"/>
            </w:pPr>
            <w:r>
              <w:rPr>
                <w:b/>
                <w:sz w:val="18"/>
              </w:rPr>
              <w:t>Страница каталога загружает полную карточку товара вместо облегчённого списка</w:t>
            </w:r>
          </w:p>
        </w:tc>
        <w:tc>
          <w:tcPr>
            <w:tcW w:type="dxa" w:w="2721"/>
            <w:vAlign w:val="top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ItemRepository::catalogue() собирает для каждого товара цены, остатки, скидки, аналоги, атрибуты, характеристики, гайды, изображения и сегменты — всё это нужно только для страницы товара.</w:t>
            </w:r>
          </w:p>
        </w:tc>
        <w:tc>
          <w:tcPr>
            <w:tcW w:type="dxa" w:w="2948"/>
            <w:vAlign w:val="top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Разделить метод на catalogueList() (только id, uuid, name, vendor_code, минимальная цена, одно изображение) и catalogueDetail() с полным eager-load.</w:t>
            </w:r>
          </w:p>
        </w:tc>
        <w:tc>
          <w:tcPr>
            <w:tcW w:type="dxa" w:w="2494"/>
            <w:vAlign w:val="top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TTFB каталога ускоряется в 2–5 раз; значительное снижение потребления памяти PHP-воркера; меньше нагрузки на DB CPU.</w:t>
            </w:r>
          </w:p>
        </w:tc>
      </w:tr>
      <w:tr>
        <w:tc>
          <w:tcPr>
            <w:tcW w:type="dxa" w:w="2154"/>
            <w:vAlign w:val="top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Каталог: get() + groupBy() на PHP вместо SQL пагинации</w:t>
            </w:r>
          </w:p>
        </w:tc>
        <w:tc>
          <w:tcPr>
            <w:tcW w:type="dxa" w:w="2721"/>
            <w:vAlign w:val="top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Queries/Catalogue.php загружает весь набор товаров категории в память PHP, а группировку выполняет в коде. При крупной категории это тысячи Eloquent-объектов за один HTTP-запрос.</w:t>
            </w:r>
          </w:p>
        </w:tc>
        <w:tc>
          <w:tcPr>
            <w:tcW w:type="dxa" w:w="2948"/>
            <w:vAlign w:val="top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Перейти на SQL-пагинацию с LIMIT/OFFSET или keyset по items.id; groupBy-логику перенести в SQL GROUP BY или отдельный запрос.</w:t>
            </w:r>
          </w:p>
        </w:tc>
        <w:tc>
          <w:tcPr>
            <w:tcW w:type="dxa" w:w="2494"/>
            <w:vAlign w:val="top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Пиковое потребление памяти снижается в разы; p95/p99 latency каталога сокращается; возможность отдавать большие категории без риска out-of-memory.</w:t>
            </w:r>
          </w:p>
        </w:tc>
      </w:tr>
      <w:tr>
        <w:tc>
          <w:tcPr>
            <w:tcW w:type="dxa" w:w="2154"/>
            <w:vAlign w:val="top"/>
            <w:shd w:val="clear" w:color="auto" w:fill="D6E4F0"/>
          </w:tcPr>
          <w:p>
            <w:pPr>
              <w:jc w:val="left"/>
            </w:pPr>
            <w:r>
              <w:rPr>
                <w:b/>
                <w:sz w:val="18"/>
              </w:rPr>
              <w:t>Dev-настройки в production: APP_DEBUG=true, file cache/session, sync очереди</w:t>
            </w:r>
          </w:p>
        </w:tc>
        <w:tc>
          <w:tcPr>
            <w:tcW w:type="dxa" w:w="2721"/>
            <w:vAlign w:val="top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.env.example содержит APP_DEBUG=true, CACHE_DRIVER=file, SESSION_DRIVER=file, QUEUE_CONNECTION=sync, LOG_LEVEL=debug. Эти значения попадают в production и создают постоянный overhead.</w:t>
            </w:r>
          </w:p>
        </w:tc>
        <w:tc>
          <w:tcPr>
            <w:tcW w:type="dxa" w:w="2948"/>
            <w:vAlign w:val="top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Переключить APP_DEBUG=false, LOG_LEVEL=warning, перейти на Redis для cache/session/queue, запустить php artisan config:cache route:cache view:cache.</w:t>
            </w:r>
          </w:p>
        </w:tc>
        <w:tc>
          <w:tcPr>
            <w:tcW w:type="dxa" w:w="2494"/>
            <w:vAlign w:val="top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TTFB −20–40 %; CPU −15–30 %; устранение дискового I/O на каждый запрос; корректная асинхронная обработка экспортов и писем.</w:t>
            </w:r>
          </w:p>
        </w:tc>
      </w:tr>
      <w:tr>
        <w:tc>
          <w:tcPr>
            <w:tcW w:type="dxa" w:w="2154"/>
            <w:vAlign w:val="top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dd() в production-коде: аварийные остановки запросов</w:t>
            </w:r>
          </w:p>
        </w:tc>
        <w:tc>
          <w:tcPr>
            <w:tcW w:type="dxa" w:w="2721"/>
            <w:vAlign w:val="top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В HomeController::emailFeedback(), app/Models/Model.php, Pipes_/Price/ToCurrency.php и Livewire/Cart/Item/Delete.php есть активные вызовы dd(), которые могут остановить выполнение в production.</w:t>
            </w:r>
          </w:p>
        </w:tc>
        <w:tc>
          <w:tcPr>
            <w:tcW w:type="dxa" w:w="2948"/>
            <w:vAlign w:val="top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Удалить все dd() из production-файлов; заменить на Log::debug() там, где нужна диагностика; ограничить Debugbar/Telescope только локальным окружением.</w:t>
            </w:r>
          </w:p>
        </w:tc>
        <w:tc>
          <w:tcPr>
            <w:tcW w:type="dxa" w:w="2494"/>
            <w:vAlign w:val="top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Устранение случайных availability-инцидентов; TTFB −5–10 % за счёт удаления profiling overhead.</w:t>
            </w:r>
          </w:p>
        </w:tc>
      </w:tr>
      <w:tr>
        <w:tc>
          <w:tcPr>
            <w:tcW w:type="dxa" w:w="2154"/>
            <w:vAlign w:val="top"/>
            <w:shd w:val="clear" w:color="auto" w:fill="D6E4F0"/>
          </w:tcPr>
          <w:p>
            <w:pPr>
              <w:jc w:val="left"/>
            </w:pPr>
            <w:r>
              <w:rPr>
                <w:b/>
                <w:sz w:val="18"/>
              </w:rPr>
              <w:t>Генерация YML/Excel прайса: вся выборка и весь файл в памяти PHP</w:t>
            </w:r>
          </w:p>
        </w:tc>
        <w:tc>
          <w:tcPr>
            <w:tcW w:type="dxa" w:w="2721"/>
            <w:vAlign w:val="top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Price/Index.php и Price/Base.php строят весь файл одним $query-&gt;get(), загружая все 22 000 товаров в память одного воркера синхронно; это блокирует воркер до завершения.</w:t>
            </w:r>
          </w:p>
        </w:tc>
        <w:tc>
          <w:tcPr>
            <w:tcW w:type="dxa" w:w="2948"/>
            <w:vAlign w:val="top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Использовать chunkById(500) и response()-&gt;streamDownload() для потоковой отдачи; тяжёлые экспорты выносить в queue job с хранением статуса.</w:t>
            </w:r>
          </w:p>
        </w:tc>
        <w:tc>
          <w:tcPr>
            <w:tcW w:type="dxa" w:w="2494"/>
            <w:vAlign w:val="top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Пиковое потребление памяти снижается на 80–95 %; HTTP-воркер освобождается немедленно; стабильная работа при любом объёме каталога.</w:t>
            </w:r>
          </w:p>
        </w:tc>
      </w:tr>
      <w:tr>
        <w:tc>
          <w:tcPr>
            <w:tcW w:type="dxa" w:w="2154"/>
            <w:vAlign w:val="top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Отсутствие индексов для частых фильтров и JOIN</w:t>
            </w:r>
          </w:p>
        </w:tc>
        <w:tc>
          <w:tcPr>
            <w:tcW w:type="dxa" w:w="2721"/>
            <w:vAlign w:val="top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В дампе нет составных и одиночных индексов по items(category_id_1c, type), items(id_1c), items(vendor_code), items(barcode), categories(parent_uuid, is_hide, default_sort), sales(uuid_contractor, id). Фильтрующие запросы делают full/range scan.</w:t>
            </w:r>
          </w:p>
        </w:tc>
        <w:tc>
          <w:tcPr>
            <w:tcW w:type="dxa" w:w="2948"/>
            <w:vAlign w:val="top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Добавить недостающие индексы через миграцию; перед применением в production проверить EXPLAIN на staging-БД.</w:t>
            </w:r>
          </w:p>
        </w:tc>
        <w:tc>
          <w:tcPr>
            <w:tcW w:type="dxa" w:w="2494"/>
            <w:vAlign w:val="top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Время фильтрующих запросов каталога −30–60 % по rows examined; меньше нагрузки на DB CPU при пиковом трафике.</w:t>
            </w:r>
          </w:p>
        </w:tc>
      </w:tr>
      <w:tr>
        <w:tc>
          <w:tcPr>
            <w:tcW w:type="dxa" w:w="2154"/>
            <w:vAlign w:val="top"/>
            <w:shd w:val="clear" w:color="auto" w:fill="D6E4F0"/>
          </w:tcPr>
          <w:p>
            <w:pPr>
              <w:jc w:val="left"/>
            </w:pPr>
            <w:r>
              <w:rPr>
                <w:b/>
                <w:sz w:val="18"/>
              </w:rPr>
              <w:t>Frontend: отсутствие vite.config.js, глобальное подключение тяжёлых JS-модулей</w:t>
            </w:r>
          </w:p>
        </w:tc>
        <w:tc>
          <w:tcPr>
            <w:tcW w:type="dxa" w:w="2721"/>
            <w:vAlign w:val="top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В корне проекта нет vite.config.js, поэтому production build нестабилен. Layout подключает jquery-ui, inputmask, fancybox глобально, даже на страницах, где они не нужны.</w:t>
            </w:r>
          </w:p>
        </w:tc>
        <w:tc>
          <w:tcPr>
            <w:tcW w:type="dxa" w:w="2948"/>
            <w:vAlign w:val="top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Создать vite.config.js с раздельными entrypoints (public, private, catalogue, admin); подключать бандлы через @stack и @push только на нужных страницах.</w:t>
            </w:r>
          </w:p>
        </w:tc>
        <w:tc>
          <w:tcPr>
            <w:tcW w:type="dxa" w:w="2494"/>
            <w:vAlign w:val="top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JS/CSS payload −40–60 %; FCP/LCP −20–35 %; TTI улучшается за счёт меньшего объёма парсинга скриптов.</w:t>
            </w:r>
          </w:p>
        </w:tc>
      </w:tr>
      <w:tr>
        <w:tc>
          <w:tcPr>
            <w:tcW w:type="dxa" w:w="2154"/>
            <w:vAlign w:val="top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Отсутствие gzip/brotli сжатия и долгосрочного кэша статических файлов</w:t>
            </w:r>
          </w:p>
        </w:tc>
        <w:tc>
          <w:tcPr>
            <w:tcW w:type="dxa" w:w="2721"/>
            <w:vAlign w:val="top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В public/.htaccess и nginx-конфигурации нет правил gzip/brotli и Cache-Control: immutable для hashed assets, поэтому каждый визит загружает статику заново.</w:t>
            </w:r>
          </w:p>
        </w:tc>
        <w:tc>
          <w:tcPr>
            <w:tcW w:type="dxa" w:w="2948"/>
            <w:vAlign w:val="top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Добавить в nginx: gzip/brotli, Cache-Control: public, max-age=31536000, immutable для /build/, Cache-Control для fonts/images; настроить HTTP/2.</w:t>
            </w:r>
          </w:p>
        </w:tc>
        <w:tc>
          <w:tcPr>
            <w:tcW w:type="dxa" w:w="2494"/>
            <w:vAlign w:val="top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FCP/LCP −15–25 % на первом визите; для повторных визитов −50–80 % трафика из origin за счёт браузерного кэша.</w:t>
            </w:r>
          </w:p>
        </w:tc>
      </w:tr>
      <w:tr>
        <w:tc>
          <w:tcPr>
            <w:tcW w:type="dxa" w:w="2154"/>
            <w:vAlign w:val="top"/>
            <w:shd w:val="clear" w:color="auto" w:fill="D6E4F0"/>
          </w:tcPr>
          <w:p>
            <w:pPr>
              <w:jc w:val="left"/>
            </w:pPr>
            <w:r>
              <w:rPr>
                <w:b/>
                <w:sz w:val="18"/>
              </w:rPr>
              <w:t>Шрифты в устаревших форматах (TTF/EOT/OTF/SVG) без font-display: swap</w:t>
            </w:r>
          </w:p>
        </w:tc>
        <w:tc>
          <w:tcPr>
            <w:tcW w:type="dxa" w:w="2721"/>
            <w:vAlign w:val="top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В resources/fonts подключены тяжёлые форматы без WOFF2-subset стратегии и без font-display: swap, что блокирует рендер текста до загрузки шрифта.</w:t>
            </w:r>
          </w:p>
        </w:tc>
        <w:tc>
          <w:tcPr>
            <w:tcW w:type="dxa" w:w="2948"/>
            <w:vAlign w:val="top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Конвертировать в WOFF2 с subset кириллица/латиница, оставить только нужные начертания, добавить font-display: swap и preload для критичного шрифта.</w:t>
            </w:r>
          </w:p>
        </w:tc>
        <w:tc>
          <w:tcPr>
            <w:tcW w:type="dxa" w:w="2494"/>
            <w:vAlign w:val="top"/>
            <w:shd w:val="clear" w:color="auto" w:fill="D6E4F0"/>
          </w:tcPr>
          <w:p>
            <w:pPr>
              <w:jc w:val="left"/>
            </w:pPr>
            <w:r>
              <w:rPr>
                <w:sz w:val="18"/>
              </w:rPr>
              <w:t>FCP −5–15 %; CLS → 0; объём загрузки шрифтов −60–80 %; устранение блокировки рендера текста.</w:t>
            </w:r>
          </w:p>
        </w:tc>
      </w:tr>
    </w:tbl>
    <w:p/>
    <w:p>
      <w:r>
        <w:rPr>
          <w:color w:val="787878"/>
          <w:sz w:val="16"/>
        </w:rPr>
        <w:t>Источник анализа: статический аудит кодовой базы Laravel (архив 1c8_private-master.zip) и дампа базы данных MySQL (alfastok_db_1c8_8.sql). Все метрики улучшений — расчётные оценки на основе объёма данных в таблицах и характеристик выявленных паттернов; подтверждение требует замеров в production (APM, Lighthouse, slow query log).</w:t>
      </w:r>
    </w:p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