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227"/>
        <w:gridCol w:w="5227"/>
      </w:tblGrid>
      <w:tr>
        <w:tc>
          <w:tcPr>
            <w:tcW w:type="dxa" w:w="3672"/>
            <w:tcBorders>
              <w:top w:val="single" w:sz="0" w:space="0" w:color="FFFFFF"/>
              <w:left w:val="single" w:sz="0" w:space="0" w:color="FFFFFF"/>
              <w:bottom w:val="single" w:sz="0" w:space="0" w:color="FFFFFF"/>
              <w:right w:val="single" w:sz="0" w:space="0" w:color="FFFFFF"/>
            </w:tcBorders>
            <w:shd w:fill="FFFFFF"/>
            <w:vAlign w:val="center"/>
          </w:tcPr>
          <w:p>
            <w:pPr>
              <w:jc w:val="center"/>
            </w:pPr>
            <w:r>
              <w:drawing>
                <wp:inline xmlns:a="http://schemas.openxmlformats.org/drawingml/2006/main" xmlns:pic="http://schemas.openxmlformats.org/drawingml/2006/picture">
                  <wp:extent cx="2029968" cy="260850"/>
                  <wp:docPr id="1" name="Picture 1"/>
                  <wp:cNvGraphicFramePr>
                    <a:graphicFrameLocks noChangeAspect="1"/>
                  </wp:cNvGraphicFramePr>
                  <a:graphic>
                    <a:graphicData uri="http://schemas.openxmlformats.org/drawingml/2006/picture">
                      <pic:pic>
                        <pic:nvPicPr>
                          <pic:cNvPr id="0" name="SIMATS_Engineering_Logo.png"/>
                          <pic:cNvPicPr/>
                        </pic:nvPicPr>
                        <pic:blipFill>
                          <a:blip r:embed="rId11"/>
                          <a:stretch>
                            <a:fillRect/>
                          </a:stretch>
                        </pic:blipFill>
                        <pic:spPr>
                          <a:xfrm>
                            <a:off x="0" y="0"/>
                            <a:ext cx="2029968" cy="260850"/>
                          </a:xfrm>
                          <a:prstGeom prst="rect"/>
                        </pic:spPr>
                      </pic:pic>
                    </a:graphicData>
                  </a:graphic>
                </wp:inline>
              </w:drawing>
            </w:r>
          </w:p>
        </w:tc>
        <w:tc>
          <w:tcPr>
            <w:tcW w:type="dxa" w:w="6624"/>
            <w:tcBorders>
              <w:top w:val="single" w:sz="0" w:space="0" w:color="FFFFFF"/>
              <w:left w:val="single" w:sz="0" w:space="0" w:color="FFFFFF"/>
              <w:bottom w:val="single" w:sz="0" w:space="0" w:color="FFFFFF"/>
              <w:right w:val="single" w:sz="0" w:space="0" w:color="FFFFFF"/>
            </w:tcBorders>
            <w:shd w:fill="FFFFFF"/>
            <w:vAlign w:val="center"/>
          </w:tcPr>
          <w:p>
            <w:r>
              <w:rPr>
                <w:rFonts w:ascii="Calibri" w:hAnsi="Calibri" w:eastAsia="Calibri"/>
                <w:b/>
                <w:i w:val="0"/>
                <w:color w:val="1F4E79"/>
                <w:sz w:val="34"/>
              </w:rPr>
              <w:t>SIMATS ENGINEERING</w:t>
            </w:r>
          </w:p>
          <w:p>
            <w:r>
              <w:rPr>
                <w:rFonts w:ascii="Calibri" w:hAnsi="Calibri" w:eastAsia="Calibri"/>
                <w:b/>
                <w:i w:val="0"/>
                <w:color w:val="334155"/>
                <w:sz w:val="20"/>
              </w:rPr>
              <w:t>Department of Computer Science and Engineering</w:t>
            </w:r>
          </w:p>
          <w:p>
            <w:r>
              <w:rPr>
                <w:rFonts w:ascii="Calibri" w:hAnsi="Calibri" w:eastAsia="Calibri"/>
                <w:b/>
                <w:i w:val="0"/>
                <w:color w:val="2F6690"/>
                <w:sz w:val="24"/>
              </w:rPr>
              <w:t>CSA15 Cloud Computing and Big Data Analytics</w:t>
            </w:r>
          </w:p>
          <w:p>
            <w:r>
              <w:rPr>
                <w:rFonts w:ascii="Calibri" w:hAnsi="Calibri" w:eastAsia="Calibri"/>
                <w:b/>
                <w:i w:val="0"/>
                <w:color w:val="1F4E79"/>
                <w:sz w:val="24"/>
              </w:rPr>
              <w:t>CO2 AT1 - Capstone Infrastructure Sizing Workbook</w:t>
            </w:r>
          </w:p>
          <w:p>
            <w:r>
              <w:rPr>
                <w:rFonts w:ascii="Calibri" w:hAnsi="Calibri" w:eastAsia="Calibri"/>
                <w:b w:val="0"/>
                <w:i w:val="0"/>
                <w:color w:val="334155"/>
                <w:sz w:val="19"/>
              </w:rPr>
              <w:t>Guided calibration workbook for VM sizing, virtualization decisions, snapshot planning and VM-container comparison</w:t>
            </w:r>
          </w:p>
        </w:tc>
      </w:tr>
    </w:tbl>
    <w:p>
      <w:pPr>
        <w:spacing w:before="160" w:after="80"/>
      </w:pPr>
      <w:r>
        <w:rPr>
          <w:rFonts w:ascii="Calibri" w:hAnsi="Calibri" w:eastAsia="Calibri"/>
          <w:b/>
          <w:i w:val="0"/>
          <w:color w:val="1F4E79"/>
          <w:sz w:val="28"/>
        </w:rPr>
        <w:t>Assessment Metadata</w:t>
      </w:r>
    </w:p>
    <w:tbl>
      <w:tblPr>
        <w:tblW w:type="auto" w:w="0"/>
        <w:jc w:val="center"/>
        <w:tblLayout w:type="fixed"/>
        <w:tblLook w:firstColumn="1" w:firstRow="1" w:lastColumn="0" w:lastRow="0" w:noHBand="0" w:noVBand="1" w:val="04A0"/>
      </w:tblPr>
      <w:tblGrid>
        <w:gridCol w:w="5227"/>
        <w:gridCol w:w="5227"/>
      </w:tblGrid>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Course Code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CSA15</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Course Title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Cloud Computing and Big Data Analytics</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Assessment</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CO2 AT1 - Virtualization Scenario Problem-Solving</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Submission Type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Individual digital workbook based on the same capstone title used in CO1</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Faculty</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Dr. C. Rajesh Babu</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Employee ID</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SSETSCS-415</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Submission Mode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Completed workbook and evidence repository link through Google Classroom</w:t>
            </w:r>
          </w:p>
        </w:tc>
      </w:tr>
    </w:tbl>
    <w:p>
      <w:pPr>
        <w:spacing w:before="160" w:after="80"/>
      </w:pPr>
      <w:r>
        <w:rPr>
          <w:rFonts w:ascii="Calibri" w:hAnsi="Calibri" w:eastAsia="Calibri"/>
          <w:b/>
          <w:i w:val="0"/>
          <w:color w:val="1F4E79"/>
          <w:sz w:val="28"/>
        </w:rPr>
        <w:t>How This Workbook Works</w:t>
      </w:r>
    </w:p>
    <w:p>
      <w:pPr>
        <w:pStyle w:val="ListBullet"/>
        <w:spacing w:after="40"/>
      </w:pPr>
      <w:r>
        <w:rPr>
          <w:rFonts w:ascii="Calibri" w:hAnsi="Calibri" w:eastAsia="Calibri"/>
          <w:b w:val="0"/>
          <w:i w:val="0"/>
          <w:color w:val="1F2937"/>
          <w:sz w:val="19"/>
        </w:rPr>
        <w:t>Read each guidance block and immediately fill the related response table.</w:t>
      </w:r>
    </w:p>
    <w:p>
      <w:pPr>
        <w:pStyle w:val="ListBullet"/>
        <w:spacing w:after="40"/>
      </w:pPr>
      <w:r>
        <w:rPr>
          <w:rFonts w:ascii="Calibri" w:hAnsi="Calibri" w:eastAsia="Calibri"/>
          <w:b w:val="0"/>
          <w:i w:val="0"/>
          <w:color w:val="1F2937"/>
          <w:sz w:val="19"/>
        </w:rPr>
        <w:t>Use the same capstone title selected for CO1.</w:t>
      </w:r>
    </w:p>
    <w:p>
      <w:pPr>
        <w:pStyle w:val="ListBullet"/>
        <w:spacing w:after="40"/>
      </w:pPr>
      <w:r>
        <w:rPr>
          <w:rFonts w:ascii="Calibri" w:hAnsi="Calibri" w:eastAsia="Calibri"/>
          <w:b w:val="0"/>
          <w:i w:val="0"/>
          <w:color w:val="1F2937"/>
          <w:sz w:val="19"/>
        </w:rPr>
        <w:t>Make reasonable assumptions when exact values are unknown. Good assumptions must be written clearly.</w:t>
      </w:r>
    </w:p>
    <w:p>
      <w:pPr>
        <w:pStyle w:val="ListBullet"/>
        <w:spacing w:after="40"/>
      </w:pPr>
      <w:r>
        <w:rPr>
          <w:rFonts w:ascii="Calibri" w:hAnsi="Calibri" w:eastAsia="Calibri"/>
          <w:b w:val="0"/>
          <w:i w:val="0"/>
          <w:color w:val="1F2937"/>
          <w:sz w:val="19"/>
        </w:rPr>
        <w:t>The goal is not to guess a perfect industry configuration; the goal is to reason technically and justify the first infrastructure plan.</w:t>
      </w:r>
    </w:p>
    <w:p>
      <w:pPr>
        <w:pStyle w:val="ListBullet"/>
        <w:spacing w:after="40"/>
      </w:pPr>
      <w:r>
        <w:rPr>
          <w:rFonts w:ascii="Calibri" w:hAnsi="Calibri" w:eastAsia="Calibri"/>
          <w:b w:val="0"/>
          <w:i w:val="0"/>
          <w:color w:val="1F2937"/>
          <w:sz w:val="19"/>
        </w:rPr>
        <w:t>The final decisions from this workbook will be used again in CO2 AT2 and CO2 AT3.</w:t>
      </w:r>
    </w:p>
    <w:tbl>
      <w:tblPr>
        <w:tblW w:type="auto" w:w="0"/>
        <w:jc w:val="center"/>
        <w:tblLayout w:type="fixed"/>
        <w:tblLook w:firstColumn="1" w:firstRow="1" w:lastColumn="0" w:lastRow="0" w:noHBand="0" w:noVBand="1" w:val="04A0"/>
      </w:tblPr>
      <w:tblGrid>
        <w:gridCol w:w="10454"/>
      </w:tblGrid>
      <w:tr>
        <w:tc>
          <w:tcPr>
            <w:tcW w:type="dxa" w:w="10296"/>
            <w:shd w:fill="FFF7ED"/>
            <w:tcBorders>
              <w:top w:val="single" w:sz="6" w:space="0" w:color="E9A15D"/>
              <w:left w:val="single" w:sz="6" w:space="0" w:color="E9A15D"/>
              <w:bottom w:val="single" w:sz="6" w:space="0" w:color="E9A15D"/>
              <w:right w:val="single" w:sz="6" w:space="0" w:color="E9A15D"/>
            </w:tcBorders>
          </w:tcPr>
          <w:p>
            <w:r>
              <w:rPr>
                <w:rFonts w:ascii="Calibri" w:hAnsi="Calibri" w:eastAsia="Calibri"/>
                <w:b/>
                <w:i w:val="0"/>
                <w:color w:val="8A4B18"/>
                <w:sz w:val="19"/>
              </w:rPr>
              <w:t>Technical Tip</w:t>
            </w:r>
          </w:p>
          <w:p>
            <w:r>
              <w:rPr>
                <w:rFonts w:ascii="Calibri" w:hAnsi="Calibri" w:eastAsia="Calibri"/>
                <w:b w:val="0"/>
                <w:i w:val="0"/>
                <w:color w:val="1F2937"/>
                <w:sz w:val="18"/>
              </w:rPr>
              <w:t>A good infrastructure estimate is transparent. If a number is assumed, write why it is assumed. If a number is calculated, show the formula. If a service is selected, justify why it fits the workload.</w:t>
            </w:r>
          </w:p>
        </w:tc>
      </w:tr>
    </w:tbl>
    <w:p>
      <w:pPr>
        <w:spacing w:before="160" w:after="80"/>
      </w:pPr>
      <w:r>
        <w:rPr>
          <w:rFonts w:ascii="Calibri" w:hAnsi="Calibri" w:eastAsia="Calibri"/>
          <w:b/>
          <w:i w:val="0"/>
          <w:color w:val="1F4E79"/>
          <w:sz w:val="28"/>
        </w:rPr>
        <w:t>Student and Capstone Details</w:t>
      </w:r>
    </w:p>
    <w:tbl>
      <w:tblPr>
        <w:tblW w:type="auto" w:w="0"/>
        <w:jc w:val="center"/>
        <w:tblLayout w:type="fixed"/>
        <w:tblLook w:firstColumn="1" w:firstRow="1" w:lastColumn="0" w:lastRow="0" w:noHBand="0" w:noVBand="1" w:val="04A0"/>
      </w:tblPr>
      <w:tblGrid>
        <w:gridCol w:w="5227"/>
        <w:gridCol w:w="5227"/>
      </w:tblGrid>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Student Name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Register Number</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Class / Slot</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Slot B</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Capstone Title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SafeWalk – Cloud Route Intelligence Using Crowd Reports and Risk Heatmaps</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Capstone Product Type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Web app / Android app / iOS app / Hybrid app</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CO1 Architecture Reference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Concept map from CO1: SafeWalk system architecture (add GitHub repo link here)</w:t>
            </w:r>
          </w:p>
        </w:tc>
      </w:tr>
    </w:tbl>
    <w:p>
      <w:pPr>
        <w:spacing w:before="160" w:after="80"/>
      </w:pPr>
      <w:r>
        <w:rPr>
          <w:rFonts w:ascii="Calibri" w:hAnsi="Calibri" w:eastAsia="Calibri"/>
          <w:b/>
          <w:i w:val="0"/>
          <w:color w:val="1F4E79"/>
          <w:sz w:val="28"/>
        </w:rPr>
        <w:t>Activity 1: Bring Forward CO1 Capstone Context</w:t>
      </w:r>
    </w:p>
    <w:p>
      <w:pPr>
        <w:spacing w:after="80" w:before="0" w:line="264" w:lineRule="auto"/>
      </w:pPr>
      <w:r>
        <w:rPr>
          <w:rFonts w:ascii="Calibri" w:hAnsi="Calibri" w:eastAsia="Calibri"/>
          <w:b w:val="0"/>
          <w:i w:val="0"/>
          <w:color w:val="1F2937"/>
          <w:sz w:val="20"/>
        </w:rPr>
        <w:t>Start with the cloud product idea already used in CO1. The infrastructure plan must support that same application, not a new unrelated example.</w:t>
      </w:r>
    </w:p>
    <w:tbl>
      <w:tblPr>
        <w:tblW w:type="auto" w:w="0"/>
        <w:jc w:val="center"/>
        <w:tblLayout w:type="fixed"/>
        <w:tblLook w:firstColumn="1" w:firstRow="1" w:lastColumn="0" w:lastRow="0" w:noHBand="0" w:noVBand="1" w:val="04A0"/>
      </w:tblPr>
      <w:tblGrid>
        <w:gridCol w:w="5227"/>
        <w:gridCol w:w="5227"/>
      </w:tblGrid>
      <w:tr>
        <w:tc>
          <w:tcPr>
            <w:tcW w:type="dxa" w:w="345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Capstone Element</w:t>
            </w:r>
          </w:p>
        </w:tc>
        <w:tc>
          <w:tcPr>
            <w:tcW w:type="dxa" w:w="684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Student Entry</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Primary users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Pedestrians and commuters travelling through unfamiliar, poorly lit, or high-risk areas (students, night-shift workers, delivery staff, women commuters); local safety/campus authorities monitoring hotspot trends.</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User roles</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Commuter/Reporter (submits crowd incident reports, views heatmap and safe routes); Verified Moderator (reviews and validates flagged reports); Admin (manages risk zones, moderates data, views analytics).</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Main modules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User registration/login, crowd incident reporting (with optional photo), risk heatmap visualization, safe route recommendation engine, real-time alert/notification module, admin moderation dashboard, analytics/reporting module.</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Cloud services identified in CO1</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Cloud-hosted VM for backend API, managed relational database with geospatial extension (PostGIS) for report/location data, object storage for uploaded incident photos, Maps/Directions API for routing, push notification service for alerts.</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API/backend need</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REST API for report submission/retrieval, authentication (JWT-based), route calculation that re-weights map directions using nearby risk scores, and endpoints for the moderation/analytics dashboard.</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Database need</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Geospatial relational database (PostgreSQL + PostGIS) storing user accounts, incident reports (location, category, severity, timestamp), route history and cached heatmap grid data.</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File upload/storage need</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Yes — users can attach photo evidence to incident reports; images are stored in object storage, not the VM disk, and only a reference URL is kept in the database.</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Analytics/AI/Python module</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Python-based risk-scoring module that converts raw crowd reports into a density-based risk heatmap (time-decay weighted), and recalculates route risk-cost for the recommendation engine; a lighter analytics job aggregates trends for the admin dashboard.</w:t>
            </w:r>
          </w:p>
        </w:tc>
      </w:tr>
    </w:tbl>
    <w:p>
      <w:pPr>
        <w:spacing w:before="160" w:after="80"/>
      </w:pPr>
      <w:r>
        <w:rPr>
          <w:rFonts w:ascii="Calibri" w:hAnsi="Calibri" w:eastAsia="Calibri"/>
          <w:b/>
          <w:i w:val="0"/>
          <w:color w:val="1F4E79"/>
          <w:sz w:val="28"/>
        </w:rPr>
        <w:t>Activity 2: Workload Classification</w:t>
      </w:r>
    </w:p>
    <w:p>
      <w:pPr>
        <w:spacing w:after="80" w:before="0" w:line="264" w:lineRule="auto"/>
      </w:pPr>
      <w:r>
        <w:rPr>
          <w:rFonts w:ascii="Calibri" w:hAnsi="Calibri" w:eastAsia="Calibri"/>
          <w:b w:val="0"/>
          <w:i w:val="0"/>
          <w:color w:val="1F2937"/>
          <w:sz w:val="20"/>
        </w:rPr>
        <w:t>Classify the capstone workload before selecting a VM. A form-based SaaS app and an AI analytics app should not receive the same infrastructure plan.</w:t>
      </w:r>
    </w:p>
    <w:tbl>
      <w:tblPr>
        <w:tblW w:type="auto" w:w="0"/>
        <w:jc w:val="center"/>
        <w:tblLayout w:type="fixed"/>
        <w:tblLook w:firstColumn="1" w:firstRow="1" w:lastColumn="0" w:lastRow="0" w:noHBand="0" w:noVBand="1" w:val="04A0"/>
      </w:tblPr>
      <w:tblGrid>
        <w:gridCol w:w="3485"/>
        <w:gridCol w:w="3485"/>
        <w:gridCol w:w="3485"/>
      </w:tblGrid>
      <w:tr>
        <w:tc>
          <w:tcPr>
            <w:tcW w:type="dxa" w:w="244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Workload Type</w:t>
            </w:r>
          </w:p>
        </w:tc>
        <w:tc>
          <w:tcPr>
            <w:tcW w:type="dxa" w:w="439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Typical Signals</w:t>
            </w:r>
          </w:p>
        </w:tc>
        <w:tc>
          <w:tcPr>
            <w:tcW w:type="dxa" w:w="345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Starting VM Guidance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Light web / form app</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Login, CRUD, simple reports, low file upload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1-2 vCPU, 2-4 GB RAM</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API backend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Authentication, REST APIs, moderate concurrent requests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2 vCPU, 4-8 GB RAM</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Database-heavy app</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Search, many records, frequent writes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2-4 vCPU, 8-16 GB RAM</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File-heavy app</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Images, PDFs, uploads, downloads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2 vCPU, 4-8 GB RAM + separate object storage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Analytics app</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Dashboards, aggregation, batch reports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4 vCPU, 16 GB RAM</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AI/Python module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Prediction, NLP, image/text processing</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4-8 vCPU, 16-32 GB RAM; GPU optional</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High traffic app</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Large user base and peak demand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Multiple VMs or autoscaling group</w:t>
            </w:r>
          </w:p>
        </w:tc>
      </w:tr>
    </w:tbl>
    <w:tbl>
      <w:tblPr>
        <w:tblW w:type="auto" w:w="0"/>
        <w:jc w:val="center"/>
        <w:tblLayout w:type="fixed"/>
        <w:tblLook w:firstColumn="1" w:firstRow="1" w:lastColumn="0" w:lastRow="0" w:noHBand="0" w:noVBand="1" w:val="04A0"/>
      </w:tblPr>
      <w:tblGrid>
        <w:gridCol w:w="10454"/>
      </w:tblGrid>
      <w:tr>
        <w:tc>
          <w:tcPr>
            <w:tcW w:type="dxa" w:w="10296"/>
            <w:shd w:fill="FFF7ED"/>
            <w:tcBorders>
              <w:top w:val="single" w:sz="6" w:space="0" w:color="E9A15D"/>
              <w:left w:val="single" w:sz="6" w:space="0" w:color="E9A15D"/>
              <w:bottom w:val="single" w:sz="6" w:space="0" w:color="E9A15D"/>
              <w:right w:val="single" w:sz="6" w:space="0" w:color="E9A15D"/>
            </w:tcBorders>
          </w:tcPr>
          <w:p>
            <w:r>
              <w:rPr>
                <w:rFonts w:ascii="Calibri" w:hAnsi="Calibri" w:eastAsia="Calibri"/>
                <w:b/>
                <w:i w:val="0"/>
                <w:color w:val="8A4B18"/>
                <w:sz w:val="19"/>
              </w:rPr>
              <w:t>Technical Tip</w:t>
            </w:r>
          </w:p>
          <w:p>
            <w:r>
              <w:rPr>
                <w:rFonts w:ascii="Calibri" w:hAnsi="Calibri" w:eastAsia="Calibri"/>
                <w:b w:val="0"/>
                <w:i w:val="0"/>
                <w:color w:val="1F2937"/>
                <w:sz w:val="18"/>
              </w:rPr>
              <w:t>Start small for prototype, but do not hide growth. A valid answer can say: prototype uses one VM, pilot separates database, production uses load balancing and managed services.</w:t>
            </w:r>
          </w:p>
        </w:tc>
      </w:tr>
    </w:tbl>
    <w:tbl>
      <w:tblPr>
        <w:tblW w:type="auto" w:w="0"/>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9"/>
              </w:rPr>
              <w:t>Student Decision: My capstone workload type and reason</w:t>
            </w:r>
          </w:p>
          <w:p>
            <w:r>
              <w:t>SafeWalk is primarily a Database-heavy app with an Analytics/AI module layered on top: every report is a geospatial write, and every route request triggers a geospatial read plus a risk-score lookup near the user's path. On top of that, the risk-heatmap generation and time-decay recalculation are analytics/AI workloads that run continuously in the background. Signals: frequent writes (new reports), frequent geo-queries (nearby risk lookup), moderate REST API traffic during commute peak hours, and recurring aggregation jobs. Starting point: begin with a single API+DB VM for the prototype, then separate the database and move the risk-scoring job to its own service as usage grows.</w:t>
            </w:r>
          </w:p>
          <w:p/>
          <w:p/>
          <w:p/>
          <w:p/>
        </w:tc>
      </w:tr>
    </w:tbl>
    <w:p>
      <w:pPr>
        <w:spacing w:before="160" w:after="80"/>
      </w:pPr>
      <w:r>
        <w:rPr>
          <w:rFonts w:ascii="Calibri" w:hAnsi="Calibri" w:eastAsia="Calibri"/>
          <w:b/>
          <w:i w:val="0"/>
          <w:color w:val="1F4E79"/>
          <w:sz w:val="28"/>
        </w:rPr>
        <w:t>Activity 3: User and Traffic Calibration</w:t>
      </w:r>
    </w:p>
    <w:p>
      <w:pPr>
        <w:spacing w:after="80" w:before="0" w:line="264" w:lineRule="auto"/>
      </w:pPr>
      <w:r>
        <w:rPr>
          <w:rFonts w:ascii="Calibri" w:hAnsi="Calibri" w:eastAsia="Calibri"/>
          <w:b w:val="0"/>
          <w:i w:val="0"/>
          <w:color w:val="1F2937"/>
          <w:sz w:val="20"/>
        </w:rPr>
        <w:t>Use the following formulas to convert user assumptions into approximate traffic.</w:t>
      </w:r>
    </w:p>
    <w:tbl>
      <w:tblPr>
        <w:tblW w:type="auto" w:w="0"/>
        <w:jc w:val="center"/>
        <w:tblLayout w:type="fixed"/>
        <w:tblLook w:firstColumn="1" w:firstRow="1" w:lastColumn="0" w:lastRow="0" w:noHBand="0" w:noVBand="1" w:val="04A0"/>
      </w:tblPr>
      <w:tblGrid>
        <w:gridCol w:w="3485"/>
        <w:gridCol w:w="3485"/>
        <w:gridCol w:w="3485"/>
      </w:tblGrid>
      <w:tr>
        <w:tc>
          <w:tcPr>
            <w:tcW w:type="dxa" w:w="237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Metric</w:t>
            </w:r>
          </w:p>
        </w:tc>
        <w:tc>
          <w:tcPr>
            <w:tcW w:type="dxa" w:w="453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Formula</w:t>
            </w:r>
          </w:p>
        </w:tc>
        <w:tc>
          <w:tcPr>
            <w:tcW w:type="dxa" w:w="338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Example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Concurrent Active Users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Registered Users x Active User % x Peak Factor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500 x 10% x 2 = 100</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Requests per Minute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Concurrent Active Users x Actions per User per Minute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100 x 2 = 200</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Requests per Second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Requests per Minute / 60</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200 / 60 = 3.33 RPS</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Daily Requests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Daily Active Users x Avg Actions per Day</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200 x 30 = 6000</w:t>
            </w:r>
          </w:p>
        </w:tc>
      </w:tr>
    </w:tbl>
    <w:tbl>
      <w:tblPr>
        <w:tblW w:type="auto" w:w="0"/>
        <w:jc w:val="center"/>
        <w:tblLayout w:type="fixed"/>
        <w:tblLook w:firstColumn="1" w:firstRow="1" w:lastColumn="0" w:lastRow="0" w:noHBand="0" w:noVBand="1" w:val="04A0"/>
      </w:tblPr>
      <w:tblGrid>
        <w:gridCol w:w="3485"/>
        <w:gridCol w:w="3485"/>
        <w:gridCol w:w="3485"/>
      </w:tblGrid>
      <w:tr>
        <w:tc>
          <w:tcPr>
            <w:tcW w:type="dxa" w:w="33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Input</w:t>
            </w:r>
          </w:p>
        </w:tc>
        <w:tc>
          <w:tcPr>
            <w:tcW w:type="dxa" w:w="187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Value</w:t>
            </w:r>
          </w:p>
        </w:tc>
        <w:tc>
          <w:tcPr>
            <w:tcW w:type="dxa" w:w="51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Reason / Assumption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Registered users expected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3,000</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Assumed pilot scale: one city zone / campus community for the first release.</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Active user percentage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10%</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Only users actively commuting/checking the app at a given time are 'active'; most registered users are idle most of the day.</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Peak factor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Morning and evening commute hours create a clear peak versus the rest of the day.</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Actions per user per minute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Average user checks the heatmap/route once and refreshes it about once more per minute while walking; occasional report submission is rarer and averaged in.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Calculated RPS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20 RPS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Concurrent Active Users = 3,000 x 10% x 2 = 600. Requests/Minute = 600 x 2 = 1,200. Requests/Second = 1,200 / 60 = 20 RPS.</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Daily active users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900</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Assumed 30% of registered users open the app at least once per day (higher than the instantaneous active % since it counts the whole day, not one peak moment).</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Daily requests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18,000</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Daily Requests = Daily Active Users x Avg Actions per Day = 900 x 20 = 18,000 (heatmap views, route requests, occasional report submissions).</w:t>
            </w:r>
          </w:p>
        </w:tc>
      </w:tr>
    </w:tbl>
    <w:p>
      <w:pPr>
        <w:spacing w:before="160" w:after="80"/>
      </w:pPr>
      <w:r>
        <w:rPr>
          <w:rFonts w:ascii="Calibri" w:hAnsi="Calibri" w:eastAsia="Calibri"/>
          <w:b/>
          <w:i w:val="0"/>
          <w:color w:val="1F4E79"/>
          <w:sz w:val="28"/>
        </w:rPr>
        <w:t>Activity 4: CPU Calibration</w:t>
      </w:r>
    </w:p>
    <w:p>
      <w:pPr>
        <w:spacing w:after="80" w:before="0" w:line="264" w:lineRule="auto"/>
      </w:pPr>
      <w:r>
        <w:rPr>
          <w:rFonts w:ascii="Calibri" w:hAnsi="Calibri" w:eastAsia="Calibri"/>
          <w:b w:val="0"/>
          <w:i w:val="0"/>
          <w:color w:val="1F2937"/>
          <w:sz w:val="20"/>
        </w:rPr>
        <w:t>CPU sizing depends on request rate and processing complexity. Use the score below as a guided estimate.</w:t>
      </w:r>
    </w:p>
    <w:tbl>
      <w:tblPr>
        <w:tblW w:type="auto" w:w="0"/>
        <w:jc w:val="center"/>
        <w:tblLayout w:type="fixed"/>
        <w:tblLook w:firstColumn="1" w:firstRow="1" w:lastColumn="0" w:lastRow="0" w:noHBand="0" w:noVBand="1" w:val="04A0"/>
      </w:tblPr>
      <w:tblGrid>
        <w:gridCol w:w="5227"/>
        <w:gridCol w:w="5227"/>
      </w:tblGrid>
      <w:tr>
        <w:tc>
          <w:tcPr>
            <w:tcW w:type="dxa" w:w="69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CPU Driver</w:t>
            </w:r>
          </w:p>
        </w:tc>
        <w:tc>
          <w:tcPr>
            <w:tcW w:type="dxa" w:w="338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Score</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Base web/API application</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Authentication and role management</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Moderate API traffic above 5 RPS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Database-heavy search or reporting</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 to +2</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Background jobs or notifications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Analytics or dashboards</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AI/Python inference inside server</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 to +4</w:t>
            </w:r>
          </w:p>
        </w:tc>
      </w:tr>
    </w:tbl>
    <w:tbl>
      <w:tblPr>
        <w:tblW w:type="auto" w:w="0"/>
        <w:jc w:val="center"/>
        <w:tblLayout w:type="fixed"/>
        <w:tblLook w:firstColumn="1" w:firstRow="1" w:lastColumn="0" w:lastRow="0" w:noHBand="0" w:noVBand="1" w:val="04A0"/>
      </w:tblPr>
      <w:tblGrid>
        <w:gridCol w:w="5227"/>
        <w:gridCol w:w="5227"/>
      </w:tblGrid>
      <w:tr>
        <w:tc>
          <w:tcPr>
            <w:tcW w:type="dxa" w:w="432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Total CPU Score</w:t>
            </w:r>
          </w:p>
        </w:tc>
        <w:tc>
          <w:tcPr>
            <w:tcW w:type="dxa" w:w="597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Recommended vCPU</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1-2</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1-2 vCPU</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3-4</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 vCPU</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5-6</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4 vCPU</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7-9</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4-8 vCPU or separate analytics/AI service</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10+</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Scale out with multiple VMs or managed compute</w:t>
            </w:r>
          </w:p>
        </w:tc>
      </w:tr>
    </w:tbl>
    <w:tbl>
      <w:tblPr>
        <w:tblW w:type="auto" w:w="0"/>
        <w:jc w:val="center"/>
        <w:tblLayout w:type="fixed"/>
        <w:tblLook w:firstColumn="1" w:firstRow="1" w:lastColumn="0" w:lastRow="0" w:noHBand="0" w:noVBand="1" w:val="04A0"/>
      </w:tblPr>
      <w:tblGrid>
        <w:gridCol w:w="3485"/>
        <w:gridCol w:w="3485"/>
        <w:gridCol w:w="3485"/>
      </w:tblGrid>
      <w:tr>
        <w:tc>
          <w:tcPr>
            <w:tcW w:type="dxa" w:w="374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CPU Driver Selected</w:t>
            </w:r>
          </w:p>
        </w:tc>
        <w:tc>
          <w:tcPr>
            <w:tcW w:type="dxa" w:w="129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Score</w:t>
            </w:r>
          </w:p>
        </w:tc>
        <w:tc>
          <w:tcPr>
            <w:tcW w:type="dxa" w:w="525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Reason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Base web/API application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Every deployment needs a base web/API application to serve requests.</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Authentication and roles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Login/signup plus three distinct roles (Commuter, Moderator, Admin) require auth and role checks on most endpoints.</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API traffic</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Calculated peak load is ~20 RPS, above the 5 RPS moderate-traffic threshold.</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Database/search/reporting</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Nearly every request (route lookup, heatmap tile, nearby report search) is a geospatial database query, and incident reports are frequent writes.</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Background jobs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Scheduled jobs recompute the risk heatmap, decay old reports, and dispatch nearby-incident push notifications.</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Analytics/dashboard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Admin dashboard aggregates report volume, hotspot trends and route usage over time.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AI/Python module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The risk-scoring/heatmap-clustering logic is a Python inference-style workload (kernel density scoring over report points).</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Total CPU Score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9</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Sum of all selected drivers: 1+1+1+2+1+2+2 = 9.</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Recommended vCPU</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4-8 vCPU or separate analytics/AI service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Score of 9 falls in the 7-9 band; the plan is to keep the API VM at 4 vCPU and move the heatmap/risk-scoring job to its own small container/service rather than growing one VM further.</w:t>
            </w:r>
          </w:p>
        </w:tc>
      </w:tr>
    </w:tbl>
    <w:p>
      <w:pPr>
        <w:spacing w:before="160" w:after="80"/>
      </w:pPr>
      <w:r>
        <w:rPr>
          <w:rFonts w:ascii="Calibri" w:hAnsi="Calibri" w:eastAsia="Calibri"/>
          <w:b/>
          <w:i w:val="0"/>
          <w:color w:val="1F4E79"/>
          <w:sz w:val="28"/>
        </w:rPr>
        <w:t>Activity 5: RAM Calibration</w:t>
      </w:r>
    </w:p>
    <w:p>
      <w:pPr>
        <w:spacing w:after="80" w:before="0" w:line="264" w:lineRule="auto"/>
      </w:pPr>
      <w:r>
        <w:rPr>
          <w:rFonts w:ascii="Calibri" w:hAnsi="Calibri" w:eastAsia="Calibri"/>
          <w:b w:val="0"/>
          <w:i w:val="0"/>
          <w:color w:val="1F2937"/>
          <w:sz w:val="20"/>
        </w:rPr>
        <w:t>RAM must include operating system, runtime, application process, database/cache and a safety buffer.</w:t>
      </w:r>
    </w:p>
    <w:tbl>
      <w:tblPr>
        <w:tblW w:type="auto" w:w="0"/>
        <w:jc w:val="center"/>
        <w:tblLayout w:type="fixed"/>
        <w:tblLook w:firstColumn="1" w:firstRow="1" w:lastColumn="0" w:lastRow="0" w:noHBand="0" w:noVBand="1" w:val="04A0"/>
      </w:tblPr>
      <w:tblGrid>
        <w:gridCol w:w="10454"/>
      </w:tblGrid>
      <w:tr>
        <w:tc>
          <w:tcPr>
            <w:tcW w:type="dxa" w:w="10296"/>
            <w:shd w:fill="FFF7ED"/>
            <w:tcBorders>
              <w:top w:val="single" w:sz="6" w:space="0" w:color="E9A15D"/>
              <w:left w:val="single" w:sz="6" w:space="0" w:color="E9A15D"/>
              <w:bottom w:val="single" w:sz="6" w:space="0" w:color="E9A15D"/>
              <w:right w:val="single" w:sz="6" w:space="0" w:color="E9A15D"/>
            </w:tcBorders>
          </w:tcPr>
          <w:p>
            <w:r>
              <w:rPr>
                <w:rFonts w:ascii="Calibri" w:hAnsi="Calibri" w:eastAsia="Calibri"/>
                <w:b/>
                <w:i w:val="0"/>
                <w:color w:val="8A4B18"/>
                <w:sz w:val="19"/>
              </w:rPr>
              <w:t>RAM Formula</w:t>
            </w:r>
          </w:p>
          <w:p>
            <w:r>
              <w:rPr>
                <w:rFonts w:ascii="Calibri" w:hAnsi="Calibri" w:eastAsia="Calibri"/>
                <w:b w:val="0"/>
                <w:i w:val="0"/>
                <w:color w:val="1F2937"/>
                <w:sz w:val="18"/>
              </w:rPr>
              <w:t>Estimated RAM = OS/runtime + app/API + database/cache + analytics/AI + 25% buffer. If database is managed separately, do not include full database memory in the app VM.</w:t>
            </w:r>
          </w:p>
        </w:tc>
      </w:tr>
    </w:tbl>
    <w:tbl>
      <w:tblPr>
        <w:tblW w:type="auto" w:w="0"/>
        <w:jc w:val="center"/>
        <w:tblLayout w:type="fixed"/>
        <w:tblLook w:firstColumn="1" w:firstRow="1" w:lastColumn="0" w:lastRow="0" w:noHBand="0" w:noVBand="1" w:val="04A0"/>
      </w:tblPr>
      <w:tblGrid>
        <w:gridCol w:w="3485"/>
        <w:gridCol w:w="3485"/>
        <w:gridCol w:w="3485"/>
      </w:tblGrid>
      <w:tr>
        <w:tc>
          <w:tcPr>
            <w:tcW w:type="dxa" w:w="302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Component</w:t>
            </w:r>
          </w:p>
        </w:tc>
        <w:tc>
          <w:tcPr>
            <w:tcW w:type="dxa" w:w="432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Guidance</w:t>
            </w:r>
          </w:p>
        </w:tc>
        <w:tc>
          <w:tcPr>
            <w:tcW w:type="dxa" w:w="295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Student Estimate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OS + runtime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1-2 GB</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1.5 GB</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Web/API service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1-2 GB</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 GB (upper end, ~20 RPS peak)</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Small database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2-4 GB</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0 GB — excluded; database is a separate managed instance, not run on the app VM</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Medium database/cache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4-8 GB</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 GB — small Redis cache on the app VM for hot heatmap tiles only (not the full database)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Analytics/reporting</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4-8 GB extra</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4 GB</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AI/Python module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4-16 GB extra</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6 GB (risk-scoring/heatmap clustering service)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25% buffer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Subtotal x 0.25</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3.6 GB (Subtotal 14.5 GB x 0.25)</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7"/>
              </w:rPr>
              <w:t>Final RAM</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Round up to standard size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~18.1 GB -&gt; round up to 24 GB standard app-VM size</w:t>
            </w:r>
          </w:p>
        </w:tc>
      </w:tr>
    </w:tbl>
    <w:p>
      <w:pPr>
        <w:spacing w:before="160" w:after="80"/>
      </w:pPr>
      <w:r>
        <w:rPr>
          <w:rFonts w:ascii="Calibri" w:hAnsi="Calibri" w:eastAsia="Calibri"/>
          <w:b/>
          <w:i w:val="0"/>
          <w:color w:val="1F4E79"/>
          <w:sz w:val="28"/>
        </w:rPr>
        <w:t>Activity 6: Storage Calibration</w:t>
      </w:r>
    </w:p>
    <w:p>
      <w:pPr>
        <w:spacing w:after="80" w:before="0" w:line="264" w:lineRule="auto"/>
      </w:pPr>
      <w:r>
        <w:rPr>
          <w:rFonts w:ascii="Calibri" w:hAnsi="Calibri" w:eastAsia="Calibri"/>
          <w:b w:val="0"/>
          <w:i w:val="0"/>
          <w:color w:val="1F2937"/>
          <w:sz w:val="20"/>
        </w:rPr>
        <w:t>Storage must cover application files, database records, uploads, logs and backup/growth buffer.</w:t>
      </w:r>
    </w:p>
    <w:tbl>
      <w:tblPr>
        <w:tblW w:type="auto" w:w="0"/>
        <w:jc w:val="center"/>
        <w:tblLayout w:type="fixed"/>
        <w:tblLook w:firstColumn="1" w:firstRow="1" w:lastColumn="0" w:lastRow="0" w:noHBand="0" w:noVBand="1" w:val="04A0"/>
      </w:tblPr>
      <w:tblGrid>
        <w:gridCol w:w="3485"/>
        <w:gridCol w:w="3485"/>
        <w:gridCol w:w="3485"/>
      </w:tblGrid>
      <w:tr>
        <w:tc>
          <w:tcPr>
            <w:tcW w:type="dxa" w:w="288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Storage Item</w:t>
            </w:r>
          </w:p>
        </w:tc>
        <w:tc>
          <w:tcPr>
            <w:tcW w:type="dxa" w:w="51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Formula / Guidance</w:t>
            </w:r>
          </w:p>
        </w:tc>
        <w:tc>
          <w:tcPr>
            <w:tcW w:type="dxa" w:w="230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Student Estimate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OS and application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20-40 GB</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30 GB</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Database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Avg record KB x records/day x days x 1.3 / 1024 MB</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~0.45 GB (2 KB/record x 500 records/day x 365 days x 1.3 / 1024 = 463 MB) — kept on the managed DB, not the app VM disk</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File uploads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Avg file MB x files/day x days x 1.3</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~104 GB on OBJECT STORAGE, not VM disk (1.5 MB/photo x 150 photos/day x 365 days x 1.3 / 1024 = 106.8 GB) — per the tip below</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Logs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Requests/day x log KB x days / 1024 MB</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~1.55 GB (18,000 req/day x 1 KB x 90 days retention / 1024)</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Backup/growth buffer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Subtotal x 30%</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~9.6 GB (30% of the 32 GB VM-disk subtotal: OS 30 GB + logs 1.55 GB, DB excluded)</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Final storage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Round up to standard disk size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50 GB app-VM disk (round up from ~41.6 GB) + separate ~110 GB object-storage bucket for photos, sized with headroom for growth</w:t>
            </w:r>
          </w:p>
        </w:tc>
      </w:tr>
    </w:tbl>
    <w:tbl>
      <w:tblPr>
        <w:tblW w:type="auto" w:w="0"/>
        <w:jc w:val="center"/>
        <w:tblLayout w:type="fixed"/>
        <w:tblLook w:firstColumn="1" w:firstRow="1" w:lastColumn="0" w:lastRow="0" w:noHBand="0" w:noVBand="1" w:val="04A0"/>
      </w:tblPr>
      <w:tblGrid>
        <w:gridCol w:w="10454"/>
      </w:tblGrid>
      <w:tr>
        <w:tc>
          <w:tcPr>
            <w:tcW w:type="dxa" w:w="10296"/>
            <w:shd w:fill="FFF7ED"/>
            <w:tcBorders>
              <w:top w:val="single" w:sz="6" w:space="0" w:color="E9A15D"/>
              <w:left w:val="single" w:sz="6" w:space="0" w:color="E9A15D"/>
              <w:bottom w:val="single" w:sz="6" w:space="0" w:color="E9A15D"/>
              <w:right w:val="single" w:sz="6" w:space="0" w:color="E9A15D"/>
            </w:tcBorders>
          </w:tcPr>
          <w:p>
            <w:r>
              <w:rPr>
                <w:rFonts w:ascii="Calibri" w:hAnsi="Calibri" w:eastAsia="Calibri"/>
                <w:b/>
                <w:i w:val="0"/>
                <w:color w:val="8A4B18"/>
                <w:sz w:val="19"/>
              </w:rPr>
              <w:t>Technical Tip</w:t>
            </w:r>
          </w:p>
          <w:p>
            <w:r>
              <w:rPr>
                <w:rFonts w:ascii="Calibri" w:hAnsi="Calibri" w:eastAsia="Calibri"/>
                <w:b w:val="0"/>
                <w:i w:val="0"/>
                <w:color w:val="1F2937"/>
                <w:sz w:val="18"/>
              </w:rPr>
              <w:t>Do not store large uploads permanently inside the VM disk when object storage is available. VM disk is for OS and application. Object storage is better for images, PDFs, media and documents.</w:t>
            </w:r>
          </w:p>
        </w:tc>
      </w:tr>
    </w:tbl>
    <w:p>
      <w:pPr>
        <w:spacing w:before="160" w:after="80"/>
      </w:pPr>
      <w:r>
        <w:rPr>
          <w:rFonts w:ascii="Calibri" w:hAnsi="Calibri" w:eastAsia="Calibri"/>
          <w:b/>
          <w:i w:val="0"/>
          <w:color w:val="1F4E79"/>
          <w:sz w:val="28"/>
        </w:rPr>
        <w:t>Activity 7: Select the VM Plan</w:t>
      </w:r>
    </w:p>
    <w:tbl>
      <w:tblPr>
        <w:tblW w:type="auto" w:w="0"/>
        <w:jc w:val="center"/>
        <w:tblLayout w:type="fixed"/>
        <w:tblLook w:firstColumn="1" w:firstRow="1" w:lastColumn="0" w:lastRow="0" w:noHBand="0" w:noVBand="1" w:val="04A0"/>
      </w:tblPr>
      <w:tblGrid>
        <w:gridCol w:w="3485"/>
        <w:gridCol w:w="3485"/>
        <w:gridCol w:w="3485"/>
      </w:tblGrid>
      <w:tr>
        <w:tc>
          <w:tcPr>
            <w:tcW w:type="dxa" w:w="316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Plan</w:t>
            </w:r>
          </w:p>
        </w:tc>
        <w:tc>
          <w:tcPr>
            <w:tcW w:type="dxa" w:w="532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When It Fits</w:t>
            </w:r>
          </w:p>
        </w:tc>
        <w:tc>
          <w:tcPr>
            <w:tcW w:type="dxa" w:w="180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Student Choice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Single VM prototype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Small demo, simple app, low traffic</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Used for local dev/testing only</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Two-tier design</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App VM + managed/separate database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Selected for pilot: app VM + managed database, separated from day one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Three-tier design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Frontend, backend/API and database separated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Target for production growth (frontend / API / DB fully separated)</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Containerized backend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Microservices, portable API, CI/CD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Selected for the risk-scoring/heatmap service (portable, independently scalable)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Serverless function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Event-based task, notification, small automation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Selected for background jobs: notification dispatch and scheduled heatmap decay</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Managed database/storage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Reliability, backup and scaling required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Selected: managed PostgreSQL+PostGIS and managed object storage for photos</w:t>
            </w:r>
          </w:p>
        </w:tc>
      </w:tr>
    </w:tbl>
    <w:tbl>
      <w:tblPr>
        <w:tblW w:type="auto" w:w="0"/>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9"/>
              </w:rPr>
              <w:t>Final VM Plan: selected plan, vCPU, RAM, storage and reason</w:t>
            </w:r>
          </w:p>
          <w:p>
            <w:r>
              <w:t>Primary plan: Two-tier design for the pilot (Backend/API VM: 4 vCPU, 24 GB RAM, 50 GB disk) + a managed PostgreSQL/PostGIS database, growing into a three-tier design in production as the frontend, API and analytics/AI service are fully separated. The risk-scoring/heatmap service runs as its own small container (2 vCPU, 6-8 GB RAM) so it can scale or be scheduled independently of the API. Object storage (~110 GB, growing) holds uploaded incident photos instead of the VM disk. This keeps the core API lean while isolating the heavier geospatial and analytics workloads.</w:t>
            </w:r>
          </w:p>
          <w:p/>
          <w:p/>
          <w:p/>
          <w:p/>
        </w:tc>
      </w:tr>
    </w:tbl>
    <w:p>
      <w:pPr>
        <w:spacing w:before="160" w:after="80"/>
      </w:pPr>
      <w:r>
        <w:rPr>
          <w:rFonts w:ascii="Calibri" w:hAnsi="Calibri" w:eastAsia="Calibri"/>
          <w:b/>
          <w:i w:val="0"/>
          <w:color w:val="1F4E79"/>
          <w:sz w:val="28"/>
        </w:rPr>
        <w:t>Activity 8: Hypervisor and Virtualization Decision</w:t>
      </w:r>
    </w:p>
    <w:tbl>
      <w:tblPr>
        <w:tblW w:type="auto" w:w="0"/>
        <w:jc w:val="center"/>
        <w:tblLayout w:type="fixed"/>
        <w:tblLook w:firstColumn="1" w:firstRow="1" w:lastColumn="0" w:lastRow="0" w:noHBand="0" w:noVBand="1" w:val="04A0"/>
      </w:tblPr>
      <w:tblGrid>
        <w:gridCol w:w="3485"/>
        <w:gridCol w:w="3485"/>
        <w:gridCol w:w="3485"/>
      </w:tblGrid>
      <w:tr>
        <w:tc>
          <w:tcPr>
            <w:tcW w:type="dxa" w:w="259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Approach</w:t>
            </w:r>
          </w:p>
        </w:tc>
        <w:tc>
          <w:tcPr>
            <w:tcW w:type="dxa" w:w="40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Meaning</w:t>
            </w:r>
          </w:p>
        </w:tc>
        <w:tc>
          <w:tcPr>
            <w:tcW w:type="dxa" w:w="367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Best Use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Type 1 hypervisor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Runs directly on physical hardware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Production data center and cloud provider infrastructure</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Type 2 hypervisor</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Runs above an existing OS</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Student lab, local testing, VirtualBox/VMware Workstation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Cloud-managed virtualization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Cloud provider hides hypervisor details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Most public cloud VM deployments</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Container runtime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OS-level process isolation</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Lightweight APIs, microservices, fast deployment</w:t>
            </w:r>
          </w:p>
        </w:tc>
      </w:tr>
    </w:tbl>
    <w:tbl>
      <w:tblPr>
        <w:tblW w:type="auto" w:w="0"/>
        <w:jc w:val="center"/>
        <w:tblLayout w:type="fixed"/>
        <w:tblLook w:firstColumn="1" w:firstRow="1" w:lastColumn="0" w:lastRow="0" w:noHBand="0" w:noVBand="1" w:val="04A0"/>
      </w:tblPr>
      <w:tblGrid>
        <w:gridCol w:w="3485"/>
        <w:gridCol w:w="3485"/>
        <w:gridCol w:w="3485"/>
      </w:tblGrid>
      <w:tr>
        <w:tc>
          <w:tcPr>
            <w:tcW w:type="dxa" w:w="33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Context</w:t>
            </w:r>
          </w:p>
        </w:tc>
        <w:tc>
          <w:tcPr>
            <w:tcW w:type="dxa" w:w="273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Selected Approach</w:t>
            </w:r>
          </w:p>
        </w:tc>
        <w:tc>
          <w:tcPr>
            <w:tcW w:type="dxa" w:w="424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Justification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Local prototype/testing</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Type 2 hypervisor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Local development and demo runs on a laptop using VirtualBox/VMware Workstation — no cloud cost during early build/testing.</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Cloud pilot deployment</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Cloud-managed virtualization</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The cloud provider hides hypervisor management, so the pilot VM can be provisioned quickly alongside the managed database and object storage.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Production growth scenario</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Cloud-managed virtualization with autoscaling</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Commute-hour traffic spikes need extra capacity only during peak windows; autoscaling avoids paying for idle capacity the rest of the day.</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Module suitable for container</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Container runtime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7"/>
              </w:rPr>
              <w:t>The risk-scoring/heatmap job and the notification worker are stateless and lightweight, so containers give fast redeploys and easy horizontal scaling.</w:t>
            </w:r>
          </w:p>
        </w:tc>
      </w:tr>
    </w:tbl>
    <w:p>
      <w:pPr>
        <w:spacing w:before="160" w:after="80"/>
      </w:pPr>
      <w:r>
        <w:rPr>
          <w:rFonts w:ascii="Calibri" w:hAnsi="Calibri" w:eastAsia="Calibri"/>
          <w:b/>
          <w:i w:val="0"/>
          <w:color w:val="1F4E79"/>
          <w:sz w:val="28"/>
        </w:rPr>
        <w:t>Activity 9: Snapshot and Clone Strategy</w:t>
      </w:r>
    </w:p>
    <w:p>
      <w:pPr>
        <w:spacing w:after="80" w:before="0" w:line="264" w:lineRule="auto"/>
      </w:pPr>
      <w:r>
        <w:rPr>
          <w:rFonts w:ascii="Calibri" w:hAnsi="Calibri" w:eastAsia="Calibri"/>
          <w:b w:val="0"/>
          <w:i w:val="0"/>
          <w:color w:val="1F2937"/>
          <w:sz w:val="20"/>
        </w:rPr>
        <w:t>Snapshot protects a point in time. Clone creates a duplicate environment. Both are useful, but they are not the same.</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316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Event</w:t>
            </w:r>
          </w:p>
        </w:tc>
        <w:tc>
          <w:tcPr>
            <w:tcW w:type="dxa" w:w="216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Snapshot or Clone?</w:t>
            </w:r>
          </w:p>
        </w:tc>
        <w:tc>
          <w:tcPr>
            <w:tcW w:type="dxa" w:w="237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Frequency / Timing</w:t>
            </w:r>
          </w:p>
        </w:tc>
        <w:tc>
          <w:tcPr>
            <w:tcW w:type="dxa" w:w="259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Retention / Reason</w:t>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Before major deployment</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Snapshot</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Before every release to production</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Kept 7 days for quick rollback if the deployment breaks something</w:t>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Before database schema change</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Snapshot</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Before any migration that alters the report/route schema</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Retained until the migration is confirmed stable in production</w:t>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Before OS/package update</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Snapshot</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Before monthly OS/package patch cycle</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Retained 3 days after the update is confirmed working</w:t>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Before review/demo</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Snapshot</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Before each faculty review / stakeholder demo</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Kept until the review is complete, then discarded</w:t>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Create testing environment</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Clone</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Whenever a new risk-scoring algorithm needs isolated testing</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Temporary — deleted once the test cycle finishes</w:t>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Create team demo copy</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Clone</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Before a major milestone demo to the wider team</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Kept as a reference copy until the next major milestone</w:t>
            </w:r>
          </w:p>
        </w:tc>
      </w:tr>
    </w:tbl>
    <w:tbl>
      <w:tblPr>
        <w:tblW w:type="auto" w:w="0"/>
        <w:jc w:val="center"/>
        <w:tblLayout w:type="fixed"/>
        <w:tblLook w:firstColumn="1" w:firstRow="1" w:lastColumn="0" w:lastRow="0" w:noHBand="0" w:noVBand="1" w:val="04A0"/>
      </w:tblPr>
      <w:tblGrid>
        <w:gridCol w:w="10454"/>
      </w:tblGrid>
      <w:tr>
        <w:tc>
          <w:tcPr>
            <w:tcW w:type="dxa" w:w="10296"/>
            <w:shd w:fill="FFF7ED"/>
            <w:tcBorders>
              <w:top w:val="single" w:sz="6" w:space="0" w:color="E9A15D"/>
              <w:left w:val="single" w:sz="6" w:space="0" w:color="E9A15D"/>
              <w:bottom w:val="single" w:sz="6" w:space="0" w:color="E9A15D"/>
              <w:right w:val="single" w:sz="6" w:space="0" w:color="E9A15D"/>
            </w:tcBorders>
          </w:tcPr>
          <w:p>
            <w:r>
              <w:rPr>
                <w:rFonts w:ascii="Calibri" w:hAnsi="Calibri" w:eastAsia="Calibri"/>
                <w:b/>
                <w:i w:val="0"/>
                <w:color w:val="8A4B18"/>
                <w:sz w:val="19"/>
              </w:rPr>
              <w:t>Technical Tip</w:t>
            </w:r>
          </w:p>
          <w:p>
            <w:r>
              <w:rPr>
                <w:rFonts w:ascii="Calibri" w:hAnsi="Calibri" w:eastAsia="Calibri"/>
                <w:b w:val="0"/>
                <w:i w:val="0"/>
                <w:color w:val="1F2937"/>
                <w:sz w:val="18"/>
              </w:rPr>
              <w:t>A snapshot is useful for rollback. A clone is useful for parallel testing. A clone should not be treated as the only backup.</w:t>
            </w:r>
          </w:p>
        </w:tc>
      </w:tr>
    </w:tbl>
    <w:p>
      <w:pPr>
        <w:spacing w:before="160" w:after="80"/>
      </w:pPr>
      <w:r>
        <w:rPr>
          <w:rFonts w:ascii="Calibri" w:hAnsi="Calibri" w:eastAsia="Calibri"/>
          <w:b/>
          <w:i w:val="0"/>
          <w:color w:val="1F4E79"/>
          <w:sz w:val="28"/>
        </w:rPr>
        <w:t>Activity 10: VM vs Container Decision</w:t>
      </w:r>
    </w:p>
    <w:tbl>
      <w:tblPr>
        <w:tblW w:type="auto" w:w="0"/>
        <w:jc w:val="center"/>
        <w:tblLayout w:type="fixed"/>
        <w:tblLook w:firstColumn="1" w:firstRow="1" w:lastColumn="0" w:lastRow="0" w:noHBand="0" w:noVBand="1" w:val="04A0"/>
      </w:tblPr>
      <w:tblGrid>
        <w:gridCol w:w="3485"/>
        <w:gridCol w:w="3485"/>
        <w:gridCol w:w="3485"/>
      </w:tblGrid>
      <w:tr>
        <w:tc>
          <w:tcPr>
            <w:tcW w:type="dxa" w:w="22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Criteria</w:t>
            </w:r>
          </w:p>
        </w:tc>
        <w:tc>
          <w:tcPr>
            <w:tcW w:type="dxa" w:w="40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Virtual Machine</w:t>
            </w:r>
          </w:p>
        </w:tc>
        <w:tc>
          <w:tcPr>
            <w:tcW w:type="dxa" w:w="40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Container</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Isolation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Strong OS-level isolation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Process-level isolation</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Startup</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Slower</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Faster</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Resource use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Higher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Lower</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Best for</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Full OS, legacy app, database VM</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Microservices, APIs, portable services</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Portability</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Moderate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High</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Student use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Clear infrastructure learning</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Modern deployment learning</w:t>
            </w:r>
          </w:p>
        </w:tc>
      </w:tr>
    </w:tbl>
    <w:tbl>
      <w:tblPr>
        <w:tblW w:type="auto" w:w="0"/>
        <w:jc w:val="center"/>
        <w:tblLayout w:type="fixed"/>
        <w:tblLook w:firstColumn="1" w:firstRow="1" w:lastColumn="0" w:lastRow="0" w:noHBand="0" w:noVBand="1" w:val="04A0"/>
      </w:tblPr>
      <w:tblGrid>
        <w:gridCol w:w="3485"/>
        <w:gridCol w:w="3485"/>
        <w:gridCol w:w="3485"/>
      </w:tblGrid>
      <w:tr>
        <w:tc>
          <w:tcPr>
            <w:tcW w:type="dxa" w:w="288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Capstone Module</w:t>
            </w:r>
          </w:p>
        </w:tc>
        <w:tc>
          <w:tcPr>
            <w:tcW w:type="dxa" w:w="338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VM / Container / Managed Service</w:t>
            </w:r>
          </w:p>
        </w:tc>
        <w:tc>
          <w:tcPr>
            <w:tcW w:type="dxa" w:w="40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Reason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Frontend</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Managed Service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Static app/dashboard assets served via managed hosting/CDN — no server to manage, scales automatically.</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Backend/API</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Container</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Stateless REST API — containerized for fast deploys, portability, and easy scaling behind a load balancer.</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Database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Managed Service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Managed PostgreSQL+PostGIS removes patching/backup/replication overhead for geospatial data.</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File storage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Managed Service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Object storage is purpose-built for user-uploaded incident photos — durable, scalable, and cheaper than VM disk.</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AI/Python module</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Container</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Risk-scoring/heatmap clustering packaged as a container so it can be scheduled or scaled independently of the API.</w:t>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Analytics/dashboard</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Container</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Admin analytics dashboard runs as its own lightweight containerized service, decoupled from the core API.</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Notification/background jobs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Managed Service (serverless)</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t>Nearby-incident push notifications are event-driven and infrequent — a good fit for serverless functions.</w:t>
            </w:r>
          </w:p>
        </w:tc>
      </w:tr>
    </w:tbl>
    <w:p>
      <w:pPr>
        <w:spacing w:before="160" w:after="80"/>
      </w:pPr>
      <w:r>
        <w:rPr>
          <w:rFonts w:ascii="Calibri" w:hAnsi="Calibri" w:eastAsia="Calibri"/>
          <w:b/>
          <w:i w:val="0"/>
          <w:color w:val="1F4E79"/>
          <w:sz w:val="28"/>
        </w:rPr>
        <w:t>Activity 11: Final Recommendation</w:t>
      </w:r>
    </w:p>
    <w:tbl>
      <w:tblPr>
        <w:tblW w:type="auto" w:w="0"/>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9"/>
              </w:rPr>
              <w:t>Write the final infrastructure recommendation in 8-12 technical lines. Include VM size, hypervisor/virtualization approach, storage plan, snapshot/clone plan and VM-container decision.</w:t>
            </w:r>
          </w:p>
          <w:p>
            <w:r>
              <w:t>SafeWalk starts as a Two-tier deployment: one API VM sized at 4 vCPU, 24 GB RAM and a 50 GB disk, paired with a managed PostgreSQL+PostGIS database from day one so geospatial report data is never tied to a single VM's disk. Uploaded incident photos go to object storage (~110 GB, growing), keeping the VM disk lean. The risk-scoring/heatmap-generation module runs as a separate small container (2 vCPU, 6-8 GB RAM) so it can be scaled or rescheduled without touching the API tier, and notification dispatch runs as a serverless function since it is event-driven. Locally the team develops on a Type 2 hypervisor (VirtualBox), while the pilot and production environments run on cloud-managed virtualization, moving to an autoscaling group in production to absorb commute-hour traffic spikes. Snapshots are taken before every deployment, schema migration, OS patch and demo, each retained only as long as rollback protection is needed; clones are used only for isolated feature testing and team demo copies, never as the sole backup. As load grows, the design evolves toward a Three-tier architecture with the frontend, API and analytics/AI service fully separated behind a load balancer. Overall, VM/hypervisor choices are reserved for the stateful API and legacy-style workloads, while stateless, fast-changing pieces (risk scoring, dashboard, notifications) are containerized or serverless for portability and cost control.</w:t>
            </w:r>
          </w:p>
          <w:p/>
          <w:p/>
          <w:p/>
          <w:p/>
          <w:p/>
          <w:p/>
          <w:p/>
        </w:tc>
      </w:tr>
    </w:tbl>
    <w:p>
      <w:pPr>
        <w:spacing w:before="160" w:after="80"/>
      </w:pPr>
      <w:r>
        <w:rPr>
          <w:rFonts w:ascii="Calibri" w:hAnsi="Calibri" w:eastAsia="Calibri"/>
          <w:b/>
          <w:i w:val="0"/>
          <w:color w:val="1F4E79"/>
          <w:sz w:val="28"/>
        </w:rPr>
        <w:t>Carry-Forward to CO2 AT2 and CO2 AT3</w:t>
      </w:r>
    </w:p>
    <w:tbl>
      <w:tblPr>
        <w:tblW w:type="auto" w:w="0"/>
        <w:jc w:val="center"/>
        <w:tblLayout w:type="fixed"/>
        <w:tblLook w:firstColumn="1" w:firstRow="1" w:lastColumn="0" w:lastRow="0" w:noHBand="0" w:noVBand="1" w:val="04A0"/>
      </w:tblPr>
      <w:tblGrid>
        <w:gridCol w:w="5227"/>
        <w:gridCol w:w="5227"/>
      </w:tblGrid>
      <w:tr>
        <w:tc>
          <w:tcPr>
            <w:tcW w:type="dxa" w:w="40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Output from CO2 AT1</w:t>
            </w:r>
          </w:p>
        </w:tc>
        <w:tc>
          <w:tcPr>
            <w:tcW w:type="dxa" w:w="626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7"/>
              </w:rPr>
              <w:t>How It Will Be Used Later</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VM sizing values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Used as configuration target in CO2 AT2 practical evidence</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Hypervisor/virtualization choice</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Used to justify deployment environment</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Snapshot/clone plan</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Used as backup and testing evidence</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VM/container comparison</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Used in CO2 AT3 infrastructure design case</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7"/>
              </w:rPr>
              <w:t>Final recommendation</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7"/>
              </w:rPr>
              <w:t>Used as the capstone infrastructure baseline</w:t>
            </w:r>
          </w:p>
        </w:tc>
      </w:tr>
    </w:tbl>
    <w:p>
      <w:pPr>
        <w:spacing w:before="160" w:after="80"/>
      </w:pPr>
      <w:r>
        <w:rPr>
          <w:rFonts w:ascii="Calibri" w:hAnsi="Calibri" w:eastAsia="Calibri"/>
          <w:b/>
          <w:i w:val="0"/>
          <w:color w:val="1F4E79"/>
          <w:sz w:val="28"/>
        </w:rPr>
        <w:t>GitHub Submission Checklist</w:t>
      </w:r>
    </w:p>
    <w:p>
      <w:pPr>
        <w:pStyle w:val="ListBullet"/>
        <w:spacing w:after="40"/>
      </w:pPr>
      <w:r>
        <w:rPr>
          <w:rFonts w:ascii="Calibri" w:hAnsi="Calibri" w:eastAsia="Calibri"/>
          <w:b w:val="0"/>
          <w:i w:val="0"/>
          <w:color w:val="1F2937"/>
          <w:sz w:val="19"/>
        </w:rPr>
        <w:t>Completed workbook file.</w:t>
      </w:r>
    </w:p>
    <w:p>
      <w:pPr>
        <w:pStyle w:val="ListBullet"/>
        <w:spacing w:after="40"/>
      </w:pPr>
      <w:r>
        <w:rPr>
          <w:rFonts w:ascii="Calibri" w:hAnsi="Calibri" w:eastAsia="Calibri"/>
          <w:b w:val="0"/>
          <w:i w:val="0"/>
          <w:color w:val="1F2937"/>
          <w:sz w:val="19"/>
        </w:rPr>
        <w:t>README with capstone title, sizing summary and final recommendation.</w:t>
      </w:r>
    </w:p>
    <w:p>
      <w:pPr>
        <w:pStyle w:val="ListBullet"/>
        <w:spacing w:after="40"/>
      </w:pPr>
      <w:r>
        <w:rPr>
          <w:rFonts w:ascii="Calibri" w:hAnsi="Calibri" w:eastAsia="Calibri"/>
          <w:b w:val="0"/>
          <w:i w:val="0"/>
          <w:color w:val="1F2937"/>
          <w:sz w:val="19"/>
        </w:rPr>
        <w:t>Optional architecture diagram or table exported as image/PDF.</w:t>
      </w:r>
    </w:p>
    <w:p>
      <w:pPr>
        <w:pStyle w:val="ListBullet"/>
        <w:spacing w:after="40"/>
      </w:pPr>
      <w:r>
        <w:rPr>
          <w:rFonts w:ascii="Calibri" w:hAnsi="Calibri" w:eastAsia="Calibri"/>
          <w:b w:val="0"/>
          <w:i w:val="0"/>
          <w:color w:val="1F2937"/>
          <w:sz w:val="19"/>
        </w:rPr>
        <w:t>Repository link submitted in Google Classroom.</w:t>
      </w:r>
    </w:p>
    <w:sectPr w:rsidR="00FC693F" w:rsidRPr="0006063C" w:rsidSect="00034616">
      <w:headerReference w:type="default" r:id="rId9"/>
      <w:footerReference w:type="default" r:id="rId10"/>
      <w:pgSz w:w="12240" w:h="15840"/>
      <w:pgMar w:top="792" w:right="893" w:bottom="792" w:left="89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748B"/>
        <w:sz w:val="16"/>
      </w:rPr>
      <w:t>SIMATS Engineering | Department of Computer Science and Engineering | Official Assessment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i w:val="0"/>
        <w:color w:val="334155"/>
        <w:sz w:val="17"/>
      </w:rPr>
      <w:t>CSA15 | Cloud Computing and Big Data Analytics</w:t>
    </w:r>
    <w:r>
      <w:rPr>
        <w:rFonts w:ascii="Calibri" w:hAnsi="Calibri" w:eastAsia="Calibri"/>
        <w:b w:val="0"/>
        <w:i w:val="0"/>
        <w:color w:val="2F6690"/>
        <w:sz w:val="17"/>
      </w:rPr>
      <w:t xml:space="preserve">    CO2 AT1 | Student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ns2="http://purl.org/dc/terms/" xmlns:xsi="http://www.w3.org/2001/XMLSchema-instance">
  <dc:title/>
  <dc:subject>Owner: Dr. C. Rajesh Babu; Employee ID: SSETSCS-415</dc:subject>
  <dc:creator>Dr. C. Rajesh Babu</dc:creator>
  <cp:keywords>CSA15; CO2 AT1; Virtualization; VM sizing; Dr. C. Rajesh Babu; SSETSCS-415</cp:keywords>
  <dc:description>generated by python-docx</dc:description>
  <cp:lastModifiedBy>Dr. C. Rajesh Babu (SSETSCS-415)</cp:lastModifiedBy>
  <cp:revision>1</cp:revision>
  <ns2:created xsi:type="dcterms:W3CDTF">2013-12-23T23:15:00Z</ns2:created>
  <ns2:modified xsi:type="dcterms:W3CDTF">2013-12-23T23:15:00Z</ns2:modified>
  <cp:category/>
</cp:coreProperties>
</file>