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B2748"/>
          <w:sz w:val="32"/>
          <w:szCs w:val="32"/>
        </w:rPr>
        <w:t xml:space="preserve">SIMATS ENGINEERING</w:t>
      </w:r>
    </w:p>
    <w:p>
      <w:pPr>
        <w:spacing w:after="200"/>
        <w:jc w:val="center"/>
      </w:pPr>
      <w:r>
        <w:rPr>
          <w:sz w:val="22"/>
          <w:szCs w:val="22"/>
        </w:rPr>
        <w:t xml:space="preserve">Department of Computer Science and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2000"/>
        <w:gridCol w:w="2200"/>
      </w:tblGrid>
      <w:tr>
        <w:tc>
          <w:tcPr>
            <w:tcW w:type="dxa" w:w="2000"/>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tcPr>
          <w:p>
            <w:r>
              <w:rPr>
                <w:b/>
                <w:bCs/>
                <w:sz w:val="20"/>
                <w:szCs w:val="20"/>
              </w:rPr>
              <w:t xml:space="preserve">Course Code:</w:t>
            </w:r>
          </w:p>
        </w:tc>
        <w:tc>
          <w:tcPr>
            <w:tcW w:type="dxa" w:w="3160"/>
            <w:tcBorders>
              <w:top w:val="single" w:color="B8D7F6" w:sz="4"/>
              <w:left w:val="single" w:color="B8D7F6" w:sz="4"/>
              <w:bottom w:val="single" w:color="B8D7F6" w:sz="4"/>
              <w:right w:val="single" w:color="B8D7F6" w:sz="4"/>
            </w:tcBorders>
            <w:tcMar>
              <w:top w:type="dxa" w:w="80"/>
              <w:left w:type="dxa" w:w="100"/>
              <w:bottom w:type="dxa" w:w="80"/>
              <w:right w:type="dxa" w:w="100"/>
            </w:tcMar>
          </w:tcPr>
          <w:p>
            <w:r>
              <w:rPr>
                <w:sz w:val="20"/>
                <w:szCs w:val="20"/>
              </w:rPr>
              <w:t xml:space="preserve">CSA15</w:t>
            </w:r>
          </w:p>
        </w:tc>
        <w:tc>
          <w:tcPr>
            <w:tcW w:type="dxa" w:w="2000"/>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tcPr>
          <w:p>
            <w:r>
              <w:rPr>
                <w:b/>
                <w:bCs/>
                <w:sz w:val="20"/>
                <w:szCs w:val="20"/>
              </w:rPr>
              <w:t xml:space="preserve">Assessment:</w:t>
            </w:r>
          </w:p>
        </w:tc>
        <w:tc>
          <w:tcPr>
            <w:tcW w:type="dxa" w:w="2200"/>
            <w:tcBorders>
              <w:top w:val="single" w:color="B8D7F6" w:sz="4"/>
              <w:left w:val="single" w:color="B8D7F6" w:sz="4"/>
              <w:bottom w:val="single" w:color="B8D7F6" w:sz="4"/>
              <w:right w:val="single" w:color="B8D7F6" w:sz="4"/>
            </w:tcBorders>
            <w:tcMar>
              <w:top w:type="dxa" w:w="80"/>
              <w:left w:type="dxa" w:w="100"/>
              <w:bottom w:type="dxa" w:w="80"/>
              <w:right w:type="dxa" w:w="100"/>
            </w:tcMar>
          </w:tcPr>
          <w:p>
            <w:r>
              <w:rPr>
                <w:sz w:val="20"/>
                <w:szCs w:val="20"/>
              </w:rPr>
              <w:t xml:space="preserve">CO5 AT2</w:t>
            </w:r>
          </w:p>
        </w:tc>
      </w:tr>
      <w:tr>
        <w:tc>
          <w:tcPr>
            <w:tcW w:type="dxa" w:w="2000"/>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tcPr>
          <w:p>
            <w:r>
              <w:rPr>
                <w:b/>
                <w:bCs/>
                <w:sz w:val="20"/>
                <w:szCs w:val="20"/>
              </w:rPr>
              <w:t xml:space="preserve">Course Name:</w:t>
            </w:r>
          </w:p>
        </w:tc>
        <w:tc>
          <w:tcPr>
            <w:tcW w:type="dxa" w:w="3160"/>
            <w:tcBorders>
              <w:top w:val="single" w:color="B8D7F6" w:sz="4"/>
              <w:left w:val="single" w:color="B8D7F6" w:sz="4"/>
              <w:bottom w:val="single" w:color="B8D7F6" w:sz="4"/>
              <w:right w:val="single" w:color="B8D7F6" w:sz="4"/>
            </w:tcBorders>
            <w:tcMar>
              <w:top w:type="dxa" w:w="80"/>
              <w:left w:type="dxa" w:w="100"/>
              <w:bottom w:type="dxa" w:w="80"/>
              <w:right w:type="dxa" w:w="100"/>
            </w:tcMar>
          </w:tcPr>
          <w:p>
            <w:r>
              <w:rPr>
                <w:sz w:val="20"/>
                <w:szCs w:val="20"/>
              </w:rPr>
              <w:t xml:space="preserve">Cloud Computing and Big Data Analytics</w:t>
            </w:r>
          </w:p>
        </w:tc>
        <w:tc>
          <w:tcPr>
            <w:tcW w:type="dxa" w:w="2000"/>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tcPr>
          <w:p>
            <w:r>
              <w:rPr>
                <w:b/>
                <w:bCs/>
                <w:sz w:val="20"/>
                <w:szCs w:val="20"/>
              </w:rPr>
              <w:t xml:space="preserve">Type:</w:t>
            </w:r>
          </w:p>
        </w:tc>
        <w:tc>
          <w:tcPr>
            <w:tcW w:type="dxa" w:w="2200"/>
            <w:tcBorders>
              <w:top w:val="single" w:color="B8D7F6" w:sz="4"/>
              <w:left w:val="single" w:color="B8D7F6" w:sz="4"/>
              <w:bottom w:val="single" w:color="B8D7F6" w:sz="4"/>
              <w:right w:val="single" w:color="B8D7F6" w:sz="4"/>
            </w:tcBorders>
            <w:tcMar>
              <w:top w:type="dxa" w:w="80"/>
              <w:left w:type="dxa" w:w="100"/>
              <w:bottom w:type="dxa" w:w="80"/>
              <w:right w:type="dxa" w:w="100"/>
            </w:tcMar>
          </w:tcPr>
          <w:p>
            <w:r>
              <w:rPr>
                <w:sz w:val="20"/>
                <w:szCs w:val="20"/>
              </w:rPr>
              <w:t xml:space="preserve">Operations Optimization</w:t>
            </w:r>
          </w:p>
        </w:tc>
      </w:tr>
      <w:tr>
        <w:tc>
          <w:tcPr>
            <w:tcW w:type="dxa" w:w="2000"/>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tcPr>
          <w:p>
            <w:r>
              <w:rPr>
                <w:b/>
                <w:bCs/>
                <w:sz w:val="20"/>
                <w:szCs w:val="20"/>
              </w:rPr>
              <w:t xml:space="preserve">CO Statement:</w:t>
            </w:r>
          </w:p>
        </w:tc>
        <w:tc>
          <w:tcPr>
            <w:tcW w:type="dxa" w:w="7360"/>
            <w:gridSpan w:val="3"/>
            <w:tcBorders>
              <w:top w:val="single" w:color="B8D7F6" w:sz="4"/>
              <w:left w:val="single" w:color="B8D7F6" w:sz="4"/>
              <w:bottom w:val="single" w:color="B8D7F6" w:sz="4"/>
              <w:right w:val="single" w:color="B8D7F6" w:sz="4"/>
            </w:tcBorders>
            <w:tcMar>
              <w:top w:type="dxa" w:w="80"/>
              <w:left w:type="dxa" w:w="100"/>
              <w:bottom w:type="dxa" w:w="80"/>
              <w:right w:type="dxa" w:w="100"/>
            </w:tcMar>
          </w:tcPr>
          <w:p>
            <w:r>
              <w:rPr>
                <w:sz w:val="20"/>
                <w:szCs w:val="20"/>
              </w:rPr>
              <w:t xml:space="preserve">Apply big data storage, integration, Hadoop, HDFS, and MapReduce concepts for distributed data processing</w:t>
            </w:r>
          </w:p>
        </w:tc>
      </w:tr>
    </w:tbl>
    <w:p>
      <w:pPr>
        <w:spacing w:after="120"/>
      </w:pPr>
    </w:p>
    <w:p>
      <w:pPr>
        <w:pStyle w:val="Heading1"/>
        <w:spacing w:after="150" w:before="300"/>
      </w:pPr>
      <w:r>
        <w:rPr>
          <w:b/>
          <w:bCs/>
          <w:color w:val="0B2748"/>
          <w:sz w:val="30"/>
          <w:szCs w:val="30"/>
        </w:rPr>
        <w:t xml:space="preserve">Part A: Production Hadoop Operations — Lesson Notes</w:t>
      </w:r>
    </w:p>
    <w:p>
      <w:pPr>
        <w:pStyle w:val="Heading2"/>
        <w:spacing w:after="120" w:before="240"/>
      </w:pPr>
      <w:r>
        <w:rPr>
          <w:b/>
          <w:bCs/>
          <w:color w:val="1565C0"/>
          <w:sz w:val="26"/>
          <w:szCs w:val="26"/>
        </w:rPr>
        <w:t xml:space="preserve">Monitoring &amp; Observability</w:t>
      </w:r>
    </w:p>
    <w:p>
      <w:pPr>
        <w:spacing w:after="120"/>
      </w:pPr>
      <w:r>
        <w:rPr>
          <w:sz w:val="21"/>
          <w:szCs w:val="21"/>
        </w:rPr>
        <w:t xml:space="preserve">A production Hadoop cluster generates thousands of metrics. Monitoring means: (1) collecting these metrics, (2) storing them, (3) displaying dashboards, (4) setting thresholds to trigger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94"/>
        <w:gridCol w:w="3186"/>
        <w:gridCol w:w="2390"/>
        <w:gridCol w:w="2390"/>
      </w:tblGrid>
      <w:tr>
        <w:trPr>
          <w:tblHeader/>
        </w:trPr>
        <w:tc>
          <w:tcPr>
            <w:tcW w:type="dxa" w:w="1394"/>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Component</w:t>
            </w:r>
          </w:p>
        </w:tc>
        <w:tc>
          <w:tcPr>
            <w:tcW w:type="dxa" w:w="3186"/>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Key Metrics</w:t>
            </w:r>
          </w:p>
        </w:tc>
        <w:tc>
          <w:tcPr>
            <w:tcW w:type="dxa" w:w="239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Normal Range</w:t>
            </w:r>
          </w:p>
        </w:tc>
        <w:tc>
          <w:tcPr>
            <w:tcW w:type="dxa" w:w="239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Alert Threshold</w:t>
            </w:r>
          </w:p>
        </w:tc>
      </w:tr>
      <w:tr>
        <w:trPr>
          <w:cantSplit/>
        </w:trPr>
        <w:tc>
          <w:tcPr>
            <w:tcW w:type="dxa" w:w="1394"/>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NameNode</w:t>
            </w:r>
          </w:p>
        </w:tc>
        <w:tc>
          <w:tcPr>
            <w:tcW w:type="dxa" w:w="318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Heap usage, Live/Dead DataNodes, Block count, Edit log size</w:t>
            </w:r>
          </w:p>
        </w:tc>
        <w:tc>
          <w:tcPr>
            <w:tcW w:type="dxa" w:w="239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&lt; 70% heap</w:t>
            </w:r>
          </w:p>
        </w:tc>
        <w:tc>
          <w:tcPr>
            <w:tcW w:type="dxa" w:w="239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&gt; 85% heap</w:t>
            </w:r>
          </w:p>
        </w:tc>
      </w:tr>
      <w:tr>
        <w:trPr>
          <w:cantSplit/>
        </w:trPr>
        <w:tc>
          <w:tcPr>
            <w:tcW w:type="dxa" w:w="1394"/>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DataNode</w:t>
            </w:r>
          </w:p>
        </w:tc>
        <w:tc>
          <w:tcPr>
            <w:tcW w:type="dxa" w:w="318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Disk usage, Block count, Network I/O, JVM heap</w:t>
            </w:r>
          </w:p>
        </w:tc>
        <w:tc>
          <w:tcPr>
            <w:tcW w:type="dxa" w:w="239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&lt; 80% disk</w:t>
            </w:r>
          </w:p>
        </w:tc>
        <w:tc>
          <w:tcPr>
            <w:tcW w:type="dxa" w:w="239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&gt; 92% disk</w:t>
            </w:r>
          </w:p>
        </w:tc>
      </w:tr>
      <w:tr>
        <w:trPr>
          <w:cantSplit/>
        </w:trPr>
        <w:tc>
          <w:tcPr>
            <w:tcW w:type="dxa" w:w="1394"/>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MapReduce</w:t>
            </w:r>
          </w:p>
        </w:tc>
        <w:tc>
          <w:tcPr>
            <w:tcW w:type="dxa" w:w="318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Job completion rate, Task failure %, Shuffle sort time</w:t>
            </w:r>
          </w:p>
        </w:tc>
        <w:tc>
          <w:tcPr>
            <w:tcW w:type="dxa" w:w="239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&lt; 5% failure</w:t>
            </w:r>
          </w:p>
        </w:tc>
        <w:tc>
          <w:tcPr>
            <w:tcW w:type="dxa" w:w="239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&gt; 20% failure</w:t>
            </w:r>
          </w:p>
        </w:tc>
      </w:tr>
      <w:tr>
        <w:trPr>
          <w:cantSplit/>
        </w:trPr>
        <w:tc>
          <w:tcPr>
            <w:tcW w:type="dxa" w:w="1394"/>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HDFS</w:t>
            </w:r>
          </w:p>
        </w:tc>
        <w:tc>
          <w:tcPr>
            <w:tcW w:type="dxa" w:w="3186"/>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Under-replicated blocks, Missing blocks, Block replica imbalance</w:t>
            </w:r>
          </w:p>
        </w:tc>
        <w:tc>
          <w:tcPr>
            <w:tcW w:type="dxa" w:w="239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0 under-replicated</w:t>
            </w:r>
          </w:p>
        </w:tc>
        <w:tc>
          <w:tcPr>
            <w:tcW w:type="dxa" w:w="239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&gt; 10 blocks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6"/>
              <w:left w:val="single" w:color="B8D7F6" w:sz="6"/>
              <w:bottom w:val="single" w:color="B8D7F6" w:sz="6"/>
              <w:right w:val="single" w:color="B8D7F6" w:sz="6"/>
            </w:tcBorders>
            <w:shd w:fill="EAF4FF" w:color="auto" w:val="clear"/>
            <w:tcMar>
              <w:top w:type="dxa" w:w="120"/>
              <w:left w:type="dxa" w:w="150"/>
              <w:bottom w:type="dxa" w:w="120"/>
              <w:right w:type="dxa" w:w="150"/>
            </w:tcMar>
          </w:tcPr>
          <w:p>
            <w:pPr>
              <w:spacing w:after="80"/>
            </w:pPr>
            <w:r>
              <w:rPr>
                <w:b/>
                <w:bCs/>
                <w:color w:val="0B2748"/>
                <w:sz w:val="21"/>
                <w:szCs w:val="21"/>
              </w:rPr>
              <w:t xml:space="preserve">Lesson Note: Why Monitoring Matters</w:t>
            </w:r>
          </w:p>
          <w:p>
            <w:pPr>
              <w:spacing w:after="60"/>
            </w:pPr>
            <w:r>
              <w:rPr>
                <w:color w:val="17212B"/>
                <w:sz w:val="20"/>
                <w:szCs w:val="20"/>
              </w:rPr>
              <w:t xml:space="preserve">Without monitoring, you only discover problems when users complain. NameNode heap at 95% → crash → cluster down → data unavailable. Monitoring alerts at 85% gives you time to act (add DataNodes, scale up, optimize).</w:t>
            </w:r>
          </w:p>
        </w:tc>
      </w:tr>
    </w:tbl>
    <w:p>
      <w:pPr>
        <w:spacing w:after="120"/>
      </w:pPr>
    </w:p>
    <w:p>
      <w:pPr>
        <w:pStyle w:val="Heading2"/>
        <w:spacing w:after="120" w:before="240"/>
      </w:pPr>
      <w:r>
        <w:rPr>
          <w:b/>
          <w:bCs/>
          <w:color w:val="1565C0"/>
          <w:sz w:val="26"/>
          <w:szCs w:val="26"/>
        </w:rPr>
        <w:t xml:space="preserve">Backup &amp; Disaster Recovery</w:t>
      </w:r>
    </w:p>
    <w:p>
      <w:pPr>
        <w:spacing w:after="120"/>
      </w:pPr>
      <w:r>
        <w:rPr>
          <w:sz w:val="21"/>
          <w:szCs w:val="21"/>
        </w:rPr>
        <w:t xml:space="preserve">NameNode stores the file system namespace (file names, hierarchy, replica locations) in memory and on disk (fsimage + edit logs). If NameNode crashes and no backup exists, you lose the entire namespace — irrecoverable.</w:t>
      </w:r>
    </w:p>
    <w:p>
      <w:pPr>
        <w:spacing w:after="120"/>
      </w:pPr>
      <w:r>
        <w:rPr>
          <w:b/>
          <w:bCs/>
          <w:sz w:val="21"/>
          <w:szCs w:val="21"/>
        </w:rPr>
        <w:t xml:space="preserve">Key Concepts:</w:t>
      </w:r>
    </w:p>
    <w:p>
      <w:pPr>
        <w:pStyle w:val="ListParagraph"/>
        <w:numPr>
          <w:ilvl w:val="0"/>
          <w:numId w:val="1"/>
        </w:numPr>
        <w:spacing w:after="60"/>
      </w:pPr>
      <w:r>
        <w:rPr>
          <w:sz w:val="21"/>
          <w:szCs w:val="21"/>
        </w:rPr>
        <w:t xml:space="preserve">1. RTO (Recovery Time Objective): How long can the cluster be down? 1 hour? 1 minute?</w:t>
      </w:r>
    </w:p>
    <w:p>
      <w:pPr>
        <w:pStyle w:val="ListParagraph"/>
        <w:numPr>
          <w:ilvl w:val="0"/>
          <w:numId w:val="1"/>
        </w:numPr>
        <w:spacing w:after="60"/>
      </w:pPr>
      <w:r>
        <w:rPr>
          <w:sz w:val="21"/>
          <w:szCs w:val="21"/>
        </w:rPr>
        <w:t xml:space="preserve">2. RPO (Recovery Point Objective): How much data loss is acceptable? 1 hour? 1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89"/>
        <w:gridCol w:w="1593"/>
        <w:gridCol w:w="1593"/>
        <w:gridCol w:w="1593"/>
        <w:gridCol w:w="1991"/>
      </w:tblGrid>
      <w:tr>
        <w:trPr>
          <w:tblHeader/>
        </w:trPr>
        <w:tc>
          <w:tcPr>
            <w:tcW w:type="dxa" w:w="2589"/>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Backup Strategy</w:t>
            </w:r>
          </w:p>
        </w:tc>
        <w:tc>
          <w:tcPr>
            <w:tcW w:type="dxa" w:w="1593"/>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RTO</w:t>
            </w:r>
          </w:p>
        </w:tc>
        <w:tc>
          <w:tcPr>
            <w:tcW w:type="dxa" w:w="1593"/>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RPO</w:t>
            </w:r>
          </w:p>
        </w:tc>
        <w:tc>
          <w:tcPr>
            <w:tcW w:type="dxa" w:w="1593"/>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Cost</w:t>
            </w:r>
          </w:p>
        </w:tc>
        <w:tc>
          <w:tcPr>
            <w:tcW w:type="dxa" w:w="1991"/>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Best For</w:t>
            </w:r>
          </w:p>
        </w:tc>
      </w:tr>
      <w:tr>
        <w:trPr>
          <w:cantSplit/>
        </w:trPr>
        <w:tc>
          <w:tcPr>
            <w:tcW w:type="dxa" w:w="258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No backup (risky)</w:t>
            </w:r>
          </w:p>
        </w:tc>
        <w:tc>
          <w:tcPr>
            <w:tcW w:type="dxa" w:w="1593"/>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 (unrecoverable)</w:t>
            </w:r>
          </w:p>
        </w:tc>
        <w:tc>
          <w:tcPr>
            <w:tcW w:type="dxa" w:w="1593"/>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w:t>
            </w:r>
          </w:p>
        </w:tc>
        <w:tc>
          <w:tcPr>
            <w:tcW w:type="dxa" w:w="1593"/>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$0</w:t>
            </w:r>
          </w:p>
        </w:tc>
        <w:tc>
          <w:tcPr>
            <w:tcW w:type="dxa" w:w="1991"/>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Dev/test only</w:t>
            </w:r>
          </w:p>
        </w:tc>
      </w:tr>
      <w:tr>
        <w:trPr>
          <w:cantSplit/>
        </w:trPr>
        <w:tc>
          <w:tcPr>
            <w:tcW w:type="dxa" w:w="258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Daily full backup to external disk</w:t>
            </w:r>
          </w:p>
        </w:tc>
        <w:tc>
          <w:tcPr>
            <w:tcW w:type="dxa" w:w="1593"/>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1–2 hours</w:t>
            </w:r>
          </w:p>
        </w:tc>
        <w:tc>
          <w:tcPr>
            <w:tcW w:type="dxa" w:w="1593"/>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24 hours</w:t>
            </w:r>
          </w:p>
        </w:tc>
        <w:tc>
          <w:tcPr>
            <w:tcW w:type="dxa" w:w="1593"/>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$100/month</w:t>
            </w:r>
          </w:p>
        </w:tc>
        <w:tc>
          <w:tcPr>
            <w:tcW w:type="dxa" w:w="1991"/>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Dev, non-critical</w:t>
            </w:r>
          </w:p>
        </w:tc>
      </w:tr>
      <w:tr>
        <w:trPr>
          <w:cantSplit/>
        </w:trPr>
        <w:tc>
          <w:tcPr>
            <w:tcW w:type="dxa" w:w="258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Hourly incremental + offsite replication</w:t>
            </w:r>
          </w:p>
        </w:tc>
        <w:tc>
          <w:tcPr>
            <w:tcW w:type="dxa" w:w="1593"/>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15 minutes</w:t>
            </w:r>
          </w:p>
        </w:tc>
        <w:tc>
          <w:tcPr>
            <w:tcW w:type="dxa" w:w="1593"/>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 hour</w:t>
            </w:r>
          </w:p>
        </w:tc>
        <w:tc>
          <w:tcPr>
            <w:tcW w:type="dxa" w:w="1593"/>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$500/month</w:t>
            </w:r>
          </w:p>
        </w:tc>
        <w:tc>
          <w:tcPr>
            <w:tcW w:type="dxa" w:w="1991"/>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Production</w:t>
            </w:r>
          </w:p>
        </w:tc>
      </w:tr>
      <w:tr>
        <w:trPr>
          <w:cantSplit/>
        </w:trPr>
        <w:tc>
          <w:tcPr>
            <w:tcW w:type="dxa" w:w="2589"/>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HA (active/standby NameNode + ZK quorum)</w:t>
            </w:r>
          </w:p>
        </w:tc>
        <w:tc>
          <w:tcPr>
            <w:tcW w:type="dxa" w:w="1593"/>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&lt; 1 minute</w:t>
            </w:r>
          </w:p>
        </w:tc>
        <w:tc>
          <w:tcPr>
            <w:tcW w:type="dxa" w:w="1593"/>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0 (near-instant)</w:t>
            </w:r>
          </w:p>
        </w:tc>
        <w:tc>
          <w:tcPr>
            <w:tcW w:type="dxa" w:w="1593"/>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$1000+/month</w:t>
            </w:r>
          </w:p>
        </w:tc>
        <w:tc>
          <w:tcPr>
            <w:tcW w:type="dxa" w:w="1991"/>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Critical production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6"/>
              <w:left w:val="single" w:color="B8D7F6" w:sz="6"/>
              <w:bottom w:val="single" w:color="B8D7F6" w:sz="6"/>
              <w:right w:val="single" w:color="B8D7F6" w:sz="6"/>
            </w:tcBorders>
            <w:shd w:fill="EAF4FF" w:color="auto" w:val="clear"/>
            <w:tcMar>
              <w:top w:type="dxa" w:w="120"/>
              <w:left w:type="dxa" w:w="150"/>
              <w:bottom w:type="dxa" w:w="120"/>
              <w:right w:type="dxa" w:w="150"/>
            </w:tcMar>
          </w:tcPr>
          <w:p>
            <w:pPr>
              <w:spacing w:after="80"/>
            </w:pPr>
            <w:r>
              <w:rPr>
                <w:b/>
                <w:bCs/>
                <w:color w:val="0B2748"/>
                <w:sz w:val="21"/>
                <w:szCs w:val="21"/>
              </w:rPr>
              <w:t xml:space="preserve">High Availability (HA) Design</w:t>
            </w:r>
          </w:p>
          <w:p>
            <w:pPr>
              <w:spacing w:after="60"/>
            </w:pPr>
            <w:r>
              <w:rPr>
                <w:color w:val="17212B"/>
                <w:sz w:val="20"/>
                <w:szCs w:val="20"/>
              </w:rPr>
              <w:t xml:space="preserve">HA eliminates the single NameNode as a single point of failure. Setup: Active NameNode + Standby NameNode + ZooKeeper quorum (3 nodes). When Active fails, Standby takes over automatically in &lt; 1 minute. Requires shared storage (NFS/QJM) for edit logs.</w:t>
            </w:r>
          </w:p>
        </w:tc>
      </w:tr>
    </w:tbl>
    <w:p>
      <w:pPr>
        <w:spacing w:after="120"/>
      </w:pPr>
    </w:p>
    <w:p>
      <w:pPr>
        <w:pStyle w:val="Heading2"/>
        <w:spacing w:after="120" w:before="240"/>
      </w:pPr>
      <w:r>
        <w:rPr>
          <w:b/>
          <w:bCs/>
          <w:color w:val="1565C0"/>
          <w:sz w:val="26"/>
          <w:szCs w:val="26"/>
        </w:rPr>
        <w:t xml:space="preserve">Cost Optimization</w:t>
      </w:r>
    </w:p>
    <w:p>
      <w:pPr>
        <w:spacing w:after="120"/>
      </w:pPr>
      <w:r>
        <w:rPr>
          <w:sz w:val="21"/>
          <w:szCs w:val="21"/>
        </w:rPr>
        <w:t xml:space="preserve">Monthly cluster cost = Hardware + Power + Cooling + 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Cost Component</w:t>
            </w:r>
          </w:p>
        </w:tc>
        <w:tc>
          <w:tcPr>
            <w:tcW w:type="dxa" w:w="260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Typical $</w:t>
            </w:r>
          </w:p>
        </w:tc>
        <w:tc>
          <w:tcPr>
            <w:tcW w:type="dxa" w:w="376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Control Method</w:t>
            </w:r>
          </w:p>
        </w:tc>
      </w:tr>
      <w:tr>
        <w:trPr>
          <w:cantSplit/>
        </w:trPr>
        <w:tc>
          <w:tcPr>
            <w:tcW w:type="dxa" w:w="30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Hardware (50 nodes × $500)</w:t>
            </w:r>
          </w:p>
        </w:tc>
        <w:tc>
          <w:tcPr>
            <w:tcW w:type="dxa" w:w="26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$25,000 one-time</w:t>
            </w:r>
          </w:p>
        </w:tc>
        <w:tc>
          <w:tcPr>
            <w:tcW w:type="dxa" w:w="37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Buy less, or decommission slow nodes</w:t>
            </w:r>
          </w:p>
        </w:tc>
      </w:tr>
      <w:tr>
        <w:trPr>
          <w:cantSplit/>
        </w:trPr>
        <w:tc>
          <w:tcPr>
            <w:tcW w:type="dxa" w:w="30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Annual power &amp; cooling (50 nodes × $1000)</w:t>
            </w:r>
          </w:p>
        </w:tc>
        <w:tc>
          <w:tcPr>
            <w:tcW w:type="dxa" w:w="26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$50,000/year</w:t>
            </w:r>
          </w:p>
        </w:tc>
        <w:tc>
          <w:tcPr>
            <w:tcW w:type="dxa" w:w="37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Efficient hardware, underutilization</w:t>
            </w:r>
          </w:p>
        </w:tc>
      </w:tr>
      <w:tr>
        <w:trPr>
          <w:cantSplit/>
        </w:trPr>
        <w:tc>
          <w:tcPr>
            <w:tcW w:type="dxa" w:w="30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Operations &amp; support</w:t>
            </w:r>
          </w:p>
        </w:tc>
        <w:tc>
          <w:tcPr>
            <w:tcW w:type="dxa" w:w="26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$10,000/month</w:t>
            </w:r>
          </w:p>
        </w:tc>
        <w:tc>
          <w:tcPr>
            <w:tcW w:type="dxa" w:w="37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Automation, monitoring, runbooks</w:t>
            </w:r>
          </w:p>
        </w:tc>
      </w:tr>
      <w:tr>
        <w:trPr>
          <w:cantSplit/>
        </w:trPr>
        <w:tc>
          <w:tcPr>
            <w:tcW w:type="dxa" w:w="30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Compression (Gzip, Snappy)</w:t>
            </w:r>
          </w:p>
        </w:tc>
        <w:tc>
          <w:tcPr>
            <w:tcW w:type="dxa" w:w="26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$−5,000/month savings</w:t>
            </w:r>
          </w:p>
        </w:tc>
        <w:tc>
          <w:tcPr>
            <w:tcW w:type="dxa" w:w="37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Reduced storage, higher CPU</w:t>
            </w:r>
          </w:p>
        </w:tc>
      </w:tr>
      <w:tr>
        <w:trPr>
          <w:cantSplit/>
        </w:trPr>
        <w:tc>
          <w:tcPr>
            <w:tcW w:type="dxa" w:w="30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Tiering (move old logs to cold storage)</w:t>
            </w:r>
          </w:p>
        </w:tc>
        <w:tc>
          <w:tcPr>
            <w:tcW w:type="dxa" w:w="26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$−3,000/month savings</w:t>
            </w:r>
          </w:p>
        </w:tc>
        <w:tc>
          <w:tcPr>
            <w:tcW w:type="dxa" w:w="37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Archive logs &gt; 30 days to S3</w:t>
            </w:r>
          </w:p>
        </w:tc>
      </w:tr>
    </w:tbl>
    <w:p>
      <w:pPr>
        <w:spacing w:after="120"/>
      </w:pPr>
    </w:p>
    <w:p>
      <w:pPr>
        <w:pStyle w:val="Heading2"/>
        <w:spacing w:after="120" w:before="240"/>
      </w:pPr>
      <w:r>
        <w:rPr>
          <w:b/>
          <w:bCs/>
          <w:color w:val="1565C0"/>
          <w:sz w:val="26"/>
          <w:szCs w:val="26"/>
        </w:rPr>
        <w:t xml:space="preserve">Scaling Strategies</w:t>
      </w:r>
    </w:p>
    <w:p>
      <w:pPr>
        <w:spacing w:after="120"/>
      </w:pPr>
      <w:r>
        <w:rPr>
          <w:sz w:val="21"/>
          <w:szCs w:val="21"/>
        </w:rPr>
        <w:t xml:space="preserve">Horizontal scaling: Add more DataNodes (linear cost, complexity)</w:t>
      </w:r>
    </w:p>
    <w:p>
      <w:pPr>
        <w:spacing w:after="120"/>
      </w:pPr>
      <w:r>
        <w:rPr>
          <w:sz w:val="21"/>
          <w:szCs w:val="21"/>
        </w:rPr>
        <w:t xml:space="preserve">Vertical scaling: Upgrade existing nodes (cap at 10–20TB/node practical limit)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6"/>
              <w:left w:val="single" w:color="B8D7F6" w:sz="6"/>
              <w:bottom w:val="single" w:color="B8D7F6" w:sz="6"/>
              <w:right w:val="single" w:color="B8D7F6" w:sz="6"/>
            </w:tcBorders>
            <w:shd w:fill="EAF4FF" w:color="auto" w:val="clear"/>
            <w:tcMar>
              <w:top w:type="dxa" w:w="120"/>
              <w:left w:type="dxa" w:w="150"/>
              <w:bottom w:type="dxa" w:w="120"/>
              <w:right w:type="dxa" w:w="150"/>
            </w:tcMar>
          </w:tcPr>
          <w:p>
            <w:pPr>
              <w:spacing w:after="80"/>
            </w:pPr>
            <w:r>
              <w:rPr>
                <w:b/>
                <w:bCs/>
                <w:color w:val="0B2748"/>
                <w:sz w:val="21"/>
                <w:szCs w:val="21"/>
              </w:rPr>
              <w:t xml:space="preserve">NameNode Capacity Constraint</w:t>
            </w:r>
          </w:p>
          <w:p>
            <w:pPr>
              <w:spacing w:after="60"/>
            </w:pPr>
            <w:r>
              <w:rPr>
                <w:color w:val="17212B"/>
                <w:sz w:val="20"/>
                <w:szCs w:val="20"/>
              </w:rPr>
              <w:t xml:space="preserve">NameNode heap ∝ number of files. Rule of thumb: 1GB heap ≈ 1M files. If 100M files needed, you need 100GB NameNode heap — impractical. Solutions: (1) Tiering (archive old data), (2) Federation (multiple NameNodes), (3) Consolidate small files.</w:t>
            </w:r>
          </w:p>
        </w:tc>
      </w:tr>
    </w:tbl>
    <w:p>
      <w:pPr>
        <w:spacing w:after="120"/>
      </w:pPr>
    </w:p>
    <w:p>
      <w:pPr>
        <w:pStyle w:val="Heading1"/>
        <w:spacing w:after="150" w:before="300"/>
      </w:pPr>
      <w:r>
        <w:rPr>
          <w:b/>
          <w:bCs/>
          <w:color w:val="0B2748"/>
          <w:sz w:val="30"/>
          <w:szCs w:val="30"/>
        </w:rPr>
        <w:t xml:space="preserve">Part B: Main Scenario — Optimize a 50-Node Production Cluster</w:t>
      </w:r>
    </w:p>
    <w:p>
      <w:pPr>
        <w:pStyle w:val="Heading2"/>
        <w:spacing w:after="120" w:before="240"/>
      </w:pPr>
      <w:r>
        <w:rPr>
          <w:b/>
          <w:bCs/>
          <w:color w:val="1565C0"/>
          <w:sz w:val="26"/>
          <w:szCs w:val="26"/>
        </w:rPr>
        <w:t xml:space="preserve">Current State Assessment</w:t>
      </w:r>
    </w:p>
    <w:p>
      <w:pPr>
        <w:spacing w:after="120"/>
      </w:pPr>
      <w:r>
        <w:rPr>
          <w:sz w:val="21"/>
          <w:szCs w:val="21"/>
        </w:rPr>
        <w:t xml:space="preserve">A company runs a 50-node HDFS cluster processing 10TB/day. Current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Metric</w:t>
            </w:r>
          </w:p>
        </w:tc>
        <w:tc>
          <w:tcPr>
            <w:tcW w:type="dxa" w:w="290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Current Value</w:t>
            </w:r>
          </w:p>
        </w:tc>
        <w:tc>
          <w:tcPr>
            <w:tcW w:type="dxa" w:w="356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Status</w:t>
            </w:r>
          </w:p>
        </w:tc>
      </w:tr>
      <w:tr>
        <w:trPr>
          <w:cantSplit/>
        </w:trPr>
        <w:tc>
          <w:tcPr>
            <w:tcW w:type="dxa" w:w="2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NameNode heap usage</w:t>
            </w:r>
          </w:p>
        </w:tc>
        <w:tc>
          <w:tcPr>
            <w:tcW w:type="dxa" w:w="2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85%</w:t>
            </w:r>
          </w:p>
        </w:tc>
        <w:tc>
          <w:tcPr>
            <w:tcW w:type="dxa" w:w="35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RISKY — near crash threshold</w:t>
            </w:r>
          </w:p>
        </w:tc>
      </w:tr>
      <w:tr>
        <w:trPr>
          <w:cantSplit/>
        </w:trPr>
        <w:tc>
          <w:tcPr>
            <w:tcW w:type="dxa" w:w="2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DataNode disk utilization</w:t>
            </w:r>
          </w:p>
        </w:tc>
        <w:tc>
          <w:tcPr>
            <w:tcW w:type="dxa" w:w="2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92%</w:t>
            </w:r>
          </w:p>
        </w:tc>
        <w:tc>
          <w:tcPr>
            <w:tcW w:type="dxa" w:w="35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RISKY — no space for replication</w:t>
            </w:r>
          </w:p>
        </w:tc>
      </w:tr>
      <w:tr>
        <w:trPr>
          <w:cantSplit/>
        </w:trPr>
        <w:tc>
          <w:tcPr>
            <w:tcW w:type="dxa" w:w="2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Monthly cost</w:t>
            </w:r>
          </w:p>
        </w:tc>
        <w:tc>
          <w:tcPr>
            <w:tcW w:type="dxa" w:w="2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$50,000</w:t>
            </w:r>
          </w:p>
        </w:tc>
        <w:tc>
          <w:tcPr>
            <w:tcW w:type="dxa" w:w="35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High, no optimization</w:t>
            </w:r>
          </w:p>
        </w:tc>
      </w:tr>
      <w:tr>
        <w:trPr>
          <w:cantSplit/>
        </w:trPr>
        <w:tc>
          <w:tcPr>
            <w:tcW w:type="dxa" w:w="2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Last backup</w:t>
            </w:r>
          </w:p>
        </w:tc>
        <w:tc>
          <w:tcPr>
            <w:tcW w:type="dxa" w:w="2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2 weeks ago</w:t>
            </w:r>
          </w:p>
        </w:tc>
        <w:tc>
          <w:tcPr>
            <w:tcW w:type="dxa" w:w="35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UNACCEPTABLE RPO</w:t>
            </w:r>
          </w:p>
        </w:tc>
      </w:tr>
      <w:tr>
        <w:trPr>
          <w:cantSplit/>
        </w:trPr>
        <w:tc>
          <w:tcPr>
            <w:tcW w:type="dxa" w:w="2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DataNode failure recovery time</w:t>
            </w:r>
          </w:p>
        </w:tc>
        <w:tc>
          <w:tcPr>
            <w:tcW w:type="dxa" w:w="2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8 hours</w:t>
            </w:r>
          </w:p>
        </w:tc>
        <w:tc>
          <w:tcPr>
            <w:tcW w:type="dxa" w:w="35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UNACCEPTABLE RTO</w:t>
            </w:r>
          </w:p>
        </w:tc>
      </w:tr>
      <w:tr>
        <w:trPr>
          <w:cantSplit/>
        </w:trPr>
        <w:tc>
          <w:tcPr>
            <w:tcW w:type="dxa" w:w="2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Monitoring setup</w:t>
            </w:r>
          </w:p>
        </w:tc>
        <w:tc>
          <w:tcPr>
            <w:tcW w:type="dxa" w:w="2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Manual spreadsheets</w:t>
            </w:r>
          </w:p>
        </w:tc>
        <w:tc>
          <w:tcPr>
            <w:tcW w:type="dxa" w:w="35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No real-time alerts</w:t>
            </w:r>
          </w:p>
        </w:tc>
      </w:tr>
      <w:tr>
        <w:trPr>
          <w:cantSplit/>
        </w:trPr>
        <w:tc>
          <w:tcPr>
            <w:tcW w:type="dxa" w:w="2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HA setup</w:t>
            </w:r>
          </w:p>
        </w:tc>
        <w:tc>
          <w:tcPr>
            <w:tcW w:type="dxa" w:w="2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None (single NameNode)</w:t>
            </w:r>
          </w:p>
        </w:tc>
        <w:tc>
          <w:tcPr>
            <w:tcW w:type="dxa" w:w="35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Single point of failure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6"/>
              <w:left w:val="single" w:color="B8D7F6" w:sz="6"/>
              <w:bottom w:val="single" w:color="B8D7F6" w:sz="6"/>
              <w:right w:val="single" w:color="B8D7F6" w:sz="6"/>
            </w:tcBorders>
            <w:shd w:fill="EAF4FF" w:color="auto" w:val="clear"/>
            <w:tcMar>
              <w:top w:type="dxa" w:w="120"/>
              <w:left w:type="dxa" w:w="150"/>
              <w:bottom w:type="dxa" w:w="120"/>
              <w:right w:type="dxa" w:w="150"/>
            </w:tcMar>
          </w:tcPr>
          <w:p>
            <w:pPr>
              <w:spacing w:after="80"/>
            </w:pPr>
            <w:r>
              <w:rPr>
                <w:b/>
                <w:bCs/>
                <w:color w:val="0B2748"/>
                <w:sz w:val="21"/>
                <w:szCs w:val="21"/>
              </w:rPr>
              <w:t xml:space="preserve">Problem Summary</w:t>
            </w:r>
          </w:p>
          <w:p>
            <w:pPr>
              <w:spacing w:after="60"/>
            </w:pPr>
            <w:r>
              <w:rPr>
                <w:color w:val="17212B"/>
                <w:sz w:val="20"/>
                <w:szCs w:val="20"/>
              </w:rPr>
              <w:t xml:space="preserve">The cluster is on the edge of failure. NameNode heap crash is imminent. No automated failover. Slow recovery from node failures. Costs unchecked. Backup is stale.</w:t>
            </w:r>
          </w:p>
        </w:tc>
      </w:tr>
    </w:tbl>
    <w:p>
      <w:pPr>
        <w:spacing w:after="120"/>
      </w:pPr>
    </w:p>
    <w:p>
      <w:pPr>
        <w:pStyle w:val="Heading2"/>
        <w:spacing w:after="120" w:before="240"/>
      </w:pPr>
      <w:r>
        <w:rPr>
          <w:b/>
          <w:bCs/>
          <w:color w:val="1565C0"/>
          <w:sz w:val="26"/>
          <w:szCs w:val="26"/>
        </w:rPr>
        <w:t xml:space="preserve">Step 1: Design Monitoring Dashboard</w:t>
      </w:r>
    </w:p>
    <w:p>
      <w:pPr>
        <w:spacing w:after="120"/>
      </w:pPr>
      <w:r>
        <w:rPr>
          <w:sz w:val="21"/>
          <w:szCs w:val="21"/>
        </w:rPr>
        <w:t xml:space="preserve">Create a monitoring strategy: what to track, alert thresholds, and dashboard design.</w:t>
      </w:r>
    </w:p>
    <w:p>
      <w:pPr>
        <w:spacing w:after="120"/>
      </w:pPr>
      <w:r>
        <w:rPr>
          <w:b/>
          <w:bCs/>
          <w:sz w:val="21"/>
          <w:szCs w:val="21"/>
        </w:rPr>
        <w:t xml:space="preserve">1a. NameNode Metrics</w:t>
      </w:r>
    </w:p>
    <w:p>
      <w:pPr>
        <w:spacing w:after="120"/>
      </w:pPr>
      <w:r>
        <w:rPr>
          <w:sz w:val="21"/>
          <w:szCs w:val="21"/>
        </w:rPr>
        <w:t xml:space="preserve">Metrics to track:</w:t>
      </w:r>
    </w:p>
    <w:p>
      <w:pPr>
        <w:pStyle w:val="ListParagraph"/>
        <w:numPr>
          <w:ilvl w:val="0"/>
          <w:numId w:val="1"/>
        </w:numPr>
        <w:spacing w:after="60"/>
      </w:pPr>
      <w:r>
        <w:rPr>
          <w:sz w:val="21"/>
          <w:szCs w:val="21"/>
        </w:rPr>
        <w:t xml:space="preserve">Heap usage (%)</w:t>
      </w:r>
    </w:p>
    <w:p>
      <w:pPr>
        <w:pStyle w:val="ListParagraph"/>
        <w:numPr>
          <w:ilvl w:val="0"/>
          <w:numId w:val="1"/>
        </w:numPr>
        <w:spacing w:after="60"/>
      </w:pPr>
      <w:r>
        <w:rPr>
          <w:sz w:val="21"/>
          <w:szCs w:val="21"/>
        </w:rPr>
        <w:t xml:space="preserve">Live/Dead DataNodes (count)</w:t>
      </w:r>
    </w:p>
    <w:p>
      <w:pPr>
        <w:pStyle w:val="ListParagraph"/>
        <w:numPr>
          <w:ilvl w:val="0"/>
          <w:numId w:val="1"/>
        </w:numPr>
        <w:spacing w:after="60"/>
      </w:pPr>
      <w:r>
        <w:rPr>
          <w:sz w:val="21"/>
          <w:szCs w:val="21"/>
        </w:rPr>
        <w:t xml:space="preserve">Block count (total)</w:t>
      </w:r>
    </w:p>
    <w:p>
      <w:pPr>
        <w:pStyle w:val="ListParagraph"/>
        <w:numPr>
          <w:ilvl w:val="0"/>
          <w:numId w:val="1"/>
        </w:numPr>
        <w:spacing w:after="60"/>
      </w:pPr>
      <w:r>
        <w:rPr>
          <w:sz w:val="21"/>
          <w:szCs w:val="21"/>
        </w:rPr>
        <w:t xml:space="preserve">Edit log size (MB)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rPr>
          <w:tblHeader/>
        </w:trPr>
        <w:tc>
          <w:tcPr>
            <w:tcW w:type="dxa" w:w="260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Metric</w:t>
            </w:r>
          </w:p>
        </w:tc>
        <w:tc>
          <w:tcPr>
            <w:tcW w:type="dxa" w:w="230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Green</w:t>
            </w:r>
          </w:p>
        </w:tc>
        <w:tc>
          <w:tcPr>
            <w:tcW w:type="dxa" w:w="230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Yellow</w:t>
            </w:r>
          </w:p>
        </w:tc>
        <w:tc>
          <w:tcPr>
            <w:tcW w:type="dxa" w:w="216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Red</w:t>
            </w:r>
          </w:p>
        </w:tc>
      </w:tr>
      <w:tr>
        <w:trPr>
          <w:cantSplit/>
        </w:trPr>
        <w:tc>
          <w:tcPr>
            <w:tcW w:type="dxa" w:w="26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NameNode heap %</w:t>
            </w:r>
          </w:p>
        </w:tc>
        <w:tc>
          <w:tcPr>
            <w:tcW w:type="dxa" w:w="23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&lt; 60%</w:t>
            </w:r>
          </w:p>
        </w:tc>
        <w:tc>
          <w:tcPr>
            <w:tcW w:type="dxa" w:w="23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60–80%</w:t>
            </w:r>
          </w:p>
        </w:tc>
        <w:tc>
          <w:tcPr>
            <w:tcW w:type="dxa" w:w="21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&gt; 80%</w:t>
            </w:r>
          </w:p>
        </w:tc>
      </w:tr>
      <w:tr>
        <w:trPr>
          <w:cantSplit/>
        </w:trPr>
        <w:tc>
          <w:tcPr>
            <w:tcW w:type="dxa" w:w="26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Dead DataNodes</w:t>
            </w:r>
          </w:p>
        </w:tc>
        <w:tc>
          <w:tcPr>
            <w:tcW w:type="dxa" w:w="23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0</w:t>
            </w:r>
          </w:p>
        </w:tc>
        <w:tc>
          <w:tcPr>
            <w:tcW w:type="dxa" w:w="23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1–2</w:t>
            </w:r>
          </w:p>
        </w:tc>
        <w:tc>
          <w:tcPr>
            <w:tcW w:type="dxa" w:w="21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&gt; 2</w:t>
            </w:r>
          </w:p>
        </w:tc>
      </w:tr>
      <w:tr>
        <w:trPr>
          <w:cantSplit/>
        </w:trPr>
        <w:tc>
          <w:tcPr>
            <w:tcW w:type="dxa" w:w="26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Under-replicated blocks</w:t>
            </w:r>
          </w:p>
        </w:tc>
        <w:tc>
          <w:tcPr>
            <w:tcW w:type="dxa" w:w="23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0</w:t>
            </w:r>
          </w:p>
        </w:tc>
        <w:tc>
          <w:tcPr>
            <w:tcW w:type="dxa" w:w="23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&lt; 100</w:t>
            </w:r>
          </w:p>
        </w:tc>
        <w:tc>
          <w:tcPr>
            <w:tcW w:type="dxa" w:w="21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&gt; 100</w:t>
            </w:r>
          </w:p>
        </w:tc>
      </w:tr>
    </w:tbl>
    <w:p>
      <w:pPr>
        <w:spacing w:after="120"/>
      </w:pPr>
    </w:p>
    <w:p>
      <w:pPr>
        <w:spacing w:after="120"/>
      </w:pPr>
      <w:r>
        <w:rPr>
          <w:b/>
          <w:bCs/>
          <w:sz w:val="21"/>
          <w:szCs w:val="21"/>
        </w:rPr>
        <w:t xml:space="preserve">Fill in your thresholds and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DataNode disk usage — Green &lt; 80%, Yellow 80–92%, Red &gt; 92%. Green: no action. Yellow: notify ops via low-priority Slack channel, review candidate nodes for rebalancing. Red: page on-call immediately, run hdfs balancer, block new writes to the affected node, evaluate emergency capacity addition.</w:t>
            </w:r>
          </w:p>
          <w:p>
            <w:pPr>
              <w:spacing w:after="100"/>
            </w:pPr>
            <w:r>
              <w:rPr>
                <w:color w:val="17212B"/>
                <w:sz w:val="20"/>
                <w:szCs w:val="20"/>
              </w:rPr>
              <w:t xml:space="preserve">MapReduce task failure % — Green &lt; 5%, Yellow 5–20%, Red &gt; 20%. Green: no action. Yellow: investigate recent job logs for a pattern (bad input split, flaky node). Red: page on-call, pause non-critical scheduled jobs, check for a failing DataNode or network partition causing cascading task failures.</w:t>
            </w:r>
          </w:p>
          <w:p>
            <w:pPr>
              <w:spacing w:after="100"/>
            </w:pPr>
            <w:r>
              <w:rPr>
                <w:color w:val="17212B"/>
                <w:sz w:val="20"/>
                <w:szCs w:val="20"/>
              </w:rPr>
              <w:t xml:space="preserve">Edit log size (NameNode) — Green &lt; 500MB, Yellow 500MB–1GB, Red &gt; 1GB. Green: no action. Yellow: trigger a manual checkpoint (Secondary NameNode merge) ahead of schedule. Red: page on-call — an oversized, un-checkpointed edit log dramatically increases NameNode restart time and risk.</w:t>
            </w:r>
          </w:p>
          <w:p>
            <w:pPr>
              <w:spacing w:after="100"/>
            </w:pPr>
            <w:r>
              <w:rPr>
                <w:color w:val="17212B"/>
                <w:sz w:val="20"/>
                <w:szCs w:val="20"/>
              </w:rPr>
              <w:t xml:space="preserve">General escalation rule: Green = dashboard only, no alert. Yellow = async notification (Slack/email) to the on-call engineer during business hours, reviewed same day. Red = paging alert (PagerDuty/phone) requiring acknowledgment within 15 minutes and action per the relevant runbook, since Red thresholds in this cluster (85% NameNode heap, 92% disk) are set right at the point where a second, unrelated failure would push the system into an outage.</w:t>
            </w:r>
          </w:p>
        </w:tc>
      </w:tr>
    </w:tbl>
    <w:p>
      <w:pPr>
        <w:spacing w:after="120"/>
      </w:pPr>
    </w:p>
    <w:p>
      <w:pPr>
        <w:pStyle w:val="Heading2"/>
        <w:spacing w:after="120" w:before="240"/>
      </w:pPr>
      <w:r>
        <w:rPr>
          <w:b/>
          <w:bCs/>
          <w:color w:val="1565C0"/>
          <w:sz w:val="26"/>
          <w:szCs w:val="26"/>
        </w:rPr>
        <w:t xml:space="preserve">Step 2: Plan Backup &amp; Disaster Recovery</w:t>
      </w:r>
    </w:p>
    <w:p>
      <w:pPr>
        <w:spacing w:after="120"/>
      </w:pPr>
      <w:r>
        <w:rPr>
          <w:sz w:val="21"/>
          <w:szCs w:val="21"/>
        </w:rPr>
        <w:t xml:space="preserve">Current state: Last backup 2 weeks ago → RPO of 14 days is unacceptable.</w:t>
      </w:r>
    </w:p>
    <w:p>
      <w:pPr>
        <w:spacing w:after="120"/>
      </w:pPr>
      <w:r>
        <w:rPr>
          <w:b/>
          <w:bCs/>
          <w:sz w:val="21"/>
          <w:szCs w:val="21"/>
        </w:rPr>
        <w:t xml:space="preserve">2a. Backup Strategy</w:t>
      </w:r>
    </w:p>
    <w:p>
      <w:pPr>
        <w:spacing w:after="120"/>
      </w:pPr>
      <w:r>
        <w:rPr>
          <w:sz w:val="21"/>
          <w:szCs w:val="21"/>
        </w:rPr>
        <w:t xml:space="preserve">Design a backup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Decision</w:t>
            </w:r>
          </w:p>
        </w:tc>
        <w:tc>
          <w:tcPr>
            <w:tcW w:type="dxa" w:w="240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Option A</w:t>
            </w:r>
          </w:p>
        </w:tc>
        <w:tc>
          <w:tcPr>
            <w:tcW w:type="dxa" w:w="240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Option B</w:t>
            </w:r>
          </w:p>
        </w:tc>
        <w:tc>
          <w:tcPr>
            <w:tcW w:type="dxa" w:w="236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Option C</w:t>
            </w:r>
          </w:p>
        </w:tc>
      </w:tr>
      <w:tr>
        <w:trPr>
          <w:cantSplit/>
        </w:trPr>
        <w:tc>
          <w:tcPr>
            <w:tcW w:type="dxa" w:w="22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Backup frequency</w:t>
            </w:r>
          </w:p>
        </w:tc>
        <w:tc>
          <w:tcPr>
            <w:tcW w:type="dxa" w:w="24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Daily</w:t>
            </w:r>
          </w:p>
        </w:tc>
        <w:tc>
          <w:tcPr>
            <w:tcW w:type="dxa" w:w="24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Hourly</w:t>
            </w:r>
          </w:p>
        </w:tc>
        <w:tc>
          <w:tcPr>
            <w:tcW w:type="dxa" w:w="23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Real-time (HA)</w:t>
            </w:r>
          </w:p>
        </w:tc>
      </w:tr>
      <w:tr>
        <w:trPr>
          <w:cantSplit/>
        </w:trPr>
        <w:tc>
          <w:tcPr>
            <w:tcW w:type="dxa" w:w="22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Storage location</w:t>
            </w:r>
          </w:p>
        </w:tc>
        <w:tc>
          <w:tcPr>
            <w:tcW w:type="dxa" w:w="24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On-cluster NFS</w:t>
            </w:r>
          </w:p>
        </w:tc>
        <w:tc>
          <w:tcPr>
            <w:tcW w:type="dxa" w:w="24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Off-site S3</w:t>
            </w:r>
          </w:p>
        </w:tc>
        <w:tc>
          <w:tcPr>
            <w:tcW w:type="dxa" w:w="23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Shared QJM</w:t>
            </w:r>
          </w:p>
        </w:tc>
      </w:tr>
      <w:tr>
        <w:trPr>
          <w:cantSplit/>
        </w:trPr>
        <w:tc>
          <w:tcPr>
            <w:tcW w:type="dxa" w:w="22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RTO</w:t>
            </w:r>
          </w:p>
        </w:tc>
        <w:tc>
          <w:tcPr>
            <w:tcW w:type="dxa" w:w="24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2–4 hours</w:t>
            </w:r>
          </w:p>
        </w:tc>
        <w:tc>
          <w:tcPr>
            <w:tcW w:type="dxa" w:w="24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 hour</w:t>
            </w:r>
          </w:p>
        </w:tc>
        <w:tc>
          <w:tcPr>
            <w:tcW w:type="dxa" w:w="23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&lt; 1 minute</w:t>
            </w:r>
          </w:p>
        </w:tc>
      </w:tr>
      <w:tr>
        <w:trPr>
          <w:cantSplit/>
        </w:trPr>
        <w:tc>
          <w:tcPr>
            <w:tcW w:type="dxa" w:w="22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RPO</w:t>
            </w:r>
          </w:p>
        </w:tc>
        <w:tc>
          <w:tcPr>
            <w:tcW w:type="dxa" w:w="24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24 hours</w:t>
            </w:r>
          </w:p>
        </w:tc>
        <w:tc>
          <w:tcPr>
            <w:tcW w:type="dxa" w:w="24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 hour</w:t>
            </w:r>
          </w:p>
        </w:tc>
        <w:tc>
          <w:tcPr>
            <w:tcW w:type="dxa" w:w="23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Near-zero</w:t>
            </w:r>
          </w:p>
        </w:tc>
      </w:tr>
      <w:tr>
        <w:trPr>
          <w:cantSplit/>
        </w:trPr>
        <w:tc>
          <w:tcPr>
            <w:tcW w:type="dxa" w:w="22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Cost/month</w:t>
            </w:r>
          </w:p>
        </w:tc>
        <w:tc>
          <w:tcPr>
            <w:tcW w:type="dxa" w:w="24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$200</w:t>
            </w:r>
          </w:p>
        </w:tc>
        <w:tc>
          <w:tcPr>
            <w:tcW w:type="dxa" w:w="24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$1000</w:t>
            </w:r>
          </w:p>
        </w:tc>
        <w:tc>
          <w:tcPr>
            <w:tcW w:type="dxa" w:w="23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$2000+ HA infra</w:t>
            </w:r>
          </w:p>
        </w:tc>
      </w:tr>
    </w:tbl>
    <w:p>
      <w:pPr>
        <w:spacing w:after="120"/>
      </w:pPr>
    </w:p>
    <w:p>
      <w:pPr>
        <w:spacing w:after="120"/>
      </w:pPr>
      <w:r>
        <w:rPr>
          <w:b/>
          <w:bCs/>
          <w:sz w:val="21"/>
          <w:szCs w:val="21"/>
        </w:rPr>
        <w:t xml:space="preserve">Your recommendation: Choose the option that balances cost and business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Recommend a two-phase plan rather than picking a single option outright. Phase 1 (immediate, this week): implement Option B — hourly incremental backup with off-site S3 replication, $1,000/month. This directly fixes the current 14-day RPO crisis at a modest, easily justified cost, cutting RPO from 14 days to 1 hour and RTO from an unquantified/manual recovery down to about 1 hour.</w:t>
            </w:r>
          </w:p>
          <w:p>
            <w:pPr>
              <w:spacing w:after="100"/>
            </w:pPr>
            <w:r>
              <w:rPr>
                <w:color w:val="17212B"/>
                <w:sz w:val="20"/>
                <w:szCs w:val="20"/>
              </w:rPr>
              <w:t xml:space="preserve">Phase 2 (planned, over the next 1–2 months): move to Option C (full HA with active/standby NameNode + ZooKeeper quorum), which is designed and costed in Step 5. This is the right long-term target given the cluster is described as 'on the edge of failure' with a single NameNode as a SPOF — but it requires additional hardware procurement and configuration, so it shouldn't block the urgent fix in Phase 1.</w:t>
            </w:r>
          </w:p>
          <w:p>
            <w:pPr>
              <w:spacing w:after="100"/>
            </w:pPr>
            <w:r>
              <w:rPr>
                <w:color w:val="17212B"/>
                <w:sz w:val="20"/>
                <w:szCs w:val="20"/>
              </w:rPr>
              <w:t xml:space="preserve">Justification: Option A (daily/on-cluster NFS) is rejected because storing the only backup on the same cluster it protects doesn't guard against a cluster-wide incident (e.g., the NameNode's host failing), and a 24-hour RPO is only marginally better than the current unacceptable state. Option B is the right immediate, low-cost stopgap; Option C is the right end state.</w:t>
            </w:r>
          </w:p>
        </w:tc>
      </w:tr>
    </w:tbl>
    <w:p>
      <w:pPr>
        <w:spacing w:after="120"/>
      </w:pPr>
    </w:p>
    <w:p>
      <w:pPr>
        <w:pStyle w:val="Heading2"/>
        <w:spacing w:after="120" w:before="240"/>
      </w:pPr>
      <w:r>
        <w:rPr>
          <w:b/>
          <w:bCs/>
          <w:color w:val="1565C0"/>
          <w:sz w:val="26"/>
          <w:szCs w:val="26"/>
        </w:rPr>
        <w:t xml:space="preserve">Step 3: Cost Optimization Analysis</w:t>
      </w:r>
    </w:p>
    <w:p>
      <w:pPr>
        <w:spacing w:after="120"/>
      </w:pPr>
      <w:r>
        <w:rPr>
          <w:sz w:val="21"/>
          <w:szCs w:val="21"/>
        </w:rPr>
        <w:t xml:space="preserve">Current: 50 nodes × $1000/year ops = $50K/year. Target: Reduce by 20% to $40K/year.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3100"/>
        <w:gridCol w:w="1760"/>
      </w:tblGrid>
      <w:tr>
        <w:trPr>
          <w:tblHeader/>
        </w:trPr>
        <w:tc>
          <w:tcPr>
            <w:tcW w:type="dxa" w:w="290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Optimization</w:t>
            </w:r>
          </w:p>
        </w:tc>
        <w:tc>
          <w:tcPr>
            <w:tcW w:type="dxa" w:w="160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Annual Savings</w:t>
            </w:r>
          </w:p>
        </w:tc>
        <w:tc>
          <w:tcPr>
            <w:tcW w:type="dxa" w:w="310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Impact</w:t>
            </w:r>
          </w:p>
        </w:tc>
        <w:tc>
          <w:tcPr>
            <w:tcW w:type="dxa" w:w="176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Your Choice?</w:t>
            </w:r>
          </w:p>
        </w:tc>
      </w:tr>
      <w:tr>
        <w:trPr>
          <w:cantSplit/>
        </w:trPr>
        <w:tc>
          <w:tcPr>
            <w:tcW w:type="dxa" w:w="2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Compression (Gzip logs)</w:t>
            </w:r>
          </w:p>
        </w:tc>
        <w:tc>
          <w:tcPr>
            <w:tcW w:type="dxa" w:w="16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$5,000</w:t>
            </w:r>
          </w:p>
        </w:tc>
        <w:tc>
          <w:tcPr>
            <w:tcW w:type="dxa" w:w="31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Reduced storage, higher CPU</w:t>
            </w:r>
          </w:p>
        </w:tc>
        <w:tc>
          <w:tcPr>
            <w:tcW w:type="dxa" w:w="1760"/>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Yes</w:t>
            </w:r>
          </w:p>
        </w:tc>
      </w:tr>
      <w:tr>
        <w:trPr>
          <w:cantSplit/>
        </w:trPr>
        <w:tc>
          <w:tcPr>
            <w:tcW w:type="dxa" w:w="2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Tiering (archive &gt; 30 days to cold)</w:t>
            </w:r>
          </w:p>
        </w:tc>
        <w:tc>
          <w:tcPr>
            <w:tcW w:type="dxa" w:w="16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$3,000</w:t>
            </w:r>
          </w:p>
        </w:tc>
        <w:tc>
          <w:tcPr>
            <w:tcW w:type="dxa" w:w="31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Slower access to old logs</w:t>
            </w:r>
          </w:p>
        </w:tc>
        <w:tc>
          <w:tcPr>
            <w:tcW w:type="dxa" w:w="1760"/>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Yes</w:t>
            </w:r>
          </w:p>
        </w:tc>
      </w:tr>
      <w:tr>
        <w:trPr>
          <w:cantSplit/>
        </w:trPr>
        <w:tc>
          <w:tcPr>
            <w:tcW w:type="dxa" w:w="2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Decommission 5 slow nodes</w:t>
            </w:r>
          </w:p>
        </w:tc>
        <w:tc>
          <w:tcPr>
            <w:tcW w:type="dxa" w:w="16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$5,000</w:t>
            </w:r>
          </w:p>
        </w:tc>
        <w:tc>
          <w:tcPr>
            <w:tcW w:type="dxa" w:w="31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Less capacity, need to rebalance</w:t>
            </w:r>
          </w:p>
        </w:tc>
        <w:tc>
          <w:tcPr>
            <w:tcW w:type="dxa" w:w="1760"/>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No</w:t>
            </w:r>
          </w:p>
        </w:tc>
      </w:tr>
      <w:tr>
        <w:trPr>
          <w:cantSplit/>
        </w:trPr>
        <w:tc>
          <w:tcPr>
            <w:tcW w:type="dxa" w:w="2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Auto-scaling (scale down off-peak)</w:t>
            </w:r>
          </w:p>
        </w:tc>
        <w:tc>
          <w:tcPr>
            <w:tcW w:type="dxa" w:w="16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$2,000</w:t>
            </w:r>
          </w:p>
        </w:tc>
        <w:tc>
          <w:tcPr>
            <w:tcW w:type="dxa" w:w="31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Reduced peak hours ops</w:t>
            </w:r>
          </w:p>
        </w:tc>
        <w:tc>
          <w:tcPr>
            <w:tcW w:type="dxa" w:w="1760"/>
            <w:tcBorders>
              <w:top w:val="single" w:color="B8D7F6" w:sz="4"/>
              <w:left w:val="single" w:color="B8D7F6" w:sz="4"/>
              <w:bottom w:val="single" w:color="B8D7F6" w:sz="4"/>
              <w:right w:val="single" w:color="B8D7F6" w:sz="4"/>
            </w:tcBorders>
            <w:shd w:fill="EAF4FF" w:color="auto" w:val="clear"/>
            <w:tcMar>
              <w:top w:type="dxa" w:w="80"/>
              <w:left w:type="dxa" w:w="100"/>
              <w:bottom w:type="dxa" w:w="80"/>
              <w:right w:type="dxa" w:w="100"/>
            </w:tcMar>
            <w:vAlign w:val="center"/>
          </w:tcPr>
          <w:p>
            <w:r>
              <w:rPr>
                <w:b/>
                <w:bCs/>
                <w:color w:val="0B2748"/>
                <w:sz w:val="20"/>
                <w:szCs w:val="20"/>
              </w:rPr>
              <w:t xml:space="preserve">Yes</w:t>
            </w:r>
          </w:p>
        </w:tc>
      </w:tr>
    </w:tbl>
    <w:p>
      <w:pPr>
        <w:spacing w:after="120"/>
      </w:pPr>
    </w:p>
    <w:p>
      <w:pPr>
        <w:spacing w:after="120"/>
      </w:pPr>
      <w:r>
        <w:rPr>
          <w:b/>
          <w:bCs/>
          <w:sz w:val="21"/>
          <w:szCs w:val="21"/>
        </w:rPr>
        <w:t xml:space="preserve">Calculate total savings from your selections and new monthly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Selected: Compression + Tiering + Auto-scaling = $5,000 + $3,000 + $2,000 = $10,000/year in savings — exactly the 20% reduction target ($50K/year → $40K/year), with no need to touch node count.</w:t>
            </w:r>
          </w:p>
          <w:p>
            <w:pPr>
              <w:spacing w:after="100"/>
            </w:pPr>
            <w:r>
              <w:rPr>
                <w:color w:val="17212B"/>
                <w:sz w:val="20"/>
                <w:szCs w:val="20"/>
              </w:rPr>
              <w:t xml:space="preserve">Decommissioning 5 slow nodes is deliberately excluded even though it offers the largest single saving ($5,000/year): the cluster's DataNode disk utilization is already at a RISKY 92% (Step-0 assessment), so removing 5 nodes' worth of capacity would push remaining disks even closer to full and directly conflicts with the goal of getting out of the danger zone. Compression and tiering, by contrast, reduce the amount of data that needs to be stored in the first place — helping the 92% disk problem instead of worsening it.</w:t>
            </w:r>
          </w:p>
          <w:p>
            <w:pPr>
              <w:spacing w:after="100"/>
            </w:pPr>
            <w:r>
              <w:rPr>
                <w:color w:val="17212B"/>
                <w:sz w:val="20"/>
                <w:szCs w:val="20"/>
              </w:rPr>
              <w:t xml:space="preserve">New cost: annual ops cost falls from $50,000/year to $40,000/year, i.e. roughly $3,333/month instead of ~$4,167/month for this ops line item. (Note: this $50K/year ops figure is distinct from the broader $50,000/month total cluster cost — hardware + power + cooling + ops — quoted in the Current State table; the optimizations here target the ops/storage-driver portion of that total.)</w:t>
            </w:r>
          </w:p>
        </w:tc>
      </w:tr>
    </w:tbl>
    <w:p>
      <w:pPr>
        <w:spacing w:after="120"/>
      </w:pPr>
    </w:p>
    <w:p>
      <w:pPr>
        <w:pStyle w:val="Heading2"/>
        <w:spacing w:after="120" w:before="240"/>
      </w:pPr>
      <w:r>
        <w:rPr>
          <w:b/>
          <w:bCs/>
          <w:color w:val="1565C0"/>
          <w:sz w:val="26"/>
          <w:szCs w:val="26"/>
        </w:rPr>
        <w:t xml:space="preserve">Step 4: Address NameNode Heap Pressure</w:t>
      </w:r>
    </w:p>
    <w:p>
      <w:pPr>
        <w:spacing w:after="120"/>
      </w:pPr>
      <w:r>
        <w:rPr>
          <w:sz w:val="21"/>
          <w:szCs w:val="21"/>
        </w:rPr>
        <w:t xml:space="preserve">Current heap: 85% at 50M files. At current growth (1M files/month), heap will exceed 90% in ~2 months → crash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400"/>
        <w:gridCol w:w="2160"/>
      </w:tblGrid>
      <w:tr>
        <w:trPr>
          <w:tblHeader/>
        </w:trPr>
        <w:tc>
          <w:tcPr>
            <w:tcW w:type="dxa" w:w="210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Option</w:t>
            </w:r>
          </w:p>
        </w:tc>
        <w:tc>
          <w:tcPr>
            <w:tcW w:type="dxa" w:w="270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Action</w:t>
            </w:r>
          </w:p>
        </w:tc>
        <w:tc>
          <w:tcPr>
            <w:tcW w:type="dxa" w:w="240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NameNode Heap Impact</w:t>
            </w:r>
          </w:p>
        </w:tc>
        <w:tc>
          <w:tcPr>
            <w:tcW w:type="dxa" w:w="216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Timeline</w:t>
            </w:r>
          </w:p>
        </w:tc>
      </w:tr>
      <w:tr>
        <w:trPr>
          <w:cantSplit/>
        </w:trPr>
        <w:tc>
          <w:tcPr>
            <w:tcW w:type="dxa" w:w="21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Tiering</w:t>
            </w:r>
          </w:p>
        </w:tc>
        <w:tc>
          <w:tcPr>
            <w:tcW w:type="dxa" w:w="27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Archive logs &gt; 30 days (removes old files)</w:t>
            </w:r>
          </w:p>
        </w:tc>
        <w:tc>
          <w:tcPr>
            <w:tcW w:type="dxa" w:w="24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Reduces heap by ~10%</w:t>
            </w:r>
          </w:p>
        </w:tc>
        <w:tc>
          <w:tcPr>
            <w:tcW w:type="dxa" w:w="21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 month</w:t>
            </w:r>
          </w:p>
        </w:tc>
      </w:tr>
      <w:tr>
        <w:trPr>
          <w:cantSplit/>
        </w:trPr>
        <w:tc>
          <w:tcPr>
            <w:tcW w:type="dxa" w:w="21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Consolidate</w:t>
            </w:r>
          </w:p>
        </w:tc>
        <w:tc>
          <w:tcPr>
            <w:tcW w:type="dxa" w:w="27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Merge small files into larger blocks</w:t>
            </w:r>
          </w:p>
        </w:tc>
        <w:tc>
          <w:tcPr>
            <w:tcW w:type="dxa" w:w="24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Reduces heap by ~15%</w:t>
            </w:r>
          </w:p>
        </w:tc>
        <w:tc>
          <w:tcPr>
            <w:tcW w:type="dxa" w:w="21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Ongoing</w:t>
            </w:r>
          </w:p>
        </w:tc>
      </w:tr>
      <w:tr>
        <w:trPr>
          <w:cantSplit/>
        </w:trPr>
        <w:tc>
          <w:tcPr>
            <w:tcW w:type="dxa" w:w="21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Scale (Federation)</w:t>
            </w:r>
          </w:p>
        </w:tc>
        <w:tc>
          <w:tcPr>
            <w:tcW w:type="dxa" w:w="27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Add second NameNode</w:t>
            </w:r>
          </w:p>
        </w:tc>
        <w:tc>
          <w:tcPr>
            <w:tcW w:type="dxa" w:w="24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Splits namespace across 2 NameNodes</w:t>
            </w:r>
          </w:p>
        </w:tc>
        <w:tc>
          <w:tcPr>
            <w:tcW w:type="dxa" w:w="21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2 months setup</w:t>
            </w:r>
          </w:p>
        </w:tc>
      </w:tr>
    </w:tbl>
    <w:p>
      <w:pPr>
        <w:spacing w:after="120"/>
      </w:pPr>
    </w:p>
    <w:p>
      <w:pPr>
        <w:spacing w:after="120"/>
      </w:pPr>
      <w:r>
        <w:rPr>
          <w:b/>
          <w:bCs/>
          <w:sz w:val="21"/>
          <w:szCs w:val="21"/>
        </w:rPr>
        <w:t xml:space="preserve">Which solution do you recommend?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Do Tiering and Consolidation together, immediately, and start Federation in parallel as a longer-term project — not as either/or.</w:t>
            </w:r>
          </w:p>
          <w:p>
            <w:pPr>
              <w:spacing w:after="100"/>
            </w:pPr>
            <w:r>
              <w:rPr>
                <w:color w:val="17212B"/>
                <w:sz w:val="20"/>
                <w:szCs w:val="20"/>
              </w:rPr>
              <w:t xml:space="preserve">Reasoning: the crisis window is ~2 months (heap crosses 90% at the current 1M files/month growth rate). Tiering (1 month) and Consolidation (ongoing, starts paying off immediately) together cut heap by roughly ~25%, taking the cluster from 85% down to around 60–64% — comfortably back in the Green/Yellow range from Step 1's thresholds — well inside the available time budget.</w:t>
            </w:r>
          </w:p>
          <w:p>
            <w:pPr>
              <w:spacing w:after="100"/>
            </w:pPr>
            <w:r>
              <w:rPr>
                <w:color w:val="17212B"/>
                <w:sz w:val="20"/>
                <w:szCs w:val="20"/>
              </w:rPr>
              <w:t xml:space="preserve">Federation (2 months setup) is too slow on its own to prevent the near-term crash risk, but file growth doesn't stop — Tiering/Consolidation buy time, they don't remove the underlying growth trend. So Federation should be scoped and started now so it's ready before the next heap-pressure cycle arrives, rather than being triggered reactively during a future crisis.</w:t>
            </w:r>
          </w:p>
        </w:tc>
      </w:tr>
    </w:tbl>
    <w:p>
      <w:pPr>
        <w:spacing w:after="120"/>
      </w:pPr>
    </w:p>
    <w:p>
      <w:pPr>
        <w:pStyle w:val="Heading2"/>
        <w:spacing w:after="120" w:before="240"/>
      </w:pPr>
      <w:r>
        <w:rPr>
          <w:b/>
          <w:bCs/>
          <w:color w:val="1565C0"/>
          <w:sz w:val="26"/>
          <w:szCs w:val="26"/>
        </w:rPr>
        <w:t xml:space="preserve">Step 5: Implement High Availability (HA)</w:t>
      </w:r>
    </w:p>
    <w:p>
      <w:pPr>
        <w:spacing w:after="120"/>
      </w:pPr>
      <w:r>
        <w:rPr>
          <w:sz w:val="21"/>
          <w:szCs w:val="21"/>
        </w:rPr>
        <w:t xml:space="preserve">Current: Single NameNode (SPOF). Proposed: HA with Standby.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Component</w:t>
            </w:r>
          </w:p>
        </w:tc>
        <w:tc>
          <w:tcPr>
            <w:tcW w:type="dxa" w:w="220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Quantity</w:t>
            </w:r>
          </w:p>
        </w:tc>
        <w:tc>
          <w:tcPr>
            <w:tcW w:type="dxa" w:w="456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Purpose</w:t>
            </w:r>
          </w:p>
        </w:tc>
      </w:tr>
      <w:tr>
        <w:trPr>
          <w:cantSplit/>
        </w:trPr>
        <w:tc>
          <w:tcPr>
            <w:tcW w:type="dxa" w:w="26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Active NameNode</w:t>
            </w:r>
          </w:p>
        </w:tc>
        <w:tc>
          <w:tcPr>
            <w:tcW w:type="dxa" w:w="22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w:t>
            </w:r>
          </w:p>
        </w:tc>
        <w:tc>
          <w:tcPr>
            <w:tcW w:type="dxa" w:w="45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Primary metadata server</w:t>
            </w:r>
          </w:p>
        </w:tc>
      </w:tr>
      <w:tr>
        <w:trPr>
          <w:cantSplit/>
        </w:trPr>
        <w:tc>
          <w:tcPr>
            <w:tcW w:type="dxa" w:w="26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Standby NameNode</w:t>
            </w:r>
          </w:p>
        </w:tc>
        <w:tc>
          <w:tcPr>
            <w:tcW w:type="dxa" w:w="22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w:t>
            </w:r>
          </w:p>
        </w:tc>
        <w:tc>
          <w:tcPr>
            <w:tcW w:type="dxa" w:w="45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Automatic failover replica</w:t>
            </w:r>
          </w:p>
        </w:tc>
      </w:tr>
      <w:tr>
        <w:trPr>
          <w:cantSplit/>
        </w:trPr>
        <w:tc>
          <w:tcPr>
            <w:tcW w:type="dxa" w:w="26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ZooKeeper quorum</w:t>
            </w:r>
          </w:p>
        </w:tc>
        <w:tc>
          <w:tcPr>
            <w:tcW w:type="dxa" w:w="22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3 or 5</w:t>
            </w:r>
          </w:p>
        </w:tc>
        <w:tc>
          <w:tcPr>
            <w:tcW w:type="dxa" w:w="45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Coordinates HA election</w:t>
            </w:r>
          </w:p>
        </w:tc>
      </w:tr>
      <w:tr>
        <w:trPr>
          <w:cantSplit/>
        </w:trPr>
        <w:tc>
          <w:tcPr>
            <w:tcW w:type="dxa" w:w="26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Shared edit log storage</w:t>
            </w:r>
          </w:p>
        </w:tc>
        <w:tc>
          <w:tcPr>
            <w:tcW w:type="dxa" w:w="22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NFS or QJM</w:t>
            </w:r>
          </w:p>
        </w:tc>
        <w:tc>
          <w:tcPr>
            <w:tcW w:type="dxa" w:w="45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Both NNs access same metadata</w:t>
            </w:r>
          </w:p>
        </w:tc>
      </w:tr>
    </w:tbl>
    <w:p>
      <w:pPr>
        <w:spacing w:after="120"/>
      </w:pPr>
      <w:r>
        <w:rPr>
          <w:sz w:val="21"/>
          <w:szCs w:val="21"/>
        </w:rPr>
        <w:t xml:space="preserve">Failover process: Active NameNode fails → ZK detects (30 sec) → Standby promotes (30 sec) → Clients reconnect. Total RTO &lt; 1 minute.</w:t>
      </w:r>
    </w:p>
    <w:p>
      <w:pPr>
        <w:spacing w:after="120"/>
      </w:pPr>
    </w:p>
    <w:p>
      <w:pPr>
        <w:spacing w:after="120"/>
      </w:pPr>
      <w:r>
        <w:rPr>
          <w:b/>
          <w:bCs/>
          <w:sz w:val="21"/>
          <w:szCs w:val="21"/>
        </w:rPr>
        <w:t xml:space="preserve">Estimate HA setup cost and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Hardware/infra cost: 1 new Standby NameNode server (~$1,500–$2,500, comparable spec to the existing NameNode), a 3-node ZooKeeper quorum (small footprint — can run on 3 modest VMs or repurposed edge nodes, ~$500 each ≈ $1,500), and shared edit-log storage via QJM (JournalNodes can co-locate on the same 3 ZK/edge nodes, avoiding extra hardware). One-time setup cost ≈ $3,000–$4,000, plus the ongoing incremental cost noted in Part A's backup table (~$1,000+/month for the always-on standby infrastructure and monitoring).</w:t>
            </w:r>
          </w:p>
          <w:p>
            <w:pPr>
              <w:spacing w:after="100"/>
            </w:pPr>
            <w:r>
              <w:rPr>
                <w:color w:val="17212B"/>
                <w:sz w:val="20"/>
                <w:szCs w:val="20"/>
              </w:rPr>
              <w:t xml:space="preserve">Timeline: Week 1 — procure/provision Standby NameNode and 3 ZK/JournalNode hosts. Week 2 — configure QJM shared edit logs, ZKFC (ZooKeeper Failover Controller), and Standby NameNode sync; validate the Standby is correctly tailing edits. Week 3 — controlled failover testing in a maintenance window (simulate Active failure, confirm &lt; 1 minute RTO, verify clients reconnect transparently). Week 4 — production cutover and a monitoring/runbook update. Total: roughly 3–4 weeks from kickoff to production HA.</w:t>
            </w:r>
          </w:p>
        </w:tc>
      </w:tr>
    </w:tbl>
    <w:p>
      <w:pPr>
        <w:spacing w:after="120"/>
      </w:pPr>
    </w:p>
    <w:p>
      <w:pPr>
        <w:pStyle w:val="Heading1"/>
        <w:spacing w:after="150" w:before="300"/>
      </w:pPr>
      <w:r>
        <w:rPr>
          <w:b/>
          <w:bCs/>
          <w:color w:val="0B2748"/>
          <w:sz w:val="30"/>
          <w:szCs w:val="30"/>
        </w:rPr>
        <w:t xml:space="preserve">Part C: Mini-Problems</w:t>
      </w:r>
    </w:p>
    <w:p>
      <w:pPr>
        <w:pStyle w:val="Heading2"/>
        <w:spacing w:after="120" w:before="240"/>
      </w:pPr>
      <w:r>
        <w:rPr>
          <w:b/>
          <w:bCs/>
          <w:color w:val="1565C0"/>
          <w:sz w:val="26"/>
          <w:szCs w:val="26"/>
        </w:rPr>
        <w:t xml:space="preserve">Mini-Problem 1: DataNode Failure Scenario</w:t>
      </w:r>
    </w:p>
    <w:p>
      <w:pPr>
        <w:spacing w:after="120"/>
      </w:pPr>
      <w:r>
        <w:rPr>
          <w:sz w:val="21"/>
          <w:szCs w:val="21"/>
        </w:rPr>
        <w:t xml:space="preserve">A DataNode holding 12TB of data fails (hardware crash). HDFS detects the failure and begins re-replicating blocks from surviving replicas. Current network capacity: 1 Gbps per DataNode.</w:t>
      </w:r>
    </w:p>
    <w:p>
      <w:pPr>
        <w:spacing w:after="120"/>
      </w:pPr>
      <w:r>
        <w:rPr>
          <w:b/>
          <w:bCs/>
          <w:sz w:val="21"/>
          <w:szCs w:val="21"/>
        </w:rPr>
        <w:t xml:space="preserve">Calculate re-replication time and estimate when cluster is back to normal replication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1 Gbps ≈ 125 MB/s. 12 TB ≈ 12 × 1,048,576 MB ≈ 12,582,912 MB. Over a single 1 Gbps link: 12,582,912 ÷ 125 ≈ 100,663 seconds ≈ 27.9 hours (~1.16 days) — this matches the same calculation from the HDFS design workbook and represents a worst-case single-stream estimate.</w:t>
            </w:r>
          </w:p>
          <w:p>
            <w:pPr>
              <w:spacing w:after="100"/>
            </w:pPr>
            <w:r>
              <w:rPr>
                <w:color w:val="17212B"/>
                <w:sz w:val="20"/>
                <w:szCs w:val="20"/>
              </w:rPr>
              <w:t xml:space="preserve">In practice, the 12TB isn't pushed through one link: the blocks that lived on the failed node are scattered across many surviving DataNodes (as the 2nd/3rd replicas), and the NameNode schedules re-replication in parallel from many source nodes to many target nodes simultaneously. With, say, 10–20 nodes participating in parallel transfers, effective throughput scales roughly with the number of parallel streams (network and disk I/O permitting), so real recovery is typically well under a few hours on a healthy cluster — often 30–90 minutes for 12TB, though this depends on how busy the cluster is with other traffic.</w:t>
            </w:r>
          </w:p>
          <w:p>
            <w:pPr>
              <w:spacing w:after="100"/>
            </w:pPr>
            <w:r>
              <w:rPr>
                <w:color w:val="17212B"/>
                <w:sz w:val="20"/>
                <w:szCs w:val="20"/>
              </w:rPr>
              <w:t xml:space="preserve">The cluster is 'back to normal' (full RF restored) once the NameNode's under-replicated-blocks count returns to 0 — this should be tracked on the Step 1 dashboard (Yellow if this count is climbing/non-zero for an extended period, Red if it exceeds the 100-block threshold), rather than assumed from a fixed time estimate.</w:t>
            </w:r>
          </w:p>
        </w:tc>
      </w:tr>
    </w:tbl>
    <w:p>
      <w:pPr>
        <w:spacing w:after="120"/>
      </w:pPr>
    </w:p>
    <w:p>
      <w:pPr>
        <w:pStyle w:val="Heading2"/>
        <w:spacing w:after="120" w:before="240"/>
      </w:pPr>
      <w:r>
        <w:rPr>
          <w:b/>
          <w:bCs/>
          <w:color w:val="1565C0"/>
          <w:sz w:val="26"/>
          <w:szCs w:val="26"/>
        </w:rPr>
        <w:t xml:space="preserve">Mini-Problem 2: NameNode Heap Projection</w:t>
      </w:r>
    </w:p>
    <w:p>
      <w:pPr>
        <w:spacing w:after="120"/>
      </w:pPr>
      <w:r>
        <w:rPr>
          <w:sz w:val="21"/>
          <w:szCs w:val="21"/>
        </w:rPr>
        <w:t xml:space="preserve">Current state: 50M files, 60% heap usage. Growth rate: 1.5M files/month. If file count grows linearly, when will NameNode heap exceed 90%? When should you add a second NameNode (Federation)?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Since 50M files corresponds to 60% heap, the effective 100%-heap capacity for this NameNode's configured heap size is 50M ÷ 0.60 ≈ 83.3M files. The 90% threshold corresponds to 0.90 × 83.3M ≈ 75M files.</w:t>
            </w:r>
          </w:p>
          <w:p>
            <w:pPr>
              <w:spacing w:after="100"/>
            </w:pPr>
            <w:r>
              <w:rPr>
                <w:color w:val="17212B"/>
                <w:sz w:val="20"/>
                <w:szCs w:val="20"/>
              </w:rPr>
              <w:t xml:space="preserve">Additional files needed to reach 90%: 75M − 50M = 25M files. At 1.5M files/month growth, that takes 25 ÷ 1.5 ≈ 16.7 months — roughly 1 year and 5 months from now.</w:t>
            </w:r>
          </w:p>
          <w:p>
            <w:pPr>
              <w:spacing w:after="100"/>
            </w:pPr>
            <w:r>
              <w:rPr>
                <w:color w:val="17212B"/>
                <w:sz w:val="20"/>
                <w:szCs w:val="20"/>
              </w:rPr>
              <w:t xml:space="preserve">When to add a second NameNode: don't wait until 90%. Using the same Green/Yellow/Red bands from Step 1 (Yellow at 60–80%, Red above 80%), heap crosses into Yellow almost immediately at current levels and will hit the 80% Red line at 0.80×83.3M ≈ 66.7M files, i.e. (66.7−50)/1.5 ≈ 11.1 months from now. Federation setup takes about 2 months (per Step 4's table), so the project should be kicked off with meaningful buffer — around month 8–9 — so it's fully live before the Red threshold is reached at month ~11, rather than starting it reactively once the cluster is already in the danger zone.</w:t>
            </w:r>
          </w:p>
        </w:tc>
      </w:tr>
    </w:tbl>
    <w:p>
      <w:pPr>
        <w:spacing w:after="120"/>
      </w:pPr>
    </w:p>
    <w:p>
      <w:pPr>
        <w:pStyle w:val="Heading2"/>
        <w:spacing w:after="120" w:before="240"/>
      </w:pPr>
      <w:r>
        <w:rPr>
          <w:b/>
          <w:bCs/>
          <w:color w:val="1565C0"/>
          <w:sz w:val="26"/>
          <w:szCs w:val="26"/>
        </w:rPr>
        <w:t xml:space="preserve">Mini-Problem 3: Compression Trade-off</w:t>
      </w:r>
    </w:p>
    <w:p>
      <w:pPr>
        <w:spacing w:after="120"/>
      </w:pPr>
      <w:r>
        <w:rPr>
          <w:sz w:val="21"/>
          <w:szCs w:val="21"/>
        </w:rPr>
        <w:t xml:space="preserve">Implement Gzip compression on 20TB of historical logs. Storage reduction: 3:1 (20TB → 6.67TB). But: CPU overhead for decompression during MapReduce jobs increases job time by 15%.</w:t>
      </w:r>
    </w:p>
    <w:p>
      <w:pPr>
        <w:spacing w:after="120"/>
      </w:pPr>
      <w:r>
        <w:rPr>
          <w:b/>
          <w:bCs/>
          <w:sz w:val="21"/>
          <w:szCs w:val="21"/>
        </w:rPr>
        <w:t xml:space="preserve">Is compression worth it economically? Calculate storage cost savings vs. increased compute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Storage savings: using the $50/TB/month hot-storage rate from Part A's cost table, going from 20TB to 6.67TB frees up 13.33TB, saving 13.33 × $50 ≈ $666.50/month ≈ $8,000/year.</w:t>
            </w:r>
          </w:p>
          <w:p>
            <w:pPr>
              <w:spacing w:after="100"/>
            </w:pPr>
            <w:r>
              <w:rPr>
                <w:color w:val="17212B"/>
                <w:sz w:val="20"/>
                <w:szCs w:val="20"/>
              </w:rPr>
              <w:t xml:space="preserve">Compute cost impact: the 15% job-time increase only applies when MapReduce jobs actually read this historical data — by definition, data being compressed here is described as 'historical' (i.e., accessed rarely, not part of the daily 10TB/day hot pipeline). If, illustratively, this dataset is reprocessed a few times a month at a compute cost of roughly $200 per full run, a 15% overhead adds only about $30 per run — even at a generous 4 runs/month that's ~$120/month ≈ $1,440/year in added compute cost.</w:t>
            </w:r>
          </w:p>
          <w:p>
            <w:pPr>
              <w:spacing w:after="100"/>
            </w:pPr>
            <w:r>
              <w:rPr>
                <w:color w:val="17212B"/>
                <w:sz w:val="20"/>
                <w:szCs w:val="20"/>
              </w:rPr>
              <w:t xml:space="preserve">Net: roughly $8,000/year in storage savings against a few hundred to ~$1,440/year in added compute cost — compression is clearly worth it economically for infrequently-accessed historical data. The caveat (as in the HDFS workbook) is to use a splittable codec, or keep files reasonably sized before compressing, so the 15% job-time estimate doesn't balloon due to loss of mapper parallelism on very large single Gzip files.</w:t>
            </w:r>
          </w:p>
        </w:tc>
      </w:tr>
    </w:tbl>
    <w:p>
      <w:pPr>
        <w:spacing w:after="120"/>
      </w:pPr>
    </w:p>
    <w:p>
      <w:pPr>
        <w:pStyle w:val="Heading2"/>
        <w:spacing w:after="120" w:before="240"/>
      </w:pPr>
      <w:r>
        <w:rPr>
          <w:b/>
          <w:bCs/>
          <w:color w:val="1565C0"/>
          <w:sz w:val="26"/>
          <w:szCs w:val="26"/>
        </w:rPr>
        <w:t xml:space="preserve">Mini-Problem 4: Tiering Strategy</w:t>
      </w:r>
    </w:p>
    <w:p>
      <w:pPr>
        <w:spacing w:after="120"/>
      </w:pPr>
      <w:r>
        <w:rPr>
          <w:sz w:val="21"/>
          <w:szCs w:val="21"/>
        </w:rPr>
        <w:t xml:space="preserve">Move logs older than 30 days to cold storage (AWS S3 Glacier, $1/TB/month). Current hot storage cost: $50/TB/month. Hot tier capacity: 20TB. Cold tier capacity: unlimited.</w:t>
      </w:r>
    </w:p>
    <w:p>
      <w:pPr>
        <w:spacing w:after="120"/>
      </w:pPr>
      <w:r>
        <w:rPr>
          <w:b/>
          <w:bCs/>
          <w:sz w:val="21"/>
          <w:szCs w:val="21"/>
        </w:rPr>
        <w:t xml:space="preserve">Calculate break-even point: after how many days of cold storage does it become cheaper than 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On a pure per-TB-month basis, cold storage ($1/TB/month) is already 50× cheaper than hot ($50/TB/month), so once data is moved, it is cheaper from day one — there's no waiting period for the ongoing storage-rate comparison itself.</w:t>
            </w:r>
          </w:p>
          <w:p>
            <w:pPr>
              <w:spacing w:after="100"/>
            </w:pPr>
            <w:r>
              <w:rPr>
                <w:color w:val="17212B"/>
                <w:sz w:val="20"/>
                <w:szCs w:val="20"/>
              </w:rPr>
              <w:t xml:space="preserve">The real break-even question is whether it's worth paying the one-time cost of moving data (data transfer / Glacier PUT and retrieval fees), since Glacier retrieval isn't free. Assuming a representative one-time migration/retrieval cost of about $20/TB (a typical ballpark for Glacier request + retrieval fees), the daily savings rate is (($50 − $1)/TB/month) ÷ 30 ≈ $1.63/TB/day. Break-even = $20 ÷ $1.63/day ≈ 12.3 days.</w:t>
            </w:r>
          </w:p>
          <w:p>
            <w:pPr>
              <w:spacing w:after="100"/>
            </w:pPr>
            <w:r>
              <w:rPr>
                <w:color w:val="17212B"/>
                <w:sz w:val="20"/>
                <w:szCs w:val="20"/>
              </w:rPr>
              <w:t xml:space="preserve">So even with a one-time migration/retrieval cost factored in, tiering pays for itself in under two weeks — comfortably inside the 30-day policy already used by the company, confirming that the existing '&gt;30 days → cold' rule is a financially conservative (safe) threshold, and could arguably be tightened (e.g., to 15–20 days) for even greater savings if access patterns allow it.</w:t>
            </w:r>
          </w:p>
        </w:tc>
      </w:tr>
    </w:tbl>
    <w:p>
      <w:pPr>
        <w:spacing w:after="120"/>
      </w:pPr>
    </w:p>
    <w:p>
      <w:pPr>
        <w:pStyle w:val="Heading1"/>
        <w:spacing w:after="150" w:before="300"/>
      </w:pPr>
      <w:r>
        <w:rPr>
          <w:b/>
          <w:bCs/>
          <w:color w:val="0B2748"/>
          <w:sz w:val="30"/>
          <w:szCs w:val="30"/>
        </w:rPr>
        <w:t xml:space="preserve">Part D: Problem Bank — 4 Additional Scenarios</w:t>
      </w:r>
    </w:p>
    <w:p>
      <w:pPr>
        <w:pStyle w:val="Heading2"/>
        <w:spacing w:after="120" w:before="240"/>
      </w:pPr>
      <w:r>
        <w:rPr>
          <w:b/>
          <w:bCs/>
          <w:color w:val="1565C0"/>
          <w:sz w:val="26"/>
          <w:szCs w:val="26"/>
        </w:rPr>
        <w:t xml:space="preserve">Scenario A: Multi-Datacenter Failover</w:t>
      </w:r>
    </w:p>
    <w:p>
      <w:pPr>
        <w:spacing w:after="120"/>
      </w:pPr>
      <w:r>
        <w:rPr>
          <w:sz w:val="21"/>
          <w:szCs w:val="21"/>
        </w:rPr>
        <w:t xml:space="preserve">Company wants to replicate the 50-node cluster to a second datacenter 100km away for disaster recovery. Design cross-datacenter replication strategy, network bandwidth requirements, and cost implications. Should data be synchronously or asynchronously replicated? What is RTO/RPO?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Bandwidth: the cluster ingests 10TB/day of new data. 10TB/day ÷ 86,400s ≈ 118 MB/s (~0.94 Gbps) just to keep up with new data in real time; add headroom for peak bursts and any backlog catch-up, so a dedicated 10Gbps WAN link between the two datacenters is a reasonable target rather than trying to squeeze this onto a shared 1Gbps connection.</w:t>
            </w:r>
          </w:p>
          <w:p>
            <w:pPr>
              <w:spacing w:after="100"/>
            </w:pPr>
            <w:r>
              <w:rPr>
                <w:color w:val="17212B"/>
                <w:sz w:val="20"/>
                <w:szCs w:val="20"/>
              </w:rPr>
              <w:t xml:space="preserve">Sync vs. async: 100km is a metro/regional distance — expect on the order of 1–5ms one-way fiber latency (several ms round-trip after real-world routing overhead), which is technically survivable for synchronous replication but ties every write's completion to the health and latency of the cross-DC link, risking write stalls if that link degrades. Given HDFS's throughput-oriented design and the scale here (10TB/day), asynchronous replication (scheduled DistCp jobs or snapshot-based tools) is the more practical default — reserving synchronous/semi-synchronous replication only for a small subset of data with a hard zero-data-loss compliance requirement.</w:t>
            </w:r>
          </w:p>
          <w:p>
            <w:pPr>
              <w:spacing w:after="100"/>
            </w:pPr>
            <w:r>
              <w:rPr>
                <w:color w:val="17212B"/>
                <w:sz w:val="20"/>
                <w:szCs w:val="20"/>
              </w:rPr>
              <w:t xml:space="preserve">RTO/RPO: with asynchronous replication running on, say, a 15-minute snapshot/sync cycle, RPO ≈ 15 minutes (worst case, the gap since the last successful sync). RTO depends on how much is automated for promoting DC2 to primary — with a scripted runbook, expect roughly 15–60 minutes to redirect clients and confirm DC2's data is consistent and complete.</w:t>
            </w:r>
          </w:p>
          <w:p>
            <w:pPr>
              <w:spacing w:after="100"/>
            </w:pPr>
            <w:r>
              <w:rPr>
                <w:color w:val="17212B"/>
                <w:sz w:val="20"/>
                <w:szCs w:val="20"/>
              </w:rPr>
              <w:t xml:space="preserve">Cost implications: a dedicated 10Gbps inter-DC WAN link typically runs on the order of $5,000–$20,000/month depending on provider and region; duplicating meaningful capacity in DC2 (even a partial-capacity DR cluster, not necessarily a full 50-node mirror) adds substantial hardware and power/cooling cost on top of the primary cluster's existing ~$50,000/month. Given this expense, scope full cross-DC replication to business-critical data/directories rather than the entire 10TB/day by default, unless full-cluster DR is a hard business requirement.</w:t>
            </w:r>
          </w:p>
        </w:tc>
      </w:tr>
    </w:tbl>
    <w:p>
      <w:pPr>
        <w:spacing w:after="120"/>
      </w:pPr>
    </w:p>
    <w:p>
      <w:pPr>
        <w:pStyle w:val="Heading2"/>
        <w:spacing w:after="120" w:before="240"/>
      </w:pPr>
      <w:r>
        <w:rPr>
          <w:b/>
          <w:bCs/>
          <w:color w:val="1565C0"/>
          <w:sz w:val="26"/>
          <w:szCs w:val="26"/>
        </w:rPr>
        <w:t xml:space="preserve">Scenario B: Federation for Scale-Out</w:t>
      </w:r>
    </w:p>
    <w:p>
      <w:pPr>
        <w:spacing w:after="120"/>
      </w:pPr>
      <w:r>
        <w:rPr>
          <w:sz w:val="21"/>
          <w:szCs w:val="21"/>
        </w:rPr>
        <w:t xml:space="preserve">The cluster needs to support 200M files (not possible with single NameNode due to heap limits). Design a Federation setup: how many NameNodes? How to distribute files across namespaces? What is the performance impact? Can you still run cluster-wide MapReduce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Heap math: at ~1GB heap per 1M files, 200M files would need ~200GB of NameNode heap on a single NameNode — technically achievable on very high-end hardware but risky in practice due to long JVM garbage-collection pauses at that heap size, which can stall the entire cluster's metadata operations.</w:t>
            </w:r>
          </w:p>
          <w:p>
            <w:pPr>
              <w:spacing w:after="100"/>
            </w:pPr>
            <w:r>
              <w:rPr>
                <w:color w:val="17212B"/>
                <w:sz w:val="20"/>
                <w:szCs w:val="20"/>
              </w:rPr>
              <w:t xml:space="preserve">Recommended Federation layout: split into 4 NameNodes at ~50M files each (~50GB heap per NameNode) — comfortably inside a safe, well-tested heap range with manageable GC behavior, and with headroom before any one NameNode approaches its own Red threshold again.</w:t>
            </w:r>
          </w:p>
          <w:p>
            <w:pPr>
              <w:spacing w:after="100"/>
            </w:pPr>
            <w:r>
              <w:rPr>
                <w:color w:val="17212B"/>
                <w:sz w:val="20"/>
                <w:szCs w:val="20"/>
              </w:rPr>
              <w:t xml:space="preserve">Distributing files: partition the namespace along natural boundaries — e.g., one namespace per business unit or data domain (/finance, /marketing, /logs, /iot) — and expose a single unified view to clients via Router-Based Federation (RBF) or a ViewFs mount table, so applications don't need to know which physical NameNode owns a given path.</w:t>
            </w:r>
          </w:p>
          <w:p>
            <w:pPr>
              <w:spacing w:after="100"/>
            </w:pPr>
            <w:r>
              <w:rPr>
                <w:color w:val="17212B"/>
                <w:sz w:val="20"/>
                <w:szCs w:val="20"/>
              </w:rPr>
              <w:t xml:space="preserve">Performance impact: metadata operations scale better since each NameNode independently handles only its own namespace's requests — no single metadata bottleneck. The trade-off is that operations spanning namespaces (e.g., renaming/moving a file from /logs to /finance) become more complex and can't be a single atomic NameNode operation.</w:t>
            </w:r>
          </w:p>
          <w:p>
            <w:pPr>
              <w:spacing w:after="100"/>
            </w:pPr>
            <w:r>
              <w:rPr>
                <w:color w:val="17212B"/>
                <w:sz w:val="20"/>
                <w:szCs w:val="20"/>
              </w:rPr>
              <w:t xml:space="preserve">Cluster-wide MapReduce: still fully supported. DataNodes are shared storage across the whole cluster regardless of Federation — a given DataNode can host blocks belonging to any namespace. MapReduce/YARN jobs can therefore still read across the shared DataNode pool; jobs that need to reference paths in multiple namespaces just need to go through the federation-aware view (ViewFs/RBF) for path resolution, but computation itself isn't blocked or partitioned by Federation.</w:t>
            </w:r>
          </w:p>
        </w:tc>
      </w:tr>
    </w:tbl>
    <w:p>
      <w:pPr>
        <w:spacing w:after="120"/>
      </w:pPr>
    </w:p>
    <w:p>
      <w:pPr>
        <w:pStyle w:val="Heading2"/>
        <w:spacing w:after="120" w:before="240"/>
      </w:pPr>
      <w:r>
        <w:rPr>
          <w:b/>
          <w:bCs/>
          <w:color w:val="1565C0"/>
          <w:sz w:val="26"/>
          <w:szCs w:val="26"/>
        </w:rPr>
        <w:t xml:space="preserve">Scenario C: Real-Time Alerting &amp; Auto-Remediation</w:t>
      </w:r>
    </w:p>
    <w:p>
      <w:pPr>
        <w:spacing w:after="120"/>
      </w:pPr>
      <w:r>
        <w:rPr>
          <w:sz w:val="21"/>
          <w:szCs w:val="21"/>
        </w:rPr>
        <w:t xml:space="preserve">Design a monitoring + auto-remediation system: when DataNode disk usage exceeds 85%, automatically trigger: (1) alert to ops, (2) pause new block writes to that node, (3) trigger re-replication of critical blocks. What tools would you use? How to test safely?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Tooling: collect metrics via a JMX exporter on each NameNode/DataNode into Prometheus; visualize with Grafana dashboards (mirroring the Green/Yellow/Red bands from Step 1); alert with Prometheus Alertmanager routing to Slack/PagerDuty for the human-facing notification, and a webhook for the automated remediation path.</w:t>
            </w:r>
          </w:p>
          <w:p>
            <w:pPr>
              <w:spacing w:after="100"/>
            </w:pPr>
            <w:r>
              <w:rPr>
                <w:color w:val="17212B"/>
                <w:sz w:val="20"/>
                <w:szCs w:val="20"/>
              </w:rPr>
              <w:t xml:space="preserve">Automation flow: DataNode disk &gt; 85% → Alertmanager fires two things in parallel: (a) a notification to the on-call channel/PagerDuty, and (b) a webhook call to a small remediation service. That service calls `hdfs dfsadmin -refreshNodes` with the node added to an exclude/maintenance list — this is HDFS's built-in 'maintenance mode,' which pauses new block placement on the node without fully decommissioning it (reversible, non-destructive) — then triggers `hdfs balancer` or targeted re-replication so any blocks that are under-replicated because of this node's pressure get additional copies elsewhere.</w:t>
            </w:r>
          </w:p>
          <w:p>
            <w:pPr>
              <w:spacing w:after="100"/>
            </w:pPr>
            <w:r>
              <w:rPr>
                <w:color w:val="17212B"/>
                <w:sz w:val="20"/>
                <w:szCs w:val="20"/>
              </w:rPr>
              <w:t xml:space="preserve">Testing safely: first validate the entire flow in a staging cluster using a synthetic disk-filler script to simulate crossing the 85% threshold, rather than testing against production data. Use HDFS maintenance mode (not full decommission) for the automated action so the change is quickly reversible if something goes wrong. Add a circuit breaker that caps the automation to one node undergoing remediation at a time, so a false-positive alert storm can't accidentally maintenance-mode a large fraction of the cluster at once. Keep full decommission (permanent node removal) as a manual, human-approved action — only the reversible steps (pause writes, trigger rebalance/re-replication, alert) run automatically — and log every automated action for audit and easy rollback.</w:t>
            </w:r>
          </w:p>
        </w:tc>
      </w:tr>
    </w:tbl>
    <w:p>
      <w:pPr>
        <w:spacing w:after="120"/>
      </w:pPr>
    </w:p>
    <w:p>
      <w:pPr>
        <w:pStyle w:val="Heading2"/>
        <w:spacing w:after="120" w:before="240"/>
      </w:pPr>
      <w:r>
        <w:rPr>
          <w:b/>
          <w:bCs/>
          <w:color w:val="1565C0"/>
          <w:sz w:val="26"/>
          <w:szCs w:val="26"/>
        </w:rPr>
        <w:t xml:space="preserve">Scenario D: Cost Benchmarking &amp; Optimization</w:t>
      </w:r>
    </w:p>
    <w:p>
      <w:pPr>
        <w:spacing w:after="120"/>
      </w:pPr>
      <w:r>
        <w:rPr>
          <w:sz w:val="21"/>
          <w:szCs w:val="21"/>
        </w:rPr>
        <w:t xml:space="preserve">The company wants to understand their true cost per TB stored. Include: hardware amortization, power, cooling, network, ops salary (allocate 10% of an engineer's time). Compare: (1) on-premise cluster, (2) AWS S3, (3) hybrid (hot on-premise + cold cloud). Which is most cost-effective for 100TB with 2-year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7F6" w:sz="4"/>
              <w:left w:val="single" w:color="B8D7F6" w:sz="4"/>
              <w:bottom w:val="single" w:color="B8D7F6" w:sz="4"/>
              <w:right w:val="single" w:color="B8D7F6" w:sz="4"/>
            </w:tcBorders>
            <w:shd w:fill="EAF4FF" w:color="auto" w:val="clear"/>
            <w:tcMar>
              <w:top w:type="dxa" w:w="140"/>
              <w:left w:type="dxa" w:w="160"/>
              <w:bottom w:type="dxa" w:w="140"/>
              <w:right w:type="dxa" w:w="160"/>
            </w:tcMar>
          </w:tcPr>
          <w:p>
            <w:pPr>
              <w:spacing w:after="100"/>
            </w:pPr>
            <w:r>
              <w:rPr>
                <w:color w:val="17212B"/>
                <w:sz w:val="20"/>
                <w:szCs w:val="20"/>
              </w:rPr>
              <w:t xml:space="preserve">On-premise: 100TB at RF3 = 300TB raw, plus ~5% metadata overhead ≈ 315TB usable capacity needed. At 12TB/node that's ≈27 DataNodes. Hardware: 27 × $500 = $13,500 (one-time). Power/cooling: 27 × $1,000/yr × 2yr = $54,000. Ops (10% of an engineer's time, assuming a ~$100K/yr salary): $10,000/yr × 2yr = $20,000. Add modest networking/misc costs (~$2,000 over 2 years). 2-year total ≈ $89,500 → ≈ $895/TB over 2 years (~$448/TB/year).</w:t>
            </w:r>
          </w:p>
          <w:p>
            <w:pPr>
              <w:spacing w:after="100"/>
            </w:pPr>
            <w:r>
              <w:rPr>
                <w:color w:val="17212B"/>
                <w:sz w:val="20"/>
                <w:szCs w:val="20"/>
              </w:rPr>
              <w:t xml:space="preserve">AWS S3 (standard tier, illustrative ~$23/TB/month): 100TB × $23 × 24 months = $55,200, plus modest request/egress fees (~$2,000) and a smaller ops allocation (~5% of an engineer's time, since AWS manages the underlying infrastructure) ≈ $10,000 over 2 years. Total ≈ $67,200 → ≈ $672/TB over 2 years.</w:t>
            </w:r>
          </w:p>
          <w:p>
            <w:pPr>
              <w:spacing w:after="100"/>
            </w:pPr>
            <w:r>
              <w:rPr>
                <w:color w:val="17212B"/>
                <w:sz w:val="20"/>
                <w:szCs w:val="20"/>
              </w:rPr>
              <w:t xml:space="preserve">Hybrid (20TB hot on-premise + 80TB cold in Glacier-class storage at ~$1/TB/month): Hot tier needs ≈20×3(RF)/12 ≈ 5–6 DataNodes → hardware ≈ $3,000, power/cooling ≈ 6×$1,000×2 = $12,000, ops ≈ $10,000 (smaller cluster, less to manage) — hot tier total ≈ $25,000 over 2 years. Cold tier: 80TB × $1 × 24 months = $1,920 over 2 years. Hybrid total ≈ $26,920 → ≈ $269/TB over 2 years.</w:t>
            </w:r>
          </w:p>
          <w:p>
            <w:pPr>
              <w:spacing w:after="100"/>
            </w:pPr>
            <w:r>
              <w:rPr>
                <w:color w:val="17212B"/>
                <w:sz w:val="20"/>
                <w:szCs w:val="20"/>
              </w:rPr>
              <w:t xml:space="preserve">Conclusion: the hybrid approach is the clear winner for 100TB over a 2-year horizon (~$269/TB vs. ~$672/TB for pure S3 and ~$895/TB for pure on-premise), provided the 80TB 'cold' portion genuinely sees infrequent access — which matches typical log/analytics data where only recent data is queried often. Pure on-premise is the most expensive here mainly because of full RF3 replication and dedicated power/cooling/ops overhead for the entire 100TB. If regulatory or data-residency rules require everything to stay on-premise, that constraint would override the pure cost comparison and force the on-premise option despite its higher price.</w:t>
            </w:r>
          </w:p>
        </w:tc>
      </w:tr>
    </w:tbl>
    <w:p>
      <w:pPr>
        <w:spacing w:after="120"/>
      </w:pPr>
    </w:p>
    <w:p>
      <w:pPr>
        <w:pStyle w:val="Heading1"/>
        <w:spacing w:after="150" w:before="300"/>
      </w:pPr>
      <w:r>
        <w:rPr>
          <w:b/>
          <w:bCs/>
          <w:color w:val="0B2748"/>
          <w:sz w:val="30"/>
          <w:szCs w:val="30"/>
        </w:rPr>
        <w:t xml:space="preserve">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1900"/>
        <w:gridCol w:w="1750"/>
        <w:gridCol w:w="1750"/>
        <w:gridCol w:w="1760"/>
      </w:tblGrid>
      <w:tr>
        <w:trPr>
          <w:tblHeader/>
        </w:trPr>
        <w:tc>
          <w:tcPr>
            <w:tcW w:type="dxa" w:w="170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Criteria</w:t>
            </w:r>
          </w:p>
        </w:tc>
        <w:tc>
          <w:tcPr>
            <w:tcW w:type="dxa" w:w="50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Wt.</w:t>
            </w:r>
          </w:p>
        </w:tc>
        <w:tc>
          <w:tcPr>
            <w:tcW w:type="dxa" w:w="190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L4 (40–50)</w:t>
            </w:r>
          </w:p>
        </w:tc>
        <w:tc>
          <w:tcPr>
            <w:tcW w:type="dxa" w:w="175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L3 (30–39)</w:t>
            </w:r>
          </w:p>
        </w:tc>
        <w:tc>
          <w:tcPr>
            <w:tcW w:type="dxa" w:w="175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L2 (20–29)</w:t>
            </w:r>
          </w:p>
        </w:tc>
        <w:tc>
          <w:tcPr>
            <w:tcW w:type="dxa" w:w="1760"/>
            <w:tcBorders>
              <w:top w:val="single" w:color="B8D7F6" w:sz="4"/>
              <w:left w:val="single" w:color="B8D7F6" w:sz="4"/>
              <w:bottom w:val="single" w:color="B8D7F6" w:sz="4"/>
              <w:right w:val="single" w:color="B8D7F6" w:sz="4"/>
            </w:tcBorders>
            <w:shd w:fill="0B2748" w:color="auto" w:val="clear"/>
            <w:tcMar>
              <w:top w:type="dxa" w:w="80"/>
              <w:left w:type="dxa" w:w="100"/>
              <w:bottom w:type="dxa" w:w="80"/>
              <w:right w:type="dxa" w:w="100"/>
            </w:tcMar>
            <w:vAlign w:val="center"/>
          </w:tcPr>
          <w:p>
            <w:r>
              <w:rPr>
                <w:b/>
                <w:bCs/>
                <w:color w:val="FFFFFF"/>
                <w:sz w:val="20"/>
                <w:szCs w:val="20"/>
              </w:rPr>
              <w:t xml:space="preserve">L1 (0–19)</w:t>
            </w:r>
          </w:p>
        </w:tc>
      </w:tr>
      <w:tr>
        <w:trPr>
          <w:cantSplit/>
        </w:trPr>
        <w:tc>
          <w:tcPr>
            <w:tcW w:type="dxa" w:w="17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Monitoring &amp; Observability</w:t>
            </w:r>
          </w:p>
        </w:tc>
        <w:tc>
          <w:tcPr>
            <w:tcW w:type="dxa" w:w="5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20%</w:t>
            </w:r>
          </w:p>
        </w:tc>
        <w:tc>
          <w:tcPr>
            <w:tcW w:type="dxa" w:w="1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Comprehensive metrics, realistic alert thresholds, actionable</w:t>
            </w:r>
          </w:p>
        </w:tc>
        <w:tc>
          <w:tcPr>
            <w:tcW w:type="dxa" w:w="175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Good metrics; some thresholds arbitrary</w:t>
            </w:r>
          </w:p>
        </w:tc>
        <w:tc>
          <w:tcPr>
            <w:tcW w:type="dxa" w:w="175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Basic metrics; incomplete alert strategy</w:t>
            </w:r>
          </w:p>
        </w:tc>
        <w:tc>
          <w:tcPr>
            <w:tcW w:type="dxa" w:w="17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Incomplete monitoring design</w:t>
            </w:r>
          </w:p>
        </w:tc>
      </w:tr>
      <w:tr>
        <w:trPr>
          <w:cantSplit/>
        </w:trPr>
        <w:tc>
          <w:tcPr>
            <w:tcW w:type="dxa" w:w="17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Cost Optimization</w:t>
            </w:r>
          </w:p>
        </w:tc>
        <w:tc>
          <w:tcPr>
            <w:tcW w:type="dxa" w:w="5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25%</w:t>
            </w:r>
          </w:p>
        </w:tc>
        <w:tc>
          <w:tcPr>
            <w:tcW w:type="dxa" w:w="1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Accurate cost breakdown, realistic savings targets, trade-offs justified</w:t>
            </w:r>
          </w:p>
        </w:tc>
        <w:tc>
          <w:tcPr>
            <w:tcW w:type="dxa" w:w="175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Good analysis; minor gaps in cost modeling</w:t>
            </w:r>
          </w:p>
        </w:tc>
        <w:tc>
          <w:tcPr>
            <w:tcW w:type="dxa" w:w="175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Basic cost analysis; limited optimization ideas</w:t>
            </w:r>
          </w:p>
        </w:tc>
        <w:tc>
          <w:tcPr>
            <w:tcW w:type="dxa" w:w="17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Incorrect or missing cost analysis</w:t>
            </w:r>
          </w:p>
        </w:tc>
      </w:tr>
      <w:tr>
        <w:trPr>
          <w:cantSplit/>
        </w:trPr>
        <w:tc>
          <w:tcPr>
            <w:tcW w:type="dxa" w:w="17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Backup &amp; DR Planning</w:t>
            </w:r>
          </w:p>
        </w:tc>
        <w:tc>
          <w:tcPr>
            <w:tcW w:type="dxa" w:w="5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20%</w:t>
            </w:r>
          </w:p>
        </w:tc>
        <w:tc>
          <w:tcPr>
            <w:tcW w:type="dxa" w:w="1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Credible RTO/RPO targets, feasible failover design, HA understanding</w:t>
            </w:r>
          </w:p>
        </w:tc>
        <w:tc>
          <w:tcPr>
            <w:tcW w:type="dxa" w:w="175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Good DR plan; some RTO/RPO unrealistic</w:t>
            </w:r>
          </w:p>
        </w:tc>
        <w:tc>
          <w:tcPr>
            <w:tcW w:type="dxa" w:w="175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Basic backup strategy; weak failover plan</w:t>
            </w:r>
          </w:p>
        </w:tc>
        <w:tc>
          <w:tcPr>
            <w:tcW w:type="dxa" w:w="17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Incomplete or missing DR strategy</w:t>
            </w:r>
          </w:p>
        </w:tc>
      </w:tr>
      <w:tr>
        <w:trPr>
          <w:cantSplit/>
        </w:trPr>
        <w:tc>
          <w:tcPr>
            <w:tcW w:type="dxa" w:w="17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Scaling &amp; Capacity Planning</w:t>
            </w:r>
          </w:p>
        </w:tc>
        <w:tc>
          <w:tcPr>
            <w:tcW w:type="dxa" w:w="5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20%</w:t>
            </w:r>
          </w:p>
        </w:tc>
        <w:tc>
          <w:tcPr>
            <w:tcW w:type="dxa" w:w="1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Data-driven forecasts, proactive scaling, Federation/HA impact analysis</w:t>
            </w:r>
          </w:p>
        </w:tc>
        <w:tc>
          <w:tcPr>
            <w:tcW w:type="dxa" w:w="175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Good capacity plan; some growth projections weak</w:t>
            </w:r>
          </w:p>
        </w:tc>
        <w:tc>
          <w:tcPr>
            <w:tcW w:type="dxa" w:w="175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Basic capacity analysis; limited forward planning</w:t>
            </w:r>
          </w:p>
        </w:tc>
        <w:tc>
          <w:tcPr>
            <w:tcW w:type="dxa" w:w="17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Missing or unrealistic capacity planning</w:t>
            </w:r>
          </w:p>
        </w:tc>
      </w:tr>
      <w:tr>
        <w:trPr>
          <w:cantSplit/>
        </w:trPr>
        <w:tc>
          <w:tcPr>
            <w:tcW w:type="dxa" w:w="17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Documentation &amp; Clarity</w:t>
            </w:r>
          </w:p>
        </w:tc>
        <w:tc>
          <w:tcPr>
            <w:tcW w:type="dxa" w:w="5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15%</w:t>
            </w:r>
          </w:p>
        </w:tc>
        <w:tc>
          <w:tcPr>
            <w:tcW w:type="dxa" w:w="190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Clear dashboards, formulas, step-by-step reasoning, justified decisions</w:t>
            </w:r>
          </w:p>
        </w:tc>
        <w:tc>
          <w:tcPr>
            <w:tcW w:type="dxa" w:w="175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Mostly clear; minor formatting/detail gaps</w:t>
            </w:r>
          </w:p>
        </w:tc>
        <w:tc>
          <w:tcPr>
            <w:tcW w:type="dxa" w:w="175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Understandable but lacks design diagrams/detail</w:t>
            </w:r>
          </w:p>
        </w:tc>
        <w:tc>
          <w:tcPr>
            <w:tcW w:type="dxa" w:w="1760"/>
            <w:tcBorders>
              <w:top w:val="single" w:color="B8D7F6" w:sz="4"/>
              <w:left w:val="single" w:color="B8D7F6" w:sz="4"/>
              <w:bottom w:val="single" w:color="B8D7F6" w:sz="4"/>
              <w:right w:val="single" w:color="B8D7F6" w:sz="4"/>
            </w:tcBorders>
            <w:shd w:fill="FFFFFF" w:color="auto" w:val="clear"/>
            <w:tcMar>
              <w:top w:type="dxa" w:w="80"/>
              <w:left w:type="dxa" w:w="100"/>
              <w:bottom w:type="dxa" w:w="80"/>
              <w:right w:type="dxa" w:w="100"/>
            </w:tcMar>
            <w:vAlign w:val="center"/>
          </w:tcPr>
          <w:p>
            <w:r>
              <w:rPr>
                <w:b w:val="false"/>
                <w:bCs w:val="false"/>
                <w:color w:val="17212B"/>
                <w:sz w:val="20"/>
                <w:szCs w:val="20"/>
              </w:rPr>
              <w:t xml:space="preserve">Unclear or poorly organized</w:t>
            </w:r>
          </w:p>
        </w:tc>
      </w:tr>
    </w:tbl>
    <w:p>
      <w:pPr>
        <w:spacing w:after="120"/>
      </w:pPr>
    </w:p>
    <w:p>
      <w:pPr>
        <w:spacing w:after="120"/>
      </w:pPr>
      <w:r>
        <w:rPr>
          <w:b/>
          <w:bCs/>
          <w:sz w:val="21"/>
          <w:szCs w:val="21"/>
        </w:rPr>
        <w:t xml:space="preserve">Total Marks: 100 (20 + 25 + 20 + 20 + 15)</w:t>
      </w:r>
    </w:p>
    <w:p>
      <w:pPr>
        <w:spacing w:after="120"/>
      </w:pPr>
    </w:p>
    <w:p>
      <w:pPr>
        <w:pBdr>
          <w:top w:val="single" w:color="999999" w:sz="4"/>
        </w:pBdr>
        <w:spacing w:before="300"/>
        <w:jc w:val="center"/>
      </w:pPr>
      <w:r>
        <w:rPr>
          <w:i/>
          <w:iCs/>
          <w:color w:val="555555"/>
          <w:sz w:val="18"/>
          <w:szCs w:val="18"/>
        </w:rPr>
        <w:t xml:space="preserve">CSA15 CO5 AT2 | Monitoring, Cost &amp; Reliability Optimization | Dr. C. Rajesh Babu</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2026-08-31T11:23:54.487Z</dcterms:created>
  <dcterms:modified xsi:type="dcterms:W3CDTF">2026-08-31T11:23:54.505Z</dcterms:modified>
</cp:coreProperties>
</file>

<file path=docProps/custom.xml><?xml version="1.0" encoding="utf-8"?>
<Properties xmlns="http://schemas.openxmlformats.org/officeDocument/2006/custom-properties" xmlns:vt="http://schemas.openxmlformats.org/officeDocument/2006/docPropsVTypes"/>
</file>