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sz w:val="96"/>
          <w:szCs w:val="96"/>
        </w:rPr>
        <w:t xml:space="preserve">🌱</w:t>
      </w:r>
    </w:p>
    <w:p>
      <w:pPr>
        <w:spacing w:after="120" w:before="200"/>
        <w:jc w:val="center"/>
      </w:pPr>
      <w:r>
        <w:rPr>
          <w:b/>
          <w:bCs/>
          <w:color w:val="1B5E20"/>
          <w:sz w:val="64"/>
          <w:szCs w:val="64"/>
        </w:rPr>
        <w:t xml:space="preserve">OptiCrop</w:t>
      </w:r>
    </w:p>
    <w:p>
      <w:pPr>
        <w:spacing w:after="60"/>
        <w:jc w:val="center"/>
      </w:pPr>
      <w:r>
        <w:rPr>
          <w:b/>
          <w:bCs/>
          <w:color w:val="2E7D32"/>
          <w:sz w:val="28"/>
          <w:szCs w:val="28"/>
        </w:rPr>
        <w:t xml:space="preserve">Smart Agricultural Production Optimization Engine</w:t>
      </w:r>
    </w:p>
    <w:p>
      <w:pPr>
        <w:spacing w:after="800"/>
        <w:jc w:val="center"/>
      </w:pPr>
      <w:r>
        <w:rPr>
          <w:i/>
          <w:iCs/>
          <w:color w:val="555555"/>
          <w:sz w:val="22"/>
          <w:szCs w:val="22"/>
        </w:rPr>
        <w:t xml:space="preserve">Full Stack Development — Project Documentation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Prepared: July 2026</w:t>
      </w:r>
    </w:p>
    <w:p>
      <w:r>
        <w:br w:type="page"/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b/>
          <w:bCs/>
          <w:color w:val="1B5E20"/>
          <w:sz w:val="32"/>
          <w:szCs w:val="32"/>
        </w:rPr>
        <w:t xml:space="preserve">1. Introduction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Project Title</w:t>
      </w:r>
    </w:p>
    <w:p>
      <w:pPr>
        <w:spacing w:after="160" w:line="276"/>
      </w:pPr>
      <w:r>
        <w:rPr>
          <w:sz w:val="22"/>
          <w:szCs w:val="22"/>
        </w:rPr>
        <w:t xml:space="preserve">OptiCrop — Smart Agricultural Production Optimization Engine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Team Members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2E7D3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675"/>
            <w:shd w:fill="2E7D3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4675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Bhavani Sankar Kondapalli</w:t>
            </w:r>
          </w:p>
        </w:tc>
        <w:tc>
          <w:tcPr>
            <w:tcW w:type="dxa" w:w="4675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[Add role]</w:t>
            </w:r>
          </w:p>
        </w:tc>
      </w:tr>
      <w:tr>
        <w:tc>
          <w:tcPr>
            <w:tcW w:type="dxa" w:w="4675"/>
            <w:shd w:fill="E8F5E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Harshitha Baluguri</w:t>
            </w:r>
          </w:p>
        </w:tc>
        <w:tc>
          <w:tcPr>
            <w:tcW w:type="dxa" w:w="4675"/>
            <w:shd w:fill="E8F5E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[Add role]</w:t>
            </w:r>
          </w:p>
        </w:tc>
      </w:tr>
      <w:tr>
        <w:tc>
          <w:tcPr>
            <w:tcW w:type="dxa" w:w="4675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Goli Prasanthi</w:t>
            </w:r>
          </w:p>
        </w:tc>
        <w:tc>
          <w:tcPr>
            <w:tcW w:type="dxa" w:w="4675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[Add role]</w:t>
            </w:r>
          </w:p>
        </w:tc>
      </w:tr>
      <w:tr>
        <w:tc>
          <w:tcPr>
            <w:tcW w:type="dxa" w:w="4675"/>
            <w:shd w:fill="E8F5E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Hemasreekari Yalamanchili</w:t>
            </w:r>
          </w:p>
        </w:tc>
        <w:tc>
          <w:tcPr>
            <w:tcW w:type="dxa" w:w="4675"/>
            <w:shd w:fill="E8F5E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[Add role]</w:t>
            </w:r>
          </w:p>
        </w:tc>
      </w:tr>
      <w:tr>
        <w:tc>
          <w:tcPr>
            <w:tcW w:type="dxa" w:w="4675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 Siva Ganesh Kandregula</w:t>
            </w:r>
          </w:p>
        </w:tc>
        <w:tc>
          <w:tcPr>
            <w:tcW w:type="dxa" w:w="4675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[Add role]</w:t>
            </w:r>
          </w:p>
        </w:tc>
      </w:tr>
    </w:tbl>
    <w:p>
      <w:pPr>
        <w:pStyle w:val="Heading1"/>
        <w:pBdr>
          <w:bottom w:val="single" w:color="2E7D32" w:sz="8" w:space="4"/>
        </w:pBdr>
        <w:spacing w:after="200" w:before="400"/>
      </w:pPr>
      <w:r>
        <w:rPr>
          <w:b/>
          <w:bCs/>
          <w:color w:val="1B5E20"/>
          <w:sz w:val="32"/>
          <w:szCs w:val="32"/>
        </w:rPr>
        <w:t xml:space="preserve">2. Project Overview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Purpose</w:t>
      </w:r>
    </w:p>
    <w:p>
      <w:pPr>
        <w:spacing w:after="160" w:line="276"/>
      </w:pPr>
      <w:r>
        <w:rPr>
          <w:sz w:val="22"/>
          <w:szCs w:val="22"/>
        </w:rPr>
        <w:t xml:space="preserve">OptiCrop is a data-driven web application that helps farmers, agronomists, and policy planners make informed crop-related decisions. Using a machine-learning classification model trained on soil nutrient levels (Nitrogen, Phosphorus, Potassium) and climate conditions (temperature, humidity, pH, rainfall), the system recommends the most suitable crop for a given plot of land, assesses how well current conditions suit a specific crop, and presents aggregate model-performance and crop-environment analytics for research and planning purposes.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Smart Crop Recommendation: farmers enter soil and climate readings and receive the top three recommended crops, each with a confidence score.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Crop Suitability &amp; Environmental Assessment: users select a specific crop and enter current field conditions to receive a 0–100 suitability score, a per-parameter breakdown (optimal / acceptable / unsuitable), and an overall verdict.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Agricultural Research &amp; Policy Planning Dashboard: a analytics dashboard presenting model comparison metrics, classification performance, exploratory data analysis (EDA) charts, and per-crop environmental profiles.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Model auto-selection: five candidate classifiers are trained and cross-validated, and the best-performing model is automatically selected and persisted for use by the web application.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Statistically grounded scoring: suitability scoring uses each crop's training-data mean/standard deviation with a Gaussian-based match score, and feature relevance is validated with a one-way ANOVA test on rainfall.</w:t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b/>
          <w:bCs/>
          <w:color w:val="1B5E20"/>
          <w:sz w:val="32"/>
          <w:szCs w:val="32"/>
        </w:rPr>
        <w:t xml:space="preserve">3. Architecture</w:t>
      </w:r>
    </w:p>
    <w:p>
      <w:pPr>
        <w:spacing w:after="160" w:line="276"/>
      </w:pPr>
      <w:r>
        <w:rPr>
          <w:sz w:val="22"/>
          <w:szCs w:val="22"/>
        </w:rPr>
        <w:t xml:space="preserve">Note: this reference documentation format was designed for a MERN (MongoDB, Express, React, Node.js) stack. OptiCrop is instead implemented as a Python data-science and web application, so the sections below describe the project's actual architecture (Flask + scikit-learn, server-rendered templates, and flat-file model artifacts) in place of MongoDB/Express/React equivalents.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Server-rendered HTML using Flask's Jinja2 templating engine (templates/ directory): base.html (shared layout and navigation), index.html (recommendation form), result.html (recommendation output), suitability.html / suitability_result.html (suitability check flow), and dashboard.html (research dashboard).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Styling is handled through a single static stylesheet, static/css/style.css, applied across all pages via the shared base layout.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Navigation links the three core scenarios: Recommend, Suitability Check, and Research Dashboard.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Built with Flask (app.py), a lightweight Python web framework, rather than Node.js/Express.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 startup, the backend loads the serialized model (crop_model.pkl), the fitted feature scaler (scaler.pkl), per-crop statistics (crop_stats.json), and model evaluation metrics (metrics.json) using joblib and json.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Three route groups implement the three usage scenarios: '/' and '/predict' (recommendation), '/suitability' and '/suitability/check' (suitability assessment), and '/dashboard' (analytics).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Business logic includes get_form_values() (form parsing), predict_top_crops() (top-3 ranked prediction using predict_proba), and suitability_score() (Gaussian-based per-feature and overall suitability scoring).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Deployment is configured via a Procfile ('web: gunicorn app:app') for Gunicorn-based hosting on platforms such as Render or Heroku, and runtime.txt pins the Python version (3.11.9).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Database / Data Layer</w:t>
      </w:r>
    </w:p>
    <w:p>
      <w:pPr>
        <w:spacing w:after="160" w:line="276"/>
      </w:pPr>
      <w:r>
        <w:rPr>
          <w:sz w:val="22"/>
          <w:szCs w:val="22"/>
        </w:rPr>
        <w:t xml:space="preserve">OptiCrop does not use MongoDB or another database server. Instead, data persistence is handled through flat files generated by the machine-learning pipeline: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2E7D3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Artifact</w:t>
            </w:r>
          </w:p>
        </w:tc>
        <w:tc>
          <w:tcPr>
            <w:tcW w:type="dxa" w:w="6150"/>
            <w:shd w:fill="2E7D3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data/crop_data.csv</w:t>
            </w:r>
          </w:p>
        </w:tc>
        <w:tc>
          <w:tcPr>
            <w:tcW w:type="dxa" w:w="61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Synthetic agronomic dataset — 22 crops × ~120 samples (2,640 rows), columns: N, P, K, temperature, humidity, ph, rainfall, label</w:t>
            </w:r>
          </w:p>
        </w:tc>
      </w:tr>
      <w:tr>
        <w:tc>
          <w:tcPr>
            <w:tcW w:type="dxa" w:w="3200"/>
            <w:shd w:fill="E8F5E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model/crop_model.pkl</w:t>
            </w:r>
          </w:p>
        </w:tc>
        <w:tc>
          <w:tcPr>
            <w:tcW w:type="dxa" w:w="6150"/>
            <w:shd w:fill="E8F5E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Serialized best-performing classifier (selected automatically during training)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model/scaler.pkl</w:t>
            </w:r>
          </w:p>
        </w:tc>
        <w:tc>
          <w:tcPr>
            <w:tcW w:type="dxa" w:w="61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Fitted StandardScaler used to normalize input features before prediction</w:t>
            </w:r>
          </w:p>
        </w:tc>
      </w:tr>
      <w:tr>
        <w:tc>
          <w:tcPr>
            <w:tcW w:type="dxa" w:w="3200"/>
            <w:shd w:fill="E8F5E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model/crop_stats.json</w:t>
            </w:r>
          </w:p>
        </w:tc>
        <w:tc>
          <w:tcPr>
            <w:tcW w:type="dxa" w:w="6150"/>
            <w:shd w:fill="E8F5E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Per-crop mean/standard deviation for each feature, used for suitability scoring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model/metrics.json</w:t>
            </w:r>
          </w:p>
        </w:tc>
        <w:tc>
          <w:tcPr>
            <w:tcW w:type="dxa" w:w="61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Model comparison results and classification report used by the dashboard</w:t>
            </w:r>
          </w:p>
        </w:tc>
      </w:tr>
      <w:tr>
        <w:tc>
          <w:tcPr>
            <w:tcW w:type="dxa" w:w="3200"/>
            <w:shd w:fill="E8F5E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model/anova_rainfall.json</w:t>
            </w:r>
          </w:p>
        </w:tc>
        <w:tc>
          <w:tcPr>
            <w:tcW w:type="dxa" w:w="6150"/>
            <w:shd w:fill="E8F5E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One-way ANOVA (F-statistic, p-value) validating rainfall's predictive relevance</w:t>
            </w:r>
          </w:p>
        </w:tc>
      </w:tr>
    </w:tbl>
    <w:p>
      <w:pPr>
        <w:spacing w:after="160" w:line="276"/>
      </w:pPr>
      <w:r>
        <w:rPr>
          <w:sz w:val="22"/>
          <w:szCs w:val="22"/>
        </w:rPr>
        <w:t xml:space="preserve">The dataset schema (N, P, K, temperature, humidity, ph, rainfall, label) is designed so that a real-world sensor or soil-survey dataset with the same column names can be substituted with no code changes.</w:t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b/>
          <w:bCs/>
          <w:color w:val="1B5E20"/>
          <w:sz w:val="32"/>
          <w:szCs w:val="32"/>
        </w:rPr>
        <w:t xml:space="preserve">4. Setup Instructions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Python 3.11 (see runtime.txt)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pip (Python package manager)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Dependencies listed in requirements.txt: Flask, numpy, pandas, scikit-learn, matplotlib, seaborn, scipy, joblib, gunicorn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Installation</w:t>
      </w:r>
    </w:p>
    <w:p>
      <w:pPr>
        <w:spacing w:after="160" w:line="276"/>
      </w:pPr>
      <w:r>
        <w:rPr>
          <w:sz w:val="22"/>
          <w:szCs w:val="22"/>
        </w:rPr>
        <w:t xml:space="preserve">1. Create and activate a virtual environment (recommended):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5F5F5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python3 -m venv venv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source venv/bin/activate      # Windows: venv\Scripts\activate</w:t>
            </w:r>
          </w:p>
        </w:tc>
      </w:tr>
    </w:tbl>
    <w:p>
      <w:pPr>
        <w:spacing w:after="160" w:line="276"/>
      </w:pPr>
      <w:r>
        <w:rPr>
          <w:sz w:val="22"/>
          <w:szCs w:val="22"/>
        </w:rPr>
        <w:t xml:space="preserve">2. Install dependencies: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5F5F5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pip install -r requirements.txt</w:t>
            </w:r>
          </w:p>
        </w:tc>
      </w:tr>
    </w:tbl>
    <w:p>
      <w:pPr>
        <w:spacing w:after="160" w:line="276"/>
      </w:pPr>
      <w:r>
        <w:rPr>
          <w:sz w:val="22"/>
          <w:szCs w:val="22"/>
        </w:rPr>
        <w:t xml:space="preserve">3. (Re)generate the dataset — already included in the repository, but reproducible: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5F5F5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python3 data/generate_dataset.py</w:t>
            </w:r>
          </w:p>
        </w:tc>
      </w:tr>
    </w:tbl>
    <w:p>
      <w:pPr>
        <w:spacing w:after="160" w:line="276"/>
      </w:pPr>
      <w:r>
        <w:rPr>
          <w:sz w:val="22"/>
          <w:szCs w:val="22"/>
        </w:rPr>
        <w:t xml:space="preserve">4. Train the model — this regenerates model/*.pkl and the static/images/*.png charts: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5F5F5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python3 model/train_model.py</w:t>
            </w:r>
          </w:p>
        </w:tc>
      </w:tr>
    </w:tbl>
    <w:p>
      <w:pPr>
        <w:spacing w:after="160" w:line="276"/>
      </w:pPr>
      <w:r>
        <w:rPr>
          <w:sz w:val="22"/>
          <w:szCs w:val="22"/>
        </w:rPr>
        <w:t xml:space="preserve">5. Run the web application: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5F5F5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python3 app.py</w:t>
            </w:r>
          </w:p>
        </w:tc>
      </w:tr>
    </w:tbl>
    <w:p>
      <w:pPr>
        <w:spacing w:after="160" w:line="276"/>
      </w:pPr>
      <w:r>
        <w:rPr>
          <w:sz w:val="22"/>
          <w:szCs w:val="22"/>
        </w:rPr>
        <w:t xml:space="preserve">Then open http://localhost:5000 in a web browser.</w:t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b/>
          <w:bCs/>
          <w:color w:val="1B5E20"/>
          <w:sz w:val="32"/>
          <w:szCs w:val="32"/>
        </w:rPr>
        <w:t xml:space="preserve">5. Folder Structure</w:t>
      </w:r>
    </w:p>
    <w:p>
      <w:pPr>
        <w:spacing w:after="160" w:line="276"/>
      </w:pPr>
      <w:r>
        <w:rPr>
          <w:sz w:val="22"/>
          <w:szCs w:val="22"/>
        </w:rPr>
        <w:t xml:space="preserve">As the project is a single Flask application rather than a client/server MERN split, the structure below is organized by module instead of client/server.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5F5F5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OptiCrop/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├── app.py                     # Flask application (routes for all 3 scenarios)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├── requirements.txt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├── Procfile / runtime.txt     # Deployment configuration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├── data/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├── generate_dataset.py    # Synthetic agronomic dataset generator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└── crop_data.csv          # Generated dataset (22 crops x ~120 samples)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├── model/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├── train_model.py         # Training pipeline: EDA, model selection, evaluation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├── crop_model.pkl         # Serialized best model (generated)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├── scaler.pkl             # StandardScaler (generated)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├── crop_stats.json        # Per-crop mean/std used for suitability scoring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├── metrics.json           # Model comparison &amp; classification report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└── anova_rainfall.json    # SciPy ANOVA result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├── static/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├── css/style.css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│   └── images/                # Auto-generated EDA &amp; evaluation charts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└── templates/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├── base.html, index.html, result.html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├── suitability.html, suitability_result.html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  └── dashboard.html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Application Layer (equivalent to 'Client')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templates/ — all user-facing Jinja2 HTML templates, extending a shared base.html layout with a persistent navigation bar.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static/css/style.css — global styling; static/images/ — charts generated by the training pipeline and rendered on the dashboard.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Service Layer (equivalent to 'Server')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app.py — single-file Flask application containing route handlers, prediction logic, and suitability-scoring logic.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model/ and data/ — the machine-learning pipeline and its persisted artifacts, loaded by app.py at startup.</w:t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b/>
          <w:bCs/>
          <w:color w:val="1B5E20"/>
          <w:sz w:val="32"/>
          <w:szCs w:val="32"/>
        </w:rPr>
        <w:t xml:space="preserve">6. Running the Application</w:t>
      </w:r>
    </w:p>
    <w:p>
      <w:pPr>
        <w:spacing w:after="160" w:line="276"/>
      </w:pPr>
      <w:r>
        <w:rPr>
          <w:sz w:val="22"/>
          <w:szCs w:val="22"/>
        </w:rPr>
        <w:t xml:space="preserve">OptiCrop is a single Flask service (no separate frontend/backend processes).</w:t>
      </w:r>
    </w:p>
    <w:p>
      <w:pPr>
        <w:pStyle w:val="Heading3"/>
        <w:spacing w:after="100" w:before="200"/>
      </w:pPr>
      <w:r>
        <w:rPr>
          <w:b/>
          <w:bCs/>
          <w:color w:val="1B5E20"/>
          <w:sz w:val="23"/>
          <w:szCs w:val="23"/>
        </w:rPr>
        <w:t xml:space="preserve">Development server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5F5F5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python3 app.py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# Serves on http://localhost:5000 (debug mode enabled)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B5E20"/>
          <w:sz w:val="23"/>
          <w:szCs w:val="23"/>
        </w:rPr>
        <w:t xml:space="preserve">Production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5F5F5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gunicorn app:app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# As configured in the Procfile for platforms such as Render/Heroku</w:t>
            </w:r>
          </w:p>
        </w:tc>
      </w:tr>
    </w:tbl>
    <w:p>
      <w:pPr>
        <w:pStyle w:val="Heading1"/>
        <w:pBdr>
          <w:bottom w:val="single" w:color="2E7D32" w:sz="8" w:space="4"/>
        </w:pBdr>
        <w:spacing w:after="200" w:before="400"/>
      </w:pPr>
      <w:r>
        <w:rPr>
          <w:b/>
          <w:bCs/>
          <w:color w:val="1B5E20"/>
          <w:sz w:val="32"/>
          <w:szCs w:val="32"/>
        </w:rPr>
        <w:t xml:space="preserve">7. API Documentation</w:t>
      </w:r>
    </w:p>
    <w:p>
      <w:pPr>
        <w:spacing w:after="160" w:line="276"/>
      </w:pPr>
      <w:r>
        <w:rPr>
          <w:sz w:val="22"/>
          <w:szCs w:val="22"/>
        </w:rPr>
        <w:t xml:space="preserve">OptiCrop exposes server-rendered routes rather than a JSON REST API. Each route, its HTTP method, expected parameters, and response are documented below.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4400"/>
        <w:gridCol w:w="1750"/>
      </w:tblGrid>
      <w:tr>
        <w:trPr>
          <w:tblHeader/>
        </w:trPr>
        <w:tc>
          <w:tcPr>
            <w:tcW w:type="dxa" w:w="2200"/>
            <w:shd w:fill="2E7D3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000"/>
            <w:shd w:fill="2E7D3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400"/>
            <w:shd w:fill="2E7D3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50"/>
            <w:shd w:fill="2E7D3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Renders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1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Displays the crop recommendation input form</w:t>
            </w:r>
          </w:p>
        </w:tc>
        <w:tc>
          <w:tcPr>
            <w:tcW w:type="dxa" w:w="17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index.html</w:t>
            </w:r>
          </w:p>
        </w:tc>
      </w:tr>
      <w:tr>
        <w:tc>
          <w:tcPr>
            <w:tcW w:type="dxa" w:w="2200"/>
            <w:shd w:fill="E8F5E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/predict</w:t>
            </w:r>
          </w:p>
        </w:tc>
        <w:tc>
          <w:tcPr>
            <w:tcW w:type="dxa" w:w="1000"/>
            <w:shd w:fill="E8F5E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400"/>
            <w:shd w:fill="E8F5E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Accepts N, P, K, temperature, humidity, ph, rainfall form fields; returns the top-3 predicted crops with confidence scores</w:t>
            </w:r>
          </w:p>
        </w:tc>
        <w:tc>
          <w:tcPr>
            <w:tcW w:type="dxa" w:w="1750"/>
            <w:shd w:fill="E8F5E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result.html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/suitability</w:t>
            </w:r>
          </w:p>
        </w:tc>
        <w:tc>
          <w:tcPr>
            <w:tcW w:type="dxa" w:w="1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Displays the suitability-check input form with a crop selector</w:t>
            </w:r>
          </w:p>
        </w:tc>
        <w:tc>
          <w:tcPr>
            <w:tcW w:type="dxa" w:w="17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suitability.html</w:t>
            </w:r>
          </w:p>
        </w:tc>
      </w:tr>
      <w:tr>
        <w:tc>
          <w:tcPr>
            <w:tcW w:type="dxa" w:w="2200"/>
            <w:shd w:fill="E8F5E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/suitability/check</w:t>
            </w:r>
          </w:p>
        </w:tc>
        <w:tc>
          <w:tcPr>
            <w:tcW w:type="dxa" w:w="1000"/>
            <w:shd w:fill="E8F5E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400"/>
            <w:shd w:fill="E8F5E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Accepts the same 7 form fields plus a crop selection; returns an overall suitability score, verdict, and per-parameter breakdown</w:t>
            </w:r>
          </w:p>
        </w:tc>
        <w:tc>
          <w:tcPr>
            <w:tcW w:type="dxa" w:w="1750"/>
            <w:shd w:fill="E8F5E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suitability_result.html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/dashboard</w:t>
            </w:r>
          </w:p>
        </w:tc>
        <w:tc>
          <w:tcPr>
            <w:tcW w:type="dxa" w:w="1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Displays model comparison metrics, classification report, EDA charts, and per-crop statistics</w:t>
            </w:r>
          </w:p>
        </w:tc>
        <w:tc>
          <w:tcPr>
            <w:tcW w:type="dxa" w:w="17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dashboard.html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Request Parameters (shared by /predict and /suitability/check)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rPr>
          <w:tblHeader/>
        </w:trPr>
        <w:tc>
          <w:tcPr>
            <w:tcW w:type="dxa" w:w="3600"/>
            <w:shd w:fill="2E7D3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50"/>
            <w:shd w:fill="2E7D3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</w:t>
            </w:r>
          </w:p>
        </w:tc>
        <w:tc>
          <w:tcPr>
            <w:tcW w:type="dxa" w:w="57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Nitrogen level (kg/ha)</w:t>
            </w:r>
          </w:p>
        </w:tc>
      </w:tr>
      <w:tr>
        <w:tc>
          <w:tcPr>
            <w:tcW w:type="dxa" w:w="3600"/>
            <w:shd w:fill="E8F5E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</w:t>
            </w:r>
          </w:p>
        </w:tc>
        <w:tc>
          <w:tcPr>
            <w:tcW w:type="dxa" w:w="5750"/>
            <w:shd w:fill="E8F5E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Phosphorous level (kg/ha)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</w:t>
            </w:r>
          </w:p>
        </w:tc>
        <w:tc>
          <w:tcPr>
            <w:tcW w:type="dxa" w:w="57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Potassium level (kg/ha)</w:t>
            </w:r>
          </w:p>
        </w:tc>
      </w:tr>
      <w:tr>
        <w:tc>
          <w:tcPr>
            <w:tcW w:type="dxa" w:w="3600"/>
            <w:shd w:fill="E8F5E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temperature</w:t>
            </w:r>
          </w:p>
        </w:tc>
        <w:tc>
          <w:tcPr>
            <w:tcW w:type="dxa" w:w="5750"/>
            <w:shd w:fill="E8F5E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Temperature (°C)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humidity</w:t>
            </w:r>
          </w:p>
        </w:tc>
        <w:tc>
          <w:tcPr>
            <w:tcW w:type="dxa" w:w="57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Humidity (%)</w:t>
            </w:r>
          </w:p>
        </w:tc>
      </w:tr>
      <w:tr>
        <w:tc>
          <w:tcPr>
            <w:tcW w:type="dxa" w:w="3600"/>
            <w:shd w:fill="E8F5E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ph</w:t>
            </w:r>
          </w:p>
        </w:tc>
        <w:tc>
          <w:tcPr>
            <w:tcW w:type="dxa" w:w="5750"/>
            <w:shd w:fill="E8F5E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Soil pH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rainfall</w:t>
            </w:r>
          </w:p>
        </w:tc>
        <w:tc>
          <w:tcPr>
            <w:tcW w:type="dxa" w:w="57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Rainfall (mm)</w:t>
            </w:r>
          </w:p>
        </w:tc>
      </w:tr>
      <w:tr>
        <w:tc>
          <w:tcPr>
            <w:tcW w:type="dxa" w:w="3600"/>
            <w:shd w:fill="E8F5E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crop (suitability only)</w:t>
            </w:r>
          </w:p>
        </w:tc>
        <w:tc>
          <w:tcPr>
            <w:tcW w:type="dxa" w:w="5750"/>
            <w:shd w:fill="E8F5E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crop selected for suitability assessment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Example Response — /predict</w:t>
      </w:r>
    </w:p>
    <w:p>
      <w:pPr>
        <w:spacing w:after="160" w:line="276"/>
      </w:pPr>
      <w:r>
        <w:rPr>
          <w:sz w:val="22"/>
          <w:szCs w:val="22"/>
        </w:rPr>
        <w:t xml:space="preserve">The prediction endpoint ranks all classes by predicted probability and returns the top 3: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5F5F5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best_crop:  "rice"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best_conf:  96.4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top_crops: [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("rice",  96.4),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("jute",   2.1),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("coconut", 1.5)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]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Example Response — /suitability/check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5F5F5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crop:     "maize"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overall:  82.3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verdict:  "Highly Suitable"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feature_scores: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"N": { score: 88.1, value: 78, ideal_mean: 80, ideal_std: 15, status: "optimal" },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  ...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D2D2D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1"/>
        <w:pBdr>
          <w:bottom w:val="single" w:color="2E7D32" w:sz="8" w:space="4"/>
        </w:pBdr>
        <w:spacing w:after="200" w:before="400"/>
      </w:pPr>
      <w:r>
        <w:rPr>
          <w:b/>
          <w:bCs/>
          <w:color w:val="1B5E20"/>
          <w:sz w:val="32"/>
          <w:szCs w:val="32"/>
        </w:rPr>
        <w:t xml:space="preserve">8. Authentication</w:t>
      </w:r>
    </w:p>
    <w:p>
      <w:pPr>
        <w:spacing w:after="160" w:line="276"/>
      </w:pPr>
      <w:r>
        <w:rPr>
          <w:sz w:val="22"/>
          <w:szCs w:val="22"/>
        </w:rPr>
        <w:t xml:space="preserve">The current version of OptiCrop does not implement user authentication or authorization. All routes are publicly accessible, and no login, session, or token-based access control is present in app.py. There is no user model, credential store, or protected route in the codebase.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Recommendation for Future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Introduce session- or token-based authentication (e.g., Flask-Login or JWT) if the application needs to support saved histories, personalized dashboards, or role-based access (e.g., farmer vs. researcher/administrator views).</w:t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b/>
          <w:bCs/>
          <w:color w:val="1B5E20"/>
          <w:sz w:val="32"/>
          <w:szCs w:val="32"/>
        </w:rPr>
        <w:t xml:space="preserve">9. User Interface</w:t>
      </w:r>
    </w:p>
    <w:p>
      <w:pPr>
        <w:spacing w:after="160" w:line="276"/>
      </w:pPr>
      <w:r>
        <w:rPr>
          <w:sz w:val="22"/>
          <w:szCs w:val="22"/>
        </w:rPr>
        <w:t xml:space="preserve">The application uses a consistent green, agriculture-themed layout shared across all pages via base.html, with a top navigation bar linking the three core scenarios (Recommend, Suitability Check, Research Dashboard).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Research &amp; Analytics Dashboard</w:t>
      </w:r>
    </w:p>
    <w:p>
      <w:pPr>
        <w:spacing w:after="160" w:line="276"/>
      </w:pPr>
      <w:r>
        <w:rPr>
          <w:sz w:val="22"/>
          <w:szCs w:val="22"/>
        </w:rPr>
        <w:t xml:space="preserve">The dashboard (Scenario 3) surfaces model performance and exploratory data analysis visuals generated by the training pipeline:</w:t>
      </w:r>
    </w:p>
    <w:p>
      <w:pPr>
        <w:spacing w:after="200" w:before="100"/>
        <w:jc w:val="center"/>
      </w:pPr>
      <w:r>
        <w:drawing>
          <wp:inline distT="0" distB="0" distL="0" distR="0">
            <wp:extent cx="409575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 xml:space="preserve">Figure 1 — Comparison of cross-validated accuracy across the five candidate classifiers.</w:t>
      </w:r>
    </w:p>
    <w:p>
      <w:pPr>
        <w:spacing w:after="200" w:before="100"/>
        <w:jc w:val="center"/>
      </w:pPr>
      <w:r>
        <w:drawing>
          <wp:inline distT="0" distB="0" distL="0" distR="0">
            <wp:extent cx="409575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 xml:space="preserve">Figure 2 — Confusion matrix of the selected model (SVM) across all 22 crop classes.</w:t>
      </w:r>
    </w:p>
    <w:p>
      <w:pPr>
        <w:spacing w:after="200" w:before="100"/>
        <w:jc w:val="center"/>
      </w:pPr>
      <w:r>
        <w:drawing>
          <wp:inline distT="0" distB="0" distL="0" distR="0">
            <wp:extent cx="3810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 xml:space="preserve">Figure 3 — Correlation heatmap of the seven input features.</w:t>
      </w:r>
    </w:p>
    <w:p>
      <w:pPr>
        <w:spacing w:after="200" w:before="100"/>
        <w:jc w:val="center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 xml:space="preserve">Figure 4 — Class distribution of the training dataset across 22 crops.</w:t>
      </w:r>
    </w:p>
    <w:p>
      <w:pPr>
        <w:spacing w:after="200" w:before="100"/>
        <w:jc w:val="center"/>
      </w:pPr>
      <w:r>
        <w:drawing>
          <wp:inline distT="0" distB="0" distL="0" distR="0">
            <wp:extent cx="4381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 xml:space="preserve">Figure 5 — Distribution of each input feature (N, P, K, temperature, humidity, pH, rainfall).</w:t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b/>
          <w:bCs/>
          <w:color w:val="1B5E20"/>
          <w:sz w:val="32"/>
          <w:szCs w:val="32"/>
        </w:rPr>
        <w:t xml:space="preserve">10. Testing</w:t>
      </w:r>
    </w:p>
    <w:p>
      <w:pPr>
        <w:spacing w:after="160" w:line="276"/>
      </w:pPr>
      <w:r>
        <w:rPr>
          <w:sz w:val="22"/>
          <w:szCs w:val="22"/>
        </w:rPr>
        <w:t xml:space="preserve">The repository does not include an automated unit or integration test suite (e.g., pytest files were not found). Model quality is instead validated through the machine-learning evaluation pipeline in model/train_model.py: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5-fold cross-validation is used to compare five classifiers (RandomForest, DecisionTree, KNN, SVM, LogisticRegression) on standardized features.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Held-out test accuracy, weighted F1-score, and a full per-class classification report (precision, recall, F1, support) are computed for the best model.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best-performing model was SVM, selected automatically based on comparative accuracy and cross-validation score.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one-way ANOVA test (SciPy) statistically validates that rainfall differs significantly across crop labels, supporting its inclusion as a predictive feature.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Recommendation for Future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automated tests (e.g., pytest) covering route responses, form validation, and the prediction/suitability-scoring functions.</w:t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b/>
          <w:bCs/>
          <w:color w:val="1B5E20"/>
          <w:sz w:val="32"/>
          <w:szCs w:val="32"/>
        </w:rPr>
        <w:t xml:space="preserve">11. Screenshots or Demo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Live Demo: https://opticrop-m3kc.onrender.com/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GitHub Repository: https://github.com/kondapallibhavanisankar03-source/OptiCrop</w:t>
      </w:r>
    </w:p>
    <w:p>
      <w:pPr>
        <w:spacing w:after="160" w:line="276"/>
      </w:pPr>
      <w:r>
        <w:rPr>
          <w:sz w:val="22"/>
          <w:szCs w:val="22"/>
        </w:rPr>
        <w:t xml:space="preserve">The application is deployed on Render. The screens below show all three scenarios in the live, running application.</w:t>
      </w:r>
    </w:p>
    <w:p>
      <w:pPr>
        <w:pStyle w:val="Heading3"/>
        <w:spacing w:after="100" w:before="200"/>
      </w:pPr>
      <w:r>
        <w:rPr>
          <w:b/>
          <w:bCs/>
          <w:color w:val="1B5E20"/>
          <w:sz w:val="23"/>
          <w:szCs w:val="23"/>
        </w:rPr>
        <w:t xml:space="preserve">Scenario 1 — Smart Crop Recommendation</w:t>
      </w:r>
    </w:p>
    <w:p>
      <w:pPr>
        <w:spacing w:after="200" w:before="100"/>
        <w:jc w:val="center"/>
      </w:pPr>
      <w:r>
        <w:drawing>
          <wp:inline distT="0" distB="0" distL="0" distR="0">
            <wp:extent cx="43815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 xml:space="preserve">Figure 6 — Recommendation form: farmers enter soil (N, P, K) and climate (temperature, humidity, pH, rainfall) readings.</w:t>
      </w:r>
    </w:p>
    <w:p>
      <w:pPr>
        <w:spacing w:after="200" w:before="100"/>
        <w:jc w:val="center"/>
      </w:pPr>
      <w:r>
        <w:drawing>
          <wp:inline distT="0" distB="0" distL="0" distR="0">
            <wp:extent cx="43815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 xml:space="preserve">Figure 7 — Recommendation result: top matching crops ranked by model confidence, alongside the entered input parameters.</w:t>
      </w:r>
    </w:p>
    <w:p>
      <w:pPr>
        <w:pStyle w:val="Heading3"/>
        <w:spacing w:after="100" w:before="200"/>
      </w:pPr>
      <w:r>
        <w:rPr>
          <w:b/>
          <w:bCs/>
          <w:color w:val="1B5E20"/>
          <w:sz w:val="23"/>
          <w:szCs w:val="23"/>
        </w:rPr>
        <w:t xml:space="preserve">Scenario 2 — Crop Suitability &amp; Environmental Assessment</w:t>
      </w:r>
    </w:p>
    <w:p>
      <w:pPr>
        <w:spacing w:after="200" w:before="100"/>
        <w:jc w:val="center"/>
      </w:pPr>
      <w:r>
        <w:drawing>
          <wp:inline distT="0" distB="0" distL="0" distR="0">
            <wp:extent cx="43815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 xml:space="preserve">Figure 8 — Suitability check form: select a crop and enter current field conditions.</w:t>
      </w:r>
    </w:p>
    <w:p>
      <w:pPr>
        <w:spacing w:after="200" w:before="100"/>
        <w:jc w:val="center"/>
      </w:pPr>
      <w:r>
        <w:drawing>
          <wp:inline distT="0" distB="0" distL="0" distR="0">
            <wp:extent cx="43815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 xml:space="preserve">Figure 9 — Suitability report: overall score, verdict, and a parameter-level breakdown showing which readings drove the result.</w:t>
      </w:r>
    </w:p>
    <w:p>
      <w:pPr>
        <w:pStyle w:val="Heading3"/>
        <w:spacing w:after="100" w:before="200"/>
      </w:pPr>
      <w:r>
        <w:rPr>
          <w:b/>
          <w:bCs/>
          <w:color w:val="1B5E20"/>
          <w:sz w:val="23"/>
          <w:szCs w:val="23"/>
        </w:rPr>
        <w:t xml:space="preserve">Scenario 3 — Agricultural Research &amp; Policy Dashboard</w:t>
      </w:r>
    </w:p>
    <w:p>
      <w:pPr>
        <w:spacing w:after="200" w:before="100"/>
        <w:jc w:val="center"/>
      </w:pPr>
      <w:r>
        <w:drawing>
          <wp:inline distT="0" distB="0" distL="0" distR="0">
            <wp:extent cx="43815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 xml:space="preserve">Figure 10 — Dashboard model overview: best model (SVM), test accuracy, crops modeled, and full model-comparison table.</w:t>
      </w:r>
    </w:p>
    <w:p>
      <w:pPr>
        <w:spacing w:after="200" w:before="100"/>
        <w:jc w:val="center"/>
      </w:pPr>
      <w:r>
        <w:drawing>
          <wp:inline distT="0" distB="0" distL="0" distR="0">
            <wp:extent cx="43815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 xml:space="preserve">Figure 11 — Visual analytics: correlation heatmap, feature distributions, class balance, and confusion matrix.</w:t>
      </w:r>
    </w:p>
    <w:p>
      <w:pPr>
        <w:spacing w:after="200" w:before="100"/>
        <w:jc w:val="center"/>
      </w:pPr>
      <w:r>
        <w:drawing>
          <wp:inline distT="0" distB="0" distL="0" distR="0">
            <wp:extent cx="43815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 xml:space="preserve">Figure 12 — Per-crop agronomic requirement table (mean N, P, K, temperature, humidity, pH, rainfall) for regional planning.</w:t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b/>
          <w:bCs/>
          <w:color w:val="1B5E20"/>
          <w:sz w:val="32"/>
          <w:szCs w:val="32"/>
        </w:rPr>
        <w:t xml:space="preserve">12. Known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bundled dataset (data/crop_data.csv) is synthetically generated from published agronomic parameter ranges rather than real-world sensor or field data, since no internet access was available while building the project.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authentication or authorization is implemented; all routes and data are publicly accessible.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automated test suite is currently included in the repository.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Flask app is run with debug=True in app.py, which is not suitable for production and should be disabled (or controlled via environment variable) before deployment.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Re-running model/train_model.py overwrites the saved model, scaler, statistics, and chart images with a fresh training run, which will change prediction results if the underlying data changes.</w:t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b/>
          <w:bCs/>
          <w:color w:val="1B5E20"/>
          <w:sz w:val="32"/>
          <w:szCs w:val="32"/>
        </w:rPr>
        <w:t xml:space="preserve">13. Future Enhancements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Replace the synthetic dataset with real-world agronomic/sensor data (same column schema: N, P, K, temperature, humidity, ph, rainfall, label) to retrain on real observations.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user accounts and authentication so farmers/researchers can save prediction history and revisit past suitability checks.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Convert the recommendation and suitability endpoints into a JSON REST API (in addition to the current server-rendered pages) to support a mobile app or richer JavaScript frontend.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automated testing (unit tests for scoring logic, integration tests for routes) and CI.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Expand the dashboard with feature-importance visualizations (the app already checks for an optional feature_importance.png) and downloadable reports.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geolocation or weather-API integration to auto-populate climate fields (temperature, humidity, rainfall) for a given location.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555555"/>
        <w:sz w:val="16"/>
        <w:szCs w:val="16"/>
      </w:rPr>
      <w:t xml:space="preserve">OptiCrop —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22a4d03bfb1be4d3f68b0fdb81038145951880c.png"/><Relationship Id="rId10" Type="http://schemas.openxmlformats.org/officeDocument/2006/relationships/image" Target="media/c2a409f83636aff7e9b701a2c67fe1b31d5f0d04.png"/><Relationship Id="rId11" Type="http://schemas.openxmlformats.org/officeDocument/2006/relationships/image" Target="media/2922a881e171aad094b7992b77d916b0144e81bf.png"/><Relationship Id="rId12" Type="http://schemas.openxmlformats.org/officeDocument/2006/relationships/image" Target="media/d1aec9d6529c9cebe6c0d63ec1f9b9e07ee31a97.png"/><Relationship Id="rId13" Type="http://schemas.openxmlformats.org/officeDocument/2006/relationships/image" Target="media/10caa6d2a70626635ac776309f47262ba7a7468b.png"/><Relationship Id="rId14" Type="http://schemas.openxmlformats.org/officeDocument/2006/relationships/image" Target="media/6fc77c648e0fb4a425dae6c7fd2035452e057832.png"/><Relationship Id="rId15" Type="http://schemas.openxmlformats.org/officeDocument/2006/relationships/image" Target="media/4a56eee06246c64fa7ddfc212f78c0cb3849b2df.png"/><Relationship Id="rId16" Type="http://schemas.openxmlformats.org/officeDocument/2006/relationships/image" Target="media/aef2a3fa5f96a243212d38ca605fe335cec805d3.png"/><Relationship Id="rId17" Type="http://schemas.openxmlformats.org/officeDocument/2006/relationships/image" Target="media/22d594ce543eea81bdb090ee55368655e1a80aa5.png"/><Relationship Id="rId18" Type="http://schemas.openxmlformats.org/officeDocument/2006/relationships/image" Target="media/ccacb3e9727dd7cf36b6e77b8637234848bc79ce.png"/><Relationship Id="rId19" Type="http://schemas.openxmlformats.org/officeDocument/2006/relationships/image" Target="media/e042ac23bbdcf59a3a3a51944ee0f5da4a7bb0d9.png"/><Relationship Id="rId20" Type="http://schemas.openxmlformats.org/officeDocument/2006/relationships/image" Target="media/f8fa198c248964fbbf814ab2b5aaaae2a114dc6f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2026-07-12T02:57:24.297Z</dcterms:created>
  <dcterms:modified xsi:type="dcterms:W3CDTF">2026-07-12T02:57:24.297Z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