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Agreement — Alpha Supplies</w:t>
      </w:r>
    </w:p>
    <w:p>
      <w:r>
        <w:t>Effective date: 2024-01-01</w:t>
      </w:r>
    </w:p>
    <w:p>
      <w:r>
        <w:t>Payment terms: Net-30. Invoices are due within 30 days of the invoice date.</w:t>
      </w:r>
    </w:p>
    <w:p>
      <w:pPr>
        <w:pStyle w:val="Heading2"/>
      </w:pPr>
      <w:r>
        <w:t>Agreed unit prices (USD)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Unit price</w:t>
            </w:r>
          </w:p>
        </w:tc>
      </w:tr>
      <w:tr>
        <w:tc>
          <w:tcPr>
            <w:tcW w:type="dxa" w:w="4320"/>
          </w:tcPr>
          <w:p>
            <w:r>
              <w:t>SKU-1001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  <w:tr>
        <w:tc>
          <w:tcPr>
            <w:tcW w:type="dxa" w:w="4320"/>
          </w:tcPr>
          <w:p>
            <w:r>
              <w:t>SKU-1002</w:t>
            </w:r>
          </w:p>
        </w:tc>
        <w:tc>
          <w:tcPr>
            <w:tcW w:type="dxa" w:w="4320"/>
          </w:tcPr>
          <w:p>
            <w:r>
              <w:t>25.00</w:t>
            </w:r>
          </w:p>
        </w:tc>
      </w:tr>
      <w:tr>
        <w:tc>
          <w:tcPr>
            <w:tcW w:type="dxa" w:w="4320"/>
          </w:tcPr>
          <w:p>
            <w:r>
              <w:t>SKU-1003</w:t>
            </w:r>
          </w:p>
        </w:tc>
        <w:tc>
          <w:tcPr>
            <w:tcW w:type="dxa" w:w="4320"/>
          </w:tcPr>
          <w:p>
            <w:r>
              <w:t>21.511</w:t>
            </w:r>
          </w:p>
        </w:tc>
      </w:tr>
      <w:tr>
        <w:tc>
          <w:tcPr>
            <w:tcW w:type="dxa" w:w="4320"/>
          </w:tcPr>
          <w:p>
            <w:r>
              <w:t>SKU-1004</w:t>
            </w:r>
          </w:p>
        </w:tc>
        <w:tc>
          <w:tcPr>
            <w:tcW w:type="dxa" w:w="4320"/>
          </w:tcPr>
          <w:p>
            <w:r>
              <w:t>99.5</w:t>
            </w:r>
          </w:p>
        </w:tc>
      </w:tr>
    </w:tbl>
    <w:p>
      <w:r>
        <w:t>Unit prices on invoices must match this schedule. A variance greater than 5% is grounds for rejection pending renegotiation.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