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90" w:before="90"/>
        <w:ind w:firstLine="0" w:left="0" w:right="0"/>
        <w:rPr>
          <w:b w:val="1"/>
          <w:sz w:val="36"/>
        </w:rPr>
      </w:pPr>
      <w:r>
        <w:rPr>
          <w:b w:val="1"/>
          <w:sz w:val="36"/>
        </w:rPr>
        <w:t>Описание проекта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Заказчик — кредитный отдел банка. Нужно разобраться, влияет ли семейное положение и количество детей клиента на факт погашения кредита в срок. Входные данные от банка — статистика о платёжеспособности клиентов.</w:t>
      </w:r>
    </w:p>
    <w:p w14:paraId="0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Результаты исследования будут учтены при построении модели 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кредитного скоринга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— специальной системы, которая оценивает способность потенциального заёмщика вернуть кредит банку.</w:t>
      </w:r>
    </w:p>
    <w:p w14:paraId="04000000">
      <w:pPr>
        <w:spacing w:after="90" w:before="90"/>
        <w:ind w:firstLine="0" w:left="0" w:right="0"/>
        <w:rPr>
          <w:b w:val="1"/>
          <w:sz w:val="36"/>
        </w:rPr>
      </w:pPr>
      <w:r>
        <w:rPr>
          <w:b w:val="1"/>
          <w:sz w:val="36"/>
        </w:rPr>
        <w:t>Описание данных</w:t>
      </w:r>
    </w:p>
    <w:p w14:paraId="05000000">
      <w:pPr>
        <w:numPr>
          <w:ilvl w:val="0"/>
          <w:numId w:val="1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children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—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количество детей в семье</w:t>
      </w:r>
    </w:p>
    <w:p w14:paraId="06000000">
      <w:pPr>
        <w:numPr>
          <w:ilvl w:val="0"/>
          <w:numId w:val="1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days_employed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— общий трудовой стаж в днях</w:t>
      </w:r>
    </w:p>
    <w:p w14:paraId="07000000">
      <w:pPr>
        <w:numPr>
          <w:ilvl w:val="0"/>
          <w:numId w:val="1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dob_years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— возраст клиента в годах</w:t>
      </w:r>
    </w:p>
    <w:p w14:paraId="08000000">
      <w:pPr>
        <w:numPr>
          <w:ilvl w:val="0"/>
          <w:numId w:val="1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education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— уровень образования клиента</w:t>
      </w:r>
    </w:p>
    <w:p w14:paraId="09000000">
      <w:pPr>
        <w:numPr>
          <w:ilvl w:val="0"/>
          <w:numId w:val="1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education_id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— идентификатор уровня образования</w:t>
      </w:r>
    </w:p>
    <w:p w14:paraId="0A000000">
      <w:pPr>
        <w:numPr>
          <w:ilvl w:val="0"/>
          <w:numId w:val="1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family_status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— семейное положение</w:t>
      </w:r>
    </w:p>
    <w:p w14:paraId="0B000000">
      <w:pPr>
        <w:numPr>
          <w:ilvl w:val="0"/>
          <w:numId w:val="1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family_status_id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— идентификатор семейного положения</w:t>
      </w:r>
    </w:p>
    <w:p w14:paraId="0C000000">
      <w:pPr>
        <w:numPr>
          <w:ilvl w:val="0"/>
          <w:numId w:val="1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gender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— пол клиента</w:t>
      </w:r>
    </w:p>
    <w:p w14:paraId="0D000000">
      <w:pPr>
        <w:numPr>
          <w:ilvl w:val="0"/>
          <w:numId w:val="1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income_type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— тип занятости</w:t>
      </w:r>
    </w:p>
    <w:p w14:paraId="0E000000">
      <w:pPr>
        <w:numPr>
          <w:ilvl w:val="0"/>
          <w:numId w:val="1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debt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— имел ли задолженность по возврату кредитов</w:t>
      </w:r>
    </w:p>
    <w:p w14:paraId="0F000000">
      <w:pPr>
        <w:numPr>
          <w:ilvl w:val="0"/>
          <w:numId w:val="1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total_income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— ежемесячный доход</w:t>
      </w:r>
    </w:p>
    <w:p w14:paraId="10000000">
      <w:pPr>
        <w:numPr>
          <w:ilvl w:val="0"/>
          <w:numId w:val="1"/>
        </w:numPr>
      </w:pPr>
      <w:r>
        <w:rPr>
          <w:rFonts w:ascii="Menlo" w:hAnsi="Menlo"/>
          <w:b w:val="0"/>
          <w:i w:val="0"/>
          <w:caps w:val="0"/>
          <w:color w:val="000000"/>
          <w:spacing w:val="0"/>
          <w:sz w:val="22"/>
          <w:highlight w:val="white"/>
        </w:rPr>
        <w:t>purpose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— цель получения кредита</w:t>
      </w:r>
    </w:p>
    <w:p w14:paraId="11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2023-08-15T09:22:26Z</dcterms:modified>
</cp:coreProperties>
</file>