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bmp" ContentType="image/bmp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bookmarkStart w:id="0" w:name="_Toc521959003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                   </w:t>
      </w: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</w:p>
    <w:p>
      <w:pPr>
        <w:ind w:left="210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1848485" cy="658495"/>
            <wp:effectExtent l="0" t="0" r="18415" b="825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840" w:leftChars="0" w:firstLine="420" w:firstLineChars="0"/>
        <w:rPr>
          <w:rFonts w:hint="eastAsia" w:asciiTheme="majorEastAsia" w:hAnsiTheme="majorEastAsia" w:eastAsiaTheme="majorEastAsia" w:cstheme="majorEastAsia"/>
          <w:b/>
          <w:bCs/>
          <w:sz w:val="52"/>
          <w:szCs w:val="52"/>
        </w:rPr>
      </w:pPr>
      <w:r>
        <w:rPr>
          <w:rFonts w:hint="eastAsia" w:asciiTheme="majorEastAsia" w:hAnsiTheme="majorEastAsia" w:eastAsiaTheme="majorEastAsia" w:cstheme="majorEastAsia"/>
          <w:b/>
          <w:bCs/>
          <w:kern w:val="0"/>
          <w:sz w:val="56"/>
          <w:szCs w:val="72"/>
          <w:lang w:val="zh-CN"/>
        </w:rPr>
        <w:t>中国铁塔能源管理系统</w:t>
      </w:r>
    </w:p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/>
          <w:bCs/>
          <w:kern w:val="0"/>
          <w:sz w:val="56"/>
          <w:szCs w:val="72"/>
          <w:lang w:val="zh-CN"/>
        </w:rPr>
      </w:pPr>
      <w:r>
        <w:rPr>
          <w:rFonts w:hint="eastAsia" w:asciiTheme="majorEastAsia" w:hAnsiTheme="majorEastAsia" w:eastAsiaTheme="majorEastAsia" w:cstheme="majorEastAsia"/>
          <w:b/>
          <w:bCs/>
          <w:kern w:val="0"/>
          <w:sz w:val="56"/>
          <w:szCs w:val="72"/>
          <w:lang w:val="zh-CN"/>
        </w:rPr>
        <w:t>用户使用手册</w:t>
      </w:r>
    </w:p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  <w:bookmarkStart w:id="47" w:name="_GoBack"/>
      <w:bookmarkEnd w:id="47"/>
    </w:p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p>
      <w:pPr>
        <w:ind w:left="0" w:leftChars="0" w:right="2088" w:firstLine="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p>
      <w:pPr>
        <w:ind w:left="0" w:leftChars="0" w:right="2088" w:firstLine="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sdt>
      <w:sdtPr>
        <w:rPr>
          <w:rFonts w:hint="eastAsia" w:asciiTheme="majorEastAsia" w:hAnsiTheme="majorEastAsia" w:eastAsiaTheme="majorEastAsia" w:cstheme="majorEastAsia"/>
          <w:b w:val="0"/>
          <w:bCs w:val="0"/>
          <w:kern w:val="2"/>
          <w:sz w:val="21"/>
          <w:lang w:val="en-US" w:eastAsia="zh-CN" w:bidi="ar-SA"/>
        </w:rPr>
        <w:id w:val="147461268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EastAsia" w:hAnsiTheme="majorEastAsia" w:eastAsiaTheme="majorEastAsia" w:cstheme="majorEastAsia"/>
          <w:b w:val="0"/>
          <w:bCs w:val="0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Theme="majorEastAsia" w:hAnsiTheme="majorEastAsia" w:eastAsiaTheme="majorEastAsia" w:cstheme="majorEastAsia"/>
              <w:b w:val="0"/>
              <w:bCs w:val="0"/>
              <w:kern w:val="2"/>
              <w:sz w:val="21"/>
              <w:lang w:val="en-US" w:eastAsia="zh-CN" w:bidi="ar-SA"/>
            </w:rPr>
          </w:pPr>
          <w:bookmarkStart w:id="1" w:name="_Toc14093_WPSOffice_Type2"/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_Toc9213_WPSOffice_Level1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91c13b52-f4bf-4f5a-9840-d35db7db10ee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1.1系统导航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2" w:name="_Toc9213_WPSOffice_Level1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3</w:t>
          </w:r>
          <w:bookmarkEnd w:id="2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_Toc14093_WPSOffice_Level2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88eab0bb-837a-444b-ae34-a941cd8acbcd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1.1.1密码修改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3" w:name="_Toc14093_WPSOffice_Level2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3</w:t>
          </w:r>
          <w:bookmarkEnd w:id="3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_Toc11089_WPSOffice_Level2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4b5c5a15-22be-44c5-8c43-d4099f3a922e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1.1.2工作台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4" w:name="_Toc11089_WPSOffice_Level2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4</w:t>
          </w:r>
          <w:bookmarkEnd w:id="4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_Toc22970_WPSOffice_Level2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a2d929ed-a81e-456a-a10e-3711c598d7c7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1.1.3菜单路径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5" w:name="_Toc22970_WPSOffice_Level2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9</w:t>
          </w:r>
          <w:bookmarkEnd w:id="5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_Toc14093_WPSOffice_Level1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e61801af-61da-45ea-ba7d-1c146abd959b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2功能介绍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6" w:name="_Toc14093_WPSOffice_Level1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10</w:t>
          </w:r>
          <w:bookmarkEnd w:id="6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_Toc11089_WPSOffice_Level1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8e4bc942-fdde-44fa-9080-191453b678c7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2.1能耗计量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7" w:name="_Toc11089_WPSOffice_Level1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10</w:t>
          </w:r>
          <w:bookmarkEnd w:id="7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_Toc7890_WPSOffice_Level2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004d434a-3dc8-4931-8b7c-410d89d3ba22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2.1.1电量计量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8" w:name="_Toc7890_WPSOffice_Level2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10</w:t>
          </w:r>
          <w:bookmarkEnd w:id="8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_Toc18620_WPSOffice_Level2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394237b2-e611-4fb8-b1b4-5713c03ba8eb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2.1.2标杆环境系数配置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9" w:name="_Toc18620_WPSOffice_Level2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14</w:t>
          </w:r>
          <w:bookmarkEnd w:id="9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_Toc24795_WPSOffice_Level2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be808f08-4493-4d4f-b176-8a9e6d1ff861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修改规则：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10" w:name="_Toc24795_WPSOffice_Level2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15</w:t>
          </w:r>
          <w:bookmarkEnd w:id="10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_Toc22970_WPSOffice_Level1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07a80f76-263e-4c65-aca4-b28f097a76c5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2.2蓄电池管理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11" w:name="_Toc22970_WPSOffice_Level1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16</w:t>
          </w:r>
          <w:bookmarkEnd w:id="11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_Toc4765_WPSOffice_Level2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8ceaa3c4-57c6-43ff-8380-27d9bbe2b9e0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2.2.1 蓄电池远程核容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12" w:name="_Toc4765_WPSOffice_Level2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16</w:t>
          </w:r>
          <w:bookmarkEnd w:id="12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_Toc7146_WPSOffice_Level2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bfa7a110-1a4d-4b7a-86b7-f836b00a1fa5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2.2.2蓄电池隐患分析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13" w:name="_Toc7146_WPSOffice_Level2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23</w:t>
          </w:r>
          <w:bookmarkEnd w:id="13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_Toc15734_WPSOffice_Level2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e859c0fc-0039-4855-ae9e-2527bde46d9f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2.2.3蓄电池备电时长明细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14" w:name="_Toc15734_WPSOffice_Level2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25</w:t>
          </w:r>
          <w:bookmarkEnd w:id="14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_Toc5354_WPSOffice_Level2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8b84b799-3696-4c6c-990b-463a93861b6c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2.2.4蓄电池远程核容统计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15" w:name="_Toc5354_WPSOffice_Level2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26</w:t>
          </w:r>
          <w:bookmarkEnd w:id="15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_Toc7890_WPSOffice_Level1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c83416ce-083c-424d-94df-dd648f337af1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2.3空调管理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16" w:name="_Toc7890_WPSOffice_Level1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27</w:t>
          </w:r>
          <w:bookmarkEnd w:id="16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_Toc15604_WPSOffice_Level2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8ace45e7-09e8-493f-8e9e-2a13327e9867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2.3.1空调远程控制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17" w:name="_Toc15604_WPSOffice_Level2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27</w:t>
          </w:r>
          <w:bookmarkEnd w:id="17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b w:val="0"/>
              <w:bCs w:val="0"/>
            </w:rPr>
          </w:pP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instrText xml:space="preserve"> HYPERLINK \l _Toc20885_WPSOffice_Level2 </w:instrText>
          </w:r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  <w:id w:val="147461268"/>
              <w:placeholder>
                <w:docPart w:val="{556a63ba-3b61-401d-aefd-e32160c7e48a}"/>
              </w:placeholder>
              <w15:color w:val="509DF3"/>
            </w:sdtPr>
            <w:sdtEndPr>
              <w:rPr>
                <w:rFonts w:hint="eastAsia" w:asciiTheme="majorEastAsia" w:hAnsiTheme="majorEastAsia" w:eastAsiaTheme="majorEastAsia" w:cstheme="majorEastAsia"/>
                <w:b w:val="0"/>
                <w:bCs w:val="0"/>
                <w:kern w:val="2"/>
                <w:sz w:val="21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b w:val="0"/>
                  <w:bCs w:val="0"/>
                </w:rPr>
                <w:t>2.3.2空调远程控制统计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ab/>
          </w:r>
          <w:bookmarkStart w:id="18" w:name="_Toc20885_WPSOffice_Level2Page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t>27</w:t>
          </w:r>
          <w:bookmarkEnd w:id="18"/>
          <w:r>
            <w:rPr>
              <w:rFonts w:hint="eastAsia" w:asciiTheme="majorEastAsia" w:hAnsiTheme="majorEastAsia" w:eastAsiaTheme="majorEastAsia" w:cstheme="majorEastAsia"/>
              <w:b w:val="0"/>
              <w:bCs w:val="0"/>
            </w:rPr>
            <w:fldChar w:fldCharType="end"/>
          </w:r>
          <w:bookmarkEnd w:id="1"/>
        </w:p>
      </w:sdtContent>
    </w:sdt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p>
      <w:pPr>
        <w:ind w:left="420" w:right="2088" w:firstLine="1120"/>
        <w:jc w:val="center"/>
        <w:rPr>
          <w:rFonts w:hint="eastAsia" w:asciiTheme="majorEastAsia" w:hAnsiTheme="majorEastAsia" w:eastAsiaTheme="majorEastAsia" w:cstheme="majorEastAsia"/>
          <w:b w:val="0"/>
          <w:bCs w:val="0"/>
          <w:kern w:val="0"/>
          <w:sz w:val="56"/>
          <w:szCs w:val="72"/>
          <w:lang w:val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bookmarkStart w:id="19" w:name="_Toc9213_WPSOffice_Level1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1.1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系统导航</w:t>
      </w:r>
      <w:bookmarkEnd w:id="0"/>
      <w:bookmarkEnd w:id="19"/>
    </w:p>
    <w:p>
      <w:pPr>
        <w:pStyle w:val="4"/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bookmarkStart w:id="20" w:name="_Toc521959004"/>
      <w:bookmarkStart w:id="21" w:name="_Toc14093_WPSOffice_Level2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.1.1密码修改</w:t>
      </w:r>
      <w:bookmarkEnd w:id="20"/>
      <w:bookmarkEnd w:id="21"/>
    </w:p>
    <w:p>
      <w:pPr>
        <w:pStyle w:val="5"/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.1.1.1功能介绍</w:t>
      </w: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支持登录用户自行修改密码。</w:t>
      </w:r>
    </w:p>
    <w:p>
      <w:pPr>
        <w:pStyle w:val="5"/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.1.1.2菜单路径</w:t>
      </w:r>
    </w:p>
    <w:p>
      <w:pPr>
        <w:ind w:left="420" w:firstLine="4" w:firstLineChars="2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菜单路径：【个人信息】-&gt;【名片】</w:t>
      </w:r>
    </w:p>
    <w:p>
      <w:pPr>
        <w:pStyle w:val="5"/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.1.1.3操作详情</w:t>
      </w:r>
    </w:p>
    <w:p>
      <w:pPr>
        <w:ind w:left="420" w:firstLine="4" w:firstLineChars="2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1.进入登录界面，点击界面右上角头像图标，点击下拉界面中的“名片”，如下图：</w:t>
      </w:r>
    </w:p>
    <w:p>
      <w:pPr>
        <w:ind w:left="0" w:leftChars="0" w:firstLine="420" w:firstLineChars="0"/>
        <w:outlineLvl w:val="1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3040" cy="2300605"/>
            <wp:effectExtent l="0" t="0" r="3810" b="444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进入名片界面后，点击界面左侧头像下面的修改密码，如下图所示：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9390" cy="1511935"/>
            <wp:effectExtent l="0" t="0" r="16510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点击修改密码，进入密码修改界面，输入“旧密码”、“新密码”、“确认密码”后点击确定便可完成密码修改操作。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38115" cy="2295525"/>
            <wp:effectExtent l="0" t="0" r="63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bookmarkStart w:id="22" w:name="_Toc521959005"/>
      <w:bookmarkStart w:id="23" w:name="_Toc11089_WPSOffice_Level2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.1.2工作台</w:t>
      </w:r>
      <w:bookmarkEnd w:id="22"/>
      <w:bookmarkEnd w:id="23"/>
    </w:p>
    <w:p>
      <w:pPr>
        <w:pStyle w:val="5"/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.1.2.1功能介绍</w:t>
      </w: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支持用户设置自己专有的工作台。</w:t>
      </w:r>
    </w:p>
    <w:p>
      <w:pPr>
        <w:pStyle w:val="5"/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.1.2.2菜单路径</w:t>
      </w:r>
    </w:p>
    <w:p>
      <w:pPr>
        <w:ind w:left="420" w:firstLine="4" w:firstLineChars="2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菜单路径：【个人信息】-&gt;【工作台定制】</w:t>
      </w:r>
    </w:p>
    <w:p>
      <w:pPr>
        <w:pStyle w:val="5"/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.1.2.3操作详情</w:t>
      </w:r>
    </w:p>
    <w:p>
      <w:pPr>
        <w:ind w:left="420" w:firstLine="4" w:firstLineChars="2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1.进入登录界面，点击界面右上角头像图标，点击下拉界面中的“工作台定制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”，如下图：</w:t>
      </w:r>
    </w:p>
    <w:p>
      <w:p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3675" cy="2413000"/>
            <wp:effectExtent l="0" t="0" r="3175" b="635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进入工作台定制界面后，点击界面左侧的小齿轮，如下图所示：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8595" cy="2459990"/>
            <wp:effectExtent l="0" t="0" r="8255" b="1651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点击小齿轮，系统出现配置工作台界面，如下图所示：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4945" cy="2432685"/>
            <wp:effectExtent l="0" t="0" r="1905" b="57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.1.2.3.1新增布局模板</w:t>
      </w:r>
    </w:p>
    <w:p>
      <w:pPr>
        <w:numPr>
          <w:ilvl w:val="0"/>
          <w:numId w:val="2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点击模板界面的“新建”，此时“新建”按钮变成了“创建”，在创建上方的文本框中输入模板名称（如：“个人工作台”），点击创建，从而生成一个模板，如下图所示：</w:t>
      </w:r>
    </w:p>
    <w:p>
      <w:pPr>
        <w:ind w:left="78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6850" cy="2280920"/>
            <wp:effectExtent l="0" t="0" r="0" b="508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创建完模板后，为模板添加组件，即设置工作台的布局，点击新增，如下图所示：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9865" cy="2472690"/>
            <wp:effectExtent l="0" t="0" r="6985" b="381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新增完组件后，模板后面出现了刚才新增的两个组件，用属标点击某一个组件，组件上会出现一个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253365" cy="292100"/>
            <wp:effectExtent l="0" t="0" r="13335" b="1270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（删除）和一个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190500" cy="1809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（设置组件大小），同时按住属标左键，拖动组件可以改变组件的位置，设置完布局后，点击保存按钮，系统提示成功添加布局，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_x0016_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3040" cy="2428875"/>
            <wp:effectExtent l="0" t="0" r="381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为布局模板添加需展示的菜单，点击“打开”，在弹出的界面中选择需要添加菜单的模板，点击“菜单选择”（见图1）,在弹出的界面中选择需要展示的菜单（见图2），选择完成点击“ＯＫ”。（注：图2中上下拖动菜单，可以设置菜单在工作台的展示顺序）如下图所示：</w:t>
      </w:r>
    </w:p>
    <w:p>
      <w:pPr>
        <w:ind w:left="78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9865" cy="2503170"/>
            <wp:effectExtent l="0" t="0" r="698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 w:leftChars="0" w:firstLine="0" w:firstLineChars="0"/>
        <w:jc w:val="center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图1</w:t>
      </w:r>
    </w:p>
    <w:p>
      <w:pPr>
        <w:ind w:left="78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bookmarkStart w:id="24" w:name="OLE_LINK2"/>
      <w:bookmarkStart w:id="25" w:name="OLE_LINK1"/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80660" cy="2462530"/>
            <wp:effectExtent l="0" t="0" r="1524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  <w:bookmarkEnd w:id="25"/>
    </w:p>
    <w:p>
      <w:pPr>
        <w:ind w:left="780" w:leftChars="0" w:firstLine="0" w:firstLineChars="0"/>
        <w:jc w:val="center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图2</w:t>
      </w:r>
    </w:p>
    <w:p>
      <w:pPr>
        <w:numPr>
          <w:ilvl w:val="0"/>
          <w:numId w:val="2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菜单选择完成后，将选择好菜单的工作台设置为登录时的工作台，选择工作台模板，点击“设置为工作台”如下图所示：</w:t>
      </w:r>
    </w:p>
    <w:p>
      <w:pPr>
        <w:ind w:left="420" w:leftChars="0" w:firstLine="36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6690" cy="2465070"/>
            <wp:effectExtent l="0" t="0" r="1016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36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pStyle w:val="6"/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.1.2.3.2修改工作台展示菜单</w:t>
      </w:r>
    </w:p>
    <w:p>
      <w:pPr>
        <w:numPr>
          <w:ilvl w:val="0"/>
          <w:numId w:val="3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成功登录系统，点击系统右上角“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333375" cy="3048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”，点击“工作台定制”，点击打开，选择需要修改的工作台，点击“菜单选择”，选择需要展示的菜单，点击OK，如下图所示：</w:t>
      </w:r>
    </w:p>
    <w:p>
      <w:pPr>
        <w:ind w:left="78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80660" cy="2462530"/>
            <wp:effectExtent l="0" t="0" r="1524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点击保存，同时点击“打开”，选择刚才修改的模板，点击“设置为工作台”。</w:t>
      </w:r>
    </w:p>
    <w:p>
      <w:pPr>
        <w:pStyle w:val="6"/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.1.2.3.3删除工作台模板</w:t>
      </w:r>
    </w:p>
    <w:p>
      <w:pPr>
        <w:numPr>
          <w:ilvl w:val="0"/>
          <w:numId w:val="4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点击系统右上角“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333375" cy="304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”，点击“工作台定制”，点击打开，选择需要删除的模板，点击左下角的删除，如下图所示：</w:t>
      </w:r>
    </w:p>
    <w:p>
      <w:pPr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7485" cy="2496820"/>
            <wp:effectExtent l="0" t="0" r="18415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 w:val="0"/>
          <w:bCs w:val="0"/>
        </w:rPr>
      </w:pPr>
      <w:bookmarkStart w:id="26" w:name="_Toc22970_WPSOffice_Level2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1.1.3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菜单路径</w:t>
      </w:r>
      <w:bookmarkEnd w:id="26"/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1. 进入登录界面，点击界面右上角“地图”图标，如下图：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4310" cy="2432050"/>
            <wp:effectExtent l="0" t="0" r="2540" b="635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进入“全服务支撑系统”登录界面，输入云户名和密码后，即可提交相关需求，如下图所示：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9865" cy="2586355"/>
            <wp:effectExtent l="0" t="0" r="6985" b="4445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pStyle w:val="3"/>
        <w:bidi w:val="0"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</w:pPr>
      <w:bookmarkStart w:id="27" w:name="_Toc14093_WPSOffice_Level1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功能介绍</w:t>
      </w:r>
      <w:bookmarkEnd w:id="27"/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bookmarkStart w:id="28" w:name="_Toc11089_WPSOffice_Level1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2.1能耗计量</w:t>
      </w:r>
      <w:bookmarkEnd w:id="28"/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b w:val="0"/>
          <w:bCs w:val="0"/>
        </w:rPr>
      </w:pPr>
      <w:bookmarkStart w:id="29" w:name="_Toc521959008"/>
      <w:bookmarkStart w:id="30" w:name="_Toc7890_WPSOffice_Level2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.1电量计量</w:t>
      </w:r>
      <w:bookmarkEnd w:id="29"/>
      <w:bookmarkEnd w:id="30"/>
    </w:p>
    <w:p>
      <w:pPr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1.省分用户成功登录系统，鼠标放置界面左上角的“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361950" cy="238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”后，界面出现下拉菜单，将鼠标移动至“能耗计量”，在弹出的下拉菜单中点击“电量计量”，如下所示：</w:t>
      </w:r>
    </w:p>
    <w:p>
      <w:p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2880" cy="2448560"/>
            <wp:effectExtent l="0" t="0" r="139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780" w:leftChars="0" w:hanging="36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进入“电量计量”界面，“开始时间”和“结束时间”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默认为昨天和今天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，点击“查询”按钮，即可看到允许范围内的所有基站的数据，如下所示：</w:t>
      </w:r>
    </w:p>
    <w:p>
      <w:pPr>
        <w:numPr>
          <w:ilvl w:val="0"/>
          <w:numId w:val="0"/>
        </w:numPr>
        <w:ind w:left="420" w:left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2880" cy="2508250"/>
            <wp:effectExtent l="0" t="0" r="13970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电量计量列表各个字段值算法：</w:t>
      </w:r>
    </w:p>
    <w:p>
      <w:pP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1、标杆环境系数：通过匹配站址类型、有无空调、所属组织找到“标杆环境系数配置”菜单中的数据。</w:t>
      </w:r>
    </w:p>
    <w:p>
      <w:pPr>
        <w:numPr>
          <w:ilvl w:val="0"/>
          <w:numId w:val="0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2、实测环境系数=nvl(交流电表耗电量，物业缴费电量) / nvl(直流系统耗电量,  录入直流系统耗电量)</w:t>
      </w:r>
    </w:p>
    <w:p>
      <w:pPr>
        <w:numPr>
          <w:ilvl w:val="0"/>
          <w:numId w:val="0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3、包干环境系数：取自物业站址包干协议中的包干环境系数</w:t>
      </w:r>
    </w:p>
    <w:p>
      <w:pPr>
        <w:numPr>
          <w:ilvl w:val="0"/>
          <w:numId w:val="0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4、日均电流：取值动环监控同步上来的一天各个时间点的电流总和平均值。</w:t>
      </w:r>
    </w:p>
    <w:p>
      <w:pPr>
        <w:numPr>
          <w:ilvl w:val="0"/>
          <w:numId w:val="0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5、用电参考值=自流系统耗电量*标杆环境系数</w:t>
      </w:r>
    </w:p>
    <w:p>
      <w:pPr>
        <w:numPr>
          <w:ilvl w:val="0"/>
          <w:numId w:val="0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6、自流系统耗电量：如果是共享站取自各家运营商的直流电量汇总，如果是独享站则取自开关电源电量</w:t>
      </w:r>
    </w:p>
    <w:p>
      <w:pPr>
        <w:numPr>
          <w:ilvl w:val="0"/>
          <w:numId w:val="0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7、开关电源电量：计算各个时间点的电量：直流电压*直流负载总电流/1000*1，并把取到的各个时间点电量求和，然后除以取到电量的次数，最后乘以24,得到当天的直流电量，总结公式为：</w:t>
      </w:r>
    </w:p>
    <w:p>
      <w:pPr>
        <w:numPr>
          <w:ilvl w:val="0"/>
          <w:numId w:val="0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Sum(某个时间的开关电源电量)/能计算到的电量次数*24</w:t>
      </w:r>
    </w:p>
    <w:p>
      <w:pPr>
        <w:numPr>
          <w:ilvl w:val="0"/>
          <w:numId w:val="6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移动直流系统耗电量：有分录计量设备的，则优先取分录计量同步的分路信号量，电量值=当天最晚时间的电量累计值-当天最早时间的电量值</w:t>
      </w:r>
    </w:p>
    <w:p>
      <w:pPr>
        <w:numPr>
          <w:ilvl w:val="0"/>
          <w:numId w:val="6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联通直流系统耗电量：有分录计量设备的，则优先取分录计量同步的分路信号量，电量值=当天最晚时间的电量累计值-当天最早时间的电量值</w:t>
      </w:r>
    </w:p>
    <w:p>
      <w:pPr>
        <w:numPr>
          <w:ilvl w:val="0"/>
          <w:numId w:val="6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电信直流系统耗电量：有分录计量设备的，则优先取分录计量同步的分路信号量，电量值=当天最晚时间的电量累计值-当天最早时间的电量值</w:t>
      </w:r>
    </w:p>
    <w:p>
      <w:pPr>
        <w:numPr>
          <w:ilvl w:val="0"/>
          <w:numId w:val="6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交流电表耗电量：取自动环监控上报的信号量，电量值=当天最晚时间的电量累计值-当天最早时间的电量值</w:t>
      </w:r>
    </w:p>
    <w:p>
      <w:pPr>
        <w:numPr>
          <w:ilvl w:val="0"/>
          <w:numId w:val="6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录入自流系统耗电量：用户自行录入的值</w:t>
      </w:r>
    </w:p>
    <w:p>
      <w:pPr>
        <w:numPr>
          <w:ilvl w:val="0"/>
          <w:numId w:val="6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物业缴费电量：取自物业系统每月上报的耗电量平均到每天的值</w:t>
      </w:r>
    </w:p>
    <w:p>
      <w:pPr>
        <w:numPr>
          <w:ilvl w:val="0"/>
          <w:numId w:val="6"/>
        </w:numPr>
        <w:ind w:leftChars="6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空调电量：取自动环监控上报的信号量，电量值=当天最晚时间的电量累计值-当天最早时间的电量值</w:t>
      </w:r>
    </w:p>
    <w:p>
      <w:p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3.点击基站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名称，可以跳转到基站详情页面，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即可查看本基站下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的基本数据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，如下图所示：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2245" cy="2273935"/>
            <wp:effectExtent l="0" t="0" r="14605" b="1206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</w:pPr>
    </w:p>
    <w:p>
      <w:pPr>
        <w:numPr>
          <w:ilvl w:val="0"/>
          <w:numId w:val="5"/>
        </w:num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点击页面的录入按钮：可以单个手动录入直流系统耗电量的值（选中一行记录，点击录入按钮，会回显基站名称和基站编码，节省了手工输入基站名称和</w:t>
      </w:r>
      <w:bookmarkStart w:id="31" w:name="_Toc21096_WPSOffice_Level2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编码），输入直流系统耗电量的值，点击“确定”按钮，数据录入成功</w:t>
      </w:r>
    </w:p>
    <w:p>
      <w:pPr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数据录入规则：</w:t>
      </w:r>
    </w:p>
    <w:p>
      <w:pPr>
        <w:numPr>
          <w:ilvl w:val="0"/>
          <w:numId w:val="7"/>
        </w:numPr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优先录入系统没有“直流系统耗电量”的站址数据。</w:t>
      </w:r>
    </w:p>
    <w:p>
      <w:pPr>
        <w:numPr>
          <w:ilvl w:val="0"/>
          <w:numId w:val="7"/>
        </w:numPr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每个站址只允许录入一条数据，重复录入会覆盖上一次录入的数据。</w:t>
      </w:r>
    </w:p>
    <w:p>
      <w:pPr>
        <w:numPr>
          <w:ilvl w:val="0"/>
          <w:numId w:val="0"/>
        </w:numPr>
        <w:ind w:leftChars="4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数据使用规则：</w:t>
      </w:r>
    </w:p>
    <w:p>
      <w:pPr>
        <w:numPr>
          <w:ilvl w:val="0"/>
          <w:numId w:val="8"/>
        </w:numPr>
        <w:ind w:leftChars="4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录入成功后，系统会自动刷新，并实时展示录入后的数据。</w:t>
      </w:r>
    </w:p>
    <w:p>
      <w:pPr>
        <w:numPr>
          <w:ilvl w:val="0"/>
          <w:numId w:val="8"/>
        </w:numPr>
        <w:ind w:leftChars="4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录入成功后，系统会在第二天同步基站能耗计算“实测环境系数”时，首先判断是否能获取基站实测“直流系统耗电量”，如果获取不到，则去取“录入直流系统耗电量”。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</w:p>
    <w:p>
      <w:pPr>
        <w:numPr>
          <w:ilvl w:val="0"/>
          <w:numId w:val="0"/>
        </w:numPr>
        <w:ind w:firstLine="600" w:firstLineChars="4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注：</w:t>
      </w:r>
    </w:p>
    <w:p>
      <w:pPr>
        <w:numPr>
          <w:ilvl w:val="0"/>
          <w:numId w:val="0"/>
        </w:numPr>
        <w:ind w:firstLine="600" w:firstLineChars="4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算环境系数时：</w:t>
      </w:r>
    </w:p>
    <w:p>
      <w:pPr>
        <w:numPr>
          <w:ilvl w:val="0"/>
          <w:numId w:val="9"/>
        </w:numPr>
        <w:ind w:firstLine="600" w:firstLineChars="4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优先取交流电表电量，交流电表电量没有值，则取物业缴费电量作为交流用电量；</w:t>
      </w:r>
    </w:p>
    <w:p>
      <w:pPr>
        <w:numPr>
          <w:ilvl w:val="0"/>
          <w:numId w:val="9"/>
        </w:numPr>
        <w:ind w:firstLine="600" w:firstLineChars="4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优先取系统测算的直流系统耗电量，其次取用户录入的直流系统耗电量。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 xml:space="preserve">        算法：</w:t>
      </w:r>
    </w:p>
    <w:p>
      <w:pPr>
        <w:numPr>
          <w:ilvl w:val="0"/>
          <w:numId w:val="0"/>
        </w:numPr>
        <w:ind w:firstLine="600" w:firstLineChars="400"/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FF"/>
          <w:sz w:val="15"/>
          <w:szCs w:val="15"/>
          <w:lang w:val="en-US" w:eastAsia="zh-CN"/>
        </w:rPr>
        <w:t>实测环境系数=nvl(交流电表耗电量，物业缴费电量) / nvl(直流系统耗电量,录入直流系统耗电量)</w:t>
      </w:r>
    </w:p>
    <w:p>
      <w:pPr>
        <w:numPr>
          <w:ilvl w:val="0"/>
          <w:numId w:val="0"/>
        </w:numPr>
        <w:ind w:firstLine="840" w:firstLineChars="400"/>
        <w:rPr>
          <w:rFonts w:hint="eastAsia" w:asciiTheme="majorEastAsia" w:hAnsiTheme="majorEastAsia" w:eastAsiaTheme="majorEastAsia" w:cstheme="majorEastAsia"/>
          <w:b w:val="0"/>
          <w:bCs w:val="0"/>
          <w:color w:val="FF0000"/>
          <w:lang w:val="en-US" w:eastAsia="zh-CN"/>
        </w:rPr>
      </w:pPr>
    </w:p>
    <w:p>
      <w:pPr>
        <w:numPr>
          <w:ilvl w:val="0"/>
          <w:numId w:val="0"/>
        </w:numPr>
        <w:ind w:firstLine="840" w:firstLineChars="400"/>
        <w:rPr>
          <w:rFonts w:hint="eastAsia" w:asciiTheme="majorEastAsia" w:hAnsiTheme="majorEastAsia" w:eastAsiaTheme="majorEastAsia" w:cstheme="majorEastAsia"/>
          <w:b w:val="0"/>
          <w:bCs w:val="0"/>
          <w:color w:val="FF0000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1770" cy="2429510"/>
            <wp:effectExtent l="0" t="0" r="5080" b="889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4</w:t>
      </w:r>
      <w:bookmarkEnd w:id="31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.点击页面的“直流系统耗电量批量导入”按钮：可以手动批量导入直流系统耗电量的值，点击下载模板，根据模板的信息进行填写对应的内容，进行上传，点击导入数据（下面第一个图），当上传的文档中数据有误的会已Excle表格的形式给返回（下面第二个图）</w:t>
      </w:r>
    </w:p>
    <w:p>
      <w:pPr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2405" cy="2586355"/>
            <wp:effectExtent l="0" t="0" r="4445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5420" cy="2630805"/>
            <wp:effectExtent l="0" t="0" r="11430" b="1714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b w:val="0"/>
          <w:bCs w:val="0"/>
        </w:rPr>
      </w:pPr>
      <w:bookmarkStart w:id="32" w:name="_Toc521959012"/>
      <w:bookmarkStart w:id="33" w:name="_Toc18620_WPSOffice_Level2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.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标杆环境系数配置</w:t>
      </w:r>
      <w:bookmarkEnd w:id="32"/>
      <w:bookmarkEnd w:id="33"/>
    </w:p>
    <w:p>
      <w:pPr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1.用户成功登录系统，鼠标放置界面左上角的“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361950" cy="238125"/>
            <wp:effectExtent l="0" t="0" r="0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”后，界面出现下拉菜单，将鼠标移动至“能耗计量”，在弹出的下拉菜单中点击“标杆环境系数配置”，如下所示：</w:t>
      </w:r>
    </w:p>
    <w:p>
      <w:p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1610" cy="2425700"/>
            <wp:effectExtent l="0" t="0" r="15240" b="1270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2.进入“标杆环境系数配置”界面，在界面左侧中点击需要查看及新增配置的区域名称，界面右侧将会展示该区域下已存在的配置信息，如下所示：</w:t>
      </w:r>
    </w:p>
    <w:p>
      <w:p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808080"/>
          <w:sz w:val="18"/>
          <w:szCs w:val="18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FF0000"/>
          <w:sz w:val="18"/>
          <w:szCs w:val="18"/>
        </w:rPr>
        <w:t>注：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808080"/>
          <w:sz w:val="18"/>
          <w:szCs w:val="18"/>
        </w:rPr>
        <w:t>右侧界面只展示出被选中区域的配置数据，不包含下级区域的配置数据，如选中“山东分公司”则只展示山东分公司的配置数据，不展示其下属地市的数据。</w:t>
      </w:r>
    </w:p>
    <w:p>
      <w:p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4150" cy="2557145"/>
            <wp:effectExtent l="0" t="0" r="12700" b="1460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0" w:leftChars="0" w:firstLine="630" w:firstLineChars="30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1.在界面左侧区域树中选中需要修改配置数据的区域名称，在界面右侧的列表中选择需求修改记录，点击”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标杆环境系数修改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”按钮，进入修改界面，如下图所示：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0500" cy="2535555"/>
            <wp:effectExtent l="0" t="0" r="6350" b="1714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bookmarkStart w:id="34" w:name="_Toc24795_WPSOffice_Level2"/>
      <w:r>
        <w:rPr>
          <w:rFonts w:hint="eastAsia" w:asciiTheme="majorEastAsia" w:hAnsiTheme="majorEastAsia" w:eastAsiaTheme="majorEastAsia" w:cstheme="majorEastAsia"/>
          <w:b w:val="0"/>
          <w:bCs w:val="0"/>
        </w:rPr>
        <w:t>修改规则：</w:t>
      </w:r>
      <w:bookmarkEnd w:id="34"/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a.机房类型、空调配置可空；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b.相同“机房类型”、“空调配置”的配置数据只允许存在一条，当录入相同配置数据时系统会弹出重新选择的提示；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c.1月~12月数据均为必填项。</w:t>
      </w:r>
    </w:p>
    <w:p>
      <w:pPr>
        <w:ind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2.信息填写完毕后点击保存，当输入的值不满足录入规则时系统将会弹出相应提示，下面以8月份数据为例，点击保存，系统将输入有误的数据用红色标出，且鼠标放置红色区域会提示出错原因，如下图所示：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3763645" cy="2270125"/>
            <wp:effectExtent l="0" t="0" r="8255" b="1587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3.将数据全部填写正确，点击保存，系统提示“修改成功”，且同时将数据展示在配置列表中，如下图所示：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6690" cy="1971675"/>
            <wp:effectExtent l="0" t="0" r="10160" b="952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bidi w:val="0"/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标杆环境系数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算法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：</w:t>
      </w:r>
    </w:p>
    <w:p>
      <w:pPr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标杆环境测算值：日均物业用电量/日均直流用电量；</w:t>
      </w:r>
    </w:p>
    <w:p>
      <w:pPr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页面显示的环境测算值为：取测算值在1-2之间的值。</w:t>
      </w:r>
    </w:p>
    <w:p>
      <w:pPr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1、标杆环境系数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先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默认值为实测环境系数，并随实测环境系数更新而更新。</w:t>
      </w:r>
    </w:p>
    <w:p>
      <w:pPr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2、如无实测环境系数，则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默认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取1。</w:t>
      </w:r>
    </w:p>
    <w:p>
      <w:pPr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3、人为修改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标杆环境系数后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则不再随实测环境系数更新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使用修改后的值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 w:val="0"/>
          <w:bCs w:val="0"/>
        </w:rPr>
      </w:pPr>
      <w:bookmarkStart w:id="35" w:name="_Toc22970_WPSOffice_Level1"/>
      <w:bookmarkStart w:id="36" w:name="_Toc521959023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2.2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蓄电池管理</w:t>
      </w:r>
      <w:bookmarkEnd w:id="35"/>
      <w:bookmarkEnd w:id="36"/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</w:pPr>
      <w:bookmarkStart w:id="37" w:name="_Toc4765_WPSOffice_Level2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2.2.1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 xml:space="preserve"> 蓄电池远程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bookmarkEnd w:id="37"/>
    </w:p>
    <w:p>
      <w:pPr>
        <w:numPr>
          <w:ilvl w:val="0"/>
          <w:numId w:val="10"/>
        </w:numPr>
        <w:ind w:leftChars="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省分用户成功登录系统，鼠标放置界面左上角的“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361950" cy="238125"/>
            <wp:effectExtent l="0" t="0" r="0" b="952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”后，界面出现下拉菜单，将鼠标移动至“蓄电池管理”，在弹出的下拉菜单中的“蓄电池远程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”，如下图所示：</w:t>
      </w:r>
    </w:p>
    <w:p>
      <w:pPr>
        <w:ind w:left="120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4310" cy="2416810"/>
            <wp:effectExtent l="0" t="0" r="2540" b="254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Chars="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进入“蓄电池远程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”界面，可通过区域、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开始时间、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状态、基站名称、基站编码、操作人进行选择查询，如下所示：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1610" cy="2337435"/>
            <wp:effectExtent l="0" t="0" r="15240" b="571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0" w:firstLineChars="0"/>
        <w:jc w:val="center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numPr>
          <w:ilvl w:val="0"/>
          <w:numId w:val="10"/>
        </w:numPr>
        <w:ind w:leftChars="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进入“蓄电池远程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”界面，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首先状态查询核容失败或者其他状态，然后选择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站址后，可通过点击“启动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”按钮，对已选择的站址进行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操作，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不选择核容状态‘启动核容’按钮是不可点击的，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如下图所示：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1135" cy="2525395"/>
            <wp:effectExtent l="0" t="0" r="5715" b="825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Chars="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进入“蓄电池远程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”界面，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首先根据状态‘核容中、排队中国’查询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要停止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的站址后，可通过点击“停止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”按钮，对已启动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的数据进行停止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操作，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不根据指定状态进行查询，停止按钮不可点击，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如下图所示：</w:t>
      </w:r>
    </w:p>
    <w:p>
      <w:pPr>
        <w:pStyle w:val="11"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119370" cy="2477770"/>
            <wp:effectExtent l="0" t="0" r="5080" b="1778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numPr>
          <w:ilvl w:val="0"/>
          <w:numId w:val="10"/>
        </w:numPr>
        <w:ind w:leftChars="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进入“蓄电池远程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”界面，如果要启动指定站址进行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有两种方式，如下图操作，</w:t>
      </w: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420" w:leftChars="0" w:hanging="420" w:hangingChars="20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 xml:space="preserve">   方式一：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根据核容状态进行查询（失败、成功）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 xml:space="preserve">，然后启动站址 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1135" cy="2525395"/>
            <wp:effectExtent l="0" t="0" r="5715" b="825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hanging="420" w:hangingChars="20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 xml:space="preserve">   方式二：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点击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“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基站编码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”，可查询出多条站址然后点击“启动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”按钮进行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核容，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当然必须选择一个核容状态（成功、失败）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 xml:space="preserve">    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</w:t>
      </w: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166360" cy="1980565"/>
            <wp:effectExtent l="0" t="0" r="15240" b="63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 xml:space="preserve">    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5420" cy="2349500"/>
            <wp:effectExtent l="0" t="0" r="11430" b="1270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ab/>
      </w:r>
    </w:p>
    <w:p>
      <w:pPr>
        <w:numPr>
          <w:ilvl w:val="0"/>
          <w:numId w:val="10"/>
        </w:numPr>
        <w:ind w:leftChars="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机房名称链接，可以查看相应的折线图信息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（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以下电流、电压值可以查看本月的数据、最长可查看半年内的数据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）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，如下图：</w:t>
      </w:r>
    </w:p>
    <w:p>
      <w:pPr>
        <w:ind w:left="143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3515" cy="2438400"/>
            <wp:effectExtent l="0" t="0" r="13335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Chars="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点击次数链接可以查看相应的历史核容记录，如下图：</w:t>
      </w:r>
    </w:p>
    <w:p>
      <w:pPr>
        <w:ind w:left="143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5420" cy="2538095"/>
            <wp:effectExtent l="0" t="0" r="11430" b="14605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3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9865" cy="2432050"/>
            <wp:effectExtent l="0" t="0" r="6985" b="6350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360" w:leftChars="0" w:firstLine="420" w:firstLineChars="20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自动派单功能</w:t>
      </w:r>
    </w:p>
    <w:p>
      <w:pPr>
        <w:numPr>
          <w:ilvl w:val="0"/>
          <w:numId w:val="0"/>
        </w:numPr>
        <w:ind w:leftChars="20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     核容状态为：回调异常时系统通过接口自动派单，派单方式为‘指派’、模板名称为蓄电池远程核容回压失败、四级工单类型为：故障处理；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  在运维监控系统---》运营管理---》自定义工单池可见</w:t>
      </w:r>
    </w:p>
    <w:p>
      <w:pPr>
        <w:numPr>
          <w:ilvl w:val="0"/>
          <w:numId w:val="0"/>
        </w:numPr>
        <w:ind w:leftChars="20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2880" cy="2548255"/>
            <wp:effectExtent l="0" t="0" r="13970" b="4445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20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9230" cy="2372360"/>
            <wp:effectExtent l="0" t="0" r="7620" b="889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蓄电池远程核容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算法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：</w:t>
      </w:r>
    </w:p>
    <w:p>
      <w:pPr>
        <w:widowControl/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核容结果分为成功和失败，具体分为4个状态，设定原则分别如下</w:t>
      </w:r>
    </w:p>
    <w:p>
      <w:pPr>
        <w:widowControl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成功：</w:t>
      </w:r>
    </w:p>
    <w:p>
      <w:pPr>
        <w:pStyle w:val="11"/>
        <w:widowControl/>
        <w:numPr>
          <w:ilvl w:val="0"/>
          <w:numId w:val="11"/>
        </w:numPr>
        <w:ind w:left="780" w:leftChars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核容成功（设压到4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  <w:lang w:val="en-US" w:eastAsia="zh-CN"/>
        </w:rPr>
        <w:t>7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.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  <w:lang w:val="en-US" w:eastAsia="zh-CN"/>
        </w:rPr>
        <w:t>5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v及以下）</w:t>
      </w:r>
    </w:p>
    <w:p>
      <w:pPr>
        <w:pStyle w:val="11"/>
        <w:widowControl/>
        <w:numPr>
          <w:ilvl w:val="1"/>
          <w:numId w:val="11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浮充电压设定到 4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  <w:lang w:val="en-US" w:eastAsia="zh-CN"/>
        </w:rPr>
        <w:t>7.5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以及以下，且核容正常完成，可预测出备电时长的任务</w:t>
      </w:r>
    </w:p>
    <w:p>
      <w:pPr>
        <w:pStyle w:val="11"/>
        <w:widowControl/>
        <w:numPr>
          <w:ilvl w:val="1"/>
          <w:numId w:val="11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满足性能数据完备，可调整参数，正常完成核容流程，具有备电时长的任务</w:t>
      </w:r>
    </w:p>
    <w:p>
      <w:pPr>
        <w:pStyle w:val="11"/>
        <w:widowControl/>
        <w:numPr>
          <w:ilvl w:val="1"/>
          <w:numId w:val="11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或者核容过程中存在问题，但是核容过程中电压下降到 4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  <w:lang w:val="en-US" w:eastAsia="zh-CN"/>
        </w:rPr>
        <w:t>7.5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以及以下的任务</w:t>
      </w:r>
    </w:p>
    <w:p>
      <w:pPr>
        <w:pStyle w:val="11"/>
        <w:widowControl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失败：标黄部分为核容失败状态</w:t>
      </w:r>
    </w:p>
    <w:tbl>
      <w:tblPr>
        <w:tblStyle w:val="9"/>
        <w:tblW w:w="8296" w:type="dxa"/>
        <w:tblInd w:w="11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9"/>
        <w:gridCol w:w="1134"/>
        <w:gridCol w:w="3828"/>
        <w:gridCol w:w="220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12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2"/>
              <w:jc w:val="distribute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核容阶段</w:t>
            </w:r>
          </w:p>
        </w:tc>
        <w:tc>
          <w:tcPr>
            <w:tcW w:w="113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问题编码</w:t>
            </w:r>
          </w:p>
        </w:tc>
        <w:tc>
          <w:tcPr>
            <w:tcW w:w="382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问题描述</w:t>
            </w:r>
          </w:p>
        </w:tc>
        <w:tc>
          <w:tcPr>
            <w:tcW w:w="220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核容结果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预检查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1001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当前或者最近12小时存在停电告警（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highlight w:val="yellow"/>
              </w:rPr>
              <w:t>电池充电中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）</w:t>
            </w:r>
          </w:p>
        </w:tc>
        <w:tc>
          <w:tcPr>
            <w:tcW w:w="22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fail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1002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实时性能采集超时，接口调用失败（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highlight w:val="yellow"/>
              </w:rPr>
              <w:t>开关电源离线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）</w:t>
            </w:r>
          </w:p>
        </w:tc>
        <w:tc>
          <w:tcPr>
            <w:tcW w:w="22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fail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1003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实时性能由于FSU原因失败（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highlight w:val="yellow"/>
              </w:rPr>
              <w:t>fsu离线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）</w:t>
            </w:r>
          </w:p>
        </w:tc>
        <w:tc>
          <w:tcPr>
            <w:tcW w:w="22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fail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1004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实时性能缺少核心数据，如电压，电流（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highlight w:val="yellow"/>
              </w:rPr>
              <w:t>电流缺失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）</w:t>
            </w:r>
          </w:p>
        </w:tc>
        <w:tc>
          <w:tcPr>
            <w:tcW w:w="22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fail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1005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实时性能电压不在 51-57之间（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highlight w:val="yellow"/>
              </w:rPr>
              <w:t>电压过低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）</w:t>
            </w:r>
          </w:p>
        </w:tc>
        <w:tc>
          <w:tcPr>
            <w:tcW w:w="22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fail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1006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实时性能负载电流/电池电流无效（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highlight w:val="yellow"/>
              </w:rPr>
              <w:t>电流异常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）</w:t>
            </w:r>
          </w:p>
        </w:tc>
        <w:tc>
          <w:tcPr>
            <w:tcW w:w="22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fail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设置浮充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2001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设置浮充电压失败（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highlight w:val="yellow"/>
              </w:rPr>
              <w:t>调压失败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）</w:t>
            </w:r>
          </w:p>
        </w:tc>
        <w:tc>
          <w:tcPr>
            <w:tcW w:w="22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fail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2002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无法设置浮充电压至 47.5（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highlight w:val="yellow"/>
              </w:rPr>
              <w:t>调压47.5失败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）</w:t>
            </w:r>
          </w:p>
        </w:tc>
        <w:tc>
          <w:tcPr>
            <w:tcW w:w="22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pdone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放电过程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3001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电池进入充电状态(例如被手动调整或者转均充)（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highlight w:val="yellow"/>
              </w:rPr>
              <w:t>放电不完全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）</w:t>
            </w:r>
          </w:p>
        </w:tc>
        <w:tc>
          <w:tcPr>
            <w:tcW w:w="22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fail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3002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负载电流与电池输出差距过大（开关电源介入）（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highlight w:val="yellow"/>
              </w:rPr>
              <w:t>放电电流异常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）</w:t>
            </w:r>
          </w:p>
        </w:tc>
        <w:tc>
          <w:tcPr>
            <w:tcW w:w="22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fail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恢复浮充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4001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恢复浮充电压失败（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highlight w:val="yellow"/>
              </w:rPr>
              <w:t>回压失败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）</w:t>
            </w:r>
          </w:p>
        </w:tc>
        <w:tc>
          <w:tcPr>
            <w:tcW w:w="22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  <w:t>cfail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420" w:firstLine="420"/>
              <w:rPr>
                <w:rFonts w:hint="eastAsia" w:asciiTheme="majorEastAsia" w:hAnsiTheme="majorEastAsia" w:eastAsiaTheme="majorEastAsia" w:cstheme="majorEastAsia"/>
                <w:b w:val="0"/>
                <w:bCs w:val="0"/>
              </w:rPr>
            </w:pPr>
          </w:p>
        </w:tc>
      </w:tr>
    </w:tbl>
    <w:p>
      <w:pPr>
        <w:pStyle w:val="11"/>
        <w:widowControl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</w:p>
    <w:p>
      <w:pPr>
        <w:pStyle w:val="11"/>
        <w:widowControl/>
        <w:numPr>
          <w:ilvl w:val="0"/>
          <w:numId w:val="11"/>
        </w:numPr>
        <w:ind w:left="780" w:leftChars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 xml:space="preserve">fail  </w:t>
      </w:r>
    </w:p>
    <w:p>
      <w:pPr>
        <w:pStyle w:val="11"/>
        <w:widowControl/>
        <w:numPr>
          <w:ilvl w:val="1"/>
          <w:numId w:val="11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预检查无法获取性能数据</w:t>
      </w:r>
    </w:p>
    <w:p>
      <w:pPr>
        <w:pStyle w:val="11"/>
        <w:widowControl/>
        <w:numPr>
          <w:ilvl w:val="1"/>
          <w:numId w:val="11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预检查性能中数据不全或者性能数据明显错误（电压超范围，电流为0等）</w:t>
      </w:r>
    </w:p>
    <w:p>
      <w:pPr>
        <w:pStyle w:val="11"/>
        <w:widowControl/>
        <w:numPr>
          <w:ilvl w:val="1"/>
          <w:numId w:val="11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预检查近期存在告警</w:t>
      </w:r>
    </w:p>
    <w:p>
      <w:pPr>
        <w:pStyle w:val="11"/>
        <w:widowControl/>
        <w:numPr>
          <w:ilvl w:val="1"/>
          <w:numId w:val="11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浮充电压无法调整</w:t>
      </w:r>
    </w:p>
    <w:p>
      <w:pPr>
        <w:pStyle w:val="11"/>
        <w:widowControl/>
        <w:numPr>
          <w:ilvl w:val="1"/>
          <w:numId w:val="11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核容过程中出现问题，如开关电源介入，核容过程中被手动回调浮充进入充电状态等</w:t>
      </w:r>
    </w:p>
    <w:p>
      <w:pPr>
        <w:pStyle w:val="11"/>
        <w:widowControl/>
        <w:numPr>
          <w:ilvl w:val="0"/>
          <w:numId w:val="11"/>
        </w:numPr>
        <w:ind w:left="780" w:leftChars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 xml:space="preserve">cfail </w:t>
      </w:r>
    </w:p>
    <w:p>
      <w:pPr>
        <w:pStyle w:val="11"/>
        <w:widowControl/>
        <w:numPr>
          <w:ilvl w:val="1"/>
          <w:numId w:val="11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浮充电压回调失败，需要人工介入回调的任务。但凡出现此类情况，均纳入为严重错误</w:t>
      </w:r>
    </w:p>
    <w:p>
      <w:pPr>
        <w:widowControl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结果操作：</w:t>
      </w:r>
    </w:p>
    <w:p>
      <w:pPr>
        <w:widowControl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对于核容成功（设压到4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  <w:lang w:val="en-US" w:eastAsia="zh-CN"/>
        </w:rPr>
        <w:t>7.5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v及以下）的状态，短期内不需要重新进行核容</w:t>
      </w:r>
    </w:p>
    <w:p>
      <w:pPr>
        <w:widowControl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对于核容成功（未设压到4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  <w:lang w:val="en-US" w:eastAsia="zh-CN"/>
        </w:rPr>
        <w:t>7.5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v以下）和fail状态，地市应根据结果对站点进行检查后，重新提交核容</w:t>
      </w:r>
    </w:p>
    <w:p>
      <w:pPr>
        <w:widowControl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/>
          <w:kern w:val="0"/>
          <w:szCs w:val="21"/>
        </w:rPr>
        <w:t>对于cfail状态，地市应及时上运监系统检查浮充电压，对不合理的电压进行恢复</w:t>
      </w: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b w:val="0"/>
          <w:bCs w:val="0"/>
        </w:rPr>
      </w:pPr>
      <w:bookmarkStart w:id="38" w:name="_Toc521959025"/>
      <w:bookmarkStart w:id="39" w:name="_Toc7146_WPSOffice_Level2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2.2.2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蓄电池隐患分析</w:t>
      </w:r>
      <w:bookmarkEnd w:id="38"/>
      <w:bookmarkEnd w:id="39"/>
    </w:p>
    <w:p>
      <w:pPr>
        <w:numPr>
          <w:ilvl w:val="0"/>
          <w:numId w:val="0"/>
        </w:numPr>
        <w:ind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省分用户成功登录系统，鼠标放置界面左上角的“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361950" cy="238125"/>
            <wp:effectExtent l="0" t="0" r="0" b="9525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”后，界面出现下拉菜单，将鼠标移动至“蓄电池管理”，在弹出的下拉菜单中的“蓄电池隐患分析”，如下图所示：</w:t>
      </w:r>
    </w:p>
    <w:p>
      <w:pPr>
        <w:ind w:left="120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1770" cy="2604770"/>
            <wp:effectExtent l="0" t="0" r="5080" b="5080"/>
            <wp:docPr id="4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进入“蓄电池隐患分析”界面，可通过区域、基站名称、基站编码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隐患等级、隐患内容进行选择查询，如下所示：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1610" cy="2530475"/>
            <wp:effectExtent l="0" t="0" r="15240" b="3175"/>
            <wp:docPr id="4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0" w:firstLineChars="0"/>
        <w:jc w:val="center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numPr>
          <w:ilvl w:val="0"/>
          <w:numId w:val="12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进入“蓄电池隐患分析”界面，可通过点击“重置”按钮，对已选择的查询条件进行快速重置，如下图所示：</w:t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5420" cy="1165225"/>
            <wp:effectExtent l="0" t="0" r="11430" b="15875"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进入“蓄电池隐患分析”界面，可通过点击“导出”按钮，对已查询的数据进行导出Excel操作，如下图所示：</w:t>
      </w:r>
    </w:p>
    <w:p>
      <w:pPr>
        <w:pStyle w:val="11"/>
        <w:ind w:left="0" w:left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8755" cy="3091815"/>
            <wp:effectExtent l="0" t="0" r="17145" b="13335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bidi w:val="0"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指标详细说明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：</w:t>
      </w:r>
    </w:p>
    <w:p>
      <w:pPr>
        <w:numPr>
          <w:ilvl w:val="0"/>
          <w:numId w:val="13"/>
        </w:numPr>
        <w:ind w:leftChars="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电池组数：机房内配置的电池组数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（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已取消该字段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）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；</w:t>
      </w:r>
    </w:p>
    <w:p>
      <w:pPr>
        <w:numPr>
          <w:ilvl w:val="0"/>
          <w:numId w:val="13"/>
        </w:numPr>
        <w:ind w:leftChars="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预估续航时长（分）：根据模型算法，给出电池的预估续航时长，作为隐患分析的参考；</w:t>
      </w:r>
    </w:p>
    <w:p>
      <w:pPr>
        <w:numPr>
          <w:ilvl w:val="0"/>
          <w:numId w:val="13"/>
        </w:numPr>
        <w:ind w:leftChars="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准确度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度：给出蓄电池预估时长的置信度值，范围为0%~100%;；</w:t>
      </w:r>
    </w:p>
    <w:p>
      <w:pPr>
        <w:numPr>
          <w:ilvl w:val="0"/>
          <w:numId w:val="13"/>
        </w:numPr>
        <w:ind w:leftChars="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隐患内容：根据模型算法，给出蓄电池的隐患内容（如：组间不均衡、系统电压骤降、容量不足、电池被盗等）；</w:t>
      </w:r>
    </w:p>
    <w:p>
      <w:pPr>
        <w:numPr>
          <w:ilvl w:val="0"/>
          <w:numId w:val="13"/>
        </w:numPr>
        <w:ind w:leftChars="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隐患定义：对隐患内容的判断规则进行定义和说明；</w:t>
      </w:r>
    </w:p>
    <w:p>
      <w:pPr>
        <w:numPr>
          <w:ilvl w:val="0"/>
          <w:numId w:val="13"/>
        </w:numPr>
        <w:ind w:leftChars="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隐患等级：根据蓄电池隐患情况，给出隐患等级（3：严重 2：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一般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 xml:space="preserve"> 1：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轻微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）；</w:t>
      </w:r>
    </w:p>
    <w:p>
      <w:pPr>
        <w:numPr>
          <w:ilvl w:val="0"/>
          <w:numId w:val="13"/>
        </w:numPr>
        <w:ind w:leftChars="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整改建议：给出隐患整改建议；</w:t>
      </w:r>
    </w:p>
    <w:p>
      <w:pPr>
        <w:numPr>
          <w:ilvl w:val="0"/>
          <w:numId w:val="13"/>
        </w:numPr>
        <w:ind w:leftChars="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分析时间：隐患分析的时间，供参考；</w:t>
      </w:r>
    </w:p>
    <w:p>
      <w:pPr>
        <w:ind w:left="143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143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widowControl/>
        <w:ind w:left="420" w:firstLine="42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b w:val="0"/>
          <w:bCs w:val="0"/>
        </w:rPr>
      </w:pPr>
      <w:bookmarkStart w:id="40" w:name="_Toc15734_WPSOffice_Level2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2.2.3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蓄电池备电时长明细</w:t>
      </w:r>
      <w:bookmarkEnd w:id="40"/>
    </w:p>
    <w:p>
      <w:pPr>
        <w:ind w:left="42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1、 省分用户成功登录系统，鼠标放置界面左上角的“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361950" cy="238125"/>
            <wp:effectExtent l="0" t="0" r="0" b="9525"/>
            <wp:docPr id="5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”后，界面出现下拉菜单，将鼠标移动至“蓄电池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管理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”，在弹出的下拉菜单中的“蓄电池备电时长明细”，如下图所示：</w:t>
      </w:r>
    </w:p>
    <w:p>
      <w:pPr>
        <w:ind w:left="120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9230" cy="1223010"/>
            <wp:effectExtent l="0" t="0" r="7620" b="15240"/>
            <wp:docPr id="5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2、进入“蓄电池备电时长明细”界面，可通过区域、基站名称、基站编码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预估备电时长、选择查询，如下所示：</w:t>
      </w:r>
    </w:p>
    <w:p>
      <w:pPr>
        <w:widowControl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062220" cy="2443480"/>
            <wp:effectExtent l="0" t="0" r="5080" b="13970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bidi w:val="0"/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指标详细说明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：</w:t>
      </w:r>
    </w:p>
    <w:p>
      <w:pPr>
        <w:numPr>
          <w:ilvl w:val="0"/>
          <w:numId w:val="14"/>
        </w:numP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预估备点时长：系统通过算法根据蓄电池的核容情况算出值，可供参考；</w:t>
      </w:r>
    </w:p>
    <w:p>
      <w:pPr>
        <w:numPr>
          <w:ilvl w:val="0"/>
          <w:numId w:val="14"/>
        </w:numP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实际容量：找到基站的蓄电池然后把蓄电池的容量相加得出；</w:t>
      </w:r>
    </w:p>
    <w:p>
      <w:pPr>
        <w:numPr>
          <w:ilvl w:val="0"/>
          <w:numId w:val="14"/>
        </w:numP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额定容量：找到基站的的额定容量字段直接取值；</w:t>
      </w:r>
    </w:p>
    <w:p>
      <w:pPr>
        <w:numPr>
          <w:ilvl w:val="0"/>
          <w:numId w:val="14"/>
        </w:numP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电池组数：机房内配置的电池组数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；</w:t>
      </w:r>
    </w:p>
    <w:p>
      <w:pPr>
        <w:numPr>
          <w:ilvl w:val="0"/>
          <w:numId w:val="14"/>
        </w:numP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应急保障时长：通过算法计算出蓄电池可以保障的时长；</w:t>
      </w:r>
    </w:p>
    <w:p>
      <w:pPr>
        <w:numPr>
          <w:ilvl w:val="0"/>
          <w:numId w:val="14"/>
        </w:numP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使用年限：找到基站蓄电池开始开始使用时间，然后计算出使用年限；</w:t>
      </w:r>
    </w:p>
    <w:p>
      <w:pPr>
        <w:ind w:left="143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420" w:leftChars="0" w:firstLine="0" w:firstLineChars="0"/>
        <w:jc w:val="center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bookmarkStart w:id="41" w:name="_Toc5354_WPSOffice_Level2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2.2.4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蓄电池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远程核容统计</w:t>
      </w:r>
      <w:bookmarkEnd w:id="41"/>
    </w:p>
    <w:p>
      <w:pPr>
        <w:ind w:left="42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1、 用户成功登录系统，鼠标放置界面左上角的“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361950" cy="238125"/>
            <wp:effectExtent l="0" t="0" r="0" b="9525"/>
            <wp:docPr id="5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”后，界面出现下拉菜单，将鼠标移动至“蓄电池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管理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”，在弹出的下拉菜单中的“蓄电池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远程核容统计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”，如下图所示：</w:t>
      </w:r>
    </w:p>
    <w:p>
      <w:pPr>
        <w:ind w:left="120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ind w:left="0" w:leftChars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2880" cy="1276350"/>
            <wp:effectExtent l="0" t="0" r="13970" b="0"/>
            <wp:docPr id="5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2、进入“蓄电池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远程核容统计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”界面，可通过区域、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开始时间、结束时间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选择查询，如下所示：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 【注】开始时间、结束时间时是必须字段，可修改</w:t>
      </w:r>
    </w:p>
    <w:p>
      <w:pPr>
        <w:widowControl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067935" cy="2414270"/>
            <wp:effectExtent l="0" t="0" r="18415" b="5080"/>
            <wp:docPr id="5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 w:val="0"/>
          <w:bCs w:val="0"/>
        </w:rPr>
      </w:pPr>
      <w:bookmarkStart w:id="42" w:name="_Toc521959027"/>
      <w:bookmarkStart w:id="43" w:name="_Toc7890_WPSOffice_Level1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2.3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空调管理</w:t>
      </w:r>
      <w:bookmarkEnd w:id="42"/>
      <w:bookmarkEnd w:id="43"/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b w:val="0"/>
          <w:bCs w:val="0"/>
        </w:rPr>
      </w:pPr>
      <w:bookmarkStart w:id="44" w:name="_Toc521959030"/>
      <w:bookmarkStart w:id="45" w:name="_Toc15604_WPSOffice_Level2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2.3.1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空调远程控制</w:t>
      </w:r>
      <w:bookmarkEnd w:id="44"/>
      <w:bookmarkEnd w:id="45"/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1、登录系统，打开空调远程控制功能界面，如下图：</w:t>
      </w: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69230" cy="1111250"/>
            <wp:effectExtent l="0" t="0" r="7620" b="12700"/>
            <wp:docPr id="5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Chars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勾选空调，然后点击左下角的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‘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启动空调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’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或者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‘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关闭空调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’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或者‘测试空调控制’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，等待一段时间，刷新界面，空调状态会根据实际情况进行更新，如下图：</w:t>
      </w:r>
    </w:p>
    <w:p>
      <w:pPr>
        <w:ind w:left="143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1135" cy="2513965"/>
            <wp:effectExtent l="0" t="0" r="5715" b="635"/>
            <wp:docPr id="5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3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</w:p>
    <w:p>
      <w:pPr>
        <w:bidi w:val="0"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空调远程控制统计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算法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t>：</w:t>
      </w:r>
    </w:p>
    <w:p>
      <w:pP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      空调具体算法如下压缩包，解压即可查看，</w:t>
      </w:r>
    </w:p>
    <w:p>
      <w:pPr>
        <w:ind w:firstLine="2730" w:firstLineChars="1300"/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  <w:object>
          <v:shape id="_x0000_i1025" o:spt="75" type="#_x0000_t75" style="height:40.65pt;width:126.2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57">
            <o:LockedField>false</o:LockedField>
          </o:OLEObject>
        </w:objec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bookmarkStart w:id="46" w:name="_Toc20885_WPSOffice_Level2"/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2.3.2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空调远程控制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统计</w:t>
      </w:r>
      <w:bookmarkEnd w:id="46"/>
    </w:p>
    <w:p>
      <w:pPr>
        <w:bidi w:val="0"/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t>打开空调远程控制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统计</w:t>
      </w:r>
      <w:r>
        <w:rPr>
          <w:rFonts w:hint="eastAsia" w:asciiTheme="majorEastAsia" w:hAnsiTheme="majorEastAsia" w:eastAsiaTheme="majorEastAsia" w:cstheme="majorEastAsia"/>
          <w:b w:val="0"/>
          <w:bCs w:val="0"/>
        </w:rPr>
        <w:t>功能界面，如下图：</w:t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  可以根据区域、统计时间、空调类型进行统计，有如下字段：区域、空调设备数、未测试设备数、已测试设备数、已测率、处理中设备数、启动处理中、关闭处理中、成功设备数</w:t>
      </w:r>
    </w:p>
    <w:p>
      <w:pPr>
        <w:ind w:left="0" w:leftChars="0" w:firstLine="0" w:firstLineChars="0"/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</w:rPr>
        <w:drawing>
          <wp:inline distT="0" distB="0" distL="114300" distR="114300">
            <wp:extent cx="5271135" cy="2525395"/>
            <wp:effectExtent l="0" t="0" r="5715" b="8255"/>
            <wp:docPr id="5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 w:val="0"/>
          <w:bCs w:val="0"/>
          <w:lang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0" w:leftChars="0" w:right="105" w:firstLine="0" w:firstLineChars="0"/>
      <w:rPr>
        <w:rFonts w:hint="default" w:eastAsia="宋体"/>
        <w:lang w:val="en-US" w:eastAsia="zh-CN"/>
      </w:rPr>
    </w:pPr>
    <w:r>
      <w:drawing>
        <wp:inline distT="0" distB="0" distL="114300" distR="114300">
          <wp:extent cx="1181100" cy="421005"/>
          <wp:effectExtent l="0" t="0" r="0" b="17145"/>
          <wp:docPr id="62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图片 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81100" cy="4210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t xml:space="preserve">                            </w:t>
    </w:r>
    <w:r>
      <w:rPr>
        <w:rFonts w:hint="eastAsia"/>
      </w:rPr>
      <w:t>中国铁塔能源管理系统-</w:t>
    </w:r>
    <w:r>
      <w:rPr>
        <w:rFonts w:hint="eastAsia"/>
        <w:sz w:val="20"/>
      </w:rPr>
      <w:t>用户使用手册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CFFF7F"/>
    <w:multiLevelType w:val="singleLevel"/>
    <w:tmpl w:val="9DCFFF7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777BC82"/>
    <w:multiLevelType w:val="singleLevel"/>
    <w:tmpl w:val="A777BC8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D354E99"/>
    <w:multiLevelType w:val="singleLevel"/>
    <w:tmpl w:val="AD354E99"/>
    <w:lvl w:ilvl="0" w:tentative="0">
      <w:start w:val="8"/>
      <w:numFmt w:val="decimal"/>
      <w:suff w:val="nothing"/>
      <w:lvlText w:val="%1、"/>
      <w:lvlJc w:val="left"/>
    </w:lvl>
  </w:abstractNum>
  <w:abstractNum w:abstractNumId="3">
    <w:nsid w:val="07AD2450"/>
    <w:multiLevelType w:val="multilevel"/>
    <w:tmpl w:val="07AD245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67C21E9"/>
    <w:multiLevelType w:val="multilevel"/>
    <w:tmpl w:val="267C21E9"/>
    <w:lvl w:ilvl="0" w:tentative="0">
      <w:start w:val="1"/>
      <w:numFmt w:val="decimal"/>
      <w:lvlText w:val="%1、"/>
      <w:lvlJc w:val="left"/>
      <w:pPr>
        <w:ind w:left="503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3" w:hanging="420"/>
      </w:pPr>
    </w:lvl>
    <w:lvl w:ilvl="2" w:tentative="0">
      <w:start w:val="1"/>
      <w:numFmt w:val="lowerRoman"/>
      <w:lvlText w:val="%3."/>
      <w:lvlJc w:val="right"/>
      <w:pPr>
        <w:ind w:left="1403" w:hanging="420"/>
      </w:pPr>
    </w:lvl>
    <w:lvl w:ilvl="3" w:tentative="0">
      <w:start w:val="1"/>
      <w:numFmt w:val="decimal"/>
      <w:lvlText w:val="%4."/>
      <w:lvlJc w:val="left"/>
      <w:pPr>
        <w:ind w:left="1823" w:hanging="420"/>
      </w:pPr>
    </w:lvl>
    <w:lvl w:ilvl="4" w:tentative="0">
      <w:start w:val="1"/>
      <w:numFmt w:val="lowerLetter"/>
      <w:lvlText w:val="%5)"/>
      <w:lvlJc w:val="left"/>
      <w:pPr>
        <w:ind w:left="2243" w:hanging="420"/>
      </w:pPr>
    </w:lvl>
    <w:lvl w:ilvl="5" w:tentative="0">
      <w:start w:val="1"/>
      <w:numFmt w:val="lowerRoman"/>
      <w:lvlText w:val="%6."/>
      <w:lvlJc w:val="right"/>
      <w:pPr>
        <w:ind w:left="2663" w:hanging="420"/>
      </w:pPr>
    </w:lvl>
    <w:lvl w:ilvl="6" w:tentative="0">
      <w:start w:val="1"/>
      <w:numFmt w:val="decimal"/>
      <w:lvlText w:val="%7."/>
      <w:lvlJc w:val="left"/>
      <w:pPr>
        <w:ind w:left="3083" w:hanging="420"/>
      </w:pPr>
    </w:lvl>
    <w:lvl w:ilvl="7" w:tentative="0">
      <w:start w:val="1"/>
      <w:numFmt w:val="lowerLetter"/>
      <w:lvlText w:val="%8)"/>
      <w:lvlJc w:val="left"/>
      <w:pPr>
        <w:ind w:left="3503" w:hanging="420"/>
      </w:pPr>
    </w:lvl>
    <w:lvl w:ilvl="8" w:tentative="0">
      <w:start w:val="1"/>
      <w:numFmt w:val="lowerRoman"/>
      <w:lvlText w:val="%9."/>
      <w:lvlJc w:val="right"/>
      <w:pPr>
        <w:ind w:left="3923" w:hanging="420"/>
      </w:pPr>
    </w:lvl>
  </w:abstractNum>
  <w:abstractNum w:abstractNumId="5">
    <w:nsid w:val="28614BA2"/>
    <w:multiLevelType w:val="multilevel"/>
    <w:tmpl w:val="28614BA2"/>
    <w:lvl w:ilvl="0" w:tentative="0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E7AD86"/>
    <w:multiLevelType w:val="singleLevel"/>
    <w:tmpl w:val="37E7AD86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444C4A8B"/>
    <w:multiLevelType w:val="multilevel"/>
    <w:tmpl w:val="444C4A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44EE2C0F"/>
    <w:multiLevelType w:val="multilevel"/>
    <w:tmpl w:val="44EE2C0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92673A4"/>
    <w:multiLevelType w:val="multilevel"/>
    <w:tmpl w:val="492673A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E895691"/>
    <w:multiLevelType w:val="singleLevel"/>
    <w:tmpl w:val="4E895691"/>
    <w:lvl w:ilvl="0" w:tentative="0">
      <w:start w:val="1"/>
      <w:numFmt w:val="decimal"/>
      <w:suff w:val="space"/>
      <w:lvlText w:val="%1、"/>
      <w:lvlJc w:val="left"/>
    </w:lvl>
  </w:abstractNum>
  <w:abstractNum w:abstractNumId="11">
    <w:nsid w:val="586264DA"/>
    <w:multiLevelType w:val="singleLevel"/>
    <w:tmpl w:val="586264DA"/>
    <w:lvl w:ilvl="0" w:tentative="0">
      <w:start w:val="2"/>
      <w:numFmt w:val="decimal"/>
      <w:suff w:val="nothing"/>
      <w:lvlText w:val="%1."/>
      <w:lvlJc w:val="left"/>
    </w:lvl>
  </w:abstractNum>
  <w:abstractNum w:abstractNumId="12">
    <w:nsid w:val="6769432F"/>
    <w:multiLevelType w:val="singleLevel"/>
    <w:tmpl w:val="6769432F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6CC5004E"/>
    <w:multiLevelType w:val="singleLevel"/>
    <w:tmpl w:val="6CC5004E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73FB272C"/>
    <w:multiLevelType w:val="multilevel"/>
    <w:tmpl w:val="73FB272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3"/>
  </w:num>
  <w:num w:numId="3">
    <w:abstractNumId w:val="14"/>
  </w:num>
  <w:num w:numId="4">
    <w:abstractNumId w:val="8"/>
  </w:num>
  <w:num w:numId="5">
    <w:abstractNumId w:val="13"/>
  </w:num>
  <w:num w:numId="6">
    <w:abstractNumId w:val="2"/>
  </w:num>
  <w:num w:numId="7">
    <w:abstractNumId w:val="0"/>
  </w:num>
  <w:num w:numId="8">
    <w:abstractNumId w:val="12"/>
  </w:num>
  <w:num w:numId="9">
    <w:abstractNumId w:val="1"/>
  </w:num>
  <w:num w:numId="10">
    <w:abstractNumId w:val="10"/>
  </w:num>
  <w:num w:numId="11">
    <w:abstractNumId w:val="7"/>
  </w:num>
  <w:num w:numId="12">
    <w:abstractNumId w:val="5"/>
  </w:num>
  <w:num w:numId="13">
    <w:abstractNumId w:val="9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943E84"/>
    <w:rsid w:val="03613133"/>
    <w:rsid w:val="0369399E"/>
    <w:rsid w:val="05A91277"/>
    <w:rsid w:val="06061A6D"/>
    <w:rsid w:val="06E746D6"/>
    <w:rsid w:val="0F0C4083"/>
    <w:rsid w:val="100B66EE"/>
    <w:rsid w:val="137F3762"/>
    <w:rsid w:val="1A6D73A6"/>
    <w:rsid w:val="1B58456C"/>
    <w:rsid w:val="21943E84"/>
    <w:rsid w:val="28E01645"/>
    <w:rsid w:val="2D0261C6"/>
    <w:rsid w:val="2F2A6FD4"/>
    <w:rsid w:val="2FFA4E82"/>
    <w:rsid w:val="30440757"/>
    <w:rsid w:val="31A904E3"/>
    <w:rsid w:val="32AB0882"/>
    <w:rsid w:val="33A860D1"/>
    <w:rsid w:val="39BA0AE2"/>
    <w:rsid w:val="3BAE51AC"/>
    <w:rsid w:val="3BD86317"/>
    <w:rsid w:val="3DFF1BBD"/>
    <w:rsid w:val="42F6204B"/>
    <w:rsid w:val="441639CC"/>
    <w:rsid w:val="48161349"/>
    <w:rsid w:val="4AD07FCD"/>
    <w:rsid w:val="545C586F"/>
    <w:rsid w:val="5476041E"/>
    <w:rsid w:val="54D654EF"/>
    <w:rsid w:val="565670A7"/>
    <w:rsid w:val="5C381744"/>
    <w:rsid w:val="602F3803"/>
    <w:rsid w:val="6318730B"/>
    <w:rsid w:val="64582312"/>
    <w:rsid w:val="67041C73"/>
    <w:rsid w:val="6807100C"/>
    <w:rsid w:val="6B230509"/>
    <w:rsid w:val="6C707B70"/>
    <w:rsid w:val="6D606A3C"/>
    <w:rsid w:val="76F15902"/>
    <w:rsid w:val="7FDD6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="360" w:leftChars="200" w:firstLine="1440" w:firstLineChars="200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360" w:lineRule="auto"/>
      <w:outlineLvl w:val="0"/>
    </w:pPr>
    <w:rPr>
      <w:rFonts w:eastAsia="微软雅黑"/>
      <w:b/>
      <w:bCs/>
      <w:kern w:val="44"/>
      <w:sz w:val="28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Lines="0" w:after="260" w:afterLines="0" w:line="360" w:lineRule="auto"/>
      <w:outlineLvl w:val="1"/>
    </w:pPr>
    <w:rPr>
      <w:rFonts w:ascii="Arial" w:hAnsi="Arial" w:eastAsia="微软雅黑"/>
      <w:kern w:val="0"/>
      <w:sz w:val="24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beforeLines="0" w:after="260" w:afterLines="0" w:line="413" w:lineRule="auto"/>
      <w:outlineLvl w:val="2"/>
    </w:pPr>
    <w:rPr>
      <w:rFonts w:eastAsia="微软雅黑"/>
      <w:szCs w:val="32"/>
    </w:rPr>
  </w:style>
  <w:style w:type="paragraph" w:styleId="5">
    <w:name w:val="heading 4"/>
    <w:basedOn w:val="2"/>
    <w:next w:val="1"/>
    <w:qFormat/>
    <w:uiPriority w:val="0"/>
    <w:pPr>
      <w:keepNext/>
      <w:keepLines/>
      <w:spacing w:before="280" w:beforeLines="0" w:after="290" w:afterLines="0" w:line="240" w:lineRule="auto"/>
      <w:jc w:val="both"/>
      <w:outlineLvl w:val="3"/>
    </w:pPr>
    <w:rPr>
      <w:rFonts w:ascii="Cambria" w:hAnsi="Cambria"/>
      <w:kern w:val="2"/>
      <w:sz w:val="21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80" w:beforeLines="0" w:after="290" w:afterLines="0" w:line="372" w:lineRule="auto"/>
      <w:outlineLvl w:val="4"/>
    </w:pPr>
    <w:rPr>
      <w:rFonts w:ascii="Calibri" w:hAnsi="Calibri"/>
      <w:b/>
      <w:bCs/>
      <w:sz w:val="18"/>
      <w:szCs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paragraph" w:customStyle="1" w:styleId="12">
    <w:name w:val="WPSOffice手动目录 1"/>
    <w:uiPriority w:val="0"/>
    <w:pPr>
      <w:ind w:leftChars="0"/>
    </w:pPr>
    <w:rPr>
      <w:rFonts w:ascii="Calibri" w:hAnsi="Calibri" w:eastAsia="宋体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Calibri" w:hAnsi="Calibri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3" Type="http://schemas.openxmlformats.org/officeDocument/2006/relationships/glossaryDocument" Target="glossary/document.xml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2.png"/><Relationship Id="rId59" Type="http://schemas.openxmlformats.org/officeDocument/2006/relationships/image" Target="media/image54.png"/><Relationship Id="rId58" Type="http://schemas.openxmlformats.org/officeDocument/2006/relationships/image" Target="media/image53.emf"/><Relationship Id="rId57" Type="http://schemas.openxmlformats.org/officeDocument/2006/relationships/oleObject" Target="embeddings/oleObject1.bin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bmp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91c13b52-f4bf-4f5a-9840-d35db7db10e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c13b52-f4bf-4f5a-9840-d35db7db10e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eab0bb-837a-444b-ae34-a941cd8acb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8eab0bb-837a-444b-ae34-a941cd8acb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5c5a15-22be-44c5-8c43-d4099f3a922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5c5a15-22be-44c5-8c43-d4099f3a922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2d929ed-a81e-456a-a10e-3711c598d7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2d929ed-a81e-456a-a10e-3711c598d7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61801af-61da-45ea-ba7d-1c146abd959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61801af-61da-45ea-ba7d-1c146abd959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4bc942-fdde-44fa-9080-191453b678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4bc942-fdde-44fa-9080-191453b678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04d434a-3dc8-4931-8b7c-410d89d3ba2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04d434a-3dc8-4931-8b7c-410d89d3ba2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94237b2-e611-4fb8-b1b4-5713c03ba8e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94237b2-e611-4fb8-b1b4-5713c03ba8e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e808f08-4493-4d4f-b176-8a9e6d1ff86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e808f08-4493-4d4f-b176-8a9e6d1ff86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7a80f76-263e-4c65-aca4-b28f097a76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7a80f76-263e-4c65-aca4-b28f097a76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ceaa3c4-57c6-43ff-8380-27d9bbe2b9e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ceaa3c4-57c6-43ff-8380-27d9bbe2b9e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fa7a110-1a4d-4b7a-86b7-f836b00a1f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fa7a110-1a4d-4b7a-86b7-f836b00a1f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59c0fc-0039-4855-ae9e-2527bde46d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59c0fc-0039-4855-ae9e-2527bde46d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b84b799-3696-4c6c-990b-463a93861b6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b84b799-3696-4c6c-990b-463a93861b6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83416ce-083c-424d-94df-dd648f337af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83416ce-083c-424d-94df-dd648f337af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ace45e7-09e8-493f-8e9e-2a13327e986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ce45e7-09e8-493f-8e9e-2a13327e986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56a63ba-3b61-401d-aefd-e32160c7e48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56a63ba-3b61-401d-aefd-e32160c7e48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2019-07-12T06:23:00Z</dcterms:created>
  <dc:creator>魑魅魍魉</dc:creator>
  <cp:lastModifiedBy>魑魅魍魉</cp:lastModifiedBy>
  <dcterms:modified xsi:type="dcterms:W3CDTF">2019-07-12T08:09:36Z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