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KnowledgeHarness DOCX 样例</w:t>
      </w:r>
    </w:p>
    <w:p>
      <w:r>
        <w:t>概念：强化学习是智能体通过与环境交互获得奖励信号从而学习策略的方法。</w:t>
      </w:r>
    </w:p>
    <w:p>
      <w:r>
        <w:t>方法步骤：先定义状态和动作空间；再建模奖励函数；最后选择算法（如 Q-learning）进行训练。</w:t>
      </w:r>
    </w:p>
    <w:p>
      <w:r>
        <w:t>例如：AlphaGo 在围棋任务上通过自我对弈大量产生样本，是强化学习的典型应用案例。</w:t>
      </w:r>
    </w:p>
    <w:p>
      <w:r>
        <w:t>易错点：稀疏奖励与奖励塑形不当会导致策略崩溃，需要特别注意。</w:t>
      </w:r>
    </w:p>
    <w:p>
      <w:r>
        <w:t>扩展阅读：参考 Sutton &amp; Barto, Reinforcement Learning: An Introduction。</w:t>
      </w:r>
    </w:p>
    <w:tbl>
      <w:tblPr>
        <w:tblW w:type="auto" w:w="0"/>
        <w:tblLook w:firstColumn="1" w:firstRow="1" w:lastColumn="0" w:lastRow="0" w:noHBand="0" w:noVBand="1" w:val="04A0"/>
      </w:tblPr>
      <w:tblGrid>
        <w:gridCol w:w="4320"/>
        <w:gridCol w:w="4320"/>
      </w:tblGrid>
      <w:tr>
        <w:tc>
          <w:tcPr>
            <w:tcW w:type="dxa" w:w="4320"/>
          </w:tcPr>
          <w:p>
            <w:r>
              <w:t>阶段</w:t>
            </w:r>
          </w:p>
        </w:tc>
        <w:tc>
          <w:tcPr>
            <w:tcW w:type="dxa" w:w="4320"/>
          </w:tcPr>
          <w:p>
            <w:r>
              <w:t>要点</w:t>
            </w:r>
          </w:p>
        </w:tc>
      </w:tr>
      <w:tr>
        <w:tc>
          <w:tcPr>
            <w:tcW w:type="dxa" w:w="4320"/>
          </w:tcPr>
          <w:p>
            <w:r>
              <w:t>训练</w:t>
            </w:r>
          </w:p>
        </w:tc>
        <w:tc>
          <w:tcPr>
            <w:tcW w:type="dxa" w:w="4320"/>
          </w:tcPr>
          <w:p>
            <w:r>
              <w:t>折扣因子 gamma 控制长期收益权重</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