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9D3" w:rsidRDefault="00F429D3" w:rsidP="00F429D3">
      <w:pPr>
        <w:spacing w:after="60"/>
        <w:jc w:val="center"/>
        <w:rPr>
          <w:b/>
          <w:bCs/>
          <w:color w:val="1F3864"/>
          <w:sz w:val="40"/>
          <w:szCs w:val="40"/>
        </w:rPr>
      </w:pPr>
      <w:r>
        <w:rPr>
          <w:b/>
          <w:bCs/>
          <w:color w:val="000000"/>
          <w:sz w:val="40"/>
          <w:szCs w:val="40"/>
        </w:rPr>
        <w:t xml:space="preserve">SIMATS ENGINEERING </w:t>
      </w:r>
    </w:p>
    <w:p w:rsidR="00F429D3" w:rsidRDefault="00F429D3" w:rsidP="00F429D3">
      <w:pPr>
        <w:spacing w:after="60"/>
        <w:jc w:val="center"/>
        <w:rPr>
          <w:b/>
          <w:bCs/>
          <w:color w:val="1F3864"/>
          <w:sz w:val="40"/>
          <w:szCs w:val="40"/>
        </w:rPr>
      </w:pPr>
      <w:r>
        <w:rPr>
          <w:b/>
          <w:bCs/>
          <w:color w:val="000000"/>
          <w:sz w:val="40"/>
          <w:szCs w:val="40"/>
        </w:rPr>
        <w:t xml:space="preserve">CSA6303- Threat Intelligence and Network Security </w:t>
      </w:r>
    </w:p>
    <w:p w:rsidR="004D0876" w:rsidRDefault="00F429D3">
      <w:pPr>
        <w:spacing w:after="60"/>
        <w:jc w:val="center"/>
      </w:pPr>
      <w:r>
        <w:rPr>
          <w:b/>
          <w:bCs/>
          <w:color w:val="000000"/>
          <w:sz w:val="40"/>
          <w:szCs w:val="40"/>
        </w:rPr>
        <w:t>A1-</w:t>
      </w:r>
      <w:r w:rsidR="00FF7062">
        <w:rPr>
          <w:b/>
          <w:bCs/>
          <w:color w:val="000000"/>
          <w:sz w:val="40"/>
          <w:szCs w:val="40"/>
        </w:rPr>
        <w:t>Threat Intelligence Report</w:t>
      </w:r>
    </w:p>
    <w:p w:rsidR="004D0876" w:rsidRDefault="00FF7062">
      <w:pPr>
        <w:pBdr>
          <w:bottom w:val="single" w:sz="8" w:space="6" w:color="1F3864"/>
        </w:pBdr>
        <w:spacing w:after="240"/>
        <w:jc w:val="center"/>
      </w:pPr>
      <w:r>
        <w:rPr>
          <w:color w:val="000000"/>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color w:val="000000"/>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rPr>
                <w:color w:val="000000"/>
              </w:rP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color w:val="000000"/>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rPr>
                <w:color w:val="000000"/>
              </w:rPr>
              <w:t>50</w:t>
            </w:r>
          </w:p>
        </w:tc>
      </w:tr>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color w:val="000000"/>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680292">
            <w:r>
              <w:rPr>
                <w:color w:val="000000"/>
              </w:rPr>
              <w:t>5</w:t>
            </w:r>
            <w:r w:rsidR="00FF7062">
              <w:rPr>
                <w:color w:val="000000"/>
              </w:rPr>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color w:val="000000"/>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680292">
            <w:r>
              <w:rPr>
                <w:color w:val="000000"/>
              </w:rPr>
              <w:t>10</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462156">
            <w:pPr>
              <w:rPr>
                <w:b/>
                <w:bCs/>
              </w:rPr>
            </w:pPr>
            <w:r>
              <w:rPr>
                <w:b/>
                <w:bCs/>
                <w:color w:val="000000"/>
              </w:rPr>
              <w:t>Re</w:t>
            </w:r>
            <w:r w:rsidR="001619DA">
              <w:rPr>
                <w:b/>
                <w:bCs/>
                <w:color w:val="000000"/>
              </w:rPr>
              <w:t>g.</w:t>
            </w:r>
            <w:r>
              <w:rPr>
                <w:b/>
                <w:bCs/>
                <w:color w:val="000000"/>
              </w:rPr>
              <w:t xml:space="preserve"> </w:t>
            </w:r>
            <w:r w:rsidR="001619DA">
              <w:rPr>
                <w:b/>
                <w:bCs/>
                <w:color w:val="000000"/>
              </w:rPr>
              <w:t>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color w:val="000000"/>
              </w:rPr>
              <w:t>192365025</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color w:val="000000"/>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rPr>
                <w:color w:val="000000"/>
              </w:rPr>
              <w:t>KONGARA SAI</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color w:val="000000"/>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rPr>
                <w:color w:val="000000"/>
              </w:rP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color w:val="000000"/>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rPr>
                <w:color w:val="000000"/>
              </w:rPr>
              <w:t>A</w:t>
            </w:r>
          </w:p>
        </w:tc>
      </w:tr>
    </w:tbl>
    <w:p w:rsidR="004D0876" w:rsidRDefault="00FF7062">
      <w:pPr>
        <w:spacing w:before="200" w:after="120"/>
      </w:pPr>
      <w:r>
        <w:rPr>
          <w:i/>
          <w:iCs/>
          <w:color w:val="000000"/>
        </w:rPr>
        <w:t>Instructions: Answer all questions. Each question carries 5 marks. Support answers with examples and diagrams where appropriate.</w:t>
      </w:r>
    </w:p>
    <w:p w:rsidR="00680292" w:rsidRDefault="00680292" w:rsidP="00680292">
      <w:pPr>
        <w:widowControl w:val="0"/>
        <w:jc w:val="both"/>
        <w:rPr>
          <w:sz w:val="24"/>
          <w:szCs w:val="24"/>
        </w:rPr>
      </w:pPr>
      <w:r>
        <w:rPr>
          <w:b/>
          <w:bCs/>
          <w:i/>
          <w:iCs/>
          <w:color w:val="000000"/>
          <w:sz w:val="24"/>
          <w:szCs w:val="24"/>
        </w:rPr>
        <w:t>CO3:</w:t>
      </w:r>
      <w:r w:rsidRPr="00680292">
        <w:rPr>
          <w:color w:val="000000"/>
          <w:sz w:val="24"/>
          <w:szCs w:val="24"/>
        </w:rPr>
        <w:t xml:space="preserve"> </w:t>
      </w:r>
      <w:r>
        <w:rPr>
          <w:color w:val="000000"/>
          <w:sz w:val="24"/>
          <w:szCs w:val="24"/>
        </w:rPr>
        <w:t>Perform threat analysis using intelligence models and utilize industry tools for monitoring and detection.</w:t>
      </w:r>
    </w:p>
    <w:p w:rsidR="00680292" w:rsidRDefault="00680292" w:rsidP="001619DA">
      <w:pPr>
        <w:rPr>
          <w:b/>
          <w:bCs/>
          <w:i/>
          <w:iCs/>
          <w:sz w:val="24"/>
          <w:szCs w:val="24"/>
        </w:rPr>
      </w:pPr>
    </w:p>
    <w:p w:rsidR="001619DA" w:rsidRDefault="001619DA" w:rsidP="001619DA">
      <w:pPr>
        <w:rPr>
          <w:b/>
          <w:bCs/>
          <w:i/>
          <w:iCs/>
          <w:sz w:val="24"/>
          <w:szCs w:val="24"/>
        </w:rPr>
      </w:pPr>
      <w:r>
        <w:rPr>
          <w:b/>
          <w:bCs/>
          <w:i/>
          <w:iCs/>
          <w:color w:val="000000"/>
          <w:sz w:val="24"/>
          <w:szCs w:val="24"/>
        </w:rPr>
        <w:t>Code of Conduct:</w:t>
      </w:r>
    </w:p>
    <w:p w:rsidR="001619DA" w:rsidRDefault="001619DA" w:rsidP="001619DA">
      <w:pPr>
        <w:jc w:val="both"/>
        <w:rPr>
          <w:i/>
          <w:iCs/>
          <w:sz w:val="24"/>
          <w:szCs w:val="24"/>
        </w:rPr>
      </w:pPr>
    </w:p>
    <w:p w:rsidR="001619DA" w:rsidRDefault="001619DA" w:rsidP="001619DA">
      <w:pPr>
        <w:jc w:val="both"/>
        <w:rPr>
          <w:i/>
          <w:iCs/>
          <w:sz w:val="24"/>
          <w:szCs w:val="24"/>
        </w:rPr>
      </w:pPr>
      <w:r>
        <w:rPr>
          <w:color w:val="000000"/>
        </w:rPr>
        <w:t>I, KONGARA SAI (192365025), certify that this submission is my original work and that I have adhered to the guidelines specified for this assessment. I understand that any violation of academic integrity rules will result in disciplinary action.</w:t>
      </w:r>
    </w:p>
    <w:p w:rsidR="001619DA" w:rsidRDefault="001619DA" w:rsidP="001619DA">
      <w:pPr>
        <w:rPr>
          <w:color w:val="000000"/>
        </w:rPr>
      </w:pPr>
    </w:p>
    <w:p w:rsidR="001619DA" w:rsidRDefault="001619DA" w:rsidP="001619DA">
      <w:pPr>
        <w:pStyle w:val="Heading1"/>
        <w:rPr>
          <w:color w:val="1F3864"/>
        </w:rPr>
      </w:pPr>
      <w:r>
        <w:rPr>
          <w:color w:val="000000"/>
        </w:rPr>
        <w:t>Signature of Student: K.SAI</w:t>
      </w:r>
    </w:p>
    <w:p w:rsidR="00680292" w:rsidRDefault="00680292">
      <w:pPr>
        <w:rPr>
          <w:b/>
          <w:bCs/>
          <w:color w:val="1F3864"/>
          <w:sz w:val="30"/>
          <w:szCs w:val="30"/>
        </w:rPr>
      </w:pPr>
      <w:r>
        <w:rPr>
          <w:color w:val="000000"/>
        </w:rPr>
        <w:br w:type="page"/>
      </w:r>
    </w:p>
    <w:p w:rsidR="001619DA" w:rsidRDefault="00680292">
      <w:pPr>
        <w:pStyle w:val="Heading1"/>
        <w:rPr>
          <w:color w:val="1F3864"/>
        </w:rPr>
      </w:pPr>
      <w:r>
        <w:rPr>
          <w:color w:val="000000"/>
        </w:rPr>
        <w:lastRenderedPageBreak/>
        <w:t>Questions :</w:t>
      </w:r>
    </w:p>
    <w:p w:rsidR="00680292" w:rsidRDefault="00680292" w:rsidP="00680292">
      <w:pPr>
        <w:pStyle w:val="NormalWeb"/>
        <w:numPr>
          <w:ilvl w:val="0"/>
          <w:numId w:val="3"/>
        </w:numPr>
        <w:spacing w:line="360" w:lineRule="auto"/>
        <w:ind w:left="426"/>
        <w:jc w:val="both"/>
      </w:pPr>
      <w:r>
        <w:rPr>
          <w:rStyle w:val="Strong"/>
          <w:color w:val="000000"/>
        </w:rPr>
        <w:t xml:space="preserve">Threat Hunting Techniques: </w:t>
      </w:r>
      <w:r>
        <w:rPr>
          <w:color w:val="000000"/>
        </w:rP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[10] </w:t>
      </w:r>
      <w:r>
        <w:rPr>
          <w:color w:val="000000"/>
        </w:rPr>
        <w:tab/>
      </w:r>
      <w:r>
        <w:rPr>
          <w:color w:val="000000"/>
        </w:rPr>
        <w:tab/>
      </w:r>
      <w:r>
        <w:rPr>
          <w:color w:val="000000"/>
        </w:rPr>
        <w:tab/>
      </w:r>
      <w:r>
        <w:rPr>
          <w:color w:val="000000"/>
        </w:rPr>
        <w:tab/>
      </w:r>
    </w:p>
    <w:p w:rsidR="00680292" w:rsidRDefault="00680292" w:rsidP="00680292">
      <w:pPr>
        <w:pStyle w:val="NormalWeb"/>
        <w:numPr>
          <w:ilvl w:val="0"/>
          <w:numId w:val="3"/>
        </w:numPr>
        <w:spacing w:line="360" w:lineRule="auto"/>
        <w:ind w:left="426"/>
        <w:jc w:val="both"/>
      </w:pPr>
      <w:r>
        <w:rPr>
          <w:rStyle w:val="Strong"/>
          <w:color w:val="000000"/>
        </w:rPr>
        <w:t>SIEM Tools and Security Monitoring :</w:t>
      </w:r>
      <w:r w:rsidR="00CA50BC">
        <w:rPr>
          <w:rStyle w:val="Strong"/>
          <w:color w:val="000000"/>
        </w:rPr>
        <w:t xml:space="preserve"> </w:t>
      </w:r>
      <w:bookmarkStart w:id="0" w:name="_GoBack"/>
      <w:bookmarkEnd w:id="0"/>
      <w:r>
        <w:rPr>
          <w:color w:val="000000"/>
        </w:rPr>
        <w:t>A company implements a Security Information and Event Management (SIEM) system to monitor its network. The system generates multiple alerts about suspicious login attempts and unusual outbound connections. Explain how the SIEM system can collect and analyze security events, correlate alerts, and help security analysts prioritize potential threats.</w:t>
      </w:r>
      <w:r>
        <w:rPr>
          <w:color w:val="000000"/>
        </w:rPr>
        <w:tab/>
      </w:r>
      <w:r>
        <w:rPr>
          <w:color w:val="000000"/>
        </w:rPr>
        <w:tab/>
      </w:r>
      <w:r>
        <w:rPr>
          <w:color w:val="000000"/>
        </w:rPr>
        <w:tab/>
      </w:r>
      <w:r>
        <w:rPr>
          <w:color w:val="000000"/>
        </w:rPr>
        <w:tab/>
      </w:r>
      <w:r>
        <w:rPr>
          <w:color w:val="000000"/>
        </w:rPr>
        <w:tab/>
        <w:t>[10]</w:t>
      </w:r>
    </w:p>
    <w:p w:rsidR="00680292" w:rsidRDefault="00680292" w:rsidP="00680292">
      <w:pPr>
        <w:pStyle w:val="NormalWeb"/>
        <w:numPr>
          <w:ilvl w:val="0"/>
          <w:numId w:val="3"/>
        </w:numPr>
        <w:spacing w:line="360" w:lineRule="auto"/>
        <w:ind w:left="426"/>
        <w:jc w:val="both"/>
      </w:pPr>
      <w:r>
        <w:rPr>
          <w:rStyle w:val="Strong"/>
          <w:color w:val="000000"/>
        </w:rPr>
        <w:t>Security Monitoring and Anomaly Detection:</w:t>
      </w:r>
      <w:r w:rsidR="00ED7BC1">
        <w:rPr>
          <w:rStyle w:val="Strong"/>
          <w:color w:val="000000"/>
        </w:rPr>
        <w:t xml:space="preserve"> </w:t>
      </w:r>
      <w:r>
        <w:rPr>
          <w:color w:val="000000"/>
        </w:rPr>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r>
      <w:r>
        <w:rPr>
          <w:color w:val="000000"/>
        </w:rPr>
        <w:tab/>
        <w:t>[10]</w:t>
      </w:r>
    </w:p>
    <w:p w:rsidR="00680292" w:rsidRDefault="00680292" w:rsidP="00680292">
      <w:pPr>
        <w:pStyle w:val="NormalWeb"/>
        <w:numPr>
          <w:ilvl w:val="0"/>
          <w:numId w:val="3"/>
        </w:numPr>
        <w:spacing w:line="360" w:lineRule="auto"/>
        <w:ind w:left="426"/>
        <w:jc w:val="both"/>
      </w:pPr>
      <w:r>
        <w:rPr>
          <w:rStyle w:val="Strong"/>
          <w:color w:val="000000"/>
        </w:rPr>
        <w:t>Tools Used in the IT Industry for Threat Hunting:</w:t>
      </w:r>
      <w:r w:rsidR="00ED7BC1">
        <w:rPr>
          <w:rStyle w:val="Strong"/>
          <w:color w:val="000000"/>
        </w:rPr>
        <w:t xml:space="preserve"> </w:t>
      </w:r>
      <w:r>
        <w:rPr>
          <w:color w:val="000000"/>
        </w:rPr>
        <w:t>An IT organization suspects that malware has infected several employee workstations. The security team has access to SIEM software, endpoint detection tools, network traffic analyzers, and vulnerability scanners. Select suitable tools for investigating the incident and explain how each tool can help identify, analyze, and contain the threat.</w:t>
      </w:r>
      <w:r>
        <w:rPr>
          <w:color w:val="000000"/>
        </w:rPr>
        <w:tab/>
      </w:r>
      <w:r>
        <w:rPr>
          <w:color w:val="000000"/>
        </w:rPr>
        <w:tab/>
      </w:r>
      <w:r>
        <w:rPr>
          <w:color w:val="000000"/>
        </w:rPr>
        <w:tab/>
      </w:r>
      <w:r>
        <w:rPr>
          <w:color w:val="000000"/>
        </w:rPr>
        <w:tab/>
      </w:r>
      <w:r>
        <w:rPr>
          <w:color w:val="000000"/>
        </w:rPr>
        <w:tab/>
        <w:t>[10]</w:t>
      </w:r>
    </w:p>
    <w:p w:rsidR="00680292" w:rsidRPr="00680292" w:rsidRDefault="00680292" w:rsidP="00580D17">
      <w:pPr>
        <w:pStyle w:val="NormalWeb"/>
        <w:numPr>
          <w:ilvl w:val="0"/>
          <w:numId w:val="3"/>
        </w:numPr>
        <w:spacing w:before="240" w:after="120" w:line="360" w:lineRule="auto"/>
        <w:ind w:left="426"/>
        <w:jc w:val="both"/>
        <w:outlineLvl w:val="0"/>
        <w:rPr>
          <w:color w:val="1F3864"/>
        </w:rPr>
      </w:pPr>
      <w:r>
        <w:rPr>
          <w:rStyle w:val="Strong"/>
          <w:color w:val="000000"/>
        </w:rPr>
        <w:t xml:space="preserve">Integrated Threat Hunting and Incident Reporting: </w:t>
      </w:r>
      <w:r>
        <w:rPr>
          <w:color w:val="000000"/>
        </w:rPr>
        <w:t>A company detects suspicious user logins, connections to a malicious domain, and an unknown process running on an employee workstation. The security team uses Splunk or the ELK Stack to analyze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r>
      <w:r>
        <w:rPr>
          <w:color w:val="000000"/>
        </w:rPr>
        <w:tab/>
      </w:r>
      <w:r>
        <w:rPr>
          <w:color w:val="000000"/>
        </w:rPr>
        <w:tab/>
      </w:r>
      <w:r>
        <w:rPr>
          <w:color w:val="000000"/>
        </w:rPr>
        <w:tab/>
      </w:r>
      <w:r>
        <w:rPr>
          <w:color w:val="000000"/>
        </w:rPr>
        <w:tab/>
      </w:r>
      <w:r>
        <w:rPr>
          <w:color w:val="000000"/>
        </w:rPr>
        <w:tab/>
      </w:r>
      <w:r>
        <w:rPr>
          <w:color w:val="000000"/>
        </w:rPr>
        <w:tab/>
        <w:t>[10]</w:t>
      </w:r>
    </w:p>
    <w:p>
      <w:r>
        <w:br w:type="page"/>
      </w:r>
    </w:p>
    <w:p>
      <w:pPr>
        <w:spacing w:after="100"/>
        <w:jc w:val="center"/>
      </w:pPr>
      <w:r>
        <w:rPr>
          <w:rFonts w:ascii="Times New Roman" w:hAnsi="Times New Roman" w:eastAsia="Times New Roman"/>
          <w:b/>
          <w:color w:val="000000"/>
          <w:sz w:val="20"/>
        </w:rPr>
        <w:t>CSA6303 – THREAT INTELLIGENCE AND NETWORK SECURITY</w:t>
      </w:r>
    </w:p>
    <w:p>
      <w:pPr>
        <w:spacing w:after="140"/>
        <w:jc w:val="left"/>
      </w:pPr>
      <w:r>
        <w:rPr>
          <w:rFonts w:ascii="Times New Roman" w:hAnsi="Times New Roman" w:eastAsia="Times New Roman"/>
          <w:b/>
          <w:color w:val="000000"/>
          <w:sz w:val="26"/>
        </w:rPr>
        <w:t>1. Threat Hunting Techniques</w:t>
      </w:r>
    </w:p>
    <w:p>
      <w:pPr>
        <w:widowControl/>
        <w:spacing w:after="100" w:line="259" w:lineRule="auto"/>
        <w:jc w:val="both"/>
      </w:pPr>
      <w:r>
        <w:rPr>
          <w:rFonts w:ascii="Times New Roman" w:hAnsi="Times New Roman" w:eastAsia="Times New Roman"/>
          <w:b w:val="0"/>
          <w:color w:val="000000"/>
          <w:sz w:val="21"/>
        </w:rPr>
        <w:t>Threat hunting is a proactive, hypothesis-driven search for malicious activity that may have bypassed ordinary security alerts. In this scenario, unusual login times, unexpected processes, and connections to unfamiliar external servers should be investigated together rather than as separate events.</w:t>
      </w:r>
    </w:p>
    <w:p>
      <w:pPr>
        <w:widowControl/>
        <w:spacing w:after="100" w:line="259" w:lineRule="auto"/>
        <w:jc w:val="both"/>
      </w:pPr>
      <w:r>
        <w:rPr>
          <w:rFonts w:ascii="Times New Roman" w:hAnsi="Times New Roman" w:eastAsia="Times New Roman"/>
          <w:b w:val="0"/>
          <w:color w:val="000000"/>
          <w:sz w:val="21"/>
        </w:rPr>
        <w:t>1. Establish a hypothesis and scope. Start with the hypothesis that a compromised account or workstation is being used to access the internal network and communicate with an external command-and-control server. Identify the affected users, hosts, database or file servers, relevant time window, and critical business systems. Record the initial observations and preserve the original alert details.</w:t>
      </w:r>
    </w:p>
    <w:p>
      <w:pPr>
        <w:widowControl/>
        <w:spacing w:after="100" w:line="259" w:lineRule="auto"/>
        <w:jc w:val="both"/>
      </w:pPr>
      <w:r>
        <w:rPr>
          <w:rFonts w:ascii="Times New Roman" w:hAnsi="Times New Roman" w:eastAsia="Times New Roman"/>
          <w:b w:val="0"/>
          <w:color w:val="000000"/>
          <w:sz w:val="21"/>
        </w:rPr>
        <w:t>2. Collect and normalize evidence. Gather authentication logs from domain controllers, VPN and identity systems; endpoint process and file events; DNS queries; firewall and proxy logs; network flow records; and EDR alerts. Normalize timestamps to a common time zone and check clock differences so that events can be placed in the correct order. Preserve relevant logs before they rotate.</w:t>
      </w:r>
    </w:p>
    <w:p>
      <w:pPr>
        <w:widowControl/>
        <w:spacing w:after="100" w:line="259" w:lineRule="auto"/>
        <w:jc w:val="both"/>
      </w:pPr>
      <w:r>
        <w:rPr>
          <w:rFonts w:ascii="Times New Roman" w:hAnsi="Times New Roman" w:eastAsia="Times New Roman"/>
          <w:b w:val="0"/>
          <w:color w:val="000000"/>
          <w:sz w:val="21"/>
        </w:rPr>
        <w:t>3. Investigate unusual logins. Compare login times, source IP addresses, geolocation where reliable, device names, MFA results, failed-login bursts, and access patterns with the user’s normal baseline. Look for impossible travel, logins from unfamiliar devices, repeated authentication failures followed by success, and privilege escalation. Confirm unusual activity with the account owner through a trusted channel when appropriate.</w:t>
      </w:r>
    </w:p>
    <w:p>
      <w:pPr>
        <w:widowControl/>
        <w:spacing w:after="100" w:line="259" w:lineRule="auto"/>
        <w:jc w:val="both"/>
      </w:pPr>
      <w:r>
        <w:rPr>
          <w:rFonts w:ascii="Times New Roman" w:hAnsi="Times New Roman" w:eastAsia="Times New Roman"/>
          <w:b w:val="0"/>
          <w:color w:val="000000"/>
          <w:sz w:val="21"/>
        </w:rPr>
        <w:t>4. Examine suspicious processes. On affected endpoints, inspect process names, parent-child relationships, command-line arguments, execution paths, digital signatures, hashes, persistence mechanisms, scheduled tasks, services, and autorun locations. A legitimate program running from a temporary directory or launching scripting tools unexpectedly deserves closer review. Use approved EDR or forensic tools and avoid executing suspected malware.</w:t>
      </w:r>
    </w:p>
    <w:p>
      <w:pPr>
        <w:widowControl/>
        <w:spacing w:after="100" w:line="259" w:lineRule="auto"/>
        <w:jc w:val="both"/>
      </w:pPr>
      <w:r>
        <w:rPr>
          <w:rFonts w:ascii="Times New Roman" w:hAnsi="Times New Roman" w:eastAsia="Times New Roman"/>
          <w:b w:val="0"/>
          <w:color w:val="000000"/>
          <w:sz w:val="21"/>
        </w:rPr>
        <w:t>5. Investigate network connections. Correlate destination domains and IP addresses with DNS, proxy, firewall, and network-flow records. Review connection frequency, transferred bytes, uncommon ports, TLS metadata where available, and whether multiple endpoints contact the same destination. Check indicators against reputable threat-intelligence sources, while remembering that reputation alone does not prove maliciousness.</w:t>
      </w:r>
    </w:p>
    <w:p>
      <w:pPr>
        <w:widowControl/>
        <w:spacing w:after="100" w:line="259" w:lineRule="auto"/>
        <w:jc w:val="both"/>
      </w:pPr>
      <w:r>
        <w:rPr>
          <w:rFonts w:ascii="Times New Roman" w:hAnsi="Times New Roman" w:eastAsia="Times New Roman"/>
          <w:b w:val="0"/>
          <w:color w:val="000000"/>
          <w:sz w:val="21"/>
        </w:rPr>
        <w:t>6. Build a timeline and scope the incident. Connect the first suspicious login to process execution, internal discovery, lateral movement, and outbound communication. Search across the environment for the same account, file hash, domain, IP address, or process pattern. This helps determine whether one host or several systems are affected.</w:t>
      </w:r>
    </w:p>
    <w:p>
      <w:pPr>
        <w:widowControl/>
        <w:spacing w:after="100" w:line="259" w:lineRule="auto"/>
        <w:jc w:val="both"/>
      </w:pPr>
      <w:r>
        <w:rPr>
          <w:rFonts w:ascii="Times New Roman" w:hAnsi="Times New Roman" w:eastAsia="Times New Roman"/>
          <w:b w:val="0"/>
          <w:color w:val="000000"/>
          <w:sz w:val="21"/>
        </w:rPr>
        <w:t>7. Contain and report. If evidence supports compromise, follow the incident-response procedure: isolate affected endpoints, disable or reset compromised credentials, revoke sessions, block confirmed malicious indicators, and preserve forensic evidence. Escalate actions that may interrupt critical services to the incident lead. Document evidence, confidence, affected assets, actions, and next steps.</w:t>
      </w:r>
    </w:p>
    <w:p>
      <w:pPr>
        <w:widowControl/>
        <w:spacing w:after="100" w:line="259" w:lineRule="auto"/>
        <w:jc w:val="both"/>
      </w:pPr>
      <w:r>
        <w:rPr>
          <w:rFonts w:ascii="Times New Roman" w:hAnsi="Times New Roman" w:eastAsia="Times New Roman"/>
          <w:b w:val="0"/>
          <w:color w:val="000000"/>
          <w:sz w:val="21"/>
        </w:rPr>
        <w:t>The result should be a repeatable, evidence-based investigation rather than a guess based on one alert. Hunting findings should be converted into detection rules and monitored to determine whether the threat returns.</w:t>
      </w:r>
    </w:p>
    <w:p>
      <w:pPr>
        <w:spacing w:before="60"/>
        <w:jc w:val="center"/>
      </w:pPr>
      <w:r>
        <w:rPr>
          <w:rFonts w:ascii="Times New Roman" w:hAnsi="Times New Roman" w:eastAsia="Times New Roman"/>
          <w:b/>
          <w:color w:val="000000"/>
          <w:sz w:val="18"/>
        </w:rPr>
        <w:t>KONGARA SAI  |  Reg. No.: 192365025</w:t>
      </w:r>
    </w:p>
    <w:p>
      <w:r>
        <w:br w:type="page"/>
      </w:r>
    </w:p>
    <w:p>
      <w:pPr>
        <w:spacing w:after="100"/>
        <w:jc w:val="center"/>
      </w:pPr>
      <w:r>
        <w:rPr>
          <w:rFonts w:ascii="Times New Roman" w:hAnsi="Times New Roman" w:eastAsia="Times New Roman"/>
          <w:b/>
          <w:color w:val="000000"/>
          <w:sz w:val="20"/>
        </w:rPr>
        <w:t>CSA6303 – THREAT INTELLIGENCE AND NETWORK SECURITY</w:t>
      </w:r>
    </w:p>
    <w:p>
      <w:pPr>
        <w:spacing w:after="140"/>
        <w:jc w:val="left"/>
      </w:pPr>
      <w:r>
        <w:rPr>
          <w:rFonts w:ascii="Times New Roman" w:hAnsi="Times New Roman" w:eastAsia="Times New Roman"/>
          <w:b/>
          <w:color w:val="000000"/>
          <w:sz w:val="26"/>
        </w:rPr>
        <w:t>2. SIEM Tools and Security Monitoring</w:t>
      </w:r>
    </w:p>
    <w:p>
      <w:pPr>
        <w:widowControl/>
        <w:spacing w:after="100" w:line="259" w:lineRule="auto"/>
        <w:jc w:val="both"/>
      </w:pPr>
      <w:r>
        <w:rPr>
          <w:rFonts w:ascii="Times New Roman" w:hAnsi="Times New Roman" w:eastAsia="Times New Roman"/>
          <w:b w:val="0"/>
          <w:color w:val="000000"/>
          <w:sz w:val="21"/>
        </w:rPr>
        <w:t>A Security Information and Event Management (SIEM) system collects security records from many systems, makes them searchable, and correlates related events to help analysts detect attacks. It does not automatically prove that every alert is malicious; analysts must validate context and supporting evidence.</w:t>
      </w:r>
    </w:p>
    <w:p>
      <w:pPr>
        <w:widowControl/>
        <w:spacing w:after="100" w:line="259" w:lineRule="auto"/>
        <w:jc w:val="both"/>
      </w:pPr>
      <w:r>
        <w:rPr>
          <w:rFonts w:ascii="Times New Roman" w:hAnsi="Times New Roman" w:eastAsia="Times New Roman"/>
          <w:b w:val="0"/>
          <w:color w:val="000000"/>
          <w:sz w:val="21"/>
        </w:rPr>
        <w:t>1. Data collection. Configure approved log sources such as Windows and Linux servers, identity providers, VPN gateways, firewalls, DNS resolvers, proxies, endpoint detection tools, cloud services, and critical applications. Agents, syslog, APIs, or forwarders send records to the SIEM. Ensure timestamps, hostnames, user identifiers, and event fields are normalized consistently. Enable useful audit logging and monitor whether important sources stop reporting.</w:t>
      </w:r>
    </w:p>
    <w:p>
      <w:pPr>
        <w:widowControl/>
        <w:spacing w:after="100" w:line="259" w:lineRule="auto"/>
        <w:jc w:val="both"/>
      </w:pPr>
      <w:r>
        <w:rPr>
          <w:rFonts w:ascii="Times New Roman" w:hAnsi="Times New Roman" w:eastAsia="Times New Roman"/>
          <w:b w:val="0"/>
          <w:color w:val="000000"/>
          <w:sz w:val="21"/>
        </w:rPr>
        <w:t>2. Parsing and enrichment. The SIEM parses raw records into searchable fields such as event time, username, source and destination IP, hostname, action, process, and result. Enrichment can add asset criticality, account role, geolocation, vulnerability context, and threat-intelligence reputation. Enrichment helps prioritize an event, but external reputation data may be incomplete or outdated and should not be treated as definitive proof.</w:t>
      </w:r>
    </w:p>
    <w:p>
      <w:pPr>
        <w:widowControl/>
        <w:spacing w:after="100" w:line="259" w:lineRule="auto"/>
        <w:jc w:val="both"/>
      </w:pPr>
      <w:r>
        <w:rPr>
          <w:rFonts w:ascii="Times New Roman" w:hAnsi="Times New Roman" w:eastAsia="Times New Roman"/>
          <w:b w:val="0"/>
          <w:color w:val="000000"/>
          <w:sz w:val="21"/>
        </w:rPr>
        <w:t>3. Correlation and detection. Rules combine events that may be harmless individually but suspicious together. For example, many failed logins followed by a successful login from a new source, then privilege escalation and a large outbound transfer, may indicate account compromise. Other detections include impossible travel, repeated access to sensitive systems, unusual PowerShell execution, connections to known malicious domains, and logins outside a user’s baseline. Time windows and thresholds should be tuned to reduce noise.</w:t>
      </w:r>
    </w:p>
    <w:p>
      <w:pPr>
        <w:widowControl/>
        <w:spacing w:after="100" w:line="259" w:lineRule="auto"/>
        <w:jc w:val="both"/>
      </w:pPr>
      <w:r>
        <w:rPr>
          <w:rFonts w:ascii="Times New Roman" w:hAnsi="Times New Roman" w:eastAsia="Times New Roman"/>
          <w:b w:val="0"/>
          <w:color w:val="000000"/>
          <w:sz w:val="21"/>
        </w:rPr>
        <w:t>4. Alert prioritization. Analysts assess severity using the confidence of the detection, asset importance, privileges of the account, known threat indicators, potential impact, and whether the behavior is continuing. A high-confidence alert on a domain administrator’s workstation should usually receive more urgent attention than a single failed login on a low-risk system. Group duplicate alerts into one incident where appropriate to avoid overwhelming analysts.</w:t>
      </w:r>
    </w:p>
    <w:p>
      <w:pPr>
        <w:widowControl/>
        <w:spacing w:after="100" w:line="259" w:lineRule="auto"/>
        <w:jc w:val="both"/>
      </w:pPr>
      <w:r>
        <w:rPr>
          <w:rFonts w:ascii="Times New Roman" w:hAnsi="Times New Roman" w:eastAsia="Times New Roman"/>
          <w:b w:val="0"/>
          <w:color w:val="000000"/>
          <w:sz w:val="21"/>
        </w:rPr>
        <w:t>5. Investigation workflow. Open the alert and review the original events, related events, endpoint telemetry, and network records. Build a timeline, identify the initiating account or host, search for the same indicator elsewhere, and determine whether activity matches an authorized change or known business process. Record evidence and distinguish confirmed facts from hypotheses.</w:t>
      </w:r>
    </w:p>
    <w:p>
      <w:pPr>
        <w:widowControl/>
        <w:spacing w:after="100" w:line="259" w:lineRule="auto"/>
        <w:jc w:val="both"/>
      </w:pPr>
      <w:r>
        <w:rPr>
          <w:rFonts w:ascii="Times New Roman" w:hAnsi="Times New Roman" w:eastAsia="Times New Roman"/>
          <w:b w:val="0"/>
          <w:color w:val="000000"/>
          <w:sz w:val="21"/>
        </w:rPr>
        <w:t>6. Response and improvement. Depending on validated risk and organizational policy, analysts may isolate a host, disable an account, revoke sessions, or block a destination. High-impact actions should follow authorization and escalation rules. After containment, document root cause, affected assets, and recovery steps. Tune detection rules using confirmed incidents and false positives, and test rules regularly.</w:t>
      </w:r>
    </w:p>
    <w:p>
      <w:pPr>
        <w:widowControl/>
        <w:spacing w:after="100" w:line="259" w:lineRule="auto"/>
        <w:jc w:val="both"/>
      </w:pPr>
      <w:r>
        <w:rPr>
          <w:rFonts w:ascii="Times New Roman" w:hAnsi="Times New Roman" w:eastAsia="Times New Roman"/>
          <w:b w:val="0"/>
          <w:color w:val="000000"/>
          <w:sz w:val="21"/>
        </w:rPr>
        <w:t>Useful SIEM platforms include Splunk Enterprise Security, Microsoft Sentinel, and Elastic Security. The platform is only as effective as its data coverage, detection quality, analyst workflow, and response process. Measures such as mean time to detect, mean time to respond, alert false-positive rate, and percentage of critical assets reporting logs help evaluate effectiveness.</w:t>
      </w:r>
    </w:p>
    <w:p>
      <w:pPr>
        <w:spacing w:before="60"/>
        <w:jc w:val="center"/>
      </w:pPr>
      <w:r>
        <w:rPr>
          <w:rFonts w:ascii="Times New Roman" w:hAnsi="Times New Roman" w:eastAsia="Times New Roman"/>
          <w:b/>
          <w:color w:val="000000"/>
          <w:sz w:val="18"/>
        </w:rPr>
        <w:t>KONGARA SAI  |  Reg. No.: 192365025</w:t>
      </w:r>
    </w:p>
    <w:p>
      <w:r>
        <w:br w:type="page"/>
      </w:r>
    </w:p>
    <w:p>
      <w:pPr>
        <w:spacing w:after="100"/>
        <w:jc w:val="center"/>
      </w:pPr>
      <w:r>
        <w:rPr>
          <w:rFonts w:ascii="Times New Roman" w:hAnsi="Times New Roman" w:eastAsia="Times New Roman"/>
          <w:b/>
          <w:color w:val="000000"/>
          <w:sz w:val="20"/>
        </w:rPr>
        <w:t>CSA6303 – THREAT INTELLIGENCE AND NETWORK SECURITY</w:t>
      </w:r>
    </w:p>
    <w:p>
      <w:pPr>
        <w:spacing w:after="140"/>
        <w:jc w:val="left"/>
      </w:pPr>
      <w:r>
        <w:rPr>
          <w:rFonts w:ascii="Times New Roman" w:hAnsi="Times New Roman" w:eastAsia="Times New Roman"/>
          <w:b/>
          <w:color w:val="000000"/>
          <w:sz w:val="26"/>
        </w:rPr>
        <w:t>3. Security Monitoring and Anomaly Detection</w:t>
      </w:r>
    </w:p>
    <w:p>
      <w:pPr>
        <w:widowControl/>
        <w:spacing w:after="100" w:line="259" w:lineRule="auto"/>
        <w:jc w:val="both"/>
      </w:pPr>
      <w:r>
        <w:rPr>
          <w:rFonts w:ascii="Times New Roman" w:hAnsi="Times New Roman" w:eastAsia="Times New Roman"/>
          <w:b w:val="0"/>
          <w:color w:val="000000"/>
          <w:sz w:val="21"/>
        </w:rPr>
        <w:t>A sudden rise in outbound traffic from a database server outside working hours is suspicious because it differs from the server’s normal role and baseline. It may indicate data exfiltration, but scheduled backups, replication, software updates, or a legitimate reporting job must also be considered.</w:t>
      </w:r>
    </w:p>
    <w:p>
      <w:pPr>
        <w:widowControl/>
        <w:spacing w:after="100" w:line="259" w:lineRule="auto"/>
        <w:jc w:val="both"/>
      </w:pPr>
      <w:r>
        <w:rPr>
          <w:rFonts w:ascii="Times New Roman" w:hAnsi="Times New Roman" w:eastAsia="Times New Roman"/>
          <w:b w:val="0"/>
          <w:color w:val="000000"/>
          <w:sz w:val="21"/>
        </w:rPr>
        <w:t>1. Validate the anomaly. Confirm the time window, volume, destination, protocol, and source host using network-flow records, firewall logs, proxy logs, DNS records, and the monitoring dashboard. Compare the traffic with historical patterns for the same day and time. Check whether a backup, database export, replication job, or maintenance window was scheduled. Verify that the monitoring sensor and system clocks are functioning correctly.</w:t>
      </w:r>
    </w:p>
    <w:p>
      <w:pPr>
        <w:widowControl/>
        <w:spacing w:after="100" w:line="259" w:lineRule="auto"/>
        <w:jc w:val="both"/>
      </w:pPr>
      <w:r>
        <w:rPr>
          <w:rFonts w:ascii="Times New Roman" w:hAnsi="Times New Roman" w:eastAsia="Times New Roman"/>
          <w:b w:val="0"/>
          <w:color w:val="000000"/>
          <w:sz w:val="21"/>
        </w:rPr>
        <w:t>2. Identify the destination. Determine whether the destination IP or domain is known to the organization, a trusted cloud service, a newly registered domain, or a destination with negative threat-intelligence reputation. Review DNS lookups, TLS connection metadata, proxy logs, and firewall decisions. Check whether other internal hosts contacted the same destination. A suspicious reputation score is a lead for investigation, not standalone proof of compromise.</w:t>
      </w:r>
    </w:p>
    <w:p>
      <w:pPr>
        <w:widowControl/>
        <w:spacing w:after="100" w:line="259" w:lineRule="auto"/>
        <w:jc w:val="both"/>
      </w:pPr>
      <w:r>
        <w:rPr>
          <w:rFonts w:ascii="Times New Roman" w:hAnsi="Times New Roman" w:eastAsia="Times New Roman"/>
          <w:b w:val="0"/>
          <w:color w:val="000000"/>
          <w:sz w:val="21"/>
        </w:rPr>
        <w:t>3. Examine the database host. Review database audit logs for unusual queries, bulk reads, new accounts, privilege changes, exports, and access to sensitive tables. Correlate operating-system and EDR events with the traffic spike. Look for unexpected processes, command-line tools, archive creation, scripts, unusual service accounts, or remote logins. Check whether the process that generated the traffic is an approved database or backup component.</w:t>
      </w:r>
    </w:p>
    <w:p>
      <w:pPr>
        <w:widowControl/>
        <w:spacing w:after="100" w:line="259" w:lineRule="auto"/>
        <w:jc w:val="both"/>
      </w:pPr>
      <w:r>
        <w:rPr>
          <w:rFonts w:ascii="Times New Roman" w:hAnsi="Times New Roman" w:eastAsia="Times New Roman"/>
          <w:b w:val="0"/>
          <w:color w:val="000000"/>
          <w:sz w:val="21"/>
        </w:rPr>
        <w:t>4. Test the exfiltration hypothesis. Establish what data could have been accessed, how much data left the network, and whether the timing aligns with database queries or archive creation. Compare outbound byte counts with database access logs and application activity. Inspect packet captures or approved network telemetry when available, respecting privacy and authorization rules. If encryption prevents content inspection, metadata and endpoint evidence can still help establish the likely process and destination.</w:t>
      </w:r>
    </w:p>
    <w:p>
      <w:pPr>
        <w:widowControl/>
        <w:spacing w:after="100" w:line="259" w:lineRule="auto"/>
        <w:jc w:val="both"/>
      </w:pPr>
      <w:r>
        <w:rPr>
          <w:rFonts w:ascii="Times New Roman" w:hAnsi="Times New Roman" w:eastAsia="Times New Roman"/>
          <w:b w:val="0"/>
          <w:color w:val="000000"/>
          <w:sz w:val="21"/>
        </w:rPr>
        <w:t>5. Contain carefully. If evidence indicates active unauthorized transfer, notify the incident-response lead, preserve logs and relevant forensic data, and restrict the suspicious connection using approved controls. Isolate the host only after considering service availability and business impact. Rotate potentially exposed credentials, disable unauthorized accounts, and protect affected data. Avoid deleting files or wiping the host before evidence has been preserved.</w:t>
      </w:r>
    </w:p>
    <w:p>
      <w:pPr>
        <w:widowControl/>
        <w:spacing w:after="100" w:line="259" w:lineRule="auto"/>
        <w:jc w:val="both"/>
      </w:pPr>
      <w:r>
        <w:rPr>
          <w:rFonts w:ascii="Times New Roman" w:hAnsi="Times New Roman" w:eastAsia="Times New Roman"/>
          <w:b w:val="0"/>
          <w:color w:val="000000"/>
          <w:sz w:val="21"/>
        </w:rPr>
        <w:t>6. Recommend monitoring controls. Establish a baseline for outbound traffic by server, destination, protocol, and time. Alert on unusual data volume, first-seen destinations, rare ports, unexpected DNS patterns, large transfers outside business hours, and database exports that do not match approved jobs. Forward database audit, identity, EDR, DNS, firewall, and proxy logs to the SIEM and correlate them.</w:t>
      </w:r>
    </w:p>
    <w:p>
      <w:pPr>
        <w:widowControl/>
        <w:spacing w:after="100" w:line="259" w:lineRule="auto"/>
        <w:jc w:val="both"/>
      </w:pPr>
      <w:r>
        <w:rPr>
          <w:rFonts w:ascii="Times New Roman" w:hAnsi="Times New Roman" w:eastAsia="Times New Roman"/>
          <w:b w:val="0"/>
          <w:color w:val="000000"/>
          <w:sz w:val="21"/>
        </w:rPr>
        <w:t>7. Prevent recurrence. Apply least privilege to database accounts, restrict outbound traffic with allowlists where practical, separate database networks from user networks, require controlled approval for exports, encrypt sensitive data, and keep systems patched. Use DLP controls where suitable and periodically test detection rules. Record findings, affected data, confidence, containment, and follow-up actions in an incident report.</w:t>
      </w:r>
    </w:p>
    <w:p>
      <w:pPr>
        <w:widowControl/>
        <w:spacing w:after="100" w:line="259" w:lineRule="auto"/>
        <w:jc w:val="both"/>
      </w:pPr>
      <w:r>
        <w:rPr>
          <w:rFonts w:ascii="Times New Roman" w:hAnsi="Times New Roman" w:eastAsia="Times New Roman"/>
          <w:b w:val="0"/>
          <w:color w:val="000000"/>
          <w:sz w:val="21"/>
        </w:rPr>
        <w:t>The investigation should conclude with evidence-supported findings: confirmed exfiltration, a legitimate explanation, or an unresolved anomaly requiring further monitoring. This avoids overstating conclusions before the evidence is complete.</w:t>
      </w:r>
    </w:p>
    <w:p>
      <w:pPr>
        <w:spacing w:before="60"/>
        <w:jc w:val="center"/>
      </w:pPr>
      <w:r>
        <w:rPr>
          <w:rFonts w:ascii="Times New Roman" w:hAnsi="Times New Roman" w:eastAsia="Times New Roman"/>
          <w:b/>
          <w:color w:val="000000"/>
          <w:sz w:val="18"/>
        </w:rPr>
        <w:t>KONGARA SAI  |  Reg. No.: 192365025</w:t>
      </w:r>
    </w:p>
    <w:p>
      <w:r>
        <w:br w:type="page"/>
      </w:r>
    </w:p>
    <w:p>
      <w:pPr>
        <w:spacing w:after="100"/>
        <w:jc w:val="center"/>
      </w:pPr>
      <w:r>
        <w:rPr>
          <w:rFonts w:ascii="Times New Roman" w:hAnsi="Times New Roman" w:eastAsia="Times New Roman"/>
          <w:b/>
          <w:color w:val="000000"/>
          <w:sz w:val="20"/>
        </w:rPr>
        <w:t>CSA6303 – THREAT INTELLIGENCE AND NETWORK SECURITY</w:t>
      </w:r>
    </w:p>
    <w:p>
      <w:pPr>
        <w:spacing w:after="140"/>
        <w:jc w:val="left"/>
      </w:pPr>
      <w:r>
        <w:rPr>
          <w:rFonts w:ascii="Times New Roman" w:hAnsi="Times New Roman" w:eastAsia="Times New Roman"/>
          <w:b/>
          <w:color w:val="000000"/>
          <w:sz w:val="26"/>
        </w:rPr>
        <w:t>4. Tools Used in the IT Industry for Threat Hunting</w:t>
      </w:r>
    </w:p>
    <w:p>
      <w:pPr>
        <w:widowControl/>
        <w:spacing w:after="100" w:line="259" w:lineRule="auto"/>
        <w:jc w:val="both"/>
      </w:pPr>
      <w:r>
        <w:rPr>
          <w:rFonts w:ascii="Times New Roman" w:hAnsi="Times New Roman" w:eastAsia="Times New Roman"/>
          <w:b w:val="0"/>
          <w:color w:val="000000"/>
          <w:sz w:val="21"/>
        </w:rPr>
        <w:t>A suspected malware infection across several workstations requires endpoint, network, log-correlation, and vulnerability evidence. No single tool provides the full picture; the team should combine results and use approved response procedures.</w:t>
      </w:r>
    </w:p>
    <w:p>
      <w:pPr>
        <w:widowControl/>
        <w:spacing w:after="100" w:line="259" w:lineRule="auto"/>
        <w:jc w:val="both"/>
      </w:pPr>
      <w:r>
        <w:rPr>
          <w:rFonts w:ascii="Times New Roman" w:hAnsi="Times New Roman" w:eastAsia="Times New Roman"/>
          <w:b w:val="0"/>
          <w:color w:val="000000"/>
          <w:sz w:val="21"/>
        </w:rPr>
        <w:t>1. SIEM platform. Tools such as Splunk, Microsoft Sentinel, or Elastic Security aggregate logs from endpoints, identity services, firewalls, DNS, proxies, and servers. Analysts search for common usernames, hashes, domains, process names, and timestamps across multiple devices. Correlation can reveal whether one infection spread through shared credentials or contacted the same external server. SIEM is especially useful for timelines and fleet-wide scope.</w:t>
      </w:r>
    </w:p>
    <w:p>
      <w:pPr>
        <w:widowControl/>
        <w:spacing w:after="100" w:line="259" w:lineRule="auto"/>
        <w:jc w:val="both"/>
      </w:pPr>
      <w:r>
        <w:rPr>
          <w:rFonts w:ascii="Times New Roman" w:hAnsi="Times New Roman" w:eastAsia="Times New Roman"/>
          <w:b w:val="0"/>
          <w:color w:val="000000"/>
          <w:sz w:val="21"/>
        </w:rPr>
        <w:t>2. Endpoint Detection and Response (EDR). Products such as Microsoft Defender for Endpoint, CrowdStrike Falcon, or SentinelOne provide endpoint telemetry, process trees, file hashes, persistence events, and behavioral detections. Analysts can inspect suspicious command lines and parent-child process relationships, quarantine files, isolate a host from the network, and collect investigation packages where supported. Containment actions must follow organizational policy to avoid disrupting critical operations.</w:t>
      </w:r>
    </w:p>
    <w:p>
      <w:pPr>
        <w:widowControl/>
        <w:spacing w:after="100" w:line="259" w:lineRule="auto"/>
        <w:jc w:val="both"/>
      </w:pPr>
      <w:r>
        <w:rPr>
          <w:rFonts w:ascii="Times New Roman" w:hAnsi="Times New Roman" w:eastAsia="Times New Roman"/>
          <w:b w:val="0"/>
          <w:color w:val="000000"/>
          <w:sz w:val="21"/>
        </w:rPr>
        <w:t>3. Network traffic analysis. Wireshark is useful for examining authorized packet captures, while Zeek and network detection tools can produce records of DNS, HTTP, TLS, and connection activity. These records help identify beaconing, unusual outbound transfer, lateral connections, and repeated communication with suspicious infrastructure. Encrypted traffic may limit content visibility, so network evidence should be correlated with endpoint and proxy records.</w:t>
      </w:r>
    </w:p>
    <w:p>
      <w:pPr>
        <w:widowControl/>
        <w:spacing w:after="100" w:line="259" w:lineRule="auto"/>
        <w:jc w:val="both"/>
      </w:pPr>
      <w:r>
        <w:rPr>
          <w:rFonts w:ascii="Times New Roman" w:hAnsi="Times New Roman" w:eastAsia="Times New Roman"/>
          <w:b w:val="0"/>
          <w:color w:val="000000"/>
          <w:sz w:val="21"/>
        </w:rPr>
        <w:t>4. Threat-intelligence sources and platforms. A threat-intelligence platform can compare observed domains, IP addresses, URLs, and file hashes with curated feeds and known indicators of compromise (IoCs). Sources such as CISA advisories, vendor reports, and reputable open threat feeds can provide context on campaigns and malware families. Analysts should record source, date, confidence, and relevance because indicators can become stale or be shared by benign services.</w:t>
      </w:r>
    </w:p>
    <w:p>
      <w:pPr>
        <w:widowControl/>
        <w:spacing w:after="100" w:line="259" w:lineRule="auto"/>
        <w:jc w:val="both"/>
      </w:pPr>
      <w:r>
        <w:rPr>
          <w:rFonts w:ascii="Times New Roman" w:hAnsi="Times New Roman" w:eastAsia="Times New Roman"/>
          <w:b w:val="0"/>
          <w:color w:val="000000"/>
          <w:sz w:val="21"/>
        </w:rPr>
        <w:t>5. Vulnerability scanners. Tools such as Nessus, Qualys, or OpenVAS help identify missing patches, exposed services, and known weaknesses that may have enabled the infection. A scanner does not by itself prove exploitation, and active scans should be authorized and safely configured. Findings should be compared with the observed attack path and prioritized by exploitability, asset importance, and exposure.</w:t>
      </w:r>
    </w:p>
    <w:p>
      <w:pPr>
        <w:widowControl/>
        <w:spacing w:after="100" w:line="259" w:lineRule="auto"/>
        <w:jc w:val="both"/>
      </w:pPr>
      <w:r>
        <w:rPr>
          <w:rFonts w:ascii="Times New Roman" w:hAnsi="Times New Roman" w:eastAsia="Times New Roman"/>
          <w:b w:val="0"/>
          <w:color w:val="000000"/>
          <w:sz w:val="21"/>
        </w:rPr>
        <w:t>6. Malware analysis and forensics. If a suspicious file needs analysis, calculate its hash and collect metadata first. Use approved sandboxing or isolated analysis environments rather than opening it on a normal workstation. Static and behavioral analysis can reveal persistence, network destinations, dropped files, and other indicators. Preserve chain-of-custody records when evidence may be used for formal investigations.</w:t>
      </w:r>
    </w:p>
    <w:p>
      <w:pPr>
        <w:widowControl/>
        <w:spacing w:after="100" w:line="259" w:lineRule="auto"/>
        <w:jc w:val="both"/>
      </w:pPr>
      <w:r>
        <w:rPr>
          <w:rFonts w:ascii="Times New Roman" w:hAnsi="Times New Roman" w:eastAsia="Times New Roman"/>
          <w:b w:val="0"/>
          <w:color w:val="000000"/>
          <w:sz w:val="21"/>
        </w:rPr>
        <w:t>7. Integrated investigation. Begin with EDR alerts, pivot through the SIEM to find related activity, validate network destinations, enrich indicators with threat intelligence, and use vulnerability data to identify likely entry points. Isolate confirmed infected workstations, block validated malicious indicators, reset exposed credentials, patch exploited weaknesses, and verify recovery. Keep records of evidence, timestamps, tool queries, confidence, actions, and unresolved questions.</w:t>
      </w:r>
    </w:p>
    <w:p>
      <w:pPr>
        <w:widowControl/>
        <w:spacing w:after="100" w:line="259" w:lineRule="auto"/>
        <w:jc w:val="both"/>
      </w:pPr>
      <w:r>
        <w:rPr>
          <w:rFonts w:ascii="Times New Roman" w:hAnsi="Times New Roman" w:eastAsia="Times New Roman"/>
          <w:b w:val="0"/>
          <w:color w:val="000000"/>
          <w:sz w:val="21"/>
        </w:rPr>
        <w:t>Tool selection should match the question being investigated. SIEM is strongest for correlation, EDR for endpoint behavior and response, network analysis for communication patterns, intelligence sources for context, and vulnerability scanners for weaknesses that require remediation.</w:t>
      </w:r>
    </w:p>
    <w:p>
      <w:pPr>
        <w:spacing w:before="60"/>
        <w:jc w:val="center"/>
      </w:pPr>
      <w:r>
        <w:rPr>
          <w:rFonts w:ascii="Times New Roman" w:hAnsi="Times New Roman" w:eastAsia="Times New Roman"/>
          <w:b/>
          <w:color w:val="000000"/>
          <w:sz w:val="18"/>
        </w:rPr>
        <w:t>KONGARA SAI  |  Reg. No.: 192365025</w:t>
      </w:r>
    </w:p>
    <w:p>
      <w:r>
        <w:br w:type="page"/>
      </w:r>
    </w:p>
    <w:p>
      <w:pPr>
        <w:spacing w:after="100"/>
        <w:jc w:val="center"/>
      </w:pPr>
      <w:r>
        <w:rPr>
          <w:rFonts w:ascii="Times New Roman" w:hAnsi="Times New Roman" w:eastAsia="Times New Roman"/>
          <w:b/>
          <w:color w:val="000000"/>
          <w:sz w:val="20"/>
        </w:rPr>
        <w:t>CSA6303 – THREAT INTELLIGENCE AND NETWORK SECURITY</w:t>
      </w:r>
    </w:p>
    <w:p>
      <w:pPr>
        <w:spacing w:after="140"/>
        <w:jc w:val="left"/>
      </w:pPr>
      <w:r>
        <w:rPr>
          <w:rFonts w:ascii="Times New Roman" w:hAnsi="Times New Roman" w:eastAsia="Times New Roman"/>
          <w:b/>
          <w:color w:val="000000"/>
          <w:sz w:val="26"/>
        </w:rPr>
        <w:t>5. Integrated Threat Hunting and Incident Reporting</w:t>
      </w:r>
    </w:p>
    <w:p>
      <w:pPr>
        <w:widowControl/>
        <w:spacing w:after="100" w:line="259" w:lineRule="auto"/>
        <w:jc w:val="both"/>
      </w:pPr>
      <w:r>
        <w:rPr>
          <w:rFonts w:ascii="Times New Roman" w:hAnsi="Times New Roman" w:eastAsia="Times New Roman"/>
          <w:b w:val="0"/>
          <w:color w:val="000000"/>
          <w:sz w:val="21"/>
        </w:rPr>
        <w:t>The incident combines suspicious logins, a connection to a potentially malicious domain, and an unknown process. The investigation should join these observations into a single timeline, validate each indicator, establish the scope, and document response actions. Splunk or the ELK Stack can support log search and correlation, while a threat-intelligence platform adds context to indicators.</w:t>
      </w:r>
    </w:p>
    <w:p>
      <w:pPr>
        <w:widowControl/>
        <w:spacing w:after="100" w:line="259" w:lineRule="auto"/>
        <w:jc w:val="both"/>
      </w:pPr>
      <w:r>
        <w:rPr>
          <w:rFonts w:ascii="Times New Roman" w:hAnsi="Times New Roman" w:eastAsia="Times New Roman"/>
          <w:b w:val="0"/>
          <w:color w:val="000000"/>
          <w:sz w:val="21"/>
        </w:rPr>
        <w:t>1. Prepare and define scope. Open an incident record and establish the time range, affected user, workstation, relevant servers, and business impact. Record the original alerts and define hypotheses such as stolen credentials, malware execution, command-and-control communication, or lateral movement. Assign an incident owner and follow evidence-handling and authorization procedures.</w:t>
      </w:r>
    </w:p>
    <w:p>
      <w:pPr>
        <w:widowControl/>
        <w:spacing w:after="100" w:line="259" w:lineRule="auto"/>
        <w:jc w:val="both"/>
      </w:pPr>
      <w:r>
        <w:rPr>
          <w:rFonts w:ascii="Times New Roman" w:hAnsi="Times New Roman" w:eastAsia="Times New Roman"/>
          <w:b w:val="0"/>
          <w:color w:val="000000"/>
          <w:sz w:val="21"/>
        </w:rPr>
        <w:t>2. Collect and preserve data. Gather identity and authentication events, endpoint process and file telemetry, DNS and proxy logs, firewall and network-flow records, email-security events if relevant, and logs from systems accessed by the user. Preserve raw records and relevant files before retention periods expire. Normalize timestamps and note any gaps in collection. Record evidence sources and who collected them.</w:t>
      </w:r>
    </w:p>
    <w:p>
      <w:pPr>
        <w:widowControl/>
        <w:spacing w:after="100" w:line="259" w:lineRule="auto"/>
        <w:jc w:val="both"/>
      </w:pPr>
      <w:r>
        <w:rPr>
          <w:rFonts w:ascii="Times New Roman" w:hAnsi="Times New Roman" w:eastAsia="Times New Roman"/>
          <w:b w:val="0"/>
          <w:color w:val="000000"/>
          <w:sz w:val="21"/>
        </w:rPr>
        <w:t>3. Correlate logs. In Splunk or ELK, search by username, hostname, source IP, domain, file hash, process name, and event time. Construct a timeline from login attempts to successful authentication, process creation, DNS resolution, outbound connections, and any sensitive file access. Look for related activity on other hosts and identify whether the account accessed resources beyond its normal role. Correlation helps establish relationships but does not alone prove causation.</w:t>
      </w:r>
    </w:p>
    <w:p>
      <w:pPr>
        <w:widowControl/>
        <w:spacing w:after="100" w:line="259" w:lineRule="auto"/>
        <w:jc w:val="both"/>
      </w:pPr>
      <w:r>
        <w:rPr>
          <w:rFonts w:ascii="Times New Roman" w:hAnsi="Times New Roman" w:eastAsia="Times New Roman"/>
          <w:b w:val="0"/>
          <w:color w:val="000000"/>
          <w:sz w:val="21"/>
        </w:rPr>
        <w:t>4. Validate threat indicators. Check the suspicious domain, IP address, URL, and file hash against reputable threat-intelligence sources. Review source reliability, observation date, confidence, and whether the indicator is shared with legitimate services. Search internal telemetry for previous and current sightings. Avoid blocking broad shared infrastructure based solely on one weak reputation result.</w:t>
      </w:r>
    </w:p>
    <w:p>
      <w:pPr>
        <w:widowControl/>
        <w:spacing w:after="100" w:line="259" w:lineRule="auto"/>
        <w:jc w:val="both"/>
      </w:pPr>
      <w:r>
        <w:rPr>
          <w:rFonts w:ascii="Times New Roman" w:hAnsi="Times New Roman" w:eastAsia="Times New Roman"/>
          <w:b w:val="0"/>
          <w:color w:val="000000"/>
          <w:sz w:val="21"/>
        </w:rPr>
        <w:t>5. Investigate the process and possible malware. Examine its path, signature, hash, parent process, command line, network connections, persistence, and file changes. If needed, submit a sample only through approved malware-analysis procedures and use an isolated sandbox. Never run the suspected sample on a production workstation. Extract useful indicators and compare them with activity elsewhere in the environment.</w:t>
      </w:r>
    </w:p>
    <w:p>
      <w:pPr>
        <w:widowControl/>
        <w:spacing w:after="100" w:line="259" w:lineRule="auto"/>
        <w:jc w:val="both"/>
      </w:pPr>
      <w:r>
        <w:rPr>
          <w:rFonts w:ascii="Times New Roman" w:hAnsi="Times New Roman" w:eastAsia="Times New Roman"/>
          <w:b w:val="0"/>
          <w:color w:val="000000"/>
          <w:sz w:val="21"/>
        </w:rPr>
        <w:t>6. Assess risk and scope. Determine which assets and accounts were affected, whether privileged credentials were exposed, whether lateral movement occurred, and whether sensitive data may have been accessed or transferred. Rate severity based on evidence confidence, asset criticality, privilege level, persistence, and potential impact. Clearly separate confirmed facts, probable conclusions, and unknowns.</w:t>
      </w:r>
    </w:p>
    <w:p>
      <w:pPr>
        <w:widowControl/>
        <w:spacing w:after="100" w:line="259" w:lineRule="auto"/>
        <w:jc w:val="both"/>
      </w:pPr>
      <w:r>
        <w:rPr>
          <w:rFonts w:ascii="Times New Roman" w:hAnsi="Times New Roman" w:eastAsia="Times New Roman"/>
          <w:b w:val="0"/>
          <w:color w:val="000000"/>
          <w:sz w:val="21"/>
        </w:rPr>
        <w:t>7. Contain, eradicate, and recover. According to incident-response policy, isolate the affected workstation, disable or reset compromised credentials, revoke active sessions, block confirmed malicious indicators, remove persistence, and patch the entry point. Preserve evidence before destructive remediation. Rebuild a host if integrity cannot be trusted, restore required data from known-good sources, and monitor closely after recovery.</w:t>
      </w:r>
    </w:p>
    <w:p>
      <w:pPr>
        <w:widowControl/>
        <w:spacing w:after="100" w:line="259" w:lineRule="auto"/>
        <w:jc w:val="both"/>
      </w:pPr>
      <w:r>
        <w:rPr>
          <w:rFonts w:ascii="Times New Roman" w:hAnsi="Times New Roman" w:eastAsia="Times New Roman"/>
          <w:b w:val="0"/>
          <w:color w:val="000000"/>
          <w:sz w:val="21"/>
        </w:rPr>
        <w:t>8. Prepare the threat-hunting report. Include an executive summary, scope, incident timeline, data sources, tools and queries used, indicators, findings, affected assets, risk rating, confidence level, containment actions, root cause if established, and unresolved questions. Attach evidence references without exposing unnecessary sensitive data. Recommend improvements such as stronger MFA, least privilege, endpoint coverage, log retention, outbound filtering, and tuned SIEM detections.</w:t>
      </w:r>
    </w:p>
    <w:p>
      <w:pPr>
        <w:widowControl/>
        <w:spacing w:after="100" w:line="259" w:lineRule="auto"/>
        <w:jc w:val="both"/>
      </w:pPr>
      <w:r>
        <w:rPr>
          <w:rFonts w:ascii="Times New Roman" w:hAnsi="Times New Roman" w:eastAsia="Times New Roman"/>
          <w:b w:val="0"/>
          <w:color w:val="000000"/>
          <w:sz w:val="21"/>
        </w:rPr>
        <w:t>9. Verify and learn. Confirm that malicious activity has stopped, credentials are secure, systems are patched, and detections fire during controlled tests. Hold a post-incident review and convert validated findings into reusable hunting queries and alert rules. Assign owners and due dates to remediation tasks.</w:t>
      </w:r>
    </w:p>
    <w:p>
      <w:pPr>
        <w:widowControl/>
        <w:spacing w:after="100" w:line="259" w:lineRule="auto"/>
        <w:jc w:val="both"/>
      </w:pPr>
      <w:r>
        <w:rPr>
          <w:rFonts w:ascii="Times New Roman" w:hAnsi="Times New Roman" w:eastAsia="Times New Roman"/>
          <w:b w:val="0"/>
          <w:color w:val="000000"/>
          <w:sz w:val="21"/>
        </w:rPr>
        <w:t>A good report is factual, reproducible, and clear about uncertainty. It should enable another analyst to understand what was checked, why the team reached its conclusions, what actions were taken, and what remains to be done.</w:t>
      </w:r>
    </w:p>
    <w:p>
      <w:pPr>
        <w:spacing w:before="60"/>
        <w:jc w:val="center"/>
      </w:pPr>
      <w:r>
        <w:rPr>
          <w:rFonts w:ascii="Times New Roman" w:hAnsi="Times New Roman" w:eastAsia="Times New Roman"/>
          <w:b/>
          <w:color w:val="000000"/>
          <w:sz w:val="18"/>
        </w:rPr>
        <w:t>KONGARA SAI  |  Reg. No.: 192365025</w:t>
      </w:r>
    </w:p>
    <w:sectPr w:rsidR="00680292" w:rsidRPr="00680292">
      <w:footerReference w:type="default" r:id="rId7"/>
      <w:pgSz w:w="11909" w:h="16834"/>
      <w:pgMar w:top="936" w:right="1037" w:bottom="864" w:left="1037"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6ED1" w:rsidRDefault="00266ED1">
      <w:r>
        <w:separator/>
      </w:r>
    </w:p>
  </w:endnote>
  <w:endnote w:type="continuationSeparator" w:id="0">
    <w:p w:rsidR="00266ED1" w:rsidRDefault="00266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66ED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6ED1" w:rsidRDefault="00266ED1">
      <w:r>
        <w:separator/>
      </w:r>
    </w:p>
  </w:footnote>
  <w:footnote w:type="continuationSeparator" w:id="0">
    <w:p w:rsidR="00266ED1" w:rsidRDefault="00266E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876"/>
    <w:rsid w:val="001619DA"/>
    <w:rsid w:val="00221010"/>
    <w:rsid w:val="00266ED1"/>
    <w:rsid w:val="00462156"/>
    <w:rsid w:val="00473AFC"/>
    <w:rsid w:val="004D0876"/>
    <w:rsid w:val="00680292"/>
    <w:rsid w:val="007E50D9"/>
    <w:rsid w:val="00857FCC"/>
    <w:rsid w:val="00A10AAE"/>
    <w:rsid w:val="00CA50BC"/>
    <w:rsid w:val="00ED7BC1"/>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Parthipan</cp:lastModifiedBy>
  <cp:revision>9</cp:revision>
  <dcterms:created xsi:type="dcterms:W3CDTF">2026-10-10T09:13:00Z</dcterms:created>
  <dcterms:modified xsi:type="dcterms:W3CDTF">2026-10-26T04:39:00Z</dcterms:modified>
  <dc:title>CSA6303 A1 Threat Intelligence Report – Completed</dc:title>
  <dc:subject>Threat Hunting Exercise Answers</dc:subject>
</cp:coreProperties>
</file>