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rFonts w:ascii="Times New Roman" w:hAnsi="Times New Roman"/>
          <w:b/>
          <w:bCs/>
          <w:color w:val="000000"/>
          <w:sz w:val="40"/>
          <w:szCs w:val="40"/>
        </w:rPr>
        <w:t xml:space="preserve">SIMATS ENGINEERING </w:t>
      </w:r>
    </w:p>
    <w:p w:rsidR="00F429D3" w:rsidRDefault="00F429D3" w:rsidP="00F429D3">
      <w:pPr>
        <w:spacing w:after="60"/>
        <w:jc w:val="center"/>
        <w:rPr>
          <w:b/>
          <w:bCs/>
          <w:color w:val="1F3864"/>
          <w:sz w:val="40"/>
          <w:szCs w:val="40"/>
        </w:rPr>
      </w:pPr>
      <w:r>
        <w:rPr>
          <w:rFonts w:ascii="Times New Roman" w:hAnsi="Times New Roman"/>
          <w:b/>
          <w:bCs/>
          <w:color w:val="000000"/>
          <w:sz w:val="40"/>
          <w:szCs w:val="40"/>
        </w:rPr>
        <w:t xml:space="preserve">CSA6303- Threat Intelligence and Network Security </w:t>
      </w:r>
    </w:p>
    <w:p w:rsidR="004D0876" w:rsidRDefault="00F429D3">
      <w:pPr>
        <w:spacing w:after="60"/>
        <w:jc w:val="center"/>
      </w:pPr>
      <w:r>
        <w:rPr>
          <w:rFonts w:ascii="Times New Roman" w:hAnsi="Times New Roman"/>
          <w:b/>
          <w:bCs/>
          <w:color w:val="000000"/>
          <w:sz w:val="40"/>
          <w:szCs w:val="40"/>
        </w:rPr>
        <w:t>A1-</w:t>
      </w:r>
      <w:r w:rsidR="002D71D9" w:rsidRPr="002D71D9">
        <w:rPr>
          <w:rFonts w:ascii="Times New Roman" w:hAnsi="Times New Roman"/>
          <w:b/>
          <w:bCs/>
          <w:color w:val="000000"/>
          <w:sz w:val="40"/>
          <w:szCs w:val="40"/>
        </w:rPr>
        <w:t>Malware Analysis Assignment</w:t>
      </w:r>
    </w:p>
    <w:p w:rsidR="004D0876" w:rsidRDefault="00FF7062">
      <w:pPr>
        <w:pBdr>
          <w:bottom w:val="single" w:sz="8" w:space="6" w:color="1F3864"/>
        </w:pBdr>
        <w:spacing w:after="240"/>
        <w:jc w:val="center"/>
      </w:pPr>
      <w:r>
        <w:rPr>
          <w:rFonts w:ascii="Times New Roman" w:hAnsi="Times New Roman"/>
          <w:color w:val="000000"/>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4D0876" w:rsidRDefault="00FF7062">
            <w:r>
              <w:rPr>
                <w:rFonts w:ascii="Times New Roman" w:hAnsi="Times New Roman"/>
                <w:b/>
                <w:bCs/>
                <w:color w:val="000000"/>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4D0876" w:rsidRDefault="00FF7062">
            <w:r>
              <w:rPr>
                <w:rFonts w:ascii="Times New Roman" w:hAnsi="Times New Roman"/>
                <w:color w:val="000000"/>
              </w:rP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4D0876" w:rsidRDefault="00FF7062">
            <w:r>
              <w:rPr>
                <w:rFonts w:ascii="Times New Roman" w:hAnsi="Times New Roman"/>
                <w:b/>
                <w:bCs/>
                <w:color w:val="000000"/>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4D0876" w:rsidRDefault="00FF7062">
            <w:r>
              <w:rPr>
                <w:rFonts w:ascii="Times New Roman" w:hAnsi="Times New Roman"/>
                <w:color w:val="000000"/>
              </w:rPr>
              <w:t>50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4D0876" w:rsidRDefault="00FF7062">
            <w:r>
              <w:rPr>
                <w:rFonts w:ascii="Times New Roman" w:hAnsi="Times New Roman"/>
                <w:b/>
                <w:bCs/>
                <w:color w:val="000000"/>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4D0876" w:rsidRDefault="00FC7569" w:rsidP="00FC7569">
            <w:r>
              <w:rPr>
                <w:rFonts w:ascii="Times New Roman" w:hAnsi="Times New Roman"/>
                <w:color w:val="000000"/>
              </w:rPr>
              <w:t>10</w:t>
            </w:r>
            <w:r w:rsidR="00FF7062">
              <w:rPr>
                <w:rFonts w:ascii="Times New Roman" w:hAnsi="Times New Roman"/>
                <w:color w:val="000000"/>
              </w:rPr>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4D0876" w:rsidRDefault="00FF7062">
            <w:r>
              <w:rPr>
                <w:rFonts w:ascii="Times New Roman" w:hAnsi="Times New Roman"/>
                <w:b/>
                <w:bCs/>
                <w:color w:val="000000"/>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619DA" w:rsidRDefault="00FC7569">
            <w:r>
              <w:rPr>
                <w:rFonts w:ascii="Times New Roman" w:hAnsi="Times New Roman"/>
                <w:color w:val="000000"/>
              </w:rPr>
              <w:t>5</w:t>
            </w:r>
            <w:bookmarkStart w:id="0" w:name="_GoBack"/>
            <w:bookmarkEnd w:id="0"/>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1619DA" w:rsidRDefault="001619DA">
            <w:pPr>
              <w:rPr>
                <w:b/>
                <w:bCs/>
              </w:rPr>
            </w:pPr>
            <w:r>
              <w:rPr>
                <w:rFonts w:ascii="Times New Roman" w:hAnsi="Times New Roman"/>
                <w:b/>
                <w:bCs/>
                <w:color w:val="000000"/>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
              <w:rPr>
                <w:rFonts w:ascii="Times New Roman" w:hAnsi="Times New Roman"/>
                <w:color w:val="000000"/>
              </w:rPr>
              <w:t>192365025</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1619DA" w:rsidRDefault="001619DA">
            <w:pPr>
              <w:rPr>
                <w:b/>
                <w:bCs/>
              </w:rPr>
            </w:pPr>
            <w:r>
              <w:rPr>
                <w:rFonts w:ascii="Times New Roman" w:hAnsi="Times New Roman"/>
                <w:b/>
                <w:bCs/>
                <w:color w:val="000000"/>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
              <w:rPr>
                <w:rFonts w:ascii="Times New Roman" w:hAnsi="Times New Roman"/>
                <w:color w:val="000000"/>
              </w:rPr>
              <w:t>KONGARA SAI</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1619DA" w:rsidRDefault="001619DA">
            <w:pPr>
              <w:rPr>
                <w:b/>
                <w:bCs/>
              </w:rPr>
            </w:pPr>
            <w:r>
              <w:rPr>
                <w:rFonts w:ascii="Times New Roman" w:hAnsi="Times New Roman"/>
                <w:b/>
                <w:bCs/>
                <w:color w:val="000000"/>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619DA" w:rsidRDefault="001619DA">
            <w:r>
              <w:rPr>
                <w:rFonts w:ascii="Times New Roman" w:hAnsi="Times New Roman"/>
                <w:color w:val="000000"/>
              </w:rP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vAlign w:val="center"/>
          </w:tcPr>
          <w:p w:rsidR="001619DA" w:rsidRDefault="001619DA">
            <w:pPr>
              <w:rPr>
                <w:b/>
                <w:bCs/>
              </w:rPr>
            </w:pPr>
            <w:r>
              <w:rPr>
                <w:rFonts w:ascii="Times New Roman" w:hAnsi="Times New Roman"/>
                <w:b/>
                <w:bCs/>
                <w:color w:val="000000"/>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619DA" w:rsidRDefault="001619DA">
            <w:r>
              <w:rPr>
                <w:rFonts w:ascii="Times New Roman" w:hAnsi="Times New Roman"/>
                <w:color w:val="000000"/>
              </w:rPr>
              <w:t>A</w:t>
            </w:r>
          </w:p>
        </w:tc>
      </w:tr>
    </w:tbl>
    <w:p w:rsidR="004D0876" w:rsidRDefault="00FF7062">
      <w:pPr>
        <w:spacing w:before="200" w:after="120"/>
      </w:pPr>
      <w:r>
        <w:rPr>
          <w:rFonts w:ascii="Times New Roman" w:hAnsi="Times New Roman"/>
          <w:i/>
          <w:iCs/>
          <w:color w:val="000000"/>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rFonts w:ascii="Times New Roman" w:hAnsi="Times New Roman"/>
          <w:b/>
          <w:bCs/>
          <w:i/>
          <w:iCs/>
          <w:color w:val="000000"/>
          <w:sz w:val="24"/>
          <w:szCs w:val="24"/>
        </w:rPr>
        <w:t>CO3:</w:t>
      </w:r>
      <w:r w:rsidRPr="00680292">
        <w:rPr>
          <w:rFonts w:ascii="Times New Roman" w:hAnsi="Times New Roman"/>
          <w:color w:val="000000"/>
          <w:sz w:val="24"/>
          <w:szCs w:val="24"/>
        </w:rPr>
        <w:t xml:space="preserve"> </w:t>
      </w:r>
      <w:r>
        <w:rPr>
          <w:rFonts w:ascii="Times New Roman" w:hAnsi="Times New Roman"/>
          <w:color w:val="000000"/>
          <w:sz w:val="24"/>
          <w:szCs w:val="24"/>
        </w:rPr>
        <w:t>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rFonts w:ascii="Times New Roman" w:hAnsi="Times New Roman"/>
          <w:b/>
          <w:bCs/>
          <w:i/>
          <w:iCs/>
          <w:color w:val="000000"/>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rFonts w:ascii="Times New Roman" w:hAnsi="Times New Roman"/>
          <w:color w:val="000000"/>
        </w:rPr>
        <w:t>I, KONGARA SAI (192365025),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rFonts w:ascii="Times New Roman" w:hAnsi="Times New Roman"/>
          <w:color w:val="000000"/>
        </w:rPr>
        <w:t>Signature of Student: K.SAI</w:t>
      </w:r>
    </w:p>
    <w:p w:rsidR="00680292" w:rsidRDefault="00680292">
      <w:pPr>
        <w:rPr>
          <w:b/>
          <w:bCs/>
          <w:color w:val="1F3864"/>
          <w:sz w:val="30"/>
          <w:szCs w:val="30"/>
        </w:rPr>
      </w:pPr>
      <w:r>
        <w:rPr>
          <w:rFonts w:ascii="Times New Roman" w:hAnsi="Times New Roman"/>
          <w:color w:val="000000"/>
        </w:rPr>
        <w:br w:type="page"/>
      </w:r>
    </w:p>
    <w:p w:rsidR="001619DA" w:rsidRDefault="00680292">
      <w:pPr>
        <w:pStyle w:val="Heading1"/>
        <w:rPr>
          <w:color w:val="1F3864"/>
        </w:rPr>
      </w:pPr>
      <w:r>
        <w:rPr>
          <w:rFonts w:ascii="Times New Roman" w:hAnsi="Times New Roman"/>
          <w:color w:val="000000"/>
        </w:rPr>
        <w:lastRenderedPageBreak/>
        <w:t>Questions :</w:t>
      </w:r>
    </w:p>
    <w:p w:rsidR="002D71D9" w:rsidRDefault="002D71D9" w:rsidP="002D71D9">
      <w:pPr>
        <w:pStyle w:val="NormalWeb"/>
        <w:jc w:val="both"/>
      </w:pPr>
      <w:r>
        <w:rPr>
          <w:rStyle w:val="Strong"/>
          <w:rFonts w:ascii="Times New Roman" w:hAnsi="Times New Roman"/>
          <w:color w:val="000000"/>
        </w:rPr>
        <w:t>1. Malware Analysis Using Static Techniques</w:t>
      </w:r>
      <w:r>
        <w:rPr>
          <w:rStyle w:val="Strong"/>
          <w:rFonts w:ascii="Times New Roman" w:hAnsi="Times New Roman"/>
          <w:color w:val="000000"/>
        </w:rPr>
        <w:t>:</w:t>
      </w:r>
      <w:r>
        <w:rPr>
          <w:rFonts w:ascii="Times New Roman" w:hAnsi="Times New Roman"/>
          <w:color w:val="000000"/>
        </w:rPr>
        <w:t>A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rsidR="002D71D9" w:rsidRDefault="002D71D9" w:rsidP="002D71D9">
      <w:pPr>
        <w:pStyle w:val="NormalWeb"/>
        <w:jc w:val="both"/>
      </w:pPr>
      <w:r>
        <w:rPr>
          <w:rStyle w:val="Strong"/>
          <w:rFonts w:ascii="Times New Roman" w:hAnsi="Times New Roman"/>
          <w:color w:val="000000"/>
        </w:rPr>
        <w:t>2. Malware Analysis Using Dynamic Techniques</w:t>
      </w:r>
      <w:r>
        <w:rPr>
          <w:rStyle w:val="Strong"/>
          <w:rFonts w:ascii="Times New Roman" w:hAnsi="Times New Roman"/>
          <w:color w:val="000000"/>
        </w:rPr>
        <w:t>:</w:t>
      </w:r>
      <w:r>
        <w:rPr>
          <w:rFonts w:ascii="Times New Roman" w:hAnsi="Times New Roman"/>
          <w:color w:val="000000"/>
        </w:rPr>
        <w:t>An organization suspects that an employee has downloaded a malicious program that may modify system files and communicate with an external server. Explain how dynamic malware analysis can be performed in an isolated virtual environment to observe the program's behavior and identify potential Indicators of Compromise (IoCs).</w:t>
      </w:r>
    </w:p>
    <w:p w:rsidR="002D71D9" w:rsidRDefault="002D71D9" w:rsidP="002D71D9">
      <w:pPr>
        <w:pStyle w:val="NormalWeb"/>
        <w:jc w:val="both"/>
      </w:pPr>
      <w:r>
        <w:rPr>
          <w:rStyle w:val="Strong"/>
          <w:rFonts w:ascii="Times New Roman" w:hAnsi="Times New Roman"/>
          <w:color w:val="000000"/>
        </w:rPr>
        <w:t>3. Malware Investigation Using a Threat Intelligence Platform</w:t>
      </w:r>
      <w:r w:rsidR="00FC7569">
        <w:rPr>
          <w:rStyle w:val="Strong"/>
          <w:rFonts w:ascii="Times New Roman" w:hAnsi="Times New Roman"/>
          <w:color w:val="000000"/>
        </w:rPr>
        <w:t xml:space="preserve">: </w:t>
      </w:r>
      <w:r>
        <w:rPr>
          <w:rFonts w:ascii="Times New Roman" w:hAnsi="Times New Roman"/>
          <w:color w:val="000000"/>
        </w:rP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rsidR="002D71D9" w:rsidRDefault="002D71D9" w:rsidP="002D71D9">
      <w:pPr>
        <w:pStyle w:val="NormalWeb"/>
        <w:jc w:val="both"/>
      </w:pPr>
      <w:r>
        <w:rPr>
          <w:rStyle w:val="Strong"/>
          <w:rFonts w:ascii="Times New Roman" w:hAnsi="Times New Roman"/>
          <w:color w:val="000000"/>
        </w:rPr>
        <w:t>4. Malware Detection Through Data Collection and Correlation</w:t>
      </w:r>
      <w:r>
        <w:rPr>
          <w:rStyle w:val="Strong"/>
          <w:rFonts w:ascii="Times New Roman" w:hAnsi="Times New Roman"/>
          <w:color w:val="000000"/>
        </w:rPr>
        <w:t>:</w:t>
      </w:r>
      <w:r w:rsidR="00FC7569">
        <w:rPr>
          <w:rStyle w:val="Strong"/>
          <w:rFonts w:ascii="Times New Roman" w:hAnsi="Times New Roman"/>
          <w:color w:val="000000"/>
        </w:rPr>
        <w:t xml:space="preserve"> </w:t>
      </w:r>
      <w:r>
        <w:rPr>
          <w:rFonts w:ascii="Times New Roman" w:hAnsi="Times New Roman"/>
          <w:color w:val="000000"/>
        </w:rPr>
        <w:t>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malware.</w:t>
      </w:r>
    </w:p>
    <w:p w:rsidR="002D71D9" w:rsidRDefault="002D71D9" w:rsidP="002D71D9">
      <w:pPr>
        <w:pStyle w:val="NormalWeb"/>
        <w:jc w:val="both"/>
      </w:pPr>
      <w:r>
        <w:rPr>
          <w:rStyle w:val="Strong"/>
          <w:rFonts w:ascii="Times New Roman" w:hAnsi="Times New Roman"/>
          <w:color w:val="000000"/>
        </w:rPr>
        <w:t>5. Malware Investigation Using SIEM Tools</w:t>
      </w:r>
      <w:r>
        <w:rPr>
          <w:rStyle w:val="Strong"/>
          <w:rFonts w:ascii="Times New Roman" w:hAnsi="Times New Roman"/>
          <w:color w:val="000000"/>
        </w:rPr>
        <w:t>:</w:t>
      </w:r>
      <w:r>
        <w:rPr>
          <w:rFonts w:ascii="Times New Roman" w:hAnsi="Times New Roman"/>
          <w:color w:val="000000"/>
        </w:rPr>
        <w:t>A financial institution's Security Information and Event Management (SIEM) system generates alerts about suspicious process execution, repeated failed logins, and unusual network connections from the same workstation. Describe how the security analyst can use SIEM capabilities to correlate these events, investigate the possible malware infection, and prioritize the incident.</w:t>
      </w:r>
    </w:p>
    <w:p w:rsidR="002D71D9" w:rsidRDefault="002D71D9" w:rsidP="002D71D9">
      <w:pPr>
        <w:pStyle w:val="NormalWeb"/>
        <w:jc w:val="both"/>
      </w:pPr>
      <w:r>
        <w:rPr>
          <w:rStyle w:val="Strong"/>
          <w:rFonts w:ascii="Times New Roman" w:hAnsi="Times New Roman"/>
          <w:color w:val="000000"/>
        </w:rPr>
        <w:t>6. Malware Detection and Log Analysis Using Splunk</w:t>
      </w:r>
      <w:r>
        <w:rPr>
          <w:rStyle w:val="Strong"/>
          <w:rFonts w:ascii="Times New Roman" w:hAnsi="Times New Roman"/>
          <w:color w:val="000000"/>
        </w:rPr>
        <w:t xml:space="preserve">: </w:t>
      </w:r>
      <w:r>
        <w:rPr>
          <w:rFonts w:ascii="Times New Roman" w:hAnsi="Times New Roman"/>
          <w:color w:val="000000"/>
        </w:rPr>
        <w:t>A company uses Splunk to 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rsidR="002D71D9" w:rsidRDefault="002D71D9" w:rsidP="002D71D9">
      <w:pPr>
        <w:pStyle w:val="NormalWeb"/>
        <w:jc w:val="both"/>
      </w:pPr>
      <w:r>
        <w:rPr>
          <w:rStyle w:val="Strong"/>
          <w:rFonts w:ascii="Times New Roman" w:hAnsi="Times New Roman"/>
          <w:color w:val="000000"/>
        </w:rPr>
        <w:t>7. Malware Investigation Using the ELK Stack</w:t>
      </w:r>
      <w:r>
        <w:rPr>
          <w:rStyle w:val="Strong"/>
          <w:rFonts w:ascii="Times New Roman" w:hAnsi="Times New Roman"/>
          <w:color w:val="000000"/>
        </w:rPr>
        <w:t>:</w:t>
      </w:r>
      <w:r>
        <w:rPr>
          <w:rFonts w:ascii="Times New Roman" w:hAnsi="Times New Roman"/>
          <w:color w:val="000000"/>
        </w:rPr>
        <w:t>An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rsidR="002D71D9" w:rsidRDefault="002D71D9" w:rsidP="002D71D9">
      <w:pPr>
        <w:pStyle w:val="NormalWeb"/>
        <w:jc w:val="both"/>
      </w:pPr>
      <w:r>
        <w:rPr>
          <w:rStyle w:val="Strong"/>
          <w:rFonts w:ascii="Times New Roman" w:hAnsi="Times New Roman"/>
          <w:color w:val="000000"/>
        </w:rPr>
        <w:t>8. Threat Hunting for Malware Activities</w:t>
      </w:r>
      <w:r>
        <w:rPr>
          <w:rStyle w:val="Strong"/>
          <w:rFonts w:ascii="Times New Roman" w:hAnsi="Times New Roman"/>
          <w:color w:val="000000"/>
        </w:rPr>
        <w:t xml:space="preserve">: </w:t>
      </w:r>
      <w:r>
        <w:rPr>
          <w:rFonts w:ascii="Times New Roman" w:hAnsi="Times New Roman"/>
          <w:color w:val="000000"/>
        </w:rPr>
        <w:t>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behaviors, collect relevant IoCs, and recommend remediation measures.</w:t>
      </w:r>
    </w:p>
    <w:p w:rsidR="002D71D9" w:rsidRDefault="002D71D9" w:rsidP="002D71D9">
      <w:pPr>
        <w:pStyle w:val="NormalWeb"/>
        <w:jc w:val="both"/>
      </w:pPr>
      <w:r>
        <w:rPr>
          <w:rStyle w:val="Strong"/>
          <w:rFonts w:ascii="Times New Roman" w:hAnsi="Times New Roman"/>
          <w:color w:val="000000"/>
        </w:rPr>
        <w:t>9. Comparing Malware Analysis Tools Used in the IT Industry</w:t>
      </w:r>
      <w:r>
        <w:rPr>
          <w:rStyle w:val="Strong"/>
          <w:rFonts w:ascii="Times New Roman" w:hAnsi="Times New Roman"/>
          <w:color w:val="000000"/>
        </w:rPr>
        <w:t>:</w:t>
      </w:r>
      <w:r>
        <w:rPr>
          <w:rFonts w:ascii="Times New Roman" w:hAnsi="Times New Roman"/>
          <w:color w:val="000000"/>
        </w:rPr>
        <w:t>A cybersecurity team needs to investigate a suspicious file and determine whether it contains malicious code. Compare static analysis tools, dynamic analysis tools, network traffic analyzers, and threat intelligence platforms in terms of their purpose and usefulness. Recommend an appropriate combination of tools for conducting a malware investigation.</w:t>
      </w:r>
    </w:p>
    <w:p w:rsidR="002D71D9" w:rsidRDefault="002D71D9" w:rsidP="002D71D9">
      <w:pPr>
        <w:pStyle w:val="NormalWeb"/>
        <w:jc w:val="both"/>
      </w:pPr>
      <w:r>
        <w:rPr>
          <w:rStyle w:val="Strong"/>
          <w:rFonts w:ascii="Times New Roman" w:hAnsi="Times New Roman"/>
          <w:color w:val="000000"/>
        </w:rPr>
        <w:t>10. Malware Analysis Report and Incident Response</w:t>
      </w:r>
      <w:r>
        <w:rPr>
          <w:rStyle w:val="Strong"/>
          <w:rFonts w:ascii="Times New Roman" w:hAnsi="Times New Roman"/>
          <w:color w:val="000000"/>
        </w:rPr>
        <w:t xml:space="preserve">: </w:t>
      </w:r>
      <w:r>
        <w:rPr>
          <w:rFonts w:ascii="Times New Roman" w:hAnsi="Times New Roman"/>
          <w:color w:val="000000"/>
        </w:rPr>
        <w:t>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behavior, IoCs, threat intelligence findings, risk assessment, and recommended containment and recovery actions.</w:t>
      </w:r>
    </w:p>
    <w:p w:rsidR="00680292" w:rsidRPr="00680292" w:rsidRDefault="00680292" w:rsidP="002D71D9">
      <w:pPr>
        <w:pStyle w:val="NormalWeb"/>
        <w:spacing w:before="240" w:after="120" w:line="360" w:lineRule="auto"/>
        <w:jc w:val="both"/>
        <w:outlineLvl w:val="0"/>
        <w:rPr>
          <w:color w:val="1F3864"/>
        </w:rPr>
      </w:pPr>
    </w:p>
    <w:p>
      <w:r>
        <w:rPr>
          <w:rFonts w:ascii="Times New Roman" w:hAnsi="Times New Roman"/>
          <w:color w:val="000000"/>
        </w:rPr>
        <w:br w:type="page"/>
      </w:r>
    </w:p>
    <w:p>
      <w:pPr>
        <w:spacing w:after="240"/>
        <w:jc w:val="center"/>
      </w:pPr>
      <w:r>
        <w:rPr>
          <w:rFonts w:ascii="Times New Roman" w:hAnsi="Times New Roman"/>
          <w:b/>
          <w:color w:val="000000"/>
          <w:sz w:val="28"/>
        </w:rPr>
        <w:t>1. Malware Analysis Using Static Techniques</w:t>
      </w:r>
    </w:p>
    <w:p>
      <w:pPr>
        <w:spacing w:before="80" w:after="40"/>
        <w:jc w:val="center"/>
      </w:pPr>
      <w:r>
        <w:drawing>
          <wp:inline xmlns:a="http://schemas.openxmlformats.org/drawingml/2006/main" xmlns:pic="http://schemas.openxmlformats.org/drawingml/2006/picture">
            <wp:extent cx="5760720" cy="1613002"/>
            <wp:docPr id="5" name="Picture 5"/>
            <wp:cNvGraphicFramePr>
              <a:graphicFrameLocks noChangeAspect="1"/>
            </wp:cNvGraphicFramePr>
            <a:graphic>
              <a:graphicData uri="http://schemas.openxmlformats.org/drawingml/2006/picture">
                <pic:pic>
                  <pic:nvPicPr>
                    <pic:cNvPr id="0" name="static.png"/>
                    <pic:cNvPicPr/>
                  </pic:nvPicPr>
                  <pic:blipFill>
                    <a:blip r:embed="rId14"/>
                    <a:stretch>
                      <a:fillRect/>
                    </a:stretch>
                  </pic:blipFill>
                  <pic:spPr>
                    <a:xfrm>
                      <a:off x="0" y="0"/>
                      <a:ext cx="5760720" cy="1613002"/>
                    </a:xfrm>
                    <a:prstGeom prst="rect"/>
                  </pic:spPr>
                </pic:pic>
              </a:graphicData>
            </a:graphic>
          </wp:inline>
        </w:drawing>
      </w:r>
    </w:p>
    <w:p>
      <w:pPr>
        <w:spacing w:after="120"/>
        <w:jc w:val="center"/>
      </w:pPr>
      <w:r>
        <w:rPr>
          <w:rFonts w:ascii="Times New Roman" w:hAnsi="Times New Roman"/>
          <w:i/>
          <w:color w:val="000000"/>
          <w:sz w:val="18"/>
        </w:rPr>
        <w:t>Figure 1. Static analysis workflow: the sample is inspected without execution.</w:t>
      </w:r>
    </w:p>
    <w:p>
      <w:pPr>
        <w:spacing w:after="160" w:line="259" w:lineRule="auto"/>
        <w:jc w:val="both"/>
      </w:pPr>
      <w:r>
        <w:rPr>
          <w:rFonts w:ascii="Times New Roman" w:hAnsi="Times New Roman"/>
          <w:color w:val="000000"/>
          <w:sz w:val="22"/>
        </w:rPr>
        <w:t>Introduction: Static malware analysis is the process of examining a suspicious file without executing it. It is especially useful when a security analyst receives an executable attachment through a phishing email. Since the program is not run, the analyst can inspect its structure and collect initial evidence while reducing the risk of triggering malicious actions. Static analysis is often the first stage of an investigation because it helps decide what should be examined more closely.</w:t>
      </w:r>
    </w:p>
    <w:p>
      <w:pPr>
        <w:spacing w:after="160" w:line="259" w:lineRule="auto"/>
        <w:jc w:val="both"/>
      </w:pPr>
      <w:r>
        <w:rPr>
          <w:rFonts w:ascii="Times New Roman" w:hAnsi="Times New Roman"/>
          <w:color w:val="000000"/>
          <w:sz w:val="22"/>
        </w:rPr>
        <w:t>File identification and hashing: The analyst first records the original file name, file extension, size, source, acquisition time, and location where it was found. The actual file type should be checked rather than trusting the extension, because a malicious executable may be disguised as a document or installer. A cryptographic hash such as SHA-256 is calculated to create a unique fingerprint for the sample. The hash can be searched in internal records and reputable threat-intelligence services. If the same hash has been previously analyzed, the report may provide useful information about its family or known behavior. The original sample should be preserved and its handling documented so that evidence remains reliable.</w:t>
      </w:r>
    </w:p>
    <w:p>
      <w:pPr>
        <w:spacing w:after="160" w:line="259" w:lineRule="auto"/>
        <w:jc w:val="both"/>
      </w:pPr>
      <w:r>
        <w:rPr>
          <w:rFonts w:ascii="Times New Roman" w:hAnsi="Times New Roman"/>
          <w:color w:val="000000"/>
          <w:sz w:val="22"/>
        </w:rPr>
        <w:t>Metadata and executable structure: Tools such as PEStudio and Detect It Easy can help examine Windows executable metadata, headers, sections, compilation details, digital signatures, and signs of packing. Unexpected section names, unusual section sizes, an invalid or missing signature, or a mismatch between the file type and its claimed purpose may warrant further inspection. These properties are not conclusive by themselves; legitimate software can also be unsigned or packed. Analysts should compare the observations with the expected behavior of the software and its publisher.</w:t>
      </w:r>
    </w:p>
    <w:p>
      <w:pPr>
        <w:spacing w:after="160" w:line="259" w:lineRule="auto"/>
        <w:jc w:val="both"/>
      </w:pPr>
      <w:r>
        <w:rPr>
          <w:rFonts w:ascii="Times New Roman" w:hAnsi="Times New Roman"/>
          <w:color w:val="000000"/>
          <w:sz w:val="22"/>
        </w:rPr>
        <w:t>Strings and imported functions: Printable strings can reveal embedded URLs, IP addresses, domain names, file paths, registry keys, commands, error messages, or references to security products. Imported functions and libraries can suggest what the program is capable of doing. For example, functions associated with creating processes, changing files, modifying registry values, allocating memory, encrypting data, or communicating over a network may deserve attention. Disassemblers such as Ghidra or IDA Free can be used to inspect code and understand how important functions are called. Obfuscation and encrypted strings may hide these clues, so the absence of readable strings does not prove that a file is safe.</w:t>
      </w:r>
    </w:p>
    <w:p>
      <w:pPr>
        <w:spacing w:after="160" w:line="259" w:lineRule="auto"/>
        <w:jc w:val="both"/>
      </w:pPr>
      <w:r>
        <w:rPr>
          <w:rFonts w:ascii="Times New Roman" w:hAnsi="Times New Roman"/>
          <w:color w:val="000000"/>
          <w:sz w:val="22"/>
        </w:rPr>
        <w:t>Risk assessment and limitations: Analysts combine the hash, metadata, strings, imports, signature, and intelligence findings rather than relying on one suspicious feature. Several independent indicators can increase confidence that a file is malicious. Static analysis can identify possible capabilities without running the program, but it may not show the exact runtime behavior, especially if the file decrypts or unpacks code only after execution. The final assessment should state the evidence, confidence level, and limitations. If suspicious behavior remains possible, the sample should be examined in a properly isolated sandbox. It must not be launched on a normal employee workstation.</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2. Malware Analysis Using Dynamic Techniques</w:t>
      </w:r>
    </w:p>
    <w:p>
      <w:pPr>
        <w:spacing w:before="80" w:after="40"/>
        <w:jc w:val="center"/>
      </w:pPr>
      <w:r>
        <w:drawing>
          <wp:inline xmlns:a="http://schemas.openxmlformats.org/drawingml/2006/main" xmlns:pic="http://schemas.openxmlformats.org/drawingml/2006/picture">
            <wp:extent cx="5760720" cy="1613002"/>
            <wp:docPr id="4" name="Picture 4"/>
            <wp:cNvGraphicFramePr>
              <a:graphicFrameLocks noChangeAspect="1"/>
            </wp:cNvGraphicFramePr>
            <a:graphic>
              <a:graphicData uri="http://schemas.openxmlformats.org/drawingml/2006/picture">
                <pic:pic>
                  <pic:nvPicPr>
                    <pic:cNvPr id="0" name="dynamic.png"/>
                    <pic:cNvPicPr/>
                  </pic:nvPicPr>
                  <pic:blipFill>
                    <a:blip r:embed="rId13"/>
                    <a:stretch>
                      <a:fillRect/>
                    </a:stretch>
                  </pic:blipFill>
                  <pic:spPr>
                    <a:xfrm>
                      <a:off x="0" y="0"/>
                      <a:ext cx="5760720" cy="1613002"/>
                    </a:xfrm>
                    <a:prstGeom prst="rect"/>
                  </pic:spPr>
                </pic:pic>
              </a:graphicData>
            </a:graphic>
          </wp:inline>
        </w:drawing>
      </w:r>
    </w:p>
    <w:p>
      <w:pPr>
        <w:spacing w:after="120"/>
        <w:jc w:val="center"/>
      </w:pPr>
      <w:r>
        <w:rPr>
          <w:rFonts w:ascii="Times New Roman" w:hAnsi="Times New Roman"/>
          <w:i/>
          <w:color w:val="000000"/>
          <w:sz w:val="18"/>
        </w:rPr>
        <w:t>Figure 2. Dynamic analysis workflow in an isolated virtual environment.</w:t>
      </w:r>
    </w:p>
    <w:p>
      <w:pPr>
        <w:spacing w:after="160" w:line="259" w:lineRule="auto"/>
        <w:jc w:val="both"/>
      </w:pPr>
      <w:r>
        <w:rPr>
          <w:rFonts w:ascii="Times New Roman" w:hAnsi="Times New Roman"/>
          <w:color w:val="000000"/>
          <w:sz w:val="22"/>
        </w:rPr>
        <w:t>Introduction: Dynamic malware analysis studies a suspicious program while it executes in a controlled environment. It helps reveal actions that may not be visible through static inspection, such as creating files, changing registry settings, launching child processes, establishing persistence, and attempting network communication. If an organization suspects that an employee downloaded malware, the sample should be tested only in an isolated laboratory and not on the employee's active computer.</w:t>
      </w:r>
    </w:p>
    <w:p>
      <w:pPr>
        <w:spacing w:after="160" w:line="259" w:lineRule="auto"/>
        <w:jc w:val="both"/>
      </w:pPr>
      <w:r>
        <w:rPr>
          <w:rFonts w:ascii="Times New Roman" w:hAnsi="Times New Roman"/>
          <w:color w:val="000000"/>
          <w:sz w:val="22"/>
        </w:rPr>
        <w:t>Preparing a safe environment: The analyst creates a disposable virtual machine with a clean operating system and takes a snapshot so the machine can be restored after testing. Shared folders, clipboard sharing, host integration, and access to production systems should be disabled unless there is a specific safe reason to use them. The virtual network should be isolated or connected to a controlled simulation environment. DNS and internet access must be managed so that the sample cannot reach a real command-and-control server or harm external systems. The analyst records the sample's SHA-256 hash, file details, and the virtual machine configuration before execution.</w:t>
      </w:r>
    </w:p>
    <w:p>
      <w:pPr>
        <w:spacing w:after="160" w:line="259" w:lineRule="auto"/>
        <w:jc w:val="both"/>
      </w:pPr>
      <w:r>
        <w:rPr>
          <w:rFonts w:ascii="Times New Roman" w:hAnsi="Times New Roman"/>
          <w:color w:val="000000"/>
          <w:sz w:val="22"/>
        </w:rPr>
        <w:t>Monitoring system activity: Monitoring tools must be started before the sample is launched. Process Monitor can record file-system and registry operations. Process Explorer can display running processes and parent-child relationships. Autoruns can help identify new startup entries and other persistence mechanisms. Windows event logs and endpoint monitoring tools may provide additional evidence. The analyst compares the system's baseline state with its state after execution, noting new files, changed configuration, created services, scheduled tasks, modified startup settings, unusual privilege requests, and attempts to disable security software.</w:t>
      </w:r>
    </w:p>
    <w:p>
      <w:pPr>
        <w:spacing w:after="160" w:line="259" w:lineRule="auto"/>
        <w:jc w:val="both"/>
      </w:pPr>
      <w:r>
        <w:rPr>
          <w:rFonts w:ascii="Times New Roman" w:hAnsi="Times New Roman"/>
          <w:color w:val="000000"/>
          <w:sz w:val="22"/>
        </w:rPr>
        <w:t>Monitoring network behavior: Network monitoring can reveal DNS lookups, destination IP addresses, ports, protocols, connection intervals, and transferred data. Wireshark or another packet-analysis tool can be used on a controlled network to examine traffic. Repeated connections at regular intervals, requests to newly observed domains, unexpected use of remote administration protocols, or communication with known malicious infrastructure may indicate command-and-control behavior. Encrypted traffic may hide the content, but metadata such as destination, timing, and volume can still be useful. Any captured indicators should be validated before being treated as malicious.</w:t>
      </w:r>
    </w:p>
    <w:p>
      <w:pPr>
        <w:spacing w:after="160" w:line="259" w:lineRule="auto"/>
        <w:jc w:val="both"/>
      </w:pPr>
      <w:r>
        <w:rPr>
          <w:rFonts w:ascii="Times New Roman" w:hAnsi="Times New Roman"/>
          <w:color w:val="000000"/>
          <w:sz w:val="22"/>
        </w:rPr>
        <w:t>Indicators, reporting, and limitations: Potential IoCs include file hashes, dropped file paths, process names, domains, IP addresses, URLs, registry keys, scheduled tasks, mutexes, and unusual connection patterns. The analyst records exact timestamps and supporting logs, then checks the indicators against trusted intelligence and local activity. Malware may delay execution or detect virtual machines, so a sample that appears inactive during one test cannot automatically be considered safe. After testing, the virtual machine should be reverted to a clean snapshot. The report should describe the observed behavior, the environment, the evidence, and any limitations, and should recommend containment or further investigation where appropriate.</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3. Malware Investigation Using a Threat Intelligence Platform</w:t>
      </w:r>
    </w:p>
    <w:p>
      <w:pPr>
        <w:spacing w:after="160" w:line="259" w:lineRule="auto"/>
        <w:jc w:val="both"/>
      </w:pPr>
      <w:r>
        <w:rPr>
          <w:rFonts w:ascii="Times New Roman" w:hAnsi="Times New Roman"/>
          <w:color w:val="000000"/>
          <w:sz w:val="22"/>
        </w:rPr>
        <w:t>Introduction: A threat-intelligence platform helps security analysts connect local evidence with information about previously observed threats. When a suspicious file's hash is associated with a known malware family, the result is an important lead. However, the analyst must verify the exact indicator and evaluate the quality of the information before deciding how to respond. Threat intelligence supports investigation; it does not replace local validation.</w:t>
      </w:r>
    </w:p>
    <w:p>
      <w:pPr>
        <w:spacing w:after="160" w:line="259" w:lineRule="auto"/>
        <w:jc w:val="both"/>
      </w:pPr>
      <w:r>
        <w:rPr>
          <w:rFonts w:ascii="Times New Roman" w:hAnsi="Times New Roman"/>
          <w:color w:val="000000"/>
          <w:sz w:val="22"/>
        </w:rPr>
        <w:t>Verify the file and indicator: Calculate the SHA-256 hash of the collected file and compare it with the hash reported by the platform. Confirm that the value is an exact match, and record the file name, size, collection time, host, and user context. A file name alone is weak evidence because names can be reused or changed. A cryptographic hash is more precise for identifying an identical file, although a slightly modified variant will have a different hash. Preserve the sample and its metadata according to organizational evidence-handling procedures.</w:t>
      </w:r>
    </w:p>
    <w:p>
      <w:pPr>
        <w:spacing w:after="160" w:line="259" w:lineRule="auto"/>
        <w:jc w:val="both"/>
      </w:pPr>
      <w:r>
        <w:rPr>
          <w:rFonts w:ascii="Times New Roman" w:hAnsi="Times New Roman"/>
          <w:color w:val="000000"/>
          <w:sz w:val="22"/>
        </w:rPr>
        <w:t>Gather contextual intelligence: Search approved internal intelligence systems, reputable vendor advisories, malware-analysis reports, and trusted information-sharing sources. Look for the suspected malware family, known delivery method, affected operating systems, first-seen and last-seen dates, associated hashes, domains, IP addresses, URLs, persistence techniques, and typical behaviors. Determine whether the platform provides actual analysis evidence or only a community-submitted reputation score. Related indicators can help the analyst search for other affected devices and develop hypotheses about how the file arrived.</w:t>
      </w:r>
    </w:p>
    <w:p>
      <w:pPr>
        <w:spacing w:after="160" w:line="259" w:lineRule="auto"/>
        <w:jc w:val="both"/>
      </w:pPr>
      <w:r>
        <w:rPr>
          <w:rFonts w:ascii="Times New Roman" w:hAnsi="Times New Roman"/>
          <w:color w:val="000000"/>
          <w:sz w:val="22"/>
        </w:rPr>
        <w:t>Assess reliability and relevance: Consider the reputation of the source, the date of the report, whether multiple independent sources agree, the amount of supporting evidence, and whether the reported behavior matches local observations. Recent, corroborated evidence generally deserves more attention than an old or unexplained rating. A domain or IP address may be shared by legitimate and malicious services, and infrastructure can change ownership. Therefore, indicators should be assessed in context. Confidential files should not be uploaded to public analysis services unless organizational policy and data-handling requirements permit it.</w:t>
      </w:r>
    </w:p>
    <w:p>
      <w:pPr>
        <w:spacing w:after="160" w:line="259" w:lineRule="auto"/>
        <w:jc w:val="both"/>
      </w:pPr>
      <w:r>
        <w:rPr>
          <w:rFonts w:ascii="Times New Roman" w:hAnsi="Times New Roman"/>
          <w:color w:val="000000"/>
          <w:sz w:val="22"/>
        </w:rPr>
        <w:t>Containment and recommendations: If the evidence indicates a likely infection, isolate the affected endpoint from the network while preserving forensic evidence. Block high-confidence malicious indicators at appropriate DNS, firewall, proxy, or endpoint controls, and search other devices for the same hash, domain, IP address, or behavior. Investigate how the file was delivered, such as through email, a browser download, or removable media. If credential theft is suspected, reset affected credentials and review authentication logs. Remove the entry point, patch exploited weaknesses, and restore the system from a trusted source if its integrity cannot be assured. The report should distinguish confirmed facts from hypotheses and explain the confidence and reasoning behind each action.</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4. Malware Detection Through Data Collection and Correlation</w:t>
      </w:r>
    </w:p>
    <w:p>
      <w:pPr>
        <w:spacing w:before="80" w:after="40"/>
        <w:jc w:val="center"/>
      </w:pPr>
      <w:r>
        <w:drawing>
          <wp:inline xmlns:a="http://schemas.openxmlformats.org/drawingml/2006/main" xmlns:pic="http://schemas.openxmlformats.org/drawingml/2006/picture">
            <wp:extent cx="5760720" cy="1613002"/>
            <wp:docPr id="3" name="Picture 3"/>
            <wp:cNvGraphicFramePr>
              <a:graphicFrameLocks noChangeAspect="1"/>
            </wp:cNvGraphicFramePr>
            <a:graphic>
              <a:graphicData uri="http://schemas.openxmlformats.org/drawingml/2006/picture">
                <pic:pic>
                  <pic:nvPicPr>
                    <pic:cNvPr id="0" name="correlation.png"/>
                    <pic:cNvPicPr/>
                  </pic:nvPicPr>
                  <pic:blipFill>
                    <a:blip r:embed="rId12"/>
                    <a:stretch>
                      <a:fillRect/>
                    </a:stretch>
                  </pic:blipFill>
                  <pic:spPr>
                    <a:xfrm>
                      <a:off x="0" y="0"/>
                      <a:ext cx="5760720" cy="1613002"/>
                    </a:xfrm>
                    <a:prstGeom prst="rect"/>
                  </pic:spPr>
                </pic:pic>
              </a:graphicData>
            </a:graphic>
          </wp:inline>
        </w:drawing>
      </w:r>
    </w:p>
    <w:p>
      <w:pPr>
        <w:spacing w:after="120"/>
        <w:jc w:val="center"/>
      </w:pPr>
      <w:r>
        <w:rPr>
          <w:rFonts w:ascii="Times New Roman" w:hAnsi="Times New Roman"/>
          <w:i/>
          <w:color w:val="000000"/>
          <w:sz w:val="18"/>
        </w:rPr>
        <w:t>Figure 3. Correlating endpoint, DNS, and firewall evidence.</w:t>
      </w:r>
    </w:p>
    <w:p>
      <w:pPr>
        <w:spacing w:after="160" w:line="259" w:lineRule="auto"/>
        <w:jc w:val="both"/>
      </w:pPr>
      <w:r>
        <w:rPr>
          <w:rFonts w:ascii="Times New Roman" w:hAnsi="Times New Roman"/>
          <w:color w:val="000000"/>
          <w:sz w:val="22"/>
        </w:rPr>
        <w:t>Introduction: When unusual processes, suspicious DNS requests, and unexpected outbound connections appear on several university computers, the analyst should investigate whether these events are connected. Malware often leaves evidence in multiple sources, so endpoint, DNS, firewall, and file information should be collected and correlated into a single timeline. One unusual event may have a legitimate explanation, but several related events across multiple hosts can provide stronger evidence.</w:t>
      </w:r>
    </w:p>
    <w:p>
      <w:pPr>
        <w:spacing w:after="160" w:line="259" w:lineRule="auto"/>
        <w:jc w:val="both"/>
      </w:pPr>
      <w:r>
        <w:rPr>
          <w:rFonts w:ascii="Times New Roman" w:hAnsi="Times New Roman"/>
          <w:color w:val="000000"/>
          <w:sz w:val="22"/>
        </w:rPr>
        <w:t>Collect endpoint evidence: Gather process-creation events, parent and child process relationships, command-line arguments, logged-in users, file creation and modification events, registry changes, scheduled tasks, services, and endpoint security alerts. For each suspicious executable, record its path, size, digital signature, creation time, and SHA-256 hash. Check whether the process is expected software used by the university. Preserve original logs and record the source and collection time so the evidence can be reviewed later.</w:t>
      </w:r>
    </w:p>
    <w:p>
      <w:pPr>
        <w:spacing w:after="160" w:line="259" w:lineRule="auto"/>
        <w:jc w:val="both"/>
      </w:pPr>
      <w:r>
        <w:rPr>
          <w:rFonts w:ascii="Times New Roman" w:hAnsi="Times New Roman"/>
          <w:color w:val="000000"/>
          <w:sz w:val="22"/>
        </w:rPr>
        <w:t>Collect DNS and firewall records: DNS logs should include the querying host, requested domain, timestamp, response code, and returned IP address where available. Firewall records should include source and destination addresses, ports, protocols, connection times, and permitted or blocked actions. Proxy and network-flow logs may add URL, user, byte-count, and connection-duration information. Synchronize timestamps and normalize field names, because inconsistent clocks or formats can make related events appear unrelated.</w:t>
      </w:r>
    </w:p>
    <w:p>
      <w:pPr>
        <w:spacing w:after="160" w:line="259" w:lineRule="auto"/>
        <w:jc w:val="both"/>
      </w:pPr>
      <w:r>
        <w:rPr>
          <w:rFonts w:ascii="Times New Roman" w:hAnsi="Times New Roman"/>
          <w:color w:val="000000"/>
          <w:sz w:val="22"/>
        </w:rPr>
        <w:t>Correlate the evidence: Use a SIEM or log-analysis platform to search for common hosts, users, hashes, domains, IP addresses, and time windows. For example, a temporary-directory executable may start shortly after a phishing email is opened, create a persistence entry, query an unfamiliar domain, and then establish repeated outbound connections. If the same hash or behavior is present on several computers, the analyst should investigate whether the systems received the same file or were contacted by the same infrastructure. A DNS query alone does not prove infection, so it must be correlated with endpoint and network evidence.</w:t>
      </w:r>
    </w:p>
    <w:p>
      <w:pPr>
        <w:spacing w:after="160" w:line="259" w:lineRule="auto"/>
        <w:jc w:val="both"/>
      </w:pPr>
      <w:r>
        <w:rPr>
          <w:rFonts w:ascii="Times New Roman" w:hAnsi="Times New Roman"/>
          <w:color w:val="000000"/>
          <w:sz w:val="22"/>
        </w:rPr>
        <w:t>Validate, scope, and respond: Compare the events with approved software inventories, patching tools, scheduled tasks, and known administrative work to reduce false positives. Enrich suspicious hashes and domains with trusted intelligence, while considering that some IP addresses and hosting services may be shared. Determine the first known occurrence, the number of affected devices, whether the activity is ongoing, and whether sensitive accounts or data may be involved. Isolate systems with strong evidence of active infection, preserve evidence, block validated indicators, and search the wider environment for related artifacts. The final report should include the timeline, IoCs, affected hosts, confidence level, and recommended corrective actions.</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5. Malware Investigation Using SIEM Tools</w:t>
      </w:r>
    </w:p>
    <w:p>
      <w:pPr>
        <w:spacing w:before="80" w:after="40"/>
        <w:jc w:val="center"/>
      </w:pPr>
      <w:r>
        <w:drawing>
          <wp:inline xmlns:a="http://schemas.openxmlformats.org/drawingml/2006/main" xmlns:pic="http://schemas.openxmlformats.org/drawingml/2006/picture">
            <wp:extent cx="5760720" cy="1613002"/>
            <wp:docPr id="2" name="Picture 2"/>
            <wp:cNvGraphicFramePr>
              <a:graphicFrameLocks noChangeAspect="1"/>
            </wp:cNvGraphicFramePr>
            <a:graphic>
              <a:graphicData uri="http://schemas.openxmlformats.org/drawingml/2006/picture">
                <pic:pic>
                  <pic:nvPicPr>
                    <pic:cNvPr id="0" name="response.png"/>
                    <pic:cNvPicPr/>
                  </pic:nvPicPr>
                  <pic:blipFill>
                    <a:blip r:embed="rId11"/>
                    <a:stretch>
                      <a:fillRect/>
                    </a:stretch>
                  </pic:blipFill>
                  <pic:spPr>
                    <a:xfrm>
                      <a:off x="0" y="0"/>
                      <a:ext cx="5760720" cy="1613002"/>
                    </a:xfrm>
                    <a:prstGeom prst="rect"/>
                  </pic:spPr>
                </pic:pic>
              </a:graphicData>
            </a:graphic>
          </wp:inline>
        </w:drawing>
      </w:r>
    </w:p>
    <w:p>
      <w:pPr>
        <w:spacing w:after="120"/>
        <w:jc w:val="center"/>
      </w:pPr>
      <w:r>
        <w:rPr>
          <w:rFonts w:ascii="Times New Roman" w:hAnsi="Times New Roman"/>
          <w:i/>
          <w:color w:val="000000"/>
          <w:sz w:val="18"/>
        </w:rPr>
        <w:t>Figure 4. General incident-response cycle for a suspected malware incident.</w:t>
      </w:r>
    </w:p>
    <w:p>
      <w:pPr>
        <w:spacing w:after="160" w:line="259" w:lineRule="auto"/>
        <w:jc w:val="both"/>
      </w:pPr>
      <w:r>
        <w:rPr>
          <w:rFonts w:ascii="Times New Roman" w:hAnsi="Times New Roman"/>
          <w:color w:val="000000"/>
          <w:sz w:val="22"/>
        </w:rPr>
        <w:t>Introduction: A Security Information and Event Management (SIEM) system collects, normalizes, correlates, and analyzes events from endpoints, identity systems, servers, DNS, firewalls, and other security controls. In the given scenario, alerts about suspicious process execution, repeated failed logins, and unusual network connections from one workstation may be related. The analyst should use the SIEM to develop and test this hypothesis rather than treating the alerts as proof on their own.</w:t>
      </w:r>
    </w:p>
    <w:p>
      <w:pPr>
        <w:spacing w:after="160" w:line="259" w:lineRule="auto"/>
        <w:jc w:val="both"/>
      </w:pPr>
      <w:r>
        <w:rPr>
          <w:rFonts w:ascii="Times New Roman" w:hAnsi="Times New Roman"/>
          <w:color w:val="000000"/>
          <w:sz w:val="22"/>
        </w:rPr>
        <w:t>Review and validate alerts: Open each alert and examine its time, severity, detection rule, affected asset, user, and supporting raw events. Confirm that the workstation identity and timestamps are correct and that the log sources are functioning. Review the process name, executable path, command-line arguments, parent process, signature, and hash. Determine whether the program is approved software or an unfamiliar process running from a temporary or user-writable directory. Look for signs of script abuse, suspicious child processes, or attempts to modify security settings.</w:t>
      </w:r>
    </w:p>
    <w:p>
      <w:pPr>
        <w:spacing w:after="160" w:line="259" w:lineRule="auto"/>
        <w:jc w:val="both"/>
      </w:pPr>
      <w:r>
        <w:rPr>
          <w:rFonts w:ascii="Times New Roman" w:hAnsi="Times New Roman"/>
          <w:color w:val="000000"/>
          <w:sz w:val="22"/>
        </w:rPr>
        <w:t>Correlate authentication and network events: Investigate the repeated failed logins by checking which accounts were targeted, whether failures came from one or multiple source addresses, and whether a successful login followed. Determine whether the activity is consistent with a user mistyping a password, an automated service, or possible credential misuse. Review network logs for unexpected destination domains, unusual ports, repeated connections, or abnormal data transfer. Correlate all events by host, user, process ID, destination, and time window. A suspicious executable followed by authentication anomalies and outbound communication can indicate a more serious chain of activity.</w:t>
      </w:r>
    </w:p>
    <w:p>
      <w:pPr>
        <w:spacing w:after="160" w:line="259" w:lineRule="auto"/>
        <w:jc w:val="both"/>
      </w:pPr>
      <w:r>
        <w:rPr>
          <w:rFonts w:ascii="Times New Roman" w:hAnsi="Times New Roman"/>
          <w:color w:val="000000"/>
          <w:sz w:val="22"/>
        </w:rPr>
        <w:t>Determine scope and priority: Search for the same hash, domain, IP address, process behavior, or alert sequence on other endpoints. Enrich indicators with approved threat-intelligence sources and inspect endpoint telemetry for persistence, credential access, or file modification. Prioritize based on the confidence of the evidence, business criticality of the workstation, privileges of the user, whether the activity is continuing, and potential impact on confidential financial data. A confirmed infection on a critical system or evidence of active data theft should be escalated urgently.</w:t>
      </w:r>
    </w:p>
    <w:p>
      <w:pPr>
        <w:spacing w:after="160" w:line="259" w:lineRule="auto"/>
        <w:jc w:val="both"/>
      </w:pPr>
      <w:r>
        <w:rPr>
          <w:rFonts w:ascii="Times New Roman" w:hAnsi="Times New Roman"/>
          <w:color w:val="000000"/>
          <w:sz w:val="22"/>
        </w:rPr>
        <w:t>Incident response and documentation: Where evidence supports an active infection, isolate the workstation according to the organization's response policy, preserve relevant logs and files, and block validated malicious indicators. Notify the incident-response team and investigate the likely entry point. Reset credentials if compromise is suspected, patch the exploited weakness, and restore the endpoint from a trusted image if necessary. Record the alert IDs, searches, event timeline, evidence, actions, and remaining uncertainty. SIEM tools make correlation and prioritization faster, but analysts must verify the raw evidence and consider legitimate explanations.</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6. Malware Detection and Log Analysis Using Splunk</w:t>
      </w:r>
    </w:p>
    <w:p>
      <w:pPr>
        <w:spacing w:after="160" w:line="259" w:lineRule="auto"/>
        <w:jc w:val="both"/>
      </w:pPr>
      <w:r>
        <w:rPr>
          <w:rFonts w:ascii="Times New Roman" w:hAnsi="Times New Roman"/>
          <w:color w:val="000000"/>
          <w:sz w:val="22"/>
        </w:rPr>
        <w:t>Introduction: Splunk can index and search machine data from endpoints, DNS resolvers, firewalls, proxies, and servers. It can help identify suspicious patterns and correlate evidence when malware may be communicating with an external command-and-control (C2) server. The effectiveness of the investigation depends on whether the relevant logs are collected, parsed correctly, and retained for the required time period.</w:t>
      </w:r>
    </w:p>
    <w:p>
      <w:pPr>
        <w:spacing w:after="160" w:line="259" w:lineRule="auto"/>
        <w:jc w:val="both"/>
      </w:pPr>
      <w:r>
        <w:rPr>
          <w:rFonts w:ascii="Times New Roman" w:hAnsi="Times New Roman"/>
          <w:color w:val="000000"/>
          <w:sz w:val="22"/>
        </w:rPr>
        <w:t>Confirm data availability: Identify the indexes, sourcetypes, and time ranges containing endpoint and network telemetry. Check that host names, timestamps, process names, destination addresses, domains, and hashes are extracted into usable fields. Search results may be incomplete if a forwarder is offline, a source is not configured, or field extraction is incorrect. Start with a broad time range around the suspected activity, then narrow the search to the workstation and process involved.</w:t>
      </w:r>
    </w:p>
    <w:p>
      <w:pPr>
        <w:spacing w:after="160" w:line="259" w:lineRule="auto"/>
        <w:jc w:val="both"/>
      </w:pPr>
      <w:r>
        <w:rPr>
          <w:rFonts w:ascii="Times New Roman" w:hAnsi="Times New Roman"/>
          <w:color w:val="000000"/>
          <w:sz w:val="22"/>
        </w:rPr>
        <w:t>Search endpoint activity: Search for unfamiliar processes, script interpreters launched by unexpected parent processes, execution from temporary folders, newly created files, and changes to startup locations. A starting example is `index=* earliest=-24h ("powershell.exe" OR "wscript.exe" OR "rundll32.exe")`. This query searches for events mentioning commonly abused utilities; it does not prove that their use is malicious. Refine the query using the organization's actual endpoint index and field names, then inspect parent process, command line, user, host, hash, and timestamp.</w:t>
      </w:r>
    </w:p>
    <w:p>
      <w:pPr>
        <w:spacing w:after="160" w:line="259" w:lineRule="auto"/>
        <w:jc w:val="both"/>
      </w:pPr>
      <w:r>
        <w:rPr>
          <w:rFonts w:ascii="Times New Roman" w:hAnsi="Times New Roman"/>
          <w:color w:val="000000"/>
          <w:sz w:val="22"/>
        </w:rPr>
        <w:t>Investigate network patterns: Search DNS, proxy, firewall, and network-flow data for repeated connections to rare domains, newly observed destinations, unusual ports, and regular intervals that may resemble beaconing. A sample query is `index=* earliest=-24h host="HOSTNAME" | stats count by dest, dest_port, query, process_name`. The fields will vary by deployment and may need to be adjusted. Use tables, timecharts, and event timelines to determine whether the same process and destination repeatedly occur together. Compare connection timing and volume with normal business activity.</w:t>
      </w:r>
    </w:p>
    <w:p>
      <w:pPr>
        <w:spacing w:after="160" w:line="259" w:lineRule="auto"/>
        <w:jc w:val="both"/>
      </w:pPr>
      <w:r>
        <w:rPr>
          <w:rFonts w:ascii="Times New Roman" w:hAnsi="Times New Roman"/>
          <w:color w:val="000000"/>
          <w:sz w:val="22"/>
        </w:rPr>
        <w:t>Correlation, validation, and response: Enrich hashes, domains, and IP addresses using approved threat-intelligence sources, and search for matching indicators across other hosts. Consider legitimate software updates, monitoring agents, cloud services, and shared hosting before declaring an indicator malicious. Preserve the SPL queries, time ranges, raw events, exported results, and interpretation so another analyst can reproduce the investigation. If evidence supports C2 activity, follow incident procedures to isolate the host, block validated indicators, and investigate the initial infection and possible data exposure. Splunk supports evidence-based detection and reporting, but each conclusion should be supported by corroborated events.</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7. Malware Investigation Using the ELK Stack</w:t>
      </w:r>
    </w:p>
    <w:p>
      <w:pPr>
        <w:spacing w:after="160" w:line="259" w:lineRule="auto"/>
        <w:jc w:val="both"/>
      </w:pPr>
      <w:r>
        <w:rPr>
          <w:rFonts w:ascii="Times New Roman" w:hAnsi="Times New Roman"/>
          <w:color w:val="000000"/>
          <w:sz w:val="22"/>
        </w:rPr>
        <w:t>Introduction: The ELK Stack consists of Elasticsearch, Logstash, and Kibana. It can centralize records from web servers, firewalls, DNS services, and endpoint monitoring tools, allowing analysts to search and compare events from different systems. In the e-commerce scenario, repeated connections to suspicious domains and unusual file activity should be investigated together to determine whether malware is involved.</w:t>
      </w:r>
    </w:p>
    <w:p>
      <w:pPr>
        <w:spacing w:after="160" w:line="259" w:lineRule="auto"/>
        <w:jc w:val="both"/>
      </w:pPr>
      <w:r>
        <w:rPr>
          <w:rFonts w:ascii="Times New Roman" w:hAnsi="Times New Roman"/>
          <w:color w:val="000000"/>
          <w:sz w:val="22"/>
        </w:rPr>
        <w:t>Log collection and processing: Logstash or compatible agents collect logs and parse them into structured records. Processing may extract timestamps, host names, source and destination addresses, process names, file paths, usernames, domains, and event types. Consistent field names and time formats are important because they allow events from different products to be correlated. The analyst should confirm that logs are being received and that parsing errors, missing fields, or incorrect timestamps are not distorting the evidence.</w:t>
      </w:r>
    </w:p>
    <w:p>
      <w:pPr>
        <w:spacing w:after="160" w:line="259" w:lineRule="auto"/>
        <w:jc w:val="both"/>
      </w:pPr>
      <w:r>
        <w:rPr>
          <w:rFonts w:ascii="Times New Roman" w:hAnsi="Times New Roman"/>
          <w:color w:val="000000"/>
          <w:sz w:val="22"/>
        </w:rPr>
        <w:t>Indexing and searching: Elasticsearch stores and indexes the processed documents so that searches and aggregations can be performed efficiently. In Kibana Discover, the analyst can select a time range and filter records by host, domain, destination IP, process, file path, or event type. The search should begin with the affected host and suspected time window, then expand to other systems to check for related activity. Original records should remain available to support validation and evidence preservation.</w:t>
      </w:r>
    </w:p>
    <w:p>
      <w:pPr>
        <w:spacing w:after="160" w:line="259" w:lineRule="auto"/>
        <w:jc w:val="both"/>
      </w:pPr>
      <w:r>
        <w:rPr>
          <w:rFonts w:ascii="Times New Roman" w:hAnsi="Times New Roman"/>
          <w:color w:val="000000"/>
          <w:sz w:val="22"/>
        </w:rPr>
        <w:t>Visualization and correlation: Kibana dashboards and visualizations can show the frequency of DNS requests, unusual outbound connections, new domains, and file activity over time. A sudden increase in requests to a rare domain, followed by outbound traffic from the same host and a newly created executable, may indicate a suspicious sequence. Correlate records by host identifiers, IP addresses, timestamps, hashes, and user accounts. Use threat intelligence to enrich indicators, but account for the possibility that an address or domain is shared by legitimate services.</w:t>
      </w:r>
    </w:p>
    <w:p>
      <w:pPr>
        <w:spacing w:after="160" w:line="259" w:lineRule="auto"/>
        <w:jc w:val="both"/>
      </w:pPr>
      <w:r>
        <w:rPr>
          <w:rFonts w:ascii="Times New Roman" w:hAnsi="Times New Roman"/>
          <w:color w:val="000000"/>
          <w:sz w:val="22"/>
        </w:rPr>
        <w:t>Investigation, response, and limitations: Compare the observed activity with normal application behavior, approved software updates, and administrative tasks. Establish a timeline from initial access through execution, persistence, and communication if evidence supports those stages. Preserve relevant log documents, search queries, dashboard views, and hashes. If malware is likely, isolate affected endpoints, block validated indicators, remove persistence after collecting evidence, and recover from trusted images or backups. ELK provides powerful collection and analysis capabilities, but it does not automatically decide whether an event is malicious; human validation and good logging practices remain essential.</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8. Threat Hunting for Malware Activities</w:t>
      </w:r>
    </w:p>
    <w:p>
      <w:pPr>
        <w:spacing w:after="160" w:line="259" w:lineRule="auto"/>
        <w:jc w:val="both"/>
      </w:pPr>
      <w:r>
        <w:rPr>
          <w:rFonts w:ascii="Times New Roman" w:hAnsi="Times New Roman"/>
          <w:color w:val="000000"/>
          <w:sz w:val="22"/>
        </w:rPr>
        <w:t>Introduction and hypothesis: Threat hunting proactively searches for suspicious activity that automated antivirus or alerting systems may have missed. In this scenario, unusual CPU usage, unfamiliar processes, and connections to unknown external IP addresses are clues. The analyst should formulate a testable hypothesis, for example: a process on the workstation is communicating with an unauthorized external host and may have created persistence. The hypothesis guides the investigation but must be supported by evidence.</w:t>
      </w:r>
    </w:p>
    <w:p>
      <w:pPr>
        <w:spacing w:after="160" w:line="259" w:lineRule="auto"/>
        <w:jc w:val="both"/>
      </w:pPr>
      <w:r>
        <w:rPr>
          <w:rFonts w:ascii="Times New Roman" w:hAnsi="Times New Roman"/>
          <w:color w:val="000000"/>
          <w:sz w:val="22"/>
        </w:rPr>
        <w:t>Establish a baseline and collect telemetry: Record the workstation name, logged-in user, business function, operating system, time window, and recent changes. Compare CPU and memory usage with normal activity and determine when the unfamiliar process first appeared. Collect process trees, command-line arguments, executable paths, digital signatures, hashes, loaded modules, file creation events, registry changes, scheduled tasks, services, startup entries, DNS requests, firewall flows, and endpoint security logs. Preserve important evidence before modifying the system.</w:t>
      </w:r>
    </w:p>
    <w:p>
      <w:pPr>
        <w:spacing w:after="160" w:line="259" w:lineRule="auto"/>
        <w:jc w:val="both"/>
      </w:pPr>
      <w:r>
        <w:rPr>
          <w:rFonts w:ascii="Times New Roman" w:hAnsi="Times New Roman"/>
          <w:color w:val="000000"/>
          <w:sz w:val="22"/>
        </w:rPr>
        <w:t>Investigate the process: Check the process's parent, user context, file path, creation time, signature, hash, and whether the executable is known and approved. A legitimate application may use high CPU briefly, so the analyst should examine duration, recurrence, and associated actions. Look for suspicious child processes, execution from temporary folders, attempts to disable security controls, unexpected changes to system configuration, and files created shortly before network activity. Compare the findings with threat-intelligence reports and other known-good systems.</w:t>
      </w:r>
    </w:p>
    <w:p>
      <w:pPr>
        <w:spacing w:after="160" w:line="259" w:lineRule="auto"/>
        <w:jc w:val="both"/>
      </w:pPr>
      <w:r>
        <w:rPr>
          <w:rFonts w:ascii="Times New Roman" w:hAnsi="Times New Roman"/>
          <w:color w:val="000000"/>
          <w:sz w:val="22"/>
        </w:rPr>
        <w:t>Analyze network behavior and hunt across hosts: Inspect destination IPs, domains, ports, connection frequency, timing, and data volume. Repeated connections at regular intervals may be consistent with beaconing, while unexpected transfers may justify checking for possible exfiltration. Encrypted traffic can limit visibility into content, so use endpoint and DNS evidence as well. Search other endpoints for the same hash, path, domain, destination, process tree, or behavior to determine whether the threat is isolated or widespread. Check whether the IP or domain is associated with legitimate cloud or hosting services before blocking it.</w:t>
      </w:r>
    </w:p>
    <w:p>
      <w:pPr>
        <w:spacing w:after="160" w:line="259" w:lineRule="auto"/>
        <w:jc w:val="both"/>
      </w:pPr>
      <w:r>
        <w:rPr>
          <w:rFonts w:ascii="Times New Roman" w:hAnsi="Times New Roman"/>
          <w:color w:val="000000"/>
          <w:sz w:val="22"/>
        </w:rPr>
        <w:t>Record IoCs and remediate: Candidate IoCs include file hashes, process names, domains, IP addresses, URLs, registry keys, file paths, scheduled tasks, and distinctive event sequences. Each indicator should include its source, timestamp, confidence, and context. If evidence supports infection, isolate the host, block validated indicators, preserve logs and the suspicious file, investigate the entry point, and remove persistence. Reset credentials if credential theft is plausible and patch the exploited weakness. Reimage the device from a trusted source if integrity cannot be restored confidently. Finally, add validated detection logic, monitor for recurrence, and document lessons learned and any remaining uncertainty.</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9. Comparing Malware Analysis Tools Used in the IT Industry</w:t>
      </w:r>
    </w:p>
    <w:p>
      <w:pPr>
        <w:spacing w:before="80" w:after="40"/>
        <w:jc w:val="center"/>
      </w:pPr>
      <w:r>
        <w:drawing>
          <wp:inline xmlns:a="http://schemas.openxmlformats.org/drawingml/2006/main" xmlns:pic="http://schemas.openxmlformats.org/drawingml/2006/picture">
            <wp:extent cx="5760720" cy="1613002"/>
            <wp:docPr id="1" name="Picture 1"/>
            <wp:cNvGraphicFramePr>
              <a:graphicFrameLocks noChangeAspect="1"/>
            </wp:cNvGraphicFramePr>
            <a:graphic>
              <a:graphicData uri="http://schemas.openxmlformats.org/drawingml/2006/picture">
                <pic:pic>
                  <pic:nvPicPr>
                    <pic:cNvPr id="0" name="toolchain.png"/>
                    <pic:cNvPicPr/>
                  </pic:nvPicPr>
                  <pic:blipFill>
                    <a:blip r:embed="rId10"/>
                    <a:stretch>
                      <a:fillRect/>
                    </a:stretch>
                  </pic:blipFill>
                  <pic:spPr>
                    <a:xfrm>
                      <a:off x="0" y="0"/>
                      <a:ext cx="5760720" cy="1613002"/>
                    </a:xfrm>
                    <a:prstGeom prst="rect"/>
                  </pic:spPr>
                </pic:pic>
              </a:graphicData>
            </a:graphic>
          </wp:inline>
        </w:drawing>
      </w:r>
    </w:p>
    <w:p>
      <w:pPr>
        <w:spacing w:after="120"/>
        <w:jc w:val="center"/>
      </w:pPr>
      <w:r>
        <w:rPr>
          <w:rFonts w:ascii="Times New Roman" w:hAnsi="Times New Roman"/>
          <w:i/>
          <w:color w:val="000000"/>
          <w:sz w:val="18"/>
        </w:rPr>
        <w:t>Figure 5. A complementary toolchain for a malware investigation.</w:t>
      </w:r>
    </w:p>
    <w:p>
      <w:pPr>
        <w:spacing w:after="160" w:line="259" w:lineRule="auto"/>
        <w:jc w:val="both"/>
      </w:pPr>
      <w:r>
        <w:rPr>
          <w:rFonts w:ascii="Times New Roman" w:hAnsi="Times New Roman"/>
          <w:color w:val="000000"/>
          <w:sz w:val="22"/>
        </w:rPr>
        <w:t>Introduction: Malware investigation normally uses several complementary tool categories because each answers a different question. Static analysis helps understand a file without executing it; dynamic analysis shows what it does at runtime; network analyzers examine communication; and threat-intelligence platforms provide context about previously reported indicators and malware families. Combining these sources makes findings more reliable than relying on a single detection score.</w:t>
      </w:r>
    </w:p>
    <w:p>
      <w:pPr>
        <w:spacing w:after="160" w:line="259" w:lineRule="auto"/>
        <w:jc w:val="both"/>
      </w:pPr>
      <w:r>
        <w:rPr>
          <w:rFonts w:ascii="Times New Roman" w:hAnsi="Times New Roman"/>
          <w:color w:val="000000"/>
          <w:sz w:val="22"/>
        </w:rPr>
        <w:t>Static analysis tools: Utilities such as file, strings, PEStudio, Detect It Easy, Ghidra, and IDA Free can inspect file type, metadata, hashes, executable sections, imported functions, embedded strings, and disassembled code. These tools help identify suspicious capabilities, embedded indicators, and unusual executable structure before execution. They are useful for initial triage and can reduce unnecessary sandbox runs. However, packed or obfuscated malware may conceal its code, and a suspicious import or unsigned file is not sufficient proof of maliciousness.</w:t>
      </w:r>
    </w:p>
    <w:p>
      <w:pPr>
        <w:spacing w:after="160" w:line="259" w:lineRule="auto"/>
        <w:jc w:val="both"/>
      </w:pPr>
      <w:r>
        <w:rPr>
          <w:rFonts w:ascii="Times New Roman" w:hAnsi="Times New Roman"/>
          <w:color w:val="000000"/>
          <w:sz w:val="22"/>
        </w:rPr>
        <w:t>Dynamic analysis tools: A controlled virtual machine can be combined with Process Monitor, Process Explorer, Autoruns, event logs, and a sandbox to observe runtime behavior. These tools can show process creation, file and registry changes, persistence, service installation, and attempted network communication. Dynamic analysis is particularly valuable when static inspection is inconclusive. Its limitations include anti-virtual-machine checks, delayed execution, environment-dependent behavior, and the danger of unsafe isolation. Samples must be executed only in a properly configured lab.</w:t>
      </w:r>
    </w:p>
    <w:p>
      <w:pPr>
        <w:spacing w:after="160" w:line="259" w:lineRule="auto"/>
        <w:jc w:val="both"/>
      </w:pPr>
      <w:r>
        <w:rPr>
          <w:rFonts w:ascii="Times New Roman" w:hAnsi="Times New Roman"/>
          <w:color w:val="000000"/>
          <w:sz w:val="22"/>
        </w:rPr>
        <w:t>Network analysis and threat intelligence: Wireshark and similar network analyzers help inspect DNS requests, protocols, destination addresses, connection timing, and data flows. They can reveal potential C2 communication, although encryption may hide payload contents and shared infrastructure can create false positives. Threat-intelligence platforms and reputable vendor reports can associate hashes, domains, and IPs with known campaigns or malware families. Intelligence may be outdated, incomplete, or based on unverified reports, so analysts should check recency, source reliability, and corroboration.</w:t>
      </w:r>
    </w:p>
    <w:p>
      <w:pPr>
        <w:spacing w:after="160" w:line="259" w:lineRule="auto"/>
        <w:jc w:val="both"/>
      </w:pPr>
      <w:r>
        <w:rPr>
          <w:rFonts w:ascii="Times New Roman" w:hAnsi="Times New Roman"/>
          <w:color w:val="000000"/>
          <w:sz w:val="22"/>
        </w:rPr>
        <w:t>Recommended combination and workflow: First calculate the SHA-256 hash and inspect file metadata, strings, imports, and signatures using static tools. Next, if required, run the sample in an isolated disposable sandbox while collecting process and file-system telemetry. Capture network traffic with Wireshark, then compare the resulting hashes, domains, IPs, and behavior with trusted intelligence. Finally, correlate findings with the organization's endpoint and SIEM logs, assess confidence, preserve evidence, and recommend containment. This combination covers file structure, runtime behavior, network activity, and external context while reducing the chance of a conclusion based on one incomplete signal.</w:t>
      </w:r>
    </w:p>
    <w:p>
      <w:pPr>
        <w:spacing w:before="160"/>
        <w:jc w:val="right"/>
      </w:pPr>
      <w:r>
        <w:rPr>
          <w:rFonts w:ascii="Times New Roman" w:hAnsi="Times New Roman"/>
          <w:color w:val="000000"/>
          <w:sz w:val="18"/>
        </w:rPr>
        <w:t>KONGARA SAI | 192365025 | Signature: K.SAI</w:t>
      </w:r>
    </w:p>
    <w:p>
      <w:r>
        <w:rPr>
          <w:rFonts w:ascii="Times New Roman" w:hAnsi="Times New Roman"/>
          <w:color w:val="000000"/>
        </w:rPr>
        <w:br w:type="page"/>
      </w:r>
    </w:p>
    <w:p>
      <w:pPr>
        <w:spacing w:after="240"/>
        <w:jc w:val="center"/>
      </w:pPr>
      <w:r>
        <w:rPr>
          <w:rFonts w:ascii="Times New Roman" w:hAnsi="Times New Roman"/>
          <w:b/>
          <w:color w:val="000000"/>
          <w:sz w:val="28"/>
        </w:rPr>
        <w:t>10. Malware Analysis Report and Incident Response</w:t>
      </w:r>
    </w:p>
    <w:p>
      <w:pPr>
        <w:spacing w:after="160" w:line="259" w:lineRule="auto"/>
        <w:jc w:val="both"/>
      </w:pPr>
      <w:r>
        <w:rPr>
          <w:rFonts w:ascii="Times New Roman" w:hAnsi="Times New Roman"/>
          <w:color w:val="000000"/>
          <w:sz w:val="22"/>
        </w:rPr>
        <w:t>Purpose and executive summary: A malware analysis report records the investigation in a clear, reproducible format and communicates the risk to technical and management teams. For a suspicious executable associated with an unfamiliar process, a modified system configuration, and communication with a suspicious external domain, the summary should state the affected asset, how the sample was discovered, the current level of concern, and the immediate response taken. It must distinguish confirmed observations from assumptions.</w:t>
      </w:r>
    </w:p>
    <w:p>
      <w:pPr>
        <w:spacing w:after="160" w:line="259" w:lineRule="auto"/>
        <w:jc w:val="both"/>
      </w:pPr>
      <w:r>
        <w:rPr>
          <w:rFonts w:ascii="Times New Roman" w:hAnsi="Times New Roman"/>
          <w:color w:val="000000"/>
          <w:sz w:val="22"/>
        </w:rPr>
        <w:t>File information and evidence handling: Record the file name, full path, size, type, SHA-256 hash, digital-signature status, collection time, source, host name, and logged-in user. Document who collected the file, where it was stored, and who accessed it. Preserve the original sample and relevant logs in accordance with organizational procedures. Do not alter evidence unnecessarily, and do not upload confidential material to public services without authorization.</w:t>
      </w:r>
    </w:p>
    <w:p>
      <w:pPr>
        <w:spacing w:after="160" w:line="259" w:lineRule="auto"/>
        <w:jc w:val="both"/>
      </w:pPr>
      <w:r>
        <w:rPr>
          <w:rFonts w:ascii="Times New Roman" w:hAnsi="Times New Roman"/>
          <w:color w:val="000000"/>
          <w:sz w:val="22"/>
        </w:rPr>
        <w:t>Methodology and environment: Describe the tools and versions used, the static analysis performed, the sandbox or virtual-machine configuration, the network restrictions, and the endpoint, DNS, firewall, or SIEM logs reviewed. Include the investigation time range and explain any limitations, such as missing telemetry, encrypted traffic, or inability to reproduce behavior. A clear methodology allows another analyst to understand how the conclusions were reached.</w:t>
      </w:r>
    </w:p>
    <w:p>
      <w:pPr>
        <w:spacing w:after="160" w:line="259" w:lineRule="auto"/>
        <w:jc w:val="both"/>
      </w:pPr>
      <w:r>
        <w:rPr>
          <w:rFonts w:ascii="Times New Roman" w:hAnsi="Times New Roman"/>
          <w:color w:val="000000"/>
          <w:sz w:val="22"/>
        </w:rPr>
        <w:t>Observed behavior and timeline: Describe the unfamiliar process, its parent process, command line, execution path, and creation time. Record files created or modified, registry or system configuration changes, services or scheduled tasks added, and any attempts to alter security settings. Explain the suspicious external communication using the domain, destination IP, port, protocol, timing, and available traffic evidence. Arrange events chronologically and reference the supporting logs or artifacts. Do not infer data theft solely from the existence of an outbound connection.</w:t>
      </w:r>
    </w:p>
    <w:p>
      <w:pPr>
        <w:spacing w:after="160" w:line="259" w:lineRule="auto"/>
        <w:jc w:val="both"/>
      </w:pPr>
      <w:r>
        <w:rPr>
          <w:rFonts w:ascii="Times New Roman" w:hAnsi="Times New Roman"/>
          <w:color w:val="000000"/>
          <w:sz w:val="22"/>
        </w:rPr>
        <w:t>Indicators and threat intelligence: List validated IoCs, including hashes, domains, IP addresses, URLs, process names, file paths, registry keys, and persistence artifacts. Label each indicator as confirmed, suspected, or contextual and provide a confidence level. Record the intelligence sources consulted, report dates, malware-family associations, corroborating evidence, and reliability limitations. Explain whether the intelligence matches the observed behavior on the affected host.</w:t>
      </w:r>
    </w:p>
    <w:p>
      <w:pPr>
        <w:spacing w:after="160" w:line="259" w:lineRule="auto"/>
        <w:jc w:val="both"/>
      </w:pPr>
      <w:r>
        <w:rPr>
          <w:rFonts w:ascii="Times New Roman" w:hAnsi="Times New Roman"/>
          <w:color w:val="000000"/>
          <w:sz w:val="22"/>
        </w:rPr>
        <w:t>Risk assessment: Assess possible impacts on confidentiality, integrity, and availability. Consider whether credentials may have been exposed, whether the process obtained elevated privileges, whether persistence was established, whether other endpoints show related activity, and whether sensitive data may have been accessed. Explain the severity rating using evidence and business context. Identify what is unknown and what additional logs or analysis are needed before making stronger claims.</w:t>
      </w:r>
    </w:p>
    <w:p>
      <w:pPr>
        <w:spacing w:after="160" w:line="259" w:lineRule="auto"/>
        <w:jc w:val="both"/>
      </w:pPr>
      <w:r>
        <w:rPr>
          <w:rFonts w:ascii="Times New Roman" w:hAnsi="Times New Roman"/>
          <w:color w:val="000000"/>
          <w:sz w:val="22"/>
        </w:rPr>
        <w:t>Containment, eradication, and recovery: Isolate the affected host from the network when justified by the evidence, while preserving forensic records. Block validated malicious indicators at DNS, firewall, proxy, and endpoint controls as appropriate. Search other systems for related IoCs and investigate the likely delivery method. Remove persistence only after evidence collection, patch the exploited weakness, and reset credentials if compromise is plausible. If system integrity cannot be trusted, restore from a clean, trusted image or backup. Validate the system before returning it to service and monitor for recurrence.</w:t>
      </w:r>
    </w:p>
    <w:p>
      <w:pPr>
        <w:spacing w:after="160" w:line="259" w:lineRule="auto"/>
        <w:jc w:val="both"/>
      </w:pPr>
      <w:r>
        <w:rPr>
          <w:rFonts w:ascii="Times New Roman" w:hAnsi="Times New Roman"/>
          <w:color w:val="000000"/>
          <w:sz w:val="22"/>
        </w:rPr>
        <w:t>Conclusion and appendices: Summarize the key findings, confidence, affected scope, response actions, and recommended follow-up work. Append relevant logs, hashes, search queries, screenshots, network records, and a timeline of analyst actions. Assign follow-up actions to responsible teams where possible, such as improving email filtering, adding SIEM detections, patching systems, or providing user awareness training. The report should be factual, evidence-based, and clear about the difference between confirmed findings and unresolved questions.</w:t>
      </w:r>
    </w:p>
    <w:p>
      <w:pPr>
        <w:spacing w:before="160"/>
        <w:jc w:val="right"/>
      </w:pPr>
      <w:r>
        <w:rPr>
          <w:rFonts w:ascii="Times New Roman" w:hAnsi="Times New Roman"/>
          <w:color w:val="000000"/>
          <w:sz w:val="18"/>
        </w:rPr>
        <w:t>KONGARA SAI | 192365025 | Signature: K.SAI</w:t>
      </w: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50DE" w:rsidRDefault="00BE50DE">
      <w:r>
        <w:separator/>
      </w:r>
    </w:p>
  </w:endnote>
  <w:endnote w:type="continuationSeparator" w:id="0">
    <w:p w:rsidR="00BE50DE" w:rsidRDefault="00BE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BE50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50DE" w:rsidRDefault="00BE50DE">
      <w:r>
        <w:separator/>
      </w:r>
    </w:p>
  </w:footnote>
  <w:footnote w:type="continuationSeparator" w:id="0">
    <w:p w:rsidR="00BE50DE" w:rsidRDefault="00BE50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5090B"/>
    <w:rsid w:val="001619DA"/>
    <w:rsid w:val="002D71D9"/>
    <w:rsid w:val="00473AFC"/>
    <w:rsid w:val="004D0876"/>
    <w:rsid w:val="00680292"/>
    <w:rsid w:val="00857FCC"/>
    <w:rsid w:val="00BE50DE"/>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736</Words>
  <Characters>4199</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3</cp:revision>
  <dcterms:created xsi:type="dcterms:W3CDTF">2026-10-20T07:54:00Z</dcterms:created>
  <dcterms:modified xsi:type="dcterms:W3CDTF">2026-10-20T07:57:00Z</dcterms:modified>
</cp:coreProperties>
</file>