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76" w:lineRule="auto"/>
        <w:jc w:val="center"/>
      </w:pPr>
      <w:r>
        <w:rPr>
          <w:rFonts w:ascii="Calibri" w:hAnsi="Calibri" w:eastAsia="微軟正黑體"/>
          <w:sz w:val="24"/>
          <w:szCs w:val="24"/>
        </w:rPr>
        <w:t xml:space="preserve">初三數學科</w:t>
      </w:r>
    </w:p>
    <w:p>
      <w:pPr>
        <w:spacing w:before="0" w:after="30" w:line="276" w:lineRule="auto"/>
        <w:jc w:val="center"/>
      </w:pPr>
      <w:r>
        <w:rPr>
          <w:rFonts w:ascii="Calibri" w:hAnsi="Calibri" w:eastAsia="微軟正黑體"/>
          <w:b/>
          <w:bCs/>
          <w:spacing w:val="30"/>
          <w:sz w:val="30"/>
          <w:szCs w:val="30"/>
        </w:rPr>
        <w:t xml:space="preserve">專用公式參考紙</w:t>
      </w:r>
    </w:p>
    <w:p>
      <w:pPr>
        <w:spacing w:before="0" w:after="50" w:line="276" w:lineRule="auto"/>
        <w:jc w:val="center"/>
      </w:pPr>
      <w:r>
        <w:rPr>
          <w:rFonts w:ascii="Calibri" w:hAnsi="Calibri" w:eastAsia="微軟正黑體"/>
          <w:sz w:val="22"/>
          <w:szCs w:val="22"/>
        </w:rPr>
        <w:t xml:space="preserve">考試範圍：二次函數的圖像與性質</w:t>
      </w:r>
    </w:p>
    <w:p>
      <w:pPr>
        <w:pBdr>
          <w:top w:val="single" w:sz="8" w:space="3" w:color="000000"/>
          <w:left w:val="single" w:sz="8" w:space="3" w:color="000000"/>
          <w:bottom w:val="single" w:sz="8" w:space="3" w:color="000000"/>
          <w:right w:val="single" w:sz="8" w:space="3" w:color="000000"/>
        </w:pBdr>
        <w:shd w:val="clear" w:color="auto" w:fill="F0F0F0"/>
        <w:spacing w:before="20" w:after="100" w:line="240" w:lineRule="auto"/>
        <w:jc w:val="center"/>
      </w:pPr>
      <w:r>
        <w:rPr>
          <w:rFonts w:ascii="Calibri" w:hAnsi="Calibri" w:eastAsia="微軟正黑體"/>
          <w:b/>
          <w:bCs/>
          <w:sz w:val="21"/>
          <w:szCs w:val="21"/>
        </w:rPr>
        <w:t xml:space="preserve">※　本頁允許攜帶入場，僅限印刷內容，不得增寫、黏貼或夾帶任何其他內容　※</w:t>
      </w:r>
    </w:p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一、二次函數的概念與開口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二次函數（一般式）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b</m:t>
              </m:r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c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r>
                <w:rPr>
                  <w:sz w:val="20"/>
                  <w:szCs w:val="20"/>
                </w:rPr>
                <m:t xml:space="preserve">a</m:t>
              </m:r>
              <m:r>
                <w:rPr>
                  <w:sz w:val="20"/>
                  <w:szCs w:val="20"/>
                </w:rPr>
                <m:t xml:space="preserve">≠</m:t>
              </m:r>
              <m:r>
                <w:rPr>
                  <w:sz w:val="20"/>
                  <w:szCs w:val="20"/>
                </w:rPr>
                <m:t xml:space="preserve">0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；圖像是一條拋物線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開口方向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&gt;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開口向上</w:t>
            </w:r>
          </w:p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a</m:t>
              </m:r>
              <m:r>
                <w:rPr>
                  <w:sz w:val="24"/>
                  <w:szCs w:val="24"/>
                </w:rPr>
                <m:t xml:space="preserve">&lt;</m:t>
              </m:r>
              <m:r>
                <w:rPr>
                  <w:sz w:val="24"/>
                  <w:szCs w:val="24"/>
                </w:rP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開口向下</w:t>
            </w:r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m:oMath>
              <m:d>
                <m:dPr>
                  <m:begChr m:val="|"/>
                  <m:endChr m:val="|"/>
                </m:dPr>
                <m:e>
                  <m:r>
                    <w:rPr>
                      <w:sz w:val="20"/>
                      <w:szCs w:val="20"/>
                    </w:rPr>
                    <m:t xml:space="preserve">a</m:t>
                  </m:r>
                </m:e>
              </m:d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越大，開口越窄</w:t>
            </w:r>
          </w:p>
        </w:tc>
      </w:tr>
    </w:tbl>
    <w:p>
      <w:pPr>
        <w:keepNext/>
        <w:pBdr>
          <w:bottom w:val="single" w:sz="4" w:space="2" w:color="999999"/>
        </w:pBdr>
        <w:spacing w:before="140" w:after="50" w:line="276" w:lineRule="auto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二、頂點式與對稱軸</w:t>
      </w:r>
    </w:p>
    <w:tbl>
      <w:tblPr>
        <w:tblW w:w="11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00"/>
        <w:gridCol w:w="5600"/>
        <w:gridCol w:w="3538"/>
      </w:tblGrid>
      <w:tr>
        <w:trPr>
          <w:tblHeader/>
        </w:trPr>
        <w:tc>
          <w:tcPr>
            <w:tcW w:w="22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名稱</w:t>
            </w:r>
          </w:p>
        </w:tc>
        <w:tc>
          <w:tcPr>
            <w:tcW w:w="5600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公式／定理</w:t>
            </w:r>
          </w:p>
        </w:tc>
        <w:tc>
          <w:tcPr>
            <w:tcW w:w="3538" w:type="dxa"/>
            <w:shd w:val="clear" w:color="auto" w:fill="F0F0F0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軟正黑體"/>
                <w:b/>
                <w:bCs/>
                <w:sz w:val="19"/>
                <w:szCs w:val="19"/>
              </w:rPr>
              <w:t xml:space="preserve">適用條件・符號說明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頂點式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y</m:t>
              </m:r>
              <m:r>
                <w:rPr>
                  <w:sz w:val="24"/>
                  <w:szCs w:val="24"/>
                </w:rPr>
                <m:t xml:space="preserve">=</m:t>
              </m:r>
              <m:r>
                <w:rPr>
                  <w:sz w:val="24"/>
                  <w:szCs w:val="24"/>
                </w:rPr>
                <m:t xml:space="preserve">a</m:t>
              </m:r>
              <m:sSup>
                <m:e>
                  <m:r>
                    <w:rPr>
                      <w:sz w:val="24"/>
                      <w:szCs w:val="24"/>
                    </w:rPr>
                    <m:t xml:space="preserve">(</m:t>
                  </m:r>
                  <m:r>
                    <w:rPr>
                      <w:sz w:val="24"/>
                      <w:szCs w:val="24"/>
                    </w:rPr>
                    <m:t xml:space="preserve">x</m:t>
                  </m:r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h</m:t>
                  </m:r>
                  <m:r>
                    <w:rPr>
                      <w:sz w:val="24"/>
                      <w:szCs w:val="24"/>
                    </w:rPr>
                    <m:t xml:space="preserve">)</m:t>
                  </m:r>
                </m:e>
                <m:sup>
                  <m:r>
                    <w:rPr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sz w:val="24"/>
                  <w:szCs w:val="24"/>
                </w:rPr>
                <m:t xml:space="preserve">+</m:t>
              </m:r>
              <m:r>
                <w:rPr>
                  <w:sz w:val="24"/>
                  <w:szCs w:val="24"/>
                </w:rPr>
                <m:t xml:space="preserve">k</m:t>
              </m:r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頂點 (h, k)、對稱軸為直線 </w:t>
            </w:r>
            <m:oMath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h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；由 </w:t>
            </w: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a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平移得到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對稱軸（由一般式）</w:t>
            </w:r>
          </w:p>
        </w:tc>
        <w:tc>
          <w:tcPr>
            <w:tcW w:w="5600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center"/>
            </w:pPr>
            <m:oMath>
              <m:r>
                <w:rPr>
                  <w:sz w:val="24"/>
                  <w:szCs w:val="24"/>
                </w:rPr>
                <m:t xml:space="preserve">x</m:t>
              </m:r>
              <m:r>
                <w:rPr>
                  <w:sz w:val="24"/>
                  <w:szCs w:val="24"/>
                </w:rPr>
                <m:t xml:space="preserve">=</m:t>
              </m:r>
              <m:f>
                <m:num>
                  <m:r>
                    <w:rPr>
                      <w:sz w:val="24"/>
                      <w:szCs w:val="24"/>
                    </w:rPr>
                    <m:t xml:space="preserve">−</m:t>
                  </m:r>
                  <m:r>
                    <w:rPr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2</m:t>
                  </m:r>
                  <m:r>
                    <w:rPr>
                      <w:sz w:val="24"/>
                      <w:szCs w:val="24"/>
                    </w:rPr>
                    <m:t xml:space="preserve">a</m:t>
                  </m:r>
                </m:den>
              </m:f>
            </m:oMath>
          </w:p>
        </w:tc>
        <w:tc>
          <w:tcPr>
            <w:tcW w:w="3538" w:type="dxa"/>
            <w:vAlign w:val="center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一般式 </w:t>
            </w:r>
            <m:oMath>
              <m:r>
                <w:rPr>
                  <w:sz w:val="20"/>
                  <w:szCs w:val="20"/>
                </w:rPr>
                <m:t xml:space="preserve">y</m:t>
              </m:r>
              <m:r>
                <w:rPr>
                  <w:sz w:val="20"/>
                  <w:szCs w:val="20"/>
                </w:rPr>
                <m:t xml:space="preserve">=</m:t>
              </m:r>
              <m:r>
                <w:rPr>
                  <w:sz w:val="20"/>
                  <w:szCs w:val="20"/>
                </w:rPr>
                <m:t xml:space="preserve">a</m:t>
              </m:r>
              <m:sSup>
                <m:e>
                  <m:r>
                    <w:rPr>
                      <w:sz w:val="20"/>
                      <w:szCs w:val="20"/>
                    </w:rPr>
                    <m:t xml:space="preserve">x</m:t>
                  </m:r>
                </m:e>
                <m:sup>
                  <m:r>
                    <w:rPr>
                      <w:sz w:val="20"/>
                      <w:szCs w:val="20"/>
                    </w:rPr>
                    <m:t xml:space="preserve">2</m:t>
                  </m:r>
                </m:sup>
              </m:sSup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b</m:t>
              </m:r>
              <m:r>
                <w:rPr>
                  <w:sz w:val="20"/>
                  <w:szCs w:val="20"/>
                </w:rPr>
                <m:t xml:space="preserve">x</m:t>
              </m:r>
              <m:r>
                <w:rPr>
                  <w:sz w:val="20"/>
                  <w:szCs w:val="20"/>
                </w:rPr>
                <m:t xml:space="preserve">+</m:t>
              </m:r>
              <m:r>
                <w:rPr>
                  <w:sz w:val="20"/>
                  <w:szCs w:val="20"/>
                </w:rPr>
                <m:t xml:space="preserve">c</m:t>
              </m:r>
            </m:oMath>
            <w:r>
              <w:rPr>
                <w:rFonts w:ascii="Calibri" w:hAnsi="Calibri" w:eastAsia="微軟正黑體"/>
                <w:color w:val="333333"/>
                <w:sz w:val="20"/>
                <w:szCs w:val="20"/>
              </w:rPr>
              <w:t xml:space="preserve"> 配方後可得；頂點的 x 坐標</w:t>
            </w:r>
          </w:p>
        </w:tc>
      </w:tr>
    </w:tbl>
    <w:p>
      <w:pPr>
        <w:spacing w:before="100" w:after="40" w:line="276" w:lineRule="auto"/>
        <w:jc w:val="center"/>
      </w:pPr>
      <w:r>
        <w:rPr>
          <w:rFonts w:ascii="Calibri" w:hAnsi="Calibri" w:eastAsia="微軟正黑體"/>
          <w:color w:val="888888"/>
          <w:sz w:val="18"/>
          <w:szCs w:val="18"/>
        </w:rPr>
        <w:t xml:space="preserve">〈公式紙內容結束〉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初三數學科　公式參考紙　二次函數的圖像與性質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