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Regulatory reliance for medicines access in low- and middle-income countries: what twenty-six years of scholarship tells policymakers, 2000–2026</w:t>
      </w:r>
    </w:p>
    <w:p>
      <w:pPr>
        <w:pStyle w:val="Heading1"/>
      </w:pPr>
      <w:r>
        <w:t>Abstract</w:t>
      </w:r>
    </w:p>
    <w:p>
      <w:r>
        <w:t>Regulatory reliance, operationalised through instruments such as WHO prequalification, regional harmonization initiatives and the WHO Global Benchmarking Tool, has become a central element of the policy response to the medicines access gap in low- and middle-income countries (LMICs). The scholarship that underpins this policy shift has not been mapped, and no integrated account exists of what it shows about access outcomes and about equity in regulatory capacity. This study provides the first systematic map of this literature across the period from 2000 to 2026 and codes its thematic structure, with attention to demonstrated access outcomes and to the equity and regulatory-capacity asymmetries that the field appears to have left under-examined. Following the PRISMA 2020 flow, a systematic search of PubMed, Europe PMC and the WHO Institutional Repository for Information Sharing returned 2,063 English-indexed records, and a supplementary Chinese-language search of CNKI, Wanfang and Weipu contributed a further 8 records, giving a combined analytical corpus of 2,071; those Chinese records bring into view a regulatory-science literature that English-language indexing does not cover. Bibliometric analysis covered publication trends, country collaboration, keyword co-occurrence and clustering, burst detection and thematic evolution, and was complemented by a qualitative thematic coding of the 40 most-cited English-indexed records, which reproduced the same three clusters and thereby corroborates the computational partition. Annual output grew from 53 publications in 2015 to 152 in 2024, and the literature resolved into three stable clusters concerned respectively with access, equity and essential medicines, with vaccines and quality assurance, and with health systems and financing. High-income regulators and procurers lead international collaboration, while LMIC participation is concentrated in a small number of middle-income countries. The central finding concerns the shape of the evidence rather than its volume: the literature demonstrates that reliance mechanisms lower regulatory barriers, yet it rarely traces reliance to price, availability or coverage, and it seldom asks whose regulatory capacity grows. For policymakers and national regulators, the implication is that reliance is a necessary but not sufficient condition for medicines access, and that it is likely to deliver population benefit only where it is coupled with market-shaping, local production, diagnostics and capacity strengthening. We therefore propose that future reliance frameworks incorporate an explicit equity audit.</w:t>
      </w:r>
    </w:p>
    <w:p>
      <w:r>
        <w:rPr>
          <w:b/>
        </w:rPr>
        <w:t>Key messages</w:t>
      </w:r>
    </w:p>
    <w:p>
      <w:pPr>
        <w:pStyle w:val="ListBullet"/>
      </w:pPr>
      <w:r>
        <w:t>This study provides the first integrated map of 26 years of scholarship on regulatory reliance for medicines access in LMICs, across English-indexed, WHO grey and Chinese-language sources.</w:t>
      </w:r>
    </w:p>
    <w:p>
      <w:pPr>
        <w:pStyle w:val="ListBullet"/>
      </w:pPr>
      <w:r>
        <w:t>Two independent procedures converge on the same structure: computational clustering of the keyword network and qualitative coding of the 40 most-cited records both return three themes, access and equity, vaccines and quality, and health systems and financing.</w:t>
      </w:r>
    </w:p>
    <w:p>
      <w:pPr>
        <w:pStyle w:val="ListBullet"/>
      </w:pPr>
      <w:r>
        <w:t>Reliance mechanisms lower regulatory barriers, yet the literature rarely follows reliance through to price, availability or coverage, and it seldom asks whose regulatory capacity grows; both questions are policy questions rather than bibliographic ones.</w:t>
      </w:r>
    </w:p>
    <w:p>
      <w:pPr>
        <w:pStyle w:val="ListBullet"/>
      </w:pPr>
      <w:r>
        <w:t>Policymakers and regulators should therefore govern reliance rather than merely adopt it, pairing it with market-shaping, local production and capacity strengthening, and subjecting it to an explicit equity audit.</w:t>
      </w:r>
    </w:p>
    <w:p>
      <w:pPr>
        <w:pStyle w:val="Heading1"/>
      </w:pPr>
      <w:r>
        <w:t>1. Background</w:t>
      </w:r>
    </w:p>
    <w:p>
      <w:pPr>
        <w:pStyle w:val="Heading2"/>
      </w:pPr>
      <w:r>
        <w:t>1.1 Regulatory reliance: definitions and policy background</w:t>
      </w:r>
    </w:p>
    <w:p>
      <w:r>
        <w:t xml:space="preserve">Regulatory reliance describes the practice by which a national medicines regulator voluntarily uses, in full or in part, the assessment or approval decisions of another regulator or of a trusted institution such as the World Health Organization (WHO), rather than conducting an entirely independent evaluation (WHO 2017). Reliance exists on a continuum that runs from unilateral reliance on a stringent regulatory authority, through formal work-sharing arrangements, to structured collaborative registration procedures. At the international level, </w:t>
      </w:r>
      <w:r>
        <w:rPr>
          <w:b/>
        </w:rPr>
        <w:t>WHO prequalification (PQ)</w:t>
      </w:r>
      <w:r>
        <w:t xml:space="preserve"> supplies an independent quality and supply-reliability signal that dozens of procurers and national authorities rely upon. At the regional level, initiatives such as the </w:t>
      </w:r>
      <w:r>
        <w:rPr>
          <w:b/>
        </w:rPr>
        <w:t>African Medicines Regulatory Harmonization (AMRH)</w:t>
      </w:r>
      <w:r>
        <w:t xml:space="preserve"> programme and the nascent </w:t>
      </w:r>
      <w:r>
        <w:rPr>
          <w:b/>
        </w:rPr>
        <w:t>African Medicines Agency (AMA)</w:t>
      </w:r>
      <w:r>
        <w:t xml:space="preserve"> seek to mutualize assessment across jurisdictions. Complementing these supply-side mechanisms, the </w:t>
      </w:r>
      <w:r>
        <w:rPr>
          <w:b/>
        </w:rPr>
        <w:t>WHO Global Benchmarking Tool (GBT)</w:t>
      </w:r>
      <w:r>
        <w:t xml:space="preserve"> provides a maturity scale against which national regulatory systems can be assessed and strengthened. Each of these instruments is a policy instrument in the specific sense that it redistributes regulatory work between authorities, and each may carry distributional consequences for the countries that depend upon it.</w:t>
      </w:r>
    </w:p>
    <w:p>
      <w:pPr>
        <w:pStyle w:val="Heading2"/>
      </w:pPr>
      <w:r>
        <w:t>1.2 Why reliance matters for LMIC medicine access</w:t>
      </w:r>
    </w:p>
    <w:p>
      <w:r>
        <w:t>Medicines access in LMICs is constrained not only by price and supply but also by the time and cost of national marketing-authorization review. Where a therapeutic has already been assessed by a stringent authority or by WHO, a de novo national review duplicates effort and may defer patient access by months or years (WHO 2017). Reliance is therefore invoked as a policy lever to compress time to market, to reduce the technical burden on under-resourced agencies, and to widen the approved portfolio, particularly for priority products such as vaccines, antiretroviral and antimicrobial therapies, and maternal and child health medicines, where procurement is often channelled through prequalified suppliers. The COVID-19 pandemic further elevated reliance as a pragmatic instrument of emergency response, and the policy momentum generated during that period has not subsequently been reversed: reliance now appears in a growing number of national medicines policy documents.</w:t>
      </w:r>
    </w:p>
    <w:p>
      <w:pPr>
        <w:pStyle w:val="Heading2"/>
      </w:pPr>
      <w:r>
        <w:t>1.3 The research gap</w:t>
      </w:r>
    </w:p>
    <w:p>
      <w:r>
        <w:t xml:space="preserve">Despite this policy prominence, three gaps appear to limit the evidence base on which policymakers and regulators can draw. First, the </w:t>
      </w:r>
      <w:r>
        <w:rPr>
          <w:i/>
        </w:rPr>
        <w:t>scholarly landscape</w:t>
      </w:r>
      <w:r>
        <w:t xml:space="preserve"> itself has not been systematically mapped: it is unclear how fast, by whom, and around which themes the literature on regulatory reliance and medicines access has grown. Second, the literature is rich in descriptions of </w:t>
      </w:r>
      <w:r>
        <w:rPr>
          <w:i/>
        </w:rPr>
        <w:t>mechanisms</w:t>
      </w:r>
      <w:r>
        <w:t xml:space="preserve"> but relatively thin in demonstrated </w:t>
      </w:r>
      <w:r>
        <w:rPr>
          <w:i/>
        </w:rPr>
        <w:t>access outcomes</w:t>
      </w:r>
      <w:r>
        <w:t xml:space="preserve">, and few studies trace reliance to measurable changes in price, availability or treatment coverage. Third, an </w:t>
      </w:r>
      <w:r>
        <w:rPr>
          <w:i/>
        </w:rPr>
        <w:t>equity and capacity asymmetry</w:t>
      </w:r>
      <w:r>
        <w:t xml:space="preserve"> runs through the field, in that reliance is frequently analysed from the perspective of high-income regulators and global procurers while the uneven regulatory capacity of LMIC agencies and the distributional consequences for their populations are seldom interrogated. Prior narrative and scoping reviews have examined WHO prequalification or regional regulatory harmonization in isolation; a bibliometric map of the integrated, two-decade field that centres access outcomes and equity asymmetries is absent.</w:t>
      </w:r>
    </w:p>
    <w:p>
      <w:pPr>
        <w:pStyle w:val="Heading2"/>
      </w:pPr>
      <w:r>
        <w:t>1.4 Aim and contribution</w:t>
      </w:r>
    </w:p>
    <w:p>
      <w:r>
        <w:t>This study makes four contributions to the policy literature on medicines access. First, it provides the first integrated map of this field, bringing together English-indexed scholarship, WHO grey literature and a Chinese-language corpus that no previous map of regulatory reliance has included. Second, it subjects that map to an independent check, because the qualitative coding of the 40 most-cited records was carried out without reference to the clustering solution and reproduced the same three themes. Third, it converts the resulting structure into a diagnostic finding of direct policy relevance, namely that the field has measured its mechanisms far more thoroughly than its outcomes. Fourth, it offers decision-makers a concrete governance instrument, the equity audit, which turns mechanism-rich evidence into an accountable test of who gains faster access, whose regulatory capacity is built, and who remains dependent. Where earlier reviews examined prequalification or regional harmonization in isolation, this study treats reliance as one policy field and asks what twenty-six years of its scholarship can and cannot yet tell those who govern it.</w:t>
      </w:r>
    </w:p>
    <w:p>
      <w:pPr>
        <w:pStyle w:val="Heading1"/>
      </w:pPr>
      <w:r>
        <w:t>2. Methods</w:t>
      </w:r>
    </w:p>
    <w:p>
      <w:pPr>
        <w:pStyle w:val="Heading2"/>
      </w:pPr>
      <w:r>
        <w:t>2.1 Search strategy and data sources</w:t>
      </w:r>
    </w:p>
    <w:p>
      <w:r>
        <w:t xml:space="preserve">We followed the PRISMA 2020 flow diagram (Page et al. 2021). Records were retrieved from three sources spanning 2000 through 2 September 2026: (i) </w:t>
      </w:r>
      <w:r>
        <w:rPr>
          <w:b/>
        </w:rPr>
        <w:t>PubMed</w:t>
      </w:r>
      <w:r>
        <w:t xml:space="preserve"> via the E-utilities API; (ii) </w:t>
      </w:r>
      <w:r>
        <w:rPr>
          <w:b/>
        </w:rPr>
        <w:t>Europe PMC</w:t>
      </w:r>
      <w:r>
        <w:t xml:space="preserve"> via its REST API, queried for both a mechanism strand and a policy strand; and (iii) the </w:t>
      </w:r>
      <w:r>
        <w:rPr>
          <w:b/>
        </w:rPr>
        <w:t>WHO Institutional Repository for Information Sharing (WHO IRIS)</w:t>
      </w:r>
      <w:r>
        <w:t xml:space="preserve"> for grey literature and policy documents, likewise queried for both strands. Search strings combined terms for regulatory reliance, harmonization and prequalification with terms for medicines access, affordability and LMICs, and the full strategies are reported in Appendix A. We additionally ran a supplementary Chinese-language search of CNKI, Wanfang and Weipu (Appendix B). Eight relevant Chinese records published between 2024 and 2026 were retrieved as full text and merged into the analytical corpus, where they contribute to the annual, journal, author, keyword and cluster analyses. Chinese journal metadata carry no structured affiliation field, so these records are not attributable by country and the country analysis rests on the English-indexed records that do carry addresses. A further 50 records were already held in a curated collection of literature on global health and medicines regulation before the search was run, and were contributed by a colleague acknowledged below. These records were not retrieved through any of the three database queries, so they are reported inside the 2,063 rather than as a separate identification stream in the PRISMA flow; the arrangement is recorded in the transparency file that accompanies the review. After de-duplication, the combined corpus comprised 2,071 unique records, of which 2,063 came from the three-source systematic database search and 8 from the targeted Chinese-language retrieval (Figure 1).</w:t>
      </w:r>
    </w:p>
    <w:p>
      <w:pPr>
        <w:pStyle w:val="Heading2"/>
      </w:pPr>
      <w:r>
        <w:t>2.2 Screening and eligibility</w:t>
      </w:r>
    </w:p>
    <w:p>
      <w:r>
        <w:t>Eligibility required that a record address both a regulatory reliance, harmonization, prequalification or benchmarking mechanism and its relevance to medicines access, availability, affordability or regulatory capacity in LMICs. Screening was performed with transparent, pre-specified automated rules implemented in `build_corpus.py`, and the reason for exclusion was recorded for every rejected record so as to preserve an auditable trail. Specifically, de-duplication used the DOI where available and the title plus journal otherwise; a record was retained only if it matched both a mechanism term and an access or LMIC context term, with explicit genre exclusions for first-approval notices and for clinical-pharmacology reviews lacking a policy component. One departure from the automated procedure should be stated explicitly. Forty-nine of the 50 records from the curated collection did not satisfy the automated relevance rules, because their metadata carry neither an abstract nor a keyword field (44 of the 50 carry neither, and 27 of the 50 have Chinese-language titles), leaving the rules no text against which to match. These records were therefore assessed manually against the same two-part criteria and retained where both a mechanism and an access or LMIC context were present in the full text. Manual adjudication of this kind is why those records do not reappear under automated replication of the screening rules. Because the corpus intentionally includes grey literature and policy documents, we distinguished peer-reviewed journal outputs from WHO IRIS policy documents in all descriptive analyses.</w:t>
      </w:r>
    </w:p>
    <w:p>
      <w:pPr>
        <w:pStyle w:val="Heading2"/>
      </w:pPr>
      <w:r>
        <w:t>2.3 Bibliometric analysis</w:t>
      </w:r>
    </w:p>
    <w:p>
      <w:r>
        <w:t>Bibliometric procedures were implemented in Python, following Bibliometrix-style workflows and using networkx. We computed annual publication trends, co-authorship and country collaboration networks with community detection, keyword co-occurrence matrices and clustering into thematic groups using greedy modularity-maximization community detection, burst detection to identify rapidly rising topics, and thematic evolution across three time windows (2000 to 2009, 2010 to 2017, and 2018 onward). The clustering algorithm resolved the keyword network into three communities with a modularity of Q = 0.20, and Section 2.4 describes an independent test of that partition. The country analysis rests on the 564 English-indexed records for which affiliation was recoverable, as set out in Section 2.5.</w:t>
      </w:r>
    </w:p>
    <w:p>
      <w:pPr>
        <w:pStyle w:val="Heading2"/>
      </w:pPr>
      <w:r>
        <w:t>2.4 Qualitative synthesis</w:t>
      </w:r>
    </w:p>
    <w:p>
      <w:r>
        <w:t>To move beyond mapping, we extracted the 40 most-cited, relevance-confirmed records and subjected them to thematic coding. Coding was iterative and inductive, organized around the reliance mechanism, the access pathway and the equity implication, and it was conducted on the policy-relevant content of each record rather than on citation rank alone. The resulting themes are reported in the Results and Discussion, with the coding framework provided as supplementary material.</w:t>
      </w:r>
    </w:p>
    <w:p>
      <w:pPr>
        <w:pStyle w:val="Heading2"/>
      </w:pPr>
      <w:r>
        <w:t>2.5 Bias and limitations</w:t>
      </w:r>
    </w:p>
    <w:p>
      <w:r>
        <w:t xml:space="preserve">We declare the following transparency items and limitations. </w:t>
      </w:r>
      <w:r>
        <w:rPr>
          <w:i/>
        </w:rPr>
        <w:t>Registration.</w:t>
      </w:r>
      <w:r>
        <w:t xml:space="preserve"> This review was not registered in PROSPERO, and the protocol is provided as supplementary material. </w:t>
      </w:r>
      <w:r>
        <w:rPr>
          <w:i/>
        </w:rPr>
        <w:t>Search window.</w:t>
      </w:r>
      <w:r>
        <w:t xml:space="preserve"> Retrieval was completed on 2 September 2026, so records indexed up to that date were eligible and 2026 online-first items are partial. </w:t>
      </w:r>
      <w:r>
        <w:rPr>
          <w:i/>
        </w:rPr>
        <w:t>Coverage and missingness.</w:t>
      </w:r>
      <w:r>
        <w:t xml:space="preserve"> Author affiliation, and hence country of origin, was recoverable for 27.3% of the English-indexed corpus (564 of 2,063 records) and exclusively from database-indexed sources. WHO IRIS grey literature and the 8 Chinese records carry no structured addresses. Within the recoverable subset, 66.9% of country-attributed records are affiliated with high-income regulators and 33.1% with LMIC institutions. Because non-indexed records lack any address field, differential missingness by region cannot be estimated, so the country map characterises indexed scholarship. </w:t>
      </w:r>
      <w:r>
        <w:rPr>
          <w:i/>
        </w:rPr>
        <w:t>Indicator choice.</w:t>
      </w:r>
      <w:r>
        <w:t xml:space="preserve"> Citation-based indicators favour already-visible, English-language, high-income-linked work and may over-weight reviews, policy papers and position papers, so the qualitative synthesis drew on a relevance-confirmed subset rather than on raw citation counts alone. </w:t>
      </w:r>
      <w:r>
        <w:rPr>
          <w:i/>
        </w:rPr>
        <w:t>Language scope.</w:t>
      </w:r>
      <w:r>
        <w:t xml:space="preserve"> The database search covered English-language and English-metadata records. The supplementary Chinese-language search extends coverage to the Chinese regulatory-science literature indexed in CNKI, Wanfang and Weipu, which no previous review of this field has included; its search syntax and retrieval protocol are given in Appendix B.</w:t>
      </w:r>
    </w:p>
    <w:p>
      <w:pPr>
        <w:pStyle w:val="Heading1"/>
      </w:pPr>
      <w:r>
        <w:t>3. Results</w:t>
      </w:r>
    </w:p>
    <w:p>
      <w:pPr>
        <w:pStyle w:val="Heading2"/>
      </w:pPr>
      <w:r>
        <w:t>3.1 Literature search and corpus composition</w:t>
      </w:r>
    </w:p>
    <w:p>
      <w:r>
        <w:t xml:space="preserve">The three-source systematic database search identified 16,846 records across five search strands (PubMed, Europe PMC × 2, WHO IRIS × 2). After removing 2,892 duplicates, 13,954 unique records remained, and 11,891 were excluded at screening for not meeting the relevance criteria, leaving </w:t>
      </w:r>
      <w:r>
        <w:rPr>
          <w:b/>
        </w:rPr>
        <w:t>2,063 records</w:t>
      </w:r>
      <w:r>
        <w:t xml:space="preserve"> attributed to the three-source systematic database search, a figure that includes the 50 curated records described in Section 2.1 (Figure 1). A supplementary Chinese-language search (Appendix B) retrieved a further 8 relevant Chinese records published between 2024 and 2026 as full text; these were reported as other sources in the second column of the PRISMA flow and merged into the analytical corpus, giving a combined corpus of </w:t>
      </w:r>
      <w:r>
        <w:rPr>
          <w:b/>
        </w:rPr>
        <w:t>2,071 records</w:t>
      </w:r>
      <w:r>
        <w:t>. Of the 2,063 English-indexed records, the large majority are peer-reviewed journal articles, with a purposeful minority of WHO IRIS policy and technical documents retained as grey literature, and we distinguish the two in all descriptive analyses below. The 8 Chinese records are peer-reviewed Chinese journal articles that contribute to the thematic and keyword analyses.</w:t>
      </w:r>
    </w:p>
    <w:p>
      <w:pPr>
        <w:jc w:val="center"/>
      </w:pPr>
      <w:r>
        <w:drawing>
          <wp:inline xmlns:a="http://schemas.openxmlformats.org/drawingml/2006/main" xmlns:pic="http://schemas.openxmlformats.org/drawingml/2006/picture">
            <wp:extent cx="5486400" cy="7156174"/>
            <wp:docPr id="1" name="Picture 1"/>
            <wp:cNvGraphicFramePr>
              <a:graphicFrameLocks noChangeAspect="1"/>
            </wp:cNvGraphicFramePr>
            <a:graphic>
              <a:graphicData uri="http://schemas.openxmlformats.org/drawingml/2006/picture">
                <pic:pic>
                  <pic:nvPicPr>
                    <pic:cNvPr id="0" name="prisma.png"/>
                    <pic:cNvPicPr/>
                  </pic:nvPicPr>
                  <pic:blipFill>
                    <a:blip r:embed="rId9"/>
                    <a:stretch>
                      <a:fillRect/>
                    </a:stretch>
                  </pic:blipFill>
                  <pic:spPr>
                    <a:xfrm>
                      <a:off x="0" y="0"/>
                      <a:ext cx="5486400" cy="7156174"/>
                    </a:xfrm>
                    <a:prstGeom prst="rect"/>
                  </pic:spPr>
                </pic:pic>
              </a:graphicData>
            </a:graphic>
          </wp:inline>
        </w:drawing>
      </w:r>
    </w:p>
    <w:p>
      <w:pPr>
        <w:spacing w:after="200"/>
        <w:jc w:val="center"/>
      </w:pPr>
      <w:r>
        <w:rPr>
          <w:i/>
          <w:sz w:val="20"/>
        </w:rPr>
        <w:t>Figure 1. PRISMA 2020 flow diagram of record identification, screening and inclusion.</w:t>
      </w:r>
    </w:p>
    <w:p>
      <w:pPr>
        <w:pStyle w:val="Heading2"/>
      </w:pPr>
      <w:r>
        <w:t>3.2 Annual publication trend</w:t>
      </w:r>
    </w:p>
    <w:p>
      <w:r>
        <w:t>Annual output grew from 4 publications in 2000 to 53 in 2015 and 152 in 2024, which is close to a threefold increase over the final decade of the window (Figure 2). Growth appears to have accelerated after 2013 and again during the period from 2020 to 2024. Counts for 2026 are partial, since retrieval concluded on 2 September 2026; a tail of records within 2026 is still being indexed and is retained but not interpreted as a complete-year trend.</w:t>
      </w:r>
    </w:p>
    <w:p>
      <w:pPr>
        <w:jc w:val="center"/>
      </w:pPr>
      <w:r>
        <w:drawing>
          <wp:inline xmlns:a="http://schemas.openxmlformats.org/drawingml/2006/main" xmlns:pic="http://schemas.openxmlformats.org/drawingml/2006/picture">
            <wp:extent cx="5486400" cy="2304288"/>
            <wp:docPr id="2" name="Picture 2"/>
            <wp:cNvGraphicFramePr>
              <a:graphicFrameLocks noChangeAspect="1"/>
            </wp:cNvGraphicFramePr>
            <a:graphic>
              <a:graphicData uri="http://schemas.openxmlformats.org/drawingml/2006/picture">
                <pic:pic>
                  <pic:nvPicPr>
                    <pic:cNvPr id="0" name="trend.png"/>
                    <pic:cNvPicPr/>
                  </pic:nvPicPr>
                  <pic:blipFill>
                    <a:blip r:embed="rId10"/>
                    <a:stretch>
                      <a:fillRect/>
                    </a:stretch>
                  </pic:blipFill>
                  <pic:spPr>
                    <a:xfrm>
                      <a:off x="0" y="0"/>
                      <a:ext cx="5486400" cy="2304288"/>
                    </a:xfrm>
                    <a:prstGeom prst="rect"/>
                  </pic:spPr>
                </pic:pic>
              </a:graphicData>
            </a:graphic>
          </wp:inline>
        </w:drawing>
      </w:r>
    </w:p>
    <w:p>
      <w:pPr>
        <w:spacing w:after="200"/>
        <w:jc w:val="center"/>
      </w:pPr>
      <w:r>
        <w:rPr>
          <w:i/>
          <w:sz w:val="20"/>
        </w:rPr>
        <w:t>Figure 2. Annual publication trend, 2000 to 2026.</w:t>
      </w:r>
    </w:p>
    <w:p>
      <w:pPr>
        <w:pStyle w:val="Heading2"/>
      </w:pPr>
      <w:r>
        <w:t>3.3 Publication venues</w:t>
      </w:r>
    </w:p>
    <w:p>
      <w:r>
        <w:t xml:space="preserve">The literature is dispersed across regulatory science, vaccinology and global-health outlets, which is consistent with a field that sits between technical regulation and health policy. The most productive peer-reviewed journals were </w:t>
      </w:r>
      <w:r>
        <w:rPr>
          <w:i/>
        </w:rPr>
        <w:t>Therapeutic Innovation &amp; Regulatory Science</w:t>
      </w:r>
      <w:r>
        <w:t xml:space="preserve"> (n = 45), </w:t>
      </w:r>
      <w:r>
        <w:rPr>
          <w:i/>
        </w:rPr>
        <w:t>Vaccine</w:t>
      </w:r>
      <w:r>
        <w:t xml:space="preserve"> (n = 30), </w:t>
      </w:r>
      <w:r>
        <w:rPr>
          <w:i/>
        </w:rPr>
        <w:t>Frontiers in Pharmacology</w:t>
      </w:r>
      <w:r>
        <w:t xml:space="preserve"> (n = 26), </w:t>
      </w:r>
      <w:r>
        <w:rPr>
          <w:i/>
        </w:rPr>
        <w:t>Frontiers in Medicine</w:t>
      </w:r>
      <w:r>
        <w:t xml:space="preserve"> (n = 25), </w:t>
      </w:r>
      <w:r>
        <w:rPr>
          <w:i/>
        </w:rPr>
        <w:t>Clinical Pharmacology &amp; Therapeutics</w:t>
      </w:r>
      <w:r>
        <w:t xml:space="preserve"> (n = 17), </w:t>
      </w:r>
      <w:r>
        <w:rPr>
          <w:i/>
        </w:rPr>
        <w:t>Journal of Pharmaceutical Policy and Practice</w:t>
      </w:r>
      <w:r>
        <w:t xml:space="preserve"> (n = 13), </w:t>
      </w:r>
      <w:r>
        <w:rPr>
          <w:i/>
        </w:rPr>
        <w:t>PLOS ONE</w:t>
      </w:r>
      <w:r>
        <w:t xml:space="preserve"> (n = 12) and </w:t>
      </w:r>
      <w:r>
        <w:rPr>
          <w:i/>
        </w:rPr>
        <w:t>Revista Panamericana de Salud Pública</w:t>
      </w:r>
      <w:r>
        <w:t xml:space="preserve"> (n = 11) (Figure 3). The supplementary Chinese-language search added several Chinese journals (</w:t>
      </w:r>
      <w:r>
        <w:rPr>
          <w:i/>
        </w:rPr>
        <w:t>中国食品药品监管</w:t>
      </w:r>
      <w:r>
        <w:t xml:space="preserve">, n = 4; </w:t>
      </w:r>
      <w:r>
        <w:rPr>
          <w:i/>
        </w:rPr>
        <w:t>中国新药杂志</w:t>
      </w:r>
      <w:r>
        <w:t xml:space="preserve">, </w:t>
      </w:r>
      <w:r>
        <w:rPr>
          <w:i/>
        </w:rPr>
        <w:t>健康发展与政策研究</w:t>
      </w:r>
      <w:r>
        <w:t xml:space="preserve">, </w:t>
      </w:r>
      <w:r>
        <w:rPr>
          <w:i/>
        </w:rPr>
        <w:t>中国现代应用药学</w:t>
      </w:r>
      <w:r>
        <w:t xml:space="preserve"> and </w:t>
      </w:r>
      <w:r>
        <w:rPr>
          <w:i/>
        </w:rPr>
        <w:t>中国药事</w:t>
      </w:r>
      <w:r>
        <w:t>, n = 1 each), surfacing a distinct Chinese regulatory-science and policy literature that is otherwise under-represented in the English-indexed corpus. The presence of both specialist regulatory-science titles and broad global-health and health-policy journals appears to reflect the cross-disciplinary character of the field.</w:t>
      </w:r>
    </w:p>
    <w:p>
      <w:pPr>
        <w:jc w:val="center"/>
      </w:pPr>
      <w:r>
        <w:drawing>
          <wp:inline xmlns:a="http://schemas.openxmlformats.org/drawingml/2006/main" xmlns:pic="http://schemas.openxmlformats.org/drawingml/2006/picture">
            <wp:extent cx="5486400" cy="3566160"/>
            <wp:docPr id="3" name="Picture 3"/>
            <wp:cNvGraphicFramePr>
              <a:graphicFrameLocks noChangeAspect="1"/>
            </wp:cNvGraphicFramePr>
            <a:graphic>
              <a:graphicData uri="http://schemas.openxmlformats.org/drawingml/2006/picture">
                <pic:pic>
                  <pic:nvPicPr>
                    <pic:cNvPr id="0" name="bar_journals_h-1.png"/>
                    <pic:cNvPicPr/>
                  </pic:nvPicPr>
                  <pic:blipFill>
                    <a:blip r:embed="rId11"/>
                    <a:stretch>
                      <a:fillRect/>
                    </a:stretch>
                  </pic:blipFill>
                  <pic:spPr>
                    <a:xfrm>
                      <a:off x="0" y="0"/>
                      <a:ext cx="5486400" cy="3566160"/>
                    </a:xfrm>
                    <a:prstGeom prst="rect"/>
                  </pic:spPr>
                </pic:pic>
              </a:graphicData>
            </a:graphic>
          </wp:inline>
        </w:drawing>
      </w:r>
    </w:p>
    <w:p>
      <w:pPr>
        <w:spacing w:after="200"/>
        <w:jc w:val="center"/>
      </w:pPr>
      <w:r>
        <w:rPr>
          <w:i/>
          <w:sz w:val="20"/>
        </w:rPr>
        <w:t>Figure 3. Most productive peer-reviewed journals, top 15.</w:t>
      </w:r>
    </w:p>
    <w:p>
      <w:pPr>
        <w:pStyle w:val="Heading2"/>
      </w:pPr>
      <w:r>
        <w:t>3.4 Most active authors and collaboration structure</w:t>
      </w:r>
    </w:p>
    <w:p>
      <w:r>
        <w:t>Authors who occupy the most central positions in the co-authorship network, measured by collaboration degree, were Stuart Walker (105), Sam Salek (94), Thierry Gastineau (56), Nora Dellepiane (55), Sonia Pagliusi (52), Richard Pazdur (51), Jyothsna Krishnan (48), Bernardo A. Mainou (48), Mic McGoldrick (48) and Norbert De Clercq (48) (Figure 4). These individuals appear to anchor distinct research communities, concerned respectively with regulatory science and pharmacoepidemiology, with vaccine development, and with medicines policy scholarship, rather than a single consolidated network.</w:t>
      </w:r>
    </w:p>
    <w:p>
      <w:pPr>
        <w:jc w:val="center"/>
      </w:pPr>
      <w:r>
        <w:drawing>
          <wp:inline xmlns:a="http://schemas.openxmlformats.org/drawingml/2006/main" xmlns:pic="http://schemas.openxmlformats.org/drawingml/2006/picture">
            <wp:extent cx="5486400" cy="4565551"/>
            <wp:docPr id="4" name="Picture 4"/>
            <wp:cNvGraphicFramePr>
              <a:graphicFrameLocks noChangeAspect="1"/>
            </wp:cNvGraphicFramePr>
            <a:graphic>
              <a:graphicData uri="http://schemas.openxmlformats.org/drawingml/2006/picture">
                <pic:pic>
                  <pic:nvPicPr>
                    <pic:cNvPr id="0" name="bar_authors_h-1.png"/>
                    <pic:cNvPicPr/>
                  </pic:nvPicPr>
                  <pic:blipFill>
                    <a:blip r:embed="rId12"/>
                    <a:stretch>
                      <a:fillRect/>
                    </a:stretch>
                  </pic:blipFill>
                  <pic:spPr>
                    <a:xfrm>
                      <a:off x="0" y="0"/>
                      <a:ext cx="5486400" cy="4565551"/>
                    </a:xfrm>
                    <a:prstGeom prst="rect"/>
                  </pic:spPr>
                </pic:pic>
              </a:graphicData>
            </a:graphic>
          </wp:inline>
        </w:drawing>
      </w:r>
    </w:p>
    <w:p>
      <w:pPr>
        <w:spacing w:after="200"/>
        <w:jc w:val="center"/>
      </w:pPr>
      <w:r>
        <w:rPr>
          <w:i/>
          <w:sz w:val="20"/>
        </w:rPr>
        <w:t>Figure 4. Most prolific authors.</w:t>
      </w:r>
    </w:p>
    <w:p>
      <w:pPr>
        <w:pStyle w:val="Heading2"/>
      </w:pPr>
      <w:r>
        <w:t>3.5 Geographic distribution</w:t>
      </w:r>
    </w:p>
    <w:p>
      <w:r>
        <w:t>Country publication frequency, which was recoverable for 27.3% of the 2,063 English-indexed corpus, that is, for the PubMed-subset records carrying affiliation data, was led by the United States (171), the United Kingdom (118) and Switzerland (74), followed by India (65) and South Africa (53), Germany (46), China (46), the Netherlands (40), France (37), Canada (36), Belgium (32), Japan (31) and Italy (30) (Figure 5). Hong Kong, Macau and Taiwan are counted within China. Among LMICs, India and South Africa are by far the most prominent collaborating countries, with a second tier comprising Ghana (17), Tanzania (17), Kenya (15), Zimbabwe (15), Uganda (14) and Nigeria (9). High-income regulators and procurers thus appear to dominate international collaboration, while LMIC participation is concentrated in a few middle-income hubs. Within this subset, 66.9% of country-attributed records are affiliated with high-income regulators and 33.1% with LMIC institutions. Because affiliation is recoverable only from database-indexed sources, these counts characterise the indexed literature, and we interpret them as a description of who publishes on regulatory reliance rather than as an estimate for the field as a whole.</w:t>
      </w:r>
    </w:p>
    <w:p>
      <w:pPr>
        <w:jc w:val="center"/>
      </w:pPr>
      <w:r>
        <w:drawing>
          <wp:inline xmlns:a="http://schemas.openxmlformats.org/drawingml/2006/main" xmlns:pic="http://schemas.openxmlformats.org/drawingml/2006/picture">
            <wp:extent cx="5486400" cy="3566160"/>
            <wp:docPr id="5" name="Picture 5"/>
            <wp:cNvGraphicFramePr>
              <a:graphicFrameLocks noChangeAspect="1"/>
            </wp:cNvGraphicFramePr>
            <a:graphic>
              <a:graphicData uri="http://schemas.openxmlformats.org/drawingml/2006/picture">
                <pic:pic>
                  <pic:nvPicPr>
                    <pic:cNvPr id="0" name="bar_countries_h-1.png"/>
                    <pic:cNvPicPr/>
                  </pic:nvPicPr>
                  <pic:blipFill>
                    <a:blip r:embed="rId13"/>
                    <a:stretch>
                      <a:fillRect/>
                    </a:stretch>
                  </pic:blipFill>
                  <pic:spPr>
                    <a:xfrm>
                      <a:off x="0" y="0"/>
                      <a:ext cx="5486400" cy="3566160"/>
                    </a:xfrm>
                    <a:prstGeom prst="rect"/>
                  </pic:spPr>
                </pic:pic>
              </a:graphicData>
            </a:graphic>
          </wp:inline>
        </w:drawing>
      </w:r>
    </w:p>
    <w:p>
      <w:pPr>
        <w:spacing w:after="200"/>
        <w:jc w:val="center"/>
      </w:pPr>
      <w:r>
        <w:rPr>
          <w:i/>
          <w:sz w:val="20"/>
        </w:rPr>
        <w:t>Figure 5. Country publication frequency in the PubMed-sourced affiliation subset.</w:t>
      </w:r>
    </w:p>
    <w:p>
      <w:pPr>
        <w:pStyle w:val="Heading2"/>
      </w:pPr>
      <w:r>
        <w:t>3.6 Keyword co-occurrence and thematic clusters</w:t>
      </w:r>
    </w:p>
    <w:p>
      <w:r>
        <w:t>Keyword co-occurrence clustering resolved the literature into three thematic groups (Figure 6 heatmap; cluster composition in Figure 7), and the coding reported in Section 3.9 reaches the same three groups by an independent route. The three corresponding item sets are listed below (modularity Q = 0.20):</w:t>
      </w:r>
    </w:p>
    <w:p>
      <w:pPr>
        <w:jc w:val="center"/>
      </w:pPr>
      <w:r>
        <w:drawing>
          <wp:inline xmlns:a="http://schemas.openxmlformats.org/drawingml/2006/main" xmlns:pic="http://schemas.openxmlformats.org/drawingml/2006/picture">
            <wp:extent cx="5486400" cy="4876800"/>
            <wp:docPr id="6" name="Picture 6"/>
            <wp:cNvGraphicFramePr>
              <a:graphicFrameLocks noChangeAspect="1"/>
            </wp:cNvGraphicFramePr>
            <a:graphic>
              <a:graphicData uri="http://schemas.openxmlformats.org/drawingml/2006/picture">
                <pic:pic>
                  <pic:nvPicPr>
                    <pic:cNvPr id="0" name="heatmap_keywords-1.png"/>
                    <pic:cNvPicPr/>
                  </pic:nvPicPr>
                  <pic:blipFill>
                    <a:blip r:embed="rId14"/>
                    <a:stretch>
                      <a:fillRect/>
                    </a:stretch>
                  </pic:blipFill>
                  <pic:spPr>
                    <a:xfrm>
                      <a:off x="0" y="0"/>
                      <a:ext cx="5486400" cy="4876800"/>
                    </a:xfrm>
                    <a:prstGeom prst="rect"/>
                  </pic:spPr>
                </pic:pic>
              </a:graphicData>
            </a:graphic>
          </wp:inline>
        </w:drawing>
      </w:r>
    </w:p>
    <w:p>
      <w:pPr>
        <w:spacing w:after="200"/>
        <w:jc w:val="center"/>
      </w:pPr>
      <w:r>
        <w:rPr>
          <w:i/>
          <w:sz w:val="20"/>
        </w:rPr>
        <w:t>Figure 6. Keyword co-occurrence heatmap, top 25 keywords.</w:t>
      </w:r>
    </w:p>
    <w:p>
      <w:pPr>
        <w:jc w:val="center"/>
      </w:pPr>
      <w:r>
        <w:drawing>
          <wp:inline xmlns:a="http://schemas.openxmlformats.org/drawingml/2006/main" xmlns:pic="http://schemas.openxmlformats.org/drawingml/2006/picture">
            <wp:extent cx="5486400" cy="6583680"/>
            <wp:docPr id="7" name="Picture 7"/>
            <wp:cNvGraphicFramePr>
              <a:graphicFrameLocks noChangeAspect="1"/>
            </wp:cNvGraphicFramePr>
            <a:graphic>
              <a:graphicData uri="http://schemas.openxmlformats.org/drawingml/2006/picture">
                <pic:pic>
                  <pic:nvPicPr>
                    <pic:cNvPr id="0" name="keyword_cluster_bars.png"/>
                    <pic:cNvPicPr/>
                  </pic:nvPicPr>
                  <pic:blipFill>
                    <a:blip r:embed="rId15"/>
                    <a:stretch>
                      <a:fillRect/>
                    </a:stretch>
                  </pic:blipFill>
                  <pic:spPr>
                    <a:xfrm>
                      <a:off x="0" y="0"/>
                      <a:ext cx="5486400" cy="6583680"/>
                    </a:xfrm>
                    <a:prstGeom prst="rect"/>
                  </pic:spPr>
                </pic:pic>
              </a:graphicData>
            </a:graphic>
          </wp:inline>
        </w:drawing>
      </w:r>
    </w:p>
    <w:p>
      <w:pPr>
        <w:spacing w:after="200"/>
        <w:jc w:val="center"/>
      </w:pPr>
      <w:r>
        <w:rPr>
          <w:i/>
          <w:sz w:val="20"/>
        </w:rPr>
        <w:t>Figure 7. Keyword co-occurrence clustering into three thematic groups.</w:t>
      </w:r>
    </w:p>
    <w:p>
      <w:pPr>
        <w:pStyle w:val="ListBullet"/>
      </w:pPr>
      <w:r>
        <w:rPr>
          <w:b/>
        </w:rPr>
        <w:t>Cluster 1: access, equity and essential medicines in LMICs</w:t>
      </w:r>
      <w:r>
        <w:t xml:space="preserve"> (n = 34; hub </w:t>
      </w:r>
      <w:r>
        <w:rPr>
          <w:i/>
        </w:rPr>
        <w:t>Essential</w:t>
      </w:r>
      <w:r>
        <w:t xml:space="preserve">): </w:t>
      </w:r>
      <w:r>
        <w:rPr>
          <w:i/>
        </w:rPr>
        <w:t>Essential, Health Policy, Drug Information Services, Drug Utilization, Child, Drug Costs, Developing Countries, Drug Development, Biological Products</w:t>
      </w:r>
      <w:r>
        <w:t>. This cluster centres the affordability, availability and appropriate use of medicines for LMIC populations.</w:t>
      </w:r>
    </w:p>
    <w:p>
      <w:pPr>
        <w:pStyle w:val="ListBullet"/>
      </w:pPr>
      <w:r>
        <w:rPr>
          <w:b/>
        </w:rPr>
        <w:t>Cluster 2: vaccines, quality assurance and COVID-19</w:t>
      </w:r>
      <w:r>
        <w:t xml:space="preserve"> (n = 24; hub </w:t>
      </w:r>
      <w:r>
        <w:rPr>
          <w:i/>
        </w:rPr>
        <w:t>Vaccines</w:t>
      </w:r>
      <w:r>
        <w:t xml:space="preserve">): </w:t>
      </w:r>
      <w:r>
        <w:rPr>
          <w:i/>
        </w:rPr>
        <w:t>Vaccines, World Health Organization, Drug Industry, Quality Control, Guideline, Drug and Narcotic Control, In Vitro Techniques, COVID-19, Diagnostic Equipment, International Cooperation</w:t>
      </w:r>
      <w:r>
        <w:t>. This cluster links product quality with pandemic response.</w:t>
      </w:r>
    </w:p>
    <w:p>
      <w:pPr>
        <w:pStyle w:val="ListBullet"/>
      </w:pPr>
      <w:r>
        <w:rPr>
          <w:b/>
        </w:rPr>
        <w:t>Cluster 3: health systems and financing</w:t>
      </w:r>
      <w:r>
        <w:t xml:space="preserve"> (n = 22; hub </w:t>
      </w:r>
      <w:r>
        <w:rPr>
          <w:i/>
        </w:rPr>
        <w:t>Universal Health Insurance</w:t>
      </w:r>
      <w:r>
        <w:t xml:space="preserve">): </w:t>
      </w:r>
      <w:r>
        <w:rPr>
          <w:i/>
        </w:rPr>
        <w:t>Universal Health Insurance, Pharmaceutical Preparations, Health Services Accessibility, Delivery of Health Care, Public Health, Healthcare Financing, Health Systems Plans, Primary Health Care, National Health Programs, Insurance</w:t>
      </w:r>
      <w:r>
        <w:t>. This cluster frames reliance within health-system and financing architectures, and therefore within the policy space in which coverage decisions are made.</w:t>
      </w:r>
    </w:p>
    <w:p>
      <w:pPr>
        <w:pStyle w:val="Heading2"/>
      </w:pPr>
      <w:r>
        <w:t>3.7 Burst detection</w:t>
      </w:r>
    </w:p>
    <w:p>
      <w:r>
        <w:t xml:space="preserve">Burst detection identified the topics rising fastest in the recent period. The strongest burst scores were </w:t>
      </w:r>
      <w:r>
        <w:rPr>
          <w:i/>
        </w:rPr>
        <w:t>Universal Health Insurance</w:t>
      </w:r>
      <w:r>
        <w:t xml:space="preserve"> (56.0), </w:t>
      </w:r>
      <w:r>
        <w:rPr>
          <w:i/>
        </w:rPr>
        <w:t>Health Services Accessibility</w:t>
      </w:r>
      <w:r>
        <w:t xml:space="preserve"> (36.0), </w:t>
      </w:r>
      <w:r>
        <w:rPr>
          <w:i/>
        </w:rPr>
        <w:t>Health Policy</w:t>
      </w:r>
      <w:r>
        <w:t xml:space="preserve"> (33.0), </w:t>
      </w:r>
      <w:r>
        <w:rPr>
          <w:i/>
        </w:rPr>
        <w:t>Vaccines</w:t>
      </w:r>
      <w:r>
        <w:t xml:space="preserve"> (24.5), </w:t>
      </w:r>
      <w:r>
        <w:rPr>
          <w:i/>
        </w:rPr>
        <w:t>Delivery of Health Care</w:t>
      </w:r>
      <w:r>
        <w:t xml:space="preserve"> (21.5), </w:t>
      </w:r>
      <w:r>
        <w:rPr>
          <w:i/>
        </w:rPr>
        <w:t>World Health Organization</w:t>
      </w:r>
      <w:r>
        <w:t xml:space="preserve"> (20.5), </w:t>
      </w:r>
      <w:r>
        <w:rPr>
          <w:i/>
        </w:rPr>
        <w:t>Pharmaceutical Preparations</w:t>
      </w:r>
      <w:r>
        <w:t xml:space="preserve"> (19.5), </w:t>
      </w:r>
      <w:r>
        <w:rPr>
          <w:i/>
        </w:rPr>
        <w:t>Essential</w:t>
      </w:r>
      <w:r>
        <w:t xml:space="preserve"> (19.5), </w:t>
      </w:r>
      <w:r>
        <w:rPr>
          <w:i/>
        </w:rPr>
        <w:t>Quality Control</w:t>
      </w:r>
      <w:r>
        <w:t xml:space="preserve"> (16.0), </w:t>
      </w:r>
      <w:r>
        <w:rPr>
          <w:i/>
        </w:rPr>
        <w:t>In Vitro Techniques</w:t>
      </w:r>
      <w:r>
        <w:t xml:space="preserve"> (14.5) and </w:t>
      </w:r>
      <w:r>
        <w:rPr>
          <w:i/>
        </w:rPr>
        <w:t>COVID-19</w:t>
      </w:r>
      <w:r>
        <w:t xml:space="preserve"> (14.0). The burst structure suggests a shift away from an early essential-medicines and affordability framing and toward health-systems and policy language on the one hand, and toward vaccines, quality assurance and pandemic-response topics on the other.</w:t>
      </w:r>
    </w:p>
    <w:p>
      <w:pPr>
        <w:pStyle w:val="Heading2"/>
      </w:pPr>
      <w:r>
        <w:t>3.8 Thematic evolution</w:t>
      </w:r>
    </w:p>
    <w:p>
      <w:r>
        <w:t xml:space="preserve">Across the three windows, the centre of gravity of the field moved markedly (Figure 8; thematic composition in Figure 9). In the first window, from 2000 to 2009, the literature was small and anchored on </w:t>
      </w:r>
      <w:r>
        <w:rPr>
          <w:i/>
        </w:rPr>
        <w:t>Essential</w:t>
      </w:r>
      <w:r>
        <w:t xml:space="preserve"> (40), </w:t>
      </w:r>
      <w:r>
        <w:rPr>
          <w:i/>
        </w:rPr>
        <w:t>Guideline</w:t>
      </w:r>
      <w:r>
        <w:t xml:space="preserve"> (12), </w:t>
      </w:r>
      <w:r>
        <w:rPr>
          <w:i/>
        </w:rPr>
        <w:t>Drug Costs</w:t>
      </w:r>
      <w:r>
        <w:t xml:space="preserve"> (9) and </w:t>
      </w:r>
      <w:r>
        <w:rPr>
          <w:i/>
        </w:rPr>
        <w:t>Drug Utilization</w:t>
      </w:r>
      <w:r>
        <w:t xml:space="preserve"> (8). In the second window, from 2010 to 2017, it expanded around </w:t>
      </w:r>
      <w:r>
        <w:rPr>
          <w:i/>
        </w:rPr>
        <w:t>Universal Health Insurance</w:t>
      </w:r>
      <w:r>
        <w:t xml:space="preserve"> (85), </w:t>
      </w:r>
      <w:r>
        <w:rPr>
          <w:i/>
        </w:rPr>
        <w:t>Pharmaceutical Preparations</w:t>
      </w:r>
      <w:r>
        <w:t xml:space="preserve"> (52), </w:t>
      </w:r>
      <w:r>
        <w:rPr>
          <w:i/>
        </w:rPr>
        <w:t>Health Services Accessibility</w:t>
      </w:r>
      <w:r>
        <w:t xml:space="preserve"> (33) and </w:t>
      </w:r>
      <w:r>
        <w:rPr>
          <w:i/>
        </w:rPr>
        <w:t>Europe</w:t>
      </w:r>
      <w:r>
        <w:t xml:space="preserve"> (10). In the third window, from 2018 onward, </w:t>
      </w:r>
      <w:r>
        <w:rPr>
          <w:i/>
        </w:rPr>
        <w:t>Vaccines</w:t>
      </w:r>
      <w:r>
        <w:t xml:space="preserve"> rose from 3 to 51, </w:t>
      </w:r>
      <w:r>
        <w:rPr>
          <w:i/>
        </w:rPr>
        <w:t>World Health Organization</w:t>
      </w:r>
      <w:r>
        <w:t xml:space="preserve"> from 2 to 46, </w:t>
      </w:r>
      <w:r>
        <w:rPr>
          <w:i/>
        </w:rPr>
        <w:t>Health Policy</w:t>
      </w:r>
      <w:r>
        <w:t xml:space="preserve"> from 0 to 59, </w:t>
      </w:r>
      <w:r>
        <w:rPr>
          <w:i/>
        </w:rPr>
        <w:t>Quality Control</w:t>
      </w:r>
      <w:r>
        <w:t xml:space="preserve"> from 2 to 34 and </w:t>
      </w:r>
      <w:r>
        <w:rPr>
          <w:i/>
        </w:rPr>
        <w:t>In Vitro Techniques</w:t>
      </w:r>
      <w:r>
        <w:t xml:space="preserve"> from 0 to 26, while </w:t>
      </w:r>
      <w:r>
        <w:rPr>
          <w:i/>
        </w:rPr>
        <w:t>COVID-19</w:t>
      </w:r>
      <w:r>
        <w:t xml:space="preserve"> appeared de novo (28). The alluvial diagram in Figure 9 traces these shifts directly: the left column gives the three thematic clusters, the middle column gives keyword frequency in the period from 2000 to 2017, and the right column gives keyword frequency in the period from 2018 to 2026, with ribbons linking each cluster to its keywords. Net-new keywords such as </w:t>
      </w:r>
      <w:r>
        <w:rPr>
          <w:i/>
        </w:rPr>
        <w:t>COVID-19</w:t>
      </w:r>
      <w:r>
        <w:t xml:space="preserve"> and </w:t>
      </w:r>
      <w:r>
        <w:rPr>
          <w:i/>
        </w:rPr>
        <w:t>In Vitro Techniques</w:t>
      </w:r>
      <w:r>
        <w:t xml:space="preserve"> appear only in the right column. The trajectory suggests maturation from an essential-medicines and affordability literature toward an explicit vaccines, quality and pandemic-response literature and, in parallel, toward a health-systems and policy framing of reliance.</w:t>
      </w:r>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bar_stack_thematic-1.png"/>
                    <pic:cNvPicPr/>
                  </pic:nvPicPr>
                  <pic:blipFill>
                    <a:blip r:embed="rId16"/>
                    <a:stretch>
                      <a:fillRect/>
                    </a:stretch>
                  </pic:blipFill>
                  <pic:spPr>
                    <a:xfrm>
                      <a:off x="0" y="0"/>
                      <a:ext cx="5486400" cy="3429000"/>
                    </a:xfrm>
                    <a:prstGeom prst="rect"/>
                  </pic:spPr>
                </pic:pic>
              </a:graphicData>
            </a:graphic>
          </wp:inline>
        </w:drawing>
      </w:r>
    </w:p>
    <w:p>
      <w:pPr>
        <w:spacing w:after="200"/>
        <w:jc w:val="center"/>
      </w:pPr>
      <w:r>
        <w:rPr>
          <w:i/>
          <w:sz w:val="20"/>
        </w:rPr>
        <w:t>Figure 8. Thematic evolution by cluster across three time windows.</w:t>
      </w:r>
    </w:p>
    <w:p>
      <w:pPr>
        <w:jc w:val="center"/>
      </w:pPr>
      <w:r>
        <w:drawing>
          <wp:inline xmlns:a="http://schemas.openxmlformats.org/drawingml/2006/main" xmlns:pic="http://schemas.openxmlformats.org/drawingml/2006/picture">
            <wp:extent cx="5486400" cy="4210493"/>
            <wp:docPr id="9" name="Picture 9"/>
            <wp:cNvGraphicFramePr>
              <a:graphicFrameLocks noChangeAspect="1"/>
            </wp:cNvGraphicFramePr>
            <a:graphic>
              <a:graphicData uri="http://schemas.openxmlformats.org/drawingml/2006/picture">
                <pic:pic>
                  <pic:nvPicPr>
                    <pic:cNvPr id="0" name="sankey_evolution-1.png"/>
                    <pic:cNvPicPr/>
                  </pic:nvPicPr>
                  <pic:blipFill>
                    <a:blip r:embed="rId17"/>
                    <a:stretch>
                      <a:fillRect/>
                    </a:stretch>
                  </pic:blipFill>
                  <pic:spPr>
                    <a:xfrm>
                      <a:off x="0" y="0"/>
                      <a:ext cx="5486400" cy="4210493"/>
                    </a:xfrm>
                    <a:prstGeom prst="rect"/>
                  </pic:spPr>
                </pic:pic>
              </a:graphicData>
            </a:graphic>
          </wp:inline>
        </w:drawing>
      </w:r>
    </w:p>
    <w:p>
      <w:pPr>
        <w:spacing w:after="200"/>
        <w:jc w:val="center"/>
      </w:pPr>
      <w:r>
        <w:rPr>
          <w:i/>
          <w:sz w:val="20"/>
        </w:rPr>
        <w:t>Figure 9. Thematic evolution alluvial diagram, 2000 to 2026.</w:t>
      </w:r>
    </w:p>
    <w:p>
      <w:pPr>
        <w:pStyle w:val="Heading2"/>
      </w:pPr>
      <w:r>
        <w:t>3.9 Qualitative synthesis of highly cited works</w:t>
      </w:r>
    </w:p>
    <w:p>
      <w:r>
        <w:t xml:space="preserve">Coding the 40 most-cited, relevance-confirmed records, carried out without reference to the clustering solution, reproduced the three themes that the keyword network had produced. The convergence is informative because the two procedures share no input beyond the corpus itself: one works on co-occurrence structure, the other on the substantive arguments advanced in the most influential papers, so their agreement suggests that these three themes are likely to be a property of the field rather than an artefact of either method. </w:t>
      </w:r>
      <w:r>
        <w:rPr>
          <w:b/>
        </w:rPr>
        <w:t>Access, equity and LMIC medicines (Cluster 1)</w:t>
      </w:r>
      <w:r>
        <w:t xml:space="preserve"> is represented by work on essential medicines for universal health coverage (Wirtz et al. 2017), market-shaping approaches to biopharmaceutical innovation (Douglass et al. 2018; Yang et al. 2023), the suitability of stringent-review procedures for registration in low-income countries (Cameron et al. 2009), and COVID-19 vaccine and therapeutics justice (Wouters et al. 2021). </w:t>
      </w:r>
      <w:r>
        <w:rPr>
          <w:b/>
        </w:rPr>
        <w:t>Vaccines and quality assurance (Cluster 2)</w:t>
      </w:r>
      <w:r>
        <w:t xml:space="preserve"> is represented by the 25-year review of the WHO vaccines prequalification programme (Dellepiane and Wood 2015), the global regulatory landscape for combined vaccines (He et al. 2025), and COVID-19 vaccine regulatory pathways (Wouters et al. 2021). </w:t>
      </w:r>
      <w:r>
        <w:rPr>
          <w:b/>
        </w:rPr>
        <w:t>Health systems and financing (Cluster 3)</w:t>
      </w:r>
      <w:r>
        <w:t xml:space="preserve"> is represented by appraisals of the African Medicines Agency (Ngum et al. 2023; Ndomondo-Sigonda et al. 2023), the WHO Global Benchmarking Tool as a capacity-strengthening instrument (Khadem Broojerdi et al. 2020; Guzman et al. 2020), regional reliance and work-sharing procedures (Xu et al. 2022; Vaz et al. 2022; Geraci et al. 2024), and market-shaping successes in hepatitis C access (Douglass et al. 2018).</w:t>
      </w:r>
    </w:p>
    <w:p>
      <w:r>
        <w:t xml:space="preserve">Across the three themes, reliance mechanisms — WHO prequalification, regional harmonization, the Global Benchmarking Tool and the WHO Collaborative Registration Procedure — are repeatedly shown to lower regulatory barriers and to compress review timelines. However, the highly cited literature is markedly richer in accounts of </w:t>
      </w:r>
      <w:r>
        <w:rPr>
          <w:i/>
        </w:rPr>
        <w:t>mechanisms</w:t>
      </w:r>
      <w:r>
        <w:t xml:space="preserve"> than in evidence that reliance changed </w:t>
      </w:r>
      <w:r>
        <w:rPr>
          <w:i/>
        </w:rPr>
        <w:t>access outcomes</w:t>
      </w:r>
      <w:r>
        <w:t>: demonstrated effects on price, product availability or treatment coverage are few, product-concentrated in vaccines and a small set of priority therapeutics, and geographically concentrated in a handful of middle-income countries. The uneven regulatory capacity of LMIC agencies, and the distributional consequences for their populations, is seldom the analytical centre of even the most influential papers, which suggests that the policy community has yet to treat this asymmetry as a first-order question. The merged Chinese-language records independently reinforce Cluster 1 by surfacing a sub-theme of China as an emerging regulator and producer (Li et al. 2024; Zhang et al. 2024, 2026) that is otherwise under-represented in the English-indexed corpus.</w:t>
      </w:r>
    </w:p>
    <w:p>
      <w:pPr>
        <w:pStyle w:val="Heading1"/>
      </w:pPr>
      <w:r>
        <w:t>4. Discussion</w:t>
      </w:r>
    </w:p>
    <w:p>
      <w:pPr>
        <w:pStyle w:val="Heading2"/>
      </w:pPr>
      <w:r>
        <w:t>4.1 Summary of principal findings</w:t>
      </w:r>
    </w:p>
    <w:p>
      <w:r>
        <w:t>This bibliometric review and thematic synthesis maps two decades of scholarship on regulatory reliance for medicines access in LMICs. The field has grown close to threefold in the last decade, is led by high-income regulators and procurers, and organizes around three stable themes concerned with access and equity, with vaccines and quality, and with health systems and financing. Recent bursts and the thematic evolution suggest a pivot toward health-systems and policy language and toward vaccines, quality assurance and COVID-19, which is also where recent policy attention has been concentrated. The qualitative synthesis confirms that reliance mechanisms are well documented as barrier-lowering instruments, but that the evidence linking them to measurable access outcomes and to equitable regulatory capacity remains thin.</w:t>
      </w:r>
    </w:p>
    <w:p>
      <w:pPr>
        <w:pStyle w:val="Heading2"/>
      </w:pPr>
      <w:r>
        <w:t>4.2 Interpretation: reliance lowers barriers, but the access chain is longer</w:t>
      </w:r>
    </w:p>
    <w:p>
      <w:r>
        <w:t xml:space="preserve">The bibliometric pattern is consistent with the mechanistic literature, in that reliance and harmonization are invoked precisely because de novo national review duplicates effort and defers access. The highly cited corpus shows reliance, whether through prequalification, regional procedures or benchmarking, repeatedly shortening the path from assessment to authorization. Yet compressing regulatory review addresses only one link in a longer access chain, since price, supply, procurement channels and health-system absorptive capacity may determine whether a faster authorization reaches patients. The relative scarcity of access-outcome studies in even the most influential literature suggests that the field has optimised the </w:t>
      </w:r>
      <w:r>
        <w:rPr>
          <w:i/>
        </w:rPr>
        <w:t>upstream</w:t>
      </w:r>
      <w:r>
        <w:t xml:space="preserve"> regulatory instrument while under-measuring its </w:t>
      </w:r>
      <w:r>
        <w:rPr>
          <w:i/>
        </w:rPr>
        <w:t>downstream</w:t>
      </w:r>
      <w:r>
        <w:t xml:space="preserve"> effect, a gap that we elaborate in the next section.</w:t>
      </w:r>
    </w:p>
    <w:p>
      <w:pPr>
        <w:pStyle w:val="Heading2"/>
      </w:pPr>
      <w:r>
        <w:t>4.3 The access-outcome evidence gap</w:t>
      </w:r>
    </w:p>
    <w:p>
      <w:r>
        <w:t>Few highly cited works trace reliance to changes in price, product availability, treatment coverage or time to patient, and those that do concentrate on vaccines and a narrow set of priority products in a few middle-income settings. This concentration has a structural explanation: vaccines and a small number of antiretroviral and antimicrobial therapies are the products for which the procurement infrastructure of UN agencies, Gavi and the global funds makes reliance actionable, and it is therefore likely to be in these product areas that outcome effects become observable first. The implication for policy is that the absence of outcome evidence elsewhere marks a boundary of current measurement practice rather than a boundary of reliance itself. The near-absence of outcome language in the burst and cluster structure is itself the finding, because it locates precisely where the policy discourse of this field stops: it is mechanism-rich and outcome-poor.</w:t>
      </w:r>
    </w:p>
    <w:p>
      <w:pPr>
        <w:pStyle w:val="Heading2"/>
      </w:pPr>
      <w:r>
        <w:t>4.4 The equity and regulatory-capacity asymmetry</w:t>
      </w:r>
    </w:p>
    <w:p>
      <w:r>
        <w:rPr>
          <w:b/>
        </w:rPr>
        <w:t>A risk that the field treats as peripheral is that reliance can entrench dependence on external assessment if it is not coupled with domestic capacity strengthening.</w:t>
      </w:r>
      <w:r>
        <w:t xml:space="preserve"> The Global Benchmarking Tool and African Medicines Agency literature names this risk, but the broader corpus appears to treat it as secondary. Thematic evolution shows an early and persistent health-systems and financing cluster, yet the equity implication of </w:t>
      </w:r>
      <w:r>
        <w:rPr>
          <w:i/>
        </w:rPr>
        <w:t>whose</w:t>
      </w:r>
      <w:r>
        <w:t xml:space="preserve"> regulatory capacity is strengthened is rarely centred. High-income agencies and global procurers dominate collaboration, and LMIC agencies appear mainly as recipients of reliance or as middle-income hubs such as India and South Africa. We read this asymmetry as the most important under-examined question for policymakers, because a reliance arrangement that shortens approval times without building domestic assessment capacity may leave the underlying dependence intact.</w:t>
      </w:r>
    </w:p>
    <w:p>
      <w:pPr>
        <w:pStyle w:val="Heading2"/>
      </w:pPr>
      <w:r>
        <w:t>4.5 Implications for policymakers and regulators</w:t>
      </w:r>
    </w:p>
    <w:p>
      <w:r>
        <w:t xml:space="preserve">If reliance is necessary but not sufficient for access, then the policy question is not whether to rely but how reliance is governed. Three implications follow for policymakers, national regulators and those who finance regulatory strengthening. First, reliance frameworks are likely to deliver more where they are paired with market-shaping, local production, diagnostics and capacity strengthening, since faster authorization alone does not secure supply or affordability. Second, decision-makers should specify, in advance, whose capacity is expected to grow as a result of a reliance arrangement, because the current literature appears to offer them little guidance on this point. Third, we propose that future reliance frameworks incorporate an </w:t>
      </w:r>
      <w:r>
        <w:rPr>
          <w:i/>
        </w:rPr>
        <w:t>equity audit</w:t>
      </w:r>
      <w:r>
        <w:t>, defined as an ex-ante assessment of who gains faster access, whose regulatory capacity is built, and who remains dependent. The three questions that constitute the audit follow directly from the three findings reported above, so the instrument rests on the observed structure of the field rather than on a prior normative scheme. It is specified here at the level of a governance standard, with indicator selection and data sources set out as the third item of the research agenda below, and it has the property that policymakers need most in this area: it can be applied before a reliance arrangement is signed rather than evaluated after it has failed.</w:t>
      </w:r>
    </w:p>
    <w:p>
      <w:pPr>
        <w:pStyle w:val="Heading2"/>
      </w:pPr>
      <w:r>
        <w:t>4.6 Strengths and limitations</w:t>
      </w:r>
    </w:p>
    <w:p>
      <w:r>
        <w:t>Four features of the design determine what this map can be used for, and it is worth stating them plainly. The corpus covers three databases and the WHO institutional repository, so it brings grey literature and policy documents in alongside journal articles, and it is extended by a Chinese-language search that no previous review in this area has run, giving coverage of this field wider than that assembled heretofore. Relevance screening followed pre-specified automated rules with an exclusion reason recorded for every rejected record, and the corpus, the PRISMA transparency file and the analysis scripts are deposited for reuse. The thematic structure rests on two procedures that share no input beyond the corpus and converged on the same three themes. And because the map is anchored by qualitative coding, it reports the arguments advanced in the most influential papers rather than their citation counts alone.</w:t>
      </w:r>
    </w:p>
    <w:p>
      <w:r>
        <w:t>The constraints follow from the sources rather than from any choice made in the analysis. Affiliation was recoverable for 27.3% of the English-indexed records, and the country analysis should be read with that ceiling in mind, as set out in Section 2.5. Citation-based indicators favour already-visible, English-language, high-income-linked work, which is why the qualitative synthesis drew on a relevance-confirmed subset. Records from 2025 and 2026 remain partially indexed, so counts for 2026 are retained without being interpreted as a complete-year trend. None of these three constraints bears on the two findings on which the argument rests, since the convergence of the computational and qualitative procedures and the shape of the outcome-evidence gap are both established on the coded subset of the most-cited records.</w:t>
      </w:r>
    </w:p>
    <w:p>
      <w:pPr>
        <w:pStyle w:val="Heading1"/>
      </w:pPr>
      <w:r>
        <w:t>5. Conclusion</w:t>
      </w:r>
    </w:p>
    <w:p>
      <w:r>
        <w:t>Regulatory reliance for medicines access in LMICs has matured into a recognizable and rapidly growing field with a stable thematic structure, which this study maps for the first time across English-indexed, WHO and Chinese-language sources. Two procedures that share no input beyond the corpus, namely computational clustering and qualitative coding of the most influential records, return the same three themes, which suggests that the structure reflects the field rather than either procedure. Within it the evidence is asymmetric in a way that matters for policy: reliance mechanisms are documented in detail and shown to lower regulatory barriers, whereas their effects on price, availability and coverage are traced only for vaccines and a narrow set of priority products, and the question of whose regulatory capacity grows is rarely asked. Reliance is therefore a necessary but not sufficient condition for medicines access in LMICs, and the distance between the two is a governance gap rather than a regulatory one. The equity audit proposed here closes that gap at the point where it can still be acted upon, before a reliance arrangement is signed rather than after it has failed. Mobilising twenty-six years of scholarship in this way achieves something that no single study of one reliance mechanism can: it shows decision-makers what the field has established, and it shows them precisely where the field has stopped asking.</w:t>
      </w:r>
    </w:p>
    <w:p>
      <w:r>
        <w:rPr>
          <w:b/>
        </w:rPr>
        <w:t>Future research agenda.</w:t>
      </w:r>
      <w:r>
        <w:t xml:space="preserve"> Three directions follow, each of which is oriented toward a policy decision that reliance frameworks require. (i) </w:t>
      </w:r>
      <w:r>
        <w:rPr>
          <w:i/>
        </w:rPr>
        <w:t>Outcome evidence.</w:t>
      </w:r>
      <w:r>
        <w:t xml:space="preserve"> Longitudinal studies tracking price, supply and treatment coverage after the adoption of reliance are needed to convert the mechanism-rich evidence of this field into demonstrated access outcomes. (ii) </w:t>
      </w:r>
      <w:r>
        <w:rPr>
          <w:i/>
        </w:rPr>
        <w:t>Regulatory autonomy.</w:t>
      </w:r>
      <w:r>
        <w:t xml:space="preserve"> Empirical assessment of how reliance affects the regulatory autonomy and capacity of LMIC agencies, and of the conditions under which dependence is entrenched rather than capacity built, remains scarce. (iii) </w:t>
      </w:r>
      <w:r>
        <w:rPr>
          <w:i/>
        </w:rPr>
        <w:t>Operationalising the equity audit.</w:t>
      </w:r>
      <w:r>
        <w:t xml:space="preserve"> The indicators, data sources and governance entry points of an equity audit must be specified so that reliance frameworks can be held accountable for equitable access.</w:t>
      </w:r>
    </w:p>
    <w:p>
      <w:pPr>
        <w:pStyle w:val="Heading1"/>
      </w:pPr>
      <w:r>
        <w:t>References</w:t>
      </w:r>
    </w:p>
    <w:p>
      <w:pPr>
        <w:spacing w:after="80" w:line="276" w:lineRule="auto"/>
        <w:ind w:left="720" w:hanging="720"/>
        <w:jc w:val="left"/>
      </w:pPr>
      <w:r>
        <w:t>African Union. Treaty for the Establishment of the African Medicines Agency. Malabo: African Union; 2019.</w:t>
      </w:r>
    </w:p>
    <w:p>
      <w:pPr>
        <w:spacing w:after="80" w:line="276" w:lineRule="auto"/>
        <w:ind w:left="720" w:hanging="720"/>
        <w:jc w:val="left"/>
      </w:pPr>
      <w:r>
        <w:t>Aria M, Cuccurullo C. bibliometrix: An R-tool for comprehensive science mapping. Journal of Informetrics. 2017;11(4):959–975. https://doi.org/10.1016/j.joi.2017.08.007</w:t>
      </w:r>
    </w:p>
    <w:p>
      <w:pPr>
        <w:spacing w:after="80" w:line="276" w:lineRule="auto"/>
        <w:ind w:left="720" w:hanging="720"/>
        <w:jc w:val="left"/>
      </w:pPr>
      <w:r>
        <w:t>Barton I, Avanceña ALV, Gounden N, Anupindi R. Unintended consequences and hidden obstacles in medicine access in Sub-Saharan Africa. Frontiers in Public Health. 2019;7:342. https://doi.org/10.3389/fpubh.2019.00342</w:t>
      </w:r>
    </w:p>
    <w:p>
      <w:pPr>
        <w:spacing w:after="80" w:line="276" w:lineRule="auto"/>
        <w:ind w:left="720" w:hanging="720"/>
        <w:jc w:val="left"/>
      </w:pPr>
      <w:r>
        <w:t>Cameron A, Ewen M, Ross-Degnan D, Ball D, Laing R. Medicine prices, availability, and affordability in 36 developing and middle-income countries: a secondary analysis. The Lancet. 2009;373(9659):240–249. https://doi.org/10.1016/S0140-6736(08)61762-6</w:t>
      </w:r>
    </w:p>
    <w:p>
      <w:pPr>
        <w:spacing w:after="80" w:line="276" w:lineRule="auto"/>
        <w:ind w:left="720" w:hanging="720"/>
        <w:jc w:val="left"/>
      </w:pPr>
      <w:r>
        <w:t>Cobo MJ, López-Herrera AG, Herrera-Viedma E, Herrera F. Science mapping software tools: Review, analysis, and cooperative study among tools. Journal of the American Society for Information Science and Technology. 2011;62(7):1382–1402. https://doi.org/10.1002/asi.21525</w:t>
      </w:r>
    </w:p>
    <w:p>
      <w:pPr>
        <w:spacing w:after="80" w:line="276" w:lineRule="auto"/>
        <w:ind w:left="720" w:hanging="720"/>
        <w:jc w:val="left"/>
      </w:pPr>
      <w:r>
        <w:t>Dellepiane N, Wood D. Twenty-five years of the WHO vaccines prequalification programme (1987–2012). Vaccine. 2015;33(1):52–61. https://doi.org/10.1016/j.vaccine.2013.11.066</w:t>
      </w:r>
    </w:p>
    <w:p>
      <w:pPr>
        <w:spacing w:after="80" w:line="276" w:lineRule="auto"/>
        <w:ind w:left="720" w:hanging="720"/>
        <w:jc w:val="left"/>
      </w:pPr>
      <w:r>
        <w:t>Donthu N, Kumar S, Mukherjee D, Pandey N, Lim WM. How to conduct a bibliometric analysis: An overview and guidelines. Journal of Business Research. 2021;133:285–296. https://doi.org/10.1016/j.jbusres.2021.04.070</w:t>
      </w:r>
    </w:p>
    <w:p>
      <w:pPr>
        <w:spacing w:after="80" w:line="276" w:lineRule="auto"/>
        <w:ind w:left="720" w:hanging="720"/>
        <w:jc w:val="left"/>
      </w:pPr>
      <w:r>
        <w:t>Douglass CH, Pedrana A, Lazarus JV, 't Hoen EFM, Hammad R, Baptista Leite R, et al. Pathways to ensure universal and affordable access to hepatitis C treatment. BMC Medicine. 2018;16:169. https://doi.org/10.1186/s12916-018-1162-z</w:t>
      </w:r>
    </w:p>
    <w:p>
      <w:pPr>
        <w:spacing w:after="80" w:line="276" w:lineRule="auto"/>
        <w:ind w:left="720" w:hanging="720"/>
        <w:jc w:val="left"/>
      </w:pPr>
      <w:r>
        <w:t>EFPIA. ASEAN Joint Assessment (AJA) for Pharmaceuticals – How should it evolve? Position Paper. 28 May 2024.</w:t>
      </w:r>
    </w:p>
    <w:p>
      <w:pPr>
        <w:spacing w:after="80" w:line="276" w:lineRule="auto"/>
        <w:ind w:left="720" w:hanging="720"/>
        <w:jc w:val="left"/>
      </w:pPr>
      <w:r>
        <w:t>Geraci G, Smith R, Hansford A, Johnsson E, Critchley H, Abi Khaled L, et al. Industry Perceptions and Experiences with the Access Consortium New Active Substance Work-Sharing Initiative (NASWSI): Survey Results and Recommendations. Therapeutic Innovation &amp; Regulatory Science. 2024;58:557–566. https://doi.org/10.1007/s43441-024-00624-7</w:t>
      </w:r>
    </w:p>
    <w:p>
      <w:pPr>
        <w:spacing w:after="80" w:line="276" w:lineRule="auto"/>
        <w:ind w:left="720" w:hanging="720"/>
        <w:jc w:val="left"/>
      </w:pPr>
      <w:r>
        <w:t>Guzman J, O'Connell E, Kikule K, Hafner T. The WHO Global Benchmarking Tool: a game changer for strengthening national regulatory capacity. BMJ Global Health. 2020;5(8):e003181. https://doi.org/10.1136/bmjgh-2020-003181</w:t>
      </w:r>
    </w:p>
    <w:p>
      <w:pPr>
        <w:spacing w:after="80" w:line="276" w:lineRule="auto"/>
        <w:ind w:left="720" w:hanging="720"/>
        <w:jc w:val="left"/>
      </w:pPr>
      <w:r>
        <w:t>He X, Pu Y, Li Z, Huan S, Yang Y. The global regulatory landscape for combined vaccines: A comparative case study of registration strategies for diphtheria-tetanus-pertussis-containing vaccines. Vaccine. 2025;54:127017. https://doi.org/10.1016/j.vaccine.2025.127017</w:t>
      </w:r>
    </w:p>
    <w:p>
      <w:pPr>
        <w:spacing w:after="80" w:line="276" w:lineRule="auto"/>
        <w:ind w:left="720" w:hanging="720"/>
        <w:jc w:val="left"/>
      </w:pPr>
      <w:r>
        <w:t>Hu Y, Wang Z, Zhou S, Yang J, Chen Y, Wang Y, et al. Redefining Debt-to-Health, a triple-win health financing instrument in global health. Globalization and Health. 2024;20:39. https://doi.org/10.1186/s12992-024-01043-x</w:t>
      </w:r>
    </w:p>
    <w:p>
      <w:pPr>
        <w:spacing w:after="80" w:line="276" w:lineRule="auto"/>
        <w:ind w:left="720" w:hanging="720"/>
        <w:jc w:val="left"/>
      </w:pPr>
      <w:r>
        <w:t>International Coalition of Medicines Regulatory Authorities (ICMRA). Statement from Global Medicines Regulators on the Value of Regulatory Reliance. 2017. https://icmra.info/drupal/index.php/en/strategicinitatives/reliance/statement</w:t>
      </w:r>
    </w:p>
    <w:p>
      <w:pPr>
        <w:spacing w:after="80" w:line="276" w:lineRule="auto"/>
        <w:ind w:left="720" w:hanging="720"/>
        <w:jc w:val="left"/>
      </w:pPr>
      <w:r>
        <w:t>Khadem Broojerdi A, Sillo HB, Ostad Ali Dehaghi R, Ward M, Refaat M, Parry J. The WHO Global Benchmarking Tool: an instrument to strengthen medical products regulation and promote universal health coverage. Frontiers in Medicine (Lausanne). 2020;7:457. https://doi.org/10.3389/fmed.2020.00457</w:t>
      </w:r>
    </w:p>
    <w:p>
      <w:pPr>
        <w:spacing w:after="80" w:line="276" w:lineRule="auto"/>
        <w:ind w:left="720" w:hanging="720"/>
        <w:jc w:val="left"/>
      </w:pPr>
      <w:r>
        <w:t>Kleinberg J. Bursty and hierarchical structure in streams. Data Mining and Knowledge Discovery. 2002;7(4):373–397. https://doi.org/10.1023/A:1024940629314</w:t>
      </w:r>
    </w:p>
    <w:p>
      <w:pPr>
        <w:spacing w:after="80" w:line="276" w:lineRule="auto"/>
        <w:ind w:left="720" w:hanging="720"/>
        <w:jc w:val="left"/>
      </w:pPr>
      <w:r>
        <w:t>Liu Z, Wang Z, Xu M, Ma J, Sun Y, Huang Y. The priority areas and possible pathways for health cooperation in BRICS countries. Global Health Research and Policy. 2023;8:36. https://doi.org/10.1186/s41256-023-00318-x</w:t>
      </w:r>
    </w:p>
    <w:p>
      <w:pPr>
        <w:spacing w:after="80" w:line="276" w:lineRule="auto"/>
        <w:ind w:left="720" w:hanging="720"/>
        <w:jc w:val="left"/>
      </w:pPr>
      <w:r>
        <w:t>Ndomondo-Sigonda M, Miot J, Naidoo S, Ambal A, Dodoo A, Mkandawire H. The African Medicines Regulatory Harmonization initiative: Progress to date. Medical Research Archives. 2018.</w:t>
      </w:r>
    </w:p>
    <w:p>
      <w:pPr>
        <w:spacing w:after="80" w:line="276" w:lineRule="auto"/>
        <w:ind w:left="720" w:hanging="720"/>
        <w:jc w:val="left"/>
      </w:pPr>
      <w:r>
        <w:t>Ndomondo-Sigonda M, Azatyan S, Doerr P, Agaba C, Harper KN. Best practices in the African Medicines Regulatory Harmonization initiative: Perspectives of regulators and medicines manufacturers. PLOS Global Public Health. 2023;3(4):e0001651. https://doi.org/10.1371/journal.pgph.0001651</w:t>
      </w:r>
    </w:p>
    <w:p>
      <w:pPr>
        <w:spacing w:after="80" w:line="276" w:lineRule="auto"/>
        <w:ind w:left="720" w:hanging="720"/>
        <w:jc w:val="left"/>
      </w:pPr>
      <w:r>
        <w:t>Ngum N, Ndomondo-Sigonda M, Walker S, Salek G. Regional regulatory harmonisation initiatives: Their potential contribution to the newly established African Medicines Agency. Regulatory Toxicology and Pharmacology. 2023;105497. https://doi.org/10.1016/j.yrtph.2023.105497</w:t>
      </w:r>
    </w:p>
    <w:p>
      <w:pPr>
        <w:spacing w:after="80" w:line="276" w:lineRule="auto"/>
        <w:ind w:left="720" w:hanging="720"/>
        <w:jc w:val="left"/>
      </w:pPr>
      <w:r>
        <w:t>Page MJ, McKenzie JE, Bossuyt PM, Boutron I, Hoffmann TC, Mulrow CD, et al. The PRISMA 2020 statement: an updated guideline for reporting systematic reviews. BMJ. 2021;372:n71. https://doi.org/10.1136/bmj.n71</w:t>
      </w:r>
    </w:p>
    <w:p>
      <w:pPr>
        <w:spacing w:after="80" w:line="276" w:lineRule="auto"/>
        <w:ind w:left="720" w:hanging="720"/>
        <w:jc w:val="left"/>
      </w:pPr>
      <w:r>
        <w:t>Qiao J, Zhan S, Ren M, Wang H, Huang Y, Zhang Z, et al. A new phase of China-ASEAN health cooperation: the China-ASEAN Beijing Declaration on Cooperation in Innovation of Health Products and Technologies. Global Health Research and Policy. 2025;10:3. https://doi.org/10.1186/s41256-024-00401-x</w:t>
      </w:r>
    </w:p>
    <w:p>
      <w:pPr>
        <w:spacing w:after="80" w:line="276" w:lineRule="auto"/>
        <w:ind w:left="720" w:hanging="720"/>
        <w:jc w:val="left"/>
      </w:pPr>
      <w:r>
        <w:t>Ratanawijitrasin S, Wondemagegnehu E. Effective drug regulation: a multicountry study. Geneva: World Health Organization; 2002.</w:t>
      </w:r>
    </w:p>
    <w:p>
      <w:pPr>
        <w:spacing w:after="80" w:line="276" w:lineRule="auto"/>
        <w:ind w:left="720" w:hanging="720"/>
        <w:jc w:val="left"/>
      </w:pPr>
      <w:r>
        <w:t>Rägo L, Santoso B. Drug regulation: history, present and future. In: van Boxtel CJ, Santoso B, Edwards IR, eds. Drug Benefits and Risks: International Textbook of Clinical Pharmacology. 2nd ed. Amsterdam: Elsevier; 2008.</w:t>
      </w:r>
    </w:p>
    <w:p>
      <w:pPr>
        <w:spacing w:after="80" w:line="276" w:lineRule="auto"/>
        <w:ind w:left="720" w:hanging="720"/>
        <w:jc w:val="left"/>
      </w:pPr>
      <w:r>
        <w:t>Sun Y, Cui Y, Huang Y, Xu M. Access to antimalarial drugs in the Asia-Pacific region during health emergency: a multinational cross-sectional investigation between 2020 and 2022. Global Health Research and Policy. 2025;10:66. https://doi.org/10.1186/s41256-025-00454-6</w:t>
      </w:r>
    </w:p>
    <w:p>
      <w:pPr>
        <w:spacing w:after="80" w:line="276" w:lineRule="auto"/>
        <w:ind w:left="720" w:hanging="720"/>
        <w:jc w:val="left"/>
      </w:pPr>
      <w:r>
        <w:t>United Nations. The Sustainable Development Goals Report 2023. New York: United Nations; 2023.</w:t>
      </w:r>
    </w:p>
    <w:p>
      <w:pPr>
        <w:spacing w:after="80" w:line="276" w:lineRule="auto"/>
        <w:ind w:left="720" w:hanging="720"/>
        <w:jc w:val="left"/>
      </w:pPr>
      <w:r>
        <w:t>Vaz A, Roldão Santos M, Gwaza L, Mezquita González E, Pajewska Lewandowska M, Azatyan S, et al. WHO collaborative registration procedure using stringent regulatory authorities' medicine evaluation: reliance in action? Expert Review of Clinical Pharmacology. 2022. https://doi.org/10.1080/17512433.2022.2037419</w:t>
      </w:r>
    </w:p>
    <w:p>
      <w:pPr>
        <w:spacing w:after="80" w:line="276" w:lineRule="auto"/>
        <w:ind w:left="720" w:hanging="720"/>
        <w:jc w:val="left"/>
      </w:pPr>
      <w:r>
        <w:t>World Health Organization. Regulatory reliance: a global imperative. WHO Drug Information. 2017;31(1):17–21.</w:t>
      </w:r>
    </w:p>
    <w:p>
      <w:pPr>
        <w:spacing w:after="80" w:line="276" w:lineRule="auto"/>
        <w:ind w:left="720" w:hanging="720"/>
        <w:jc w:val="left"/>
      </w:pPr>
      <w:r>
        <w:t>World Health Organization. The selection and use of essential medicines: report of the WHO Expert Committee, 2019. Geneva: World Health Organization; 2019.</w:t>
      </w:r>
    </w:p>
    <w:p>
      <w:pPr>
        <w:spacing w:after="80" w:line="276" w:lineRule="auto"/>
        <w:ind w:left="720" w:hanging="720"/>
        <w:jc w:val="left"/>
      </w:pPr>
      <w:r>
        <w:t>World Health Organization. World health statistics 2023: monitoring health for the SDGs. Geneva: World Health Organization; 2023.</w:t>
      </w:r>
    </w:p>
    <w:p>
      <w:pPr>
        <w:spacing w:after="80" w:line="276" w:lineRule="auto"/>
        <w:ind w:left="720" w:hanging="720"/>
        <w:jc w:val="left"/>
      </w:pPr>
      <w:r>
        <w:t>Wirtz VJ, Hogerzeil HV, Gray AL, Bigdeli M, de Joncheere K, Ewen M, et al. Essential medicines for universal health coverage. The Lancet. 2017;389(10067):403–476. https://doi.org/10.1016/S0140-6736(16)31599-9</w:t>
      </w:r>
    </w:p>
    <w:p>
      <w:pPr>
        <w:spacing w:after="80" w:line="276" w:lineRule="auto"/>
        <w:ind w:left="720" w:hanging="720"/>
        <w:jc w:val="left"/>
      </w:pPr>
      <w:r>
        <w:t>Wouters OJ, Shadlen KC, Salcher-Konrad M, Pollard AJ, Larson HJ, Teyssou E, et al. Challenges in ensuring global access to COVID-19 vaccines: production, distribution, and strain diversity. The Lancet. 2021;397(10278):1023–1034. https://doi.org/10.1016/S0140-6736(21)00306-8</w:t>
      </w:r>
    </w:p>
    <w:p>
      <w:pPr>
        <w:spacing w:after="80" w:line="276" w:lineRule="auto"/>
        <w:ind w:left="720" w:hanging="720"/>
        <w:jc w:val="left"/>
      </w:pPr>
      <w:r>
        <w:t>Xu M, Zhang L, Feng X, Zhang Z, Huang Y. Regulatory reliance for convergence and harmonisation in the medical device space in Asia-Pacific. BMJ Global Health. 2022;7:e009798. https://doi.org/10.1136/bmjgh-2022-009798</w:t>
      </w:r>
    </w:p>
    <w:p>
      <w:pPr>
        <w:spacing w:after="80" w:line="276" w:lineRule="auto"/>
        <w:ind w:left="720" w:hanging="720"/>
        <w:jc w:val="left"/>
      </w:pPr>
      <w:r>
        <w:t>Xu M, Hu Y, Lu S, Idris MA, Zhou S, Yang J, et al. Seasonal malaria chemoprevention in Africa and China's upgraded role as a contributor: a scoping review. Infectious Diseases of Poverty. 2023;12:63. https://doi.org/10.1186/s40249-023-01115-x</w:t>
      </w:r>
    </w:p>
    <w:p>
      <w:pPr>
        <w:spacing w:after="80" w:line="276" w:lineRule="auto"/>
        <w:ind w:left="720" w:hanging="720"/>
        <w:jc w:val="left"/>
      </w:pPr>
      <w:r>
        <w:t>Yang J, Feng X, Zhou S, Zhang L, Hu Y, Chen Y, et al. Evolving market-shaping strategies to boost access to essential medical products in developing countries with HIV self-testing as a case study. Global Health Research and Policy. 2023;8:26. https://doi.org/10.1186/s41256-023-00310-5</w:t>
      </w:r>
    </w:p>
    <w:p>
      <w:pPr>
        <w:spacing w:after="80" w:line="276" w:lineRule="auto"/>
        <w:ind w:left="720" w:hanging="720"/>
        <w:jc w:val="left"/>
      </w:pPr>
      <w:r>
        <w:t>Yang J, Yu X, Yao Y, Zhao W, Chen Y, Wang Z, et al. Analysis of the impact of national centralized volume-based procurement drug policy on the market dynamics of tuberculosis drugs. BMC Health Services Research. 2026;26:756. https://doi.org/10.1186/s12913-026-14668-y</w:t>
      </w:r>
    </w:p>
    <w:p>
      <w:pPr>
        <w:spacing w:after="80" w:line="276" w:lineRule="auto"/>
        <w:ind w:left="720" w:hanging="720"/>
        <w:jc w:val="left"/>
      </w:pPr>
      <w:r>
        <w:t>Zhou S, Feng X, Hu Y, Yang J, Chen Y, Bastow J, et al. Factors associated with the utilization of diagnostic tools among countries with different income levels during the COVID-19 pandemic. Global Health Research and Policy. 2023;8:45. https://doi.org/10.1186/s41256-023-00330-1</w:t>
      </w:r>
    </w:p>
    <w:p>
      <w:pPr>
        <w:spacing w:after="80" w:line="276" w:lineRule="auto"/>
        <w:ind w:left="720" w:hanging="720"/>
        <w:jc w:val="left"/>
      </w:pPr>
      <w:r>
        <w:t>An FD, Wang L, Zhou XB, Wen HR, Zhao MM, Wang QL. Boosting the modernization of drug regulatory science through the establishment of an innovative method evaluation system. Chinese Pharmaceutical Affairs. 2026. https://doi.org/10.16153/j.1002-7777.2026-04-0047</w:t>
      </w:r>
    </w:p>
    <w:p>
      <w:pPr>
        <w:spacing w:after="80" w:line="276" w:lineRule="auto"/>
        <w:ind w:left="720" w:hanging="720"/>
        <w:jc w:val="left"/>
      </w:pPr>
      <w:r>
        <w:t>Du J, Wang X, Zhou Y. Implications of applying for PIC/S membership for drug inspection system development. China Food and Drug Administration. 2026;(5). https://doi.org/10.3969/j.issn.1673-5390.2026.05.010</w:t>
      </w:r>
    </w:p>
    <w:p>
      <w:pPr>
        <w:spacing w:after="80" w:line="276" w:lineRule="auto"/>
        <w:ind w:left="720" w:hanging="720"/>
        <w:jc w:val="left"/>
      </w:pPr>
      <w:r>
        <w:t>Li N, Liang Y. Introduction and enlightenment of GMP inspection reliance in PIC/S. Chinese Journal of Modern Applied Pharmacy. 2019;36(14):1833–1836. https://doi.org/10.13748/j.cnki.issn1007-7693.2019.14.023</w:t>
      </w:r>
    </w:p>
    <w:p>
      <w:pPr>
        <w:spacing w:after="80" w:line="276" w:lineRule="auto"/>
        <w:ind w:left="720" w:hanging="720"/>
        <w:jc w:val="left"/>
      </w:pPr>
      <w:r>
        <w:t>Li Z, Xu Q, Zhang S, et al. Research and reflection on the development of international regulatory harmonization of pharmaceutics. Health Development and Policy Research. 2024;27(5):417–424. https://doi.org/10.12458/HDPR.202406009</w:t>
      </w:r>
    </w:p>
    <w:p>
      <w:pPr>
        <w:spacing w:after="80" w:line="276" w:lineRule="auto"/>
        <w:ind w:left="720" w:hanging="720"/>
        <w:jc w:val="left"/>
      </w:pPr>
      <w:r>
        <w:t>Zhang F, Zhang Z, Song R. Overview of WHO regulatory assessment system and reflection on the internationalization of China's drug regulation. China Food and Drug Administration. 2024;(7). https://doi.org/10.3969/j.issn.1673-5390.2024.07.002</w:t>
      </w:r>
    </w:p>
    <w:p>
      <w:pPr>
        <w:spacing w:after="80" w:line="276" w:lineRule="auto"/>
        <w:ind w:left="720" w:hanging="720"/>
        <w:jc w:val="left"/>
      </w:pPr>
      <w:r>
        <w:t>Zhang Y, Ma M, Wang Y, Shao R. A preliminary analysis of WHO's initiatives and tools for promoting the improvement of medical product regulatory capacity worldwide (part II). Chinese New Drugs Journal. 2026;35(9):924–931. https://doi.org/10.20251/j.cnki.1003-3734.2026.09.005</w:t>
      </w:r>
    </w:p>
    <w:p>
      <w:pPr>
        <w:spacing w:after="80" w:line="276" w:lineRule="auto"/>
        <w:ind w:left="720" w:hanging="720"/>
        <w:jc w:val="left"/>
      </w:pPr>
      <w:r>
        <w:t>Zhao Y, Wang K, Peng Y, He M, Chen Y. Practice and reflection on global drug regulatory international coordination and cooperation. China Food and Drug Administration. 2025;(9). https://doi.org/10.3969/j.issn.1673-5390.2025.09.001</w:t>
      </w:r>
    </w:p>
    <w:p>
      <w:pPr>
        <w:spacing w:after="80" w:line="276" w:lineRule="auto"/>
        <w:ind w:left="720" w:hanging="720"/>
        <w:jc w:val="left"/>
      </w:pPr>
      <w:r>
        <w:t>Zhao Y, Peng Y, Wang K, He M, Chen Y. International practice of drug regulation in the US, Japan and EU and its implications for China. China Food and Drug Administration. 2025;(9). https://doi.org/10.3969/j.issn.1673-5390.2025.09.011</w:t>
      </w:r>
    </w:p>
    <w:p>
      <w:pPr>
        <w:pStyle w:val="Heading1"/>
      </w:pPr>
      <w:r>
        <w:t>Title page and submission metadata</w:t>
      </w:r>
    </w:p>
    <w:p>
      <w:r>
        <w:rPr>
          <w:i/>
        </w:rPr>
        <w:t>Authors, affiliations, and the corresponding-author email are to be filled by the authors. The blocks below resolve the four PRISMA 2020 items 24a, 25, 26, 27.</w:t>
      </w:r>
    </w:p>
    <w:p>
      <w:r>
        <w:rPr>
          <w:b/>
        </w:rPr>
        <w:t>Title page.</w:t>
      </w:r>
      <w:r>
        <w:t xml:space="preserve"> Deyu Kong, ORCID 0009-0002-3621-5719 (affiliations 1 and 2); Minghao Huang, ORCID 0000-0001-9129-1744 (affiliation 2).</w:t>
      </w:r>
    </w:p>
    <w:p>
      <w:r>
        <w:t>Affiliations: (1) Wangjing Hospital of China Academy of Chinese Medical Sciences, Beijing, China; (2) aSSIST University (Seoul School of Integrated Sciences and Technologies), Seoul, Republic of Korea.</w:t>
      </w:r>
    </w:p>
    <w:p>
      <w:r>
        <w:t>Corresponding author: Minghao Huang, mhuang@assist.ac.kr.</w:t>
      </w:r>
    </w:p>
    <w:p>
      <w:r>
        <w:rPr>
          <w:i/>
        </w:rPr>
        <w:t>Submission correspondence (journal system contact e-mail, distinct from the corresponding-author address above): kongdeyu0819@stud.assist.ac.kr.</w:t>
      </w:r>
    </w:p>
    <w:p>
      <w:r>
        <w:rPr>
          <w:b/>
        </w:rPr>
        <w:t>Funding.</w:t>
      </w:r>
      <w:r>
        <w:t xml:space="preserve"> This research received no specific grant from any funding agency in the public, commercial, or not-for-profit sectors.</w:t>
      </w:r>
    </w:p>
    <w:p>
      <w:r>
        <w:rPr>
          <w:b/>
        </w:rPr>
        <w:t>Competing interests.</w:t>
      </w:r>
      <w:r>
        <w:t xml:space="preserve"> The authors declare no competing interests.</w:t>
      </w:r>
    </w:p>
    <w:p>
      <w:r>
        <w:rPr>
          <w:b/>
        </w:rPr>
        <w:t>Registration.</w:t>
      </w:r>
      <w:r>
        <w:t xml:space="preserve"> This bibliometric review was not registered in PROSPERO. The review protocol is available as supplementary material (see "Supplementary material" below).</w:t>
      </w:r>
    </w:p>
    <w:p>
      <w:r>
        <w:rPr>
          <w:b/>
        </w:rPr>
        <w:t>Data and code availability.</w:t>
      </w:r>
      <w:r>
        <w:t xml:space="preserve"> The bibliometric corpus was derived from public sources (PubMed, Europe PMC, WHO Institutional Repository for Information Sharing), extended by a supplementary Chinese-language search of CNKI, Wanfang, and Weipu. The derived 2,071-record metadata table, the PRISMA transparency file (`prisma_transparency.json`), and the analysis scripts are available in a public repository [GitHub: https://github.com/kongdeyu0819-rgb/global-health-regulatory-bibliometrics; Zenodo: TODO_DOI]. Search strategies and the qualitative-synthesis coding framework are provided as supplementary material.</w:t>
      </w:r>
    </w:p>
    <w:p>
      <w:r>
        <w:rPr>
          <w:b/>
        </w:rPr>
        <w:t>Acknowledgements.</w:t>
      </w:r>
      <w:r>
        <w:t xml:space="preserve"> The authors thank Professor Ming Xu (Peking University) for sharing a curated collection of literature on global health and medicines regulation, from which the 50 records described in Sections 2.1 and 2.2 were identified, and for comments on an earlier draft of this manuscript. The authors alone are responsible for the analyses and conclusions reported here.</w:t>
      </w:r>
    </w:p>
    <w:p>
      <w:r>
        <w:rPr>
          <w:b/>
        </w:rPr>
        <w:t>Supplementary material.</w:t>
      </w:r>
      <w:r>
        <w:t xml:space="preserve"> (i) Full search strategies for all sources (Appendix A); (ii) the qualitative-synthesis coding framework for the 40 most-cited records; (iii) the country publication-frequency bar chart (Figure 5); (iv) the Chinese-language supplementary search protocol (Appendix B).</w:t>
      </w:r>
    </w:p>
    <w:p>
      <w:pPr>
        <w:pStyle w:val="Heading1"/>
      </w:pPr>
      <w:r>
        <w:t>Supplementary material</w:t>
      </w:r>
    </w:p>
    <w:p>
      <w:pPr>
        <w:pStyle w:val="Heading2"/>
      </w:pPr>
      <w:r>
        <w:t>Appendix A. Search strategies</w:t>
      </w:r>
    </w:p>
    <w:p>
      <w:r>
        <w:rPr>
          <w:b/>
        </w:rPr>
        <w:t>PubMed/MEDLINE</w:t>
      </w:r>
      <w:r>
        <w:t xml:space="preserve"> (MeSH-assisted; title/abstract free text):</w:t>
      </w:r>
    </w:p>
    <w:p>
      <w:r>
        <w:t>```</w:t>
      </w:r>
    </w:p>
    <w:p>
      <w:r>
        <w:t>("Drug Approval"[Mesh] OR "World Health Organization"[Mesh] OR "Drug and Narcotic Control"[Mesh] OR "Biological Products"[Mesh])</w:t>
      </w:r>
    </w:p>
    <w:p>
      <w:r>
        <w:t>OR (prequalif* OR "regulatory reliance" OR "regulatory harmonization" OR "stringent regulatory" OR "marketing authorization")</w:t>
      </w:r>
    </w:p>
    <w:p>
      <w:r>
        <w:t>AND</w:t>
      </w:r>
    </w:p>
    <w:p>
      <w:r>
        <w:t>("Access to Medicines" OR "essential medicines" OR "medicine procurement" OR "pharmaceutical procurement" OR "drug procurement"</w:t>
      </w:r>
    </w:p>
    <w:p>
      <w:r>
        <w:t>OR "Developing Countries"[Mesh] OR "Medically Underserved Area"[Mesh] OR "Africa"[Mesh] OR "Asia"[Mesh])</w:t>
      </w:r>
    </w:p>
    <w:p>
      <w:r>
        <w:t>```</w:t>
      </w:r>
    </w:p>
    <w:p>
      <w:r>
        <w:t>plus free-text terms in title/abstract: `prequalif*`, `reliance`, `harmonization`, `access to medicines`, `essential medicines`.</w:t>
      </w:r>
    </w:p>
    <w:p>
      <w:r>
        <w:rPr>
          <w:b/>
        </w:rPr>
        <w:t>Europe PMC</w:t>
      </w:r>
      <w:r>
        <w:t xml:space="preserve"> (REST API): same concept groups as PubMed, expressed as query parameters (`reliances OR prequalif* OR "regulatory reliance" …`) AND (`"access to medicines" OR "essential medicines" OR "medicine procurement" …`), restricted to 2000–2026.</w:t>
      </w:r>
    </w:p>
    <w:p>
      <w:r>
        <w:rPr>
          <w:b/>
        </w:rPr>
        <w:t>WHO IRIS</w:t>
      </w:r>
      <w:r>
        <w:t>: `regulatory reliance`, `WHO prequalification`, `collaborative registration procedure`, `Global Benchmarking Tool`, combined with `medicines` / `access` / `LMIC`, filtered to 2000–present.</w:t>
      </w:r>
    </w:p>
    <w:p>
      <w:pPr>
        <w:pStyle w:val="Heading2"/>
      </w:pPr>
      <w:r>
        <w:t>Appendix B. Chinese-language supplementary search (CNKI / Wanfang / Weipu)</w:t>
      </w:r>
    </w:p>
    <w:p>
      <w:r>
        <w:t>To include non-English literature, we searched the three major Chinese databases on 2 September 2026 with the queries below (export and full-text retrieval steps in `CNKI_Wanfang_search_protocol.md`):</w:t>
      </w:r>
    </w:p>
    <w:p>
      <w:pPr>
        <w:pStyle w:val="ListBullet"/>
      </w:pPr>
      <w:r>
        <w:rPr>
          <w:b/>
        </w:rPr>
        <w:t>CNKI</w:t>
      </w:r>
      <w:r>
        <w:t>: `SU='监管依赖' + '药品'` OR `SU='WHO预认证' + '药品可及性'` OR `SU='药品监管' + '国际互认'`</w:t>
      </w:r>
    </w:p>
    <w:p>
      <w:pPr>
        <w:pStyle w:val="ListBullet"/>
      </w:pPr>
      <w:r>
        <w:rPr>
          <w:b/>
        </w:rPr>
        <w:t>Wanfang</w:t>
      </w:r>
      <w:r>
        <w:t>: `主题:("监管依赖" OR "WHO预认证") AND "药品"`</w:t>
      </w:r>
    </w:p>
    <w:p>
      <w:pPr>
        <w:pStyle w:val="ListBullet"/>
      </w:pPr>
      <w:r>
        <w:rPr>
          <w:b/>
        </w:rPr>
        <w:t>Weipu (VIP)</w:t>
      </w:r>
      <w:r>
        <w:t>: `M=('监管科学' + '药品审评审批' + '国际互认')`</w:t>
      </w:r>
    </w:p>
    <w:p>
      <w:r>
        <w:t>Eight relevant Chinese peer-reviewed records (2024–2026) were retrieved as full text and merged into the analytical corpus: Li et al. 2024 (international regulatory harmonization), Zhang et al. 2026 (WHO GBT/WLA and good reliance practices), Zhang et al. 2024 (WHO regulatory assessment system), Zhao et al. 2025 (global coordination/harmonization), Li &amp; Liang 2019 (PIC/S GMP inspection reliance), Zhao et al. 2025 (US–Japan–EU practice), Du et al. 2026 (PIC/S accession), and An et al. 2026 (regulatory science modernization). Their English keywords were extracted and mapped to the corpus vocabulary, so they enter the annual, journal, keyword, and cluster analyses. They confirm a distinct "China as emerging regulator and producer" sub-theme that reinforces Cluster 1 and were under-represented in the English-indexed corpus; they carry no structured affiliation and therefore do not enter the country-collaboration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76" w:lineRule="auto" w:before="240"/>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reliance for medicines access in low- and middle-income countries: a bibliometric review and thematic synthesis, 2000-2025</dc:title>
  <dc:subject/>
  <dc:creator>[Authors - to be filled]</dc:creator>
  <cp:keywords/>
  <dc:description>HPP-styled draft. References in Author-Date (Harvard) style.</dc:description>
  <cp:lastModifiedBy/>
  <cp:revision>1</cp:revision>
  <dcterms:created xsi:type="dcterms:W3CDTF">2013-12-23T23:15:00Z</dcterms:created>
  <dcterms:modified xsi:type="dcterms:W3CDTF">2013-12-23T23:15:00Z</dcterms:modified>
  <cp:category/>
</cp:coreProperties>
</file>