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78A" w:rsidRPr="003A6822" w:rsidRDefault="003C278A" w:rsidP="003C278A">
      <w:pPr>
        <w:jc w:val="center"/>
        <w:rPr>
          <w:rFonts w:ascii="Garamond" w:hAnsi="Garamond"/>
          <w:b/>
          <w:lang w:val="en-IE"/>
        </w:rPr>
      </w:pPr>
      <w:bookmarkStart w:id="0" w:name="_GoBack"/>
      <w:bookmarkEnd w:id="0"/>
      <w:r w:rsidRPr="003A6822">
        <w:rPr>
          <w:rFonts w:ascii="Garamond" w:hAnsi="Garamond"/>
          <w:b/>
          <w:lang w:val="en-IE"/>
        </w:rPr>
        <w:t>An Chúirt Uachtarach</w:t>
      </w:r>
    </w:p>
    <w:p w:rsidR="003C278A" w:rsidRPr="003A6822" w:rsidRDefault="0002108B" w:rsidP="003C278A">
      <w:pPr>
        <w:jc w:val="center"/>
        <w:rPr>
          <w:rFonts w:ascii="Garamond" w:hAnsi="Garamond"/>
        </w:rPr>
      </w:pPr>
      <w:r w:rsidRPr="003A6822">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81pt">
            <v:imagedata r:id="rId8" o:title=""/>
          </v:shape>
        </w:pict>
      </w:r>
    </w:p>
    <w:p w:rsidR="0002108B" w:rsidRPr="003A6822" w:rsidRDefault="0002108B" w:rsidP="0002108B">
      <w:pPr>
        <w:jc w:val="center"/>
        <w:rPr>
          <w:rFonts w:ascii="Garamond" w:hAnsi="Garamond"/>
          <w:b/>
          <w:lang w:val="en-IE"/>
        </w:rPr>
      </w:pPr>
      <w:r w:rsidRPr="003A6822">
        <w:rPr>
          <w:rFonts w:ascii="Garamond" w:hAnsi="Garamond"/>
          <w:b/>
          <w:lang w:val="en-IE"/>
        </w:rPr>
        <w:t>The Supreme Court</w:t>
      </w:r>
    </w:p>
    <w:p w:rsidR="003C278A" w:rsidRPr="003A6822" w:rsidRDefault="003C278A" w:rsidP="003C278A">
      <w:pPr>
        <w:jc w:val="center"/>
        <w:rPr>
          <w:rFonts w:ascii="Garamond" w:hAnsi="Garamond"/>
        </w:rPr>
      </w:pPr>
    </w:p>
    <w:p w:rsidR="004C30BF" w:rsidRPr="00CF65BF" w:rsidRDefault="004C30BF" w:rsidP="003C278A">
      <w:pPr>
        <w:rPr>
          <w:rFonts w:ascii="Garamond" w:hAnsi="Garamond"/>
        </w:rPr>
      </w:pPr>
      <w:r>
        <w:rPr>
          <w:rFonts w:ascii="Garamond" w:hAnsi="Garamond"/>
        </w:rPr>
        <w:t>Dunne J</w:t>
      </w:r>
    </w:p>
    <w:p w:rsidR="003C278A" w:rsidRPr="00CF65BF" w:rsidRDefault="003C278A" w:rsidP="003C278A">
      <w:pPr>
        <w:rPr>
          <w:rFonts w:ascii="Garamond" w:hAnsi="Garamond"/>
        </w:rPr>
      </w:pPr>
      <w:r w:rsidRPr="003A6822">
        <w:rPr>
          <w:rFonts w:ascii="Garamond" w:hAnsi="Garamond"/>
        </w:rPr>
        <w:t>Charleton J</w:t>
      </w:r>
    </w:p>
    <w:p w:rsidR="00F26125" w:rsidRDefault="00F26125" w:rsidP="003C278A">
      <w:pPr>
        <w:rPr>
          <w:rFonts w:ascii="Garamond" w:hAnsi="Garamond"/>
        </w:rPr>
      </w:pPr>
      <w:r>
        <w:rPr>
          <w:rFonts w:ascii="Garamond" w:hAnsi="Garamond"/>
        </w:rPr>
        <w:t>Baker J</w:t>
      </w:r>
    </w:p>
    <w:p w:rsidR="00C75F8C" w:rsidRDefault="00F26125" w:rsidP="003C278A">
      <w:pPr>
        <w:rPr>
          <w:rFonts w:ascii="Garamond" w:hAnsi="Garamond"/>
        </w:rPr>
      </w:pPr>
      <w:proofErr w:type="spellStart"/>
      <w:r>
        <w:rPr>
          <w:rFonts w:ascii="Garamond" w:hAnsi="Garamond"/>
        </w:rPr>
        <w:t>Woulfe</w:t>
      </w:r>
      <w:proofErr w:type="spellEnd"/>
      <w:r>
        <w:rPr>
          <w:rFonts w:ascii="Garamond" w:hAnsi="Garamond"/>
        </w:rPr>
        <w:t xml:space="preserve"> J</w:t>
      </w:r>
    </w:p>
    <w:p w:rsidR="00F26125" w:rsidRDefault="00C75F8C" w:rsidP="003C278A">
      <w:pPr>
        <w:rPr>
          <w:rFonts w:ascii="Garamond" w:hAnsi="Garamond"/>
        </w:rPr>
      </w:pPr>
      <w:r>
        <w:rPr>
          <w:rFonts w:ascii="Garamond" w:hAnsi="Garamond"/>
        </w:rPr>
        <w:t>Hogan J</w:t>
      </w:r>
      <w:r w:rsidR="00F26125">
        <w:rPr>
          <w:rFonts w:ascii="Garamond" w:hAnsi="Garamond"/>
        </w:rPr>
        <w:t xml:space="preserve"> </w:t>
      </w:r>
    </w:p>
    <w:p w:rsidR="003C278A" w:rsidRPr="003A6822" w:rsidRDefault="003C278A" w:rsidP="003C278A">
      <w:pPr>
        <w:jc w:val="center"/>
        <w:rPr>
          <w:rFonts w:ascii="Garamond" w:hAnsi="Garamond"/>
        </w:rPr>
      </w:pPr>
    </w:p>
    <w:p w:rsidR="003C278A" w:rsidRPr="003A6822" w:rsidRDefault="00000735" w:rsidP="003C278A">
      <w:pPr>
        <w:jc w:val="right"/>
        <w:rPr>
          <w:rFonts w:ascii="Garamond" w:hAnsi="Garamond"/>
        </w:rPr>
      </w:pPr>
      <w:r w:rsidRPr="003A6822">
        <w:rPr>
          <w:rFonts w:ascii="Garamond" w:hAnsi="Garamond"/>
        </w:rPr>
        <w:t>Supreme Court a</w:t>
      </w:r>
      <w:r w:rsidR="00F1450D" w:rsidRPr="003A6822">
        <w:rPr>
          <w:rFonts w:ascii="Garamond" w:hAnsi="Garamond"/>
        </w:rPr>
        <w:t>ppeal number</w:t>
      </w:r>
      <w:r w:rsidR="002F5AC5" w:rsidRPr="003A6822">
        <w:rPr>
          <w:rFonts w:ascii="Garamond" w:hAnsi="Garamond"/>
        </w:rPr>
        <w:t>:</w:t>
      </w:r>
      <w:r w:rsidR="00A7432B">
        <w:rPr>
          <w:rFonts w:ascii="Garamond" w:hAnsi="Garamond"/>
        </w:rPr>
        <w:t xml:space="preserve"> </w:t>
      </w:r>
      <w:r w:rsidR="004E21E8">
        <w:rPr>
          <w:rFonts w:ascii="Garamond" w:hAnsi="Garamond"/>
        </w:rPr>
        <w:t>S:AP:IE:20</w:t>
      </w:r>
      <w:r w:rsidR="007D5208">
        <w:rPr>
          <w:rFonts w:ascii="Garamond" w:hAnsi="Garamond"/>
        </w:rPr>
        <w:t>2</w:t>
      </w:r>
      <w:r w:rsidR="004B1E47">
        <w:rPr>
          <w:rFonts w:ascii="Garamond" w:hAnsi="Garamond"/>
        </w:rPr>
        <w:t>1</w:t>
      </w:r>
      <w:r w:rsidR="00CF65BF">
        <w:rPr>
          <w:rFonts w:ascii="Garamond" w:hAnsi="Garamond"/>
        </w:rPr>
        <w:t>:0000</w:t>
      </w:r>
      <w:r w:rsidR="00FD2CC2">
        <w:rPr>
          <w:rFonts w:ascii="Garamond" w:hAnsi="Garamond"/>
        </w:rPr>
        <w:t>29</w:t>
      </w:r>
    </w:p>
    <w:p w:rsidR="003A2964" w:rsidRDefault="004E21E8" w:rsidP="003A2964">
      <w:pPr>
        <w:jc w:val="right"/>
        <w:rPr>
          <w:rFonts w:ascii="Garamond" w:hAnsi="Garamond"/>
        </w:rPr>
      </w:pPr>
      <w:r>
        <w:rPr>
          <w:rFonts w:ascii="Garamond" w:hAnsi="Garamond"/>
        </w:rPr>
        <w:t>[202</w:t>
      </w:r>
      <w:r w:rsidR="00D41018">
        <w:rPr>
          <w:rFonts w:ascii="Garamond" w:hAnsi="Garamond"/>
        </w:rPr>
        <w:t>1</w:t>
      </w:r>
      <w:r w:rsidR="000F22D4" w:rsidRPr="003A6822">
        <w:rPr>
          <w:rFonts w:ascii="Garamond" w:hAnsi="Garamond"/>
        </w:rPr>
        <w:t xml:space="preserve">] IESC </w:t>
      </w:r>
      <w:r w:rsidR="004B1E47">
        <w:rPr>
          <w:rFonts w:ascii="Garamond" w:hAnsi="Garamond"/>
        </w:rPr>
        <w:t>NN</w:t>
      </w:r>
    </w:p>
    <w:p w:rsidR="00F26125" w:rsidRDefault="00F26125" w:rsidP="003A2964">
      <w:pPr>
        <w:jc w:val="right"/>
        <w:rPr>
          <w:rFonts w:ascii="Garamond" w:hAnsi="Garamond"/>
        </w:rPr>
      </w:pPr>
      <w:r>
        <w:rPr>
          <w:rFonts w:ascii="Garamond" w:hAnsi="Garamond"/>
        </w:rPr>
        <w:t xml:space="preserve">Court of Appeal </w:t>
      </w:r>
      <w:r w:rsidR="00D30C3C">
        <w:rPr>
          <w:rFonts w:ascii="Garamond" w:hAnsi="Garamond"/>
        </w:rPr>
        <w:t>r</w:t>
      </w:r>
      <w:r>
        <w:rPr>
          <w:rFonts w:ascii="Garamond" w:hAnsi="Garamond"/>
        </w:rPr>
        <w:t xml:space="preserve">ecord </w:t>
      </w:r>
      <w:r w:rsidR="00F70123">
        <w:rPr>
          <w:rFonts w:ascii="Garamond" w:hAnsi="Garamond"/>
        </w:rPr>
        <w:t>n</w:t>
      </w:r>
      <w:r>
        <w:rPr>
          <w:rFonts w:ascii="Garamond" w:hAnsi="Garamond"/>
        </w:rPr>
        <w:t>umber: 20</w:t>
      </w:r>
      <w:r w:rsidR="004B1E47">
        <w:rPr>
          <w:rFonts w:ascii="Garamond" w:hAnsi="Garamond"/>
        </w:rPr>
        <w:t>2</w:t>
      </w:r>
      <w:r w:rsidR="00CD1687">
        <w:rPr>
          <w:rFonts w:ascii="Garamond" w:hAnsi="Garamond"/>
        </w:rPr>
        <w:t>1</w:t>
      </w:r>
      <w:r>
        <w:rPr>
          <w:rFonts w:ascii="Garamond" w:hAnsi="Garamond"/>
        </w:rPr>
        <w:t>/</w:t>
      </w:r>
      <w:r w:rsidR="00C11AFB">
        <w:rPr>
          <w:rFonts w:ascii="Garamond" w:hAnsi="Garamond"/>
        </w:rPr>
        <w:t>37</w:t>
      </w:r>
    </w:p>
    <w:p w:rsidR="00F26125" w:rsidRDefault="00F26125" w:rsidP="003A2964">
      <w:pPr>
        <w:jc w:val="right"/>
        <w:rPr>
          <w:rFonts w:ascii="Garamond" w:hAnsi="Garamond"/>
        </w:rPr>
      </w:pPr>
      <w:r>
        <w:rPr>
          <w:rFonts w:ascii="Garamond" w:hAnsi="Garamond"/>
        </w:rPr>
        <w:t>[20</w:t>
      </w:r>
      <w:r w:rsidR="004B1E47">
        <w:rPr>
          <w:rFonts w:ascii="Garamond" w:hAnsi="Garamond"/>
        </w:rPr>
        <w:t>2</w:t>
      </w:r>
      <w:r w:rsidR="00CD1687">
        <w:rPr>
          <w:rFonts w:ascii="Garamond" w:hAnsi="Garamond"/>
        </w:rPr>
        <w:t>1</w:t>
      </w:r>
      <w:r>
        <w:rPr>
          <w:rFonts w:ascii="Garamond" w:hAnsi="Garamond"/>
        </w:rPr>
        <w:t xml:space="preserve">] IECA </w:t>
      </w:r>
      <w:r w:rsidR="00B57548">
        <w:rPr>
          <w:rFonts w:ascii="Garamond" w:hAnsi="Garamond"/>
        </w:rPr>
        <w:t>79</w:t>
      </w:r>
    </w:p>
    <w:p w:rsidR="004C30BF" w:rsidRDefault="004C30BF" w:rsidP="003A2964">
      <w:pPr>
        <w:jc w:val="right"/>
        <w:rPr>
          <w:rFonts w:ascii="Garamond" w:hAnsi="Garamond"/>
        </w:rPr>
      </w:pPr>
      <w:r>
        <w:rPr>
          <w:rFonts w:ascii="Garamond" w:hAnsi="Garamond"/>
        </w:rPr>
        <w:t xml:space="preserve">High Court record number </w:t>
      </w:r>
      <w:r w:rsidR="00D75457" w:rsidRPr="00D75457">
        <w:rPr>
          <w:rFonts w:ascii="Garamond" w:hAnsi="Garamond"/>
        </w:rPr>
        <w:t>2017</w:t>
      </w:r>
      <w:r w:rsidR="00E11EA9">
        <w:rPr>
          <w:rFonts w:ascii="Garamond" w:hAnsi="Garamond"/>
        </w:rPr>
        <w:t>/</w:t>
      </w:r>
      <w:r w:rsidR="00D75457" w:rsidRPr="00D75457">
        <w:rPr>
          <w:rFonts w:ascii="Garamond" w:hAnsi="Garamond"/>
        </w:rPr>
        <w:t>No 54 EXT</w:t>
      </w:r>
    </w:p>
    <w:p w:rsidR="004C30BF" w:rsidRPr="003A6822" w:rsidRDefault="004C30BF" w:rsidP="003A2964">
      <w:pPr>
        <w:jc w:val="right"/>
        <w:rPr>
          <w:rFonts w:ascii="Garamond" w:hAnsi="Garamond"/>
        </w:rPr>
      </w:pPr>
      <w:r>
        <w:rPr>
          <w:rFonts w:ascii="Garamond" w:hAnsi="Garamond"/>
        </w:rPr>
        <w:t>[20</w:t>
      </w:r>
      <w:r w:rsidR="00DC69B5">
        <w:rPr>
          <w:rFonts w:ascii="Garamond" w:hAnsi="Garamond"/>
        </w:rPr>
        <w:t>2</w:t>
      </w:r>
      <w:r w:rsidR="00DE2049">
        <w:rPr>
          <w:rFonts w:ascii="Garamond" w:hAnsi="Garamond"/>
        </w:rPr>
        <w:t>1</w:t>
      </w:r>
      <w:r>
        <w:rPr>
          <w:rFonts w:ascii="Garamond" w:hAnsi="Garamond"/>
        </w:rPr>
        <w:t xml:space="preserve">] IEHC </w:t>
      </w:r>
      <w:r w:rsidR="00DE2049">
        <w:rPr>
          <w:rFonts w:ascii="Garamond" w:hAnsi="Garamond"/>
        </w:rPr>
        <w:t>31</w:t>
      </w:r>
    </w:p>
    <w:p w:rsidR="00F8760B" w:rsidRPr="003A6822" w:rsidRDefault="00F8760B" w:rsidP="000F22D4">
      <w:pPr>
        <w:jc w:val="right"/>
        <w:rPr>
          <w:rFonts w:ascii="Garamond" w:hAnsi="Garamond"/>
        </w:rPr>
      </w:pPr>
    </w:p>
    <w:p w:rsidR="00DB23C0" w:rsidRPr="003A6822" w:rsidRDefault="00DB23C0" w:rsidP="00BA599F">
      <w:pPr>
        <w:jc w:val="right"/>
        <w:rPr>
          <w:rFonts w:ascii="Garamond" w:hAnsi="Garamond"/>
        </w:rPr>
      </w:pPr>
    </w:p>
    <w:p w:rsidR="00DB23C0" w:rsidRPr="003A6822" w:rsidRDefault="00DB23C0" w:rsidP="00BA599F">
      <w:pPr>
        <w:jc w:val="right"/>
        <w:rPr>
          <w:rFonts w:ascii="Garamond" w:hAnsi="Garamond"/>
        </w:rPr>
      </w:pPr>
    </w:p>
    <w:p w:rsidR="003C278A" w:rsidRPr="003A6822" w:rsidRDefault="003C278A" w:rsidP="004B1E47">
      <w:pPr>
        <w:rPr>
          <w:rFonts w:ascii="Garamond" w:hAnsi="Garamond"/>
          <w:b/>
        </w:rPr>
      </w:pPr>
      <w:r w:rsidRPr="003A6822">
        <w:rPr>
          <w:rFonts w:ascii="Garamond" w:hAnsi="Garamond"/>
          <w:b/>
        </w:rPr>
        <w:t>Between</w:t>
      </w:r>
    </w:p>
    <w:p w:rsidR="003C278A" w:rsidRPr="003A6822" w:rsidRDefault="003C278A" w:rsidP="003C278A">
      <w:pPr>
        <w:jc w:val="center"/>
        <w:rPr>
          <w:rFonts w:ascii="Garamond" w:hAnsi="Garamond"/>
          <w:b/>
        </w:rPr>
      </w:pPr>
    </w:p>
    <w:p w:rsidR="00D30C3C" w:rsidRDefault="004665C8" w:rsidP="003C278A">
      <w:pPr>
        <w:jc w:val="center"/>
        <w:rPr>
          <w:rFonts w:ascii="Garamond" w:hAnsi="Garamond"/>
          <w:b/>
        </w:rPr>
      </w:pPr>
      <w:r>
        <w:rPr>
          <w:rFonts w:ascii="Garamond" w:hAnsi="Garamond"/>
          <w:b/>
        </w:rPr>
        <w:t>The Minister for Justice and Equality</w:t>
      </w:r>
    </w:p>
    <w:p w:rsidR="003C278A" w:rsidRPr="003A6822" w:rsidRDefault="0048211F" w:rsidP="003C278A">
      <w:pPr>
        <w:jc w:val="center"/>
        <w:rPr>
          <w:rFonts w:ascii="Garamond" w:hAnsi="Garamond"/>
          <w:b/>
        </w:rPr>
      </w:pPr>
      <w:r>
        <w:rPr>
          <w:rFonts w:ascii="Garamond" w:hAnsi="Garamond"/>
          <w:b/>
        </w:rPr>
        <w:t>Applicant/</w:t>
      </w:r>
      <w:r w:rsidR="004665C8">
        <w:rPr>
          <w:rFonts w:ascii="Garamond" w:hAnsi="Garamond"/>
          <w:b/>
        </w:rPr>
        <w:t>Respondent</w:t>
      </w:r>
    </w:p>
    <w:p w:rsidR="003C278A" w:rsidRPr="003A6822" w:rsidRDefault="003C278A" w:rsidP="003C278A">
      <w:pPr>
        <w:jc w:val="center"/>
        <w:rPr>
          <w:rFonts w:ascii="Garamond" w:hAnsi="Garamond"/>
          <w:b/>
        </w:rPr>
      </w:pPr>
    </w:p>
    <w:p w:rsidR="003C278A" w:rsidRPr="003A6822" w:rsidRDefault="00923542" w:rsidP="00923542">
      <w:pPr>
        <w:jc w:val="center"/>
        <w:rPr>
          <w:rFonts w:ascii="Garamond" w:hAnsi="Garamond"/>
          <w:b/>
        </w:rPr>
      </w:pPr>
      <w:r w:rsidRPr="003A6822">
        <w:rPr>
          <w:rFonts w:ascii="Garamond" w:hAnsi="Garamond"/>
          <w:b/>
        </w:rPr>
        <w:t xml:space="preserve"> - </w:t>
      </w:r>
      <w:r w:rsidR="003C278A" w:rsidRPr="003A6822">
        <w:rPr>
          <w:rFonts w:ascii="Garamond" w:hAnsi="Garamond"/>
          <w:b/>
        </w:rPr>
        <w:t>and</w:t>
      </w:r>
      <w:r w:rsidRPr="003A6822">
        <w:rPr>
          <w:rFonts w:ascii="Garamond" w:hAnsi="Garamond"/>
          <w:b/>
        </w:rPr>
        <w:t xml:space="preserve"> -</w:t>
      </w:r>
    </w:p>
    <w:p w:rsidR="003C278A" w:rsidRPr="003A6822" w:rsidRDefault="003C278A" w:rsidP="003C278A">
      <w:pPr>
        <w:jc w:val="center"/>
        <w:rPr>
          <w:rFonts w:ascii="Garamond" w:hAnsi="Garamond"/>
          <w:b/>
        </w:rPr>
      </w:pPr>
    </w:p>
    <w:p w:rsidR="003C278A" w:rsidRDefault="00143B31" w:rsidP="004665C8">
      <w:pPr>
        <w:jc w:val="center"/>
        <w:rPr>
          <w:rFonts w:ascii="Garamond" w:hAnsi="Garamond"/>
          <w:b/>
        </w:rPr>
      </w:pPr>
      <w:r>
        <w:rPr>
          <w:rFonts w:ascii="Garamond" w:hAnsi="Garamond"/>
          <w:b/>
        </w:rPr>
        <w:t xml:space="preserve"> </w:t>
      </w:r>
      <w:r w:rsidR="004665C8">
        <w:rPr>
          <w:rFonts w:ascii="Garamond" w:hAnsi="Garamond"/>
          <w:b/>
        </w:rPr>
        <w:t xml:space="preserve">Andrius </w:t>
      </w:r>
      <w:proofErr w:type="spellStart"/>
      <w:r w:rsidR="004665C8">
        <w:rPr>
          <w:rFonts w:ascii="Garamond" w:hAnsi="Garamond"/>
          <w:b/>
        </w:rPr>
        <w:t>Sciuka</w:t>
      </w:r>
      <w:proofErr w:type="spellEnd"/>
    </w:p>
    <w:p w:rsidR="004665C8" w:rsidRDefault="004665C8" w:rsidP="004665C8">
      <w:pPr>
        <w:jc w:val="center"/>
        <w:rPr>
          <w:rFonts w:ascii="Garamond" w:hAnsi="Garamond"/>
          <w:b/>
        </w:rPr>
      </w:pPr>
      <w:r>
        <w:rPr>
          <w:rFonts w:ascii="Garamond" w:hAnsi="Garamond"/>
          <w:b/>
        </w:rPr>
        <w:t>Respondent/Appellant</w:t>
      </w:r>
    </w:p>
    <w:p w:rsidR="001B7053" w:rsidRDefault="001B7053" w:rsidP="003C278A">
      <w:pPr>
        <w:jc w:val="center"/>
        <w:rPr>
          <w:rFonts w:ascii="Garamond" w:hAnsi="Garamond"/>
          <w:b/>
        </w:rPr>
      </w:pPr>
    </w:p>
    <w:p w:rsidR="00960ACF" w:rsidRDefault="00960ACF" w:rsidP="003C278A">
      <w:pPr>
        <w:jc w:val="center"/>
        <w:rPr>
          <w:rFonts w:ascii="Garamond" w:hAnsi="Garamond"/>
          <w:b/>
        </w:rPr>
      </w:pPr>
    </w:p>
    <w:p w:rsidR="007537AA" w:rsidRDefault="007537AA" w:rsidP="003C278A">
      <w:pPr>
        <w:jc w:val="center"/>
        <w:rPr>
          <w:rFonts w:ascii="Garamond" w:hAnsi="Garamond"/>
          <w:b/>
        </w:rPr>
      </w:pPr>
    </w:p>
    <w:p w:rsidR="007537AA" w:rsidRDefault="007537AA" w:rsidP="003C278A">
      <w:pPr>
        <w:jc w:val="center"/>
        <w:rPr>
          <w:rFonts w:ascii="Garamond" w:hAnsi="Garamond"/>
          <w:b/>
        </w:rPr>
      </w:pPr>
    </w:p>
    <w:p w:rsidR="001B7053" w:rsidRDefault="001B7053" w:rsidP="001B7053">
      <w:pPr>
        <w:rPr>
          <w:rFonts w:ascii="Garamond" w:hAnsi="Garamond"/>
          <w:b/>
        </w:rPr>
      </w:pPr>
      <w:r>
        <w:rPr>
          <w:rFonts w:ascii="Garamond" w:hAnsi="Garamond"/>
          <w:b/>
        </w:rPr>
        <w:t>Judgment of Mr Justice Peter Charleton delivered on</w:t>
      </w:r>
      <w:r w:rsidR="007D2416">
        <w:rPr>
          <w:rFonts w:ascii="Garamond" w:hAnsi="Garamond"/>
          <w:b/>
        </w:rPr>
        <w:t xml:space="preserve"> </w:t>
      </w:r>
      <w:r w:rsidR="009E47F5">
        <w:rPr>
          <w:rFonts w:ascii="Garamond" w:hAnsi="Garamond"/>
          <w:b/>
        </w:rPr>
        <w:t xml:space="preserve"> Monday </w:t>
      </w:r>
      <w:r w:rsidR="007D2416">
        <w:rPr>
          <w:rFonts w:ascii="Garamond" w:hAnsi="Garamond"/>
          <w:b/>
        </w:rPr>
        <w:t>13</w:t>
      </w:r>
      <w:r w:rsidR="004665C8">
        <w:rPr>
          <w:rFonts w:ascii="Garamond" w:hAnsi="Garamond"/>
          <w:b/>
        </w:rPr>
        <w:t xml:space="preserve"> </w:t>
      </w:r>
      <w:r w:rsidR="00CE766F">
        <w:rPr>
          <w:rFonts w:ascii="Garamond" w:hAnsi="Garamond"/>
          <w:b/>
        </w:rPr>
        <w:t xml:space="preserve">December </w:t>
      </w:r>
      <w:r w:rsidR="00143B31">
        <w:rPr>
          <w:rFonts w:ascii="Garamond" w:hAnsi="Garamond"/>
          <w:b/>
        </w:rPr>
        <w:t>202</w:t>
      </w:r>
      <w:r w:rsidR="00DB7A89">
        <w:rPr>
          <w:rFonts w:ascii="Garamond" w:hAnsi="Garamond"/>
          <w:b/>
        </w:rPr>
        <w:t>1</w:t>
      </w:r>
    </w:p>
    <w:p w:rsidR="00A7432B" w:rsidRDefault="00A7432B" w:rsidP="001B7053">
      <w:pPr>
        <w:rPr>
          <w:rFonts w:ascii="Garamond" w:hAnsi="Garamond"/>
          <w:b/>
        </w:rPr>
      </w:pPr>
    </w:p>
    <w:p w:rsidR="00A7432B" w:rsidRDefault="00A7432B" w:rsidP="004665C8">
      <w:pPr>
        <w:jc w:val="both"/>
        <w:rPr>
          <w:rFonts w:ascii="Garamond" w:hAnsi="Garamond"/>
        </w:rPr>
      </w:pPr>
      <w:r>
        <w:rPr>
          <w:rFonts w:ascii="Garamond" w:hAnsi="Garamond"/>
        </w:rPr>
        <w:t>1.</w:t>
      </w:r>
      <w:r w:rsidR="009A1F80">
        <w:rPr>
          <w:rFonts w:ascii="Garamond" w:hAnsi="Garamond"/>
        </w:rPr>
        <w:t xml:space="preserve"> </w:t>
      </w:r>
      <w:proofErr w:type="spellStart"/>
      <w:r w:rsidR="004665C8">
        <w:rPr>
          <w:rFonts w:ascii="Garamond" w:hAnsi="Garamond"/>
        </w:rPr>
        <w:t>Woulfe</w:t>
      </w:r>
      <w:proofErr w:type="spellEnd"/>
      <w:r w:rsidR="004665C8">
        <w:rPr>
          <w:rFonts w:ascii="Garamond" w:hAnsi="Garamond"/>
        </w:rPr>
        <w:t xml:space="preserve"> J would hold that the postponement of the surrender of Andrius </w:t>
      </w:r>
      <w:proofErr w:type="spellStart"/>
      <w:r w:rsidR="004665C8">
        <w:rPr>
          <w:rFonts w:ascii="Garamond" w:hAnsi="Garamond"/>
        </w:rPr>
        <w:t>Sciuka</w:t>
      </w:r>
      <w:proofErr w:type="spellEnd"/>
      <w:r w:rsidR="004665C8">
        <w:rPr>
          <w:rFonts w:ascii="Garamond" w:hAnsi="Garamond"/>
        </w:rPr>
        <w:t xml:space="preserve"> to Lithuania, extradition having been ordered on foot of a European Arrest Warrant, was lawful, whereas Hogan J takes the opposite view. This judgment gives reasons for concurring with Hogan J.</w:t>
      </w:r>
    </w:p>
    <w:p w:rsidR="009768E0" w:rsidRDefault="009768E0" w:rsidP="001B7053">
      <w:pPr>
        <w:rPr>
          <w:rFonts w:ascii="Garamond" w:hAnsi="Garamond"/>
        </w:rPr>
      </w:pPr>
    </w:p>
    <w:p w:rsidR="00A7432B" w:rsidRDefault="00A7432B" w:rsidP="0016104A">
      <w:pPr>
        <w:jc w:val="both"/>
        <w:rPr>
          <w:rFonts w:ascii="Garamond" w:hAnsi="Garamond"/>
        </w:rPr>
      </w:pPr>
      <w:r>
        <w:rPr>
          <w:rFonts w:ascii="Garamond" w:hAnsi="Garamond"/>
        </w:rPr>
        <w:t>2.</w:t>
      </w:r>
      <w:r w:rsidR="004665C8">
        <w:rPr>
          <w:rFonts w:ascii="Garamond" w:hAnsi="Garamond"/>
        </w:rPr>
        <w:t xml:space="preserve"> Having been scheduled for surrender to Lithuanian authorities in Dublin Airport on 5 February 2021, the requesting state sought a postponement due to the rampant Covid-19 pandemic. This was the highpoint in much of Europe for the disease which has caused perhaps 5 million deaths worldwide. Postponement of a surrender order is a serious matter under </w:t>
      </w:r>
      <w:r w:rsidR="004665C8" w:rsidRPr="004665C8">
        <w:rPr>
          <w:rFonts w:ascii="Garamond" w:hAnsi="Garamond"/>
        </w:rPr>
        <w:t>Council Framework Decision of 13 June 2002 on the European arrest warrant and the surrender procedures between Member States</w:t>
      </w:r>
      <w:r w:rsidR="00601BE1">
        <w:rPr>
          <w:rFonts w:ascii="Garamond" w:hAnsi="Garamond"/>
        </w:rPr>
        <w:t>, since this is</w:t>
      </w:r>
      <w:r w:rsidR="00434FE4">
        <w:rPr>
          <w:rFonts w:ascii="Garamond" w:hAnsi="Garamond"/>
        </w:rPr>
        <w:t xml:space="preserve"> required</w:t>
      </w:r>
      <w:r w:rsidR="00601BE1">
        <w:rPr>
          <w:rFonts w:ascii="Garamond" w:hAnsi="Garamond"/>
        </w:rPr>
        <w:t xml:space="preserve"> to take place within 10 days after </w:t>
      </w:r>
      <w:r w:rsidR="0016104A">
        <w:rPr>
          <w:rFonts w:ascii="Garamond" w:hAnsi="Garamond"/>
        </w:rPr>
        <w:t xml:space="preserve">the High Court has made an extradition order. Delay is </w:t>
      </w:r>
      <w:r w:rsidR="0016104A">
        <w:rPr>
          <w:rFonts w:ascii="Garamond" w:hAnsi="Garamond"/>
        </w:rPr>
        <w:lastRenderedPageBreak/>
        <w:t xml:space="preserve">exceptional, possible on humanitarian grounds (s 18 of the European Arrest Warrant Act 2003 and Article 23 of the Framework Decision) and </w:t>
      </w:r>
      <w:r w:rsidR="00434FE4">
        <w:rPr>
          <w:rFonts w:ascii="Garamond" w:hAnsi="Garamond"/>
        </w:rPr>
        <w:t>because of</w:t>
      </w:r>
      <w:r w:rsidR="0016104A">
        <w:rPr>
          <w:rFonts w:ascii="Garamond" w:hAnsi="Garamond"/>
        </w:rPr>
        <w:t xml:space="preserve"> circumstances beyond the control of the</w:t>
      </w:r>
      <w:r w:rsidR="00434FE4">
        <w:rPr>
          <w:rFonts w:ascii="Garamond" w:hAnsi="Garamond"/>
        </w:rPr>
        <w:t xml:space="preserve"> requesting and requested</w:t>
      </w:r>
      <w:r w:rsidR="0016104A">
        <w:rPr>
          <w:rFonts w:ascii="Garamond" w:hAnsi="Garamond"/>
        </w:rPr>
        <w:t xml:space="preserve"> authorities mutually.</w:t>
      </w:r>
      <w:r w:rsidR="0016104A" w:rsidRPr="00434FE4">
        <w:rPr>
          <w:rFonts w:ascii="Garamond" w:hAnsi="Garamond"/>
        </w:rPr>
        <w:t xml:space="preserve"> </w:t>
      </w:r>
      <w:proofErr w:type="spellStart"/>
      <w:r w:rsidR="0016104A" w:rsidRPr="00434FE4">
        <w:rPr>
          <w:rFonts w:ascii="Garamond" w:hAnsi="Garamond"/>
        </w:rPr>
        <w:t>Woulfe</w:t>
      </w:r>
      <w:proofErr w:type="spellEnd"/>
      <w:r w:rsidR="0016104A" w:rsidRPr="00434FE4">
        <w:rPr>
          <w:rFonts w:ascii="Garamond" w:hAnsi="Garamond"/>
        </w:rPr>
        <w:t xml:space="preserve"> J would hold that the letter from the Lithuanian authorities indicating the closure of the usual air route of Ireland-Germany-Lithuani</w:t>
      </w:r>
      <w:r w:rsidR="00434FE4">
        <w:rPr>
          <w:rFonts w:ascii="Garamond" w:hAnsi="Garamond"/>
        </w:rPr>
        <w:t>a</w:t>
      </w:r>
      <w:r w:rsidR="00E11AD9" w:rsidRPr="00434FE4">
        <w:rPr>
          <w:rFonts w:ascii="Garamond" w:hAnsi="Garamond"/>
        </w:rPr>
        <w:t xml:space="preserve"> is sufficient</w:t>
      </w:r>
      <w:r w:rsidR="00ED7A25">
        <w:rPr>
          <w:rFonts w:ascii="Garamond" w:hAnsi="Garamond"/>
        </w:rPr>
        <w:t xml:space="preserve"> evidence to </w:t>
      </w:r>
      <w:r w:rsidR="00937283">
        <w:rPr>
          <w:rFonts w:ascii="Garamond" w:hAnsi="Garamond"/>
        </w:rPr>
        <w:t xml:space="preserve">postpone </w:t>
      </w:r>
      <w:r w:rsidR="00FD26BB">
        <w:rPr>
          <w:rFonts w:ascii="Garamond" w:hAnsi="Garamond"/>
        </w:rPr>
        <w:t>surrender in this instance</w:t>
      </w:r>
      <w:r w:rsidR="0016104A">
        <w:rPr>
          <w:rFonts w:ascii="Garamond" w:hAnsi="Garamond"/>
        </w:rPr>
        <w:t xml:space="preserve">. He would further hold that judicial notice was properly taken of the raging pandemic </w:t>
      </w:r>
      <w:r w:rsidR="0052009B">
        <w:rPr>
          <w:rFonts w:ascii="Garamond" w:hAnsi="Garamond"/>
        </w:rPr>
        <w:t xml:space="preserve">in ordering postponement </w:t>
      </w:r>
      <w:r w:rsidR="0016104A">
        <w:rPr>
          <w:rFonts w:ascii="Garamond" w:hAnsi="Garamond"/>
        </w:rPr>
        <w:t>and that protection from</w:t>
      </w:r>
      <w:r w:rsidR="00434FE4">
        <w:rPr>
          <w:rFonts w:ascii="Garamond" w:hAnsi="Garamond"/>
        </w:rPr>
        <w:t xml:space="preserve"> this</w:t>
      </w:r>
      <w:r w:rsidR="0016104A">
        <w:rPr>
          <w:rFonts w:ascii="Garamond" w:hAnsi="Garamond"/>
        </w:rPr>
        <w:t xml:space="preserve"> disease, easily picked up when travelling, was a humanitarian ground justifying the surrender being put back. As Hogan J notes,</w:t>
      </w:r>
      <w:r w:rsidR="009E47F5">
        <w:rPr>
          <w:rFonts w:ascii="Garamond" w:hAnsi="Garamond"/>
        </w:rPr>
        <w:t xml:space="preserve"> delay</w:t>
      </w:r>
      <w:r w:rsidR="0016104A">
        <w:rPr>
          <w:rFonts w:ascii="Garamond" w:hAnsi="Garamond"/>
        </w:rPr>
        <w:t xml:space="preserve"> is an exceptional step and justifiable only on serious grounds; further holding that the letter from the travel agent appended to the communication from the requesting state was insufficient.</w:t>
      </w:r>
      <w:r w:rsidR="004665C8">
        <w:rPr>
          <w:rFonts w:ascii="Garamond" w:hAnsi="Garamond"/>
        </w:rPr>
        <w:t xml:space="preserve">  </w:t>
      </w:r>
    </w:p>
    <w:p w:rsidR="0016104A" w:rsidRDefault="0016104A" w:rsidP="0016104A">
      <w:pPr>
        <w:jc w:val="both"/>
        <w:rPr>
          <w:rFonts w:ascii="Garamond" w:hAnsi="Garamond"/>
        </w:rPr>
      </w:pPr>
    </w:p>
    <w:p w:rsidR="00A7432B" w:rsidRDefault="00A7432B" w:rsidP="006C683F">
      <w:pPr>
        <w:jc w:val="both"/>
        <w:rPr>
          <w:rFonts w:ascii="Garamond" w:hAnsi="Garamond"/>
        </w:rPr>
      </w:pPr>
      <w:r>
        <w:rPr>
          <w:rFonts w:ascii="Garamond" w:hAnsi="Garamond"/>
        </w:rPr>
        <w:t>3.</w:t>
      </w:r>
      <w:r w:rsidR="0016104A">
        <w:rPr>
          <w:rFonts w:ascii="Garamond" w:hAnsi="Garamond"/>
        </w:rPr>
        <w:t xml:space="preserve"> Where both judgments concur is in placing the duty on the Minister to put before the High Court sufficient </w:t>
      </w:r>
      <w:r w:rsidR="0020517F">
        <w:rPr>
          <w:rFonts w:ascii="Garamond" w:hAnsi="Garamond"/>
        </w:rPr>
        <w:t xml:space="preserve">evidence </w:t>
      </w:r>
      <w:r w:rsidR="0016104A">
        <w:rPr>
          <w:rFonts w:ascii="Garamond" w:hAnsi="Garamond"/>
        </w:rPr>
        <w:t xml:space="preserve">to establish the existence either of a beyond control situation or </w:t>
      </w:r>
      <w:r w:rsidR="006C683F">
        <w:rPr>
          <w:rFonts w:ascii="Garamond" w:hAnsi="Garamond"/>
        </w:rPr>
        <w:t>humanitarian considerations justifying delay</w:t>
      </w:r>
      <w:r w:rsidR="006C683F" w:rsidRPr="00434FE4">
        <w:rPr>
          <w:rFonts w:ascii="Garamond" w:hAnsi="Garamond"/>
        </w:rPr>
        <w:t xml:space="preserve">. </w:t>
      </w:r>
      <w:proofErr w:type="spellStart"/>
      <w:r w:rsidR="006C683F" w:rsidRPr="00434FE4">
        <w:rPr>
          <w:rFonts w:ascii="Garamond" w:hAnsi="Garamond"/>
        </w:rPr>
        <w:t>Woulfe</w:t>
      </w:r>
      <w:proofErr w:type="spellEnd"/>
      <w:r w:rsidR="006C683F" w:rsidRPr="00434FE4">
        <w:rPr>
          <w:rFonts w:ascii="Garamond" w:hAnsi="Garamond"/>
        </w:rPr>
        <w:t xml:space="preserve"> J’s analysis enables judicial notice to be taken of the disruption caused by the seething spread of the disease and its unpredictable</w:t>
      </w:r>
      <w:r w:rsidR="009E47F5">
        <w:rPr>
          <w:rFonts w:ascii="Garamond" w:hAnsi="Garamond"/>
        </w:rPr>
        <w:t xml:space="preserve"> and mutating</w:t>
      </w:r>
      <w:r w:rsidR="006C683F" w:rsidRPr="00434FE4">
        <w:rPr>
          <w:rFonts w:ascii="Garamond" w:hAnsi="Garamond"/>
        </w:rPr>
        <w:t xml:space="preserve"> variants</w:t>
      </w:r>
      <w:r w:rsidR="00AE739C">
        <w:rPr>
          <w:rFonts w:ascii="Garamond" w:hAnsi="Garamond"/>
        </w:rPr>
        <w:t xml:space="preserve"> as the reason for </w:t>
      </w:r>
      <w:r w:rsidR="00536820">
        <w:rPr>
          <w:rFonts w:ascii="Garamond" w:hAnsi="Garamond"/>
        </w:rPr>
        <w:t xml:space="preserve">the </w:t>
      </w:r>
      <w:r w:rsidR="003C7B63">
        <w:rPr>
          <w:rFonts w:ascii="Garamond" w:hAnsi="Garamond"/>
        </w:rPr>
        <w:t>unavailability of</w:t>
      </w:r>
      <w:r w:rsidR="00536820">
        <w:rPr>
          <w:rFonts w:ascii="Garamond" w:hAnsi="Garamond"/>
        </w:rPr>
        <w:t xml:space="preserve"> flights to Germany</w:t>
      </w:r>
      <w:r w:rsidR="00C30E53">
        <w:rPr>
          <w:rFonts w:ascii="Garamond" w:hAnsi="Garamond"/>
        </w:rPr>
        <w:t>,</w:t>
      </w:r>
      <w:r w:rsidR="006C683F" w:rsidRPr="00434FE4">
        <w:rPr>
          <w:rFonts w:ascii="Garamond" w:hAnsi="Garamond"/>
        </w:rPr>
        <w:t xml:space="preserve"> </w:t>
      </w:r>
      <w:r w:rsidR="00C30E53">
        <w:rPr>
          <w:rFonts w:ascii="Garamond" w:hAnsi="Garamond"/>
        </w:rPr>
        <w:t>thereby</w:t>
      </w:r>
      <w:r w:rsidR="007C09D2">
        <w:rPr>
          <w:rFonts w:ascii="Garamond" w:hAnsi="Garamond"/>
        </w:rPr>
        <w:t xml:space="preserve"> </w:t>
      </w:r>
      <w:r w:rsidR="006C683F" w:rsidRPr="00434FE4">
        <w:rPr>
          <w:rFonts w:ascii="Garamond" w:hAnsi="Garamond"/>
        </w:rPr>
        <w:t>enabling the High Court to rely on its own judicial notice of travel difficulties;</w:t>
      </w:r>
      <w:r w:rsidR="006C683F">
        <w:rPr>
          <w:rFonts w:ascii="Garamond" w:hAnsi="Garamond"/>
        </w:rPr>
        <w:t xml:space="preserve"> Hogan J disagrees.</w:t>
      </w:r>
    </w:p>
    <w:p w:rsidR="00434FE4" w:rsidRDefault="00434FE4" w:rsidP="006C683F">
      <w:pPr>
        <w:jc w:val="both"/>
        <w:rPr>
          <w:rFonts w:ascii="Garamond" w:hAnsi="Garamond"/>
        </w:rPr>
      </w:pPr>
    </w:p>
    <w:p w:rsidR="00434FE4" w:rsidRPr="00434FE4" w:rsidRDefault="00434FE4" w:rsidP="006C683F">
      <w:pPr>
        <w:jc w:val="both"/>
        <w:rPr>
          <w:rFonts w:ascii="Garamond" w:hAnsi="Garamond"/>
          <w:b/>
        </w:rPr>
      </w:pPr>
      <w:r>
        <w:rPr>
          <w:rFonts w:ascii="Garamond" w:hAnsi="Garamond"/>
          <w:b/>
        </w:rPr>
        <w:t>Judicial notice</w:t>
      </w:r>
    </w:p>
    <w:p w:rsidR="00A7432B" w:rsidRDefault="00A7432B" w:rsidP="001B7053">
      <w:pPr>
        <w:rPr>
          <w:rFonts w:ascii="Garamond" w:hAnsi="Garamond"/>
        </w:rPr>
      </w:pPr>
    </w:p>
    <w:p w:rsidR="006D1EAB" w:rsidRDefault="00A7432B" w:rsidP="00C53A56">
      <w:pPr>
        <w:jc w:val="both"/>
        <w:rPr>
          <w:rFonts w:ascii="Garamond" w:hAnsi="Garamond"/>
        </w:rPr>
      </w:pPr>
      <w:r>
        <w:rPr>
          <w:rFonts w:ascii="Garamond" w:hAnsi="Garamond"/>
        </w:rPr>
        <w:t>4.</w:t>
      </w:r>
      <w:r w:rsidR="006C683F">
        <w:rPr>
          <w:rFonts w:ascii="Garamond" w:hAnsi="Garamond"/>
        </w:rPr>
        <w:t xml:space="preserve"> A disconnect occurs </w:t>
      </w:r>
      <w:r w:rsidR="00434FE4">
        <w:rPr>
          <w:rFonts w:ascii="Garamond" w:hAnsi="Garamond"/>
        </w:rPr>
        <w:t>o</w:t>
      </w:r>
      <w:r w:rsidR="006C683F">
        <w:rPr>
          <w:rFonts w:ascii="Garamond" w:hAnsi="Garamond"/>
        </w:rPr>
        <w:t xml:space="preserve">n reading Davitt J’s judgment in </w:t>
      </w:r>
      <w:r w:rsidR="006C683F">
        <w:rPr>
          <w:rFonts w:ascii="Garamond" w:hAnsi="Garamond"/>
          <w:i/>
        </w:rPr>
        <w:t>The State (William Taylor) v Circuit Court Judge for Wicklow</w:t>
      </w:r>
      <w:r w:rsidR="006C683F">
        <w:rPr>
          <w:rFonts w:ascii="Garamond" w:hAnsi="Garamond"/>
        </w:rPr>
        <w:t xml:space="preserve"> [1951] IR 311, </w:t>
      </w:r>
      <w:r w:rsidR="00A94698">
        <w:rPr>
          <w:rFonts w:ascii="Garamond" w:hAnsi="Garamond"/>
        </w:rPr>
        <w:t>322</w:t>
      </w:r>
      <w:r w:rsidR="006C683F">
        <w:rPr>
          <w:rFonts w:ascii="Garamond" w:hAnsi="Garamond"/>
        </w:rPr>
        <w:t>, between his impeccable reasoning that a judge “</w:t>
      </w:r>
      <w:r w:rsidR="006C683F" w:rsidRPr="00434FE4">
        <w:rPr>
          <w:rFonts w:ascii="Garamond" w:hAnsi="Garamond"/>
        </w:rPr>
        <w:t xml:space="preserve">is entitled to bring to the determination of any issue his own knowledge relevant thereto, not his private or particular knowledge as an individual but his general knowledge as a lawyer and a </w:t>
      </w:r>
      <w:r w:rsidR="000938F4">
        <w:rPr>
          <w:rFonts w:ascii="Garamond" w:hAnsi="Garamond"/>
        </w:rPr>
        <w:t>J</w:t>
      </w:r>
      <w:r w:rsidR="006C683F" w:rsidRPr="00434FE4">
        <w:rPr>
          <w:rFonts w:ascii="Garamond" w:hAnsi="Garamond"/>
        </w:rPr>
        <w:t>udge</w:t>
      </w:r>
      <w:r w:rsidR="006C683F">
        <w:rPr>
          <w:rFonts w:ascii="Garamond" w:hAnsi="Garamond"/>
        </w:rPr>
        <w:t xml:space="preserve">” and the issue that arises in the mind at how knowledge shifts with the changing habits of generations. Whereas his example of the </w:t>
      </w:r>
      <w:r w:rsidR="00C53A56">
        <w:rPr>
          <w:rFonts w:ascii="Garamond" w:hAnsi="Garamond"/>
        </w:rPr>
        <w:t>relationship between Robinson Crusoe and Man Friday has passed into a term of general speech, in reality young readers may no longer be given this book and</w:t>
      </w:r>
      <w:r w:rsidR="00C50A36">
        <w:rPr>
          <w:rFonts w:ascii="Garamond" w:hAnsi="Garamond"/>
        </w:rPr>
        <w:t xml:space="preserve"> hence</w:t>
      </w:r>
      <w:r w:rsidR="00C53A56">
        <w:rPr>
          <w:rFonts w:ascii="Garamond" w:hAnsi="Garamond"/>
        </w:rPr>
        <w:t xml:space="preserve"> know little about the origin of the concept of footsteps in the sand</w:t>
      </w:r>
      <w:r w:rsidR="00E44B00">
        <w:rPr>
          <w:rFonts w:ascii="Garamond" w:hAnsi="Garamond"/>
        </w:rPr>
        <w:t>.</w:t>
      </w:r>
      <w:r w:rsidR="00C53A56">
        <w:rPr>
          <w:rFonts w:ascii="Garamond" w:hAnsi="Garamond"/>
        </w:rPr>
        <w:t xml:space="preserve"> </w:t>
      </w:r>
      <w:r w:rsidR="00E44B00">
        <w:rPr>
          <w:rFonts w:ascii="Garamond" w:hAnsi="Garamond"/>
        </w:rPr>
        <w:t>H</w:t>
      </w:r>
      <w:r w:rsidR="00C53A56">
        <w:rPr>
          <w:rFonts w:ascii="Garamond" w:hAnsi="Garamond"/>
        </w:rPr>
        <w:t>is second example of “the frozen snake in the fable” would not readily draw to mind the concept of ingratitude</w:t>
      </w:r>
      <w:r w:rsidR="009E47F5">
        <w:rPr>
          <w:rFonts w:ascii="Garamond" w:hAnsi="Garamond"/>
        </w:rPr>
        <w:t xml:space="preserve"> and ingrained nature</w:t>
      </w:r>
      <w:r w:rsidR="00C53A56">
        <w:rPr>
          <w:rFonts w:ascii="Garamond" w:hAnsi="Garamond"/>
        </w:rPr>
        <w:t xml:space="preserve">; </w:t>
      </w:r>
      <w:r w:rsidR="00434FE4">
        <w:rPr>
          <w:rFonts w:ascii="Garamond" w:hAnsi="Garamond"/>
        </w:rPr>
        <w:t xml:space="preserve">as Aesop recounts the tale, </w:t>
      </w:r>
      <w:r w:rsidR="00C53A56">
        <w:rPr>
          <w:rFonts w:ascii="Garamond" w:hAnsi="Garamond"/>
        </w:rPr>
        <w:t>a farmer finds a frozen snake</w:t>
      </w:r>
      <w:r w:rsidR="00434FE4">
        <w:rPr>
          <w:rFonts w:ascii="Garamond" w:hAnsi="Garamond"/>
        </w:rPr>
        <w:t xml:space="preserve"> on his land</w:t>
      </w:r>
      <w:r w:rsidR="00C53A56">
        <w:rPr>
          <w:rFonts w:ascii="Garamond" w:hAnsi="Garamond"/>
        </w:rPr>
        <w:t>, brings it into his ho</w:t>
      </w:r>
      <w:r w:rsidR="00434FE4">
        <w:rPr>
          <w:rFonts w:ascii="Garamond" w:hAnsi="Garamond"/>
        </w:rPr>
        <w:t>me</w:t>
      </w:r>
      <w:r w:rsidR="00C53A56">
        <w:rPr>
          <w:rFonts w:ascii="Garamond" w:hAnsi="Garamond"/>
        </w:rPr>
        <w:t xml:space="preserve"> a</w:t>
      </w:r>
      <w:r w:rsidR="00F6759B">
        <w:rPr>
          <w:rFonts w:ascii="Garamond" w:hAnsi="Garamond"/>
        </w:rPr>
        <w:t>nd</w:t>
      </w:r>
      <w:r w:rsidR="00C53A56">
        <w:rPr>
          <w:rFonts w:ascii="Garamond" w:hAnsi="Garamond"/>
        </w:rPr>
        <w:t xml:space="preserve"> carefully </w:t>
      </w:r>
      <w:r w:rsidR="00434FE4">
        <w:rPr>
          <w:rFonts w:ascii="Garamond" w:hAnsi="Garamond"/>
        </w:rPr>
        <w:t>enable</w:t>
      </w:r>
      <w:r w:rsidR="00C53A56">
        <w:rPr>
          <w:rFonts w:ascii="Garamond" w:hAnsi="Garamond"/>
        </w:rPr>
        <w:t>s it to thaw</w:t>
      </w:r>
      <w:r w:rsidR="0057278B">
        <w:rPr>
          <w:rFonts w:ascii="Garamond" w:hAnsi="Garamond"/>
        </w:rPr>
        <w:t>, only</w:t>
      </w:r>
      <w:r w:rsidR="00C53A56">
        <w:rPr>
          <w:rFonts w:ascii="Garamond" w:hAnsi="Garamond"/>
        </w:rPr>
        <w:t xml:space="preserve"> to be bitten when the reptile reverts to character as well as to life. What was commonplace currency at one time may dissipate with the passing of the generations. </w:t>
      </w:r>
      <w:r w:rsidR="006D1EAB">
        <w:rPr>
          <w:rFonts w:ascii="Garamond" w:hAnsi="Garamond"/>
        </w:rPr>
        <w:t xml:space="preserve">But, as Professor </w:t>
      </w:r>
      <w:r w:rsidR="006D1EAB" w:rsidRPr="006D1EAB">
        <w:rPr>
          <w:rFonts w:ascii="Garamond" w:hAnsi="Garamond"/>
        </w:rPr>
        <w:t>John T McNaughton</w:t>
      </w:r>
      <w:r w:rsidR="006D1EAB">
        <w:rPr>
          <w:rFonts w:ascii="Garamond" w:hAnsi="Garamond"/>
        </w:rPr>
        <w:t xml:space="preserve"> states, </w:t>
      </w:r>
      <w:r w:rsidR="006D1EAB" w:rsidRPr="006D1EAB">
        <w:rPr>
          <w:rFonts w:ascii="Garamond" w:hAnsi="Garamond"/>
        </w:rPr>
        <w:t>Judicial Notice-Excerpts Relating to the Morgan-Wigmore Controversy</w:t>
      </w:r>
      <w:r w:rsidR="006D1EAB">
        <w:rPr>
          <w:rFonts w:ascii="Garamond" w:hAnsi="Garamond"/>
        </w:rPr>
        <w:t>,</w:t>
      </w:r>
      <w:r w:rsidR="006D1EAB" w:rsidRPr="006D1EAB">
        <w:rPr>
          <w:rFonts w:ascii="Garamond" w:hAnsi="Garamond"/>
        </w:rPr>
        <w:t xml:space="preserve"> (1969) 14 Vanderbilt Law Rev 778 at 786</w:t>
      </w:r>
      <w:r w:rsidR="006D1EAB">
        <w:rPr>
          <w:rFonts w:ascii="Garamond" w:hAnsi="Garamond"/>
        </w:rPr>
        <w:t>:</w:t>
      </w:r>
    </w:p>
    <w:p w:rsidR="006D1EAB" w:rsidRDefault="006D1EAB" w:rsidP="00C53A56">
      <w:pPr>
        <w:jc w:val="both"/>
        <w:rPr>
          <w:rFonts w:ascii="Garamond" w:hAnsi="Garamond"/>
        </w:rPr>
      </w:pPr>
    </w:p>
    <w:p w:rsidR="00A7432B" w:rsidRDefault="006D1EAB" w:rsidP="006D1EAB">
      <w:pPr>
        <w:ind w:left="720"/>
        <w:jc w:val="both"/>
        <w:rPr>
          <w:rFonts w:ascii="Garamond" w:hAnsi="Garamond"/>
        </w:rPr>
      </w:pPr>
      <w:r w:rsidRPr="006D1EAB">
        <w:rPr>
          <w:rFonts w:ascii="Garamond" w:hAnsi="Garamond"/>
        </w:rPr>
        <w:t xml:space="preserve">the one distinguishing characteristic of judicial notice is the concept that the tribunal has the right, in appropriate instances, to inform itself as to a material matter by methods in addition to the reception of formal evidence, and it is implicit that the information may be obtained by resort to sources other than those adduced by the litigating parties." </w:t>
      </w:r>
      <w:r w:rsidR="00C53A56">
        <w:rPr>
          <w:rFonts w:ascii="Garamond" w:hAnsi="Garamond"/>
        </w:rPr>
        <w:t xml:space="preserve"> </w:t>
      </w:r>
    </w:p>
    <w:p w:rsidR="00C53A56" w:rsidRDefault="00C53A56" w:rsidP="00C53A56">
      <w:pPr>
        <w:jc w:val="both"/>
        <w:rPr>
          <w:rFonts w:ascii="Garamond" w:hAnsi="Garamond"/>
        </w:rPr>
      </w:pPr>
    </w:p>
    <w:p w:rsidR="00134F82" w:rsidRDefault="00A7432B" w:rsidP="009265E5">
      <w:pPr>
        <w:jc w:val="both"/>
        <w:rPr>
          <w:rFonts w:ascii="Garamond" w:hAnsi="Garamond"/>
        </w:rPr>
      </w:pPr>
      <w:r>
        <w:rPr>
          <w:rFonts w:ascii="Garamond" w:hAnsi="Garamond"/>
        </w:rPr>
        <w:t>5.</w:t>
      </w:r>
      <w:r w:rsidR="00C53A56">
        <w:rPr>
          <w:rFonts w:ascii="Garamond" w:hAnsi="Garamond"/>
        </w:rPr>
        <w:t xml:space="preserve"> Judicial notice may be only taken of </w:t>
      </w:r>
      <w:r w:rsidR="00C53A56">
        <w:rPr>
          <w:rFonts w:ascii="Garamond" w:hAnsi="Garamond"/>
          <w:lang w:val="en-US"/>
        </w:rPr>
        <w:t>such</w:t>
      </w:r>
      <w:r w:rsidR="00C53A56" w:rsidRPr="00C53A56">
        <w:rPr>
          <w:rFonts w:ascii="Garamond" w:hAnsi="Garamond"/>
          <w:lang w:val="en-US"/>
        </w:rPr>
        <w:t xml:space="preserve"> </w:t>
      </w:r>
      <w:r w:rsidR="00C53A56">
        <w:rPr>
          <w:rFonts w:ascii="Garamond" w:hAnsi="Garamond"/>
          <w:lang w:val="en-US"/>
        </w:rPr>
        <w:t>“</w:t>
      </w:r>
      <w:r w:rsidR="00C53A56" w:rsidRPr="00C53A56">
        <w:rPr>
          <w:rFonts w:ascii="Garamond" w:hAnsi="Garamond"/>
          <w:lang w:val="en-US"/>
        </w:rPr>
        <w:t>facts which are so well-known or notorious as to render proof unnecessary</w:t>
      </w:r>
      <w:r w:rsidR="00C53A56">
        <w:rPr>
          <w:rFonts w:ascii="Garamond" w:hAnsi="Garamond"/>
          <w:lang w:val="en-US"/>
        </w:rPr>
        <w:t xml:space="preserve">”; </w:t>
      </w:r>
      <w:r w:rsidR="00706096">
        <w:rPr>
          <w:rFonts w:ascii="Garamond" w:hAnsi="Garamond"/>
          <w:lang w:val="en-US"/>
        </w:rPr>
        <w:t xml:space="preserve">Powles, </w:t>
      </w:r>
      <w:proofErr w:type="spellStart"/>
      <w:r w:rsidR="00706096">
        <w:rPr>
          <w:rFonts w:ascii="Garamond" w:hAnsi="Garamond"/>
          <w:lang w:val="en-US"/>
        </w:rPr>
        <w:t>Waine</w:t>
      </w:r>
      <w:proofErr w:type="spellEnd"/>
      <w:r w:rsidR="00706096">
        <w:rPr>
          <w:rFonts w:ascii="Garamond" w:hAnsi="Garamond"/>
          <w:lang w:val="en-US"/>
        </w:rPr>
        <w:t xml:space="preserve"> and May</w:t>
      </w:r>
      <w:r w:rsidR="00C53A56">
        <w:rPr>
          <w:rFonts w:ascii="Garamond" w:hAnsi="Garamond"/>
          <w:lang w:val="en-US"/>
        </w:rPr>
        <w:t xml:space="preserve">, </w:t>
      </w:r>
      <w:r w:rsidR="00C53A56" w:rsidRPr="00466C1D">
        <w:rPr>
          <w:rFonts w:ascii="Garamond" w:hAnsi="Garamond"/>
          <w:i/>
          <w:lang w:val="en-US"/>
        </w:rPr>
        <w:t>Criminal Evidence</w:t>
      </w:r>
      <w:r w:rsidR="00C53A56">
        <w:rPr>
          <w:rFonts w:ascii="Garamond" w:hAnsi="Garamond"/>
          <w:lang w:val="en-US"/>
        </w:rPr>
        <w:t xml:space="preserve"> (</w:t>
      </w:r>
      <w:r w:rsidR="0091006E">
        <w:rPr>
          <w:rFonts w:ascii="Garamond" w:hAnsi="Garamond"/>
          <w:lang w:val="en-US"/>
        </w:rPr>
        <w:t>6</w:t>
      </w:r>
      <w:r w:rsidR="0091006E" w:rsidRPr="00434FE4">
        <w:rPr>
          <w:rFonts w:ascii="Garamond" w:hAnsi="Garamond"/>
          <w:vertAlign w:val="superscript"/>
          <w:lang w:val="en-US"/>
        </w:rPr>
        <w:t>th</w:t>
      </w:r>
      <w:r w:rsidR="0091006E">
        <w:rPr>
          <w:rFonts w:ascii="Garamond" w:hAnsi="Garamond"/>
          <w:lang w:val="en-US"/>
        </w:rPr>
        <w:t xml:space="preserve"> </w:t>
      </w:r>
      <w:r w:rsidR="00C53A56">
        <w:rPr>
          <w:rFonts w:ascii="Garamond" w:hAnsi="Garamond"/>
          <w:lang w:val="en-US"/>
        </w:rPr>
        <w:t>edition, London,</w:t>
      </w:r>
      <w:r w:rsidR="00434FE4">
        <w:rPr>
          <w:rFonts w:ascii="Garamond" w:hAnsi="Garamond"/>
          <w:lang w:val="en-US"/>
        </w:rPr>
        <w:t xml:space="preserve"> </w:t>
      </w:r>
      <w:r w:rsidR="00E15064">
        <w:rPr>
          <w:rFonts w:ascii="Garamond" w:hAnsi="Garamond"/>
          <w:lang w:val="en-US"/>
        </w:rPr>
        <w:t>2015</w:t>
      </w:r>
      <w:r w:rsidR="00C53A56">
        <w:rPr>
          <w:rFonts w:ascii="Garamond" w:hAnsi="Garamond"/>
          <w:lang w:val="en-US"/>
        </w:rPr>
        <w:t>) 5.</w:t>
      </w:r>
      <w:r w:rsidR="004C21D2">
        <w:rPr>
          <w:rFonts w:ascii="Garamond" w:hAnsi="Garamond"/>
          <w:lang w:val="en-US"/>
        </w:rPr>
        <w:t>08</w:t>
      </w:r>
      <w:r w:rsidR="00C53A56">
        <w:rPr>
          <w:rFonts w:ascii="Garamond" w:hAnsi="Garamond"/>
          <w:lang w:val="en-US"/>
        </w:rPr>
        <w:t xml:space="preserve">. An </w:t>
      </w:r>
      <w:r w:rsidR="00F6759B">
        <w:rPr>
          <w:rFonts w:ascii="Garamond" w:hAnsi="Garamond"/>
          <w:lang w:val="en-US"/>
        </w:rPr>
        <w:t>oft-cited</w:t>
      </w:r>
      <w:r w:rsidR="00C53A56">
        <w:rPr>
          <w:rFonts w:ascii="Garamond" w:hAnsi="Garamond"/>
          <w:lang w:val="en-US"/>
        </w:rPr>
        <w:t xml:space="preserve"> example is that Christmas day is on 25 December, but even there with the shifting cultural landscape</w:t>
      </w:r>
      <w:r w:rsidR="009E47F5">
        <w:rPr>
          <w:rFonts w:ascii="Garamond" w:hAnsi="Garamond"/>
          <w:lang w:val="en-US"/>
        </w:rPr>
        <w:t xml:space="preserve"> means that</w:t>
      </w:r>
      <w:r w:rsidR="00F6759B">
        <w:rPr>
          <w:rFonts w:ascii="Garamond" w:hAnsi="Garamond"/>
          <w:lang w:val="en-US"/>
        </w:rPr>
        <w:t xml:space="preserve"> for those following the Julian calendar it is </w:t>
      </w:r>
      <w:r w:rsidR="00214D7A">
        <w:rPr>
          <w:rFonts w:ascii="Garamond" w:hAnsi="Garamond"/>
          <w:lang w:val="en-US"/>
        </w:rPr>
        <w:t xml:space="preserve">on </w:t>
      </w:r>
      <w:r w:rsidR="00F6759B">
        <w:rPr>
          <w:rFonts w:ascii="Garamond" w:hAnsi="Garamond"/>
          <w:lang w:val="en-US"/>
        </w:rPr>
        <w:t>7 January. T</w:t>
      </w:r>
      <w:r w:rsidR="00F6759B" w:rsidRPr="0052048A">
        <w:rPr>
          <w:rFonts w:ascii="Garamond" w:hAnsi="Garamond"/>
        </w:rPr>
        <w:t>he doctrine of judicial notice</w:t>
      </w:r>
      <w:r w:rsidR="00F6759B">
        <w:rPr>
          <w:rFonts w:ascii="Garamond" w:hAnsi="Garamond"/>
        </w:rPr>
        <w:t xml:space="preserve"> is there to enable only the facts in dispute</w:t>
      </w:r>
      <w:r w:rsidR="005837EB">
        <w:rPr>
          <w:rFonts w:ascii="Garamond" w:hAnsi="Garamond"/>
        </w:rPr>
        <w:t xml:space="preserve"> between litigants</w:t>
      </w:r>
      <w:r w:rsidR="00F6759B">
        <w:rPr>
          <w:rFonts w:ascii="Garamond" w:hAnsi="Garamond"/>
        </w:rPr>
        <w:t xml:space="preserve"> to be focused on and</w:t>
      </w:r>
      <w:r w:rsidR="007812B9">
        <w:rPr>
          <w:rFonts w:ascii="Garamond" w:hAnsi="Garamond"/>
        </w:rPr>
        <w:t xml:space="preserve"> to</w:t>
      </w:r>
      <w:r w:rsidR="00F6759B">
        <w:rPr>
          <w:rFonts w:ascii="Garamond" w:hAnsi="Garamond"/>
        </w:rPr>
        <w:t xml:space="preserve"> leave what is </w:t>
      </w:r>
      <w:r w:rsidR="009265E5">
        <w:rPr>
          <w:rFonts w:ascii="Garamond" w:hAnsi="Garamond"/>
        </w:rPr>
        <w:t xml:space="preserve">clear and obvious as a </w:t>
      </w:r>
      <w:r w:rsidR="009265E5">
        <w:rPr>
          <w:rFonts w:ascii="Garamond" w:hAnsi="Garamond"/>
        </w:rPr>
        <w:lastRenderedPageBreak/>
        <w:t xml:space="preserve">background not requiring specific mention. </w:t>
      </w:r>
      <w:r w:rsidR="009265E5" w:rsidRPr="00434FE4">
        <w:rPr>
          <w:rFonts w:ascii="Garamond" w:hAnsi="Garamond"/>
        </w:rPr>
        <w:t xml:space="preserve">Perhaps subsidiary to that is that courts should require essential proof only and not lapse into pernickety demands as if judges lived outside the real world; </w:t>
      </w:r>
      <w:r w:rsidR="008617FC">
        <w:rPr>
          <w:rFonts w:ascii="Garamond" w:hAnsi="Garamond"/>
        </w:rPr>
        <w:t xml:space="preserve">EM </w:t>
      </w:r>
      <w:r w:rsidR="009265E5" w:rsidRPr="00434FE4">
        <w:rPr>
          <w:rFonts w:ascii="Garamond" w:hAnsi="Garamond"/>
        </w:rPr>
        <w:t>Morgan</w:t>
      </w:r>
      <w:r w:rsidR="008617FC">
        <w:rPr>
          <w:rFonts w:ascii="Garamond" w:hAnsi="Garamond"/>
        </w:rPr>
        <w:t>, Judicial Notice</w:t>
      </w:r>
      <w:r w:rsidR="009265E5" w:rsidRPr="00434FE4">
        <w:rPr>
          <w:rFonts w:ascii="Garamond" w:hAnsi="Garamond"/>
        </w:rPr>
        <w:t xml:space="preserve"> </w:t>
      </w:r>
      <w:r w:rsidR="00B44F4C">
        <w:rPr>
          <w:rFonts w:ascii="Garamond" w:hAnsi="Garamond"/>
        </w:rPr>
        <w:t>(1944)</w:t>
      </w:r>
      <w:r w:rsidR="00FA7B4A">
        <w:rPr>
          <w:rFonts w:ascii="Garamond" w:hAnsi="Garamond"/>
        </w:rPr>
        <w:t xml:space="preserve"> 56(3)</w:t>
      </w:r>
      <w:r w:rsidR="00110D69">
        <w:rPr>
          <w:rFonts w:ascii="Garamond" w:hAnsi="Garamond"/>
        </w:rPr>
        <w:t xml:space="preserve"> </w:t>
      </w:r>
      <w:proofErr w:type="spellStart"/>
      <w:r w:rsidR="003A4291">
        <w:rPr>
          <w:rFonts w:ascii="Garamond" w:hAnsi="Garamond"/>
        </w:rPr>
        <w:t>Harv</w:t>
      </w:r>
      <w:proofErr w:type="spellEnd"/>
      <w:r w:rsidR="003A4291">
        <w:rPr>
          <w:rFonts w:ascii="Garamond" w:hAnsi="Garamond"/>
        </w:rPr>
        <w:t xml:space="preserve"> L Rev </w:t>
      </w:r>
      <w:r w:rsidR="00FA7B4A">
        <w:rPr>
          <w:rFonts w:ascii="Garamond" w:hAnsi="Garamond"/>
        </w:rPr>
        <w:t>26</w:t>
      </w:r>
      <w:r w:rsidR="00526E64">
        <w:rPr>
          <w:rFonts w:ascii="Garamond" w:hAnsi="Garamond"/>
        </w:rPr>
        <w:t>9</w:t>
      </w:r>
      <w:r w:rsidR="009265E5">
        <w:rPr>
          <w:rFonts w:ascii="Garamond" w:hAnsi="Garamond"/>
        </w:rPr>
        <w:t>.</w:t>
      </w:r>
      <w:r w:rsidR="00134F82">
        <w:rPr>
          <w:rFonts w:ascii="Garamond" w:hAnsi="Garamond"/>
        </w:rPr>
        <w:t xml:space="preserve"> Hence, Professor Morgan states:</w:t>
      </w:r>
    </w:p>
    <w:p w:rsidR="00134F82" w:rsidRDefault="00134F82" w:rsidP="009265E5">
      <w:pPr>
        <w:jc w:val="both"/>
        <w:rPr>
          <w:rFonts w:ascii="Garamond" w:hAnsi="Garamond"/>
        </w:rPr>
      </w:pPr>
    </w:p>
    <w:p w:rsidR="00134F82" w:rsidRDefault="00134F82" w:rsidP="006D1EAB">
      <w:pPr>
        <w:ind w:left="720"/>
        <w:jc w:val="both"/>
        <w:rPr>
          <w:rFonts w:ascii="Garamond" w:hAnsi="Garamond"/>
        </w:rPr>
      </w:pPr>
      <w:r w:rsidRPr="00134F82">
        <w:rPr>
          <w:rFonts w:ascii="Garamond" w:hAnsi="Garamond"/>
        </w:rPr>
        <w:t>In an adversary system such as ours, where the court is bound to know the law and the parties to make known the facts, it is particularly important that the court prevent a party from presenting· a moot issue or inducing a false result by disputing what in the existing state of society is demonstrably indisputable among reasonable men</w:t>
      </w:r>
      <w:r w:rsidR="006D1EAB">
        <w:rPr>
          <w:rFonts w:ascii="Garamond" w:hAnsi="Garamond"/>
        </w:rPr>
        <w:t xml:space="preserve"> [and women]</w:t>
      </w:r>
      <w:r w:rsidRPr="00134F82">
        <w:rPr>
          <w:rFonts w:ascii="Garamond" w:hAnsi="Garamond"/>
        </w:rPr>
        <w:t>.</w:t>
      </w:r>
      <w:r w:rsidR="009265E5">
        <w:rPr>
          <w:rFonts w:ascii="Garamond" w:hAnsi="Garamond"/>
        </w:rPr>
        <w:t xml:space="preserve"> </w:t>
      </w:r>
    </w:p>
    <w:p w:rsidR="006D1EAB" w:rsidRDefault="006D1EAB" w:rsidP="006D1EAB">
      <w:pPr>
        <w:ind w:left="720"/>
        <w:jc w:val="both"/>
        <w:rPr>
          <w:rFonts w:ascii="Garamond" w:hAnsi="Garamond"/>
        </w:rPr>
      </w:pPr>
    </w:p>
    <w:p w:rsidR="00A7432B" w:rsidRDefault="006D1EAB" w:rsidP="009265E5">
      <w:pPr>
        <w:jc w:val="both"/>
        <w:rPr>
          <w:rFonts w:ascii="Garamond" w:hAnsi="Garamond"/>
          <w:shd w:val="clear" w:color="auto" w:fill="FFFFFF"/>
        </w:rPr>
      </w:pPr>
      <w:r>
        <w:rPr>
          <w:rFonts w:ascii="Garamond" w:hAnsi="Garamond"/>
        </w:rPr>
        <w:t xml:space="preserve">6. </w:t>
      </w:r>
      <w:r w:rsidR="009265E5">
        <w:rPr>
          <w:rFonts w:ascii="Garamond" w:hAnsi="Garamond"/>
        </w:rPr>
        <w:t xml:space="preserve">Just as the hearsay doctrine has a specific exception for notorious facts and for public records, thus readily ascertainable facts from sources of </w:t>
      </w:r>
      <w:r w:rsidR="009E47F5">
        <w:rPr>
          <w:rFonts w:ascii="Garamond" w:hAnsi="Garamond"/>
        </w:rPr>
        <w:t xml:space="preserve">generally </w:t>
      </w:r>
      <w:r w:rsidR="009265E5">
        <w:rPr>
          <w:rFonts w:ascii="Garamond" w:hAnsi="Garamond"/>
        </w:rPr>
        <w:t>impeccable reliability can establish, for instance, the course of a road, a watercourse or a railway line</w:t>
      </w:r>
      <w:r w:rsidR="00255D61">
        <w:rPr>
          <w:rFonts w:ascii="Garamond" w:hAnsi="Garamond"/>
        </w:rPr>
        <w:t xml:space="preserve">; Henchy J in </w:t>
      </w:r>
      <w:r w:rsidR="00255D61">
        <w:rPr>
          <w:rFonts w:ascii="Garamond" w:hAnsi="Garamond"/>
          <w:i/>
          <w:iCs/>
        </w:rPr>
        <w:t>Minister for Defence v Buckley</w:t>
      </w:r>
      <w:r w:rsidR="00255D61">
        <w:rPr>
          <w:rFonts w:ascii="Garamond" w:hAnsi="Garamond"/>
        </w:rPr>
        <w:t xml:space="preserve"> [1978] IR 314, </w:t>
      </w:r>
      <w:r w:rsidR="00E666FB">
        <w:rPr>
          <w:rFonts w:ascii="Garamond" w:hAnsi="Garamond"/>
        </w:rPr>
        <w:t xml:space="preserve">finding </w:t>
      </w:r>
      <w:r w:rsidR="00255D61">
        <w:rPr>
          <w:rFonts w:ascii="Garamond" w:hAnsi="Garamond"/>
        </w:rPr>
        <w:t>that a</w:t>
      </w:r>
      <w:r w:rsidR="007546E4">
        <w:rPr>
          <w:rFonts w:ascii="Garamond" w:hAnsi="Garamond"/>
        </w:rPr>
        <w:t xml:space="preserve"> </w:t>
      </w:r>
      <w:r w:rsidR="00255D61">
        <w:rPr>
          <w:rFonts w:ascii="Garamond" w:hAnsi="Garamond"/>
        </w:rPr>
        <w:t xml:space="preserve">map referred to in relevant statute could be relied upon as </w:t>
      </w:r>
      <w:r w:rsidR="00255D61">
        <w:rPr>
          <w:rFonts w:ascii="Garamond" w:hAnsi="Garamond"/>
          <w:i/>
          <w:iCs/>
        </w:rPr>
        <w:t xml:space="preserve">prima facie </w:t>
      </w:r>
      <w:r w:rsidR="00255D61">
        <w:rPr>
          <w:rFonts w:ascii="Garamond" w:hAnsi="Garamond"/>
        </w:rPr>
        <w:t xml:space="preserve">evidence in the absence of </w:t>
      </w:r>
      <w:r w:rsidR="00001C8F">
        <w:rPr>
          <w:rFonts w:ascii="Garamond" w:hAnsi="Garamond"/>
        </w:rPr>
        <w:t xml:space="preserve">contrary </w:t>
      </w:r>
      <w:r w:rsidR="00255D61">
        <w:rPr>
          <w:rFonts w:ascii="Garamond" w:hAnsi="Garamond"/>
        </w:rPr>
        <w:t>evidence as to its accuracy</w:t>
      </w:r>
      <w:r w:rsidR="009265E5">
        <w:rPr>
          <w:rFonts w:ascii="Garamond" w:hAnsi="Garamond"/>
        </w:rPr>
        <w:t xml:space="preserve">. Notoriety, however, is not to be equated with conclusivity. </w:t>
      </w:r>
      <w:r w:rsidR="00F6759B" w:rsidRPr="0052048A">
        <w:rPr>
          <w:rFonts w:ascii="Garamond" w:hAnsi="Garamond"/>
        </w:rPr>
        <w:t>Wigmore</w:t>
      </w:r>
      <w:r w:rsidR="00FB47F8">
        <w:rPr>
          <w:rFonts w:ascii="Garamond" w:hAnsi="Garamond"/>
        </w:rPr>
        <w:t xml:space="preserve">, </w:t>
      </w:r>
      <w:r w:rsidR="00FB47F8" w:rsidRPr="00466C1D">
        <w:rPr>
          <w:rFonts w:ascii="Garamond" w:hAnsi="Garamond"/>
          <w:i/>
        </w:rPr>
        <w:t>Evidence</w:t>
      </w:r>
      <w:r w:rsidR="00F6759B" w:rsidRPr="0052048A">
        <w:rPr>
          <w:rFonts w:ascii="Garamond" w:hAnsi="Garamond"/>
        </w:rPr>
        <w:t xml:space="preserve"> (3</w:t>
      </w:r>
      <w:r w:rsidR="00F6759B" w:rsidRPr="0052048A">
        <w:rPr>
          <w:rFonts w:ascii="Garamond" w:hAnsi="Garamond"/>
          <w:vertAlign w:val="superscript"/>
        </w:rPr>
        <w:t>rd</w:t>
      </w:r>
      <w:r w:rsidR="00F6759B" w:rsidRPr="0052048A">
        <w:rPr>
          <w:rFonts w:ascii="Garamond" w:hAnsi="Garamond"/>
        </w:rPr>
        <w:t xml:space="preserve"> </w:t>
      </w:r>
      <w:r w:rsidR="009265E5">
        <w:rPr>
          <w:rFonts w:ascii="Garamond" w:hAnsi="Garamond"/>
        </w:rPr>
        <w:t xml:space="preserve">edition, </w:t>
      </w:r>
      <w:r w:rsidR="00A657F5">
        <w:rPr>
          <w:rFonts w:ascii="Garamond" w:hAnsi="Garamond"/>
        </w:rPr>
        <w:t>Boston,</w:t>
      </w:r>
      <w:r w:rsidR="009265E5">
        <w:rPr>
          <w:rFonts w:ascii="Garamond" w:hAnsi="Garamond"/>
        </w:rPr>
        <w:t xml:space="preserve"> 194</w:t>
      </w:r>
      <w:r w:rsidR="00A657F5">
        <w:rPr>
          <w:rFonts w:ascii="Garamond" w:hAnsi="Garamond"/>
        </w:rPr>
        <w:t>0</w:t>
      </w:r>
      <w:r w:rsidR="00F6759B" w:rsidRPr="0052048A">
        <w:rPr>
          <w:rFonts w:ascii="Garamond" w:hAnsi="Garamond"/>
        </w:rPr>
        <w:t xml:space="preserve">) at </w:t>
      </w:r>
      <w:r w:rsidR="00355C15">
        <w:rPr>
          <w:rFonts w:ascii="Garamond" w:hAnsi="Garamond"/>
        </w:rPr>
        <w:t>p 535</w:t>
      </w:r>
      <w:r w:rsidR="00F6759B" w:rsidRPr="0052048A">
        <w:rPr>
          <w:rFonts w:ascii="Garamond" w:hAnsi="Garamond"/>
        </w:rPr>
        <w:t xml:space="preserve"> states that</w:t>
      </w:r>
      <w:r w:rsidR="009265E5">
        <w:rPr>
          <w:rFonts w:ascii="Garamond" w:hAnsi="Garamond"/>
        </w:rPr>
        <w:t xml:space="preserve"> </w:t>
      </w:r>
      <w:r w:rsidR="00F6759B" w:rsidRPr="0052048A">
        <w:rPr>
          <w:rFonts w:ascii="Garamond" w:hAnsi="Garamond"/>
        </w:rPr>
        <w:t>where judicial notice is taken of a fact, “</w:t>
      </w:r>
      <w:r w:rsidR="00F6759B" w:rsidRPr="00434FE4">
        <w:rPr>
          <w:rFonts w:ascii="Garamond" w:hAnsi="Garamond"/>
        </w:rPr>
        <w:t>the opponent is not prevented from disputing the matter by evidence, if he believes it disputable.”</w:t>
      </w:r>
      <w:r w:rsidR="009265E5">
        <w:rPr>
          <w:rFonts w:ascii="Garamond" w:hAnsi="Garamond"/>
        </w:rPr>
        <w:t xml:space="preserve"> Such a dispute would rarely arise as the judicial notice doctrine concerns backdrops to facts in issue as opposed to the disputed facts.</w:t>
      </w:r>
      <w:r w:rsidR="00F6759B" w:rsidRPr="0052048A">
        <w:rPr>
          <w:rFonts w:ascii="Garamond" w:hAnsi="Garamond"/>
        </w:rPr>
        <w:t xml:space="preserve"> </w:t>
      </w:r>
      <w:r w:rsidR="009265E5">
        <w:rPr>
          <w:rFonts w:ascii="Garamond" w:hAnsi="Garamond"/>
        </w:rPr>
        <w:t xml:space="preserve">Hence, </w:t>
      </w:r>
      <w:r w:rsidR="00F6759B" w:rsidRPr="0052048A">
        <w:rPr>
          <w:rFonts w:ascii="Garamond" w:hAnsi="Garamond"/>
          <w:shd w:val="clear" w:color="auto" w:fill="FFFFFF"/>
        </w:rPr>
        <w:t xml:space="preserve">Davitt J in </w:t>
      </w:r>
      <w:r w:rsidR="00F6759B" w:rsidRPr="0052048A">
        <w:rPr>
          <w:rFonts w:ascii="Garamond" w:hAnsi="Garamond"/>
          <w:i/>
          <w:iCs/>
          <w:shd w:val="clear" w:color="auto" w:fill="FFFFFF"/>
        </w:rPr>
        <w:t xml:space="preserve">The State (William Taylor) v Circuit Court Judge for Wicklow </w:t>
      </w:r>
      <w:r w:rsidR="009265E5">
        <w:rPr>
          <w:rFonts w:ascii="Garamond" w:hAnsi="Garamond" w:cs="Arial"/>
          <w:shd w:val="clear" w:color="auto" w:fill="FFFFFF"/>
        </w:rPr>
        <w:t xml:space="preserve">at p </w:t>
      </w:r>
      <w:r w:rsidR="00135873">
        <w:rPr>
          <w:rFonts w:ascii="Garamond" w:hAnsi="Garamond" w:cs="Arial"/>
          <w:shd w:val="clear" w:color="auto" w:fill="FFFFFF"/>
        </w:rPr>
        <w:t>320</w:t>
      </w:r>
      <w:r w:rsidR="005837EB">
        <w:rPr>
          <w:rFonts w:ascii="Garamond" w:hAnsi="Garamond" w:cs="Arial"/>
          <w:shd w:val="clear" w:color="auto" w:fill="FFFFFF"/>
        </w:rPr>
        <w:t xml:space="preserve"> rightly</w:t>
      </w:r>
      <w:r w:rsidR="009265E5">
        <w:rPr>
          <w:rFonts w:ascii="Garamond" w:hAnsi="Garamond" w:cs="Arial"/>
          <w:shd w:val="clear" w:color="auto" w:fill="FFFFFF"/>
        </w:rPr>
        <w:t xml:space="preserve"> </w:t>
      </w:r>
      <w:r w:rsidR="009265E5">
        <w:rPr>
          <w:rFonts w:ascii="Garamond" w:hAnsi="Garamond"/>
          <w:shd w:val="clear" w:color="auto" w:fill="FFFFFF"/>
        </w:rPr>
        <w:t>rested</w:t>
      </w:r>
      <w:r w:rsidR="00F6759B" w:rsidRPr="0052048A">
        <w:rPr>
          <w:rFonts w:ascii="Garamond" w:hAnsi="Garamond"/>
          <w:shd w:val="clear" w:color="auto" w:fill="FFFFFF"/>
        </w:rPr>
        <w:t xml:space="preserve"> the doctrine of judicial notice “upon foundations of common sense, experience, and convenience rather than on any more logical or scientific principles</w:t>
      </w:r>
      <w:r w:rsidR="00F6759B">
        <w:rPr>
          <w:rFonts w:ascii="Garamond" w:hAnsi="Garamond"/>
          <w:shd w:val="clear" w:color="auto" w:fill="FFFFFF"/>
        </w:rPr>
        <w:t>.</w:t>
      </w:r>
      <w:r w:rsidR="009265E5">
        <w:rPr>
          <w:rFonts w:ascii="Garamond" w:hAnsi="Garamond"/>
          <w:shd w:val="clear" w:color="auto" w:fill="FFFFFF"/>
        </w:rPr>
        <w:t>”</w:t>
      </w:r>
      <w:r>
        <w:rPr>
          <w:rFonts w:ascii="Garamond" w:hAnsi="Garamond"/>
          <w:shd w:val="clear" w:color="auto" w:fill="FFFFFF"/>
        </w:rPr>
        <w:t xml:space="preserve"> To again quote Professor Morgan’s exposition, at 291:</w:t>
      </w:r>
    </w:p>
    <w:p w:rsidR="006D1EAB" w:rsidRDefault="006D1EAB" w:rsidP="009265E5">
      <w:pPr>
        <w:jc w:val="both"/>
        <w:rPr>
          <w:rFonts w:ascii="Garamond" w:hAnsi="Garamond"/>
        </w:rPr>
      </w:pPr>
    </w:p>
    <w:p w:rsidR="006D1EAB" w:rsidRDefault="006D1EAB" w:rsidP="006D1EAB">
      <w:pPr>
        <w:ind w:left="720"/>
        <w:jc w:val="both"/>
        <w:rPr>
          <w:rFonts w:ascii="Garamond" w:hAnsi="Garamond"/>
        </w:rPr>
      </w:pPr>
      <w:r w:rsidRPr="006D1EAB">
        <w:rPr>
          <w:rFonts w:ascii="Garamond" w:hAnsi="Garamond"/>
        </w:rPr>
        <w:t>Resort to the basic reasons for judicial notice marks the limits of the matters noticed and of the field of application in litigation. There is no part of the process of administering justice in a rational system in which the administering agency may properly disregard what is so widely accepted as true as not to be the subject of reasonable dispute or what can 'be immediately and accurately demonstrated to be true by resort to easily accessible sources of indisputable accuracy.</w:t>
      </w:r>
    </w:p>
    <w:p w:rsidR="00A7432B" w:rsidRDefault="00A7432B" w:rsidP="001B7053">
      <w:pPr>
        <w:rPr>
          <w:rFonts w:ascii="Garamond" w:hAnsi="Garamond"/>
        </w:rPr>
      </w:pPr>
    </w:p>
    <w:p w:rsidR="005837EB" w:rsidRDefault="006D1EAB" w:rsidP="00801680">
      <w:pPr>
        <w:jc w:val="both"/>
        <w:rPr>
          <w:rFonts w:ascii="Garamond" w:hAnsi="Garamond"/>
        </w:rPr>
      </w:pPr>
      <w:r>
        <w:rPr>
          <w:rFonts w:ascii="Garamond" w:hAnsi="Garamond"/>
        </w:rPr>
        <w:t>7</w:t>
      </w:r>
      <w:r w:rsidR="00A7432B">
        <w:rPr>
          <w:rFonts w:ascii="Garamond" w:hAnsi="Garamond"/>
        </w:rPr>
        <w:t>.</w:t>
      </w:r>
      <w:r w:rsidR="009265E5">
        <w:rPr>
          <w:rFonts w:ascii="Garamond" w:hAnsi="Garamond"/>
        </w:rPr>
        <w:t xml:space="preserve"> A short journey through the caselaw confirms this. </w:t>
      </w:r>
      <w:r w:rsidR="005114F4">
        <w:rPr>
          <w:rFonts w:ascii="Garamond" w:hAnsi="Garamond"/>
        </w:rPr>
        <w:t>If a fact in issue is where the land border is on this island, on a</w:t>
      </w:r>
      <w:r w:rsidR="005837EB">
        <w:rPr>
          <w:rFonts w:ascii="Garamond" w:hAnsi="Garamond"/>
        </w:rPr>
        <w:t xml:space="preserve"> customs</w:t>
      </w:r>
      <w:r w:rsidR="005114F4">
        <w:rPr>
          <w:rFonts w:ascii="Garamond" w:hAnsi="Garamond"/>
        </w:rPr>
        <w:t xml:space="preserve"> charge of exporting pigs to Northern Ireland, proper proof will be required; </w:t>
      </w:r>
      <w:r w:rsidR="005114F4">
        <w:rPr>
          <w:rFonts w:ascii="Garamond" w:hAnsi="Garamond"/>
          <w:i/>
        </w:rPr>
        <w:t xml:space="preserve">AG v Kirk </w:t>
      </w:r>
      <w:r w:rsidR="005114F4" w:rsidRPr="00434FE4">
        <w:rPr>
          <w:rFonts w:ascii="Garamond" w:hAnsi="Garamond"/>
        </w:rPr>
        <w:t xml:space="preserve">[1955-56] </w:t>
      </w:r>
      <w:proofErr w:type="spellStart"/>
      <w:r w:rsidR="005114F4" w:rsidRPr="00434FE4">
        <w:rPr>
          <w:rFonts w:ascii="Garamond" w:hAnsi="Garamond"/>
        </w:rPr>
        <w:t>Ir</w:t>
      </w:r>
      <w:proofErr w:type="spellEnd"/>
      <w:r w:rsidR="005114F4" w:rsidRPr="00434FE4">
        <w:rPr>
          <w:rFonts w:ascii="Garamond" w:hAnsi="Garamond"/>
        </w:rPr>
        <w:t xml:space="preserve"> </w:t>
      </w:r>
      <w:proofErr w:type="spellStart"/>
      <w:r w:rsidR="005114F4" w:rsidRPr="00434FE4">
        <w:rPr>
          <w:rFonts w:ascii="Garamond" w:hAnsi="Garamond"/>
        </w:rPr>
        <w:t>Jur</w:t>
      </w:r>
      <w:proofErr w:type="spellEnd"/>
      <w:r w:rsidR="005114F4" w:rsidRPr="00434FE4">
        <w:rPr>
          <w:rFonts w:ascii="Garamond" w:hAnsi="Garamond"/>
        </w:rPr>
        <w:t xml:space="preserve"> Rep 57</w:t>
      </w:r>
      <w:r w:rsidR="005114F4">
        <w:rPr>
          <w:rFonts w:ascii="Garamond" w:hAnsi="Garamond"/>
        </w:rPr>
        <w:t xml:space="preserve">. Similarly, foreign laws and legislation may be accepted by the parties to establish a relevant legal status, but otherwise must be proven; </w:t>
      </w:r>
      <w:r w:rsidR="005114F4" w:rsidRPr="00434FE4">
        <w:rPr>
          <w:rFonts w:ascii="Garamond" w:hAnsi="Garamond"/>
          <w:i/>
        </w:rPr>
        <w:t>O’Callaghan v O’Sullivan</w:t>
      </w:r>
      <w:r w:rsidR="005114F4" w:rsidRPr="00434FE4">
        <w:rPr>
          <w:rFonts w:ascii="Garamond" w:hAnsi="Garamond"/>
          <w:b/>
          <w:bCs/>
          <w:i/>
        </w:rPr>
        <w:t xml:space="preserve"> </w:t>
      </w:r>
      <w:r w:rsidR="005114F4" w:rsidRPr="00434FE4">
        <w:rPr>
          <w:rFonts w:ascii="Garamond" w:hAnsi="Garamond"/>
        </w:rPr>
        <w:t>[1925] 1 IR 90</w:t>
      </w:r>
      <w:r w:rsidR="005114F4">
        <w:rPr>
          <w:rFonts w:ascii="Garamond" w:hAnsi="Garamond"/>
        </w:rPr>
        <w:t xml:space="preserve">. But: that international airports generally </w:t>
      </w:r>
      <w:r w:rsidR="002125B2">
        <w:rPr>
          <w:rFonts w:ascii="Garamond" w:hAnsi="Garamond"/>
        </w:rPr>
        <w:t xml:space="preserve">rigorously </w:t>
      </w:r>
      <w:r w:rsidR="005114F4">
        <w:rPr>
          <w:rFonts w:ascii="Garamond" w:hAnsi="Garamond"/>
        </w:rPr>
        <w:t>check passports (</w:t>
      </w:r>
      <w:r w:rsidR="005114F4" w:rsidRPr="00434FE4">
        <w:rPr>
          <w:rFonts w:ascii="Garamond" w:hAnsi="Garamond"/>
          <w:i/>
        </w:rPr>
        <w:t>MSM v Refugee Appeals Tribunal</w:t>
      </w:r>
      <w:r w:rsidR="005114F4">
        <w:rPr>
          <w:rFonts w:ascii="Garamond" w:hAnsi="Garamond"/>
        </w:rPr>
        <w:t xml:space="preserve"> </w:t>
      </w:r>
      <w:r w:rsidR="005114F4" w:rsidRPr="00434FE4">
        <w:rPr>
          <w:rFonts w:ascii="Garamond" w:hAnsi="Garamond"/>
        </w:rPr>
        <w:t>[2015] IEHC 330</w:t>
      </w:r>
      <w:r w:rsidR="005114F4">
        <w:rPr>
          <w:rFonts w:ascii="Garamond" w:hAnsi="Garamond"/>
        </w:rPr>
        <w:t>); that land and property prices declined markedly in consequence of the financial events of 2008 (</w:t>
      </w:r>
      <w:r w:rsidR="005114F4" w:rsidRPr="00434FE4">
        <w:rPr>
          <w:rFonts w:ascii="Garamond" w:hAnsi="Garamond"/>
          <w:i/>
          <w:iCs/>
        </w:rPr>
        <w:t>Bank of Scotland</w:t>
      </w:r>
      <w:r w:rsidR="005114F4" w:rsidRPr="00434FE4">
        <w:rPr>
          <w:rFonts w:ascii="Garamond" w:hAnsi="Garamond"/>
          <w:i/>
        </w:rPr>
        <w:t xml:space="preserve"> v </w:t>
      </w:r>
      <w:proofErr w:type="spellStart"/>
      <w:r w:rsidR="005114F4" w:rsidRPr="00434FE4">
        <w:rPr>
          <w:rFonts w:ascii="Garamond" w:hAnsi="Garamond"/>
          <w:i/>
        </w:rPr>
        <w:t>Shovlin</w:t>
      </w:r>
      <w:proofErr w:type="spellEnd"/>
      <w:r w:rsidR="005114F4">
        <w:rPr>
          <w:rFonts w:ascii="Garamond" w:hAnsi="Garamond"/>
        </w:rPr>
        <w:t xml:space="preserve"> [2012] IEHC 35); that heroin is an addictive drug (</w:t>
      </w:r>
      <w:r w:rsidR="005114F4" w:rsidRPr="00434FE4">
        <w:rPr>
          <w:rFonts w:ascii="Garamond" w:hAnsi="Garamond"/>
          <w:i/>
        </w:rPr>
        <w:t>The People (DPP) v Byrne</w:t>
      </w:r>
      <w:r w:rsidR="005114F4">
        <w:rPr>
          <w:rFonts w:ascii="Garamond" w:hAnsi="Garamond"/>
          <w:i/>
        </w:rPr>
        <w:t xml:space="preserve"> </w:t>
      </w:r>
      <w:r w:rsidR="005114F4">
        <w:rPr>
          <w:rFonts w:ascii="Garamond" w:hAnsi="Garamond"/>
        </w:rPr>
        <w:t>[2012] IECCA 72</w:t>
      </w:r>
      <w:r w:rsidR="00507885">
        <w:rPr>
          <w:rFonts w:ascii="Garamond" w:hAnsi="Garamond"/>
        </w:rPr>
        <w:t>)</w:t>
      </w:r>
      <w:r w:rsidR="005114F4">
        <w:rPr>
          <w:rFonts w:ascii="Garamond" w:hAnsi="Garamond"/>
        </w:rPr>
        <w:t>; that trams have the kind of doors known to everyone using them (</w:t>
      </w:r>
      <w:r w:rsidR="005114F4" w:rsidRPr="00434FE4">
        <w:rPr>
          <w:rFonts w:ascii="Garamond" w:hAnsi="Garamond"/>
          <w:i/>
        </w:rPr>
        <w:t>Byrne v Londonderry Tram Co</w:t>
      </w:r>
      <w:r w:rsidR="005114F4" w:rsidRPr="00434FE4">
        <w:rPr>
          <w:rFonts w:ascii="Garamond" w:hAnsi="Garamond"/>
        </w:rPr>
        <w:t xml:space="preserve"> [1902] 2 IR </w:t>
      </w:r>
      <w:r w:rsidR="00EB0325" w:rsidRPr="00434FE4">
        <w:rPr>
          <w:rFonts w:ascii="Garamond" w:hAnsi="Garamond"/>
        </w:rPr>
        <w:t>4</w:t>
      </w:r>
      <w:r w:rsidR="005114F4" w:rsidRPr="00434FE4">
        <w:rPr>
          <w:rFonts w:ascii="Garamond" w:hAnsi="Garamond"/>
        </w:rPr>
        <w:t>57</w:t>
      </w:r>
      <w:r w:rsidR="0019026D">
        <w:rPr>
          <w:rFonts w:ascii="Garamond" w:hAnsi="Garamond"/>
        </w:rPr>
        <w:t>)</w:t>
      </w:r>
      <w:r w:rsidR="005114F4">
        <w:rPr>
          <w:rFonts w:ascii="Garamond" w:hAnsi="Garamond"/>
        </w:rPr>
        <w:t>; that racehorse yearlings generally fetch prices</w:t>
      </w:r>
      <w:r w:rsidR="00E44DBE">
        <w:rPr>
          <w:rFonts w:ascii="Garamond" w:hAnsi="Garamond"/>
        </w:rPr>
        <w:t xml:space="preserve"> a multiple</w:t>
      </w:r>
      <w:r w:rsidR="005114F4">
        <w:rPr>
          <w:rFonts w:ascii="Garamond" w:hAnsi="Garamond"/>
        </w:rPr>
        <w:t xml:space="preserve"> beyond what a</w:t>
      </w:r>
      <w:r w:rsidR="00235649">
        <w:rPr>
          <w:rFonts w:ascii="Garamond" w:hAnsi="Garamond"/>
        </w:rPr>
        <w:t xml:space="preserve"> plaintiff</w:t>
      </w:r>
      <w:r w:rsidR="005114F4">
        <w:rPr>
          <w:rFonts w:ascii="Garamond" w:hAnsi="Garamond"/>
        </w:rPr>
        <w:t xml:space="preserve"> may claim</w:t>
      </w:r>
      <w:r w:rsidR="00E44DBE">
        <w:rPr>
          <w:rFonts w:ascii="Garamond" w:hAnsi="Garamond"/>
        </w:rPr>
        <w:t xml:space="preserve"> (</w:t>
      </w:r>
      <w:r w:rsidR="00E44DBE" w:rsidRPr="00434FE4">
        <w:rPr>
          <w:rFonts w:ascii="Garamond" w:hAnsi="Garamond"/>
          <w:i/>
        </w:rPr>
        <w:t>Waters v Cruikshank</w:t>
      </w:r>
      <w:r w:rsidR="00E44DBE">
        <w:rPr>
          <w:rFonts w:ascii="Garamond" w:hAnsi="Garamond"/>
          <w:i/>
        </w:rPr>
        <w:t xml:space="preserve"> </w:t>
      </w:r>
      <w:r w:rsidR="00E44DBE">
        <w:rPr>
          <w:rFonts w:ascii="Garamond" w:hAnsi="Garamond"/>
        </w:rPr>
        <w:t>[1967] IR 378</w:t>
      </w:r>
      <w:r w:rsidR="00CB13CB">
        <w:rPr>
          <w:rFonts w:ascii="Garamond" w:hAnsi="Garamond"/>
        </w:rPr>
        <w:t>)</w:t>
      </w:r>
      <w:r w:rsidR="00E44DBE">
        <w:rPr>
          <w:rFonts w:ascii="Garamond" w:hAnsi="Garamond"/>
        </w:rPr>
        <w:t xml:space="preserve">; that the State </w:t>
      </w:r>
      <w:r w:rsidR="00711DEA">
        <w:rPr>
          <w:rFonts w:ascii="Garamond" w:hAnsi="Garamond"/>
        </w:rPr>
        <w:t>had repaid</w:t>
      </w:r>
      <w:r w:rsidR="00E44DBE">
        <w:rPr>
          <w:rFonts w:ascii="Garamond" w:hAnsi="Garamond"/>
        </w:rPr>
        <w:t xml:space="preserve"> loans </w:t>
      </w:r>
      <w:r w:rsidR="006A56DA">
        <w:rPr>
          <w:rFonts w:ascii="Garamond" w:hAnsi="Garamond"/>
        </w:rPr>
        <w:t xml:space="preserve">provided by the </w:t>
      </w:r>
      <w:r w:rsidR="00E44DBE">
        <w:rPr>
          <w:rFonts w:ascii="Garamond" w:hAnsi="Garamond"/>
        </w:rPr>
        <w:t>International Monetary Fund (</w:t>
      </w:r>
      <w:r w:rsidR="00E44DBE" w:rsidRPr="00434FE4">
        <w:rPr>
          <w:rFonts w:ascii="Garamond" w:hAnsi="Garamond"/>
          <w:i/>
        </w:rPr>
        <w:t>Dowling v Minister for Finance</w:t>
      </w:r>
      <w:r w:rsidR="00E44DBE">
        <w:rPr>
          <w:rFonts w:ascii="Garamond" w:hAnsi="Garamond"/>
          <w:i/>
        </w:rPr>
        <w:t xml:space="preserve"> </w:t>
      </w:r>
      <w:r w:rsidR="00E44DBE">
        <w:rPr>
          <w:rFonts w:ascii="Garamond" w:hAnsi="Garamond"/>
        </w:rPr>
        <w:t>[2018] IECA 300</w:t>
      </w:r>
      <w:r w:rsidR="00A570AC">
        <w:rPr>
          <w:rFonts w:ascii="Garamond" w:hAnsi="Garamond"/>
        </w:rPr>
        <w:t>)</w:t>
      </w:r>
      <w:r w:rsidR="00E44DBE">
        <w:rPr>
          <w:rFonts w:ascii="Garamond" w:hAnsi="Garamond"/>
        </w:rPr>
        <w:t>; that a particular river was tidal at a point (</w:t>
      </w:r>
      <w:r w:rsidR="00E44DBE" w:rsidRPr="00434FE4">
        <w:rPr>
          <w:rFonts w:ascii="Garamond" w:hAnsi="Garamond"/>
          <w:i/>
        </w:rPr>
        <w:t>Ingram v Percival</w:t>
      </w:r>
      <w:r w:rsidR="00E44DBE">
        <w:rPr>
          <w:rFonts w:ascii="Garamond" w:hAnsi="Garamond"/>
          <w:i/>
        </w:rPr>
        <w:t xml:space="preserve"> </w:t>
      </w:r>
      <w:r w:rsidR="00436603">
        <w:rPr>
          <w:rFonts w:ascii="Garamond" w:hAnsi="Garamond"/>
        </w:rPr>
        <w:t>[</w:t>
      </w:r>
      <w:r w:rsidR="00E44DBE">
        <w:rPr>
          <w:rFonts w:ascii="Garamond" w:hAnsi="Garamond"/>
        </w:rPr>
        <w:t>1979] 1 QB 548</w:t>
      </w:r>
      <w:r w:rsidR="00A570AC">
        <w:rPr>
          <w:rFonts w:ascii="Garamond" w:hAnsi="Garamond"/>
        </w:rPr>
        <w:t>)</w:t>
      </w:r>
      <w:r w:rsidR="00E44DBE">
        <w:rPr>
          <w:rFonts w:ascii="Garamond" w:hAnsi="Garamond"/>
        </w:rPr>
        <w:t xml:space="preserve"> – all these have been accepted as facts that come into a case without specific proof.</w:t>
      </w:r>
      <w:r w:rsidR="002D5437">
        <w:rPr>
          <w:rFonts w:ascii="Garamond" w:hAnsi="Garamond"/>
        </w:rPr>
        <w:t xml:space="preserve"> Most texts give </w:t>
      </w:r>
      <w:r w:rsidR="007537AA">
        <w:rPr>
          <w:rFonts w:ascii="Garamond" w:hAnsi="Garamond"/>
        </w:rPr>
        <w:t>a set of examples.</w:t>
      </w:r>
      <w:r w:rsidR="00307427">
        <w:rPr>
          <w:rFonts w:ascii="Garamond" w:hAnsi="Garamond"/>
        </w:rPr>
        <w:t xml:space="preserve"> In 2021, what living with this</w:t>
      </w:r>
      <w:r w:rsidR="005837EB">
        <w:rPr>
          <w:rFonts w:ascii="Garamond" w:hAnsi="Garamond"/>
        </w:rPr>
        <w:t xml:space="preserve"> latest coronavirus</w:t>
      </w:r>
      <w:r w:rsidR="00307427">
        <w:rPr>
          <w:rFonts w:ascii="Garamond" w:hAnsi="Garamond"/>
        </w:rPr>
        <w:t xml:space="preserve"> disease since </w:t>
      </w:r>
      <w:r w:rsidR="005837EB">
        <w:rPr>
          <w:rFonts w:ascii="Garamond" w:hAnsi="Garamond"/>
        </w:rPr>
        <w:t>Saint Patrick’s Day</w:t>
      </w:r>
      <w:r w:rsidR="00307427">
        <w:rPr>
          <w:rFonts w:ascii="Garamond" w:hAnsi="Garamond"/>
        </w:rPr>
        <w:t xml:space="preserve"> in 20</w:t>
      </w:r>
      <w:r w:rsidR="00E166DD">
        <w:rPr>
          <w:rFonts w:ascii="Garamond" w:hAnsi="Garamond"/>
        </w:rPr>
        <w:t>20</w:t>
      </w:r>
      <w:r w:rsidR="00307427">
        <w:rPr>
          <w:rFonts w:ascii="Garamond" w:hAnsi="Garamond"/>
        </w:rPr>
        <w:t xml:space="preserve"> has established notoriously include</w:t>
      </w:r>
      <w:r w:rsidR="003C48AE">
        <w:rPr>
          <w:rFonts w:ascii="Garamond" w:hAnsi="Garamond"/>
        </w:rPr>
        <w:t>s</w:t>
      </w:r>
      <w:r w:rsidR="00307427">
        <w:rPr>
          <w:rFonts w:ascii="Garamond" w:hAnsi="Garamond"/>
        </w:rPr>
        <w:t xml:space="preserve"> that </w:t>
      </w:r>
      <w:r w:rsidR="00AD5BFE">
        <w:rPr>
          <w:rFonts w:ascii="Garamond" w:hAnsi="Garamond"/>
        </w:rPr>
        <w:t>the virus is infectious,</w:t>
      </w:r>
      <w:r w:rsidR="005837EB">
        <w:rPr>
          <w:rFonts w:ascii="Garamond" w:hAnsi="Garamond"/>
        </w:rPr>
        <w:t xml:space="preserve"> that </w:t>
      </w:r>
      <w:r w:rsidR="005837EB">
        <w:rPr>
          <w:rFonts w:ascii="Garamond" w:hAnsi="Garamond"/>
        </w:rPr>
        <w:lastRenderedPageBreak/>
        <w:t>mutations have increased the reproduction rate,</w:t>
      </w:r>
      <w:r w:rsidR="00AD5BFE">
        <w:rPr>
          <w:rFonts w:ascii="Garamond" w:hAnsi="Garamond"/>
        </w:rPr>
        <w:t xml:space="preserve"> that </w:t>
      </w:r>
      <w:r w:rsidR="00307427">
        <w:rPr>
          <w:rFonts w:ascii="Garamond" w:hAnsi="Garamond"/>
        </w:rPr>
        <w:t>people who catch it often lose taste and smell, that  people</w:t>
      </w:r>
      <w:r w:rsidR="00434FE4">
        <w:rPr>
          <w:rFonts w:ascii="Garamond" w:hAnsi="Garamond"/>
        </w:rPr>
        <w:t xml:space="preserve"> of very high body mass index</w:t>
      </w:r>
      <w:r w:rsidR="00307427">
        <w:rPr>
          <w:rFonts w:ascii="Garamond" w:hAnsi="Garamond"/>
        </w:rPr>
        <w:t xml:space="preserve"> are in particular danger, as are the very old and those with supressed</w:t>
      </w:r>
      <w:r w:rsidR="009E47F5">
        <w:rPr>
          <w:rFonts w:ascii="Garamond" w:hAnsi="Garamond"/>
        </w:rPr>
        <w:t xml:space="preserve"> or challenged</w:t>
      </w:r>
      <w:r w:rsidR="00307427">
        <w:rPr>
          <w:rFonts w:ascii="Garamond" w:hAnsi="Garamond"/>
        </w:rPr>
        <w:t xml:space="preserve"> immune systems.</w:t>
      </w:r>
      <w:r w:rsidR="00A459F3">
        <w:rPr>
          <w:rFonts w:ascii="Garamond" w:hAnsi="Garamond"/>
        </w:rPr>
        <w:t xml:space="preserve"> </w:t>
      </w:r>
      <w:r>
        <w:rPr>
          <w:rFonts w:ascii="Garamond" w:hAnsi="Garamond"/>
        </w:rPr>
        <w:t>In terms of approach, judicial notice is not about procedure or limited by what the parties put before the judge, rather as Professor Morgan notes, at 270:</w:t>
      </w:r>
    </w:p>
    <w:p w:rsidR="006D1EAB" w:rsidRDefault="006D1EAB" w:rsidP="00801680">
      <w:pPr>
        <w:jc w:val="both"/>
        <w:rPr>
          <w:rFonts w:ascii="Garamond" w:hAnsi="Garamond"/>
        </w:rPr>
      </w:pPr>
    </w:p>
    <w:p w:rsidR="006D1EAB" w:rsidRDefault="006D1EAB" w:rsidP="006D1EAB">
      <w:pPr>
        <w:ind w:left="720"/>
        <w:jc w:val="both"/>
        <w:rPr>
          <w:rFonts w:ascii="Garamond" w:hAnsi="Garamond"/>
        </w:rPr>
      </w:pPr>
      <w:r w:rsidRPr="006D1EAB">
        <w:rPr>
          <w:rFonts w:ascii="Garamond" w:hAnsi="Garamond"/>
        </w:rPr>
        <w:t>In determining the content or applicability of a rule of domestic law, the judge is unrestricted in his investigation and conclusion. He may reject propositions of either party or of both parties. He may consult the sources of pertinent data to which they refer, or he may refuse to do so .... He may reach a conclusion in accord with the overwhelming weight of available data or against it . . .. In all of this he is entitled to the assistance of the parties and their counsel, for he is acting for the sole purpose of reaching a proper solution of their controversy. But the parties do no more than to assist; they control no part of the process.</w:t>
      </w:r>
    </w:p>
    <w:p w:rsidR="005837EB" w:rsidRDefault="005837EB" w:rsidP="00801680">
      <w:pPr>
        <w:jc w:val="both"/>
        <w:rPr>
          <w:rFonts w:ascii="Garamond" w:hAnsi="Garamond"/>
        </w:rPr>
      </w:pPr>
    </w:p>
    <w:p w:rsidR="00A7432B" w:rsidRPr="00E44DBE" w:rsidRDefault="007537AA" w:rsidP="00801680">
      <w:pPr>
        <w:jc w:val="both"/>
        <w:rPr>
          <w:rFonts w:ascii="Garamond" w:hAnsi="Garamond"/>
        </w:rPr>
      </w:pPr>
      <w:r>
        <w:rPr>
          <w:rFonts w:ascii="Garamond" w:hAnsi="Garamond"/>
        </w:rPr>
        <w:t>8</w:t>
      </w:r>
      <w:r w:rsidR="005837EB">
        <w:rPr>
          <w:rFonts w:ascii="Garamond" w:hAnsi="Garamond"/>
        </w:rPr>
        <w:t xml:space="preserve">. </w:t>
      </w:r>
      <w:r w:rsidR="00A459F3">
        <w:rPr>
          <w:rFonts w:ascii="Garamond" w:hAnsi="Garamond"/>
        </w:rPr>
        <w:t>But judicial notice is a principle enabling the use, as opposed to the proof,</w:t>
      </w:r>
      <w:r w:rsidR="00434FE4">
        <w:rPr>
          <w:rFonts w:ascii="Garamond" w:hAnsi="Garamond"/>
        </w:rPr>
        <w:t xml:space="preserve"> which the principle bypasses,</w:t>
      </w:r>
      <w:r w:rsidR="00A459F3">
        <w:rPr>
          <w:rFonts w:ascii="Garamond" w:hAnsi="Garamond"/>
        </w:rPr>
        <w:t xml:space="preserve"> of facts.</w:t>
      </w:r>
      <w:r w:rsidR="00E44DBE">
        <w:rPr>
          <w:rFonts w:ascii="Garamond" w:hAnsi="Garamond"/>
        </w:rPr>
        <w:t xml:space="preserve"> What matters is that the judge uses his or her general experience as a person and not because of a particular study of land borders,</w:t>
      </w:r>
      <w:r w:rsidR="005837EB">
        <w:rPr>
          <w:rFonts w:ascii="Garamond" w:hAnsi="Garamond"/>
        </w:rPr>
        <w:t xml:space="preserve"> of motor engines,</w:t>
      </w:r>
      <w:r w:rsidR="00E44DBE">
        <w:rPr>
          <w:rFonts w:ascii="Garamond" w:hAnsi="Garamond"/>
        </w:rPr>
        <w:t xml:space="preserve"> of the history of transport, of livestock or anything beyond what living and being aware of events teaches members of the community, perhaps even local community matters of notoriety; </w:t>
      </w:r>
      <w:r w:rsidR="00E44DBE" w:rsidRPr="00434FE4">
        <w:rPr>
          <w:rFonts w:ascii="Garamond" w:hAnsi="Garamond"/>
          <w:i/>
        </w:rPr>
        <w:t xml:space="preserve">Reynolds v </w:t>
      </w:r>
      <w:proofErr w:type="spellStart"/>
      <w:r w:rsidR="00E44DBE" w:rsidRPr="00434FE4">
        <w:rPr>
          <w:rFonts w:ascii="Garamond" w:hAnsi="Garamond"/>
          <w:i/>
        </w:rPr>
        <w:t>Llanelly</w:t>
      </w:r>
      <w:proofErr w:type="spellEnd"/>
      <w:r w:rsidR="00E44DBE" w:rsidRPr="00434FE4">
        <w:rPr>
          <w:rFonts w:ascii="Garamond" w:hAnsi="Garamond"/>
          <w:i/>
        </w:rPr>
        <w:t xml:space="preserve"> Associated Tin</w:t>
      </w:r>
      <w:r w:rsidR="00ED2A49" w:rsidRPr="00434FE4">
        <w:rPr>
          <w:rFonts w:ascii="Garamond" w:hAnsi="Garamond"/>
          <w:i/>
        </w:rPr>
        <w:t xml:space="preserve"> P</w:t>
      </w:r>
      <w:r w:rsidR="00E44DBE" w:rsidRPr="00434FE4">
        <w:rPr>
          <w:rFonts w:ascii="Garamond" w:hAnsi="Garamond"/>
          <w:i/>
        </w:rPr>
        <w:t>late Co</w:t>
      </w:r>
      <w:r w:rsidR="00E44DBE">
        <w:rPr>
          <w:rFonts w:ascii="Garamond" w:hAnsi="Garamond"/>
          <w:i/>
        </w:rPr>
        <w:t xml:space="preserve"> </w:t>
      </w:r>
      <w:r w:rsidR="00E44DBE" w:rsidRPr="00E44DBE">
        <w:rPr>
          <w:rFonts w:ascii="Garamond" w:hAnsi="Garamond"/>
        </w:rPr>
        <w:t>[1948] 1 All ER 140.</w:t>
      </w:r>
      <w:r w:rsidR="00E44DBE">
        <w:rPr>
          <w:rFonts w:ascii="Garamond" w:hAnsi="Garamond"/>
        </w:rPr>
        <w:t xml:space="preserve"> </w:t>
      </w:r>
      <w:r w:rsidR="00307427">
        <w:rPr>
          <w:rFonts w:ascii="Garamond" w:hAnsi="Garamond"/>
        </w:rPr>
        <w:t>But, if a judge had an issue as to whether some fact might be disputed, as opposed to being beyond dispute as notorious, then a question to the court or witnesses such as “is the river not tidal there?” or “would anyone get more than about a third of the 2006 price for a house in that area in 2012?” might be appropriate. The whole point about judicial knowledge is that it is evidence that is</w:t>
      </w:r>
      <w:r w:rsidR="005837EB">
        <w:rPr>
          <w:rFonts w:ascii="Garamond" w:hAnsi="Garamond"/>
        </w:rPr>
        <w:t xml:space="preserve"> a</w:t>
      </w:r>
      <w:r w:rsidR="00307427">
        <w:rPr>
          <w:rFonts w:ascii="Garamond" w:hAnsi="Garamond"/>
        </w:rPr>
        <w:t xml:space="preserve"> known </w:t>
      </w:r>
      <w:r w:rsidR="005837EB">
        <w:rPr>
          <w:rFonts w:ascii="Garamond" w:hAnsi="Garamond"/>
        </w:rPr>
        <w:t xml:space="preserve">backdrop to what the parties have in dispute among them in the court case </w:t>
      </w:r>
      <w:r w:rsidR="00307427">
        <w:rPr>
          <w:rFonts w:ascii="Garamond" w:hAnsi="Garamond"/>
        </w:rPr>
        <w:t xml:space="preserve">as opposed to a fact that is sprung on the </w:t>
      </w:r>
      <w:r w:rsidR="005837EB">
        <w:rPr>
          <w:rFonts w:ascii="Garamond" w:hAnsi="Garamond"/>
        </w:rPr>
        <w:t>litigants</w:t>
      </w:r>
      <w:r w:rsidR="00307427">
        <w:rPr>
          <w:rFonts w:ascii="Garamond" w:hAnsi="Garamond"/>
        </w:rPr>
        <w:t xml:space="preserve"> out of the blue.</w:t>
      </w:r>
    </w:p>
    <w:p w:rsidR="002200E8" w:rsidRDefault="002200E8" w:rsidP="00801680">
      <w:pPr>
        <w:jc w:val="both"/>
        <w:rPr>
          <w:rFonts w:ascii="Garamond" w:hAnsi="Garamond"/>
        </w:rPr>
      </w:pPr>
    </w:p>
    <w:p w:rsidR="002200E8" w:rsidRDefault="007537AA" w:rsidP="00801680">
      <w:pPr>
        <w:jc w:val="both"/>
        <w:rPr>
          <w:rFonts w:ascii="Garamond" w:hAnsi="Garamond"/>
        </w:rPr>
      </w:pPr>
      <w:r>
        <w:rPr>
          <w:rFonts w:ascii="Garamond" w:hAnsi="Garamond"/>
        </w:rPr>
        <w:t>9</w:t>
      </w:r>
      <w:r w:rsidR="002200E8">
        <w:rPr>
          <w:rFonts w:ascii="Garamond" w:hAnsi="Garamond"/>
        </w:rPr>
        <w:t xml:space="preserve">. </w:t>
      </w:r>
      <w:r w:rsidR="00E44DBE">
        <w:rPr>
          <w:rFonts w:ascii="Garamond" w:hAnsi="Garamond"/>
        </w:rPr>
        <w:t xml:space="preserve">Thus the limit of judicial knowledge is drawn at what the community generally knows, at notorious facts and </w:t>
      </w:r>
      <w:r w:rsidR="009E577A">
        <w:rPr>
          <w:rFonts w:ascii="Garamond" w:hAnsi="Garamond"/>
        </w:rPr>
        <w:t xml:space="preserve">generally </w:t>
      </w:r>
      <w:r w:rsidR="00E44DBE">
        <w:rPr>
          <w:rFonts w:ascii="Garamond" w:hAnsi="Garamond"/>
        </w:rPr>
        <w:t>indisputable information</w:t>
      </w:r>
      <w:r w:rsidR="00B14107">
        <w:rPr>
          <w:rFonts w:ascii="Garamond" w:hAnsi="Garamond"/>
        </w:rPr>
        <w:t>,</w:t>
      </w:r>
      <w:r w:rsidR="00E44DBE">
        <w:rPr>
          <w:rFonts w:ascii="Garamond" w:hAnsi="Garamond"/>
        </w:rPr>
        <w:t xml:space="preserve"> but does not extend into arcane study requiring expert testimony, facts centrally disputed by the parties and the occurrence</w:t>
      </w:r>
      <w:r w:rsidR="008C1742">
        <w:rPr>
          <w:rFonts w:ascii="Garamond" w:hAnsi="Garamond"/>
        </w:rPr>
        <w:t xml:space="preserve"> or existence</w:t>
      </w:r>
      <w:r w:rsidR="00E44DBE">
        <w:rPr>
          <w:rFonts w:ascii="Garamond" w:hAnsi="Garamond"/>
        </w:rPr>
        <w:t xml:space="preserve"> of </w:t>
      </w:r>
      <w:r w:rsidR="00307427">
        <w:rPr>
          <w:rFonts w:ascii="Garamond" w:hAnsi="Garamond"/>
        </w:rPr>
        <w:t xml:space="preserve">what is not commonplace knowledge. </w:t>
      </w:r>
      <w:r w:rsidR="00E44DBE">
        <w:rPr>
          <w:rFonts w:ascii="Garamond" w:hAnsi="Garamond"/>
        </w:rPr>
        <w:t xml:space="preserve"> </w:t>
      </w:r>
    </w:p>
    <w:p w:rsidR="005837EB" w:rsidRDefault="005837EB" w:rsidP="00801680">
      <w:pPr>
        <w:jc w:val="both"/>
        <w:rPr>
          <w:rFonts w:ascii="Garamond" w:hAnsi="Garamond"/>
        </w:rPr>
      </w:pPr>
    </w:p>
    <w:p w:rsidR="005837EB" w:rsidRPr="005837EB" w:rsidRDefault="005837EB" w:rsidP="00801680">
      <w:pPr>
        <w:jc w:val="both"/>
        <w:rPr>
          <w:rFonts w:ascii="Garamond" w:hAnsi="Garamond"/>
          <w:b/>
        </w:rPr>
      </w:pPr>
      <w:r>
        <w:rPr>
          <w:rFonts w:ascii="Garamond" w:hAnsi="Garamond"/>
          <w:b/>
        </w:rPr>
        <w:t>This case</w:t>
      </w:r>
    </w:p>
    <w:p w:rsidR="002200E8" w:rsidRDefault="002200E8" w:rsidP="00801680">
      <w:pPr>
        <w:jc w:val="both"/>
        <w:rPr>
          <w:rFonts w:ascii="Garamond" w:hAnsi="Garamond"/>
        </w:rPr>
      </w:pPr>
    </w:p>
    <w:p w:rsidR="002200E8" w:rsidRDefault="007537AA" w:rsidP="00801680">
      <w:pPr>
        <w:jc w:val="both"/>
        <w:rPr>
          <w:rFonts w:ascii="Garamond" w:hAnsi="Garamond"/>
        </w:rPr>
      </w:pPr>
      <w:r>
        <w:rPr>
          <w:rFonts w:ascii="Garamond" w:hAnsi="Garamond"/>
        </w:rPr>
        <w:t>10</w:t>
      </w:r>
      <w:r w:rsidR="002200E8">
        <w:rPr>
          <w:rFonts w:ascii="Garamond" w:hAnsi="Garamond"/>
        </w:rPr>
        <w:t xml:space="preserve">. </w:t>
      </w:r>
      <w:r w:rsidR="00307427">
        <w:rPr>
          <w:rFonts w:ascii="Garamond" w:hAnsi="Garamond"/>
        </w:rPr>
        <w:t>Actually, here, the doctrine of judicial notice hinders rather than helps the Minister. Yes, there was a pandemic and it</w:t>
      </w:r>
      <w:r w:rsidR="005837EB">
        <w:rPr>
          <w:rFonts w:ascii="Garamond" w:hAnsi="Garamond"/>
        </w:rPr>
        <w:t xml:space="preserve"> undoubtedly</w:t>
      </w:r>
      <w:r w:rsidR="00307427">
        <w:rPr>
          <w:rFonts w:ascii="Garamond" w:hAnsi="Garamond"/>
        </w:rPr>
        <w:t xml:space="preserve"> disrupted travel among countries. Certainly, as variants emerge even now in the structure of the Covid-19 virus some countries are banning, and have banned in the past, non-essential travel.</w:t>
      </w:r>
      <w:r w:rsidR="00C83FBC">
        <w:rPr>
          <w:rFonts w:ascii="Garamond" w:hAnsi="Garamond"/>
        </w:rPr>
        <w:t xml:space="preserve"> But is not transferring a prisoner important, at least, if not essential?</w:t>
      </w:r>
      <w:r w:rsidR="00307427">
        <w:rPr>
          <w:rFonts w:ascii="Garamond" w:hAnsi="Garamond"/>
        </w:rPr>
        <w:t xml:space="preserve"> Definitely, there were air routes which ceased to operate. But the shutting of one usual and preferred route of travel did not mean that a surrendered person might not travel to another major hub by air and take a train or bus from there.</w:t>
      </w:r>
      <w:r w:rsidR="005837EB">
        <w:rPr>
          <w:rFonts w:ascii="Garamond" w:hAnsi="Garamond"/>
        </w:rPr>
        <w:t xml:space="preserve"> Did trains and buses cease to travel in Ireland or in Europe during the pandemic? </w:t>
      </w:r>
      <w:r w:rsidR="002C20B2">
        <w:rPr>
          <w:rFonts w:ascii="Garamond" w:hAnsi="Garamond"/>
        </w:rPr>
        <w:t>General knowledge would suppose restrictions but not the mothballing of these forms of transport.</w:t>
      </w:r>
      <w:r w:rsidR="00054655">
        <w:rPr>
          <w:rFonts w:ascii="Garamond" w:hAnsi="Garamond"/>
        </w:rPr>
        <w:t xml:space="preserve"> This is the point at which the Minister failed to establish her case</w:t>
      </w:r>
      <w:r w:rsidR="00165201">
        <w:rPr>
          <w:rFonts w:ascii="Garamond" w:hAnsi="Garamond"/>
        </w:rPr>
        <w:t>.</w:t>
      </w:r>
      <w:r w:rsidR="00A459F3">
        <w:rPr>
          <w:rFonts w:ascii="Garamond" w:hAnsi="Garamond"/>
        </w:rPr>
        <w:t xml:space="preserve"> People travel a lot and are used to changing their arrangements. Simply saying, in a context as serious as this and against a backdrop of legislation setting strict time limits, that one route is shut establishes nothing</w:t>
      </w:r>
      <w:r w:rsidR="00963DC7">
        <w:rPr>
          <w:rFonts w:ascii="Garamond" w:hAnsi="Garamond"/>
        </w:rPr>
        <w:t xml:space="preserve"> in and of itself</w:t>
      </w:r>
      <w:r w:rsidR="00A459F3">
        <w:rPr>
          <w:rFonts w:ascii="Garamond" w:hAnsi="Garamond"/>
        </w:rPr>
        <w:t>.</w:t>
      </w:r>
      <w:r w:rsidR="002C20B2">
        <w:rPr>
          <w:rFonts w:ascii="Garamond" w:hAnsi="Garamond"/>
        </w:rPr>
        <w:t xml:space="preserve"> Two final comments are required.</w:t>
      </w:r>
    </w:p>
    <w:p w:rsidR="002C20B2" w:rsidRDefault="002C20B2" w:rsidP="00801680">
      <w:pPr>
        <w:jc w:val="both"/>
        <w:rPr>
          <w:rFonts w:ascii="Garamond" w:hAnsi="Garamond"/>
        </w:rPr>
      </w:pPr>
    </w:p>
    <w:p w:rsidR="002C20B2" w:rsidRPr="002C20B2" w:rsidRDefault="002C20B2" w:rsidP="00801680">
      <w:pPr>
        <w:jc w:val="both"/>
        <w:rPr>
          <w:rFonts w:ascii="Garamond" w:hAnsi="Garamond"/>
          <w:b/>
        </w:rPr>
      </w:pPr>
      <w:r>
        <w:rPr>
          <w:rFonts w:ascii="Garamond" w:hAnsi="Garamond"/>
          <w:b/>
        </w:rPr>
        <w:lastRenderedPageBreak/>
        <w:t>Humanitarian considerations</w:t>
      </w:r>
    </w:p>
    <w:p w:rsidR="002200E8" w:rsidRDefault="002200E8" w:rsidP="00801680">
      <w:pPr>
        <w:jc w:val="both"/>
        <w:rPr>
          <w:rFonts w:ascii="Garamond" w:hAnsi="Garamond"/>
        </w:rPr>
      </w:pPr>
    </w:p>
    <w:p w:rsidR="002C20B2" w:rsidRDefault="002C20B2" w:rsidP="00801680">
      <w:pPr>
        <w:jc w:val="both"/>
        <w:rPr>
          <w:rFonts w:ascii="Garamond" w:hAnsi="Garamond"/>
        </w:rPr>
      </w:pPr>
      <w:r>
        <w:rPr>
          <w:rFonts w:ascii="Garamond" w:hAnsi="Garamond"/>
        </w:rPr>
        <w:t>1</w:t>
      </w:r>
      <w:r w:rsidR="007537AA">
        <w:rPr>
          <w:rFonts w:ascii="Garamond" w:hAnsi="Garamond"/>
        </w:rPr>
        <w:t>1</w:t>
      </w:r>
      <w:r w:rsidR="002200E8">
        <w:rPr>
          <w:rFonts w:ascii="Garamond" w:hAnsi="Garamond"/>
        </w:rPr>
        <w:t xml:space="preserve">. </w:t>
      </w:r>
      <w:r w:rsidR="00A459F3">
        <w:rPr>
          <w:rFonts w:ascii="Garamond" w:hAnsi="Garamond"/>
        </w:rPr>
        <w:t>Firstly, what is a humanitarian consideration can include a situation beyond the control of the requesting and requested country. One may be a subset of the</w:t>
      </w:r>
      <w:r w:rsidR="00C83FBC">
        <w:rPr>
          <w:rFonts w:ascii="Garamond" w:hAnsi="Garamond"/>
        </w:rPr>
        <w:t xml:space="preserve"> other</w:t>
      </w:r>
      <w:r w:rsidR="00434FE4">
        <w:rPr>
          <w:rFonts w:ascii="Garamond" w:hAnsi="Garamond"/>
        </w:rPr>
        <w:t>, but not necessarily,</w:t>
      </w:r>
      <w:r w:rsidR="00A459F3">
        <w:rPr>
          <w:rFonts w:ascii="Garamond" w:hAnsi="Garamond"/>
        </w:rPr>
        <w:t xml:space="preserve"> and it would be an unhappy use of the law to start drawing</w:t>
      </w:r>
      <w:r w:rsidR="00434FE4">
        <w:rPr>
          <w:rFonts w:ascii="Garamond" w:hAnsi="Garamond"/>
        </w:rPr>
        <w:t xml:space="preserve"> unreal</w:t>
      </w:r>
      <w:r w:rsidR="00A459F3">
        <w:rPr>
          <w:rFonts w:ascii="Garamond" w:hAnsi="Garamond"/>
        </w:rPr>
        <w:t xml:space="preserve"> boundaries as between them or to refuse applications on the basis that one was pleaded as opposed to the other in seeking a postponement.</w:t>
      </w:r>
      <w:r>
        <w:rPr>
          <w:rFonts w:ascii="Garamond" w:hAnsi="Garamond"/>
        </w:rPr>
        <w:t xml:space="preserve"> Both </w:t>
      </w:r>
      <w:proofErr w:type="spellStart"/>
      <w:r>
        <w:rPr>
          <w:rFonts w:ascii="Garamond" w:hAnsi="Garamond"/>
        </w:rPr>
        <w:t>Woulfe</w:t>
      </w:r>
      <w:proofErr w:type="spellEnd"/>
      <w:r>
        <w:rPr>
          <w:rFonts w:ascii="Garamond" w:hAnsi="Garamond"/>
        </w:rPr>
        <w:t xml:space="preserve"> J and Hogan J describe the situations that the concept of humanitarian considerations embrace.</w:t>
      </w:r>
      <w:r w:rsidR="00C13804">
        <w:rPr>
          <w:rFonts w:ascii="Garamond" w:hAnsi="Garamond"/>
        </w:rPr>
        <w:t xml:space="preserve"> That is a general concept that includes</w:t>
      </w:r>
      <w:r w:rsidR="00C83FBC">
        <w:rPr>
          <w:rFonts w:ascii="Garamond" w:hAnsi="Garamond"/>
        </w:rPr>
        <w:t>,</w:t>
      </w:r>
      <w:r w:rsidR="00C13804">
        <w:rPr>
          <w:rFonts w:ascii="Garamond" w:hAnsi="Garamond"/>
        </w:rPr>
        <w:t xml:space="preserve"> but is not limited to</w:t>
      </w:r>
      <w:r w:rsidR="00C83FBC">
        <w:rPr>
          <w:rFonts w:ascii="Garamond" w:hAnsi="Garamond"/>
        </w:rPr>
        <w:t>,</w:t>
      </w:r>
      <w:r w:rsidR="00C13804">
        <w:rPr>
          <w:rFonts w:ascii="Garamond" w:hAnsi="Garamond"/>
        </w:rPr>
        <w:t xml:space="preserve"> “</w:t>
      </w:r>
      <w:r w:rsidR="00C13804" w:rsidRPr="00C13804">
        <w:rPr>
          <w:rFonts w:ascii="Garamond" w:hAnsi="Garamond"/>
        </w:rPr>
        <w:t>substantial grounds for believing that</w:t>
      </w:r>
      <w:r w:rsidR="00C13804">
        <w:rPr>
          <w:rFonts w:ascii="Garamond" w:hAnsi="Garamond"/>
        </w:rPr>
        <w:t>” travel or surrender in a particular situation</w:t>
      </w:r>
      <w:r w:rsidR="00C13804" w:rsidRPr="00C13804">
        <w:rPr>
          <w:rFonts w:ascii="Garamond" w:hAnsi="Garamond"/>
        </w:rPr>
        <w:t xml:space="preserve"> </w:t>
      </w:r>
      <w:r w:rsidR="00C13804">
        <w:rPr>
          <w:rFonts w:ascii="Garamond" w:hAnsi="Garamond"/>
        </w:rPr>
        <w:t>“</w:t>
      </w:r>
      <w:r w:rsidR="00C13804" w:rsidRPr="00C13804">
        <w:rPr>
          <w:rFonts w:ascii="Garamond" w:hAnsi="Garamond"/>
        </w:rPr>
        <w:t>would manifestly endanger the requested person's life or health</w:t>
      </w:r>
      <w:r w:rsidR="00C13804">
        <w:rPr>
          <w:rFonts w:ascii="Garamond" w:hAnsi="Garamond"/>
        </w:rPr>
        <w:t>” but could extend to a need for treatment before travel</w:t>
      </w:r>
      <w:r w:rsidR="00C83FBC">
        <w:rPr>
          <w:rFonts w:ascii="Garamond" w:hAnsi="Garamond"/>
        </w:rPr>
        <w:t xml:space="preserve"> or perhaps a grave personal or family crisis</w:t>
      </w:r>
      <w:r w:rsidR="00C13804">
        <w:rPr>
          <w:rFonts w:ascii="Garamond" w:hAnsi="Garamond"/>
        </w:rPr>
        <w:t>. The general concept is not to be limited.</w:t>
      </w:r>
      <w:r>
        <w:rPr>
          <w:rFonts w:ascii="Garamond" w:hAnsi="Garamond"/>
        </w:rPr>
        <w:t xml:space="preserve"> It can be that exposing someone</w:t>
      </w:r>
      <w:r w:rsidR="006E2754">
        <w:rPr>
          <w:rFonts w:ascii="Garamond" w:hAnsi="Garamond"/>
        </w:rPr>
        <w:t xml:space="preserve"> especially vulnerable</w:t>
      </w:r>
      <w:r>
        <w:rPr>
          <w:rFonts w:ascii="Garamond" w:hAnsi="Garamond"/>
        </w:rPr>
        <w:t xml:space="preserve"> who is not vaccinated to travel might be that but, again, the world is learning that absent an underlying condition that vaccination means that Covid-19 is highly unlikely embrace morbidity or to set off a long term condition. A </w:t>
      </w:r>
      <w:r w:rsidRPr="002C20B2">
        <w:rPr>
          <w:rFonts w:ascii="Garamond" w:hAnsi="Garamond"/>
          <w:i/>
        </w:rPr>
        <w:t>force majeure</w:t>
      </w:r>
      <w:r>
        <w:rPr>
          <w:rFonts w:ascii="Garamond" w:hAnsi="Garamond"/>
        </w:rPr>
        <w:t xml:space="preserve"> situation as between requesting and requested states is</w:t>
      </w:r>
      <w:r w:rsidR="006E2754">
        <w:rPr>
          <w:rFonts w:ascii="Garamond" w:hAnsi="Garamond"/>
        </w:rPr>
        <w:t xml:space="preserve"> that surrender is “</w:t>
      </w:r>
      <w:r w:rsidR="006E2754" w:rsidRPr="006E2754">
        <w:rPr>
          <w:rFonts w:ascii="Garamond" w:hAnsi="Garamond"/>
        </w:rPr>
        <w:t>prevented by circumstances beyond the control of any of the Member States</w:t>
      </w:r>
      <w:r w:rsidR="006E2754">
        <w:rPr>
          <w:rFonts w:ascii="Garamond" w:hAnsi="Garamond"/>
        </w:rPr>
        <w:t>”, just that</w:t>
      </w:r>
      <w:r w:rsidR="00C83FBC">
        <w:rPr>
          <w:rFonts w:ascii="Garamond" w:hAnsi="Garamond"/>
        </w:rPr>
        <w:t>,</w:t>
      </w:r>
      <w:r>
        <w:rPr>
          <w:rFonts w:ascii="Garamond" w:hAnsi="Garamond"/>
        </w:rPr>
        <w:t xml:space="preserve"> as opposed to the law requiring some such catastrophe as the outbreak of war</w:t>
      </w:r>
      <w:r w:rsidR="00C13804">
        <w:rPr>
          <w:rFonts w:ascii="Garamond" w:hAnsi="Garamond"/>
        </w:rPr>
        <w:t>; s 18</w:t>
      </w:r>
      <w:r w:rsidR="00C13804" w:rsidRPr="00C13804">
        <w:rPr>
          <w:rFonts w:ascii="Garamond" w:hAnsi="Garamond"/>
        </w:rPr>
        <w:t xml:space="preserve"> </w:t>
      </w:r>
      <w:r w:rsidR="00C13804">
        <w:rPr>
          <w:rFonts w:ascii="Garamond" w:hAnsi="Garamond"/>
        </w:rPr>
        <w:t>European Arrest Warrant Act 2003</w:t>
      </w:r>
      <w:r w:rsidR="004A71B7">
        <w:rPr>
          <w:rFonts w:ascii="Garamond" w:hAnsi="Garamond"/>
        </w:rPr>
        <w:t xml:space="preserve"> and Article 23 of the </w:t>
      </w:r>
      <w:r w:rsidR="006E2754">
        <w:rPr>
          <w:rFonts w:ascii="Garamond" w:hAnsi="Garamond"/>
        </w:rPr>
        <w:t>Framework Decision</w:t>
      </w:r>
      <w:r>
        <w:rPr>
          <w:rFonts w:ascii="Garamond" w:hAnsi="Garamond"/>
        </w:rPr>
        <w:t>.</w:t>
      </w:r>
    </w:p>
    <w:p w:rsidR="002C20B2" w:rsidRDefault="002C20B2" w:rsidP="00801680">
      <w:pPr>
        <w:jc w:val="both"/>
        <w:rPr>
          <w:rFonts w:ascii="Garamond" w:hAnsi="Garamond"/>
        </w:rPr>
      </w:pPr>
    </w:p>
    <w:p w:rsidR="002C20B2" w:rsidRPr="002C20B2" w:rsidRDefault="002C20B2" w:rsidP="00801680">
      <w:pPr>
        <w:jc w:val="both"/>
        <w:rPr>
          <w:rFonts w:ascii="Garamond" w:hAnsi="Garamond"/>
          <w:b/>
        </w:rPr>
      </w:pPr>
      <w:r>
        <w:rPr>
          <w:rFonts w:ascii="Garamond" w:hAnsi="Garamond"/>
          <w:b/>
        </w:rPr>
        <w:t>Inquisitorial hearing</w:t>
      </w:r>
    </w:p>
    <w:p w:rsidR="002C20B2" w:rsidRDefault="002C20B2" w:rsidP="00801680">
      <w:pPr>
        <w:jc w:val="both"/>
        <w:rPr>
          <w:rFonts w:ascii="Garamond" w:hAnsi="Garamond"/>
        </w:rPr>
      </w:pPr>
    </w:p>
    <w:p w:rsidR="00054F70" w:rsidRDefault="002C20B2" w:rsidP="00801680">
      <w:pPr>
        <w:jc w:val="both"/>
        <w:rPr>
          <w:rFonts w:ascii="Garamond" w:hAnsi="Garamond"/>
        </w:rPr>
      </w:pPr>
      <w:r>
        <w:rPr>
          <w:rFonts w:ascii="Garamond" w:hAnsi="Garamond"/>
        </w:rPr>
        <w:t>1</w:t>
      </w:r>
      <w:r w:rsidR="007537AA">
        <w:rPr>
          <w:rFonts w:ascii="Garamond" w:hAnsi="Garamond"/>
        </w:rPr>
        <w:t>2</w:t>
      </w:r>
      <w:r>
        <w:rPr>
          <w:rFonts w:ascii="Garamond" w:hAnsi="Garamond"/>
        </w:rPr>
        <w:t>.</w:t>
      </w:r>
      <w:r w:rsidR="00A459F3">
        <w:rPr>
          <w:rFonts w:ascii="Garamond" w:hAnsi="Garamond"/>
        </w:rPr>
        <w:t xml:space="preserve"> Secondly, this process of cooperation in the surrender of those suspected of crime, or </w:t>
      </w:r>
      <w:r w:rsidR="00CB3B1E">
        <w:rPr>
          <w:rFonts w:ascii="Garamond" w:hAnsi="Garamond"/>
        </w:rPr>
        <w:t xml:space="preserve">those </w:t>
      </w:r>
      <w:r w:rsidR="00A459F3">
        <w:rPr>
          <w:rFonts w:ascii="Garamond" w:hAnsi="Garamond"/>
        </w:rPr>
        <w:t>who have absconded from serving sentences, is one</w:t>
      </w:r>
      <w:r w:rsidR="00A459F3" w:rsidRPr="00434FE4">
        <w:rPr>
          <w:rFonts w:ascii="Garamond" w:hAnsi="Garamond"/>
        </w:rPr>
        <w:t xml:space="preserve"> of cooperation. </w:t>
      </w:r>
      <w:r w:rsidR="00C0463D">
        <w:rPr>
          <w:rFonts w:ascii="Garamond" w:hAnsi="Garamond"/>
        </w:rPr>
        <w:t>This</w:t>
      </w:r>
      <w:r>
        <w:rPr>
          <w:rFonts w:ascii="Garamond" w:hAnsi="Garamond"/>
        </w:rPr>
        <w:t xml:space="preserve"> concept in extradition law, whereby the judge has the task of examining the papers</w:t>
      </w:r>
      <w:r w:rsidR="00C0463D">
        <w:rPr>
          <w:rFonts w:ascii="Garamond" w:hAnsi="Garamond"/>
        </w:rPr>
        <w:t>, as well as s 20 of the 2003 Act</w:t>
      </w:r>
      <w:r w:rsidR="006C6B67">
        <w:rPr>
          <w:rFonts w:ascii="Garamond" w:hAnsi="Garamond"/>
        </w:rPr>
        <w:t xml:space="preserve">, granting the judge the power to seek information, </w:t>
      </w:r>
      <w:r w:rsidR="00F85673">
        <w:rPr>
          <w:rFonts w:ascii="Garamond" w:hAnsi="Garamond"/>
        </w:rPr>
        <w:t>renders this process inquisitorial.</w:t>
      </w:r>
      <w:r w:rsidR="00A459F3">
        <w:rPr>
          <w:rFonts w:ascii="Garamond" w:hAnsi="Garamond"/>
        </w:rPr>
        <w:t xml:space="preserve"> </w:t>
      </w:r>
      <w:r>
        <w:rPr>
          <w:rFonts w:ascii="Garamond" w:hAnsi="Garamond"/>
        </w:rPr>
        <w:t>The process is not dependent on what the parties put up to the judge but on the judge doing the enquiry into the validity of the request; is there a request from a judicial authority, is this an offence known to our law,</w:t>
      </w:r>
      <w:r w:rsidR="00054F70">
        <w:rPr>
          <w:rFonts w:ascii="Garamond" w:hAnsi="Garamond"/>
        </w:rPr>
        <w:t xml:space="preserve"> is there minimum gravity in the offence or sentence,</w:t>
      </w:r>
      <w:r>
        <w:rPr>
          <w:rFonts w:ascii="Garamond" w:hAnsi="Garamond"/>
        </w:rPr>
        <w:t xml:space="preserve"> does an issue of breach of rights occur</w:t>
      </w:r>
      <w:r w:rsidR="00054F70">
        <w:rPr>
          <w:rFonts w:ascii="Garamond" w:hAnsi="Garamond"/>
        </w:rPr>
        <w:t>? The judge is required to address the requested person and tell him or her of the rights: that the suspect may consent to return, that the suspect is entitled to legal aid, that the suspect is to be facilitated with</w:t>
      </w:r>
      <w:r w:rsidR="00981E14">
        <w:rPr>
          <w:rFonts w:ascii="Garamond" w:hAnsi="Garamond"/>
        </w:rPr>
        <w:t xml:space="preserve"> any necessary</w:t>
      </w:r>
      <w:r w:rsidR="00054F70">
        <w:rPr>
          <w:rFonts w:ascii="Garamond" w:hAnsi="Garamond"/>
        </w:rPr>
        <w:t xml:space="preserve"> translation;</w:t>
      </w:r>
      <w:bookmarkStart w:id="1" w:name="_Hlk89773369"/>
      <w:r w:rsidR="00C13804">
        <w:rPr>
          <w:rFonts w:ascii="Garamond" w:hAnsi="Garamond"/>
        </w:rPr>
        <w:t xml:space="preserve"> 2003</w:t>
      </w:r>
      <w:r w:rsidR="00054F70">
        <w:rPr>
          <w:rFonts w:ascii="Garamond" w:hAnsi="Garamond"/>
        </w:rPr>
        <w:t xml:space="preserve"> Act </w:t>
      </w:r>
      <w:bookmarkEnd w:id="1"/>
      <w:r w:rsidR="00054F70">
        <w:rPr>
          <w:rFonts w:ascii="Garamond" w:hAnsi="Garamond"/>
        </w:rPr>
        <w:t>s 13(4).</w:t>
      </w:r>
    </w:p>
    <w:p w:rsidR="00054F70" w:rsidRDefault="00054F70" w:rsidP="00801680">
      <w:pPr>
        <w:jc w:val="both"/>
        <w:rPr>
          <w:rFonts w:ascii="Garamond" w:hAnsi="Garamond"/>
        </w:rPr>
      </w:pPr>
    </w:p>
    <w:p w:rsidR="002200E8" w:rsidRDefault="00054F70" w:rsidP="00801680">
      <w:pPr>
        <w:jc w:val="both"/>
        <w:rPr>
          <w:rFonts w:ascii="Garamond" w:hAnsi="Garamond"/>
        </w:rPr>
      </w:pPr>
      <w:r>
        <w:rPr>
          <w:rFonts w:ascii="Garamond" w:hAnsi="Garamond"/>
        </w:rPr>
        <w:t>1</w:t>
      </w:r>
      <w:r w:rsidR="007537AA">
        <w:rPr>
          <w:rFonts w:ascii="Garamond" w:hAnsi="Garamond"/>
        </w:rPr>
        <w:t>3</w:t>
      </w:r>
      <w:r>
        <w:rPr>
          <w:rFonts w:ascii="Garamond" w:hAnsi="Garamond"/>
        </w:rPr>
        <w:t xml:space="preserve">. While this system of inquiry as opposed to adjudication as between contending parties is not usual, the approach of inquisition is what is required. </w:t>
      </w:r>
      <w:r w:rsidR="00A459F3">
        <w:rPr>
          <w:rFonts w:ascii="Garamond" w:hAnsi="Garamond"/>
        </w:rPr>
        <w:t>This</w:t>
      </w:r>
      <w:r>
        <w:rPr>
          <w:rFonts w:ascii="Garamond" w:hAnsi="Garamond"/>
        </w:rPr>
        <w:t xml:space="preserve"> responsibility</w:t>
      </w:r>
      <w:r w:rsidR="00A459F3">
        <w:rPr>
          <w:rFonts w:ascii="Garamond" w:hAnsi="Garamond"/>
        </w:rPr>
        <w:t xml:space="preserve"> means that the judge</w:t>
      </w:r>
      <w:r w:rsidR="0081422E">
        <w:rPr>
          <w:rFonts w:ascii="Garamond" w:hAnsi="Garamond"/>
        </w:rPr>
        <w:t xml:space="preserve"> must</w:t>
      </w:r>
      <w:r w:rsidR="00A459F3">
        <w:rPr>
          <w:rFonts w:ascii="Garamond" w:hAnsi="Garamond"/>
        </w:rPr>
        <w:t xml:space="preserve"> read the file</w:t>
      </w:r>
      <w:r w:rsidR="005609A4">
        <w:rPr>
          <w:rFonts w:ascii="Garamond" w:hAnsi="Garamond"/>
        </w:rPr>
        <w:t xml:space="preserve"> and </w:t>
      </w:r>
      <w:r w:rsidR="00A459F3">
        <w:rPr>
          <w:rFonts w:ascii="Garamond" w:hAnsi="Garamond"/>
        </w:rPr>
        <w:t>become satisfied as to correspondence and as to the validity of a request</w:t>
      </w:r>
      <w:r w:rsidR="009C3339">
        <w:rPr>
          <w:rFonts w:ascii="Garamond" w:hAnsi="Garamond"/>
        </w:rPr>
        <w:t>,</w:t>
      </w:r>
      <w:r w:rsidR="00A459F3">
        <w:rPr>
          <w:rFonts w:ascii="Garamond" w:hAnsi="Garamond"/>
        </w:rPr>
        <w:t xml:space="preserve"> and</w:t>
      </w:r>
      <w:r>
        <w:rPr>
          <w:rFonts w:ascii="Garamond" w:hAnsi="Garamond"/>
        </w:rPr>
        <w:t xml:space="preserve"> it also means</w:t>
      </w:r>
      <w:r w:rsidR="00A459F3">
        <w:rPr>
          <w:rFonts w:ascii="Garamond" w:hAnsi="Garamond"/>
        </w:rPr>
        <w:t xml:space="preserve"> that the parties are merely there to assist.</w:t>
      </w:r>
      <w:r>
        <w:rPr>
          <w:rFonts w:ascii="Garamond" w:hAnsi="Garamond"/>
        </w:rPr>
        <w:t xml:space="preserve"> Of course, that does not mean that counsel for the requested person may not come up with a point and advocate for the judge to accept it.</w:t>
      </w:r>
      <w:r w:rsidR="00A459F3">
        <w:rPr>
          <w:rFonts w:ascii="Garamond" w:hAnsi="Garamond"/>
        </w:rPr>
        <w:t xml:space="preserve"> If further information is needed, the judge, as in any case, should ask the parties</w:t>
      </w:r>
      <w:r>
        <w:rPr>
          <w:rFonts w:ascii="Garamond" w:hAnsi="Garamond"/>
        </w:rPr>
        <w:t xml:space="preserve"> what the situation is</w:t>
      </w:r>
      <w:r w:rsidR="00A459F3">
        <w:rPr>
          <w:rFonts w:ascii="Garamond" w:hAnsi="Garamond"/>
        </w:rPr>
        <w:t>, but</w:t>
      </w:r>
      <w:r>
        <w:rPr>
          <w:rFonts w:ascii="Garamond" w:hAnsi="Garamond"/>
        </w:rPr>
        <w:t xml:space="preserve"> an issue, which may amount to</w:t>
      </w:r>
      <w:r w:rsidR="00A459F3">
        <w:rPr>
          <w:rFonts w:ascii="Garamond" w:hAnsi="Garamond"/>
        </w:rPr>
        <w:t xml:space="preserve"> a deficit in proof</w:t>
      </w:r>
      <w:r>
        <w:rPr>
          <w:rFonts w:ascii="Garamond" w:hAnsi="Garamond"/>
        </w:rPr>
        <w:t>,</w:t>
      </w:r>
      <w:r w:rsidR="00A459F3">
        <w:rPr>
          <w:rFonts w:ascii="Garamond" w:hAnsi="Garamond"/>
        </w:rPr>
        <w:t xml:space="preserve"> may be remedied at the judge’s own motion through requiring further documents or intelligence and not be determinative of the application. </w:t>
      </w:r>
      <w:r w:rsidR="00C83FBC">
        <w:rPr>
          <w:rFonts w:ascii="Garamond" w:hAnsi="Garamond"/>
        </w:rPr>
        <w:t xml:space="preserve">Perhaps an example helps: the Minister contends in a particular instance that a situation is </w:t>
      </w:r>
      <w:r w:rsidR="00C83FBC" w:rsidRPr="00466C1D">
        <w:rPr>
          <w:rFonts w:ascii="Garamond" w:hAnsi="Garamond"/>
          <w:i/>
        </w:rPr>
        <w:t>force majeur</w:t>
      </w:r>
      <w:r w:rsidR="009139D4" w:rsidRPr="00466C1D">
        <w:rPr>
          <w:rFonts w:ascii="Garamond" w:hAnsi="Garamond"/>
          <w:i/>
        </w:rPr>
        <w:t>e</w:t>
      </w:r>
      <w:r w:rsidR="00C83FBC">
        <w:rPr>
          <w:rFonts w:ascii="Garamond" w:hAnsi="Garamond"/>
        </w:rPr>
        <w:t>, but the judge thinks otherwise; the judge thinks it is a humanitarian reason for delay; this is not a pleading point, where setting out a proposition means that not meeting that proposition undermines a case. No: the duty of the judge is to inquire and to make up his or her own mind and the judge is not limited in that enquiry as to what the parties put before the court by way of adversarial analysis.</w:t>
      </w:r>
    </w:p>
    <w:p w:rsidR="00054F70" w:rsidRDefault="00054F70" w:rsidP="00801680">
      <w:pPr>
        <w:jc w:val="both"/>
        <w:rPr>
          <w:rFonts w:ascii="Garamond" w:hAnsi="Garamond"/>
        </w:rPr>
      </w:pPr>
    </w:p>
    <w:p w:rsidR="007537AA" w:rsidRDefault="007537AA" w:rsidP="00801680">
      <w:pPr>
        <w:jc w:val="both"/>
        <w:rPr>
          <w:rFonts w:ascii="Garamond" w:hAnsi="Garamond"/>
        </w:rPr>
      </w:pPr>
    </w:p>
    <w:p w:rsidR="00054F70" w:rsidRPr="00054F70" w:rsidRDefault="00054F70" w:rsidP="00801680">
      <w:pPr>
        <w:jc w:val="both"/>
        <w:rPr>
          <w:rFonts w:ascii="Garamond" w:hAnsi="Garamond"/>
          <w:b/>
        </w:rPr>
      </w:pPr>
      <w:r>
        <w:rPr>
          <w:rFonts w:ascii="Garamond" w:hAnsi="Garamond"/>
          <w:b/>
        </w:rPr>
        <w:lastRenderedPageBreak/>
        <w:t>Result</w:t>
      </w:r>
    </w:p>
    <w:p w:rsidR="002200E8" w:rsidRDefault="002200E8" w:rsidP="00801680">
      <w:pPr>
        <w:jc w:val="both"/>
        <w:rPr>
          <w:rFonts w:ascii="Garamond" w:hAnsi="Garamond"/>
        </w:rPr>
      </w:pPr>
    </w:p>
    <w:p w:rsidR="002200E8" w:rsidRDefault="002200E8" w:rsidP="00801680">
      <w:pPr>
        <w:jc w:val="both"/>
        <w:rPr>
          <w:rFonts w:ascii="Garamond" w:hAnsi="Garamond"/>
        </w:rPr>
      </w:pPr>
      <w:r>
        <w:rPr>
          <w:rFonts w:ascii="Garamond" w:hAnsi="Garamond"/>
        </w:rPr>
        <w:t>1</w:t>
      </w:r>
      <w:r w:rsidR="00054F70">
        <w:rPr>
          <w:rFonts w:ascii="Garamond" w:hAnsi="Garamond"/>
        </w:rPr>
        <w:t>3</w:t>
      </w:r>
      <w:r>
        <w:rPr>
          <w:rFonts w:ascii="Garamond" w:hAnsi="Garamond"/>
        </w:rPr>
        <w:t xml:space="preserve">. </w:t>
      </w:r>
      <w:r w:rsidR="00A459F3">
        <w:rPr>
          <w:rFonts w:ascii="Garamond" w:hAnsi="Garamond"/>
        </w:rPr>
        <w:t xml:space="preserve">In consequence, the reasoning of Hogan J is preferred. </w:t>
      </w:r>
    </w:p>
    <w:p w:rsidR="002200E8" w:rsidRDefault="002200E8" w:rsidP="00801680">
      <w:pPr>
        <w:jc w:val="both"/>
        <w:rPr>
          <w:rFonts w:ascii="Garamond" w:hAnsi="Garamond"/>
        </w:rPr>
      </w:pPr>
      <w:r>
        <w:rPr>
          <w:rFonts w:ascii="Garamond" w:hAnsi="Garamond"/>
        </w:rPr>
        <w:t xml:space="preserve">. </w:t>
      </w:r>
    </w:p>
    <w:p w:rsidR="002200E8" w:rsidRDefault="002200E8" w:rsidP="00801680">
      <w:pPr>
        <w:jc w:val="both"/>
        <w:rPr>
          <w:rFonts w:ascii="Garamond" w:hAnsi="Garamond"/>
        </w:rPr>
      </w:pPr>
    </w:p>
    <w:p w:rsidR="002200E8" w:rsidRPr="003A6822" w:rsidRDefault="002200E8"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p w:rsidR="00C7285A" w:rsidRPr="003A6822" w:rsidRDefault="00C7285A" w:rsidP="00801680">
      <w:pPr>
        <w:jc w:val="both"/>
        <w:rPr>
          <w:rFonts w:ascii="Garamond" w:hAnsi="Garamond"/>
        </w:rPr>
      </w:pPr>
    </w:p>
    <w:sectPr w:rsidR="00C7285A" w:rsidRPr="003A6822">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6A3" w:rsidRDefault="009716A3">
      <w:r>
        <w:separator/>
      </w:r>
    </w:p>
  </w:endnote>
  <w:endnote w:type="continuationSeparator" w:id="0">
    <w:p w:rsidR="009716A3" w:rsidRDefault="0097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6A3" w:rsidRDefault="009716A3">
      <w:r>
        <w:separator/>
      </w:r>
    </w:p>
  </w:footnote>
  <w:footnote w:type="continuationSeparator" w:id="0">
    <w:p w:rsidR="009716A3" w:rsidRDefault="0097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108B" w:rsidRDefault="0002108B"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B31">
      <w:rPr>
        <w:rStyle w:val="PageNumber"/>
        <w:noProof/>
      </w:rPr>
      <w:t>1</w:t>
    </w:r>
    <w:r>
      <w:rPr>
        <w:rStyle w:val="PageNumber"/>
      </w:rPr>
      <w:fldChar w:fldCharType="end"/>
    </w:r>
  </w:p>
  <w:p w:rsidR="0002108B" w:rsidRDefault="0002108B"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2A35"/>
    <w:multiLevelType w:val="hybridMultilevel"/>
    <w:tmpl w:val="A9E8AB1A"/>
    <w:lvl w:ilvl="0" w:tplc="D18EF62C">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51E5F0C-AAFD-4FA2-8141-A51EB8AD6DEE}"/>
    <w:docVar w:name="dgnword-eventsink" w:val="71721016"/>
  </w:docVars>
  <w:rsids>
    <w:rsidRoot w:val="003C278A"/>
    <w:rsid w:val="00000735"/>
    <w:rsid w:val="00001C8F"/>
    <w:rsid w:val="00006C5A"/>
    <w:rsid w:val="000103A8"/>
    <w:rsid w:val="0001161C"/>
    <w:rsid w:val="0002108B"/>
    <w:rsid w:val="00021BBF"/>
    <w:rsid w:val="00054655"/>
    <w:rsid w:val="00054F70"/>
    <w:rsid w:val="000636BC"/>
    <w:rsid w:val="00064D4B"/>
    <w:rsid w:val="000660AB"/>
    <w:rsid w:val="000674AD"/>
    <w:rsid w:val="000938F4"/>
    <w:rsid w:val="000971B7"/>
    <w:rsid w:val="000A711A"/>
    <w:rsid w:val="000C0D8D"/>
    <w:rsid w:val="000C2338"/>
    <w:rsid w:val="000D3597"/>
    <w:rsid w:val="000D60B3"/>
    <w:rsid w:val="000E0824"/>
    <w:rsid w:val="000E0CDB"/>
    <w:rsid w:val="000F0E7F"/>
    <w:rsid w:val="000F104A"/>
    <w:rsid w:val="000F22D4"/>
    <w:rsid w:val="000F47BA"/>
    <w:rsid w:val="000F7175"/>
    <w:rsid w:val="00106306"/>
    <w:rsid w:val="00110D69"/>
    <w:rsid w:val="001115B2"/>
    <w:rsid w:val="00111C4A"/>
    <w:rsid w:val="0012396E"/>
    <w:rsid w:val="001279EC"/>
    <w:rsid w:val="00134F82"/>
    <w:rsid w:val="00135873"/>
    <w:rsid w:val="00143B31"/>
    <w:rsid w:val="0014594A"/>
    <w:rsid w:val="001466AC"/>
    <w:rsid w:val="00156AD4"/>
    <w:rsid w:val="0016104A"/>
    <w:rsid w:val="0016271D"/>
    <w:rsid w:val="00165201"/>
    <w:rsid w:val="00182AAE"/>
    <w:rsid w:val="00183E11"/>
    <w:rsid w:val="0019026D"/>
    <w:rsid w:val="001A231B"/>
    <w:rsid w:val="001A5119"/>
    <w:rsid w:val="001A75ED"/>
    <w:rsid w:val="001B7053"/>
    <w:rsid w:val="001C24F5"/>
    <w:rsid w:val="001E4FDF"/>
    <w:rsid w:val="001F6C56"/>
    <w:rsid w:val="002004BD"/>
    <w:rsid w:val="0020517F"/>
    <w:rsid w:val="002125B2"/>
    <w:rsid w:val="002130DC"/>
    <w:rsid w:val="00214D7A"/>
    <w:rsid w:val="00217938"/>
    <w:rsid w:val="002200E8"/>
    <w:rsid w:val="00230FBC"/>
    <w:rsid w:val="00231463"/>
    <w:rsid w:val="00235649"/>
    <w:rsid w:val="0024584A"/>
    <w:rsid w:val="0025526A"/>
    <w:rsid w:val="00255D61"/>
    <w:rsid w:val="00255DC9"/>
    <w:rsid w:val="00256FE8"/>
    <w:rsid w:val="0026005A"/>
    <w:rsid w:val="0026232B"/>
    <w:rsid w:val="00273D33"/>
    <w:rsid w:val="00276028"/>
    <w:rsid w:val="00285B38"/>
    <w:rsid w:val="002867EE"/>
    <w:rsid w:val="00296046"/>
    <w:rsid w:val="00296A9C"/>
    <w:rsid w:val="002B5D0B"/>
    <w:rsid w:val="002B7470"/>
    <w:rsid w:val="002C02F1"/>
    <w:rsid w:val="002C0D31"/>
    <w:rsid w:val="002C1CAB"/>
    <w:rsid w:val="002C20B2"/>
    <w:rsid w:val="002C70EC"/>
    <w:rsid w:val="002D0E20"/>
    <w:rsid w:val="002D4704"/>
    <w:rsid w:val="002D5437"/>
    <w:rsid w:val="002D6D50"/>
    <w:rsid w:val="002E4BB3"/>
    <w:rsid w:val="002F5AC5"/>
    <w:rsid w:val="00301620"/>
    <w:rsid w:val="00302E4D"/>
    <w:rsid w:val="00304936"/>
    <w:rsid w:val="00307427"/>
    <w:rsid w:val="003327F6"/>
    <w:rsid w:val="00334D18"/>
    <w:rsid w:val="00337809"/>
    <w:rsid w:val="00347103"/>
    <w:rsid w:val="003541FE"/>
    <w:rsid w:val="00355C15"/>
    <w:rsid w:val="00362235"/>
    <w:rsid w:val="00364E39"/>
    <w:rsid w:val="00365A5D"/>
    <w:rsid w:val="00366661"/>
    <w:rsid w:val="00390F7A"/>
    <w:rsid w:val="0039624F"/>
    <w:rsid w:val="003979A1"/>
    <w:rsid w:val="003A2964"/>
    <w:rsid w:val="003A3AF3"/>
    <w:rsid w:val="003A4291"/>
    <w:rsid w:val="003A5518"/>
    <w:rsid w:val="003A6822"/>
    <w:rsid w:val="003C278A"/>
    <w:rsid w:val="003C48AE"/>
    <w:rsid w:val="003C640F"/>
    <w:rsid w:val="003C7B63"/>
    <w:rsid w:val="003E6626"/>
    <w:rsid w:val="003F6DC1"/>
    <w:rsid w:val="00412149"/>
    <w:rsid w:val="004235A4"/>
    <w:rsid w:val="00427213"/>
    <w:rsid w:val="0043384D"/>
    <w:rsid w:val="00434EE7"/>
    <w:rsid w:val="00434FE4"/>
    <w:rsid w:val="00436603"/>
    <w:rsid w:val="004551EB"/>
    <w:rsid w:val="0046131C"/>
    <w:rsid w:val="004625DF"/>
    <w:rsid w:val="004665C8"/>
    <w:rsid w:val="00466C1D"/>
    <w:rsid w:val="0048211F"/>
    <w:rsid w:val="00495A9A"/>
    <w:rsid w:val="004A3C20"/>
    <w:rsid w:val="004A71B7"/>
    <w:rsid w:val="004B1E47"/>
    <w:rsid w:val="004B4C18"/>
    <w:rsid w:val="004C13C8"/>
    <w:rsid w:val="004C2183"/>
    <w:rsid w:val="004C21D2"/>
    <w:rsid w:val="004C30BF"/>
    <w:rsid w:val="004C6A93"/>
    <w:rsid w:val="004C6EFF"/>
    <w:rsid w:val="004D5718"/>
    <w:rsid w:val="004E21E8"/>
    <w:rsid w:val="004F077C"/>
    <w:rsid w:val="00507885"/>
    <w:rsid w:val="005114F4"/>
    <w:rsid w:val="0052009B"/>
    <w:rsid w:val="005241F6"/>
    <w:rsid w:val="00526E64"/>
    <w:rsid w:val="00536820"/>
    <w:rsid w:val="00542D53"/>
    <w:rsid w:val="00554AF4"/>
    <w:rsid w:val="00556F1F"/>
    <w:rsid w:val="005609A4"/>
    <w:rsid w:val="00562C1E"/>
    <w:rsid w:val="005716C8"/>
    <w:rsid w:val="00571CF4"/>
    <w:rsid w:val="0057278B"/>
    <w:rsid w:val="005755F1"/>
    <w:rsid w:val="005804BB"/>
    <w:rsid w:val="00580E7D"/>
    <w:rsid w:val="005837EB"/>
    <w:rsid w:val="00593F28"/>
    <w:rsid w:val="005A21A8"/>
    <w:rsid w:val="005A3A1D"/>
    <w:rsid w:val="005A64CF"/>
    <w:rsid w:val="005B7749"/>
    <w:rsid w:val="005C0188"/>
    <w:rsid w:val="005D2956"/>
    <w:rsid w:val="005D3333"/>
    <w:rsid w:val="005E5C2A"/>
    <w:rsid w:val="00601BE1"/>
    <w:rsid w:val="006064EE"/>
    <w:rsid w:val="006132CA"/>
    <w:rsid w:val="00614EE7"/>
    <w:rsid w:val="00625A0C"/>
    <w:rsid w:val="006626C0"/>
    <w:rsid w:val="00663051"/>
    <w:rsid w:val="006640E1"/>
    <w:rsid w:val="006773CA"/>
    <w:rsid w:val="0068131E"/>
    <w:rsid w:val="0068756E"/>
    <w:rsid w:val="00692DEA"/>
    <w:rsid w:val="00694B89"/>
    <w:rsid w:val="00694B9E"/>
    <w:rsid w:val="0069580F"/>
    <w:rsid w:val="00695DB3"/>
    <w:rsid w:val="006A56DA"/>
    <w:rsid w:val="006B73F6"/>
    <w:rsid w:val="006C683F"/>
    <w:rsid w:val="006C6B67"/>
    <w:rsid w:val="006D1EAB"/>
    <w:rsid w:val="006E2754"/>
    <w:rsid w:val="006F067A"/>
    <w:rsid w:val="00704E08"/>
    <w:rsid w:val="00706096"/>
    <w:rsid w:val="00707545"/>
    <w:rsid w:val="00707698"/>
    <w:rsid w:val="00711DEA"/>
    <w:rsid w:val="007215B7"/>
    <w:rsid w:val="0073004F"/>
    <w:rsid w:val="007320DE"/>
    <w:rsid w:val="007447B6"/>
    <w:rsid w:val="007465BD"/>
    <w:rsid w:val="00751197"/>
    <w:rsid w:val="0075144D"/>
    <w:rsid w:val="007537AA"/>
    <w:rsid w:val="007546E4"/>
    <w:rsid w:val="007772C5"/>
    <w:rsid w:val="0078055E"/>
    <w:rsid w:val="007812B9"/>
    <w:rsid w:val="00785EC3"/>
    <w:rsid w:val="00793859"/>
    <w:rsid w:val="00793A6E"/>
    <w:rsid w:val="00796CE4"/>
    <w:rsid w:val="0079718E"/>
    <w:rsid w:val="007B25E9"/>
    <w:rsid w:val="007B5E1F"/>
    <w:rsid w:val="007B71F1"/>
    <w:rsid w:val="007C020C"/>
    <w:rsid w:val="007C09D2"/>
    <w:rsid w:val="007D2416"/>
    <w:rsid w:val="007D5208"/>
    <w:rsid w:val="007E06BF"/>
    <w:rsid w:val="007E28A9"/>
    <w:rsid w:val="00801680"/>
    <w:rsid w:val="008022F4"/>
    <w:rsid w:val="00811683"/>
    <w:rsid w:val="0081422E"/>
    <w:rsid w:val="00817D35"/>
    <w:rsid w:val="00821874"/>
    <w:rsid w:val="00821F4A"/>
    <w:rsid w:val="0082729E"/>
    <w:rsid w:val="0085432B"/>
    <w:rsid w:val="008614E6"/>
    <w:rsid w:val="008617FC"/>
    <w:rsid w:val="0087250B"/>
    <w:rsid w:val="00880AD4"/>
    <w:rsid w:val="008A4E50"/>
    <w:rsid w:val="008B5FC0"/>
    <w:rsid w:val="008B742F"/>
    <w:rsid w:val="008C1742"/>
    <w:rsid w:val="008C776B"/>
    <w:rsid w:val="008E646B"/>
    <w:rsid w:val="008F46F7"/>
    <w:rsid w:val="008F75BE"/>
    <w:rsid w:val="008F795F"/>
    <w:rsid w:val="0091006E"/>
    <w:rsid w:val="00911438"/>
    <w:rsid w:val="009139D4"/>
    <w:rsid w:val="00916F4F"/>
    <w:rsid w:val="00923542"/>
    <w:rsid w:val="009265E5"/>
    <w:rsid w:val="009325EB"/>
    <w:rsid w:val="009335E9"/>
    <w:rsid w:val="009352AA"/>
    <w:rsid w:val="00937283"/>
    <w:rsid w:val="00943586"/>
    <w:rsid w:val="0094647A"/>
    <w:rsid w:val="00960ACF"/>
    <w:rsid w:val="00963DC7"/>
    <w:rsid w:val="009716A3"/>
    <w:rsid w:val="0097417D"/>
    <w:rsid w:val="009768E0"/>
    <w:rsid w:val="00981E14"/>
    <w:rsid w:val="009821B9"/>
    <w:rsid w:val="009A1F80"/>
    <w:rsid w:val="009A549F"/>
    <w:rsid w:val="009A68FD"/>
    <w:rsid w:val="009C3339"/>
    <w:rsid w:val="009C722B"/>
    <w:rsid w:val="009C7CFD"/>
    <w:rsid w:val="009D4617"/>
    <w:rsid w:val="009D4C90"/>
    <w:rsid w:val="009E1C91"/>
    <w:rsid w:val="009E47F5"/>
    <w:rsid w:val="009E577A"/>
    <w:rsid w:val="009E7585"/>
    <w:rsid w:val="009F67AC"/>
    <w:rsid w:val="00A06934"/>
    <w:rsid w:val="00A23D03"/>
    <w:rsid w:val="00A276EE"/>
    <w:rsid w:val="00A440A8"/>
    <w:rsid w:val="00A459F3"/>
    <w:rsid w:val="00A45C1D"/>
    <w:rsid w:val="00A570AC"/>
    <w:rsid w:val="00A657F5"/>
    <w:rsid w:val="00A66241"/>
    <w:rsid w:val="00A675B7"/>
    <w:rsid w:val="00A716F1"/>
    <w:rsid w:val="00A71940"/>
    <w:rsid w:val="00A7432B"/>
    <w:rsid w:val="00A83651"/>
    <w:rsid w:val="00A86A27"/>
    <w:rsid w:val="00A903C3"/>
    <w:rsid w:val="00A94531"/>
    <w:rsid w:val="00A94698"/>
    <w:rsid w:val="00AA2085"/>
    <w:rsid w:val="00AA320D"/>
    <w:rsid w:val="00AC2D46"/>
    <w:rsid w:val="00AC79AE"/>
    <w:rsid w:val="00AD4F70"/>
    <w:rsid w:val="00AD5BFE"/>
    <w:rsid w:val="00AE4358"/>
    <w:rsid w:val="00AE739C"/>
    <w:rsid w:val="00AE7E58"/>
    <w:rsid w:val="00AF099D"/>
    <w:rsid w:val="00AF1C81"/>
    <w:rsid w:val="00AF3166"/>
    <w:rsid w:val="00B03DAB"/>
    <w:rsid w:val="00B14107"/>
    <w:rsid w:val="00B2009D"/>
    <w:rsid w:val="00B373F6"/>
    <w:rsid w:val="00B40352"/>
    <w:rsid w:val="00B407DD"/>
    <w:rsid w:val="00B44F4C"/>
    <w:rsid w:val="00B518DA"/>
    <w:rsid w:val="00B57548"/>
    <w:rsid w:val="00B720D4"/>
    <w:rsid w:val="00B740E5"/>
    <w:rsid w:val="00B7697F"/>
    <w:rsid w:val="00B908D8"/>
    <w:rsid w:val="00B9277B"/>
    <w:rsid w:val="00B96110"/>
    <w:rsid w:val="00BA0257"/>
    <w:rsid w:val="00BA2653"/>
    <w:rsid w:val="00BA599F"/>
    <w:rsid w:val="00BB1043"/>
    <w:rsid w:val="00BB23D4"/>
    <w:rsid w:val="00BB348E"/>
    <w:rsid w:val="00BC2A25"/>
    <w:rsid w:val="00BC7376"/>
    <w:rsid w:val="00BD0153"/>
    <w:rsid w:val="00BD0C9C"/>
    <w:rsid w:val="00BD41DA"/>
    <w:rsid w:val="00BD6A50"/>
    <w:rsid w:val="00BF449F"/>
    <w:rsid w:val="00BF509C"/>
    <w:rsid w:val="00C044CB"/>
    <w:rsid w:val="00C0463D"/>
    <w:rsid w:val="00C077BB"/>
    <w:rsid w:val="00C1025C"/>
    <w:rsid w:val="00C11AFB"/>
    <w:rsid w:val="00C13804"/>
    <w:rsid w:val="00C1654F"/>
    <w:rsid w:val="00C23664"/>
    <w:rsid w:val="00C30E53"/>
    <w:rsid w:val="00C30F36"/>
    <w:rsid w:val="00C34B6C"/>
    <w:rsid w:val="00C37CDB"/>
    <w:rsid w:val="00C479D3"/>
    <w:rsid w:val="00C50A36"/>
    <w:rsid w:val="00C53A56"/>
    <w:rsid w:val="00C5467F"/>
    <w:rsid w:val="00C57496"/>
    <w:rsid w:val="00C7285A"/>
    <w:rsid w:val="00C75EC6"/>
    <w:rsid w:val="00C75F8C"/>
    <w:rsid w:val="00C81D00"/>
    <w:rsid w:val="00C83FBC"/>
    <w:rsid w:val="00C85BFA"/>
    <w:rsid w:val="00C87AE1"/>
    <w:rsid w:val="00C90B7D"/>
    <w:rsid w:val="00C94905"/>
    <w:rsid w:val="00CB13CB"/>
    <w:rsid w:val="00CB3B1E"/>
    <w:rsid w:val="00CC0BFA"/>
    <w:rsid w:val="00CC4FF0"/>
    <w:rsid w:val="00CC53A3"/>
    <w:rsid w:val="00CD1687"/>
    <w:rsid w:val="00CD2A7D"/>
    <w:rsid w:val="00CE766F"/>
    <w:rsid w:val="00CF65BF"/>
    <w:rsid w:val="00CF75FF"/>
    <w:rsid w:val="00CF7980"/>
    <w:rsid w:val="00D01DF3"/>
    <w:rsid w:val="00D06CBC"/>
    <w:rsid w:val="00D07397"/>
    <w:rsid w:val="00D14217"/>
    <w:rsid w:val="00D23A6F"/>
    <w:rsid w:val="00D30C3C"/>
    <w:rsid w:val="00D34157"/>
    <w:rsid w:val="00D36F68"/>
    <w:rsid w:val="00D3787E"/>
    <w:rsid w:val="00D41018"/>
    <w:rsid w:val="00D4515B"/>
    <w:rsid w:val="00D46DFA"/>
    <w:rsid w:val="00D51A0C"/>
    <w:rsid w:val="00D63F19"/>
    <w:rsid w:val="00D672D1"/>
    <w:rsid w:val="00D75457"/>
    <w:rsid w:val="00D766C2"/>
    <w:rsid w:val="00D97198"/>
    <w:rsid w:val="00DA49F1"/>
    <w:rsid w:val="00DB23C0"/>
    <w:rsid w:val="00DB2DE6"/>
    <w:rsid w:val="00DB6A15"/>
    <w:rsid w:val="00DB7A89"/>
    <w:rsid w:val="00DC1287"/>
    <w:rsid w:val="00DC69B5"/>
    <w:rsid w:val="00DE0F5E"/>
    <w:rsid w:val="00DE2049"/>
    <w:rsid w:val="00DE70D3"/>
    <w:rsid w:val="00DE766C"/>
    <w:rsid w:val="00DF20CE"/>
    <w:rsid w:val="00E07F7E"/>
    <w:rsid w:val="00E11AD9"/>
    <w:rsid w:val="00E11EA9"/>
    <w:rsid w:val="00E15064"/>
    <w:rsid w:val="00E166DD"/>
    <w:rsid w:val="00E401ED"/>
    <w:rsid w:val="00E44B00"/>
    <w:rsid w:val="00E44DBE"/>
    <w:rsid w:val="00E666FB"/>
    <w:rsid w:val="00E676FC"/>
    <w:rsid w:val="00E777A1"/>
    <w:rsid w:val="00EA1B28"/>
    <w:rsid w:val="00EA6FAC"/>
    <w:rsid w:val="00EB0325"/>
    <w:rsid w:val="00EB242A"/>
    <w:rsid w:val="00EC2799"/>
    <w:rsid w:val="00ED2A49"/>
    <w:rsid w:val="00ED7A25"/>
    <w:rsid w:val="00EE37BE"/>
    <w:rsid w:val="00EF6DB7"/>
    <w:rsid w:val="00F01706"/>
    <w:rsid w:val="00F03214"/>
    <w:rsid w:val="00F035F3"/>
    <w:rsid w:val="00F038F0"/>
    <w:rsid w:val="00F11269"/>
    <w:rsid w:val="00F1450D"/>
    <w:rsid w:val="00F2006D"/>
    <w:rsid w:val="00F25A5D"/>
    <w:rsid w:val="00F26125"/>
    <w:rsid w:val="00F26F78"/>
    <w:rsid w:val="00F4277B"/>
    <w:rsid w:val="00F551F2"/>
    <w:rsid w:val="00F6759B"/>
    <w:rsid w:val="00F70123"/>
    <w:rsid w:val="00F748E8"/>
    <w:rsid w:val="00F818D2"/>
    <w:rsid w:val="00F83683"/>
    <w:rsid w:val="00F84F66"/>
    <w:rsid w:val="00F85673"/>
    <w:rsid w:val="00F8760B"/>
    <w:rsid w:val="00FA3365"/>
    <w:rsid w:val="00FA7B4A"/>
    <w:rsid w:val="00FB47F8"/>
    <w:rsid w:val="00FB4B8F"/>
    <w:rsid w:val="00FB6BC9"/>
    <w:rsid w:val="00FC1724"/>
    <w:rsid w:val="00FC381B"/>
    <w:rsid w:val="00FD26BB"/>
    <w:rsid w:val="00FD2CC2"/>
    <w:rsid w:val="00FE2483"/>
    <w:rsid w:val="00FE6DB0"/>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78A"/>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paragraph" w:styleId="BalloonText">
    <w:name w:val="Balloon Text"/>
    <w:basedOn w:val="Normal"/>
    <w:link w:val="BalloonTextChar"/>
    <w:rsid w:val="00362235"/>
    <w:rPr>
      <w:rFonts w:ascii="Segoe UI" w:hAnsi="Segoe UI" w:cs="Segoe UI"/>
      <w:sz w:val="18"/>
      <w:szCs w:val="18"/>
    </w:rPr>
  </w:style>
  <w:style w:type="character" w:customStyle="1" w:styleId="BalloonTextChar">
    <w:name w:val="Balloon Text Char"/>
    <w:link w:val="BalloonText"/>
    <w:rsid w:val="00362235"/>
    <w:rPr>
      <w:rFonts w:ascii="Segoe UI" w:hAnsi="Segoe UI" w:cs="Segoe UI"/>
      <w:sz w:val="18"/>
      <w:szCs w:val="18"/>
      <w:lang w:val="en-GB" w:eastAsia="en-GB"/>
    </w:rPr>
  </w:style>
  <w:style w:type="paragraph" w:styleId="Footer">
    <w:name w:val="footer"/>
    <w:basedOn w:val="Normal"/>
    <w:link w:val="FooterChar"/>
    <w:rsid w:val="00364E39"/>
    <w:pPr>
      <w:tabs>
        <w:tab w:val="center" w:pos="4513"/>
        <w:tab w:val="right" w:pos="9026"/>
      </w:tabs>
    </w:pPr>
  </w:style>
  <w:style w:type="character" w:customStyle="1" w:styleId="FooterChar">
    <w:name w:val="Footer Char"/>
    <w:basedOn w:val="DefaultParagraphFont"/>
    <w:link w:val="Footer"/>
    <w:rsid w:val="00364E39"/>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CF71-9EF0-4EC5-BA74-1D350DAE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2444</Words>
  <Characters>13936</Characters>
  <Application>Microsoft Office Word</Application>
  <DocSecurity>0</DocSecurity>
  <Lines>116</Lines>
  <Paragraphs>32</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2021-12-13T13:45:00Z</dcterms:created>
  <dcterms:modified xsi:type="dcterms:W3CDTF">2021-12-13T13:45:00Z</dcterms:modified>
</cp:coreProperties>
</file>