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D1ECB" w14:textId="0143E3C9" w:rsidR="009148F4" w:rsidRPr="00F17F0A" w:rsidRDefault="009148F4" w:rsidP="009148F4">
      <w:pPr>
        <w:spacing w:after="114"/>
        <w:ind w:left="1095" w:right="718" w:hanging="10"/>
        <w:jc w:val="center"/>
        <w:rPr>
          <w:rFonts w:eastAsia="Times New Roman" w:cs="Times New Roman"/>
          <w:b/>
          <w:sz w:val="28"/>
          <w:szCs w:val="28"/>
        </w:rPr>
      </w:pPr>
      <w:bookmarkStart w:id="0" w:name="_GoBack"/>
      <w:bookmarkEnd w:id="0"/>
      <w:r w:rsidRPr="00F17F0A">
        <w:rPr>
          <w:rFonts w:eastAsia="Times New Roman" w:cs="Times New Roman"/>
          <w:b/>
          <w:sz w:val="28"/>
          <w:szCs w:val="28"/>
        </w:rPr>
        <w:t xml:space="preserve"> </w:t>
      </w:r>
    </w:p>
    <w:p w14:paraId="1363533A" w14:textId="0260DDCB" w:rsidR="00E74485" w:rsidRDefault="00E74485" w:rsidP="009148F4">
      <w:pPr>
        <w:spacing w:after="114"/>
        <w:ind w:left="1095" w:right="718" w:hanging="10"/>
        <w:jc w:val="center"/>
        <w:rPr>
          <w:rFonts w:cs="Times New Roman"/>
          <w:sz w:val="24"/>
          <w:szCs w:val="24"/>
        </w:rPr>
      </w:pPr>
    </w:p>
    <w:p w14:paraId="5929568A" w14:textId="42E85CD5" w:rsidR="00F17F0A" w:rsidRPr="00F17F0A" w:rsidRDefault="00F17F0A" w:rsidP="00F17F0A">
      <w:pPr>
        <w:spacing w:after="114" w:line="480" w:lineRule="auto"/>
        <w:ind w:right="720" w:hanging="11"/>
        <w:jc w:val="center"/>
        <w:rPr>
          <w:rFonts w:cs="Times New Roman"/>
          <w:b/>
          <w:sz w:val="28"/>
          <w:szCs w:val="28"/>
        </w:rPr>
      </w:pPr>
      <w:r w:rsidRPr="00F17F0A">
        <w:rPr>
          <w:rFonts w:cs="Times New Roman"/>
          <w:b/>
          <w:sz w:val="28"/>
          <w:szCs w:val="28"/>
        </w:rPr>
        <w:t xml:space="preserve">THE COURT OF APPEAL </w:t>
      </w:r>
    </w:p>
    <w:p w14:paraId="647C86C0" w14:textId="60F7A1CC" w:rsidR="00F356AA" w:rsidRDefault="009148F4" w:rsidP="009148F4">
      <w:pPr>
        <w:spacing w:after="7" w:line="364" w:lineRule="auto"/>
        <w:ind w:left="372" w:firstLine="6148"/>
        <w:rPr>
          <w:rFonts w:eastAsia="Times New Roman" w:cs="Times New Roman"/>
          <w:b/>
          <w:sz w:val="24"/>
          <w:szCs w:val="24"/>
        </w:rPr>
      </w:pPr>
      <w:r w:rsidRPr="0026013F">
        <w:rPr>
          <w:rFonts w:eastAsia="Times New Roman" w:cs="Times New Roman"/>
          <w:b/>
          <w:sz w:val="24"/>
          <w:szCs w:val="24"/>
        </w:rPr>
        <w:t>Record No.</w:t>
      </w:r>
      <w:r w:rsidR="00E74485">
        <w:rPr>
          <w:rFonts w:eastAsia="Times New Roman" w:cs="Times New Roman"/>
          <w:b/>
          <w:sz w:val="24"/>
          <w:szCs w:val="24"/>
        </w:rPr>
        <w:t>:</w:t>
      </w:r>
      <w:r w:rsidRPr="0026013F">
        <w:rPr>
          <w:rFonts w:eastAsia="Times New Roman" w:cs="Times New Roman"/>
          <w:b/>
          <w:sz w:val="24"/>
          <w:szCs w:val="24"/>
        </w:rPr>
        <w:t xml:space="preserve"> 202</w:t>
      </w:r>
      <w:r w:rsidR="0068103A">
        <w:rPr>
          <w:rFonts w:eastAsia="Times New Roman" w:cs="Times New Roman"/>
          <w:b/>
          <w:sz w:val="24"/>
          <w:szCs w:val="24"/>
        </w:rPr>
        <w:t>1</w:t>
      </w:r>
      <w:r w:rsidRPr="0026013F">
        <w:rPr>
          <w:rFonts w:eastAsia="Times New Roman" w:cs="Times New Roman"/>
          <w:b/>
          <w:sz w:val="24"/>
          <w:szCs w:val="24"/>
        </w:rPr>
        <w:t>/</w:t>
      </w:r>
      <w:r w:rsidR="0068103A">
        <w:rPr>
          <w:rFonts w:eastAsia="Times New Roman" w:cs="Times New Roman"/>
          <w:b/>
          <w:sz w:val="24"/>
          <w:szCs w:val="24"/>
        </w:rPr>
        <w:t>287</w:t>
      </w:r>
      <w:r w:rsidRPr="0026013F">
        <w:rPr>
          <w:rFonts w:eastAsia="Times New Roman" w:cs="Times New Roman"/>
          <w:b/>
          <w:sz w:val="24"/>
          <w:szCs w:val="24"/>
        </w:rPr>
        <w:t xml:space="preserve"> </w:t>
      </w:r>
    </w:p>
    <w:p w14:paraId="1706FD55" w14:textId="6781BD11" w:rsidR="001005BA" w:rsidRDefault="001005BA" w:rsidP="001005BA">
      <w:pPr>
        <w:spacing w:after="7" w:line="364" w:lineRule="auto"/>
        <w:ind w:left="372"/>
        <w:jc w:val="right"/>
        <w:rPr>
          <w:rFonts w:eastAsia="Times New Roman" w:cs="Times New Roman"/>
          <w:b/>
          <w:sz w:val="24"/>
          <w:szCs w:val="24"/>
        </w:rPr>
      </w:pPr>
      <w:r>
        <w:rPr>
          <w:rFonts w:eastAsia="Times New Roman" w:cs="Times New Roman"/>
          <w:b/>
          <w:sz w:val="24"/>
          <w:szCs w:val="24"/>
        </w:rPr>
        <w:t>Neutral Citation [2022] IECA 7</w:t>
      </w:r>
    </w:p>
    <w:p w14:paraId="184A53D0" w14:textId="71FAF670" w:rsidR="00F356AA" w:rsidRDefault="0068103A" w:rsidP="00F356AA">
      <w:pPr>
        <w:spacing w:after="7" w:line="364" w:lineRule="auto"/>
        <w:rPr>
          <w:rFonts w:eastAsia="Times New Roman" w:cs="Times New Roman"/>
          <w:b/>
          <w:sz w:val="24"/>
          <w:szCs w:val="24"/>
        </w:rPr>
      </w:pPr>
      <w:r>
        <w:rPr>
          <w:rFonts w:eastAsia="Times New Roman" w:cs="Times New Roman"/>
          <w:b/>
          <w:sz w:val="24"/>
          <w:szCs w:val="24"/>
        </w:rPr>
        <w:t>Edwards</w:t>
      </w:r>
      <w:r w:rsidR="00F356AA">
        <w:rPr>
          <w:rFonts w:eastAsia="Times New Roman" w:cs="Times New Roman"/>
          <w:b/>
          <w:sz w:val="24"/>
          <w:szCs w:val="24"/>
        </w:rPr>
        <w:t xml:space="preserve"> J.</w:t>
      </w:r>
    </w:p>
    <w:p w14:paraId="767E00CA" w14:textId="13E34556" w:rsidR="00F356AA" w:rsidRDefault="0068103A" w:rsidP="00F356AA">
      <w:pPr>
        <w:spacing w:after="7" w:line="364" w:lineRule="auto"/>
        <w:rPr>
          <w:rFonts w:eastAsia="Times New Roman" w:cs="Times New Roman"/>
          <w:b/>
          <w:sz w:val="24"/>
          <w:szCs w:val="24"/>
        </w:rPr>
      </w:pPr>
      <w:r>
        <w:rPr>
          <w:rFonts w:eastAsia="Times New Roman" w:cs="Times New Roman"/>
          <w:b/>
          <w:sz w:val="24"/>
          <w:szCs w:val="24"/>
        </w:rPr>
        <w:t>Faherty</w:t>
      </w:r>
      <w:r w:rsidR="00F356AA">
        <w:rPr>
          <w:rFonts w:eastAsia="Times New Roman" w:cs="Times New Roman"/>
          <w:b/>
          <w:sz w:val="24"/>
          <w:szCs w:val="24"/>
        </w:rPr>
        <w:t xml:space="preserve"> J.</w:t>
      </w:r>
    </w:p>
    <w:p w14:paraId="5AF1485B" w14:textId="77777777" w:rsidR="00F356AA" w:rsidRDefault="00F356AA" w:rsidP="00F356AA">
      <w:pPr>
        <w:spacing w:after="7" w:line="364" w:lineRule="auto"/>
        <w:rPr>
          <w:rFonts w:eastAsia="Times New Roman" w:cs="Times New Roman"/>
          <w:b/>
          <w:sz w:val="24"/>
          <w:szCs w:val="24"/>
        </w:rPr>
      </w:pPr>
      <w:r>
        <w:rPr>
          <w:rFonts w:eastAsia="Times New Roman" w:cs="Times New Roman"/>
          <w:b/>
          <w:sz w:val="24"/>
          <w:szCs w:val="24"/>
        </w:rPr>
        <w:t>Collins J.</w:t>
      </w:r>
    </w:p>
    <w:p w14:paraId="7571B860" w14:textId="77777777" w:rsidR="00F356AA" w:rsidRDefault="00F356AA" w:rsidP="00F356AA">
      <w:pPr>
        <w:spacing w:after="7" w:line="364" w:lineRule="auto"/>
        <w:rPr>
          <w:rFonts w:eastAsia="Times New Roman" w:cs="Times New Roman"/>
          <w:b/>
          <w:sz w:val="24"/>
          <w:szCs w:val="24"/>
        </w:rPr>
      </w:pPr>
    </w:p>
    <w:p w14:paraId="26BB3B9B" w14:textId="77D74A33" w:rsidR="00E74485" w:rsidRDefault="00E74485" w:rsidP="00F356AA">
      <w:pPr>
        <w:spacing w:after="7" w:line="364" w:lineRule="auto"/>
        <w:rPr>
          <w:rFonts w:eastAsia="Times New Roman" w:cs="Times New Roman"/>
          <w:b/>
          <w:sz w:val="24"/>
          <w:szCs w:val="24"/>
        </w:rPr>
      </w:pPr>
      <w:r w:rsidRPr="0026013F">
        <w:rPr>
          <w:rFonts w:eastAsia="Times New Roman" w:cs="Times New Roman"/>
          <w:b/>
          <w:sz w:val="24"/>
          <w:szCs w:val="24"/>
        </w:rPr>
        <w:t>BETWEEN</w:t>
      </w:r>
    </w:p>
    <w:p w14:paraId="77EA5F2E" w14:textId="77777777" w:rsidR="00E74485" w:rsidRDefault="00E74485" w:rsidP="00F356AA">
      <w:pPr>
        <w:spacing w:after="7" w:line="364" w:lineRule="auto"/>
        <w:rPr>
          <w:rFonts w:eastAsia="Times New Roman" w:cs="Times New Roman"/>
          <w:b/>
          <w:sz w:val="24"/>
          <w:szCs w:val="24"/>
        </w:rPr>
      </w:pPr>
    </w:p>
    <w:p w14:paraId="7552588D" w14:textId="271B0C7A" w:rsidR="00E74485" w:rsidRDefault="00600E6B" w:rsidP="00E74485">
      <w:pPr>
        <w:spacing w:after="7" w:line="364" w:lineRule="auto"/>
        <w:jc w:val="center"/>
        <w:rPr>
          <w:rFonts w:eastAsia="Times New Roman" w:cs="Times New Roman"/>
          <w:b/>
          <w:sz w:val="24"/>
          <w:szCs w:val="24"/>
        </w:rPr>
      </w:pPr>
      <w:r>
        <w:rPr>
          <w:rFonts w:eastAsia="Times New Roman" w:cs="Times New Roman"/>
          <w:b/>
          <w:sz w:val="24"/>
          <w:szCs w:val="24"/>
        </w:rPr>
        <w:t>BK</w:t>
      </w:r>
    </w:p>
    <w:p w14:paraId="34DC19BE" w14:textId="31180451" w:rsidR="006B3223" w:rsidRPr="00895B17" w:rsidRDefault="006B3223" w:rsidP="006B3223">
      <w:pPr>
        <w:spacing w:after="7" w:line="364" w:lineRule="auto"/>
        <w:jc w:val="right"/>
        <w:rPr>
          <w:rFonts w:eastAsia="Times New Roman" w:cs="Times New Roman"/>
          <w:i/>
          <w:sz w:val="24"/>
          <w:szCs w:val="24"/>
        </w:rPr>
      </w:pPr>
      <w:bookmarkStart w:id="1" w:name="_Hlk90637799"/>
      <w:r>
        <w:rPr>
          <w:rFonts w:eastAsia="Times New Roman" w:cs="Times New Roman"/>
          <w:i/>
          <w:sz w:val="24"/>
          <w:szCs w:val="24"/>
        </w:rPr>
        <w:t>Applicant/</w:t>
      </w:r>
      <w:r w:rsidR="0068103A">
        <w:rPr>
          <w:rFonts w:eastAsia="Times New Roman" w:cs="Times New Roman"/>
          <w:i/>
          <w:sz w:val="24"/>
          <w:szCs w:val="24"/>
        </w:rPr>
        <w:t>Appellant</w:t>
      </w:r>
    </w:p>
    <w:bookmarkEnd w:id="1"/>
    <w:p w14:paraId="731C0857" w14:textId="3FA61CF6" w:rsidR="00E74485" w:rsidRDefault="00E74485" w:rsidP="00E74485">
      <w:pPr>
        <w:spacing w:after="7" w:line="364" w:lineRule="auto"/>
        <w:jc w:val="right"/>
        <w:rPr>
          <w:rFonts w:eastAsia="Times New Roman" w:cs="Times New Roman"/>
          <w:b/>
          <w:sz w:val="24"/>
          <w:szCs w:val="24"/>
        </w:rPr>
      </w:pPr>
    </w:p>
    <w:p w14:paraId="1578D9D5" w14:textId="38D8FFBA" w:rsidR="00E74485" w:rsidRDefault="00316FBC" w:rsidP="00316FBC">
      <w:pPr>
        <w:spacing w:after="7" w:line="364" w:lineRule="auto"/>
        <w:rPr>
          <w:rFonts w:eastAsia="Times New Roman" w:cs="Times New Roman"/>
          <w:b/>
          <w:sz w:val="24"/>
          <w:szCs w:val="24"/>
        </w:rPr>
      </w:pPr>
      <w:r>
        <w:rPr>
          <w:rFonts w:eastAsia="Times New Roman" w:cs="Times New Roman"/>
          <w:b/>
          <w:sz w:val="24"/>
          <w:szCs w:val="24"/>
        </w:rPr>
        <w:t>AND</w:t>
      </w:r>
    </w:p>
    <w:p w14:paraId="58498D54" w14:textId="39A8C761" w:rsidR="00E74485" w:rsidRDefault="0068103A" w:rsidP="00E74485">
      <w:pPr>
        <w:spacing w:after="7" w:line="364" w:lineRule="auto"/>
        <w:jc w:val="center"/>
        <w:rPr>
          <w:rFonts w:eastAsia="Times New Roman" w:cs="Times New Roman"/>
          <w:b/>
          <w:sz w:val="24"/>
          <w:szCs w:val="24"/>
        </w:rPr>
      </w:pPr>
      <w:r>
        <w:rPr>
          <w:rFonts w:eastAsia="Times New Roman" w:cs="Times New Roman"/>
          <w:b/>
          <w:sz w:val="24"/>
          <w:szCs w:val="24"/>
        </w:rPr>
        <w:t>THE MINISTER FOR JUSTICE</w:t>
      </w:r>
    </w:p>
    <w:p w14:paraId="2D443E10" w14:textId="41644C3D" w:rsidR="006B3223" w:rsidRPr="00895B17" w:rsidRDefault="006B3223" w:rsidP="006B3223">
      <w:pPr>
        <w:spacing w:after="7" w:line="364" w:lineRule="auto"/>
        <w:jc w:val="right"/>
        <w:rPr>
          <w:rFonts w:eastAsia="Times New Roman" w:cs="Times New Roman"/>
          <w:i/>
          <w:sz w:val="24"/>
          <w:szCs w:val="24"/>
        </w:rPr>
      </w:pPr>
      <w:r w:rsidRPr="00895B17">
        <w:rPr>
          <w:rFonts w:eastAsia="Times New Roman" w:cs="Times New Roman"/>
          <w:i/>
          <w:sz w:val="24"/>
          <w:szCs w:val="24"/>
        </w:rPr>
        <w:t>Respondent</w:t>
      </w:r>
    </w:p>
    <w:p w14:paraId="7BDB3231" w14:textId="6AC36ED8" w:rsidR="001B1654" w:rsidRDefault="001B1654" w:rsidP="001B1654">
      <w:pPr>
        <w:spacing w:after="7" w:line="364" w:lineRule="auto"/>
        <w:jc w:val="right"/>
        <w:rPr>
          <w:rFonts w:eastAsia="Times New Roman" w:cs="Times New Roman"/>
          <w:b/>
          <w:sz w:val="24"/>
          <w:szCs w:val="24"/>
        </w:rPr>
      </w:pPr>
    </w:p>
    <w:p w14:paraId="66804442" w14:textId="61C7987A" w:rsidR="00F17F0A" w:rsidRDefault="00F17F0A" w:rsidP="001B1654">
      <w:pPr>
        <w:spacing w:after="7" w:line="364" w:lineRule="auto"/>
        <w:jc w:val="right"/>
        <w:rPr>
          <w:rFonts w:eastAsia="Times New Roman" w:cs="Times New Roman"/>
          <w:b/>
          <w:sz w:val="24"/>
          <w:szCs w:val="24"/>
        </w:rPr>
      </w:pPr>
    </w:p>
    <w:p w14:paraId="41316DDE" w14:textId="2B86B6D4" w:rsidR="00F17F0A" w:rsidRDefault="00F17F0A" w:rsidP="006B3223">
      <w:pPr>
        <w:spacing w:after="7" w:line="364" w:lineRule="auto"/>
        <w:jc w:val="center"/>
        <w:rPr>
          <w:rFonts w:eastAsia="Times New Roman" w:cs="Times New Roman"/>
          <w:b/>
          <w:sz w:val="24"/>
          <w:szCs w:val="24"/>
          <w:u w:val="single"/>
        </w:rPr>
      </w:pPr>
      <w:r w:rsidRPr="006E483D">
        <w:rPr>
          <w:rFonts w:eastAsia="Times New Roman" w:cs="Times New Roman"/>
          <w:b/>
          <w:caps/>
          <w:sz w:val="24"/>
          <w:szCs w:val="24"/>
          <w:u w:val="single"/>
        </w:rPr>
        <w:t>Judgment</w:t>
      </w:r>
      <w:r w:rsidRPr="00F17F0A">
        <w:rPr>
          <w:rFonts w:eastAsia="Times New Roman" w:cs="Times New Roman"/>
          <w:b/>
          <w:sz w:val="24"/>
          <w:szCs w:val="24"/>
          <w:u w:val="single"/>
        </w:rPr>
        <w:t xml:space="preserve"> of Mr Justice Maurice Collins delivered on </w:t>
      </w:r>
      <w:r w:rsidR="000C085F">
        <w:rPr>
          <w:rFonts w:eastAsia="Times New Roman" w:cs="Times New Roman"/>
          <w:b/>
          <w:sz w:val="24"/>
          <w:szCs w:val="24"/>
          <w:u w:val="single"/>
        </w:rPr>
        <w:t>19</w:t>
      </w:r>
      <w:r w:rsidR="0068103A">
        <w:rPr>
          <w:rFonts w:eastAsia="Times New Roman" w:cs="Times New Roman"/>
          <w:b/>
          <w:sz w:val="24"/>
          <w:szCs w:val="24"/>
          <w:u w:val="single"/>
        </w:rPr>
        <w:t xml:space="preserve"> </w:t>
      </w:r>
      <w:r w:rsidR="00364153">
        <w:rPr>
          <w:rFonts w:eastAsia="Times New Roman" w:cs="Times New Roman"/>
          <w:b/>
          <w:sz w:val="24"/>
          <w:szCs w:val="24"/>
          <w:u w:val="single"/>
        </w:rPr>
        <w:t xml:space="preserve">January </w:t>
      </w:r>
      <w:r w:rsidRPr="00F17F0A">
        <w:rPr>
          <w:rFonts w:eastAsia="Times New Roman" w:cs="Times New Roman"/>
          <w:b/>
          <w:sz w:val="24"/>
          <w:szCs w:val="24"/>
          <w:u w:val="single"/>
        </w:rPr>
        <w:t>202</w:t>
      </w:r>
      <w:r w:rsidR="00364153">
        <w:rPr>
          <w:rFonts w:eastAsia="Times New Roman" w:cs="Times New Roman"/>
          <w:b/>
          <w:sz w:val="24"/>
          <w:szCs w:val="24"/>
          <w:u w:val="single"/>
        </w:rPr>
        <w:t>2</w:t>
      </w:r>
    </w:p>
    <w:p w14:paraId="09C37A6A" w14:textId="2B3BF579" w:rsidR="00D01BA8" w:rsidRDefault="00D01BA8" w:rsidP="006B3223">
      <w:pPr>
        <w:spacing w:after="7" w:line="364" w:lineRule="auto"/>
        <w:jc w:val="center"/>
        <w:rPr>
          <w:rFonts w:eastAsia="Times New Roman" w:cs="Times New Roman"/>
          <w:b/>
          <w:sz w:val="24"/>
          <w:szCs w:val="24"/>
          <w:u w:val="single"/>
        </w:rPr>
      </w:pPr>
    </w:p>
    <w:p w14:paraId="5D77E8A4" w14:textId="34296FAA" w:rsidR="00BB465B" w:rsidRDefault="006E03AB" w:rsidP="00BB465B">
      <w:pPr>
        <w:pStyle w:val="Heading1"/>
      </w:pPr>
      <w:r w:rsidRPr="00A517D3">
        <w:t>BACKGROUND</w:t>
      </w:r>
    </w:p>
    <w:p w14:paraId="34AD9A76" w14:textId="77777777" w:rsidR="00FC7869" w:rsidRPr="00FC7869" w:rsidRDefault="00FC7869" w:rsidP="00FC7869">
      <w:pPr>
        <w:rPr>
          <w:lang w:eastAsia="en-IE"/>
        </w:rPr>
      </w:pPr>
    </w:p>
    <w:p w14:paraId="0576A876" w14:textId="0DAC8033" w:rsidR="00FC7869" w:rsidRPr="006E2F5E" w:rsidRDefault="00FC7869" w:rsidP="00FC7869">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 xml:space="preserve">This appeal raises </w:t>
      </w:r>
      <w:r w:rsidR="005F4287">
        <w:rPr>
          <w:rFonts w:cs="Times New Roman"/>
          <w:sz w:val="24"/>
          <w:szCs w:val="24"/>
        </w:rPr>
        <w:t xml:space="preserve">difficult </w:t>
      </w:r>
      <w:r>
        <w:rPr>
          <w:rFonts w:cs="Times New Roman"/>
          <w:sz w:val="24"/>
          <w:szCs w:val="24"/>
        </w:rPr>
        <w:t xml:space="preserve">issues regarding </w:t>
      </w:r>
      <w:r w:rsidR="005F4287">
        <w:rPr>
          <w:rFonts w:cs="Times New Roman"/>
          <w:sz w:val="24"/>
          <w:szCs w:val="24"/>
        </w:rPr>
        <w:t xml:space="preserve">the implementation and application of  </w:t>
      </w:r>
      <w:r w:rsidR="005F4287">
        <w:rPr>
          <w:rFonts w:cs="Helv"/>
          <w:sz w:val="24"/>
        </w:rPr>
        <w:t>Regulation (EU) No 604/2013 (“</w:t>
      </w:r>
      <w:r w:rsidR="005F4287" w:rsidRPr="0068103A">
        <w:rPr>
          <w:rFonts w:cs="Helv"/>
          <w:i/>
          <w:sz w:val="24"/>
        </w:rPr>
        <w:t>Dublin III</w:t>
      </w:r>
      <w:r w:rsidR="005F4287">
        <w:rPr>
          <w:rFonts w:cs="Helv"/>
          <w:sz w:val="24"/>
        </w:rPr>
        <w:t xml:space="preserve">”) and the </w:t>
      </w:r>
      <w:r>
        <w:rPr>
          <w:rFonts w:cs="Times New Roman"/>
          <w:sz w:val="24"/>
          <w:szCs w:val="24"/>
        </w:rPr>
        <w:t xml:space="preserve">operation of the </w:t>
      </w:r>
      <w:r w:rsidRPr="005F4287">
        <w:rPr>
          <w:rFonts w:cs="Times New Roman"/>
          <w:i/>
          <w:sz w:val="24"/>
          <w:szCs w:val="24"/>
        </w:rPr>
        <w:t xml:space="preserve">Dublin </w:t>
      </w:r>
      <w:r w:rsidR="005F4287">
        <w:rPr>
          <w:rFonts w:cs="Times New Roman"/>
          <w:i/>
          <w:sz w:val="24"/>
          <w:szCs w:val="24"/>
        </w:rPr>
        <w:t>s</w:t>
      </w:r>
      <w:r w:rsidRPr="005F4287">
        <w:rPr>
          <w:rFonts w:cs="Times New Roman"/>
          <w:i/>
          <w:sz w:val="24"/>
          <w:szCs w:val="24"/>
        </w:rPr>
        <w:t>ystem</w:t>
      </w:r>
      <w:r>
        <w:rPr>
          <w:rFonts w:cs="Times New Roman"/>
          <w:sz w:val="24"/>
          <w:szCs w:val="24"/>
        </w:rPr>
        <w:t xml:space="preserve"> </w:t>
      </w:r>
      <w:r>
        <w:rPr>
          <w:rFonts w:cs="Helv"/>
          <w:sz w:val="24"/>
        </w:rPr>
        <w:t>in the State</w:t>
      </w:r>
      <w:r w:rsidR="006E2F5E">
        <w:rPr>
          <w:rFonts w:cs="Helv"/>
          <w:sz w:val="24"/>
        </w:rPr>
        <w:t xml:space="preserve"> which have already been the subject of many decisions of the Irish courts and of the Court of Justice.</w:t>
      </w:r>
    </w:p>
    <w:p w14:paraId="55FCDEC6" w14:textId="279C2B9D" w:rsidR="006E2F5E" w:rsidRDefault="006E2F5E" w:rsidP="006E2F5E">
      <w:pPr>
        <w:autoSpaceDE w:val="0"/>
        <w:autoSpaceDN w:val="0"/>
        <w:adjustRightInd w:val="0"/>
        <w:spacing w:after="0" w:line="480" w:lineRule="auto"/>
        <w:jc w:val="both"/>
        <w:rPr>
          <w:rFonts w:cs="Times New Roman"/>
          <w:sz w:val="24"/>
          <w:szCs w:val="24"/>
        </w:rPr>
      </w:pPr>
    </w:p>
    <w:p w14:paraId="2D4200C6" w14:textId="77777777" w:rsidR="006E2F5E" w:rsidRPr="006E2F5E" w:rsidRDefault="006E2F5E" w:rsidP="006E2F5E">
      <w:pPr>
        <w:autoSpaceDE w:val="0"/>
        <w:autoSpaceDN w:val="0"/>
        <w:adjustRightInd w:val="0"/>
        <w:spacing w:after="0" w:line="480" w:lineRule="auto"/>
        <w:jc w:val="both"/>
        <w:rPr>
          <w:rFonts w:cs="Times New Roman"/>
          <w:sz w:val="24"/>
          <w:szCs w:val="24"/>
        </w:rPr>
      </w:pPr>
    </w:p>
    <w:p w14:paraId="3AFC8B3E" w14:textId="77777777" w:rsidR="00FC7869" w:rsidRPr="00FC7869" w:rsidRDefault="00FC7869" w:rsidP="00FC7869">
      <w:pPr>
        <w:rPr>
          <w:lang w:eastAsia="en-IE"/>
        </w:rPr>
      </w:pPr>
    </w:p>
    <w:p w14:paraId="0218904A" w14:textId="3132E645" w:rsidR="00A517D3" w:rsidRPr="00BB465B" w:rsidRDefault="00BB465B" w:rsidP="00BB465B">
      <w:pPr>
        <w:rPr>
          <w:i/>
          <w:sz w:val="24"/>
          <w:szCs w:val="24"/>
        </w:rPr>
      </w:pPr>
      <w:r>
        <w:rPr>
          <w:i/>
          <w:sz w:val="24"/>
          <w:szCs w:val="24"/>
        </w:rPr>
        <w:tab/>
      </w:r>
      <w:r w:rsidR="00A517D3" w:rsidRPr="00BB465B">
        <w:rPr>
          <w:i/>
          <w:sz w:val="24"/>
          <w:szCs w:val="24"/>
        </w:rPr>
        <w:t>The Dublin System</w:t>
      </w:r>
    </w:p>
    <w:p w14:paraId="4F84BA8D" w14:textId="31F59083" w:rsidR="001B1654" w:rsidRDefault="001B1654" w:rsidP="001B1654">
      <w:pPr>
        <w:spacing w:after="7" w:line="364" w:lineRule="auto"/>
        <w:jc w:val="right"/>
        <w:rPr>
          <w:rFonts w:eastAsia="Times New Roman" w:cs="Times New Roman"/>
          <w:b/>
          <w:sz w:val="24"/>
          <w:szCs w:val="24"/>
        </w:rPr>
      </w:pPr>
    </w:p>
    <w:p w14:paraId="1D6875A9" w14:textId="628F043F" w:rsidR="001B1654" w:rsidRPr="00E85077" w:rsidRDefault="00FC7869" w:rsidP="00FC7869">
      <w:pPr>
        <w:pStyle w:val="ListParagraph"/>
        <w:widowControl w:val="0"/>
        <w:numPr>
          <w:ilvl w:val="0"/>
          <w:numId w:val="1"/>
        </w:numPr>
        <w:autoSpaceDE w:val="0"/>
        <w:autoSpaceDN w:val="0"/>
        <w:adjustRightInd w:val="0"/>
        <w:spacing w:after="0" w:line="480" w:lineRule="auto"/>
        <w:ind w:hanging="720"/>
        <w:jc w:val="both"/>
        <w:rPr>
          <w:rFonts w:cs="Times New Roman"/>
          <w:sz w:val="24"/>
          <w:szCs w:val="24"/>
          <w:u w:val="single"/>
        </w:rPr>
      </w:pPr>
      <w:bookmarkStart w:id="2" w:name="_Hlk93308544"/>
      <w:r>
        <w:rPr>
          <w:rFonts w:cs="Helv"/>
          <w:sz w:val="24"/>
        </w:rPr>
        <w:t>Dublin III</w:t>
      </w:r>
      <w:r w:rsidR="0068103A">
        <w:rPr>
          <w:rFonts w:cs="Helv"/>
          <w:sz w:val="24"/>
        </w:rPr>
        <w:t xml:space="preserve"> </w:t>
      </w:r>
      <w:bookmarkEnd w:id="2"/>
      <w:r w:rsidR="0068103A">
        <w:rPr>
          <w:rFonts w:cs="Helv"/>
          <w:sz w:val="24"/>
        </w:rPr>
        <w:t xml:space="preserve">sets out the criteria and mechanisms for determining the Member State responsible for examining applications for international protection made in one of the Member States by </w:t>
      </w:r>
      <w:r w:rsidR="00D01BA8">
        <w:rPr>
          <w:rFonts w:cs="Helv"/>
          <w:sz w:val="24"/>
        </w:rPr>
        <w:t xml:space="preserve">a </w:t>
      </w:r>
      <w:r w:rsidR="0068103A">
        <w:rPr>
          <w:rFonts w:cs="Helv"/>
          <w:sz w:val="24"/>
        </w:rPr>
        <w:t>third country national</w:t>
      </w:r>
      <w:r w:rsidR="00D01BA8">
        <w:rPr>
          <w:rFonts w:cs="Helv"/>
          <w:sz w:val="24"/>
        </w:rPr>
        <w:t xml:space="preserve"> or stateless person.</w:t>
      </w:r>
      <w:r w:rsidR="0068103A">
        <w:rPr>
          <w:rFonts w:cs="Helv"/>
          <w:sz w:val="24"/>
        </w:rPr>
        <w:t xml:space="preserve"> Dublin III repealed and replaced Regulation (EC) No 343/2003 (“</w:t>
      </w:r>
      <w:r w:rsidR="0068103A" w:rsidRPr="00D01BA8">
        <w:rPr>
          <w:rFonts w:cs="Helv"/>
          <w:i/>
          <w:sz w:val="24"/>
        </w:rPr>
        <w:t>Dublin II</w:t>
      </w:r>
      <w:r w:rsidR="0068103A">
        <w:rPr>
          <w:rFonts w:cs="Helv"/>
          <w:sz w:val="24"/>
        </w:rPr>
        <w:t xml:space="preserve">”) </w:t>
      </w:r>
      <w:r w:rsidR="00D01BA8">
        <w:rPr>
          <w:rFonts w:cs="Helv"/>
          <w:sz w:val="24"/>
        </w:rPr>
        <w:t xml:space="preserve">which had in turn replaced </w:t>
      </w:r>
      <w:r w:rsidR="00D01BA8" w:rsidRPr="00D01BA8">
        <w:rPr>
          <w:rFonts w:cs="Helv"/>
          <w:sz w:val="24"/>
        </w:rPr>
        <w:t>the Dublin Convention</w:t>
      </w:r>
      <w:r w:rsidR="00D01BA8">
        <w:rPr>
          <w:rFonts w:cs="Helv"/>
          <w:sz w:val="24"/>
        </w:rPr>
        <w:t>.</w:t>
      </w:r>
      <w:r w:rsidR="00D01BA8">
        <w:rPr>
          <w:rStyle w:val="FootnoteReference"/>
          <w:rFonts w:cs="Helv"/>
          <w:sz w:val="24"/>
        </w:rPr>
        <w:footnoteReference w:id="1"/>
      </w:r>
      <w:r w:rsidR="00D01BA8">
        <w:rPr>
          <w:rFonts w:cs="Helv"/>
          <w:sz w:val="24"/>
        </w:rPr>
        <w:t xml:space="preserve"> The </w:t>
      </w:r>
      <w:r w:rsidR="005F4287">
        <w:rPr>
          <w:rFonts w:cs="Helv"/>
          <w:sz w:val="24"/>
        </w:rPr>
        <w:t xml:space="preserve">Dublin system </w:t>
      </w:r>
      <w:r w:rsidR="00D01BA8">
        <w:rPr>
          <w:rFonts w:cs="Helv"/>
          <w:sz w:val="24"/>
        </w:rPr>
        <w:t>is a</w:t>
      </w:r>
      <w:r w:rsidR="002F0501">
        <w:rPr>
          <w:rFonts w:cs="Helv"/>
          <w:sz w:val="24"/>
        </w:rPr>
        <w:t xml:space="preserve"> </w:t>
      </w:r>
      <w:r w:rsidR="00600E6B">
        <w:rPr>
          <w:rFonts w:cs="Helv"/>
          <w:sz w:val="24"/>
        </w:rPr>
        <w:t>critical</w:t>
      </w:r>
      <w:r w:rsidR="00E85077">
        <w:rPr>
          <w:rFonts w:cs="Helv"/>
          <w:sz w:val="24"/>
        </w:rPr>
        <w:t xml:space="preserve"> </w:t>
      </w:r>
      <w:r w:rsidR="00A568B6">
        <w:rPr>
          <w:rFonts w:cs="Helv"/>
          <w:sz w:val="24"/>
        </w:rPr>
        <w:t>component</w:t>
      </w:r>
      <w:r w:rsidR="00D01BA8">
        <w:rPr>
          <w:rFonts w:cs="Helv"/>
          <w:sz w:val="24"/>
        </w:rPr>
        <w:t xml:space="preserve"> of the European Common Asylum System</w:t>
      </w:r>
      <w:r w:rsidR="00587E79">
        <w:rPr>
          <w:rFonts w:cs="Helv"/>
          <w:sz w:val="24"/>
        </w:rPr>
        <w:t xml:space="preserve"> (ECAS) adopted by the EU</w:t>
      </w:r>
      <w:r w:rsidR="00213173">
        <w:rPr>
          <w:rFonts w:cs="Helv"/>
          <w:sz w:val="24"/>
        </w:rPr>
        <w:t xml:space="preserve"> following the Tampere European Council in 1999. Article 78 TFEU confers broad </w:t>
      </w:r>
      <w:r w:rsidR="00E85077">
        <w:rPr>
          <w:rFonts w:cs="Helv"/>
          <w:sz w:val="24"/>
        </w:rPr>
        <w:t>competence on the Union in this area.</w:t>
      </w:r>
    </w:p>
    <w:p w14:paraId="2B0FB2F3" w14:textId="77777777" w:rsidR="00E85077" w:rsidRPr="00E85077" w:rsidRDefault="00E85077" w:rsidP="00E85077">
      <w:pPr>
        <w:pStyle w:val="ListParagraph"/>
        <w:autoSpaceDE w:val="0"/>
        <w:autoSpaceDN w:val="0"/>
        <w:adjustRightInd w:val="0"/>
        <w:spacing w:after="0" w:line="480" w:lineRule="auto"/>
        <w:jc w:val="both"/>
        <w:rPr>
          <w:rFonts w:cs="Times New Roman"/>
          <w:sz w:val="24"/>
          <w:szCs w:val="24"/>
          <w:u w:val="single"/>
        </w:rPr>
      </w:pPr>
    </w:p>
    <w:p w14:paraId="7E9A6C94" w14:textId="33A7531A" w:rsidR="00E85077" w:rsidRPr="00A311BE" w:rsidRDefault="00751090" w:rsidP="001E5618">
      <w:pPr>
        <w:pStyle w:val="ListParagraph"/>
        <w:numPr>
          <w:ilvl w:val="0"/>
          <w:numId w:val="1"/>
        </w:numPr>
        <w:autoSpaceDE w:val="0"/>
        <w:autoSpaceDN w:val="0"/>
        <w:adjustRightInd w:val="0"/>
        <w:spacing w:after="0" w:line="480" w:lineRule="auto"/>
        <w:ind w:hanging="720"/>
        <w:jc w:val="both"/>
        <w:rPr>
          <w:rFonts w:cs="Times New Roman"/>
          <w:sz w:val="24"/>
          <w:szCs w:val="24"/>
          <w:u w:val="single"/>
        </w:rPr>
      </w:pPr>
      <w:r>
        <w:rPr>
          <w:rFonts w:cs="Times New Roman"/>
          <w:sz w:val="24"/>
          <w:szCs w:val="24"/>
        </w:rPr>
        <w:t>Article 3(1) of Dublin III provides that applications for international protection by a third-county national or stateless person who applies on the territory of any Member State “</w:t>
      </w:r>
      <w:r w:rsidRPr="00751090">
        <w:rPr>
          <w:rFonts w:cs="Times New Roman"/>
          <w:i/>
          <w:sz w:val="24"/>
          <w:szCs w:val="24"/>
        </w:rPr>
        <w:t>shall be examined by a single Member State, which shall be the one which the criteria set out in Chapter III indicate is responsible.”</w:t>
      </w:r>
      <w:r>
        <w:rPr>
          <w:rFonts w:cs="Times New Roman"/>
          <w:sz w:val="24"/>
          <w:szCs w:val="24"/>
        </w:rPr>
        <w:t xml:space="preserve"> </w:t>
      </w:r>
      <w:r w:rsidR="00E85077">
        <w:rPr>
          <w:rFonts w:cs="Times New Roman"/>
          <w:sz w:val="24"/>
          <w:szCs w:val="24"/>
        </w:rPr>
        <w:t xml:space="preserve">Chapter III </w:t>
      </w:r>
      <w:r>
        <w:rPr>
          <w:rFonts w:cs="Times New Roman"/>
          <w:sz w:val="24"/>
          <w:szCs w:val="24"/>
        </w:rPr>
        <w:t>then</w:t>
      </w:r>
      <w:r w:rsidR="00E85077">
        <w:rPr>
          <w:rFonts w:cs="Times New Roman"/>
          <w:sz w:val="24"/>
          <w:szCs w:val="24"/>
        </w:rPr>
        <w:t xml:space="preserve"> sets out a hierarchy of criteria for determining the </w:t>
      </w:r>
      <w:r>
        <w:rPr>
          <w:rFonts w:cs="Times New Roman"/>
          <w:sz w:val="24"/>
          <w:szCs w:val="24"/>
        </w:rPr>
        <w:t xml:space="preserve">responsible </w:t>
      </w:r>
      <w:r w:rsidR="00E85077">
        <w:rPr>
          <w:rFonts w:cs="Times New Roman"/>
          <w:sz w:val="24"/>
          <w:szCs w:val="24"/>
        </w:rPr>
        <w:t>Member State</w:t>
      </w:r>
      <w:r>
        <w:rPr>
          <w:rFonts w:cs="Times New Roman"/>
          <w:sz w:val="24"/>
          <w:szCs w:val="24"/>
        </w:rPr>
        <w:t>.</w:t>
      </w:r>
      <w:r w:rsidR="00E85077">
        <w:rPr>
          <w:rFonts w:cs="Times New Roman"/>
          <w:sz w:val="24"/>
          <w:szCs w:val="24"/>
        </w:rPr>
        <w:t xml:space="preserve"> These criteria are intended to provide “</w:t>
      </w:r>
      <w:r w:rsidR="00E85077" w:rsidRPr="00A311BE">
        <w:rPr>
          <w:rFonts w:cs="Times New Roman"/>
          <w:i/>
          <w:sz w:val="24"/>
          <w:szCs w:val="24"/>
        </w:rPr>
        <w:t>a clear and workable method”</w:t>
      </w:r>
      <w:r w:rsidR="00E85077">
        <w:rPr>
          <w:rFonts w:cs="Times New Roman"/>
          <w:sz w:val="24"/>
          <w:szCs w:val="24"/>
        </w:rPr>
        <w:t xml:space="preserve"> which “</w:t>
      </w:r>
      <w:r w:rsidR="00E85077" w:rsidRPr="00A311BE">
        <w:rPr>
          <w:rFonts w:cs="Times New Roman"/>
          <w:i/>
          <w:sz w:val="24"/>
          <w:szCs w:val="24"/>
        </w:rPr>
        <w:t xml:space="preserve">should .. make it possible to determine rapidly the Member State responsible, so as to guarantee effective access </w:t>
      </w:r>
      <w:r w:rsidR="00A311BE" w:rsidRPr="00A311BE">
        <w:rPr>
          <w:rFonts w:cs="Times New Roman"/>
          <w:i/>
          <w:sz w:val="24"/>
          <w:szCs w:val="24"/>
        </w:rPr>
        <w:t>to the procedures for granting international protection and not to compromise the objective of the rapid processing of applications for international protection.”</w:t>
      </w:r>
      <w:r w:rsidR="00A311BE">
        <w:rPr>
          <w:rFonts w:cs="Times New Roman"/>
          <w:sz w:val="24"/>
          <w:szCs w:val="24"/>
        </w:rPr>
        <w:t xml:space="preserve"> (Recitals (5) &amp; (6)). Once the Member State responsible has been identified, it is obliged (as the case may be) to “</w:t>
      </w:r>
      <w:r w:rsidR="00A311BE" w:rsidRPr="00A311BE">
        <w:rPr>
          <w:rFonts w:cs="Times New Roman"/>
          <w:i/>
          <w:sz w:val="24"/>
          <w:szCs w:val="24"/>
        </w:rPr>
        <w:t>take charge</w:t>
      </w:r>
      <w:r w:rsidR="00A311BE">
        <w:rPr>
          <w:rFonts w:cs="Times New Roman"/>
          <w:sz w:val="24"/>
          <w:szCs w:val="24"/>
        </w:rPr>
        <w:t>” or “</w:t>
      </w:r>
      <w:r w:rsidR="00A311BE" w:rsidRPr="00A311BE">
        <w:rPr>
          <w:rFonts w:cs="Times New Roman"/>
          <w:i/>
          <w:sz w:val="24"/>
          <w:szCs w:val="24"/>
        </w:rPr>
        <w:t>take back</w:t>
      </w:r>
      <w:r w:rsidR="00A311BE">
        <w:rPr>
          <w:rFonts w:cs="Times New Roman"/>
          <w:sz w:val="24"/>
          <w:szCs w:val="24"/>
        </w:rPr>
        <w:t xml:space="preserve">” the </w:t>
      </w:r>
      <w:r w:rsidR="00F81879">
        <w:rPr>
          <w:rFonts w:cs="Times New Roman"/>
          <w:sz w:val="24"/>
          <w:szCs w:val="24"/>
        </w:rPr>
        <w:t xml:space="preserve">applicant or other person (Dublin III </w:t>
      </w:r>
      <w:r w:rsidR="00F81879">
        <w:rPr>
          <w:rFonts w:cs="Times New Roman"/>
          <w:sz w:val="24"/>
          <w:szCs w:val="24"/>
        </w:rPr>
        <w:lastRenderedPageBreak/>
        <w:t>applies to</w:t>
      </w:r>
      <w:r w:rsidR="001A1B25">
        <w:rPr>
          <w:rFonts w:cs="Times New Roman"/>
          <w:sz w:val="24"/>
          <w:szCs w:val="24"/>
        </w:rPr>
        <w:t xml:space="preserve"> certain</w:t>
      </w:r>
      <w:r w:rsidR="00F81879">
        <w:rPr>
          <w:rFonts w:cs="Times New Roman"/>
          <w:sz w:val="24"/>
          <w:szCs w:val="24"/>
        </w:rPr>
        <w:t xml:space="preserve"> persons who have not made an applic</w:t>
      </w:r>
      <w:r>
        <w:rPr>
          <w:rFonts w:cs="Times New Roman"/>
          <w:sz w:val="24"/>
          <w:szCs w:val="24"/>
        </w:rPr>
        <w:t>ation in the requesting Member State</w:t>
      </w:r>
      <w:r w:rsidR="001A1B25">
        <w:rPr>
          <w:rFonts w:cs="Times New Roman"/>
          <w:sz w:val="24"/>
          <w:szCs w:val="24"/>
        </w:rPr>
        <w:t xml:space="preserve"> as well as to persons who have</w:t>
      </w:r>
      <w:r>
        <w:rPr>
          <w:rFonts w:cs="Times New Roman"/>
          <w:sz w:val="24"/>
          <w:szCs w:val="24"/>
        </w:rPr>
        <w:t xml:space="preserve">) </w:t>
      </w:r>
      <w:r w:rsidR="00F81879">
        <w:rPr>
          <w:rFonts w:cs="Times New Roman"/>
          <w:sz w:val="24"/>
          <w:szCs w:val="24"/>
        </w:rPr>
        <w:t xml:space="preserve"> </w:t>
      </w:r>
      <w:r w:rsidR="00A311BE">
        <w:rPr>
          <w:rFonts w:cs="Times New Roman"/>
          <w:sz w:val="24"/>
          <w:szCs w:val="24"/>
        </w:rPr>
        <w:t>and</w:t>
      </w:r>
      <w:r w:rsidR="00F81879">
        <w:rPr>
          <w:rFonts w:cs="Times New Roman"/>
          <w:sz w:val="24"/>
          <w:szCs w:val="24"/>
        </w:rPr>
        <w:t>, where relevant, to</w:t>
      </w:r>
      <w:r w:rsidR="00A311BE">
        <w:rPr>
          <w:rFonts w:cs="Times New Roman"/>
          <w:sz w:val="24"/>
          <w:szCs w:val="24"/>
        </w:rPr>
        <w:t xml:space="preserve"> examine and determine their application for protection (Article 18). </w:t>
      </w:r>
    </w:p>
    <w:p w14:paraId="2BB8557C" w14:textId="77777777" w:rsidR="00A311BE" w:rsidRPr="00A311BE" w:rsidRDefault="00A311BE" w:rsidP="00A311BE">
      <w:pPr>
        <w:pStyle w:val="ListParagraph"/>
        <w:autoSpaceDE w:val="0"/>
        <w:autoSpaceDN w:val="0"/>
        <w:adjustRightInd w:val="0"/>
        <w:spacing w:after="0" w:line="480" w:lineRule="auto"/>
        <w:jc w:val="both"/>
        <w:rPr>
          <w:rFonts w:cs="Times New Roman"/>
          <w:sz w:val="24"/>
          <w:szCs w:val="24"/>
          <w:u w:val="single"/>
        </w:rPr>
      </w:pPr>
    </w:p>
    <w:p w14:paraId="712A3CF6" w14:textId="55B335E9" w:rsidR="009A5EC9" w:rsidRPr="009A5EC9" w:rsidRDefault="00F81879" w:rsidP="00880097">
      <w:pPr>
        <w:pStyle w:val="ListParagraph"/>
        <w:numPr>
          <w:ilvl w:val="0"/>
          <w:numId w:val="1"/>
        </w:numPr>
        <w:autoSpaceDE w:val="0"/>
        <w:autoSpaceDN w:val="0"/>
        <w:adjustRightInd w:val="0"/>
        <w:spacing w:after="0" w:line="480" w:lineRule="auto"/>
        <w:ind w:hanging="720"/>
        <w:jc w:val="both"/>
        <w:rPr>
          <w:rFonts w:cs="Times New Roman"/>
          <w:sz w:val="24"/>
          <w:szCs w:val="24"/>
          <w:u w:val="single"/>
        </w:rPr>
      </w:pPr>
      <w:r>
        <w:rPr>
          <w:rFonts w:cs="Times New Roman"/>
          <w:sz w:val="24"/>
          <w:szCs w:val="24"/>
        </w:rPr>
        <w:t xml:space="preserve">Chapter VI makes detailed provision for the procedures to be applied. </w:t>
      </w:r>
      <w:r w:rsidR="00751090">
        <w:rPr>
          <w:rFonts w:cs="Times New Roman"/>
          <w:sz w:val="24"/>
          <w:szCs w:val="24"/>
        </w:rPr>
        <w:t xml:space="preserve">Where a </w:t>
      </w:r>
      <w:r>
        <w:rPr>
          <w:rFonts w:cs="Times New Roman"/>
          <w:sz w:val="24"/>
          <w:szCs w:val="24"/>
        </w:rPr>
        <w:t xml:space="preserve">Member State </w:t>
      </w:r>
      <w:r w:rsidR="00751090">
        <w:rPr>
          <w:rFonts w:cs="Times New Roman"/>
          <w:sz w:val="24"/>
          <w:szCs w:val="24"/>
        </w:rPr>
        <w:t xml:space="preserve">accepts a </w:t>
      </w:r>
      <w:r>
        <w:rPr>
          <w:rFonts w:cs="Times New Roman"/>
          <w:sz w:val="24"/>
          <w:szCs w:val="24"/>
        </w:rPr>
        <w:t xml:space="preserve">take charge or take back </w:t>
      </w:r>
      <w:r w:rsidR="00751090">
        <w:rPr>
          <w:rFonts w:cs="Times New Roman"/>
          <w:sz w:val="24"/>
          <w:szCs w:val="24"/>
        </w:rPr>
        <w:t>request</w:t>
      </w:r>
      <w:r>
        <w:rPr>
          <w:rFonts w:cs="Times New Roman"/>
          <w:sz w:val="24"/>
          <w:szCs w:val="24"/>
        </w:rPr>
        <w:t xml:space="preserve"> </w:t>
      </w:r>
      <w:r w:rsidR="00751090" w:rsidRPr="001A1B25">
        <w:rPr>
          <w:rFonts w:cs="Times New Roman"/>
          <w:i/>
          <w:sz w:val="24"/>
          <w:szCs w:val="24"/>
        </w:rPr>
        <w:t xml:space="preserve">“the requesting Member State </w:t>
      </w:r>
      <w:r w:rsidR="001A1B25" w:rsidRPr="001A1B25">
        <w:rPr>
          <w:rFonts w:cs="Times New Roman"/>
          <w:i/>
          <w:sz w:val="24"/>
          <w:szCs w:val="24"/>
        </w:rPr>
        <w:t>shall notify the person concerned of the decision to transfer him or her to the Member State responsible and, where applicable, of not examining his or her application for international protection</w:t>
      </w:r>
      <w:r w:rsidR="001A1B25">
        <w:rPr>
          <w:rFonts w:cs="Times New Roman"/>
          <w:i/>
          <w:sz w:val="24"/>
          <w:szCs w:val="24"/>
        </w:rPr>
        <w:t xml:space="preserve">” </w:t>
      </w:r>
      <w:r w:rsidR="001A1B25">
        <w:rPr>
          <w:rFonts w:cs="Times New Roman"/>
          <w:sz w:val="24"/>
          <w:szCs w:val="24"/>
        </w:rPr>
        <w:t xml:space="preserve">(Article 26(1)). Article 27 </w:t>
      </w:r>
      <w:r w:rsidR="006E03AB">
        <w:rPr>
          <w:rFonts w:cs="Times New Roman"/>
          <w:sz w:val="24"/>
          <w:szCs w:val="24"/>
        </w:rPr>
        <w:t xml:space="preserve">then </w:t>
      </w:r>
      <w:r w:rsidR="001A1B25">
        <w:rPr>
          <w:rFonts w:cs="Times New Roman"/>
          <w:sz w:val="24"/>
          <w:szCs w:val="24"/>
        </w:rPr>
        <w:t>provides that the person concerned “</w:t>
      </w:r>
      <w:r w:rsidR="001A1B25" w:rsidRPr="001A1B25">
        <w:rPr>
          <w:rFonts w:cs="Times New Roman"/>
          <w:i/>
          <w:sz w:val="24"/>
          <w:szCs w:val="24"/>
        </w:rPr>
        <w:t>shall have the right to an effective remedy,</w:t>
      </w:r>
      <w:r w:rsidR="00880097">
        <w:rPr>
          <w:rFonts w:cs="Times New Roman"/>
          <w:i/>
          <w:sz w:val="24"/>
          <w:szCs w:val="24"/>
        </w:rPr>
        <w:t xml:space="preserve"> in the form of an appeal or review, in fact and in law,</w:t>
      </w:r>
      <w:r w:rsidR="001A1B25" w:rsidRPr="001A1B25">
        <w:rPr>
          <w:rFonts w:cs="Times New Roman"/>
          <w:i/>
          <w:sz w:val="24"/>
          <w:szCs w:val="24"/>
        </w:rPr>
        <w:t xml:space="preserve"> against a transfer decision, before a court or tribunal</w:t>
      </w:r>
      <w:r w:rsidR="001A1B25">
        <w:rPr>
          <w:rFonts w:cs="Times New Roman"/>
          <w:sz w:val="24"/>
          <w:szCs w:val="24"/>
        </w:rPr>
        <w:t xml:space="preserve">”. </w:t>
      </w:r>
      <w:r w:rsidR="00804FDE">
        <w:rPr>
          <w:rFonts w:cs="Times New Roman"/>
          <w:sz w:val="24"/>
          <w:szCs w:val="24"/>
        </w:rPr>
        <w:t>Recital (19) express</w:t>
      </w:r>
      <w:r w:rsidR="009A5EC9">
        <w:rPr>
          <w:rFonts w:cs="Times New Roman"/>
          <w:sz w:val="24"/>
          <w:szCs w:val="24"/>
        </w:rPr>
        <w:t>ly</w:t>
      </w:r>
      <w:r w:rsidR="00804FDE">
        <w:rPr>
          <w:rFonts w:cs="Times New Roman"/>
          <w:sz w:val="24"/>
          <w:szCs w:val="24"/>
        </w:rPr>
        <w:t xml:space="preserve"> link</w:t>
      </w:r>
      <w:r w:rsidR="009A5EC9">
        <w:rPr>
          <w:rFonts w:cs="Times New Roman"/>
          <w:sz w:val="24"/>
          <w:szCs w:val="24"/>
        </w:rPr>
        <w:t>s such remedy</w:t>
      </w:r>
      <w:r w:rsidR="00804FDE">
        <w:rPr>
          <w:rFonts w:cs="Times New Roman"/>
          <w:sz w:val="24"/>
          <w:szCs w:val="24"/>
        </w:rPr>
        <w:t xml:space="preserve"> to Article 47 of the Charter </w:t>
      </w:r>
      <w:r w:rsidR="009A5EC9">
        <w:rPr>
          <w:rFonts w:cs="Times New Roman"/>
          <w:sz w:val="24"/>
          <w:szCs w:val="24"/>
        </w:rPr>
        <w:t xml:space="preserve">of Fundamental Rights of the European Union </w:t>
      </w:r>
      <w:r w:rsidR="009A5EC9" w:rsidRPr="009A5EC9">
        <w:rPr>
          <w:rFonts w:cs="Times New Roman"/>
          <w:i/>
          <w:sz w:val="24"/>
          <w:szCs w:val="24"/>
        </w:rPr>
        <w:t>(“the Charter</w:t>
      </w:r>
      <w:r w:rsidR="009A5EC9">
        <w:rPr>
          <w:rFonts w:cs="Times New Roman"/>
          <w:sz w:val="24"/>
          <w:szCs w:val="24"/>
        </w:rPr>
        <w:t xml:space="preserve">”) and states that an effective remedy against </w:t>
      </w:r>
      <w:r w:rsidR="000C085F">
        <w:rPr>
          <w:rFonts w:cs="Times New Roman"/>
          <w:sz w:val="24"/>
          <w:szCs w:val="24"/>
        </w:rPr>
        <w:t>“</w:t>
      </w:r>
      <w:r w:rsidR="009A5EC9" w:rsidRPr="000C085F">
        <w:rPr>
          <w:rFonts w:cs="Times New Roman"/>
          <w:i/>
          <w:sz w:val="24"/>
          <w:szCs w:val="24"/>
        </w:rPr>
        <w:t>decisions regarding transfer</w:t>
      </w:r>
      <w:r w:rsidR="000C085F">
        <w:rPr>
          <w:rFonts w:cs="Times New Roman"/>
          <w:sz w:val="24"/>
          <w:szCs w:val="24"/>
        </w:rPr>
        <w:t>”</w:t>
      </w:r>
      <w:r w:rsidR="009A5EC9">
        <w:rPr>
          <w:rFonts w:cs="Times New Roman"/>
          <w:sz w:val="24"/>
          <w:szCs w:val="24"/>
        </w:rPr>
        <w:t xml:space="preserve"> should “</w:t>
      </w:r>
      <w:r w:rsidR="009A5EC9" w:rsidRPr="009A5EC9">
        <w:rPr>
          <w:rFonts w:cs="Times New Roman"/>
          <w:i/>
          <w:sz w:val="24"/>
          <w:szCs w:val="24"/>
        </w:rPr>
        <w:t>cover both the examination of the application of this Regulation and of the legal and factual situation in the Member State to which the applicant is transferred</w:t>
      </w:r>
      <w:r w:rsidR="009A5EC9">
        <w:rPr>
          <w:rFonts w:cs="Times New Roman"/>
          <w:sz w:val="24"/>
          <w:szCs w:val="24"/>
        </w:rPr>
        <w:t xml:space="preserve">.” </w:t>
      </w:r>
    </w:p>
    <w:p w14:paraId="2E9D2222" w14:textId="77777777" w:rsidR="009A5EC9" w:rsidRPr="009A5EC9" w:rsidRDefault="009A5EC9" w:rsidP="009A5EC9">
      <w:pPr>
        <w:pStyle w:val="ListParagraph"/>
        <w:autoSpaceDE w:val="0"/>
        <w:autoSpaceDN w:val="0"/>
        <w:adjustRightInd w:val="0"/>
        <w:spacing w:after="0" w:line="480" w:lineRule="auto"/>
        <w:jc w:val="both"/>
        <w:rPr>
          <w:rFonts w:cs="Times New Roman"/>
          <w:sz w:val="24"/>
          <w:szCs w:val="24"/>
          <w:u w:val="single"/>
        </w:rPr>
      </w:pPr>
    </w:p>
    <w:p w14:paraId="59BEA58F" w14:textId="2058B955" w:rsidR="000C085F" w:rsidRPr="000C085F" w:rsidRDefault="00880097" w:rsidP="000C085F">
      <w:pPr>
        <w:pStyle w:val="ListParagraph"/>
        <w:numPr>
          <w:ilvl w:val="0"/>
          <w:numId w:val="1"/>
        </w:numPr>
        <w:autoSpaceDE w:val="0"/>
        <w:autoSpaceDN w:val="0"/>
        <w:adjustRightInd w:val="0"/>
        <w:spacing w:after="0" w:line="480" w:lineRule="auto"/>
        <w:ind w:hanging="720"/>
        <w:jc w:val="both"/>
        <w:rPr>
          <w:rFonts w:cs="Times New Roman"/>
          <w:sz w:val="24"/>
          <w:szCs w:val="24"/>
          <w:u w:val="single"/>
        </w:rPr>
      </w:pPr>
      <w:r>
        <w:rPr>
          <w:rFonts w:cs="Times New Roman"/>
          <w:sz w:val="24"/>
          <w:szCs w:val="24"/>
        </w:rPr>
        <w:t xml:space="preserve">Article 19(2) Dublin II had also provided for </w:t>
      </w:r>
      <w:r w:rsidR="00B06133">
        <w:rPr>
          <w:rFonts w:cs="Times New Roman"/>
          <w:sz w:val="24"/>
          <w:szCs w:val="24"/>
        </w:rPr>
        <w:t>“</w:t>
      </w:r>
      <w:r w:rsidRPr="00B06133">
        <w:rPr>
          <w:rFonts w:cs="Times New Roman"/>
          <w:i/>
          <w:sz w:val="24"/>
          <w:szCs w:val="24"/>
        </w:rPr>
        <w:t xml:space="preserve">an appeal </w:t>
      </w:r>
      <w:r w:rsidR="00B06133" w:rsidRPr="00B06133">
        <w:rPr>
          <w:rFonts w:cs="Times New Roman"/>
          <w:i/>
          <w:sz w:val="24"/>
          <w:szCs w:val="24"/>
        </w:rPr>
        <w:t>or a review</w:t>
      </w:r>
      <w:r w:rsidR="00B06133">
        <w:rPr>
          <w:rFonts w:cs="Times New Roman"/>
          <w:sz w:val="24"/>
          <w:szCs w:val="24"/>
        </w:rPr>
        <w:t xml:space="preserve">” </w:t>
      </w:r>
      <w:r>
        <w:rPr>
          <w:rFonts w:cs="Times New Roman"/>
          <w:sz w:val="24"/>
          <w:szCs w:val="24"/>
        </w:rPr>
        <w:t>against a decision to transfer</w:t>
      </w:r>
      <w:r w:rsidRPr="00880097">
        <w:rPr>
          <w:rFonts w:cs="Times New Roman"/>
          <w:sz w:val="24"/>
          <w:szCs w:val="24"/>
        </w:rPr>
        <w:t xml:space="preserve"> but in much briefer terms and the scope of </w:t>
      </w:r>
      <w:r w:rsidR="00B06133">
        <w:rPr>
          <w:rFonts w:cs="Times New Roman"/>
          <w:sz w:val="24"/>
          <w:szCs w:val="24"/>
        </w:rPr>
        <w:t xml:space="preserve">such </w:t>
      </w:r>
      <w:r>
        <w:rPr>
          <w:rFonts w:cs="Times New Roman"/>
          <w:sz w:val="24"/>
          <w:szCs w:val="24"/>
        </w:rPr>
        <w:t xml:space="preserve">appeal or review </w:t>
      </w:r>
      <w:r w:rsidRPr="00880097">
        <w:rPr>
          <w:rFonts w:cs="Times New Roman"/>
          <w:sz w:val="24"/>
          <w:szCs w:val="24"/>
        </w:rPr>
        <w:t xml:space="preserve">had been interpreted narrowly by the </w:t>
      </w:r>
      <w:r w:rsidR="000C085F">
        <w:rPr>
          <w:rFonts w:cs="Times New Roman"/>
          <w:sz w:val="24"/>
          <w:szCs w:val="24"/>
        </w:rPr>
        <w:t>CJEU</w:t>
      </w:r>
      <w:r w:rsidRPr="00880097">
        <w:rPr>
          <w:rFonts w:cs="Times New Roman"/>
          <w:sz w:val="24"/>
          <w:szCs w:val="24"/>
        </w:rPr>
        <w:t xml:space="preserve"> (Case C-39</w:t>
      </w:r>
      <w:r w:rsidR="003F5A4A">
        <w:rPr>
          <w:rFonts w:cs="Times New Roman"/>
          <w:sz w:val="24"/>
          <w:szCs w:val="24"/>
        </w:rPr>
        <w:t>4</w:t>
      </w:r>
      <w:r w:rsidRPr="00880097">
        <w:rPr>
          <w:rFonts w:cs="Times New Roman"/>
          <w:sz w:val="24"/>
          <w:szCs w:val="24"/>
        </w:rPr>
        <w:t xml:space="preserve">/12, </w:t>
      </w:r>
      <w:r w:rsidRPr="00880097">
        <w:rPr>
          <w:rFonts w:cs="Times New Roman"/>
          <w:i/>
          <w:sz w:val="24"/>
          <w:szCs w:val="24"/>
        </w:rPr>
        <w:t>A</w:t>
      </w:r>
      <w:r w:rsidR="003F5A4A">
        <w:rPr>
          <w:rFonts w:cs="Times New Roman"/>
          <w:i/>
          <w:sz w:val="24"/>
          <w:szCs w:val="24"/>
        </w:rPr>
        <w:t>b</w:t>
      </w:r>
      <w:r w:rsidRPr="00880097">
        <w:rPr>
          <w:rFonts w:cs="Times New Roman"/>
          <w:i/>
          <w:sz w:val="24"/>
          <w:szCs w:val="24"/>
        </w:rPr>
        <w:t>dullahi v Bundesa</w:t>
      </w:r>
      <w:r w:rsidR="003F5A4A">
        <w:rPr>
          <w:rFonts w:cs="Times New Roman"/>
          <w:i/>
          <w:sz w:val="24"/>
          <w:szCs w:val="24"/>
        </w:rPr>
        <w:t>s</w:t>
      </w:r>
      <w:r w:rsidRPr="00880097">
        <w:rPr>
          <w:rFonts w:cs="Times New Roman"/>
          <w:i/>
          <w:sz w:val="24"/>
          <w:szCs w:val="24"/>
        </w:rPr>
        <w:t xml:space="preserve">ylamt </w:t>
      </w:r>
      <w:r w:rsidRPr="00880097">
        <w:rPr>
          <w:rFonts w:cs="Times New Roman"/>
          <w:sz w:val="24"/>
          <w:szCs w:val="24"/>
        </w:rPr>
        <w:t>[2014] 1 WLR 1895</w:t>
      </w:r>
      <w:r w:rsidR="009A5EC9">
        <w:rPr>
          <w:rFonts w:cs="Times New Roman"/>
          <w:sz w:val="24"/>
          <w:szCs w:val="24"/>
        </w:rPr>
        <w:t>)</w:t>
      </w:r>
      <w:r w:rsidR="00B06133">
        <w:rPr>
          <w:rFonts w:cs="Times New Roman"/>
          <w:sz w:val="24"/>
          <w:szCs w:val="24"/>
        </w:rPr>
        <w:t xml:space="preserve">. In contrast, </w:t>
      </w:r>
      <w:r w:rsidR="000C085F">
        <w:rPr>
          <w:rFonts w:cs="Times New Roman"/>
          <w:sz w:val="24"/>
          <w:szCs w:val="24"/>
        </w:rPr>
        <w:t xml:space="preserve">in </w:t>
      </w:r>
      <w:r w:rsidR="00B06133">
        <w:rPr>
          <w:rFonts w:cs="Times New Roman"/>
          <w:sz w:val="24"/>
          <w:szCs w:val="24"/>
        </w:rPr>
        <w:t>a series of decisions</w:t>
      </w:r>
      <w:r w:rsidR="002F0501">
        <w:rPr>
          <w:rFonts w:cs="Times New Roman"/>
          <w:sz w:val="24"/>
          <w:szCs w:val="24"/>
        </w:rPr>
        <w:t xml:space="preserve">, </w:t>
      </w:r>
      <w:r w:rsidR="000C085F">
        <w:rPr>
          <w:rFonts w:cs="Times New Roman"/>
          <w:sz w:val="24"/>
          <w:szCs w:val="24"/>
        </w:rPr>
        <w:t>beginning</w:t>
      </w:r>
      <w:r w:rsidR="002F0501">
        <w:rPr>
          <w:rFonts w:cs="Times New Roman"/>
          <w:sz w:val="24"/>
          <w:szCs w:val="24"/>
        </w:rPr>
        <w:t xml:space="preserve"> with Case C-63/15</w:t>
      </w:r>
      <w:r w:rsidR="002F0501" w:rsidRPr="00804FDE">
        <w:rPr>
          <w:rFonts w:cs="Times New Roman"/>
          <w:i/>
          <w:sz w:val="24"/>
          <w:szCs w:val="24"/>
        </w:rPr>
        <w:t xml:space="preserve"> Ghezelbash v Staatssercretaris van Veiligheid en Justitie</w:t>
      </w:r>
      <w:r w:rsidR="002F0501">
        <w:rPr>
          <w:rFonts w:cs="Times New Roman"/>
          <w:sz w:val="24"/>
          <w:szCs w:val="24"/>
        </w:rPr>
        <w:t xml:space="preserve"> [2016] 1 WLR 3969 “</w:t>
      </w:r>
      <w:r w:rsidR="002F0501" w:rsidRPr="002F0501">
        <w:rPr>
          <w:rFonts w:cs="Times New Roman"/>
          <w:i/>
          <w:sz w:val="24"/>
          <w:szCs w:val="24"/>
        </w:rPr>
        <w:t>Ghezelbash</w:t>
      </w:r>
      <w:r w:rsidR="002F0501">
        <w:rPr>
          <w:rFonts w:cs="Times New Roman"/>
          <w:sz w:val="24"/>
          <w:szCs w:val="24"/>
        </w:rPr>
        <w:t xml:space="preserve">”), </w:t>
      </w:r>
      <w:r w:rsidR="000C085F">
        <w:rPr>
          <w:rFonts w:cs="Times New Roman"/>
          <w:sz w:val="24"/>
          <w:szCs w:val="24"/>
        </w:rPr>
        <w:t xml:space="preserve">the CJEU has emphasised </w:t>
      </w:r>
      <w:r w:rsidR="00B06133">
        <w:rPr>
          <w:rFonts w:cs="Times New Roman"/>
          <w:sz w:val="24"/>
          <w:szCs w:val="24"/>
        </w:rPr>
        <w:t>the broad scope of the Article 27 remedy (see</w:t>
      </w:r>
      <w:r w:rsidR="002F0501">
        <w:rPr>
          <w:rFonts w:cs="Times New Roman"/>
          <w:sz w:val="24"/>
          <w:szCs w:val="24"/>
        </w:rPr>
        <w:t xml:space="preserve"> also</w:t>
      </w:r>
      <w:r w:rsidR="00B06133">
        <w:rPr>
          <w:rFonts w:cs="Times New Roman"/>
          <w:sz w:val="24"/>
          <w:szCs w:val="24"/>
        </w:rPr>
        <w:t xml:space="preserve"> </w:t>
      </w:r>
      <w:bookmarkStart w:id="3" w:name="_Hlk93075135"/>
      <w:r w:rsidR="00B06133">
        <w:rPr>
          <w:rFonts w:cs="Times New Roman"/>
          <w:sz w:val="24"/>
          <w:szCs w:val="24"/>
        </w:rPr>
        <w:t xml:space="preserve">Case C-578/16 </w:t>
      </w:r>
      <w:r w:rsidR="00B06133" w:rsidRPr="00804FDE">
        <w:rPr>
          <w:rFonts w:cs="Times New Roman"/>
          <w:i/>
          <w:sz w:val="24"/>
          <w:szCs w:val="24"/>
        </w:rPr>
        <w:t>CK v Republika Slove</w:t>
      </w:r>
      <w:r w:rsidR="00804FDE" w:rsidRPr="00804FDE">
        <w:rPr>
          <w:rFonts w:cs="Times New Roman"/>
          <w:i/>
          <w:sz w:val="24"/>
          <w:szCs w:val="24"/>
        </w:rPr>
        <w:t>nija</w:t>
      </w:r>
      <w:bookmarkEnd w:id="3"/>
      <w:r w:rsidR="002F0501">
        <w:rPr>
          <w:rFonts w:cs="Times New Roman"/>
          <w:i/>
          <w:sz w:val="24"/>
          <w:szCs w:val="24"/>
        </w:rPr>
        <w:t xml:space="preserve"> </w:t>
      </w:r>
      <w:r w:rsidR="002F0501">
        <w:rPr>
          <w:rFonts w:cs="Times New Roman"/>
          <w:sz w:val="24"/>
          <w:szCs w:val="24"/>
        </w:rPr>
        <w:t>(“</w:t>
      </w:r>
      <w:r w:rsidR="002F0501" w:rsidRPr="002F0501">
        <w:rPr>
          <w:rFonts w:cs="Times New Roman"/>
          <w:i/>
          <w:sz w:val="24"/>
          <w:szCs w:val="24"/>
        </w:rPr>
        <w:t>CK</w:t>
      </w:r>
      <w:r w:rsidR="002F0501">
        <w:rPr>
          <w:rFonts w:cs="Times New Roman"/>
          <w:sz w:val="24"/>
          <w:szCs w:val="24"/>
        </w:rPr>
        <w:t>”),</w:t>
      </w:r>
      <w:r w:rsidR="00804FDE">
        <w:rPr>
          <w:rFonts w:cs="Times New Roman"/>
          <w:sz w:val="24"/>
          <w:szCs w:val="24"/>
        </w:rPr>
        <w:t xml:space="preserve"> Case C-155/15 </w:t>
      </w:r>
      <w:r w:rsidR="00804FDE" w:rsidRPr="00804FDE">
        <w:rPr>
          <w:rFonts w:cs="Times New Roman"/>
          <w:i/>
          <w:sz w:val="24"/>
          <w:szCs w:val="24"/>
        </w:rPr>
        <w:t xml:space="preserve">Karim v </w:t>
      </w:r>
      <w:r w:rsidR="00804FDE" w:rsidRPr="00804FDE">
        <w:rPr>
          <w:rFonts w:cs="Times New Roman"/>
          <w:i/>
          <w:sz w:val="24"/>
          <w:szCs w:val="24"/>
        </w:rPr>
        <w:lastRenderedPageBreak/>
        <w:t>Migrationsverket</w:t>
      </w:r>
      <w:r w:rsidR="00804FDE">
        <w:rPr>
          <w:rFonts w:cs="Times New Roman"/>
          <w:sz w:val="24"/>
          <w:szCs w:val="24"/>
        </w:rPr>
        <w:t xml:space="preserve">; Case C-670/16 </w:t>
      </w:r>
      <w:r w:rsidR="00804FDE" w:rsidRPr="00804FDE">
        <w:rPr>
          <w:rFonts w:cs="Times New Roman"/>
          <w:i/>
          <w:sz w:val="24"/>
          <w:szCs w:val="24"/>
        </w:rPr>
        <w:t>Menge</w:t>
      </w:r>
      <w:r w:rsidR="00432F42">
        <w:rPr>
          <w:rFonts w:cs="Times New Roman"/>
          <w:i/>
          <w:sz w:val="24"/>
          <w:szCs w:val="24"/>
        </w:rPr>
        <w:t>s</w:t>
      </w:r>
      <w:r w:rsidR="00804FDE" w:rsidRPr="00804FDE">
        <w:rPr>
          <w:rFonts w:cs="Times New Roman"/>
          <w:i/>
          <w:sz w:val="24"/>
          <w:szCs w:val="24"/>
        </w:rPr>
        <w:t>teab v Germany</w:t>
      </w:r>
      <w:r w:rsidR="00804FDE">
        <w:rPr>
          <w:rFonts w:cs="Times New Roman"/>
          <w:sz w:val="24"/>
          <w:szCs w:val="24"/>
        </w:rPr>
        <w:t xml:space="preserve"> [2018] 1 WLR 865; Case C-201/16 </w:t>
      </w:r>
      <w:r w:rsidR="00804FDE" w:rsidRPr="00804FDE">
        <w:rPr>
          <w:rFonts w:cs="Times New Roman"/>
          <w:i/>
          <w:sz w:val="24"/>
          <w:szCs w:val="24"/>
        </w:rPr>
        <w:t>Shiri v Bund</w:t>
      </w:r>
      <w:r w:rsidR="007D65D1">
        <w:rPr>
          <w:rFonts w:cs="Times New Roman"/>
          <w:i/>
          <w:sz w:val="24"/>
          <w:szCs w:val="24"/>
        </w:rPr>
        <w:t>e</w:t>
      </w:r>
      <w:r w:rsidR="00804FDE" w:rsidRPr="00804FDE">
        <w:rPr>
          <w:rFonts w:cs="Times New Roman"/>
          <w:i/>
          <w:sz w:val="24"/>
          <w:szCs w:val="24"/>
        </w:rPr>
        <w:t>sa</w:t>
      </w:r>
      <w:r w:rsidR="0058160B">
        <w:rPr>
          <w:rFonts w:cs="Times New Roman"/>
          <w:i/>
          <w:sz w:val="24"/>
          <w:szCs w:val="24"/>
        </w:rPr>
        <w:t>m</w:t>
      </w:r>
      <w:r w:rsidR="00804FDE" w:rsidRPr="00804FDE">
        <w:rPr>
          <w:rFonts w:cs="Times New Roman"/>
          <w:i/>
          <w:sz w:val="24"/>
          <w:szCs w:val="24"/>
        </w:rPr>
        <w:t>t fur Fremdenwesen und Asyl</w:t>
      </w:r>
      <w:r w:rsidR="00804FDE">
        <w:rPr>
          <w:rFonts w:cs="Times New Roman"/>
          <w:sz w:val="24"/>
          <w:szCs w:val="24"/>
        </w:rPr>
        <w:t xml:space="preserve"> [2018] 1 WLR 3384 and Case C-194/19 </w:t>
      </w:r>
      <w:r w:rsidR="00804FDE" w:rsidRPr="00804FDE">
        <w:rPr>
          <w:rFonts w:cs="Times New Roman"/>
          <w:i/>
          <w:sz w:val="24"/>
          <w:szCs w:val="24"/>
        </w:rPr>
        <w:t>HA v Belgium</w:t>
      </w:r>
      <w:r w:rsidR="00804FDE">
        <w:rPr>
          <w:rFonts w:cs="Times New Roman"/>
          <w:sz w:val="24"/>
          <w:szCs w:val="24"/>
        </w:rPr>
        <w:t>)</w:t>
      </w:r>
      <w:r w:rsidR="009A5EC9">
        <w:rPr>
          <w:rFonts w:cs="Times New Roman"/>
          <w:sz w:val="24"/>
          <w:szCs w:val="24"/>
        </w:rPr>
        <w:t>.</w:t>
      </w:r>
      <w:r w:rsidR="002F0501">
        <w:rPr>
          <w:rFonts w:cs="Times New Roman"/>
          <w:sz w:val="24"/>
          <w:szCs w:val="24"/>
        </w:rPr>
        <w:t xml:space="preserve"> </w:t>
      </w:r>
      <w:r w:rsidR="00524295">
        <w:rPr>
          <w:rFonts w:cs="Times New Roman"/>
          <w:sz w:val="24"/>
          <w:szCs w:val="24"/>
        </w:rPr>
        <w:t>The Article 27</w:t>
      </w:r>
      <w:r w:rsidR="002F0501">
        <w:rPr>
          <w:rFonts w:cs="Times New Roman"/>
          <w:sz w:val="24"/>
          <w:szCs w:val="24"/>
        </w:rPr>
        <w:t xml:space="preserve"> remedy encompasses, but is </w:t>
      </w:r>
      <w:r w:rsidR="000C085F">
        <w:rPr>
          <w:rFonts w:cs="Times New Roman"/>
          <w:sz w:val="24"/>
          <w:szCs w:val="24"/>
        </w:rPr>
        <w:t xml:space="preserve">by no means </w:t>
      </w:r>
      <w:r w:rsidR="002F0501">
        <w:rPr>
          <w:rFonts w:cs="Times New Roman"/>
          <w:sz w:val="24"/>
          <w:szCs w:val="24"/>
        </w:rPr>
        <w:t xml:space="preserve">limited to, </w:t>
      </w:r>
      <w:r w:rsidR="000C085F">
        <w:rPr>
          <w:rFonts w:cs="Times New Roman"/>
          <w:sz w:val="24"/>
          <w:szCs w:val="24"/>
        </w:rPr>
        <w:t>disputes c</w:t>
      </w:r>
      <w:r w:rsidR="002F0501">
        <w:rPr>
          <w:rFonts w:cs="Times New Roman"/>
          <w:sz w:val="24"/>
          <w:szCs w:val="24"/>
        </w:rPr>
        <w:t>oncerning the application of the criteria for determining the Member State responsible under Dublin III.</w:t>
      </w:r>
    </w:p>
    <w:p w14:paraId="6194CD6E" w14:textId="77777777" w:rsidR="000C085F" w:rsidRDefault="000C085F" w:rsidP="000C085F">
      <w:pPr>
        <w:pStyle w:val="ListParagraph"/>
        <w:autoSpaceDE w:val="0"/>
        <w:autoSpaceDN w:val="0"/>
        <w:adjustRightInd w:val="0"/>
        <w:spacing w:after="0" w:line="480" w:lineRule="auto"/>
        <w:jc w:val="both"/>
        <w:rPr>
          <w:rFonts w:cs="Times New Roman"/>
          <w:sz w:val="24"/>
          <w:szCs w:val="24"/>
          <w:u w:val="single"/>
        </w:rPr>
      </w:pPr>
    </w:p>
    <w:p w14:paraId="5EDEF35F" w14:textId="77777777" w:rsidR="009C0C08" w:rsidRPr="009C0C08" w:rsidRDefault="000C085F" w:rsidP="000C085F">
      <w:pPr>
        <w:pStyle w:val="ListParagraph"/>
        <w:numPr>
          <w:ilvl w:val="0"/>
          <w:numId w:val="1"/>
        </w:numPr>
        <w:autoSpaceDE w:val="0"/>
        <w:autoSpaceDN w:val="0"/>
        <w:adjustRightInd w:val="0"/>
        <w:spacing w:after="0" w:line="480" w:lineRule="auto"/>
        <w:ind w:hanging="720"/>
        <w:jc w:val="both"/>
        <w:rPr>
          <w:rFonts w:cs="Times New Roman"/>
          <w:sz w:val="24"/>
          <w:szCs w:val="24"/>
          <w:u w:val="single"/>
        </w:rPr>
      </w:pPr>
      <w:r w:rsidRPr="000C085F">
        <w:rPr>
          <w:sz w:val="24"/>
          <w:szCs w:val="24"/>
        </w:rPr>
        <w:t>Article 27(2) requires Member States to “</w:t>
      </w:r>
      <w:r w:rsidRPr="000C085F">
        <w:rPr>
          <w:i/>
          <w:sz w:val="24"/>
          <w:szCs w:val="24"/>
        </w:rPr>
        <w:t>provide for a reasonable period of time within which the person concerned may exercise his or her right to an effective remedy pursuant to paragraph 1</w:t>
      </w:r>
      <w:r w:rsidRPr="000C085F">
        <w:rPr>
          <w:sz w:val="24"/>
          <w:szCs w:val="24"/>
        </w:rPr>
        <w:t xml:space="preserve">”. </w:t>
      </w:r>
      <w:r w:rsidRPr="009C0C08">
        <w:rPr>
          <w:sz w:val="24"/>
          <w:szCs w:val="24"/>
        </w:rPr>
        <w:t>Article 27(3) then provides that</w:t>
      </w:r>
      <w:r w:rsidR="009C0C08" w:rsidRPr="009C0C08">
        <w:rPr>
          <w:sz w:val="24"/>
          <w:szCs w:val="24"/>
        </w:rPr>
        <w:t>:</w:t>
      </w:r>
    </w:p>
    <w:p w14:paraId="600490B2" w14:textId="77777777" w:rsidR="009C0C08" w:rsidRDefault="009C0C08" w:rsidP="009C0C08">
      <w:pPr>
        <w:pStyle w:val="ListParagraph"/>
        <w:autoSpaceDE w:val="0"/>
        <w:autoSpaceDN w:val="0"/>
        <w:adjustRightInd w:val="0"/>
        <w:spacing w:after="0" w:line="480" w:lineRule="auto"/>
        <w:jc w:val="both"/>
      </w:pPr>
    </w:p>
    <w:p w14:paraId="4D6046B5" w14:textId="77777777" w:rsidR="009C0C08" w:rsidRDefault="009C0C08" w:rsidP="009C0C08">
      <w:pPr>
        <w:pStyle w:val="ListParagraph"/>
        <w:autoSpaceDE w:val="0"/>
        <w:autoSpaceDN w:val="0"/>
        <w:adjustRightInd w:val="0"/>
        <w:spacing w:after="0" w:line="480" w:lineRule="auto"/>
        <w:ind w:left="1418"/>
        <w:jc w:val="both"/>
        <w:rPr>
          <w:i/>
          <w:sz w:val="24"/>
          <w:szCs w:val="24"/>
        </w:rPr>
      </w:pPr>
      <w:r w:rsidRPr="009C0C08">
        <w:rPr>
          <w:i/>
          <w:sz w:val="24"/>
          <w:szCs w:val="24"/>
        </w:rPr>
        <w:t>“</w:t>
      </w:r>
      <w:r w:rsidR="000C085F" w:rsidRPr="009C0C08">
        <w:rPr>
          <w:i/>
          <w:sz w:val="24"/>
          <w:szCs w:val="24"/>
        </w:rPr>
        <w:t>For the purposes of appeals against, or reviews of, transfer decisions, Member States shall provide in their national law that:</w:t>
      </w:r>
    </w:p>
    <w:p w14:paraId="7725F567" w14:textId="77777777" w:rsidR="009C0C08" w:rsidRDefault="009C0C08" w:rsidP="009C0C08">
      <w:pPr>
        <w:pStyle w:val="ListParagraph"/>
        <w:autoSpaceDE w:val="0"/>
        <w:autoSpaceDN w:val="0"/>
        <w:adjustRightInd w:val="0"/>
        <w:spacing w:after="0" w:line="480" w:lineRule="auto"/>
        <w:ind w:left="1418"/>
        <w:jc w:val="both"/>
        <w:rPr>
          <w:i/>
          <w:sz w:val="24"/>
          <w:szCs w:val="24"/>
        </w:rPr>
      </w:pPr>
    </w:p>
    <w:p w14:paraId="0A6223E5" w14:textId="77777777" w:rsidR="009C0C08" w:rsidRDefault="000C085F" w:rsidP="009C0C08">
      <w:pPr>
        <w:pStyle w:val="ListParagraph"/>
        <w:autoSpaceDE w:val="0"/>
        <w:autoSpaceDN w:val="0"/>
        <w:adjustRightInd w:val="0"/>
        <w:spacing w:after="0" w:line="480" w:lineRule="auto"/>
        <w:ind w:left="1418"/>
        <w:jc w:val="both"/>
        <w:rPr>
          <w:i/>
          <w:sz w:val="24"/>
          <w:szCs w:val="24"/>
        </w:rPr>
      </w:pPr>
      <w:r w:rsidRPr="009C0C08">
        <w:rPr>
          <w:i/>
          <w:sz w:val="24"/>
          <w:szCs w:val="24"/>
        </w:rPr>
        <w:t xml:space="preserve"> (a) the appeal or review confers upon the person concerned the right to remain in the Member State concerned pending the outcome of the appeal or review; or </w:t>
      </w:r>
    </w:p>
    <w:p w14:paraId="309FDF4C" w14:textId="77777777" w:rsidR="009C0C08" w:rsidRDefault="009C0C08" w:rsidP="009C0C08">
      <w:pPr>
        <w:pStyle w:val="ListParagraph"/>
        <w:autoSpaceDE w:val="0"/>
        <w:autoSpaceDN w:val="0"/>
        <w:adjustRightInd w:val="0"/>
        <w:spacing w:after="0" w:line="480" w:lineRule="auto"/>
        <w:ind w:left="1418"/>
        <w:jc w:val="both"/>
        <w:rPr>
          <w:i/>
          <w:sz w:val="24"/>
          <w:szCs w:val="24"/>
        </w:rPr>
      </w:pPr>
    </w:p>
    <w:p w14:paraId="231A8254" w14:textId="5F2CB0ED" w:rsidR="009C0C08" w:rsidRDefault="000C085F" w:rsidP="009C0C08">
      <w:pPr>
        <w:pStyle w:val="ListParagraph"/>
        <w:autoSpaceDE w:val="0"/>
        <w:autoSpaceDN w:val="0"/>
        <w:adjustRightInd w:val="0"/>
        <w:spacing w:after="0" w:line="480" w:lineRule="auto"/>
        <w:ind w:left="1418"/>
        <w:jc w:val="both"/>
        <w:rPr>
          <w:i/>
          <w:sz w:val="24"/>
          <w:szCs w:val="24"/>
        </w:rPr>
      </w:pPr>
      <w:r w:rsidRPr="009C0C08">
        <w:rPr>
          <w:i/>
          <w:sz w:val="24"/>
          <w:szCs w:val="24"/>
        </w:rPr>
        <w:t>(b) the transfer is automatically suspended and such suspension lapses after a certain reasonable period of time, during which a court or a tribunal, after a close and rigorous scrutiny, shall have taken a decision whether to grant suspensive effect to an appeal or review;</w:t>
      </w:r>
      <w:r w:rsidR="00524295">
        <w:rPr>
          <w:i/>
          <w:sz w:val="24"/>
          <w:szCs w:val="24"/>
        </w:rPr>
        <w:t xml:space="preserve"> or</w:t>
      </w:r>
    </w:p>
    <w:p w14:paraId="2627190A" w14:textId="6BB939EC" w:rsidR="000C085F" w:rsidRDefault="000C085F" w:rsidP="009C0C08">
      <w:pPr>
        <w:pStyle w:val="ListParagraph"/>
        <w:autoSpaceDE w:val="0"/>
        <w:autoSpaceDN w:val="0"/>
        <w:adjustRightInd w:val="0"/>
        <w:spacing w:after="0" w:line="480" w:lineRule="auto"/>
        <w:ind w:left="1418"/>
        <w:jc w:val="both"/>
        <w:rPr>
          <w:i/>
          <w:sz w:val="24"/>
          <w:szCs w:val="24"/>
        </w:rPr>
      </w:pPr>
      <w:r w:rsidRPr="009C0C08">
        <w:rPr>
          <w:i/>
          <w:sz w:val="24"/>
          <w:szCs w:val="24"/>
        </w:rPr>
        <w:t xml:space="preserve"> (c) the person concerned has the opportunity to request within a reasonable period of time a court or tribunal to suspend the implementation of the transfer decision pending the outcome of his or her appeal or review. Member States shall ensure that an effective remedy is in place by suspending the transfer until </w:t>
      </w:r>
      <w:r w:rsidRPr="009C0C08">
        <w:rPr>
          <w:i/>
          <w:sz w:val="24"/>
          <w:szCs w:val="24"/>
        </w:rPr>
        <w:lastRenderedPageBreak/>
        <w:t xml:space="preserve">the decision on the first suspension request is taken. Any decision on whether to suspend the implementation of the transfer decision shall be taken within a reasonable period of time, while permitting a close and rigorous scrutiny of the suspension request. A decision not to suspend the implementation of the transfer decision shall state the reasons on which it is based. </w:t>
      </w:r>
      <w:r w:rsidR="009C0C08">
        <w:rPr>
          <w:i/>
          <w:sz w:val="24"/>
          <w:szCs w:val="24"/>
        </w:rPr>
        <w:t>“</w:t>
      </w:r>
    </w:p>
    <w:p w14:paraId="01D5A0DE" w14:textId="77777777" w:rsidR="001A1B25" w:rsidRPr="001A1B25" w:rsidRDefault="001A1B25" w:rsidP="001A1B25">
      <w:pPr>
        <w:pStyle w:val="ListParagraph"/>
        <w:autoSpaceDE w:val="0"/>
        <w:autoSpaceDN w:val="0"/>
        <w:adjustRightInd w:val="0"/>
        <w:spacing w:after="0" w:line="480" w:lineRule="auto"/>
        <w:jc w:val="both"/>
        <w:rPr>
          <w:rFonts w:cs="Times New Roman"/>
          <w:sz w:val="24"/>
          <w:szCs w:val="24"/>
          <w:u w:val="single"/>
        </w:rPr>
      </w:pPr>
    </w:p>
    <w:p w14:paraId="5E034EDE" w14:textId="4F8D6F29" w:rsidR="001A1B25" w:rsidRDefault="00224FA8" w:rsidP="006E03AB">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 xml:space="preserve">Article 17 of the Dublin III provides that </w:t>
      </w:r>
      <w:r w:rsidR="001A1B25" w:rsidRPr="001A1B25">
        <w:rPr>
          <w:rFonts w:cs="Times New Roman"/>
          <w:sz w:val="24"/>
          <w:szCs w:val="24"/>
        </w:rPr>
        <w:t>“</w:t>
      </w:r>
      <w:r>
        <w:rPr>
          <w:rFonts w:cs="Times New Roman"/>
          <w:i/>
          <w:sz w:val="24"/>
          <w:szCs w:val="24"/>
        </w:rPr>
        <w:t>[b]y</w:t>
      </w:r>
      <w:r w:rsidR="001A1B25" w:rsidRPr="001A1B25">
        <w:rPr>
          <w:rFonts w:cs="Times New Roman"/>
          <w:i/>
          <w:sz w:val="24"/>
          <w:szCs w:val="24"/>
        </w:rPr>
        <w:t xml:space="preserve"> way of derogation from Article 3(1)”,</w:t>
      </w:r>
      <w:r w:rsidR="001A1B25">
        <w:rPr>
          <w:rFonts w:cs="Times New Roman"/>
          <w:sz w:val="24"/>
          <w:szCs w:val="24"/>
        </w:rPr>
        <w:t xml:space="preserve"> </w:t>
      </w:r>
      <w:r>
        <w:rPr>
          <w:rFonts w:cs="Times New Roman"/>
          <w:sz w:val="24"/>
          <w:szCs w:val="24"/>
        </w:rPr>
        <w:t xml:space="preserve">any </w:t>
      </w:r>
      <w:r w:rsidR="001A1B25">
        <w:rPr>
          <w:rFonts w:cs="Times New Roman"/>
          <w:sz w:val="24"/>
          <w:szCs w:val="24"/>
        </w:rPr>
        <w:t xml:space="preserve">Member </w:t>
      </w:r>
      <w:r>
        <w:rPr>
          <w:rFonts w:cs="Times New Roman"/>
          <w:sz w:val="24"/>
          <w:szCs w:val="24"/>
        </w:rPr>
        <w:t>State “</w:t>
      </w:r>
      <w:r w:rsidRPr="00224FA8">
        <w:rPr>
          <w:rFonts w:cs="Times New Roman"/>
          <w:i/>
          <w:sz w:val="24"/>
          <w:szCs w:val="24"/>
        </w:rPr>
        <w:t>may decide to examine an application for international protection lodged with it by a third-country national or a stateless person, even if such examination is not its responsibility under the criteria laid down in this Regulation</w:t>
      </w:r>
      <w:r>
        <w:rPr>
          <w:rFonts w:cs="Times New Roman"/>
          <w:sz w:val="24"/>
          <w:szCs w:val="24"/>
        </w:rPr>
        <w:t xml:space="preserve">” . Provision to the same effect was made in Dublin II, Article 3(2). </w:t>
      </w:r>
      <w:r w:rsidR="00E86E82">
        <w:rPr>
          <w:rFonts w:cs="Times New Roman"/>
          <w:sz w:val="24"/>
          <w:szCs w:val="24"/>
        </w:rPr>
        <w:t>While recital (17) refers to humanitarian and compassionate grounds “</w:t>
      </w:r>
      <w:r w:rsidR="00E86E82" w:rsidRPr="00E86E82">
        <w:rPr>
          <w:rFonts w:cs="Times New Roman"/>
          <w:i/>
          <w:sz w:val="24"/>
          <w:szCs w:val="24"/>
        </w:rPr>
        <w:t xml:space="preserve">in particular”, </w:t>
      </w:r>
      <w:bookmarkStart w:id="4" w:name="_Hlk93132058"/>
      <w:r w:rsidR="006E03AB">
        <w:rPr>
          <w:rFonts w:cs="Times New Roman"/>
          <w:sz w:val="24"/>
          <w:szCs w:val="24"/>
        </w:rPr>
        <w:t>Article 17(1)</w:t>
      </w:r>
      <w:r w:rsidR="00EF09ED">
        <w:rPr>
          <w:rFonts w:cs="Times New Roman"/>
          <w:sz w:val="24"/>
          <w:szCs w:val="24"/>
        </w:rPr>
        <w:t xml:space="preserve"> is not so limited and is </w:t>
      </w:r>
      <w:r w:rsidR="006E03AB" w:rsidRPr="00E86E82">
        <w:rPr>
          <w:rFonts w:cs="Times New Roman"/>
          <w:i/>
          <w:sz w:val="24"/>
          <w:szCs w:val="24"/>
        </w:rPr>
        <w:t>“intended to allow each member state to decide, in its absolute discretion, on the basis of political, humanitarian or practical considerations, to examine an asyl</w:t>
      </w:r>
      <w:r w:rsidR="00E86E82" w:rsidRPr="00E86E82">
        <w:rPr>
          <w:rFonts w:cs="Times New Roman"/>
          <w:i/>
          <w:sz w:val="24"/>
          <w:szCs w:val="24"/>
        </w:rPr>
        <w:t>u</w:t>
      </w:r>
      <w:r w:rsidR="006E03AB" w:rsidRPr="00E86E82">
        <w:rPr>
          <w:rFonts w:cs="Times New Roman"/>
          <w:i/>
          <w:sz w:val="24"/>
          <w:szCs w:val="24"/>
        </w:rPr>
        <w:t xml:space="preserve">m </w:t>
      </w:r>
      <w:r w:rsidR="00E86E82" w:rsidRPr="00E86E82">
        <w:rPr>
          <w:rFonts w:cs="Times New Roman"/>
          <w:i/>
          <w:sz w:val="24"/>
          <w:szCs w:val="24"/>
        </w:rPr>
        <w:t>application even if it is not responsible under the criteria laid down</w:t>
      </w:r>
      <w:r w:rsidR="00E86E82">
        <w:rPr>
          <w:rFonts w:cs="Times New Roman"/>
          <w:sz w:val="24"/>
          <w:szCs w:val="24"/>
        </w:rPr>
        <w:t xml:space="preserve">” in Chapter III: </w:t>
      </w:r>
      <w:r w:rsidR="006E03AB">
        <w:rPr>
          <w:rFonts w:cs="Times New Roman"/>
          <w:sz w:val="24"/>
          <w:szCs w:val="24"/>
        </w:rPr>
        <w:t xml:space="preserve">  </w:t>
      </w:r>
      <w:r w:rsidR="00E86E82">
        <w:rPr>
          <w:rFonts w:cs="Times New Roman"/>
          <w:sz w:val="24"/>
          <w:szCs w:val="24"/>
        </w:rPr>
        <w:t xml:space="preserve">Case C-661/17 </w:t>
      </w:r>
      <w:r w:rsidR="00E86E82" w:rsidRPr="00E86E82">
        <w:rPr>
          <w:rFonts w:cs="Times New Roman"/>
          <w:i/>
          <w:sz w:val="24"/>
          <w:szCs w:val="24"/>
        </w:rPr>
        <w:t>MA v International Protection Appeals Tribunal</w:t>
      </w:r>
      <w:r w:rsidR="00E86E82">
        <w:rPr>
          <w:rFonts w:cs="Times New Roman"/>
          <w:sz w:val="24"/>
          <w:szCs w:val="24"/>
        </w:rPr>
        <w:t xml:space="preserve"> [2019] 1 WLR 4975</w:t>
      </w:r>
      <w:bookmarkEnd w:id="4"/>
      <w:r w:rsidR="00436DC3">
        <w:rPr>
          <w:rFonts w:cs="Times New Roman"/>
          <w:sz w:val="24"/>
          <w:szCs w:val="24"/>
        </w:rPr>
        <w:t xml:space="preserve"> (“</w:t>
      </w:r>
      <w:r w:rsidR="00436DC3" w:rsidRPr="00436DC3">
        <w:rPr>
          <w:rFonts w:cs="Times New Roman"/>
          <w:i/>
          <w:sz w:val="24"/>
          <w:szCs w:val="24"/>
        </w:rPr>
        <w:t>MA</w:t>
      </w:r>
      <w:r w:rsidR="00436DC3">
        <w:rPr>
          <w:rFonts w:cs="Times New Roman"/>
          <w:sz w:val="24"/>
          <w:szCs w:val="24"/>
        </w:rPr>
        <w:t>”)</w:t>
      </w:r>
    </w:p>
    <w:p w14:paraId="67D2DA82" w14:textId="77777777" w:rsidR="00EF09ED" w:rsidRDefault="00EF09ED" w:rsidP="00EF09ED">
      <w:pPr>
        <w:pStyle w:val="ListParagraph"/>
        <w:autoSpaceDE w:val="0"/>
        <w:autoSpaceDN w:val="0"/>
        <w:adjustRightInd w:val="0"/>
        <w:spacing w:after="0" w:line="480" w:lineRule="auto"/>
        <w:jc w:val="both"/>
        <w:rPr>
          <w:rFonts w:cs="Times New Roman"/>
          <w:sz w:val="24"/>
          <w:szCs w:val="24"/>
        </w:rPr>
      </w:pPr>
    </w:p>
    <w:p w14:paraId="47717F07" w14:textId="2B036A59" w:rsidR="001A1B25" w:rsidRPr="00834559" w:rsidRDefault="00EF09ED" w:rsidP="00834559">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As will become apparent, Articles 17(1) and Article 27</w:t>
      </w:r>
      <w:r w:rsidR="00834559">
        <w:rPr>
          <w:rFonts w:cs="Times New Roman"/>
          <w:sz w:val="24"/>
          <w:szCs w:val="24"/>
        </w:rPr>
        <w:t>, and their interaction,</w:t>
      </w:r>
      <w:r w:rsidRPr="00834559">
        <w:rPr>
          <w:rFonts w:cs="Times New Roman"/>
          <w:sz w:val="24"/>
          <w:szCs w:val="24"/>
        </w:rPr>
        <w:t xml:space="preserve"> are central to th</w:t>
      </w:r>
      <w:r w:rsidR="00D910DC">
        <w:rPr>
          <w:rFonts w:cs="Times New Roman"/>
          <w:sz w:val="24"/>
          <w:szCs w:val="24"/>
        </w:rPr>
        <w:t xml:space="preserve">e issues raised on this </w:t>
      </w:r>
      <w:r w:rsidRPr="00834559">
        <w:rPr>
          <w:rFonts w:cs="Times New Roman"/>
          <w:sz w:val="24"/>
          <w:szCs w:val="24"/>
        </w:rPr>
        <w:t xml:space="preserve">appeal. </w:t>
      </w:r>
    </w:p>
    <w:p w14:paraId="3312DB8C" w14:textId="77777777" w:rsidR="00EF09ED" w:rsidRDefault="00EF09ED" w:rsidP="00EF09ED">
      <w:pPr>
        <w:pStyle w:val="ListParagraph"/>
        <w:autoSpaceDE w:val="0"/>
        <w:autoSpaceDN w:val="0"/>
        <w:adjustRightInd w:val="0"/>
        <w:spacing w:after="0" w:line="480" w:lineRule="auto"/>
        <w:jc w:val="both"/>
        <w:rPr>
          <w:rFonts w:cs="Times New Roman"/>
          <w:sz w:val="24"/>
          <w:szCs w:val="24"/>
        </w:rPr>
      </w:pPr>
    </w:p>
    <w:p w14:paraId="298E12D8" w14:textId="10459976" w:rsidR="00834559" w:rsidRPr="009C0C08" w:rsidRDefault="00EF09ED" w:rsidP="00EA21FB">
      <w:pPr>
        <w:pStyle w:val="ListParagraph"/>
        <w:numPr>
          <w:ilvl w:val="0"/>
          <w:numId w:val="1"/>
        </w:numPr>
        <w:autoSpaceDE w:val="0"/>
        <w:autoSpaceDN w:val="0"/>
        <w:adjustRightInd w:val="0"/>
        <w:spacing w:after="0" w:line="480" w:lineRule="auto"/>
        <w:ind w:hanging="720"/>
        <w:jc w:val="both"/>
        <w:rPr>
          <w:rFonts w:cs="Times New Roman"/>
          <w:sz w:val="24"/>
          <w:szCs w:val="24"/>
        </w:rPr>
      </w:pPr>
      <w:r w:rsidRPr="009C0C08">
        <w:rPr>
          <w:rFonts w:cs="Times New Roman"/>
          <w:sz w:val="24"/>
          <w:szCs w:val="24"/>
        </w:rPr>
        <w:t xml:space="preserve">Before turning to consider the Irish Regulations which seek to give further effect to Dublin III (which, of course, has direct </w:t>
      </w:r>
      <w:r w:rsidR="00E64640">
        <w:rPr>
          <w:rFonts w:cs="Times New Roman"/>
          <w:sz w:val="24"/>
          <w:szCs w:val="24"/>
        </w:rPr>
        <w:t>application and binding effect</w:t>
      </w:r>
      <w:r w:rsidRPr="009C0C08">
        <w:rPr>
          <w:rFonts w:cs="Times New Roman"/>
          <w:sz w:val="24"/>
          <w:szCs w:val="24"/>
        </w:rPr>
        <w:t xml:space="preserve"> in accordance with Article 288 TFEU), </w:t>
      </w:r>
      <w:r w:rsidR="009C0C08" w:rsidRPr="009C0C08">
        <w:rPr>
          <w:rFonts w:cs="Times New Roman"/>
          <w:sz w:val="24"/>
          <w:szCs w:val="24"/>
        </w:rPr>
        <w:t xml:space="preserve">two further </w:t>
      </w:r>
      <w:r w:rsidRPr="009C0C08">
        <w:rPr>
          <w:rFonts w:cs="Times New Roman"/>
          <w:sz w:val="24"/>
          <w:szCs w:val="24"/>
        </w:rPr>
        <w:t>Dublin III provision</w:t>
      </w:r>
      <w:r w:rsidR="009C0C08" w:rsidRPr="009C0C08">
        <w:rPr>
          <w:rFonts w:cs="Times New Roman"/>
          <w:sz w:val="24"/>
          <w:szCs w:val="24"/>
        </w:rPr>
        <w:t>s</w:t>
      </w:r>
      <w:r w:rsidRPr="009C0C08">
        <w:rPr>
          <w:rFonts w:cs="Times New Roman"/>
          <w:sz w:val="24"/>
          <w:szCs w:val="24"/>
        </w:rPr>
        <w:t xml:space="preserve"> </w:t>
      </w:r>
      <w:r w:rsidR="00436DC3" w:rsidRPr="009C0C08">
        <w:rPr>
          <w:rFonts w:cs="Times New Roman"/>
          <w:sz w:val="24"/>
          <w:szCs w:val="24"/>
        </w:rPr>
        <w:t>should be</w:t>
      </w:r>
      <w:r w:rsidRPr="009C0C08">
        <w:rPr>
          <w:rFonts w:cs="Times New Roman"/>
          <w:sz w:val="24"/>
          <w:szCs w:val="24"/>
        </w:rPr>
        <w:t xml:space="preserve"> noticed.  </w:t>
      </w:r>
      <w:r w:rsidR="009C0C08" w:rsidRPr="009C0C08">
        <w:rPr>
          <w:rFonts w:cs="Times New Roman"/>
          <w:sz w:val="24"/>
          <w:szCs w:val="24"/>
        </w:rPr>
        <w:t xml:space="preserve">The first </w:t>
      </w:r>
      <w:r w:rsidR="009C0C08" w:rsidRPr="009C0C08">
        <w:rPr>
          <w:rFonts w:cs="Times New Roman"/>
          <w:sz w:val="24"/>
          <w:szCs w:val="24"/>
        </w:rPr>
        <w:lastRenderedPageBreak/>
        <w:t xml:space="preserve">is Article 20(1) which provides that the </w:t>
      </w:r>
      <w:r w:rsidR="009C0C08">
        <w:t>“</w:t>
      </w:r>
      <w:r w:rsidR="009C0C08" w:rsidRPr="009C0C08">
        <w:rPr>
          <w:i/>
          <w:sz w:val="24"/>
          <w:szCs w:val="24"/>
        </w:rPr>
        <w:t xml:space="preserve">process of determining the Member State responsible shall start as soon as an application for international protection is first lodged with a Member State.” </w:t>
      </w:r>
      <w:r w:rsidR="009C0C08" w:rsidRPr="009C0C08">
        <w:rPr>
          <w:sz w:val="24"/>
          <w:szCs w:val="24"/>
        </w:rPr>
        <w:t xml:space="preserve">The second is Article 29. </w:t>
      </w:r>
      <w:r w:rsidR="009C0C08">
        <w:rPr>
          <w:sz w:val="24"/>
          <w:szCs w:val="24"/>
        </w:rPr>
        <w:t>A</w:t>
      </w:r>
      <w:r w:rsidRPr="009C0C08">
        <w:rPr>
          <w:rFonts w:cs="Times New Roman"/>
          <w:sz w:val="24"/>
          <w:szCs w:val="24"/>
        </w:rPr>
        <w:t xml:space="preserve">rticle 29(1) provides that the transfer of the person concerned from the requesting Member State to the Member State responsible shall be carried out </w:t>
      </w:r>
      <w:r w:rsidRPr="009C0C08">
        <w:rPr>
          <w:rFonts w:cs="Times New Roman"/>
          <w:i/>
          <w:sz w:val="24"/>
          <w:szCs w:val="24"/>
        </w:rPr>
        <w:t>“as soon as practically possible, and at the latest within six months of acceptance of the request by another Member State to take</w:t>
      </w:r>
      <w:r w:rsidR="00553612" w:rsidRPr="009C0C08">
        <w:rPr>
          <w:rFonts w:cs="Times New Roman"/>
          <w:i/>
          <w:sz w:val="24"/>
          <w:szCs w:val="24"/>
        </w:rPr>
        <w:t xml:space="preserve"> charge or to</w:t>
      </w:r>
      <w:r w:rsidR="00813681">
        <w:rPr>
          <w:rFonts w:cs="Times New Roman"/>
          <w:i/>
          <w:sz w:val="24"/>
          <w:szCs w:val="24"/>
        </w:rPr>
        <w:t xml:space="preserve"> take</w:t>
      </w:r>
      <w:r w:rsidRPr="009C0C08">
        <w:rPr>
          <w:rFonts w:cs="Times New Roman"/>
          <w:i/>
          <w:sz w:val="24"/>
          <w:szCs w:val="24"/>
        </w:rPr>
        <w:t xml:space="preserve"> back </w:t>
      </w:r>
      <w:r w:rsidR="00553612" w:rsidRPr="009C0C08">
        <w:rPr>
          <w:rFonts w:cs="Times New Roman"/>
          <w:i/>
          <w:sz w:val="24"/>
          <w:szCs w:val="24"/>
        </w:rPr>
        <w:t>the person concerned or of the final decision on an appeal or review where there is a suspensive effect in accordance with Article 27(3)</w:t>
      </w:r>
      <w:r w:rsidR="00F52F1B">
        <w:rPr>
          <w:rFonts w:cs="Times New Roman"/>
          <w:i/>
          <w:sz w:val="24"/>
          <w:szCs w:val="24"/>
        </w:rPr>
        <w:t xml:space="preserve">.” </w:t>
      </w:r>
      <w:r w:rsidR="00553612" w:rsidRPr="009C0C08">
        <w:rPr>
          <w:rFonts w:cs="Times New Roman"/>
          <w:sz w:val="24"/>
          <w:szCs w:val="24"/>
        </w:rPr>
        <w:t>Article 2</w:t>
      </w:r>
      <w:r w:rsidR="009C0C08">
        <w:rPr>
          <w:rFonts w:cs="Times New Roman"/>
          <w:sz w:val="24"/>
          <w:szCs w:val="24"/>
        </w:rPr>
        <w:t>9</w:t>
      </w:r>
      <w:r w:rsidR="00553612" w:rsidRPr="009C0C08">
        <w:rPr>
          <w:rFonts w:cs="Times New Roman"/>
          <w:sz w:val="24"/>
          <w:szCs w:val="24"/>
        </w:rPr>
        <w:t>(2) then provides that if the transfer does not take place within that six month limit, the Member State responsible is relieved of its obligations and responsibility transfers to the requesting Member State. While Article 2</w:t>
      </w:r>
      <w:r w:rsidR="009C0C08">
        <w:rPr>
          <w:rFonts w:cs="Times New Roman"/>
          <w:sz w:val="24"/>
          <w:szCs w:val="24"/>
        </w:rPr>
        <w:t>9</w:t>
      </w:r>
      <w:r w:rsidR="00553612" w:rsidRPr="009C0C08">
        <w:rPr>
          <w:rFonts w:cs="Times New Roman"/>
          <w:sz w:val="24"/>
          <w:szCs w:val="24"/>
        </w:rPr>
        <w:t xml:space="preserve">(2) identifies certain limited circumstances in which that time limit may be extended, none has any relevance </w:t>
      </w:r>
      <w:r w:rsidR="00834559" w:rsidRPr="009C0C08">
        <w:rPr>
          <w:rFonts w:cs="Times New Roman"/>
          <w:sz w:val="24"/>
          <w:szCs w:val="24"/>
        </w:rPr>
        <w:t>to the circumstances here</w:t>
      </w:r>
      <w:r w:rsidR="00553612" w:rsidRPr="009C0C08">
        <w:rPr>
          <w:rFonts w:cs="Times New Roman"/>
          <w:sz w:val="24"/>
          <w:szCs w:val="24"/>
        </w:rPr>
        <w:t xml:space="preserve">. </w:t>
      </w:r>
      <w:r w:rsidR="00834559" w:rsidRPr="009C0C08">
        <w:rPr>
          <w:rFonts w:cs="Times New Roman"/>
          <w:sz w:val="24"/>
          <w:szCs w:val="24"/>
        </w:rPr>
        <w:t xml:space="preserve">At the hearing of this appeal, the Court was </w:t>
      </w:r>
      <w:r w:rsidR="009C0C08">
        <w:rPr>
          <w:rFonts w:cs="Times New Roman"/>
          <w:sz w:val="24"/>
          <w:szCs w:val="24"/>
        </w:rPr>
        <w:t>informed</w:t>
      </w:r>
      <w:r w:rsidR="00834559" w:rsidRPr="009C0C08">
        <w:rPr>
          <w:rFonts w:cs="Times New Roman"/>
          <w:sz w:val="24"/>
          <w:szCs w:val="24"/>
        </w:rPr>
        <w:t xml:space="preserve"> that the</w:t>
      </w:r>
      <w:r w:rsidR="00553612" w:rsidRPr="009C0C08">
        <w:rPr>
          <w:rFonts w:cs="Times New Roman"/>
          <w:sz w:val="24"/>
          <w:szCs w:val="24"/>
        </w:rPr>
        <w:t xml:space="preserve"> </w:t>
      </w:r>
      <w:r w:rsidR="00834559" w:rsidRPr="009C0C08">
        <w:rPr>
          <w:rFonts w:cs="Times New Roman"/>
          <w:sz w:val="24"/>
          <w:szCs w:val="24"/>
        </w:rPr>
        <w:t xml:space="preserve">six month time limit expires at midnight on next Friday (21 January 2022). </w:t>
      </w:r>
    </w:p>
    <w:p w14:paraId="5C89499A" w14:textId="77777777" w:rsidR="00834559" w:rsidRDefault="00834559" w:rsidP="00834559">
      <w:pPr>
        <w:pStyle w:val="ListParagraph"/>
        <w:autoSpaceDE w:val="0"/>
        <w:autoSpaceDN w:val="0"/>
        <w:adjustRightInd w:val="0"/>
        <w:spacing w:after="0" w:line="480" w:lineRule="auto"/>
        <w:jc w:val="both"/>
        <w:rPr>
          <w:rFonts w:cs="Times New Roman"/>
          <w:sz w:val="24"/>
          <w:szCs w:val="24"/>
        </w:rPr>
      </w:pPr>
    </w:p>
    <w:p w14:paraId="3994ADEA" w14:textId="16DD021C" w:rsidR="00F82C16" w:rsidRDefault="00834559" w:rsidP="00F82C16">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Regulations have been made from time to time under section 3 of the European Communities Act 1972 for the purpose of giving further effect to Dublin III. The current Regulations are the European Union (Dublin System) Regulations 2018 (SI No 62/2018)</w:t>
      </w:r>
      <w:r w:rsidR="002B640D">
        <w:rPr>
          <w:rFonts w:cs="Times New Roman"/>
          <w:sz w:val="24"/>
          <w:szCs w:val="24"/>
        </w:rPr>
        <w:t xml:space="preserve"> (“</w:t>
      </w:r>
      <w:r w:rsidR="002B640D" w:rsidRPr="002B640D">
        <w:rPr>
          <w:rFonts w:cs="Times New Roman"/>
          <w:i/>
          <w:sz w:val="24"/>
          <w:szCs w:val="24"/>
        </w:rPr>
        <w:t>the 2018 Regulations</w:t>
      </w:r>
      <w:r w:rsidR="002B640D">
        <w:rPr>
          <w:rFonts w:cs="Times New Roman"/>
          <w:sz w:val="24"/>
          <w:szCs w:val="24"/>
        </w:rPr>
        <w:t>”)</w:t>
      </w:r>
      <w:r>
        <w:rPr>
          <w:rFonts w:cs="Times New Roman"/>
          <w:sz w:val="24"/>
          <w:szCs w:val="24"/>
        </w:rPr>
        <w:t xml:space="preserve">. Article </w:t>
      </w:r>
      <w:r w:rsidR="002B640D">
        <w:rPr>
          <w:rFonts w:cs="Times New Roman"/>
          <w:sz w:val="24"/>
          <w:szCs w:val="24"/>
        </w:rPr>
        <w:t>3 of the 2018 Regulations confers on international protection officers appointed under the International Protection Act 2015</w:t>
      </w:r>
      <w:r w:rsidR="00DA6BDA">
        <w:rPr>
          <w:rFonts w:cs="Times New Roman"/>
          <w:sz w:val="24"/>
          <w:szCs w:val="24"/>
        </w:rPr>
        <w:t xml:space="preserve"> </w:t>
      </w:r>
      <w:r w:rsidR="00DA6BDA" w:rsidRPr="00DA6BDA">
        <w:rPr>
          <w:rFonts w:cs="Times New Roman"/>
          <w:i/>
          <w:sz w:val="24"/>
          <w:szCs w:val="24"/>
        </w:rPr>
        <w:t>(“the 2015 Act</w:t>
      </w:r>
      <w:r w:rsidR="00DA6BDA">
        <w:rPr>
          <w:rFonts w:cs="Times New Roman"/>
          <w:sz w:val="24"/>
          <w:szCs w:val="24"/>
        </w:rPr>
        <w:t>”) collectively constituting the International Protection Office (the “</w:t>
      </w:r>
      <w:r w:rsidR="00DA6BDA" w:rsidRPr="00DA6BDA">
        <w:rPr>
          <w:rFonts w:cs="Times New Roman"/>
          <w:i/>
          <w:sz w:val="24"/>
          <w:szCs w:val="24"/>
        </w:rPr>
        <w:t>IPO</w:t>
      </w:r>
      <w:r w:rsidR="00DA6BDA">
        <w:rPr>
          <w:rFonts w:cs="Times New Roman"/>
          <w:sz w:val="24"/>
          <w:szCs w:val="24"/>
        </w:rPr>
        <w:t xml:space="preserve">”), </w:t>
      </w:r>
      <w:r w:rsidR="002B640D">
        <w:rPr>
          <w:rFonts w:cs="Times New Roman"/>
          <w:sz w:val="24"/>
          <w:szCs w:val="24"/>
        </w:rPr>
        <w:t xml:space="preserve"> </w:t>
      </w:r>
      <w:bookmarkStart w:id="5" w:name="_Hlk93061972"/>
      <w:r w:rsidR="002B640D">
        <w:rPr>
          <w:rFonts w:cs="Times New Roman"/>
          <w:sz w:val="24"/>
          <w:szCs w:val="24"/>
        </w:rPr>
        <w:t>the function</w:t>
      </w:r>
      <w:r w:rsidR="002837E1">
        <w:rPr>
          <w:rFonts w:cs="Times New Roman"/>
          <w:sz w:val="24"/>
          <w:szCs w:val="24"/>
        </w:rPr>
        <w:t>s</w:t>
      </w:r>
      <w:r w:rsidR="002B640D">
        <w:rPr>
          <w:rFonts w:cs="Times New Roman"/>
          <w:sz w:val="24"/>
          <w:szCs w:val="24"/>
        </w:rPr>
        <w:t xml:space="preserve"> (</w:t>
      </w:r>
      <w:r w:rsidR="002B640D" w:rsidRPr="002B640D">
        <w:rPr>
          <w:rFonts w:cs="Times New Roman"/>
          <w:i/>
          <w:sz w:val="24"/>
          <w:szCs w:val="24"/>
        </w:rPr>
        <w:t>inter alia</w:t>
      </w:r>
      <w:r w:rsidR="002B640D">
        <w:rPr>
          <w:rFonts w:cs="Times New Roman"/>
          <w:sz w:val="24"/>
          <w:szCs w:val="24"/>
        </w:rPr>
        <w:t xml:space="preserve">) of </w:t>
      </w:r>
      <w:r w:rsidR="002837E1">
        <w:rPr>
          <w:rFonts w:cs="Times New Roman"/>
          <w:sz w:val="24"/>
          <w:szCs w:val="24"/>
        </w:rPr>
        <w:t>determining the Member State responsible under the criteria in Dublin III</w:t>
      </w:r>
      <w:bookmarkEnd w:id="5"/>
      <w:r w:rsidR="002837E1">
        <w:rPr>
          <w:rFonts w:cs="Times New Roman"/>
          <w:sz w:val="24"/>
          <w:szCs w:val="24"/>
        </w:rPr>
        <w:t xml:space="preserve">, Chapter III and of </w:t>
      </w:r>
      <w:r w:rsidR="002B640D">
        <w:rPr>
          <w:rFonts w:cs="Times New Roman"/>
          <w:sz w:val="24"/>
          <w:szCs w:val="24"/>
        </w:rPr>
        <w:t>making transfer decisions</w:t>
      </w:r>
      <w:r w:rsidR="00610A42">
        <w:rPr>
          <w:rFonts w:cs="Times New Roman"/>
          <w:sz w:val="24"/>
          <w:szCs w:val="24"/>
        </w:rPr>
        <w:t xml:space="preserve">/ </w:t>
      </w:r>
      <w:r w:rsidR="002B640D">
        <w:rPr>
          <w:rFonts w:cs="Times New Roman"/>
          <w:sz w:val="24"/>
          <w:szCs w:val="24"/>
        </w:rPr>
        <w:t>Article 6 provides for an appeal against a transfer decision</w:t>
      </w:r>
      <w:r w:rsidR="00610A42">
        <w:rPr>
          <w:rFonts w:cs="Times New Roman"/>
          <w:sz w:val="24"/>
          <w:szCs w:val="24"/>
        </w:rPr>
        <w:t xml:space="preserve"> (defined in Article 2(2) as </w:t>
      </w:r>
      <w:r w:rsidR="00610A42" w:rsidRPr="00610A42">
        <w:rPr>
          <w:rFonts w:cs="Times New Roman"/>
          <w:i/>
          <w:sz w:val="24"/>
          <w:szCs w:val="24"/>
        </w:rPr>
        <w:t xml:space="preserve">“a decision </w:t>
      </w:r>
      <w:r w:rsidR="00610A42" w:rsidRPr="00610A42">
        <w:rPr>
          <w:rFonts w:cs="Times New Roman"/>
          <w:i/>
          <w:sz w:val="24"/>
          <w:szCs w:val="24"/>
        </w:rPr>
        <w:lastRenderedPageBreak/>
        <w:t>made by an international protection officer to transfer</w:t>
      </w:r>
      <w:r w:rsidR="00610A42">
        <w:rPr>
          <w:rFonts w:cs="Times New Roman"/>
          <w:sz w:val="24"/>
          <w:szCs w:val="24"/>
        </w:rPr>
        <w:t xml:space="preserve">..”) </w:t>
      </w:r>
      <w:r w:rsidR="002B640D">
        <w:rPr>
          <w:rFonts w:cs="Times New Roman"/>
          <w:sz w:val="24"/>
          <w:szCs w:val="24"/>
        </w:rPr>
        <w:t>to the International Protection Appeals Tribunal</w:t>
      </w:r>
      <w:r w:rsidR="00256378">
        <w:rPr>
          <w:rFonts w:cs="Times New Roman"/>
          <w:sz w:val="24"/>
          <w:szCs w:val="24"/>
        </w:rPr>
        <w:t xml:space="preserve"> </w:t>
      </w:r>
      <w:r w:rsidR="002B640D">
        <w:rPr>
          <w:rFonts w:cs="Times New Roman"/>
          <w:sz w:val="24"/>
          <w:szCs w:val="24"/>
        </w:rPr>
        <w:t>established under Part 10 of the 2015</w:t>
      </w:r>
      <w:r w:rsidR="002837E1">
        <w:rPr>
          <w:rFonts w:cs="Times New Roman"/>
          <w:sz w:val="24"/>
          <w:szCs w:val="24"/>
        </w:rPr>
        <w:t xml:space="preserve"> (“</w:t>
      </w:r>
      <w:r w:rsidR="002837E1" w:rsidRPr="002837E1">
        <w:rPr>
          <w:rFonts w:cs="Times New Roman"/>
          <w:i/>
          <w:sz w:val="24"/>
          <w:szCs w:val="24"/>
        </w:rPr>
        <w:t>IPAT</w:t>
      </w:r>
      <w:r w:rsidR="002837E1">
        <w:rPr>
          <w:rFonts w:cs="Times New Roman"/>
          <w:sz w:val="24"/>
          <w:szCs w:val="24"/>
        </w:rPr>
        <w:t>”</w:t>
      </w:r>
      <w:r w:rsidR="00256378">
        <w:rPr>
          <w:rFonts w:cs="Times New Roman"/>
          <w:sz w:val="24"/>
          <w:szCs w:val="24"/>
        </w:rPr>
        <w:t>). Where such an appeal is brought, the person subject to the transfer decision is entitled to remain in the State pending the outcome of the appeal: Article 8(1).</w:t>
      </w:r>
      <w:r w:rsidR="009C0C08">
        <w:rPr>
          <w:rFonts w:cs="Times New Roman"/>
          <w:sz w:val="24"/>
          <w:szCs w:val="24"/>
        </w:rPr>
        <w:t xml:space="preserve"> Article 8(1) clearly reflects the provisions of Article 27(3)(c) of Dublin III.</w:t>
      </w:r>
    </w:p>
    <w:p w14:paraId="223F6A9B" w14:textId="77777777" w:rsidR="00F82C16" w:rsidRDefault="00F82C16" w:rsidP="00F82C16">
      <w:pPr>
        <w:pStyle w:val="ListParagraph"/>
        <w:autoSpaceDE w:val="0"/>
        <w:autoSpaceDN w:val="0"/>
        <w:adjustRightInd w:val="0"/>
        <w:spacing w:after="0" w:line="480" w:lineRule="auto"/>
        <w:jc w:val="both"/>
        <w:rPr>
          <w:rFonts w:cs="Times New Roman"/>
          <w:sz w:val="24"/>
          <w:szCs w:val="24"/>
        </w:rPr>
      </w:pPr>
    </w:p>
    <w:p w14:paraId="6791D5B4" w14:textId="424423BE" w:rsidR="00F82C16" w:rsidRPr="002837E1" w:rsidRDefault="00F82C16" w:rsidP="00F82C16">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heme="minorBidi"/>
          <w:color w:val="auto"/>
          <w:sz w:val="24"/>
          <w:szCs w:val="22"/>
        </w:rPr>
        <w:t xml:space="preserve">As I explained in my judgment in </w:t>
      </w:r>
      <w:r w:rsidRPr="00F82C16">
        <w:rPr>
          <w:rFonts w:cstheme="minorBidi"/>
          <w:i/>
          <w:color w:val="auto"/>
          <w:sz w:val="24"/>
          <w:szCs w:val="22"/>
        </w:rPr>
        <w:t>TAO v Minister for Justice and Equality</w:t>
      </w:r>
      <w:r>
        <w:rPr>
          <w:rFonts w:cstheme="minorBidi"/>
          <w:color w:val="auto"/>
          <w:sz w:val="24"/>
          <w:szCs w:val="22"/>
        </w:rPr>
        <w:t xml:space="preserve"> [2021] IECA 293 (Noonan and Ni Raifeartaigh JJ concurring), n</w:t>
      </w:r>
      <w:r w:rsidRPr="00F82C16">
        <w:rPr>
          <w:rFonts w:cstheme="minorBidi"/>
          <w:color w:val="auto"/>
          <w:sz w:val="24"/>
          <w:szCs w:val="22"/>
        </w:rPr>
        <w:t>either the 2018 Regulations nor the Regulations that it replaced expressly address Article 17</w:t>
      </w:r>
      <w:r>
        <w:rPr>
          <w:rFonts w:cstheme="minorBidi"/>
          <w:color w:val="auto"/>
          <w:sz w:val="24"/>
          <w:szCs w:val="22"/>
        </w:rPr>
        <w:t>(1)</w:t>
      </w:r>
      <w:r w:rsidRPr="00F82C16">
        <w:rPr>
          <w:rFonts w:cstheme="minorBidi"/>
          <w:color w:val="auto"/>
          <w:sz w:val="24"/>
          <w:szCs w:val="22"/>
        </w:rPr>
        <w:t xml:space="preserve"> or </w:t>
      </w:r>
      <w:r w:rsidR="00610A42">
        <w:rPr>
          <w:rFonts w:cstheme="minorBidi"/>
          <w:color w:val="auto"/>
          <w:sz w:val="24"/>
          <w:szCs w:val="22"/>
        </w:rPr>
        <w:t>specify</w:t>
      </w:r>
      <w:r w:rsidRPr="00F82C16">
        <w:rPr>
          <w:rFonts w:cstheme="minorBidi"/>
          <w:color w:val="auto"/>
          <w:sz w:val="24"/>
          <w:szCs w:val="22"/>
        </w:rPr>
        <w:t xml:space="preserve"> the person or body by whom the option or discretion </w:t>
      </w:r>
      <w:r>
        <w:rPr>
          <w:rFonts w:cstheme="minorBidi"/>
          <w:color w:val="auto"/>
          <w:sz w:val="24"/>
          <w:szCs w:val="22"/>
        </w:rPr>
        <w:t xml:space="preserve">provided for by </w:t>
      </w:r>
      <w:r w:rsidRPr="00F82C16">
        <w:rPr>
          <w:rFonts w:cstheme="minorBidi"/>
          <w:color w:val="auto"/>
          <w:sz w:val="24"/>
          <w:szCs w:val="22"/>
        </w:rPr>
        <w:t>it was exercisable in the State</w:t>
      </w:r>
      <w:r w:rsidR="008B19F5">
        <w:rPr>
          <w:rFonts w:cstheme="minorBidi"/>
          <w:color w:val="auto"/>
          <w:sz w:val="24"/>
          <w:szCs w:val="22"/>
        </w:rPr>
        <w:t xml:space="preserve"> and </w:t>
      </w:r>
      <w:r w:rsidR="002837E1" w:rsidRPr="00F82C16">
        <w:rPr>
          <w:rFonts w:cstheme="minorBidi"/>
          <w:color w:val="auto"/>
          <w:sz w:val="24"/>
          <w:szCs w:val="22"/>
        </w:rPr>
        <w:t>th</w:t>
      </w:r>
      <w:r w:rsidR="002837E1">
        <w:rPr>
          <w:rFonts w:cstheme="minorBidi"/>
          <w:color w:val="auto"/>
          <w:sz w:val="24"/>
          <w:szCs w:val="22"/>
        </w:rPr>
        <w:t xml:space="preserve">ere </w:t>
      </w:r>
      <w:r w:rsidR="002837E1" w:rsidRPr="00F82C16">
        <w:rPr>
          <w:rFonts w:cstheme="minorBidi"/>
          <w:color w:val="auto"/>
          <w:sz w:val="24"/>
          <w:szCs w:val="22"/>
        </w:rPr>
        <w:t xml:space="preserve">was significant uncertainty </w:t>
      </w:r>
      <w:r w:rsidR="002837E1">
        <w:rPr>
          <w:rFonts w:cstheme="minorBidi"/>
          <w:color w:val="auto"/>
          <w:sz w:val="24"/>
          <w:szCs w:val="22"/>
        </w:rPr>
        <w:t>as to the correct position</w:t>
      </w:r>
      <w:r w:rsidR="008B19F5">
        <w:rPr>
          <w:rFonts w:cstheme="minorBidi"/>
          <w:color w:val="auto"/>
          <w:sz w:val="24"/>
          <w:szCs w:val="22"/>
        </w:rPr>
        <w:t xml:space="preserve"> which was definitely resolved only by </w:t>
      </w:r>
      <w:r w:rsidRPr="00F82C16">
        <w:rPr>
          <w:rFonts w:cstheme="minorBidi"/>
          <w:color w:val="auto"/>
          <w:sz w:val="24"/>
          <w:szCs w:val="22"/>
        </w:rPr>
        <w:t xml:space="preserve">the decision of the Supreme Court in </w:t>
      </w:r>
      <w:bookmarkStart w:id="6" w:name="_Hlk84592216"/>
      <w:r w:rsidRPr="00F82C16">
        <w:rPr>
          <w:rFonts w:cstheme="minorBidi"/>
          <w:i/>
          <w:color w:val="auto"/>
          <w:sz w:val="24"/>
          <w:szCs w:val="22"/>
        </w:rPr>
        <w:t xml:space="preserve">NVU </w:t>
      </w:r>
      <w:bookmarkEnd w:id="6"/>
      <w:r w:rsidRPr="00F82C16">
        <w:rPr>
          <w:rFonts w:cstheme="minorBidi"/>
          <w:i/>
          <w:color w:val="auto"/>
          <w:sz w:val="24"/>
          <w:szCs w:val="22"/>
        </w:rPr>
        <w:t xml:space="preserve">v Refugee Appeals Tribunal </w:t>
      </w:r>
      <w:r w:rsidRPr="00F82C16">
        <w:rPr>
          <w:rFonts w:cstheme="minorBidi"/>
          <w:color w:val="auto"/>
          <w:sz w:val="24"/>
          <w:szCs w:val="22"/>
        </w:rPr>
        <w:t>[2020] IESC 46</w:t>
      </w:r>
      <w:r w:rsidR="008B19F5">
        <w:rPr>
          <w:rFonts w:cstheme="minorBidi"/>
          <w:color w:val="auto"/>
          <w:sz w:val="24"/>
          <w:szCs w:val="22"/>
        </w:rPr>
        <w:t xml:space="preserve">. For the reasons set out in the judgment of Charleton J (with which Clarke CJ and O’ Donnell, MacMenamin and O’ Malley JJ agreed), the court held that </w:t>
      </w:r>
      <w:r w:rsidR="002837E1">
        <w:rPr>
          <w:rFonts w:cstheme="minorBidi"/>
          <w:color w:val="auto"/>
          <w:sz w:val="24"/>
          <w:szCs w:val="22"/>
        </w:rPr>
        <w:t>that the discretion was exercisable by, and only by, the Minister for Justice and Equality (“</w:t>
      </w:r>
      <w:r w:rsidR="002837E1" w:rsidRPr="002837E1">
        <w:rPr>
          <w:rFonts w:cstheme="minorBidi"/>
          <w:i/>
          <w:color w:val="auto"/>
          <w:sz w:val="24"/>
          <w:szCs w:val="22"/>
        </w:rPr>
        <w:t>the Minister</w:t>
      </w:r>
      <w:r w:rsidR="002837E1">
        <w:rPr>
          <w:rFonts w:cstheme="minorBidi"/>
          <w:color w:val="auto"/>
          <w:sz w:val="24"/>
          <w:szCs w:val="22"/>
        </w:rPr>
        <w:t xml:space="preserve">”). The decision in </w:t>
      </w:r>
      <w:r w:rsidR="002837E1" w:rsidRPr="002837E1">
        <w:rPr>
          <w:rFonts w:cstheme="minorBidi"/>
          <w:i/>
          <w:color w:val="auto"/>
          <w:sz w:val="24"/>
          <w:szCs w:val="22"/>
        </w:rPr>
        <w:t>NVU</w:t>
      </w:r>
      <w:r w:rsidR="002837E1">
        <w:rPr>
          <w:rFonts w:cstheme="minorBidi"/>
          <w:color w:val="auto"/>
          <w:sz w:val="24"/>
          <w:szCs w:val="22"/>
        </w:rPr>
        <w:t xml:space="preserve"> was given on 24 July 2020.</w:t>
      </w:r>
    </w:p>
    <w:p w14:paraId="1E19936A" w14:textId="77777777" w:rsidR="002837E1" w:rsidRPr="00F82C16" w:rsidRDefault="002837E1" w:rsidP="002837E1">
      <w:pPr>
        <w:pStyle w:val="ListParagraph"/>
        <w:autoSpaceDE w:val="0"/>
        <w:autoSpaceDN w:val="0"/>
        <w:adjustRightInd w:val="0"/>
        <w:spacing w:after="0" w:line="480" w:lineRule="auto"/>
        <w:jc w:val="both"/>
        <w:rPr>
          <w:rFonts w:cs="Times New Roman"/>
          <w:sz w:val="24"/>
          <w:szCs w:val="24"/>
        </w:rPr>
      </w:pPr>
    </w:p>
    <w:p w14:paraId="0F07F7F7" w14:textId="62E15CED" w:rsidR="00256378" w:rsidRDefault="002837E1" w:rsidP="00F82C16">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A</w:t>
      </w:r>
      <w:r w:rsidR="008B19F5">
        <w:rPr>
          <w:rFonts w:cs="Times New Roman"/>
          <w:sz w:val="24"/>
          <w:szCs w:val="24"/>
        </w:rPr>
        <w:t>ccordingly,</w:t>
      </w:r>
      <w:r>
        <w:rPr>
          <w:rFonts w:cs="Times New Roman"/>
          <w:sz w:val="24"/>
          <w:szCs w:val="24"/>
        </w:rPr>
        <w:t xml:space="preserve"> </w:t>
      </w:r>
      <w:r w:rsidR="008B19F5">
        <w:rPr>
          <w:rFonts w:cs="Times New Roman"/>
          <w:sz w:val="24"/>
          <w:szCs w:val="24"/>
        </w:rPr>
        <w:t>as a</w:t>
      </w:r>
      <w:r>
        <w:rPr>
          <w:rFonts w:cs="Times New Roman"/>
          <w:sz w:val="24"/>
          <w:szCs w:val="24"/>
        </w:rPr>
        <w:t xml:space="preserve"> matter of Irish law</w:t>
      </w:r>
      <w:r w:rsidR="008B19F5">
        <w:rPr>
          <w:rFonts w:cs="Times New Roman"/>
          <w:sz w:val="24"/>
          <w:szCs w:val="24"/>
        </w:rPr>
        <w:t>,</w:t>
      </w:r>
      <w:r w:rsidR="00DA6BDA">
        <w:rPr>
          <w:rFonts w:cs="Times New Roman"/>
          <w:sz w:val="24"/>
          <w:szCs w:val="24"/>
        </w:rPr>
        <w:t xml:space="preserve"> the IPO is</w:t>
      </w:r>
      <w:r w:rsidR="008B19F5">
        <w:rPr>
          <w:rFonts w:cs="Times New Roman"/>
          <w:sz w:val="24"/>
          <w:szCs w:val="24"/>
        </w:rPr>
        <w:t xml:space="preserve"> responsible for determining the Member State responsible under the criteria in Dublin III</w:t>
      </w:r>
      <w:r w:rsidR="00A92179">
        <w:rPr>
          <w:rFonts w:cs="Times New Roman"/>
          <w:sz w:val="24"/>
          <w:szCs w:val="24"/>
        </w:rPr>
        <w:t xml:space="preserve"> whereas the exercise of the Article 17(1)</w:t>
      </w:r>
      <w:r w:rsidR="00A517D3">
        <w:rPr>
          <w:rFonts w:cs="Times New Roman"/>
          <w:sz w:val="24"/>
          <w:szCs w:val="24"/>
        </w:rPr>
        <w:t xml:space="preserve"> discretion</w:t>
      </w:r>
      <w:r w:rsidR="00A92179">
        <w:rPr>
          <w:rFonts w:cs="Times New Roman"/>
          <w:sz w:val="24"/>
          <w:szCs w:val="24"/>
        </w:rPr>
        <w:t xml:space="preserve"> is a matter for the Minister. </w:t>
      </w:r>
      <w:r w:rsidR="00524295">
        <w:rPr>
          <w:rFonts w:cs="Times New Roman"/>
          <w:sz w:val="24"/>
          <w:szCs w:val="24"/>
        </w:rPr>
        <w:t>Dublin III permits s</w:t>
      </w:r>
      <w:r w:rsidR="00DA6BDA">
        <w:rPr>
          <w:rFonts w:cs="Times New Roman"/>
          <w:sz w:val="24"/>
          <w:szCs w:val="24"/>
        </w:rPr>
        <w:t>uch a</w:t>
      </w:r>
      <w:r w:rsidR="00A92179">
        <w:rPr>
          <w:rFonts w:cs="Times New Roman"/>
          <w:sz w:val="24"/>
          <w:szCs w:val="24"/>
        </w:rPr>
        <w:t xml:space="preserve"> division of function:  </w:t>
      </w:r>
      <w:r w:rsidR="00A92179" w:rsidRPr="00A92179">
        <w:rPr>
          <w:rFonts w:cs="Times New Roman"/>
          <w:i/>
          <w:sz w:val="24"/>
          <w:szCs w:val="24"/>
        </w:rPr>
        <w:t>MA</w:t>
      </w:r>
      <w:r w:rsidR="00610A42">
        <w:rPr>
          <w:rFonts w:cs="Times New Roman"/>
          <w:i/>
          <w:sz w:val="24"/>
          <w:szCs w:val="24"/>
        </w:rPr>
        <w:t xml:space="preserve">, </w:t>
      </w:r>
      <w:r w:rsidR="00A92179">
        <w:rPr>
          <w:rFonts w:cs="Times New Roman"/>
          <w:sz w:val="24"/>
          <w:szCs w:val="24"/>
        </w:rPr>
        <w:t xml:space="preserve">paras 62-69. It follows from it that </w:t>
      </w:r>
      <w:r w:rsidR="00A517D3">
        <w:rPr>
          <w:rFonts w:cs="Times New Roman"/>
          <w:sz w:val="24"/>
          <w:szCs w:val="24"/>
        </w:rPr>
        <w:t xml:space="preserve">the </w:t>
      </w:r>
      <w:r w:rsidR="00A92179">
        <w:rPr>
          <w:rFonts w:cs="Times New Roman"/>
          <w:sz w:val="24"/>
          <w:szCs w:val="24"/>
        </w:rPr>
        <w:t xml:space="preserve">procedure leading to the making of </w:t>
      </w:r>
      <w:r w:rsidR="00A517D3">
        <w:rPr>
          <w:rFonts w:cs="Times New Roman"/>
          <w:sz w:val="24"/>
          <w:szCs w:val="24"/>
        </w:rPr>
        <w:t xml:space="preserve">a </w:t>
      </w:r>
      <w:r w:rsidR="00A92179">
        <w:rPr>
          <w:rFonts w:cs="Times New Roman"/>
          <w:sz w:val="24"/>
          <w:szCs w:val="24"/>
        </w:rPr>
        <w:t xml:space="preserve">transfer decision </w:t>
      </w:r>
      <w:r w:rsidR="00610A42">
        <w:rPr>
          <w:rFonts w:cs="Times New Roman"/>
          <w:sz w:val="24"/>
          <w:szCs w:val="24"/>
        </w:rPr>
        <w:t xml:space="preserve">by the IPO </w:t>
      </w:r>
      <w:r w:rsidR="00A92179">
        <w:rPr>
          <w:rFonts w:cs="Times New Roman"/>
          <w:sz w:val="24"/>
          <w:szCs w:val="24"/>
        </w:rPr>
        <w:t xml:space="preserve">under the 2018 Regulations </w:t>
      </w:r>
      <w:r w:rsidR="00524295">
        <w:rPr>
          <w:rFonts w:cs="Times New Roman"/>
          <w:sz w:val="24"/>
          <w:szCs w:val="24"/>
        </w:rPr>
        <w:t>does</w:t>
      </w:r>
      <w:r w:rsidR="00A517D3">
        <w:rPr>
          <w:rFonts w:cs="Times New Roman"/>
          <w:sz w:val="24"/>
          <w:szCs w:val="24"/>
        </w:rPr>
        <w:t xml:space="preserve"> not </w:t>
      </w:r>
      <w:r w:rsidR="00A92179">
        <w:rPr>
          <w:rFonts w:cs="Times New Roman"/>
          <w:sz w:val="24"/>
          <w:szCs w:val="24"/>
        </w:rPr>
        <w:t>involve any consideration of Article 17(1).</w:t>
      </w:r>
      <w:r w:rsidR="00A517D3">
        <w:rPr>
          <w:rFonts w:cs="Times New Roman"/>
          <w:sz w:val="24"/>
          <w:szCs w:val="24"/>
        </w:rPr>
        <w:t xml:space="preserve"> The jurisdiction of IPAT under Article 6 is limited to appeals from such transfer decisions and it has no jurisdiction to hear an appeal from a </w:t>
      </w:r>
      <w:r w:rsidR="00A517D3">
        <w:rPr>
          <w:rFonts w:cs="Times New Roman"/>
          <w:sz w:val="24"/>
          <w:szCs w:val="24"/>
        </w:rPr>
        <w:lastRenderedPageBreak/>
        <w:t xml:space="preserve">decision of the Minister as to the exercise of the Article 17(1) discretion. </w:t>
      </w:r>
      <w:r w:rsidR="00524295">
        <w:rPr>
          <w:rFonts w:cs="Times New Roman"/>
          <w:sz w:val="24"/>
          <w:szCs w:val="24"/>
        </w:rPr>
        <w:t>That being so, i</w:t>
      </w:r>
      <w:r w:rsidR="008018F6">
        <w:rPr>
          <w:rFonts w:cs="Times New Roman"/>
          <w:sz w:val="24"/>
          <w:szCs w:val="24"/>
        </w:rPr>
        <w:t xml:space="preserve">t follows that, in Irish law, the only available remedy in respect of such a decision is judicial review under Order 84 RSC. </w:t>
      </w:r>
      <w:r w:rsidR="00A517D3">
        <w:rPr>
          <w:rFonts w:cs="Times New Roman"/>
          <w:sz w:val="24"/>
          <w:szCs w:val="24"/>
        </w:rPr>
        <w:t xml:space="preserve">So much was not in dispute before us on this appeal.  </w:t>
      </w:r>
    </w:p>
    <w:p w14:paraId="1EF8058D" w14:textId="77777777" w:rsidR="008018F6" w:rsidRDefault="008018F6" w:rsidP="00A517D3">
      <w:pPr>
        <w:pStyle w:val="ListParagraph"/>
        <w:autoSpaceDE w:val="0"/>
        <w:autoSpaceDN w:val="0"/>
        <w:adjustRightInd w:val="0"/>
        <w:spacing w:after="0" w:line="480" w:lineRule="auto"/>
        <w:jc w:val="both"/>
        <w:rPr>
          <w:rFonts w:cs="Times New Roman"/>
          <w:sz w:val="24"/>
          <w:szCs w:val="24"/>
        </w:rPr>
      </w:pPr>
    </w:p>
    <w:p w14:paraId="13C60DC5" w14:textId="6C2121E2" w:rsidR="00A517D3" w:rsidRPr="00BB465B" w:rsidRDefault="00BB465B" w:rsidP="00BB465B">
      <w:pPr>
        <w:rPr>
          <w:i/>
          <w:sz w:val="24"/>
          <w:szCs w:val="24"/>
        </w:rPr>
      </w:pPr>
      <w:r>
        <w:rPr>
          <w:i/>
          <w:sz w:val="24"/>
          <w:szCs w:val="24"/>
        </w:rPr>
        <w:tab/>
      </w:r>
      <w:r w:rsidRPr="00BB465B">
        <w:rPr>
          <w:i/>
          <w:sz w:val="24"/>
          <w:szCs w:val="24"/>
        </w:rPr>
        <w:t xml:space="preserve">The </w:t>
      </w:r>
      <w:r w:rsidR="00E01D24" w:rsidRPr="00BB465B">
        <w:rPr>
          <w:i/>
          <w:sz w:val="24"/>
          <w:szCs w:val="24"/>
        </w:rPr>
        <w:t>Material</w:t>
      </w:r>
      <w:r w:rsidR="008018F6" w:rsidRPr="00BB465B">
        <w:rPr>
          <w:i/>
          <w:sz w:val="24"/>
          <w:szCs w:val="24"/>
        </w:rPr>
        <w:t xml:space="preserve"> Facts</w:t>
      </w:r>
      <w:r>
        <w:rPr>
          <w:i/>
          <w:sz w:val="24"/>
          <w:szCs w:val="24"/>
        </w:rPr>
        <w:t xml:space="preserve"> Here</w:t>
      </w:r>
    </w:p>
    <w:p w14:paraId="7679D414" w14:textId="77777777" w:rsidR="008018F6" w:rsidRPr="008018F6" w:rsidRDefault="008018F6" w:rsidP="008018F6">
      <w:pPr>
        <w:rPr>
          <w:lang w:eastAsia="en-IE"/>
        </w:rPr>
      </w:pPr>
    </w:p>
    <w:p w14:paraId="36121856" w14:textId="50E8E97A" w:rsidR="00786850" w:rsidRDefault="008018F6" w:rsidP="00F82C16">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 xml:space="preserve">The facts are set out in detail in the judgment of Ferriter J ([2021] IEHC </w:t>
      </w:r>
      <w:r w:rsidR="00E8146E">
        <w:rPr>
          <w:rFonts w:cs="Times New Roman"/>
          <w:sz w:val="24"/>
          <w:szCs w:val="24"/>
        </w:rPr>
        <w:t>717</w:t>
      </w:r>
      <w:r>
        <w:rPr>
          <w:rFonts w:cs="Times New Roman"/>
          <w:sz w:val="24"/>
          <w:szCs w:val="24"/>
        </w:rPr>
        <w:t xml:space="preserve">). For the purposes of this judgment, they may stated </w:t>
      </w:r>
      <w:r w:rsidR="004B2964">
        <w:rPr>
          <w:rFonts w:cs="Times New Roman"/>
          <w:sz w:val="24"/>
          <w:szCs w:val="24"/>
        </w:rPr>
        <w:t xml:space="preserve">relatively </w:t>
      </w:r>
      <w:r>
        <w:rPr>
          <w:rFonts w:cs="Times New Roman"/>
          <w:sz w:val="24"/>
          <w:szCs w:val="24"/>
        </w:rPr>
        <w:t xml:space="preserve">briefly. </w:t>
      </w:r>
      <w:r w:rsidR="0040442F">
        <w:rPr>
          <w:rFonts w:cs="Times New Roman"/>
          <w:sz w:val="24"/>
          <w:szCs w:val="24"/>
        </w:rPr>
        <w:t>Ms K (“</w:t>
      </w:r>
      <w:r w:rsidR="0040442F" w:rsidRPr="0040442F">
        <w:rPr>
          <w:rFonts w:cs="Times New Roman"/>
          <w:i/>
          <w:sz w:val="24"/>
          <w:szCs w:val="24"/>
        </w:rPr>
        <w:t>the Applicant</w:t>
      </w:r>
      <w:r w:rsidR="0040442F">
        <w:rPr>
          <w:rFonts w:cs="Times New Roman"/>
          <w:sz w:val="24"/>
          <w:szCs w:val="24"/>
        </w:rPr>
        <w:t xml:space="preserve">”) </w:t>
      </w:r>
      <w:r>
        <w:rPr>
          <w:rFonts w:cs="Times New Roman"/>
          <w:sz w:val="24"/>
          <w:szCs w:val="24"/>
        </w:rPr>
        <w:t xml:space="preserve"> is a national of the Democratic Republic of the Congo. </w:t>
      </w:r>
      <w:r w:rsidR="00DA6BDA">
        <w:rPr>
          <w:rFonts w:cs="Times New Roman"/>
          <w:sz w:val="24"/>
          <w:szCs w:val="24"/>
        </w:rPr>
        <w:t xml:space="preserve">She arrived in the State in October 2018 and made an application for international protection. </w:t>
      </w:r>
      <w:r w:rsidR="0072115C">
        <w:rPr>
          <w:rFonts w:cs="Times New Roman"/>
          <w:sz w:val="24"/>
          <w:szCs w:val="24"/>
        </w:rPr>
        <w:t>Upo</w:t>
      </w:r>
      <w:r w:rsidR="00DA6BDA">
        <w:rPr>
          <w:rFonts w:cs="Times New Roman"/>
          <w:sz w:val="24"/>
          <w:szCs w:val="24"/>
        </w:rPr>
        <w:t xml:space="preserve">n interview, she disclosed that she had travelled to Ireland </w:t>
      </w:r>
      <w:r w:rsidR="00DA6BDA" w:rsidRPr="00D910DC">
        <w:rPr>
          <w:rFonts w:cs="Times New Roman"/>
          <w:i/>
          <w:sz w:val="24"/>
          <w:szCs w:val="24"/>
        </w:rPr>
        <w:t>via</w:t>
      </w:r>
      <w:r w:rsidR="00DA6BDA">
        <w:rPr>
          <w:rFonts w:cs="Times New Roman"/>
          <w:sz w:val="24"/>
          <w:szCs w:val="24"/>
        </w:rPr>
        <w:t xml:space="preserve"> Brussels, having travelled from South Africa to Brussels on a Belgian visa. </w:t>
      </w:r>
      <w:r w:rsidR="00474E6E">
        <w:rPr>
          <w:rFonts w:cs="Times New Roman"/>
          <w:sz w:val="24"/>
          <w:szCs w:val="24"/>
        </w:rPr>
        <w:t>Following a process of engagement between the respective competent authorities, Belgium accepted Ireland’s “</w:t>
      </w:r>
      <w:r w:rsidR="00474E6E" w:rsidRPr="00474E6E">
        <w:rPr>
          <w:rFonts w:cs="Times New Roman"/>
          <w:i/>
          <w:sz w:val="24"/>
          <w:szCs w:val="24"/>
        </w:rPr>
        <w:t>take charge</w:t>
      </w:r>
      <w:r w:rsidR="00474E6E">
        <w:rPr>
          <w:rFonts w:cs="Times New Roman"/>
          <w:sz w:val="24"/>
          <w:szCs w:val="24"/>
        </w:rPr>
        <w:t xml:space="preserve">” request and on 23 January 2019 </w:t>
      </w:r>
      <w:r w:rsidR="00A568B6">
        <w:rPr>
          <w:rFonts w:cs="Times New Roman"/>
          <w:sz w:val="24"/>
          <w:szCs w:val="24"/>
        </w:rPr>
        <w:t xml:space="preserve">the IPO gave the </w:t>
      </w:r>
      <w:r w:rsidR="0040442F">
        <w:rPr>
          <w:rFonts w:cs="Times New Roman"/>
          <w:sz w:val="24"/>
          <w:szCs w:val="24"/>
        </w:rPr>
        <w:t>A</w:t>
      </w:r>
      <w:r w:rsidR="00A568B6">
        <w:rPr>
          <w:rFonts w:cs="Times New Roman"/>
          <w:sz w:val="24"/>
          <w:szCs w:val="24"/>
        </w:rPr>
        <w:t xml:space="preserve">pplicant notice of its </w:t>
      </w:r>
      <w:r w:rsidR="00474E6E">
        <w:rPr>
          <w:rFonts w:cs="Times New Roman"/>
          <w:sz w:val="24"/>
          <w:szCs w:val="24"/>
        </w:rPr>
        <w:t xml:space="preserve">decision </w:t>
      </w:r>
      <w:r w:rsidR="00A568B6">
        <w:rPr>
          <w:rFonts w:cs="Times New Roman"/>
          <w:sz w:val="24"/>
          <w:szCs w:val="24"/>
        </w:rPr>
        <w:t xml:space="preserve">that she be transferred to Belgium. </w:t>
      </w:r>
      <w:r w:rsidR="00474E6E">
        <w:rPr>
          <w:rFonts w:cs="Times New Roman"/>
          <w:sz w:val="24"/>
          <w:szCs w:val="24"/>
        </w:rPr>
        <w:t xml:space="preserve"> </w:t>
      </w:r>
      <w:r w:rsidR="00786850">
        <w:rPr>
          <w:rFonts w:cs="Times New Roman"/>
          <w:sz w:val="24"/>
          <w:szCs w:val="24"/>
        </w:rPr>
        <w:t xml:space="preserve">IPO had been invited to decide to accept responsibility for the </w:t>
      </w:r>
      <w:r w:rsidR="0040442F">
        <w:rPr>
          <w:rFonts w:cs="Times New Roman"/>
          <w:sz w:val="24"/>
          <w:szCs w:val="24"/>
        </w:rPr>
        <w:t>A</w:t>
      </w:r>
      <w:r w:rsidR="00786850">
        <w:rPr>
          <w:rFonts w:cs="Times New Roman"/>
          <w:sz w:val="24"/>
          <w:szCs w:val="24"/>
        </w:rPr>
        <w:t xml:space="preserve">pplicant’s protection application pursuant to Article 17(1) but did not do so. </w:t>
      </w:r>
    </w:p>
    <w:p w14:paraId="7DB214CE" w14:textId="77777777" w:rsidR="00786850" w:rsidRDefault="00786850" w:rsidP="00786850">
      <w:pPr>
        <w:pStyle w:val="ListParagraph"/>
        <w:autoSpaceDE w:val="0"/>
        <w:autoSpaceDN w:val="0"/>
        <w:adjustRightInd w:val="0"/>
        <w:spacing w:after="0" w:line="480" w:lineRule="auto"/>
        <w:jc w:val="both"/>
        <w:rPr>
          <w:rFonts w:cs="Times New Roman"/>
          <w:sz w:val="24"/>
          <w:szCs w:val="24"/>
        </w:rPr>
      </w:pPr>
    </w:p>
    <w:p w14:paraId="60D52F7F" w14:textId="6A558FA6" w:rsidR="00A517D3" w:rsidRDefault="00A568B6" w:rsidP="00F82C16">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 xml:space="preserve">The </w:t>
      </w:r>
      <w:r w:rsidR="0040442F">
        <w:rPr>
          <w:rFonts w:cs="Times New Roman"/>
          <w:sz w:val="24"/>
          <w:szCs w:val="24"/>
        </w:rPr>
        <w:t>A</w:t>
      </w:r>
      <w:r>
        <w:rPr>
          <w:rFonts w:cs="Times New Roman"/>
          <w:sz w:val="24"/>
          <w:szCs w:val="24"/>
        </w:rPr>
        <w:t xml:space="preserve">pplicant appealed </w:t>
      </w:r>
      <w:r w:rsidR="00786850">
        <w:rPr>
          <w:rFonts w:cs="Times New Roman"/>
          <w:sz w:val="24"/>
          <w:szCs w:val="24"/>
        </w:rPr>
        <w:t>the transfer</w:t>
      </w:r>
      <w:r>
        <w:rPr>
          <w:rFonts w:cs="Times New Roman"/>
          <w:sz w:val="24"/>
          <w:szCs w:val="24"/>
        </w:rPr>
        <w:t xml:space="preserve"> decision to IPAT but, after a considerable lapse of time, IPAT affirmed the transfer decision on 22 July 2021. </w:t>
      </w:r>
      <w:r w:rsidR="00786850">
        <w:rPr>
          <w:rFonts w:cs="Times New Roman"/>
          <w:sz w:val="24"/>
          <w:szCs w:val="24"/>
        </w:rPr>
        <w:t xml:space="preserve">IPAT examined and rejected the </w:t>
      </w:r>
      <w:r w:rsidR="0040442F">
        <w:rPr>
          <w:rFonts w:cs="Times New Roman"/>
          <w:sz w:val="24"/>
          <w:szCs w:val="24"/>
        </w:rPr>
        <w:t>A</w:t>
      </w:r>
      <w:r w:rsidR="00786850">
        <w:rPr>
          <w:rFonts w:cs="Times New Roman"/>
          <w:sz w:val="24"/>
          <w:szCs w:val="24"/>
        </w:rPr>
        <w:t>pplicant’s contention that there was a real risk that she would be subjected to inhuman and/or degrading treatment if returned to Belgium due to systemic failures in the asylum procedures and in the reception conditions for asylum applicants in Belgi</w:t>
      </w:r>
      <w:r w:rsidR="0000143F">
        <w:rPr>
          <w:rFonts w:cs="Times New Roman"/>
          <w:sz w:val="24"/>
          <w:szCs w:val="24"/>
        </w:rPr>
        <w:t>um</w:t>
      </w:r>
      <w:r w:rsidR="00786850">
        <w:rPr>
          <w:rFonts w:cs="Times New Roman"/>
          <w:sz w:val="24"/>
          <w:szCs w:val="24"/>
        </w:rPr>
        <w:t xml:space="preserve"> (that being an express bar to transfer under</w:t>
      </w:r>
      <w:r w:rsidR="00D91C81">
        <w:rPr>
          <w:rFonts w:cs="Times New Roman"/>
          <w:sz w:val="24"/>
          <w:szCs w:val="24"/>
        </w:rPr>
        <w:t xml:space="preserve"> Article 3(2) of</w:t>
      </w:r>
      <w:r w:rsidR="00786850">
        <w:rPr>
          <w:rFonts w:cs="Times New Roman"/>
          <w:sz w:val="24"/>
          <w:szCs w:val="24"/>
        </w:rPr>
        <w:t xml:space="preserve"> Dublin III)). </w:t>
      </w:r>
      <w:r w:rsidR="00D91C81">
        <w:rPr>
          <w:rFonts w:cs="Times New Roman"/>
          <w:sz w:val="24"/>
          <w:szCs w:val="24"/>
        </w:rPr>
        <w:t xml:space="preserve">In light of </w:t>
      </w:r>
      <w:r w:rsidR="00786850">
        <w:rPr>
          <w:rFonts w:cs="Times New Roman"/>
          <w:sz w:val="24"/>
          <w:szCs w:val="24"/>
        </w:rPr>
        <w:t xml:space="preserve">the </w:t>
      </w:r>
      <w:r w:rsidR="00786850">
        <w:rPr>
          <w:rFonts w:cs="Times New Roman"/>
          <w:sz w:val="24"/>
          <w:szCs w:val="24"/>
        </w:rPr>
        <w:lastRenderedPageBreak/>
        <w:t xml:space="preserve">Supreme Court’s decision in </w:t>
      </w:r>
      <w:r w:rsidR="00786850" w:rsidRPr="00786850">
        <w:rPr>
          <w:rFonts w:cs="Times New Roman"/>
          <w:i/>
          <w:sz w:val="24"/>
          <w:szCs w:val="24"/>
        </w:rPr>
        <w:t>NVU</w:t>
      </w:r>
      <w:r w:rsidR="00786850">
        <w:rPr>
          <w:rFonts w:cs="Times New Roman"/>
          <w:sz w:val="24"/>
          <w:szCs w:val="24"/>
        </w:rPr>
        <w:t xml:space="preserve">, IPAT concluded that it could not exercise the discretion conferred by Article 17(1) </w:t>
      </w:r>
      <w:r w:rsidR="0040442F">
        <w:rPr>
          <w:rFonts w:cs="Times New Roman"/>
          <w:sz w:val="24"/>
          <w:szCs w:val="24"/>
        </w:rPr>
        <w:t xml:space="preserve">and also held that it did have any inherent </w:t>
      </w:r>
      <w:r w:rsidR="00786850">
        <w:rPr>
          <w:rFonts w:cs="Times New Roman"/>
          <w:sz w:val="24"/>
          <w:szCs w:val="24"/>
        </w:rPr>
        <w:t>discretionary jurisdiction to set aside the transfer decision.</w:t>
      </w:r>
    </w:p>
    <w:p w14:paraId="05E2A7EC" w14:textId="77777777" w:rsidR="00A568B6" w:rsidRDefault="00A568B6" w:rsidP="00A568B6">
      <w:pPr>
        <w:pStyle w:val="ListParagraph"/>
        <w:autoSpaceDE w:val="0"/>
        <w:autoSpaceDN w:val="0"/>
        <w:adjustRightInd w:val="0"/>
        <w:spacing w:after="0" w:line="480" w:lineRule="auto"/>
        <w:jc w:val="both"/>
        <w:rPr>
          <w:rFonts w:cs="Times New Roman"/>
          <w:sz w:val="24"/>
          <w:szCs w:val="24"/>
        </w:rPr>
      </w:pPr>
    </w:p>
    <w:p w14:paraId="521F3598" w14:textId="1A6D32C2" w:rsidR="008744E8" w:rsidRDefault="00A568B6" w:rsidP="008744E8">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 xml:space="preserve">The </w:t>
      </w:r>
      <w:r w:rsidR="0040442F">
        <w:rPr>
          <w:rFonts w:cs="Times New Roman"/>
          <w:sz w:val="24"/>
          <w:szCs w:val="24"/>
        </w:rPr>
        <w:t>A</w:t>
      </w:r>
      <w:r>
        <w:rPr>
          <w:rFonts w:cs="Times New Roman"/>
          <w:sz w:val="24"/>
          <w:szCs w:val="24"/>
        </w:rPr>
        <w:t xml:space="preserve">pplicant has not challenged IPAT’s decision to affirm the transfer decision. </w:t>
      </w:r>
      <w:r w:rsidR="00786850">
        <w:rPr>
          <w:rFonts w:cs="Times New Roman"/>
          <w:sz w:val="24"/>
          <w:szCs w:val="24"/>
        </w:rPr>
        <w:t>It follows that there is no ext</w:t>
      </w:r>
      <w:r w:rsidR="00D910DC">
        <w:rPr>
          <w:rFonts w:cs="Times New Roman"/>
          <w:sz w:val="24"/>
          <w:szCs w:val="24"/>
        </w:rPr>
        <w:t>a</w:t>
      </w:r>
      <w:r w:rsidR="00786850">
        <w:rPr>
          <w:rFonts w:cs="Times New Roman"/>
          <w:sz w:val="24"/>
          <w:szCs w:val="24"/>
        </w:rPr>
        <w:t xml:space="preserve">nt dispute as to the fact that </w:t>
      </w:r>
      <w:r w:rsidR="0040442F">
        <w:rPr>
          <w:rFonts w:cs="Times New Roman"/>
          <w:sz w:val="24"/>
          <w:szCs w:val="24"/>
        </w:rPr>
        <w:t>Belgium is the Member State responsible under Dublin III</w:t>
      </w:r>
      <w:r w:rsidR="00D910DC">
        <w:rPr>
          <w:rFonts w:cs="Times New Roman"/>
          <w:sz w:val="24"/>
          <w:szCs w:val="24"/>
        </w:rPr>
        <w:t>, Chapter III</w:t>
      </w:r>
      <w:r w:rsidR="0040442F">
        <w:rPr>
          <w:rFonts w:cs="Times New Roman"/>
          <w:sz w:val="24"/>
          <w:szCs w:val="24"/>
        </w:rPr>
        <w:t xml:space="preserve"> or as to the legality of the transfer decision.</w:t>
      </w:r>
    </w:p>
    <w:p w14:paraId="6A40FA97" w14:textId="77777777" w:rsidR="00D910DC" w:rsidRPr="00D910DC" w:rsidRDefault="00D910DC" w:rsidP="00D910DC">
      <w:pPr>
        <w:pStyle w:val="ListParagraph"/>
        <w:autoSpaceDE w:val="0"/>
        <w:autoSpaceDN w:val="0"/>
        <w:adjustRightInd w:val="0"/>
        <w:spacing w:after="0" w:line="480" w:lineRule="auto"/>
        <w:jc w:val="both"/>
        <w:rPr>
          <w:rFonts w:cs="Times New Roman"/>
          <w:sz w:val="24"/>
          <w:szCs w:val="24"/>
        </w:rPr>
      </w:pPr>
    </w:p>
    <w:p w14:paraId="5481BD57" w14:textId="48E556E2" w:rsidR="008744E8" w:rsidRPr="008744E8" w:rsidRDefault="00BB465B" w:rsidP="008744E8">
      <w:pPr>
        <w:pStyle w:val="ListParagraph"/>
        <w:autoSpaceDE w:val="0"/>
        <w:autoSpaceDN w:val="0"/>
        <w:adjustRightInd w:val="0"/>
        <w:spacing w:after="0" w:line="480" w:lineRule="auto"/>
        <w:jc w:val="both"/>
        <w:rPr>
          <w:rFonts w:cs="Times New Roman"/>
          <w:i/>
          <w:sz w:val="24"/>
          <w:szCs w:val="24"/>
        </w:rPr>
      </w:pPr>
      <w:r w:rsidRPr="00BB465B">
        <w:rPr>
          <w:rFonts w:cs="Times New Roman"/>
          <w:i/>
          <w:sz w:val="24"/>
          <w:szCs w:val="24"/>
        </w:rPr>
        <w:t>The</w:t>
      </w:r>
      <w:r>
        <w:rPr>
          <w:rFonts w:cs="Times New Roman"/>
          <w:sz w:val="24"/>
          <w:szCs w:val="24"/>
        </w:rPr>
        <w:t xml:space="preserve"> </w:t>
      </w:r>
      <w:r w:rsidR="008744E8">
        <w:rPr>
          <w:rFonts w:cs="Times New Roman"/>
          <w:i/>
          <w:sz w:val="24"/>
          <w:szCs w:val="24"/>
        </w:rPr>
        <w:t>Application to the Minister</w:t>
      </w:r>
    </w:p>
    <w:p w14:paraId="3DF5F2D5" w14:textId="5041F99E" w:rsidR="008744E8" w:rsidRPr="008744E8" w:rsidRDefault="008744E8" w:rsidP="008744E8">
      <w:r>
        <w:tab/>
      </w:r>
    </w:p>
    <w:p w14:paraId="42FF1DAB" w14:textId="5A652425" w:rsidR="0040442F" w:rsidRDefault="0040442F" w:rsidP="00F82C16">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By letter of 6 September 2021, the Applicant was asked to present herself to the Garda National Immigration Bureau on 16 September 2021 to make arrangements for her transfer “</w:t>
      </w:r>
      <w:r w:rsidRPr="0040442F">
        <w:rPr>
          <w:rFonts w:cs="Times New Roman"/>
          <w:i/>
          <w:sz w:val="24"/>
          <w:szCs w:val="24"/>
        </w:rPr>
        <w:t>not later than 21/01/2022”.</w:t>
      </w:r>
      <w:r>
        <w:rPr>
          <w:rFonts w:cs="Times New Roman"/>
          <w:sz w:val="24"/>
          <w:szCs w:val="24"/>
        </w:rPr>
        <w:t xml:space="preserve"> </w:t>
      </w:r>
      <w:r w:rsidR="008744E8">
        <w:rPr>
          <w:rFonts w:cs="Times New Roman"/>
          <w:sz w:val="24"/>
          <w:szCs w:val="24"/>
        </w:rPr>
        <w:t>In advance of that date</w:t>
      </w:r>
      <w:r>
        <w:rPr>
          <w:rFonts w:cs="Times New Roman"/>
          <w:sz w:val="24"/>
          <w:szCs w:val="24"/>
        </w:rPr>
        <w:t xml:space="preserve">, on 14 September 2021 the Applicant’s solicitors wrote to the Minister </w:t>
      </w:r>
      <w:r w:rsidR="008744E8">
        <w:rPr>
          <w:rFonts w:cs="Times New Roman"/>
          <w:sz w:val="24"/>
          <w:szCs w:val="24"/>
        </w:rPr>
        <w:t>requesting her to grant the Applicant “</w:t>
      </w:r>
      <w:r w:rsidR="008744E8" w:rsidRPr="008744E8">
        <w:rPr>
          <w:rFonts w:cs="Times New Roman"/>
          <w:i/>
          <w:sz w:val="24"/>
          <w:szCs w:val="24"/>
        </w:rPr>
        <w:t>discretionary relief</w:t>
      </w:r>
      <w:r w:rsidR="008744E8">
        <w:rPr>
          <w:rFonts w:cs="Times New Roman"/>
          <w:sz w:val="24"/>
          <w:szCs w:val="24"/>
        </w:rPr>
        <w:t xml:space="preserve">” under Article 17 and to cancel the transfer decision with immediate effect. The letter also requested that, in the event of Article 17 </w:t>
      </w:r>
      <w:r w:rsidR="00165217">
        <w:rPr>
          <w:rFonts w:cs="Times New Roman"/>
          <w:sz w:val="24"/>
          <w:szCs w:val="24"/>
        </w:rPr>
        <w:t xml:space="preserve">relief being </w:t>
      </w:r>
      <w:r w:rsidR="008744E8">
        <w:rPr>
          <w:rFonts w:cs="Times New Roman"/>
          <w:sz w:val="24"/>
          <w:szCs w:val="24"/>
        </w:rPr>
        <w:t xml:space="preserve"> denied, the Minister would provide an undertaking that no further action would be taken to effect the transfer pending any application she might make for judicial review. The letter sought a response by 28 September 2021 in default of which an application would be made for leave to seek judicial review and to enjoin the transfer.  I shall refer to this letter as the </w:t>
      </w:r>
      <w:r w:rsidR="008744E8" w:rsidRPr="008744E8">
        <w:rPr>
          <w:rFonts w:cs="Times New Roman"/>
          <w:i/>
          <w:sz w:val="24"/>
          <w:szCs w:val="24"/>
        </w:rPr>
        <w:t>“Article 17 Application”</w:t>
      </w:r>
      <w:r w:rsidR="008744E8">
        <w:rPr>
          <w:rFonts w:cs="Times New Roman"/>
          <w:sz w:val="24"/>
          <w:szCs w:val="24"/>
        </w:rPr>
        <w:t xml:space="preserve"> </w:t>
      </w:r>
    </w:p>
    <w:p w14:paraId="395701A1" w14:textId="77777777" w:rsidR="008744E8" w:rsidRDefault="008744E8" w:rsidP="008744E8">
      <w:pPr>
        <w:pStyle w:val="ListParagraph"/>
        <w:autoSpaceDE w:val="0"/>
        <w:autoSpaceDN w:val="0"/>
        <w:adjustRightInd w:val="0"/>
        <w:spacing w:after="0" w:line="480" w:lineRule="auto"/>
        <w:jc w:val="both"/>
        <w:rPr>
          <w:rFonts w:cs="Times New Roman"/>
          <w:sz w:val="24"/>
          <w:szCs w:val="24"/>
        </w:rPr>
      </w:pPr>
    </w:p>
    <w:p w14:paraId="3A01F469" w14:textId="6B4CBF16" w:rsidR="008744E8" w:rsidRPr="004B2964" w:rsidRDefault="008744E8" w:rsidP="00F82C16">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 xml:space="preserve">The Article 17 Application </w:t>
      </w:r>
      <w:r w:rsidR="00803E11">
        <w:rPr>
          <w:rFonts w:cs="Times New Roman"/>
          <w:sz w:val="24"/>
          <w:szCs w:val="24"/>
        </w:rPr>
        <w:t>set out three grounds. The first was the Applicant was at risk of detention in Belgium which (</w:t>
      </w:r>
      <w:r w:rsidR="005922AC">
        <w:rPr>
          <w:rFonts w:cs="Times New Roman"/>
          <w:sz w:val="24"/>
          <w:szCs w:val="24"/>
        </w:rPr>
        <w:t xml:space="preserve">so </w:t>
      </w:r>
      <w:r w:rsidR="00803E11">
        <w:rPr>
          <w:rFonts w:cs="Times New Roman"/>
          <w:sz w:val="24"/>
          <w:szCs w:val="24"/>
        </w:rPr>
        <w:t xml:space="preserve">it was said) implicated her rights under Article </w:t>
      </w:r>
      <w:r w:rsidR="00803E11">
        <w:rPr>
          <w:rFonts w:cs="Times New Roman"/>
          <w:sz w:val="24"/>
          <w:szCs w:val="24"/>
        </w:rPr>
        <w:lastRenderedPageBreak/>
        <w:t>6 of the Charter and Article 5 ECHR. In that context reliance was placed on the same evidential material as had been provided to IPAT, as well as a more recent AIDA Country Report</w:t>
      </w:r>
      <w:r w:rsidR="00205E28">
        <w:rPr>
          <w:rFonts w:cs="Times New Roman"/>
          <w:sz w:val="24"/>
          <w:szCs w:val="24"/>
        </w:rPr>
        <w:t>.</w:t>
      </w:r>
      <w:r w:rsidR="005922AC">
        <w:rPr>
          <w:rFonts w:cs="Times New Roman"/>
          <w:sz w:val="24"/>
          <w:szCs w:val="24"/>
        </w:rPr>
        <w:t xml:space="preserve"> </w:t>
      </w:r>
      <w:r w:rsidR="00205E28">
        <w:rPr>
          <w:rFonts w:cs="Times New Roman"/>
          <w:sz w:val="24"/>
          <w:szCs w:val="24"/>
        </w:rPr>
        <w:t>I will refer in more detail to this material below</w:t>
      </w:r>
      <w:r w:rsidR="00D910DC">
        <w:rPr>
          <w:rFonts w:cs="Times New Roman"/>
          <w:sz w:val="24"/>
          <w:szCs w:val="24"/>
        </w:rPr>
        <w:t>.</w:t>
      </w:r>
      <w:r w:rsidR="00205E28">
        <w:rPr>
          <w:rFonts w:cs="Times New Roman"/>
          <w:sz w:val="24"/>
          <w:szCs w:val="24"/>
        </w:rPr>
        <w:t xml:space="preserve"> Noting that IPAT had found nothing to suggest that Belgium was not operating in line with its international obligations or that there were systemic flaws in its asylum procedure and reception conditions, the Applicant submitted that she did not have to demonstrate such systemic flaws as she was relying on humanitarian considerations. </w:t>
      </w:r>
      <w:r w:rsidR="005922AC">
        <w:rPr>
          <w:rFonts w:cs="Times New Roman"/>
          <w:sz w:val="24"/>
          <w:szCs w:val="24"/>
        </w:rPr>
        <w:t xml:space="preserve">The second ground </w:t>
      </w:r>
      <w:r w:rsidR="00205E28">
        <w:rPr>
          <w:rFonts w:cs="Times New Roman"/>
          <w:sz w:val="24"/>
          <w:szCs w:val="24"/>
        </w:rPr>
        <w:t>was that “</w:t>
      </w:r>
      <w:r w:rsidR="00205E28" w:rsidRPr="00205E28">
        <w:rPr>
          <w:rFonts w:cs="Times New Roman"/>
          <w:i/>
          <w:sz w:val="24"/>
          <w:szCs w:val="24"/>
        </w:rPr>
        <w:t>given the extent of relationships and duration of stay”</w:t>
      </w:r>
      <w:r w:rsidR="00205E28">
        <w:rPr>
          <w:rFonts w:cs="Times New Roman"/>
          <w:sz w:val="24"/>
          <w:szCs w:val="24"/>
        </w:rPr>
        <w:t xml:space="preserve"> in the State, her</w:t>
      </w:r>
      <w:r w:rsidR="002E59BA">
        <w:rPr>
          <w:rFonts w:cs="Times New Roman"/>
          <w:sz w:val="24"/>
          <w:szCs w:val="24"/>
        </w:rPr>
        <w:t xml:space="preserve"> transfer to Belgium implicated her</w:t>
      </w:r>
      <w:r w:rsidR="00205E28">
        <w:rPr>
          <w:rFonts w:cs="Times New Roman"/>
          <w:sz w:val="24"/>
          <w:szCs w:val="24"/>
        </w:rPr>
        <w:t xml:space="preserve"> right to private life under Article 7 of the Charter/Article 8 ECHR</w:t>
      </w:r>
      <w:r w:rsidR="002E59BA">
        <w:rPr>
          <w:rFonts w:cs="Times New Roman"/>
          <w:sz w:val="24"/>
          <w:szCs w:val="24"/>
        </w:rPr>
        <w:t>. No further detail of the “</w:t>
      </w:r>
      <w:r w:rsidR="002E59BA" w:rsidRPr="002E59BA">
        <w:rPr>
          <w:rFonts w:cs="Times New Roman"/>
          <w:i/>
          <w:sz w:val="24"/>
          <w:szCs w:val="24"/>
        </w:rPr>
        <w:t>relationships</w:t>
      </w:r>
      <w:r w:rsidR="002E59BA">
        <w:rPr>
          <w:rFonts w:cs="Times New Roman"/>
          <w:sz w:val="24"/>
          <w:szCs w:val="24"/>
        </w:rPr>
        <w:t xml:space="preserve">” relied on by the Applicant in this context was </w:t>
      </w:r>
      <w:r w:rsidR="00CF78C5">
        <w:rPr>
          <w:rFonts w:cs="Times New Roman"/>
          <w:sz w:val="24"/>
          <w:szCs w:val="24"/>
        </w:rPr>
        <w:t>set out in the letter</w:t>
      </w:r>
      <w:r w:rsidR="00D910DC">
        <w:rPr>
          <w:rFonts w:cs="Times New Roman"/>
          <w:sz w:val="24"/>
          <w:szCs w:val="24"/>
        </w:rPr>
        <w:t xml:space="preserve"> to the Minister</w:t>
      </w:r>
      <w:r w:rsidR="002E59BA">
        <w:rPr>
          <w:rFonts w:cs="Times New Roman"/>
          <w:sz w:val="24"/>
          <w:szCs w:val="24"/>
        </w:rPr>
        <w:t xml:space="preserve"> </w:t>
      </w:r>
      <w:r w:rsidR="00CF78C5">
        <w:rPr>
          <w:rFonts w:cs="Times New Roman"/>
          <w:sz w:val="24"/>
          <w:szCs w:val="24"/>
        </w:rPr>
        <w:t xml:space="preserve">but it appears that material attesting to the Applicant’s educational achievements and personal circumstances was enclosed with it. </w:t>
      </w:r>
      <w:r w:rsidR="002E59BA">
        <w:rPr>
          <w:rFonts w:cs="Times New Roman"/>
          <w:sz w:val="24"/>
          <w:szCs w:val="24"/>
        </w:rPr>
        <w:t xml:space="preserve">The third and final ground was that the Applicant should not be transferred to Belgium during the Covid-19 pandemic, the Applicant submitting that a transfer would expose her to a high risk of infection and that a lack of guaranteed access to health care would place her at risk of inhuman or degrading treatment and/or be in breach of her private rights under Articles 4, 5 and/or 7 of the Charter. Reliance was placed in this context on the European Commission Communication: </w:t>
      </w:r>
      <w:r w:rsidR="002E59BA" w:rsidRPr="002E59BA">
        <w:rPr>
          <w:rFonts w:cs="Times New Roman"/>
          <w:i/>
          <w:sz w:val="24"/>
          <w:szCs w:val="24"/>
        </w:rPr>
        <w:t xml:space="preserve">Covid-19: Guidance on the implementation of relevant EU provisions in the area of asylum and return procedures and on resettlement </w:t>
      </w:r>
      <w:r w:rsidR="002E59BA" w:rsidRPr="002E59BA">
        <w:rPr>
          <w:rFonts w:cs="Times New Roman"/>
          <w:sz w:val="24"/>
          <w:szCs w:val="24"/>
        </w:rPr>
        <w:t>(</w:t>
      </w:r>
      <w:r w:rsidR="002E59BA" w:rsidRPr="002E59BA">
        <w:rPr>
          <w:sz w:val="24"/>
          <w:szCs w:val="24"/>
        </w:rPr>
        <w:t>C(2020) 2516)</w:t>
      </w:r>
      <w:r w:rsidR="002E59BA">
        <w:rPr>
          <w:sz w:val="24"/>
          <w:szCs w:val="24"/>
        </w:rPr>
        <w:t xml:space="preserve"> as well as Irish and Belgian </w:t>
      </w:r>
      <w:r w:rsidR="004B2964">
        <w:rPr>
          <w:sz w:val="24"/>
          <w:szCs w:val="24"/>
        </w:rPr>
        <w:t xml:space="preserve">travel rules and advice. The letter does not suggest that the Applicant was in a position of particular vulnerability as regards Covid-19 or that the risk of infection in Belgium was </w:t>
      </w:r>
      <w:r w:rsidR="0072115C">
        <w:rPr>
          <w:sz w:val="24"/>
          <w:szCs w:val="24"/>
        </w:rPr>
        <w:t xml:space="preserve">relatively </w:t>
      </w:r>
      <w:r w:rsidR="004B2964">
        <w:rPr>
          <w:sz w:val="24"/>
          <w:szCs w:val="24"/>
        </w:rPr>
        <w:t>higher than in Ireland.</w:t>
      </w:r>
    </w:p>
    <w:p w14:paraId="1FA5BE73" w14:textId="4FA19427" w:rsidR="00BB465B" w:rsidRPr="00BB465B" w:rsidRDefault="00BB465B" w:rsidP="004B2964">
      <w:pPr>
        <w:pStyle w:val="ListParagraph"/>
        <w:autoSpaceDE w:val="0"/>
        <w:autoSpaceDN w:val="0"/>
        <w:adjustRightInd w:val="0"/>
        <w:spacing w:after="0" w:line="480" w:lineRule="auto"/>
        <w:jc w:val="both"/>
        <w:rPr>
          <w:rFonts w:cs="Times New Roman"/>
          <w:i/>
          <w:sz w:val="24"/>
          <w:szCs w:val="24"/>
        </w:rPr>
      </w:pPr>
      <w:r>
        <w:rPr>
          <w:rFonts w:cs="Times New Roman"/>
          <w:sz w:val="24"/>
          <w:szCs w:val="24"/>
        </w:rPr>
        <w:lastRenderedPageBreak/>
        <w:br/>
      </w:r>
      <w:r>
        <w:rPr>
          <w:rFonts w:cs="Times New Roman"/>
          <w:i/>
          <w:sz w:val="24"/>
          <w:szCs w:val="24"/>
        </w:rPr>
        <w:t xml:space="preserve">The Minister’s </w:t>
      </w:r>
      <w:r w:rsidRPr="00BB465B">
        <w:rPr>
          <w:rFonts w:cs="Times New Roman"/>
          <w:i/>
          <w:sz w:val="24"/>
          <w:szCs w:val="24"/>
        </w:rPr>
        <w:t>Decision</w:t>
      </w:r>
    </w:p>
    <w:p w14:paraId="3EF9CED7" w14:textId="77777777" w:rsidR="00BB465B" w:rsidRPr="004B2964" w:rsidRDefault="00BB465B" w:rsidP="004B2964">
      <w:pPr>
        <w:pStyle w:val="ListParagraph"/>
        <w:autoSpaceDE w:val="0"/>
        <w:autoSpaceDN w:val="0"/>
        <w:adjustRightInd w:val="0"/>
        <w:spacing w:after="0" w:line="480" w:lineRule="auto"/>
        <w:jc w:val="both"/>
        <w:rPr>
          <w:rFonts w:cs="Times New Roman"/>
          <w:sz w:val="24"/>
          <w:szCs w:val="24"/>
        </w:rPr>
      </w:pPr>
    </w:p>
    <w:p w14:paraId="3E55D6A8" w14:textId="52C8E45D" w:rsidR="00BB465B" w:rsidRDefault="00741342" w:rsidP="00610A42">
      <w:pPr>
        <w:pStyle w:val="ListParagraph"/>
        <w:widowControl w:val="0"/>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 xml:space="preserve">The Minister’s decision issued on 23 September 2021, in the form of a letter signed by one of </w:t>
      </w:r>
      <w:r w:rsidR="00165217">
        <w:rPr>
          <w:rFonts w:cs="Times New Roman"/>
          <w:sz w:val="24"/>
          <w:szCs w:val="24"/>
        </w:rPr>
        <w:t>her</w:t>
      </w:r>
      <w:r>
        <w:rPr>
          <w:rFonts w:cs="Times New Roman"/>
          <w:sz w:val="24"/>
          <w:szCs w:val="24"/>
        </w:rPr>
        <w:t xml:space="preserve"> officers, Paul Byrne. </w:t>
      </w:r>
      <w:r w:rsidR="00BB465B">
        <w:rPr>
          <w:rFonts w:cs="Times New Roman"/>
          <w:sz w:val="24"/>
          <w:szCs w:val="24"/>
        </w:rPr>
        <w:t xml:space="preserve">As </w:t>
      </w:r>
      <w:r w:rsidR="00D910DC">
        <w:rPr>
          <w:rFonts w:cs="Times New Roman"/>
          <w:sz w:val="24"/>
          <w:szCs w:val="24"/>
        </w:rPr>
        <w:t xml:space="preserve">it is this </w:t>
      </w:r>
      <w:r w:rsidR="00BB465B">
        <w:rPr>
          <w:rFonts w:cs="Times New Roman"/>
          <w:sz w:val="24"/>
          <w:szCs w:val="24"/>
        </w:rPr>
        <w:t xml:space="preserve">decision </w:t>
      </w:r>
      <w:r w:rsidR="00D910DC">
        <w:rPr>
          <w:rFonts w:cs="Times New Roman"/>
          <w:sz w:val="24"/>
          <w:szCs w:val="24"/>
        </w:rPr>
        <w:t xml:space="preserve">that is </w:t>
      </w:r>
      <w:r w:rsidR="00BB465B">
        <w:rPr>
          <w:rFonts w:cs="Times New Roman"/>
          <w:sz w:val="24"/>
          <w:szCs w:val="24"/>
        </w:rPr>
        <w:t>impugned in these proceedings, and as it is relatively short, I shall set it out in full:</w:t>
      </w:r>
    </w:p>
    <w:p w14:paraId="1A83F86F" w14:textId="77777777" w:rsidR="00BB465B" w:rsidRDefault="00BB465B" w:rsidP="00610A42">
      <w:pPr>
        <w:pStyle w:val="ListParagraph"/>
        <w:widowControl w:val="0"/>
        <w:autoSpaceDE w:val="0"/>
        <w:autoSpaceDN w:val="0"/>
        <w:adjustRightInd w:val="0"/>
        <w:spacing w:after="0" w:line="480" w:lineRule="auto"/>
        <w:jc w:val="both"/>
        <w:rPr>
          <w:rFonts w:cs="Times New Roman"/>
          <w:sz w:val="24"/>
          <w:szCs w:val="24"/>
        </w:rPr>
      </w:pPr>
    </w:p>
    <w:p w14:paraId="16E7E5FE" w14:textId="77777777" w:rsidR="00BB465B" w:rsidRDefault="00741342" w:rsidP="00610A42">
      <w:pPr>
        <w:widowControl w:val="0"/>
        <w:spacing w:line="480" w:lineRule="auto"/>
        <w:ind w:left="1418"/>
        <w:jc w:val="both"/>
        <w:rPr>
          <w:rFonts w:eastAsia="Times New Roman" w:cs="Times New Roman"/>
          <w:i/>
          <w:color w:val="auto"/>
          <w:sz w:val="24"/>
          <w:szCs w:val="24"/>
          <w:lang w:eastAsia="en-IE"/>
        </w:rPr>
      </w:pPr>
      <w:r w:rsidRPr="00BB465B">
        <w:rPr>
          <w:rFonts w:cs="Times New Roman"/>
          <w:i/>
          <w:sz w:val="24"/>
          <w:szCs w:val="24"/>
        </w:rPr>
        <w:t xml:space="preserve"> </w:t>
      </w:r>
      <w:r w:rsidR="00BB465B" w:rsidRPr="00BB465B">
        <w:rPr>
          <w:rFonts w:eastAsia="Times New Roman" w:cs="Times New Roman"/>
          <w:i/>
          <w:color w:val="auto"/>
          <w:sz w:val="24"/>
          <w:szCs w:val="24"/>
          <w:lang w:eastAsia="en-IE"/>
        </w:rPr>
        <w:t xml:space="preserve">“Having read and considered your request that I exercise discretion so that your International Protection claim would be determined in this jurisdiction, I am satisfied that the materials submitted by you on your behalf do not disclose any humanitarian or compassionate ground such that I would invoke Article 17(1) of Dublin III of the above regulations. In the circumstances, I am satisfied that transfer to the responsible Member State, Belgium, should proceed. </w:t>
      </w:r>
    </w:p>
    <w:p w14:paraId="54971750" w14:textId="77777777" w:rsidR="00BB465B" w:rsidRDefault="00BB465B" w:rsidP="00BB465B">
      <w:pPr>
        <w:spacing w:line="480" w:lineRule="auto"/>
        <w:ind w:left="1418"/>
        <w:jc w:val="both"/>
        <w:rPr>
          <w:rFonts w:eastAsia="Times New Roman" w:cs="Times New Roman"/>
          <w:i/>
          <w:color w:val="auto"/>
          <w:sz w:val="24"/>
          <w:szCs w:val="24"/>
          <w:lang w:eastAsia="en-IE"/>
        </w:rPr>
      </w:pPr>
      <w:r w:rsidRPr="00BB465B">
        <w:rPr>
          <w:rFonts w:eastAsia="Times New Roman" w:cs="Times New Roman"/>
          <w:i/>
          <w:color w:val="auto"/>
          <w:sz w:val="24"/>
          <w:szCs w:val="24"/>
          <w:lang w:eastAsia="en-IE"/>
        </w:rPr>
        <w:t xml:space="preserve">The decision has been reached following a review of the representations made on your behalf on 14 September 2021, but also having reviewed the entirety of the information available to the Minister. A summary of the reasons include the following: </w:t>
      </w:r>
    </w:p>
    <w:p w14:paraId="45699C00" w14:textId="77777777" w:rsidR="00BB465B" w:rsidRDefault="00BB465B" w:rsidP="00BB465B">
      <w:pPr>
        <w:spacing w:line="480" w:lineRule="auto"/>
        <w:ind w:left="1701"/>
        <w:jc w:val="both"/>
        <w:rPr>
          <w:rFonts w:eastAsia="Times New Roman" w:cs="Times New Roman"/>
          <w:i/>
          <w:color w:val="auto"/>
          <w:sz w:val="24"/>
          <w:szCs w:val="24"/>
          <w:lang w:eastAsia="en-IE"/>
        </w:rPr>
      </w:pPr>
      <w:r w:rsidRPr="00BB465B">
        <w:rPr>
          <w:rFonts w:eastAsia="Times New Roman" w:cs="Times New Roman"/>
          <w:i/>
          <w:color w:val="auto"/>
          <w:sz w:val="24"/>
          <w:szCs w:val="24"/>
          <w:lang w:eastAsia="en-IE"/>
        </w:rPr>
        <w:t>• There is no reason to believe that there are any systemic deficiencies in the asylum system in Belgium either as alleged or at all.</w:t>
      </w:r>
    </w:p>
    <w:p w14:paraId="32ACA036" w14:textId="77777777" w:rsidR="00BB465B" w:rsidRDefault="00BB465B" w:rsidP="00BB465B">
      <w:pPr>
        <w:spacing w:line="480" w:lineRule="auto"/>
        <w:ind w:left="1701"/>
        <w:jc w:val="both"/>
        <w:rPr>
          <w:rFonts w:eastAsia="Times New Roman" w:cs="Times New Roman"/>
          <w:i/>
          <w:color w:val="auto"/>
          <w:sz w:val="24"/>
          <w:szCs w:val="24"/>
          <w:lang w:eastAsia="en-IE"/>
        </w:rPr>
      </w:pPr>
      <w:r w:rsidRPr="00BB465B">
        <w:rPr>
          <w:rFonts w:eastAsia="Times New Roman" w:cs="Times New Roman"/>
          <w:i/>
          <w:color w:val="auto"/>
          <w:sz w:val="24"/>
          <w:szCs w:val="24"/>
          <w:lang w:eastAsia="en-IE"/>
        </w:rPr>
        <w:t xml:space="preserve"> • There is nothing to indicate that a Transfer to Belgium would pose any real risk to the applicant’s Article 4 rights under the European Charter of Fundamental Rights, nor the Article 3 rights found in the European Convention on Human Rights.</w:t>
      </w:r>
    </w:p>
    <w:p w14:paraId="2649A849" w14:textId="5D6B2103" w:rsidR="00BB465B" w:rsidRDefault="00BB465B" w:rsidP="00BB465B">
      <w:pPr>
        <w:spacing w:line="480" w:lineRule="auto"/>
        <w:ind w:left="1701"/>
        <w:jc w:val="both"/>
        <w:rPr>
          <w:rFonts w:eastAsia="Times New Roman" w:cs="Times New Roman"/>
          <w:i/>
          <w:color w:val="auto"/>
          <w:sz w:val="24"/>
          <w:szCs w:val="24"/>
          <w:lang w:eastAsia="en-IE"/>
        </w:rPr>
      </w:pPr>
      <w:r w:rsidRPr="00BB465B">
        <w:rPr>
          <w:rFonts w:eastAsia="Times New Roman" w:cs="Times New Roman"/>
          <w:i/>
          <w:color w:val="auto"/>
          <w:sz w:val="24"/>
          <w:szCs w:val="24"/>
          <w:lang w:eastAsia="en-IE"/>
        </w:rPr>
        <w:lastRenderedPageBreak/>
        <w:t xml:space="preserve"> • It is noted from the representations received that the applicant has begun to settle and has engaged in educational pursuits and has made connections in the local community and further note other letters of support in respect of Ms K</w:t>
      </w:r>
      <w:r w:rsidR="00002A0B">
        <w:rPr>
          <w:rFonts w:eastAsia="Times New Roman" w:cs="Times New Roman"/>
          <w:i/>
          <w:color w:val="auto"/>
          <w:sz w:val="24"/>
          <w:szCs w:val="24"/>
          <w:lang w:eastAsia="en-IE"/>
        </w:rPr>
        <w:t>.</w:t>
      </w:r>
      <w:r w:rsidRPr="00BB465B">
        <w:rPr>
          <w:rFonts w:eastAsia="Times New Roman" w:cs="Times New Roman"/>
          <w:i/>
          <w:color w:val="auto"/>
          <w:sz w:val="24"/>
          <w:szCs w:val="24"/>
          <w:lang w:eastAsia="en-IE"/>
        </w:rPr>
        <w:t xml:space="preserve"> All of this was undertaken at a time when she had no reason to believe that she would be in a position to remain in the State, given the precarious nature of her presence in the State it is difficult to see how Article 8.1 rights would be engaged let alone breached. As such there are no exceptional circumstances that would merit not applying the Dublin Regulations to this case.</w:t>
      </w:r>
    </w:p>
    <w:p w14:paraId="7796FA8D" w14:textId="238AFE47" w:rsidR="00BB465B" w:rsidRPr="00BB465B" w:rsidRDefault="00BB465B" w:rsidP="00BB465B">
      <w:pPr>
        <w:spacing w:line="480" w:lineRule="auto"/>
        <w:ind w:left="1418"/>
        <w:jc w:val="both"/>
        <w:rPr>
          <w:rFonts w:eastAsia="Times New Roman" w:cs="Times New Roman"/>
          <w:i/>
          <w:color w:val="auto"/>
          <w:sz w:val="24"/>
          <w:szCs w:val="24"/>
          <w:lang w:eastAsia="en-IE"/>
        </w:rPr>
      </w:pPr>
      <w:r w:rsidRPr="00BB465B">
        <w:rPr>
          <w:rFonts w:eastAsia="Times New Roman" w:cs="Times New Roman"/>
          <w:i/>
          <w:color w:val="auto"/>
          <w:sz w:val="24"/>
          <w:szCs w:val="24"/>
          <w:lang w:eastAsia="en-IE"/>
        </w:rPr>
        <w:t xml:space="preserve"> In accordance with the provisions of Regulation (EU) No. 604/2013, your transfer to Belgium will take place as soon as practically possible.”</w:t>
      </w:r>
    </w:p>
    <w:p w14:paraId="1DCE0E8F" w14:textId="2E9CD432" w:rsidR="004B2964" w:rsidRDefault="00A30F5B" w:rsidP="00BB465B">
      <w:pPr>
        <w:autoSpaceDE w:val="0"/>
        <w:autoSpaceDN w:val="0"/>
        <w:adjustRightInd w:val="0"/>
        <w:spacing w:after="0" w:line="480" w:lineRule="auto"/>
        <w:jc w:val="both"/>
        <w:rPr>
          <w:rFonts w:cs="Times New Roman"/>
          <w:sz w:val="24"/>
          <w:szCs w:val="24"/>
        </w:rPr>
      </w:pPr>
      <w:r>
        <w:rPr>
          <w:rFonts w:cs="Times New Roman"/>
          <w:sz w:val="24"/>
          <w:szCs w:val="24"/>
        </w:rPr>
        <w:tab/>
        <w:t xml:space="preserve">In his judgment, Ferriter J refers to this decision as </w:t>
      </w:r>
      <w:r w:rsidR="002D59A7">
        <w:rPr>
          <w:rFonts w:cs="Times New Roman"/>
          <w:sz w:val="24"/>
          <w:szCs w:val="24"/>
        </w:rPr>
        <w:t>“</w:t>
      </w:r>
      <w:r w:rsidRPr="00A30F5B">
        <w:rPr>
          <w:rFonts w:cs="Times New Roman"/>
          <w:i/>
          <w:sz w:val="24"/>
          <w:szCs w:val="24"/>
        </w:rPr>
        <w:t>the Article 17 Decision”</w:t>
      </w:r>
      <w:r>
        <w:rPr>
          <w:rFonts w:cs="Times New Roman"/>
          <w:sz w:val="24"/>
          <w:szCs w:val="24"/>
        </w:rPr>
        <w:t xml:space="preserve"> and I shall </w:t>
      </w:r>
      <w:r>
        <w:rPr>
          <w:rFonts w:cs="Times New Roman"/>
          <w:sz w:val="24"/>
          <w:szCs w:val="24"/>
        </w:rPr>
        <w:tab/>
        <w:t>adopt that description also.</w:t>
      </w:r>
    </w:p>
    <w:p w14:paraId="14FB66C0" w14:textId="77777777" w:rsidR="00A30F5B" w:rsidRDefault="00A30F5B" w:rsidP="00BB465B">
      <w:pPr>
        <w:autoSpaceDE w:val="0"/>
        <w:autoSpaceDN w:val="0"/>
        <w:adjustRightInd w:val="0"/>
        <w:spacing w:after="0" w:line="480" w:lineRule="auto"/>
        <w:jc w:val="both"/>
        <w:rPr>
          <w:rFonts w:cs="Times New Roman"/>
          <w:sz w:val="24"/>
          <w:szCs w:val="24"/>
        </w:rPr>
      </w:pPr>
    </w:p>
    <w:p w14:paraId="78B45725" w14:textId="42560740" w:rsidR="00BB465B" w:rsidRDefault="00BB465B" w:rsidP="00BB465B">
      <w:pPr>
        <w:autoSpaceDE w:val="0"/>
        <w:autoSpaceDN w:val="0"/>
        <w:adjustRightInd w:val="0"/>
        <w:spacing w:after="0" w:line="480" w:lineRule="auto"/>
        <w:jc w:val="center"/>
        <w:rPr>
          <w:rFonts w:cs="Times New Roman"/>
          <w:sz w:val="24"/>
          <w:szCs w:val="24"/>
        </w:rPr>
      </w:pPr>
      <w:r>
        <w:rPr>
          <w:rFonts w:cs="Times New Roman"/>
          <w:sz w:val="24"/>
          <w:szCs w:val="24"/>
        </w:rPr>
        <w:t>____________________________</w:t>
      </w:r>
    </w:p>
    <w:p w14:paraId="2B903DC6" w14:textId="579E901F" w:rsidR="00BB465B" w:rsidRDefault="00BB465B" w:rsidP="00BB465B">
      <w:pPr>
        <w:rPr>
          <w:rFonts w:cs="Times New Roman"/>
          <w:sz w:val="24"/>
          <w:szCs w:val="24"/>
        </w:rPr>
      </w:pPr>
      <w:r>
        <w:rPr>
          <w:rFonts w:cs="Times New Roman"/>
          <w:sz w:val="24"/>
          <w:szCs w:val="24"/>
        </w:rPr>
        <w:br w:type="page"/>
      </w:r>
    </w:p>
    <w:p w14:paraId="1433C0D9" w14:textId="3C287C53" w:rsidR="00BB465B" w:rsidRPr="00A30F5B" w:rsidRDefault="00BB465B" w:rsidP="00BB465B">
      <w:pPr>
        <w:autoSpaceDE w:val="0"/>
        <w:autoSpaceDN w:val="0"/>
        <w:adjustRightInd w:val="0"/>
        <w:spacing w:after="0" w:line="480" w:lineRule="auto"/>
        <w:jc w:val="center"/>
        <w:rPr>
          <w:rFonts w:cs="Times New Roman"/>
          <w:b/>
          <w:sz w:val="24"/>
          <w:szCs w:val="24"/>
        </w:rPr>
      </w:pPr>
      <w:r w:rsidRPr="00A30F5B">
        <w:rPr>
          <w:rFonts w:cs="Times New Roman"/>
          <w:b/>
          <w:sz w:val="24"/>
          <w:szCs w:val="24"/>
        </w:rPr>
        <w:lastRenderedPageBreak/>
        <w:t>THE PROCEEDINGS</w:t>
      </w:r>
    </w:p>
    <w:p w14:paraId="78365876" w14:textId="77777777" w:rsidR="00BB465B" w:rsidRDefault="00BB465B" w:rsidP="00BB465B">
      <w:pPr>
        <w:autoSpaceDE w:val="0"/>
        <w:autoSpaceDN w:val="0"/>
        <w:adjustRightInd w:val="0"/>
        <w:spacing w:after="0" w:line="480" w:lineRule="auto"/>
        <w:jc w:val="both"/>
        <w:rPr>
          <w:rFonts w:cs="Times New Roman"/>
          <w:sz w:val="24"/>
          <w:szCs w:val="24"/>
        </w:rPr>
      </w:pPr>
    </w:p>
    <w:p w14:paraId="3F528C5E" w14:textId="04666373" w:rsidR="00734257" w:rsidRDefault="00BB465B" w:rsidP="00734257">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 xml:space="preserve">The Applicant had filed judicial review papers </w:t>
      </w:r>
      <w:r w:rsidR="00A30F5B">
        <w:rPr>
          <w:rFonts w:cs="Times New Roman"/>
          <w:sz w:val="24"/>
          <w:szCs w:val="24"/>
        </w:rPr>
        <w:t xml:space="preserve">on 23 September 2021 (the same day as the Article 17 Decision). It appears that, as drafted, the principal relief sought in the Statement of Grounds was an order of </w:t>
      </w:r>
      <w:r w:rsidR="00A30F5B" w:rsidRPr="00A30F5B">
        <w:rPr>
          <w:rFonts w:cs="Times New Roman"/>
          <w:i/>
          <w:sz w:val="24"/>
          <w:szCs w:val="24"/>
        </w:rPr>
        <w:t>mandamus</w:t>
      </w:r>
      <w:r w:rsidR="00A30F5B">
        <w:rPr>
          <w:rFonts w:cs="Times New Roman"/>
          <w:sz w:val="24"/>
          <w:szCs w:val="24"/>
        </w:rPr>
        <w:t xml:space="preserve"> directing the Minister to make a decision on the Article 17(1) application. When the application for leave was moved before the High Court (Heslin J) on the following day, 24 September 2021, </w:t>
      </w:r>
      <w:r w:rsidR="00D910DC">
        <w:rPr>
          <w:rFonts w:cs="Times New Roman"/>
          <w:sz w:val="24"/>
          <w:szCs w:val="24"/>
        </w:rPr>
        <w:t>Heslin J</w:t>
      </w:r>
      <w:r w:rsidR="00A30F5B">
        <w:rPr>
          <w:rFonts w:cs="Times New Roman"/>
          <w:sz w:val="24"/>
          <w:szCs w:val="24"/>
        </w:rPr>
        <w:t xml:space="preserve"> gave leave to amend the Statement of Grounds to delete the relief of </w:t>
      </w:r>
      <w:r w:rsidR="00A30F5B" w:rsidRPr="00A30F5B">
        <w:rPr>
          <w:rFonts w:cs="Times New Roman"/>
          <w:i/>
          <w:sz w:val="24"/>
          <w:szCs w:val="24"/>
        </w:rPr>
        <w:t>mandamus</w:t>
      </w:r>
      <w:r w:rsidR="00A30F5B">
        <w:rPr>
          <w:rFonts w:cs="Times New Roman"/>
          <w:sz w:val="24"/>
          <w:szCs w:val="24"/>
        </w:rPr>
        <w:t xml:space="preserve"> and to </w:t>
      </w:r>
      <w:r w:rsidR="00D910DC">
        <w:rPr>
          <w:rFonts w:cs="Times New Roman"/>
          <w:sz w:val="24"/>
          <w:szCs w:val="24"/>
        </w:rPr>
        <w:t>seek instead an</w:t>
      </w:r>
      <w:r w:rsidR="00A30F5B">
        <w:rPr>
          <w:rFonts w:cs="Times New Roman"/>
          <w:sz w:val="24"/>
          <w:szCs w:val="24"/>
        </w:rPr>
        <w:t xml:space="preserve"> order of </w:t>
      </w:r>
      <w:r w:rsidR="00A30F5B" w:rsidRPr="00A30F5B">
        <w:rPr>
          <w:rFonts w:cs="Times New Roman"/>
          <w:i/>
          <w:sz w:val="24"/>
          <w:szCs w:val="24"/>
        </w:rPr>
        <w:t>certiorari</w:t>
      </w:r>
      <w:r w:rsidR="00A30F5B">
        <w:rPr>
          <w:rFonts w:cs="Times New Roman"/>
          <w:sz w:val="24"/>
          <w:szCs w:val="24"/>
        </w:rPr>
        <w:t xml:space="preserve"> of the Article 17 Decision. An injunction restraining the Minister from taking any further steps in relation to the removal of the Applicant from the State pending the determination of the judicial review proceedings was also sought</w:t>
      </w:r>
      <w:r w:rsidR="00734257">
        <w:rPr>
          <w:rFonts w:cs="Times New Roman"/>
          <w:sz w:val="24"/>
          <w:szCs w:val="24"/>
        </w:rPr>
        <w:t>. These are the only substantive reliefs sought in the Amended Statement and the only reliefs that the Applicant was given leave to apply for by Heslin J.</w:t>
      </w:r>
    </w:p>
    <w:p w14:paraId="6701F6E3" w14:textId="77777777" w:rsidR="00D910DC" w:rsidRPr="00BE1281" w:rsidRDefault="00D910DC" w:rsidP="00D910DC">
      <w:pPr>
        <w:pStyle w:val="ListParagraph"/>
        <w:autoSpaceDE w:val="0"/>
        <w:autoSpaceDN w:val="0"/>
        <w:adjustRightInd w:val="0"/>
        <w:spacing w:after="0" w:line="480" w:lineRule="auto"/>
        <w:jc w:val="both"/>
        <w:rPr>
          <w:rFonts w:cs="Times New Roman"/>
          <w:sz w:val="24"/>
          <w:szCs w:val="24"/>
        </w:rPr>
      </w:pPr>
    </w:p>
    <w:p w14:paraId="5CF00BDF" w14:textId="4D7B625F" w:rsidR="00734257" w:rsidRDefault="00734257" w:rsidP="00BB465B">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A number of “</w:t>
      </w:r>
      <w:r w:rsidRPr="00734257">
        <w:rPr>
          <w:rFonts w:cs="Times New Roman"/>
          <w:i/>
          <w:sz w:val="24"/>
          <w:szCs w:val="24"/>
        </w:rPr>
        <w:t>legal grounds</w:t>
      </w:r>
      <w:r>
        <w:rPr>
          <w:rFonts w:cs="Times New Roman"/>
          <w:sz w:val="24"/>
          <w:szCs w:val="24"/>
        </w:rPr>
        <w:t xml:space="preserve">” are set out in the Amended Statement, only one of which </w:t>
      </w:r>
      <w:r w:rsidR="00E26540">
        <w:rPr>
          <w:rFonts w:cs="Times New Roman"/>
          <w:sz w:val="24"/>
          <w:szCs w:val="24"/>
        </w:rPr>
        <w:t>appears to be</w:t>
      </w:r>
      <w:r>
        <w:rPr>
          <w:rFonts w:cs="Times New Roman"/>
          <w:sz w:val="24"/>
          <w:szCs w:val="24"/>
        </w:rPr>
        <w:t xml:space="preserve"> directed to the Article 17 Decision. As amended, it reads as follows:  </w:t>
      </w:r>
    </w:p>
    <w:p w14:paraId="66569ED9" w14:textId="14D27AFF" w:rsidR="00734257" w:rsidRDefault="00734257" w:rsidP="00734257">
      <w:pPr>
        <w:autoSpaceDE w:val="0"/>
        <w:autoSpaceDN w:val="0"/>
        <w:adjustRightInd w:val="0"/>
        <w:spacing w:after="0" w:line="480" w:lineRule="auto"/>
        <w:jc w:val="both"/>
        <w:rPr>
          <w:rFonts w:cs="Times New Roman"/>
          <w:sz w:val="24"/>
          <w:szCs w:val="24"/>
        </w:rPr>
      </w:pPr>
    </w:p>
    <w:p w14:paraId="69F11555" w14:textId="77777777" w:rsidR="00734257" w:rsidRDefault="00734257" w:rsidP="00734257">
      <w:pPr>
        <w:spacing w:after="0" w:line="480" w:lineRule="auto"/>
        <w:ind w:left="1418"/>
        <w:jc w:val="both"/>
        <w:rPr>
          <w:rFonts w:eastAsia="Times New Roman" w:cs="Times New Roman"/>
          <w:i/>
          <w:color w:val="auto"/>
          <w:sz w:val="24"/>
          <w:szCs w:val="24"/>
          <w:lang w:eastAsia="en-IE"/>
        </w:rPr>
      </w:pPr>
      <w:r w:rsidRPr="00734257">
        <w:rPr>
          <w:rFonts w:eastAsia="Times New Roman" w:cs="Times New Roman"/>
          <w:b/>
          <w:i/>
          <w:color w:val="auto"/>
          <w:sz w:val="24"/>
          <w:szCs w:val="24"/>
          <w:u w:val="single"/>
          <w:lang w:eastAsia="en-IE"/>
        </w:rPr>
        <w:t>“Unfairness/irrationality and abuse of discretion</w:t>
      </w:r>
      <w:r w:rsidRPr="00734257">
        <w:rPr>
          <w:rFonts w:eastAsia="Times New Roman" w:cs="Times New Roman"/>
          <w:i/>
          <w:color w:val="auto"/>
          <w:sz w:val="24"/>
          <w:szCs w:val="24"/>
          <w:lang w:eastAsia="en-IE"/>
        </w:rPr>
        <w:t xml:space="preserve">: In making the Impugned Decision the Respondent has fettered her discretion and/or given no adequate regard to the Applicant’s rights under Articles 4 and/or 7 of the Charter and/or Articles 3 and/or 8 ECHR, having regard to the Respondent’s obligations under s.3 of the European Convention on Human Rights 2003, in the following respect: </w:t>
      </w:r>
    </w:p>
    <w:p w14:paraId="1A258A1B" w14:textId="77777777" w:rsidR="00734257" w:rsidRDefault="00734257" w:rsidP="00734257">
      <w:pPr>
        <w:spacing w:after="0" w:line="480" w:lineRule="auto"/>
        <w:ind w:left="1418"/>
        <w:jc w:val="both"/>
        <w:rPr>
          <w:rFonts w:eastAsia="Times New Roman" w:cs="Times New Roman"/>
          <w:i/>
          <w:color w:val="auto"/>
          <w:sz w:val="24"/>
          <w:szCs w:val="24"/>
          <w:lang w:eastAsia="en-IE"/>
        </w:rPr>
      </w:pPr>
      <w:r w:rsidRPr="00734257">
        <w:rPr>
          <w:rFonts w:eastAsia="Times New Roman" w:cs="Times New Roman"/>
          <w:i/>
          <w:color w:val="auto"/>
          <w:sz w:val="24"/>
          <w:szCs w:val="24"/>
          <w:lang w:eastAsia="en-IE"/>
        </w:rPr>
        <w:t xml:space="preserve">(i) The Respondent has given no adequate regard to the Applicant’s submissions that transfer to Belgium in the current circumstances would expose her to high </w:t>
      </w:r>
      <w:r w:rsidRPr="00734257">
        <w:rPr>
          <w:rFonts w:eastAsia="Times New Roman" w:cs="Times New Roman"/>
          <w:i/>
          <w:color w:val="auto"/>
          <w:sz w:val="24"/>
          <w:szCs w:val="24"/>
          <w:lang w:eastAsia="en-IE"/>
        </w:rPr>
        <w:lastRenderedPageBreak/>
        <w:t xml:space="preserve">risk of infection and/or detention, contrary to Arts. 4,6 and 7 Charter/Arts. 3,5 and 8 ECHR; </w:t>
      </w:r>
    </w:p>
    <w:p w14:paraId="247775F0" w14:textId="77777777" w:rsidR="00734257" w:rsidRDefault="00734257" w:rsidP="00734257">
      <w:pPr>
        <w:spacing w:after="0" w:line="480" w:lineRule="auto"/>
        <w:ind w:left="1418"/>
        <w:jc w:val="both"/>
        <w:rPr>
          <w:rFonts w:eastAsia="Times New Roman" w:cs="Times New Roman"/>
          <w:i/>
          <w:color w:val="auto"/>
          <w:sz w:val="24"/>
          <w:szCs w:val="24"/>
          <w:lang w:eastAsia="en-IE"/>
        </w:rPr>
      </w:pPr>
    </w:p>
    <w:p w14:paraId="6D914B67" w14:textId="55574C13" w:rsidR="00375FE4" w:rsidRDefault="00734257" w:rsidP="00734257">
      <w:pPr>
        <w:spacing w:after="0" w:line="480" w:lineRule="auto"/>
        <w:ind w:left="1418"/>
        <w:jc w:val="both"/>
        <w:rPr>
          <w:rFonts w:eastAsia="Times New Roman" w:cs="Times New Roman"/>
          <w:i/>
          <w:color w:val="auto"/>
          <w:sz w:val="24"/>
          <w:szCs w:val="24"/>
          <w:lang w:eastAsia="en-IE"/>
        </w:rPr>
      </w:pPr>
      <w:r w:rsidRPr="00734257">
        <w:rPr>
          <w:rFonts w:eastAsia="Times New Roman" w:cs="Times New Roman"/>
          <w:i/>
          <w:color w:val="auto"/>
          <w:sz w:val="24"/>
          <w:szCs w:val="24"/>
          <w:lang w:eastAsia="en-IE"/>
        </w:rPr>
        <w:t xml:space="preserve">(ii) Contrary to Art. 7 Charter/Art. 8 ECHR, the Respondent has given no adequate regard to the Applicant’s integration into the State, or to the period of </w:t>
      </w:r>
      <w:r w:rsidR="00DA5408">
        <w:rPr>
          <w:rFonts w:eastAsia="Times New Roman" w:cs="Times New Roman"/>
          <w:i/>
          <w:color w:val="auto"/>
          <w:sz w:val="24"/>
          <w:szCs w:val="24"/>
          <w:lang w:eastAsia="en-IE"/>
        </w:rPr>
        <w:t>[time]</w:t>
      </w:r>
      <w:r w:rsidR="00DA5408">
        <w:rPr>
          <w:rStyle w:val="FootnoteReference"/>
          <w:rFonts w:eastAsia="Times New Roman" w:cs="Times New Roman"/>
          <w:i/>
          <w:color w:val="auto"/>
          <w:sz w:val="24"/>
          <w:szCs w:val="24"/>
          <w:lang w:eastAsia="en-IE"/>
        </w:rPr>
        <w:footnoteReference w:id="2"/>
      </w:r>
      <w:r w:rsidRPr="00734257">
        <w:rPr>
          <w:rFonts w:eastAsia="Times New Roman" w:cs="Times New Roman"/>
          <w:i/>
          <w:color w:val="auto"/>
          <w:sz w:val="24"/>
          <w:szCs w:val="24"/>
          <w:lang w:eastAsia="en-IE"/>
        </w:rPr>
        <w:t xml:space="preserve"> she has spent in the State (three years) in contrast to the brief period of time (two days) she spent in Belgium. The Respondent has erred in finding that the Applicant’s Article 8.1 ECHR rights (or Art. 7 Charter rights) have not been engaged or breached.</w:t>
      </w:r>
    </w:p>
    <w:p w14:paraId="689D5299" w14:textId="77777777" w:rsidR="00375FE4" w:rsidRDefault="00375FE4" w:rsidP="00734257">
      <w:pPr>
        <w:spacing w:after="0" w:line="480" w:lineRule="auto"/>
        <w:ind w:left="1418"/>
        <w:jc w:val="both"/>
        <w:rPr>
          <w:rFonts w:eastAsia="Times New Roman" w:cs="Times New Roman"/>
          <w:i/>
          <w:color w:val="auto"/>
          <w:sz w:val="24"/>
          <w:szCs w:val="24"/>
          <w:lang w:eastAsia="en-IE"/>
        </w:rPr>
      </w:pPr>
    </w:p>
    <w:p w14:paraId="4313B017" w14:textId="77777777" w:rsidR="00375FE4" w:rsidRDefault="00734257" w:rsidP="00734257">
      <w:pPr>
        <w:spacing w:after="0" w:line="480" w:lineRule="auto"/>
        <w:ind w:left="1418"/>
        <w:jc w:val="both"/>
        <w:rPr>
          <w:rFonts w:eastAsia="Times New Roman" w:cs="Times New Roman"/>
          <w:i/>
          <w:color w:val="auto"/>
          <w:sz w:val="24"/>
          <w:szCs w:val="24"/>
          <w:lang w:eastAsia="en-IE"/>
        </w:rPr>
      </w:pPr>
      <w:r w:rsidRPr="00734257">
        <w:rPr>
          <w:rFonts w:eastAsia="Times New Roman" w:cs="Times New Roman"/>
          <w:i/>
          <w:color w:val="auto"/>
          <w:sz w:val="24"/>
          <w:szCs w:val="24"/>
          <w:lang w:eastAsia="en-IE"/>
        </w:rPr>
        <w:t xml:space="preserve"> (iii) The Respondent has erred in law and/or fettered her discretion in suggesting that the Applicant is required to demonstrate “exceptional circumstances” for the application of the Dublin Regulations to her case.</w:t>
      </w:r>
    </w:p>
    <w:p w14:paraId="5C9C33A1" w14:textId="77777777" w:rsidR="00375FE4" w:rsidRDefault="00375FE4" w:rsidP="00734257">
      <w:pPr>
        <w:spacing w:after="0" w:line="480" w:lineRule="auto"/>
        <w:ind w:left="1418"/>
        <w:jc w:val="both"/>
        <w:rPr>
          <w:rFonts w:eastAsia="Times New Roman" w:cs="Times New Roman"/>
          <w:i/>
          <w:color w:val="auto"/>
          <w:sz w:val="24"/>
          <w:szCs w:val="24"/>
          <w:lang w:eastAsia="en-IE"/>
        </w:rPr>
      </w:pPr>
    </w:p>
    <w:p w14:paraId="78FB03BB" w14:textId="65572E68" w:rsidR="00734257" w:rsidRPr="00734257" w:rsidRDefault="00734257" w:rsidP="00734257">
      <w:pPr>
        <w:spacing w:after="0" w:line="480" w:lineRule="auto"/>
        <w:ind w:left="1418"/>
        <w:jc w:val="both"/>
        <w:rPr>
          <w:rFonts w:eastAsia="Times New Roman" w:cs="Times New Roman"/>
          <w:i/>
          <w:color w:val="auto"/>
          <w:sz w:val="24"/>
          <w:szCs w:val="24"/>
          <w:lang w:eastAsia="en-IE"/>
        </w:rPr>
      </w:pPr>
      <w:r w:rsidRPr="00734257">
        <w:rPr>
          <w:rFonts w:eastAsia="Times New Roman" w:cs="Times New Roman"/>
          <w:i/>
          <w:color w:val="auto"/>
          <w:sz w:val="24"/>
          <w:szCs w:val="24"/>
          <w:lang w:eastAsia="en-IE"/>
        </w:rPr>
        <w:t xml:space="preserve"> (iv) The Respondent erred in fact and/or abused her discretion and/or acted unfairly in finding that the material submitted on the Applicant’s behalf “do not disclose any humanitarian or compassionate ground.”</w:t>
      </w:r>
    </w:p>
    <w:p w14:paraId="1A09DB81" w14:textId="2D2214EF" w:rsidR="00734257" w:rsidRDefault="00734257" w:rsidP="00734257">
      <w:pPr>
        <w:autoSpaceDE w:val="0"/>
        <w:autoSpaceDN w:val="0"/>
        <w:adjustRightInd w:val="0"/>
        <w:spacing w:after="0" w:line="480" w:lineRule="auto"/>
        <w:jc w:val="both"/>
        <w:rPr>
          <w:rFonts w:cs="Times New Roman"/>
          <w:sz w:val="24"/>
          <w:szCs w:val="24"/>
        </w:rPr>
      </w:pPr>
    </w:p>
    <w:p w14:paraId="0F89EBF8" w14:textId="4C30341D" w:rsidR="00BE1281" w:rsidRDefault="00BE1281" w:rsidP="00BE1281">
      <w:pPr>
        <w:autoSpaceDE w:val="0"/>
        <w:autoSpaceDN w:val="0"/>
        <w:adjustRightInd w:val="0"/>
        <w:spacing w:after="0" w:line="480" w:lineRule="auto"/>
        <w:ind w:left="709"/>
        <w:jc w:val="both"/>
        <w:rPr>
          <w:rFonts w:cs="Times New Roman"/>
          <w:sz w:val="24"/>
          <w:szCs w:val="24"/>
        </w:rPr>
      </w:pPr>
      <w:r>
        <w:rPr>
          <w:rFonts w:cs="Times New Roman"/>
          <w:sz w:val="24"/>
          <w:szCs w:val="24"/>
        </w:rPr>
        <w:t>The Minister joins issue with these grounds in her Statement of Opposition</w:t>
      </w:r>
      <w:r w:rsidR="001E4CDE">
        <w:rPr>
          <w:rFonts w:cs="Times New Roman"/>
          <w:sz w:val="24"/>
          <w:szCs w:val="24"/>
        </w:rPr>
        <w:t>, saying that she considered all relevant matters and found that there was no basis on which to exercise the Article 17(1) discretion in favour of the Applicant.</w:t>
      </w:r>
    </w:p>
    <w:p w14:paraId="3EC2ED35" w14:textId="77777777" w:rsidR="00BE1281" w:rsidRPr="00734257" w:rsidRDefault="00BE1281" w:rsidP="00BE1281">
      <w:pPr>
        <w:autoSpaceDE w:val="0"/>
        <w:autoSpaceDN w:val="0"/>
        <w:adjustRightInd w:val="0"/>
        <w:spacing w:after="0" w:line="480" w:lineRule="auto"/>
        <w:ind w:left="709"/>
        <w:jc w:val="both"/>
        <w:rPr>
          <w:rFonts w:cs="Times New Roman"/>
          <w:sz w:val="24"/>
          <w:szCs w:val="24"/>
        </w:rPr>
      </w:pPr>
    </w:p>
    <w:p w14:paraId="125AAF9E" w14:textId="3C811D32" w:rsidR="001E4CDE" w:rsidRDefault="00375FE4" w:rsidP="00BB465B">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lastRenderedPageBreak/>
        <w:t>Of the other “</w:t>
      </w:r>
      <w:r w:rsidRPr="00375FE4">
        <w:rPr>
          <w:rFonts w:cs="Times New Roman"/>
          <w:i/>
          <w:sz w:val="24"/>
          <w:szCs w:val="24"/>
        </w:rPr>
        <w:t>legal grounds</w:t>
      </w:r>
      <w:r>
        <w:rPr>
          <w:rFonts w:cs="Times New Roman"/>
          <w:sz w:val="24"/>
          <w:szCs w:val="24"/>
        </w:rPr>
        <w:t xml:space="preserve">”, that at (e)2 appears to have no continuing relevance given that </w:t>
      </w:r>
      <w:r w:rsidRPr="00375FE4">
        <w:rPr>
          <w:rFonts w:cs="Times New Roman"/>
          <w:i/>
          <w:sz w:val="24"/>
          <w:szCs w:val="24"/>
        </w:rPr>
        <w:t>mandamus</w:t>
      </w:r>
      <w:r>
        <w:rPr>
          <w:rFonts w:cs="Times New Roman"/>
          <w:sz w:val="24"/>
          <w:szCs w:val="24"/>
        </w:rPr>
        <w:t xml:space="preserve"> is no longer being pursued. The </w:t>
      </w:r>
      <w:r w:rsidR="00A20AB0">
        <w:rPr>
          <w:rFonts w:cs="Times New Roman"/>
          <w:sz w:val="24"/>
          <w:szCs w:val="24"/>
        </w:rPr>
        <w:t xml:space="preserve">remaining ground, that </w:t>
      </w:r>
      <w:r>
        <w:rPr>
          <w:rFonts w:cs="Times New Roman"/>
          <w:sz w:val="24"/>
          <w:szCs w:val="24"/>
        </w:rPr>
        <w:t>at (e)1</w:t>
      </w:r>
      <w:r w:rsidR="00A95585">
        <w:rPr>
          <w:rFonts w:cs="Times New Roman"/>
          <w:sz w:val="24"/>
          <w:szCs w:val="24"/>
        </w:rPr>
        <w:t xml:space="preserve">, asserts that </w:t>
      </w:r>
      <w:r>
        <w:rPr>
          <w:rFonts w:cs="Times New Roman"/>
          <w:sz w:val="24"/>
          <w:szCs w:val="24"/>
        </w:rPr>
        <w:t>the Applicant’s right to an effective remedy under Article 47 of the Charter entitle</w:t>
      </w:r>
      <w:r w:rsidR="00A95585">
        <w:rPr>
          <w:rFonts w:cs="Times New Roman"/>
          <w:sz w:val="24"/>
          <w:szCs w:val="24"/>
        </w:rPr>
        <w:t>s</w:t>
      </w:r>
      <w:r>
        <w:rPr>
          <w:rFonts w:cs="Times New Roman"/>
          <w:sz w:val="24"/>
          <w:szCs w:val="24"/>
        </w:rPr>
        <w:t xml:space="preserve"> </w:t>
      </w:r>
      <w:r w:rsidR="00524295">
        <w:rPr>
          <w:rFonts w:cs="Times New Roman"/>
          <w:sz w:val="24"/>
          <w:szCs w:val="24"/>
        </w:rPr>
        <w:t>her</w:t>
      </w:r>
      <w:r>
        <w:rPr>
          <w:rFonts w:cs="Times New Roman"/>
          <w:sz w:val="24"/>
          <w:szCs w:val="24"/>
        </w:rPr>
        <w:t xml:space="preserve"> to challenge the Article 17 Decision by way of judicial review</w:t>
      </w:r>
      <w:r w:rsidR="00DC4CEB">
        <w:rPr>
          <w:rFonts w:cs="Times New Roman"/>
          <w:sz w:val="24"/>
          <w:szCs w:val="24"/>
        </w:rPr>
        <w:t xml:space="preserve"> and</w:t>
      </w:r>
      <w:r w:rsidR="00A95585">
        <w:rPr>
          <w:rFonts w:cs="Times New Roman"/>
          <w:sz w:val="24"/>
          <w:szCs w:val="24"/>
        </w:rPr>
        <w:t xml:space="preserve"> </w:t>
      </w:r>
      <w:r w:rsidR="00BE1281">
        <w:rPr>
          <w:rFonts w:cs="Times New Roman"/>
          <w:sz w:val="24"/>
          <w:szCs w:val="24"/>
        </w:rPr>
        <w:t xml:space="preserve">says </w:t>
      </w:r>
      <w:r w:rsidR="00A95585">
        <w:rPr>
          <w:rFonts w:cs="Times New Roman"/>
          <w:sz w:val="24"/>
          <w:szCs w:val="24"/>
        </w:rPr>
        <w:t xml:space="preserve">that any implementation of the transfer decision pending the making of </w:t>
      </w:r>
      <w:r w:rsidR="00D910DC">
        <w:rPr>
          <w:rFonts w:cs="Times New Roman"/>
          <w:sz w:val="24"/>
          <w:szCs w:val="24"/>
        </w:rPr>
        <w:t xml:space="preserve">an </w:t>
      </w:r>
      <w:r w:rsidR="00A95585">
        <w:rPr>
          <w:rFonts w:cs="Times New Roman"/>
          <w:sz w:val="24"/>
          <w:szCs w:val="24"/>
        </w:rPr>
        <w:t xml:space="preserve">application for leave </w:t>
      </w:r>
      <w:r w:rsidR="00D910DC">
        <w:rPr>
          <w:rFonts w:cs="Times New Roman"/>
          <w:sz w:val="24"/>
          <w:szCs w:val="24"/>
        </w:rPr>
        <w:t xml:space="preserve">to apply for judicial review </w:t>
      </w:r>
      <w:r w:rsidR="00A95585">
        <w:rPr>
          <w:rFonts w:cs="Times New Roman"/>
          <w:sz w:val="24"/>
          <w:szCs w:val="24"/>
        </w:rPr>
        <w:t xml:space="preserve">would be unlawful. </w:t>
      </w:r>
      <w:r w:rsidR="00BC60B1">
        <w:rPr>
          <w:rFonts w:cs="Times New Roman"/>
          <w:sz w:val="24"/>
          <w:szCs w:val="24"/>
        </w:rPr>
        <w:t xml:space="preserve">Notably, ground (e)(1) makes no reference to Article 27 of Dublin III. </w:t>
      </w:r>
      <w:r w:rsidR="00BE1281">
        <w:rPr>
          <w:rFonts w:cs="Times New Roman"/>
          <w:sz w:val="24"/>
          <w:szCs w:val="24"/>
        </w:rPr>
        <w:t>That the Applicant is entitled to an effective remedy pursuant to Article 47 of the Charter is not disputed</w:t>
      </w:r>
      <w:r w:rsidR="001E4CDE">
        <w:rPr>
          <w:rFonts w:cs="Times New Roman"/>
          <w:sz w:val="24"/>
          <w:szCs w:val="24"/>
        </w:rPr>
        <w:t xml:space="preserve"> by the Minister and she</w:t>
      </w:r>
      <w:r w:rsidR="00BE1281">
        <w:rPr>
          <w:rFonts w:cs="Times New Roman"/>
          <w:sz w:val="24"/>
          <w:szCs w:val="24"/>
        </w:rPr>
        <w:t xml:space="preserve"> accepts that the Article </w:t>
      </w:r>
      <w:r w:rsidR="001E4CDE">
        <w:rPr>
          <w:rFonts w:cs="Times New Roman"/>
          <w:sz w:val="24"/>
          <w:szCs w:val="24"/>
        </w:rPr>
        <w:t>17 Decision i</w:t>
      </w:r>
      <w:r w:rsidR="00BE1281">
        <w:rPr>
          <w:rFonts w:cs="Times New Roman"/>
          <w:sz w:val="24"/>
          <w:szCs w:val="24"/>
        </w:rPr>
        <w:t>s amenable to judicial review</w:t>
      </w:r>
      <w:r w:rsidR="001E4CDE">
        <w:rPr>
          <w:rFonts w:cs="Times New Roman"/>
          <w:sz w:val="24"/>
          <w:szCs w:val="24"/>
        </w:rPr>
        <w:t>. However, the Minister does not accept that the Applicant’s entitlement to an effective remedy encompasses any entitlement to remain in the State pending an application for leave to apply for judicial review or, where leave is granted, the judicial review itself and denies that an application for judicial review of a refusal to exercise the Article 17(1) discretion in favour of an applicant have the effect of suspending a valid transfer decision (Statement of Opposition</w:t>
      </w:r>
      <w:r w:rsidR="00D910DC">
        <w:rPr>
          <w:rFonts w:cs="Times New Roman"/>
          <w:sz w:val="24"/>
          <w:szCs w:val="24"/>
        </w:rPr>
        <w:t xml:space="preserve">, para </w:t>
      </w:r>
      <w:r w:rsidR="00610A42">
        <w:rPr>
          <w:rFonts w:cs="Times New Roman"/>
          <w:sz w:val="24"/>
          <w:szCs w:val="24"/>
        </w:rPr>
        <w:t>2</w:t>
      </w:r>
      <w:r w:rsidR="001E4CDE">
        <w:rPr>
          <w:rFonts w:cs="Times New Roman"/>
          <w:sz w:val="24"/>
          <w:szCs w:val="24"/>
        </w:rPr>
        <w:t xml:space="preserve">). </w:t>
      </w:r>
    </w:p>
    <w:p w14:paraId="34A3D449" w14:textId="77777777" w:rsidR="001E4CDE" w:rsidRDefault="001E4CDE" w:rsidP="001E4CDE">
      <w:pPr>
        <w:pStyle w:val="ListParagraph"/>
        <w:autoSpaceDE w:val="0"/>
        <w:autoSpaceDN w:val="0"/>
        <w:adjustRightInd w:val="0"/>
        <w:spacing w:after="0" w:line="480" w:lineRule="auto"/>
        <w:jc w:val="both"/>
        <w:rPr>
          <w:rFonts w:cs="Times New Roman"/>
          <w:sz w:val="24"/>
          <w:szCs w:val="24"/>
        </w:rPr>
      </w:pPr>
    </w:p>
    <w:p w14:paraId="6DC82F58" w14:textId="3F6E1DE2" w:rsidR="00BC60B1" w:rsidRDefault="001E4CDE" w:rsidP="00126316">
      <w:pPr>
        <w:pStyle w:val="ListParagraph"/>
        <w:numPr>
          <w:ilvl w:val="0"/>
          <w:numId w:val="1"/>
        </w:numPr>
        <w:autoSpaceDE w:val="0"/>
        <w:autoSpaceDN w:val="0"/>
        <w:adjustRightInd w:val="0"/>
        <w:spacing w:after="0" w:line="480" w:lineRule="auto"/>
        <w:ind w:hanging="720"/>
        <w:jc w:val="both"/>
        <w:rPr>
          <w:rFonts w:cs="Times New Roman"/>
          <w:sz w:val="24"/>
          <w:szCs w:val="24"/>
        </w:rPr>
      </w:pPr>
      <w:r w:rsidRPr="00787F5E">
        <w:rPr>
          <w:rFonts w:cs="Times New Roman"/>
          <w:sz w:val="24"/>
          <w:szCs w:val="24"/>
        </w:rPr>
        <w:t xml:space="preserve">It is not entirely clear how the (e)1 ground relates to the reliefs actually sought in the Amended Statement. </w:t>
      </w:r>
      <w:r w:rsidR="00524295" w:rsidRPr="00787F5E">
        <w:rPr>
          <w:rFonts w:cs="Times New Roman"/>
          <w:sz w:val="24"/>
          <w:szCs w:val="24"/>
        </w:rPr>
        <w:t xml:space="preserve">It </w:t>
      </w:r>
      <w:r w:rsidR="00172054" w:rsidRPr="00787F5E">
        <w:rPr>
          <w:rFonts w:cs="Times New Roman"/>
          <w:sz w:val="24"/>
          <w:szCs w:val="24"/>
        </w:rPr>
        <w:t xml:space="preserve">cannot </w:t>
      </w:r>
      <w:r w:rsidR="00524295" w:rsidRPr="00787F5E">
        <w:rPr>
          <w:rFonts w:cs="Times New Roman"/>
          <w:sz w:val="24"/>
          <w:szCs w:val="24"/>
        </w:rPr>
        <w:t xml:space="preserve">be a ground for granting </w:t>
      </w:r>
      <w:r w:rsidR="00524295" w:rsidRPr="00787F5E">
        <w:rPr>
          <w:rFonts w:cs="Times New Roman"/>
          <w:i/>
          <w:sz w:val="24"/>
          <w:szCs w:val="24"/>
        </w:rPr>
        <w:t>certiorari</w:t>
      </w:r>
      <w:r w:rsidR="00524295" w:rsidRPr="00787F5E">
        <w:rPr>
          <w:rFonts w:cs="Times New Roman"/>
          <w:sz w:val="24"/>
          <w:szCs w:val="24"/>
        </w:rPr>
        <w:t xml:space="preserve"> of the Article 17 Decision. </w:t>
      </w:r>
      <w:r w:rsidR="00172054" w:rsidRPr="00787F5E">
        <w:rPr>
          <w:rFonts w:cs="Times New Roman"/>
          <w:sz w:val="24"/>
          <w:szCs w:val="24"/>
        </w:rPr>
        <w:t xml:space="preserve">No declaratory reliefs were sought by the Applicant (a point to which I will return). By process of elimination, therefore, ground (e)(1) must be directed to the only other relief sought by the Applicant, the interlocutory injunction restraining her removal </w:t>
      </w:r>
      <w:r w:rsidR="00CE1704">
        <w:rPr>
          <w:rFonts w:cs="Times New Roman"/>
          <w:sz w:val="24"/>
          <w:szCs w:val="24"/>
        </w:rPr>
        <w:t xml:space="preserve">from </w:t>
      </w:r>
      <w:r w:rsidR="00172054" w:rsidRPr="00787F5E">
        <w:rPr>
          <w:rFonts w:cs="Times New Roman"/>
          <w:sz w:val="24"/>
          <w:szCs w:val="24"/>
        </w:rPr>
        <w:t>the State</w:t>
      </w:r>
      <w:r w:rsidR="00BC60B1" w:rsidRPr="00787F5E">
        <w:rPr>
          <w:rFonts w:cs="Times New Roman"/>
          <w:sz w:val="24"/>
          <w:szCs w:val="24"/>
        </w:rPr>
        <w:t xml:space="preserve"> and ground (e)(1) must therefore be interpreted as asserting that the grant of such an injunction was, in the circumstances, a mandatory requirement of EU law, in other words that EU mandated the automatic suspension of the transfer decision in </w:t>
      </w:r>
      <w:r w:rsidR="00BC60B1" w:rsidRPr="00787F5E">
        <w:rPr>
          <w:rFonts w:cs="Times New Roman"/>
          <w:sz w:val="24"/>
          <w:szCs w:val="24"/>
        </w:rPr>
        <w:lastRenderedPageBreak/>
        <w:t>the circumstances. However, no argument appears to have</w:t>
      </w:r>
      <w:r w:rsidR="00CE1704">
        <w:rPr>
          <w:rFonts w:cs="Times New Roman"/>
          <w:sz w:val="24"/>
          <w:szCs w:val="24"/>
        </w:rPr>
        <w:t xml:space="preserve"> been</w:t>
      </w:r>
      <w:r w:rsidR="00BC60B1" w:rsidRPr="00787F5E">
        <w:rPr>
          <w:rFonts w:cs="Times New Roman"/>
          <w:sz w:val="24"/>
          <w:szCs w:val="24"/>
        </w:rPr>
        <w:t xml:space="preserve"> made to the High Court that Article 47 of the Charter mandated the automatic suspension of the transfer decision in the circumstances here. Certainly, no such argument was made to this Court on appeal. As regards Article 27, it seems clear from its terms that it does not require Member States to provide for a regime of automatic suspension of a transfer decision pending the determination of an appeal or review of it. That is one – but only one - of the options provided for in Article 27(3) of Dublin III. </w:t>
      </w:r>
      <w:r w:rsidR="00787F5E" w:rsidRPr="00787F5E">
        <w:rPr>
          <w:rFonts w:cs="Times New Roman"/>
          <w:sz w:val="24"/>
          <w:szCs w:val="24"/>
        </w:rPr>
        <w:t>That position appears to have been implicitly accepted by the Applicant before the High Court when she sought to rely on Article 27(1)(c)</w:t>
      </w:r>
      <w:r w:rsidR="00787F5E">
        <w:rPr>
          <w:rFonts w:cs="Times New Roman"/>
          <w:sz w:val="24"/>
          <w:szCs w:val="24"/>
        </w:rPr>
        <w:t>. It was explicitly accepted before this Court on appeal that the State was under no obligation to adopt the option in Article 27(1)(a).</w:t>
      </w:r>
    </w:p>
    <w:p w14:paraId="543CCF73" w14:textId="77777777" w:rsidR="00787F5E" w:rsidRPr="00787F5E" w:rsidRDefault="00787F5E" w:rsidP="00787F5E">
      <w:pPr>
        <w:pStyle w:val="ListParagraph"/>
        <w:autoSpaceDE w:val="0"/>
        <w:autoSpaceDN w:val="0"/>
        <w:adjustRightInd w:val="0"/>
        <w:spacing w:after="0" w:line="480" w:lineRule="auto"/>
        <w:jc w:val="both"/>
        <w:rPr>
          <w:rFonts w:cs="Times New Roman"/>
          <w:sz w:val="24"/>
          <w:szCs w:val="24"/>
        </w:rPr>
      </w:pPr>
    </w:p>
    <w:p w14:paraId="033202CF" w14:textId="75147E2C" w:rsidR="003C1DDA" w:rsidRDefault="00BC60B1" w:rsidP="003C1DDA">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 xml:space="preserve"> </w:t>
      </w:r>
      <w:r w:rsidR="001E4CDE">
        <w:rPr>
          <w:rFonts w:cs="Times New Roman"/>
          <w:sz w:val="24"/>
          <w:szCs w:val="24"/>
        </w:rPr>
        <w:t xml:space="preserve">In any event, </w:t>
      </w:r>
      <w:r w:rsidR="00A95585">
        <w:rPr>
          <w:rFonts w:cs="Times New Roman"/>
          <w:sz w:val="24"/>
          <w:szCs w:val="24"/>
        </w:rPr>
        <w:t xml:space="preserve">the transfer decision was not implemented </w:t>
      </w:r>
      <w:r w:rsidR="00BE1281">
        <w:rPr>
          <w:rFonts w:cs="Times New Roman"/>
          <w:sz w:val="24"/>
          <w:szCs w:val="24"/>
        </w:rPr>
        <w:t>before the Applicant had an opportunity to make a</w:t>
      </w:r>
      <w:r w:rsidR="001E4CDE">
        <w:rPr>
          <w:rFonts w:cs="Times New Roman"/>
          <w:sz w:val="24"/>
          <w:szCs w:val="24"/>
        </w:rPr>
        <w:t xml:space="preserve">n </w:t>
      </w:r>
      <w:r w:rsidR="00BE1281">
        <w:rPr>
          <w:rFonts w:cs="Times New Roman"/>
          <w:sz w:val="24"/>
          <w:szCs w:val="24"/>
        </w:rPr>
        <w:t>application</w:t>
      </w:r>
      <w:r w:rsidR="001E4CDE">
        <w:rPr>
          <w:rFonts w:cs="Times New Roman"/>
          <w:sz w:val="24"/>
          <w:szCs w:val="24"/>
        </w:rPr>
        <w:t xml:space="preserve"> for leave to apply for judicial </w:t>
      </w:r>
      <w:r w:rsidR="003C1DDA">
        <w:rPr>
          <w:rFonts w:cs="Times New Roman"/>
          <w:sz w:val="24"/>
          <w:szCs w:val="24"/>
        </w:rPr>
        <w:t xml:space="preserve">review of the Article 17(1) Decision on 24 September 2021 and on that date Heslin J granted an interim injunction restraining the Minister from taking any further steps in relation to the removal of the Applicant from the State until after 5 October 2021. On 5 October the High Court (Meenan J) </w:t>
      </w:r>
      <w:r w:rsidR="00610A42">
        <w:rPr>
          <w:rFonts w:cs="Times New Roman"/>
          <w:sz w:val="24"/>
          <w:szCs w:val="24"/>
        </w:rPr>
        <w:t>continued that</w:t>
      </w:r>
      <w:r w:rsidR="003C1DDA">
        <w:rPr>
          <w:rFonts w:cs="Times New Roman"/>
          <w:sz w:val="24"/>
          <w:szCs w:val="24"/>
        </w:rPr>
        <w:t xml:space="preserve"> injunction until after 19 October 2021. On that date the proceedings were set down for hearing – both in respect of the interlocutory injunction application and the substantive application for judicial review – on 3 November 2021. No order was made extending the interim injunction – perhaps, as </w:t>
      </w:r>
      <w:r w:rsidR="009E5C22">
        <w:rPr>
          <w:rFonts w:cs="Times New Roman"/>
          <w:sz w:val="24"/>
          <w:szCs w:val="24"/>
        </w:rPr>
        <w:t>the Judge suggests, due to an oversight</w:t>
      </w:r>
      <w:r w:rsidR="00610A42">
        <w:rPr>
          <w:rFonts w:cs="Times New Roman"/>
          <w:sz w:val="24"/>
          <w:szCs w:val="24"/>
        </w:rPr>
        <w:t xml:space="preserve"> </w:t>
      </w:r>
      <w:r w:rsidR="009E5C22">
        <w:rPr>
          <w:rFonts w:cs="Times New Roman"/>
          <w:sz w:val="24"/>
          <w:szCs w:val="24"/>
        </w:rPr>
        <w:t>– but no steps were taken to implement the transfer decision in the period before the hearing</w:t>
      </w:r>
      <w:r w:rsidR="00FF2652">
        <w:rPr>
          <w:rFonts w:cs="Times New Roman"/>
          <w:sz w:val="24"/>
          <w:szCs w:val="24"/>
        </w:rPr>
        <w:t xml:space="preserve"> in any event</w:t>
      </w:r>
      <w:r w:rsidR="009E5C22">
        <w:rPr>
          <w:rFonts w:cs="Times New Roman"/>
          <w:sz w:val="24"/>
          <w:szCs w:val="24"/>
        </w:rPr>
        <w:t xml:space="preserve">. The application for an interim injunction was renewed before the Judge on 3 November and, as </w:t>
      </w:r>
      <w:r w:rsidR="00D910DC">
        <w:rPr>
          <w:rFonts w:cs="Times New Roman"/>
          <w:sz w:val="24"/>
          <w:szCs w:val="24"/>
        </w:rPr>
        <w:t>his</w:t>
      </w:r>
      <w:r w:rsidR="009E5C22">
        <w:rPr>
          <w:rFonts w:cs="Times New Roman"/>
          <w:sz w:val="24"/>
          <w:szCs w:val="24"/>
        </w:rPr>
        <w:t xml:space="preserve"> Judgment</w:t>
      </w:r>
      <w:r w:rsidR="00D910DC">
        <w:rPr>
          <w:rFonts w:cs="Times New Roman"/>
          <w:sz w:val="24"/>
          <w:szCs w:val="24"/>
        </w:rPr>
        <w:t xml:space="preserve"> records</w:t>
      </w:r>
      <w:r w:rsidR="009E5C22">
        <w:rPr>
          <w:rFonts w:cs="Times New Roman"/>
          <w:sz w:val="24"/>
          <w:szCs w:val="24"/>
        </w:rPr>
        <w:t xml:space="preserve">, </w:t>
      </w:r>
      <w:r w:rsidR="00D910DC">
        <w:rPr>
          <w:rFonts w:cs="Times New Roman"/>
          <w:sz w:val="24"/>
          <w:szCs w:val="24"/>
        </w:rPr>
        <w:t>he</w:t>
      </w:r>
      <w:r w:rsidR="009E5C22">
        <w:rPr>
          <w:rFonts w:cs="Times New Roman"/>
          <w:sz w:val="24"/>
          <w:szCs w:val="24"/>
        </w:rPr>
        <w:t xml:space="preserve"> reflected on that application overnight </w:t>
      </w:r>
      <w:r w:rsidR="00D910DC">
        <w:rPr>
          <w:rFonts w:cs="Times New Roman"/>
          <w:sz w:val="24"/>
          <w:szCs w:val="24"/>
        </w:rPr>
        <w:t>and on 4 November</w:t>
      </w:r>
      <w:r w:rsidR="009E5C22">
        <w:rPr>
          <w:rFonts w:cs="Times New Roman"/>
          <w:sz w:val="24"/>
          <w:szCs w:val="24"/>
        </w:rPr>
        <w:t xml:space="preserve"> made an order restraining </w:t>
      </w:r>
      <w:r w:rsidR="009E5C22">
        <w:rPr>
          <w:rFonts w:cs="Times New Roman"/>
          <w:sz w:val="24"/>
          <w:szCs w:val="24"/>
        </w:rPr>
        <w:lastRenderedPageBreak/>
        <w:t>removal until after 18 November. The Judge gave his Judgment on that date dismissing the applications before him and discharging the interim injunction granted on 4 November. However, the Order ultimately made by the Judge on 22 November put a stay on the discharge of the interim injunction until 26 November. Th</w:t>
      </w:r>
      <w:r w:rsidR="00FF2652">
        <w:rPr>
          <w:rFonts w:cs="Times New Roman"/>
          <w:sz w:val="24"/>
          <w:szCs w:val="24"/>
        </w:rPr>
        <w:t>at allowed the</w:t>
      </w:r>
      <w:r w:rsidR="009E5C22">
        <w:rPr>
          <w:rFonts w:cs="Times New Roman"/>
          <w:sz w:val="24"/>
          <w:szCs w:val="24"/>
        </w:rPr>
        <w:t xml:space="preserve"> Applicant </w:t>
      </w:r>
      <w:r w:rsidR="00FF2652">
        <w:rPr>
          <w:rFonts w:cs="Times New Roman"/>
          <w:sz w:val="24"/>
          <w:szCs w:val="24"/>
        </w:rPr>
        <w:t xml:space="preserve">an opportunity to apply </w:t>
      </w:r>
      <w:r w:rsidR="009E5C22">
        <w:rPr>
          <w:rFonts w:cs="Times New Roman"/>
          <w:sz w:val="24"/>
          <w:szCs w:val="24"/>
        </w:rPr>
        <w:t>to this Court for a further stay on the discharge of the interim injunction and/or an interlocutory injun</w:t>
      </w:r>
      <w:r w:rsidR="00FF2652">
        <w:rPr>
          <w:rFonts w:cs="Times New Roman"/>
          <w:sz w:val="24"/>
          <w:szCs w:val="24"/>
        </w:rPr>
        <w:t>ction restraining her removal pending the determination of this appeal.</w:t>
      </w:r>
      <w:r w:rsidR="00D910DC">
        <w:rPr>
          <w:rFonts w:cs="Times New Roman"/>
          <w:sz w:val="24"/>
          <w:szCs w:val="24"/>
        </w:rPr>
        <w:t xml:space="preserve"> That application was refused by Costello J on 10 December 2021 but, i</w:t>
      </w:r>
      <w:r w:rsidR="00FF2652">
        <w:rPr>
          <w:rFonts w:cs="Times New Roman"/>
          <w:sz w:val="24"/>
          <w:szCs w:val="24"/>
        </w:rPr>
        <w:t>n the event, no steps to transfer her were taken prior to the hearing of the appeal. At the conclusion of the appeal th</w:t>
      </w:r>
      <w:r w:rsidR="00D910DC">
        <w:rPr>
          <w:rFonts w:cs="Times New Roman"/>
          <w:sz w:val="24"/>
          <w:szCs w:val="24"/>
        </w:rPr>
        <w:t>is</w:t>
      </w:r>
      <w:r w:rsidR="00FF2652">
        <w:rPr>
          <w:rFonts w:cs="Times New Roman"/>
          <w:sz w:val="24"/>
          <w:szCs w:val="24"/>
        </w:rPr>
        <w:t xml:space="preserve"> Court granted an injunction restraining the Applicant’s removal until </w:t>
      </w:r>
      <w:r w:rsidR="003A0831">
        <w:rPr>
          <w:rFonts w:cs="Times New Roman"/>
          <w:sz w:val="24"/>
          <w:szCs w:val="24"/>
        </w:rPr>
        <w:t xml:space="preserve">tomorrow morning, Thursday 20 January 2021. </w:t>
      </w:r>
    </w:p>
    <w:p w14:paraId="3CDAA3D1" w14:textId="77777777" w:rsidR="00FF2652" w:rsidRDefault="00FF2652" w:rsidP="00FF2652">
      <w:pPr>
        <w:pStyle w:val="ListParagraph"/>
        <w:autoSpaceDE w:val="0"/>
        <w:autoSpaceDN w:val="0"/>
        <w:adjustRightInd w:val="0"/>
        <w:spacing w:after="0" w:line="480" w:lineRule="auto"/>
        <w:jc w:val="both"/>
        <w:rPr>
          <w:rFonts w:cs="Times New Roman"/>
          <w:sz w:val="24"/>
          <w:szCs w:val="24"/>
        </w:rPr>
      </w:pPr>
    </w:p>
    <w:p w14:paraId="1A514F3A" w14:textId="253B5560" w:rsidR="00FF2652" w:rsidRDefault="00FF2652" w:rsidP="00FF2652">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Thus the App</w:t>
      </w:r>
      <w:r w:rsidR="00600E6B">
        <w:rPr>
          <w:rFonts w:cs="Times New Roman"/>
          <w:sz w:val="24"/>
          <w:szCs w:val="24"/>
        </w:rPr>
        <w:t>licant</w:t>
      </w:r>
      <w:r>
        <w:rPr>
          <w:rFonts w:cs="Times New Roman"/>
          <w:sz w:val="24"/>
          <w:szCs w:val="24"/>
        </w:rPr>
        <w:t xml:space="preserve"> has had her application for judicial review, and her appeal to this Court from the refusal of that application, </w:t>
      </w:r>
      <w:r w:rsidR="00D910DC">
        <w:rPr>
          <w:rFonts w:cs="Times New Roman"/>
          <w:sz w:val="24"/>
          <w:szCs w:val="24"/>
        </w:rPr>
        <w:t xml:space="preserve">heard and determined </w:t>
      </w:r>
      <w:r w:rsidR="009E6656">
        <w:rPr>
          <w:rFonts w:cs="Times New Roman"/>
          <w:sz w:val="24"/>
          <w:szCs w:val="24"/>
        </w:rPr>
        <w:t>prior to</w:t>
      </w:r>
      <w:r w:rsidR="00D910DC">
        <w:rPr>
          <w:rFonts w:cs="Times New Roman"/>
          <w:sz w:val="24"/>
          <w:szCs w:val="24"/>
        </w:rPr>
        <w:t xml:space="preserve"> any</w:t>
      </w:r>
      <w:r w:rsidR="009E6656">
        <w:rPr>
          <w:rFonts w:cs="Times New Roman"/>
          <w:sz w:val="24"/>
          <w:szCs w:val="24"/>
        </w:rPr>
        <w:t xml:space="preserve"> implementation of the</w:t>
      </w:r>
      <w:r w:rsidR="00D910DC">
        <w:rPr>
          <w:rFonts w:cs="Times New Roman"/>
          <w:sz w:val="24"/>
          <w:szCs w:val="24"/>
        </w:rPr>
        <w:t xml:space="preserve"> transfer </w:t>
      </w:r>
      <w:r w:rsidR="009E6656">
        <w:rPr>
          <w:rFonts w:cs="Times New Roman"/>
          <w:sz w:val="24"/>
          <w:szCs w:val="24"/>
        </w:rPr>
        <w:t xml:space="preserve">order directing her removal to Belgium. That being so, and given the Applicant’s acceptance that judicial review is, in substance, an </w:t>
      </w:r>
      <w:r w:rsidR="009E6656" w:rsidRPr="009E6656">
        <w:rPr>
          <w:rFonts w:cs="Times New Roman"/>
          <w:i/>
          <w:sz w:val="24"/>
          <w:szCs w:val="24"/>
        </w:rPr>
        <w:t>“effective remedy</w:t>
      </w:r>
      <w:r w:rsidR="009E6656">
        <w:rPr>
          <w:rFonts w:cs="Times New Roman"/>
          <w:sz w:val="24"/>
          <w:szCs w:val="24"/>
        </w:rPr>
        <w:t>”, it would appear to follow that the Applicant has had an effective remedy here</w:t>
      </w:r>
      <w:r w:rsidR="00EE03DD">
        <w:rPr>
          <w:rFonts w:cs="Times New Roman"/>
          <w:sz w:val="24"/>
          <w:szCs w:val="24"/>
        </w:rPr>
        <w:t xml:space="preserve"> (</w:t>
      </w:r>
      <w:r w:rsidR="00EE03DD" w:rsidRPr="00EE03DD">
        <w:rPr>
          <w:rFonts w:cs="Times New Roman"/>
          <w:i/>
          <w:sz w:val="24"/>
          <w:szCs w:val="24"/>
        </w:rPr>
        <w:t>de facto</w:t>
      </w:r>
      <w:r w:rsidR="00EE03DD">
        <w:rPr>
          <w:rFonts w:cs="Times New Roman"/>
          <w:sz w:val="24"/>
          <w:szCs w:val="24"/>
        </w:rPr>
        <w:t xml:space="preserve"> if not </w:t>
      </w:r>
      <w:r w:rsidR="00EE03DD" w:rsidRPr="00EE03DD">
        <w:rPr>
          <w:rFonts w:cs="Times New Roman"/>
          <w:i/>
          <w:sz w:val="24"/>
          <w:szCs w:val="24"/>
        </w:rPr>
        <w:t>de jure</w:t>
      </w:r>
      <w:r w:rsidR="00EE03DD">
        <w:rPr>
          <w:rFonts w:cs="Times New Roman"/>
          <w:sz w:val="24"/>
          <w:szCs w:val="24"/>
        </w:rPr>
        <w:t>)</w:t>
      </w:r>
      <w:r w:rsidR="009E6656">
        <w:rPr>
          <w:rFonts w:cs="Times New Roman"/>
          <w:sz w:val="24"/>
          <w:szCs w:val="24"/>
        </w:rPr>
        <w:t xml:space="preserve">. In fact, that is expressly accepted by the Applicant. </w:t>
      </w:r>
      <w:r w:rsidR="00B339CE">
        <w:rPr>
          <w:rFonts w:cs="Times New Roman"/>
          <w:sz w:val="24"/>
          <w:szCs w:val="24"/>
        </w:rPr>
        <w:t>There is therefore no live concrete dispute on this issue and, a</w:t>
      </w:r>
      <w:r w:rsidR="009E6656">
        <w:rPr>
          <w:rFonts w:cs="Times New Roman"/>
          <w:sz w:val="24"/>
          <w:szCs w:val="24"/>
        </w:rPr>
        <w:t>s I shall explain, this has important implications for the scope of this appeal.</w:t>
      </w:r>
    </w:p>
    <w:p w14:paraId="7D6ED4EE" w14:textId="1FEBB70F" w:rsidR="009E6656" w:rsidRDefault="009E6656" w:rsidP="009E6656">
      <w:pPr>
        <w:pStyle w:val="ListParagraph"/>
        <w:autoSpaceDE w:val="0"/>
        <w:autoSpaceDN w:val="0"/>
        <w:adjustRightInd w:val="0"/>
        <w:spacing w:after="0" w:line="480" w:lineRule="auto"/>
        <w:jc w:val="both"/>
        <w:rPr>
          <w:rFonts w:cs="Times New Roman"/>
          <w:sz w:val="24"/>
          <w:szCs w:val="24"/>
        </w:rPr>
      </w:pPr>
    </w:p>
    <w:p w14:paraId="30DA7305" w14:textId="2DFE9FC2" w:rsidR="009E6656" w:rsidRDefault="009E6656" w:rsidP="009E6656">
      <w:pPr>
        <w:pStyle w:val="ListParagraph"/>
        <w:autoSpaceDE w:val="0"/>
        <w:autoSpaceDN w:val="0"/>
        <w:adjustRightInd w:val="0"/>
        <w:spacing w:after="0" w:line="480" w:lineRule="auto"/>
        <w:jc w:val="center"/>
        <w:rPr>
          <w:rFonts w:cs="Times New Roman"/>
          <w:sz w:val="24"/>
          <w:szCs w:val="24"/>
        </w:rPr>
      </w:pPr>
      <w:r>
        <w:rPr>
          <w:rFonts w:cs="Times New Roman"/>
          <w:sz w:val="24"/>
          <w:szCs w:val="24"/>
        </w:rPr>
        <w:t>__________________________________</w:t>
      </w:r>
    </w:p>
    <w:p w14:paraId="08612FFC" w14:textId="796C7A64" w:rsidR="009E6656" w:rsidRDefault="009E6656" w:rsidP="00B339CE">
      <w:pPr>
        <w:jc w:val="center"/>
        <w:rPr>
          <w:rFonts w:cs="Times New Roman"/>
          <w:b/>
          <w:sz w:val="24"/>
          <w:szCs w:val="24"/>
        </w:rPr>
      </w:pPr>
      <w:r>
        <w:rPr>
          <w:rFonts w:cs="Times New Roman"/>
          <w:sz w:val="24"/>
          <w:szCs w:val="24"/>
        </w:rPr>
        <w:br w:type="page"/>
      </w:r>
      <w:r w:rsidRPr="009E6656">
        <w:rPr>
          <w:rFonts w:cs="Times New Roman"/>
          <w:b/>
          <w:sz w:val="24"/>
          <w:szCs w:val="24"/>
        </w:rPr>
        <w:lastRenderedPageBreak/>
        <w:t>THE HIGH COURT JUDGMENT</w:t>
      </w:r>
    </w:p>
    <w:p w14:paraId="782D6D8B" w14:textId="77777777" w:rsidR="009E6656" w:rsidRPr="009E6656" w:rsidRDefault="009E6656" w:rsidP="009E6656">
      <w:pPr>
        <w:pStyle w:val="ListParagraph"/>
        <w:autoSpaceDE w:val="0"/>
        <w:autoSpaceDN w:val="0"/>
        <w:adjustRightInd w:val="0"/>
        <w:spacing w:after="0" w:line="480" w:lineRule="auto"/>
        <w:ind w:left="0"/>
        <w:jc w:val="center"/>
        <w:rPr>
          <w:rFonts w:cs="Times New Roman"/>
          <w:b/>
          <w:sz w:val="24"/>
          <w:szCs w:val="24"/>
        </w:rPr>
      </w:pPr>
    </w:p>
    <w:p w14:paraId="58960611" w14:textId="04CD3B21" w:rsidR="00B339CE" w:rsidRDefault="00B339CE" w:rsidP="00FF2652">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 xml:space="preserve">The Judge delivered a </w:t>
      </w:r>
      <w:r w:rsidR="008E31A7">
        <w:rPr>
          <w:rFonts w:cs="Times New Roman"/>
          <w:sz w:val="24"/>
          <w:szCs w:val="24"/>
        </w:rPr>
        <w:t xml:space="preserve">careful and </w:t>
      </w:r>
      <w:r>
        <w:rPr>
          <w:rFonts w:cs="Times New Roman"/>
          <w:sz w:val="24"/>
          <w:szCs w:val="24"/>
        </w:rPr>
        <w:t>comprehensive Judgment on 18 November 2021</w:t>
      </w:r>
      <w:r w:rsidR="00F91918">
        <w:rPr>
          <w:rFonts w:cs="Times New Roman"/>
          <w:sz w:val="24"/>
          <w:szCs w:val="24"/>
        </w:rPr>
        <w:t xml:space="preserve">, </w:t>
      </w:r>
      <w:r>
        <w:rPr>
          <w:rFonts w:cs="Times New Roman"/>
          <w:sz w:val="24"/>
          <w:szCs w:val="24"/>
        </w:rPr>
        <w:t>address</w:t>
      </w:r>
      <w:r w:rsidR="00F91918">
        <w:rPr>
          <w:rFonts w:cs="Times New Roman"/>
          <w:sz w:val="24"/>
          <w:szCs w:val="24"/>
        </w:rPr>
        <w:t>ing</w:t>
      </w:r>
      <w:r>
        <w:rPr>
          <w:rFonts w:cs="Times New Roman"/>
          <w:sz w:val="24"/>
          <w:szCs w:val="24"/>
        </w:rPr>
        <w:t xml:space="preserve"> in detail the injunction application as well as the substantive application for certiorari of the Article 17(1) Decision. </w:t>
      </w:r>
    </w:p>
    <w:p w14:paraId="25A45342" w14:textId="77777777" w:rsidR="00DF536A" w:rsidRDefault="00DF536A" w:rsidP="00DF536A">
      <w:pPr>
        <w:pStyle w:val="ListParagraph"/>
        <w:autoSpaceDE w:val="0"/>
        <w:autoSpaceDN w:val="0"/>
        <w:adjustRightInd w:val="0"/>
        <w:spacing w:after="0" w:line="480" w:lineRule="auto"/>
        <w:jc w:val="both"/>
        <w:rPr>
          <w:rFonts w:cs="Times New Roman"/>
          <w:sz w:val="24"/>
          <w:szCs w:val="24"/>
        </w:rPr>
      </w:pPr>
    </w:p>
    <w:p w14:paraId="30E8E51A" w14:textId="3633B234" w:rsidR="00DF536A" w:rsidRDefault="005F4287" w:rsidP="00DF536A">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T</w:t>
      </w:r>
      <w:r w:rsidR="00DF536A">
        <w:rPr>
          <w:rFonts w:cs="Times New Roman"/>
          <w:sz w:val="24"/>
          <w:szCs w:val="24"/>
        </w:rPr>
        <w:t xml:space="preserve">he Judge identified two issues arising in relation to the injunction application. The first was whether the fact that the Applicant had sought judicial review of the Article 17 Decision </w:t>
      </w:r>
      <w:r w:rsidR="00DF536A" w:rsidRPr="00DF536A">
        <w:rPr>
          <w:rFonts w:cs="Times New Roman"/>
          <w:i/>
          <w:sz w:val="24"/>
          <w:szCs w:val="24"/>
        </w:rPr>
        <w:t>of itself</w:t>
      </w:r>
      <w:r w:rsidR="00DF536A">
        <w:rPr>
          <w:rFonts w:cs="Times New Roman"/>
          <w:sz w:val="24"/>
          <w:szCs w:val="24"/>
        </w:rPr>
        <w:t xml:space="preserve"> entitled the Applicant to an injunction or, putting it differently, whether the institution of the judicial review proceedings had the legal effect under Dublin III of suspending the transfer decision. The second issue was whether, if the institution of the judicial review proceedings did not have such effect, the Applicant was nonetheless entitled to an interlocutory injunction on the application of the principles set out in </w:t>
      </w:r>
      <w:r w:rsidR="00DF536A" w:rsidRPr="00DF536A">
        <w:rPr>
          <w:rFonts w:cs="Times New Roman"/>
          <w:i/>
          <w:sz w:val="24"/>
          <w:szCs w:val="24"/>
        </w:rPr>
        <w:t>Okunade v Minister for Justice</w:t>
      </w:r>
      <w:r w:rsidR="00DF536A">
        <w:rPr>
          <w:rFonts w:cs="Times New Roman"/>
          <w:sz w:val="24"/>
          <w:szCs w:val="24"/>
        </w:rPr>
        <w:t xml:space="preserve"> [2012] 3 IR 152 (Judgment, para 48).</w:t>
      </w:r>
    </w:p>
    <w:p w14:paraId="0CB96BAC" w14:textId="77777777" w:rsidR="00DF536A" w:rsidRDefault="00DF536A" w:rsidP="00DF536A">
      <w:pPr>
        <w:pStyle w:val="ListParagraph"/>
        <w:autoSpaceDE w:val="0"/>
        <w:autoSpaceDN w:val="0"/>
        <w:adjustRightInd w:val="0"/>
        <w:spacing w:after="0" w:line="480" w:lineRule="auto"/>
        <w:jc w:val="both"/>
        <w:rPr>
          <w:rFonts w:cs="Times New Roman"/>
          <w:sz w:val="24"/>
          <w:szCs w:val="24"/>
        </w:rPr>
      </w:pPr>
    </w:p>
    <w:p w14:paraId="67DCB95F" w14:textId="7D8A477B" w:rsidR="00C77F45" w:rsidRDefault="00DD2A52" w:rsidP="005922C0">
      <w:pPr>
        <w:pStyle w:val="ListParagraph"/>
        <w:numPr>
          <w:ilvl w:val="0"/>
          <w:numId w:val="1"/>
        </w:numPr>
        <w:autoSpaceDE w:val="0"/>
        <w:autoSpaceDN w:val="0"/>
        <w:adjustRightInd w:val="0"/>
        <w:spacing w:after="0" w:line="480" w:lineRule="auto"/>
        <w:ind w:hanging="720"/>
        <w:jc w:val="both"/>
        <w:rPr>
          <w:rFonts w:cs="Times New Roman"/>
          <w:sz w:val="24"/>
          <w:szCs w:val="24"/>
        </w:rPr>
      </w:pPr>
      <w:bookmarkStart w:id="7" w:name="_Hlk93435243"/>
      <w:r w:rsidRPr="00AC1891">
        <w:rPr>
          <w:rFonts w:cs="Times New Roman"/>
          <w:sz w:val="24"/>
          <w:szCs w:val="24"/>
        </w:rPr>
        <w:t>As to the first issue, the Judge noted that the Applicant’s contention was that automatic suspensory effect flowed from Dublin III, Article 27(3) on the basis that the reference to “</w:t>
      </w:r>
      <w:r w:rsidRPr="00AC1891">
        <w:rPr>
          <w:rFonts w:cs="Times New Roman"/>
          <w:i/>
          <w:sz w:val="24"/>
          <w:szCs w:val="24"/>
        </w:rPr>
        <w:t>transfer decision”</w:t>
      </w:r>
      <w:r w:rsidRPr="00AC1891">
        <w:rPr>
          <w:rFonts w:cs="Times New Roman"/>
          <w:sz w:val="24"/>
          <w:szCs w:val="24"/>
        </w:rPr>
        <w:t xml:space="preserve"> in that provision was properly to be read as encompassing a decision made under Article 17(1). </w:t>
      </w:r>
      <w:bookmarkEnd w:id="7"/>
      <w:r w:rsidRPr="00AC1891">
        <w:rPr>
          <w:rFonts w:cs="Times New Roman"/>
          <w:sz w:val="24"/>
          <w:szCs w:val="24"/>
        </w:rPr>
        <w:t xml:space="preserve">That, the Applicant contended, </w:t>
      </w:r>
      <w:r w:rsidR="00AC1891" w:rsidRPr="00AC1891">
        <w:rPr>
          <w:rFonts w:cs="Times New Roman"/>
          <w:sz w:val="24"/>
          <w:szCs w:val="24"/>
        </w:rPr>
        <w:t xml:space="preserve">followed from </w:t>
      </w:r>
      <w:r w:rsidRPr="00AC1891">
        <w:rPr>
          <w:rFonts w:cs="Times New Roman"/>
          <w:i/>
          <w:sz w:val="24"/>
          <w:szCs w:val="24"/>
        </w:rPr>
        <w:t xml:space="preserve">CK </w:t>
      </w:r>
      <w:r w:rsidRPr="00AC1891">
        <w:rPr>
          <w:rFonts w:cs="Times New Roman"/>
          <w:sz w:val="24"/>
          <w:szCs w:val="24"/>
        </w:rPr>
        <w:t>where the CJEU had observed that the Article 17(1) discretion was “</w:t>
      </w:r>
      <w:r w:rsidRPr="00AC1891">
        <w:rPr>
          <w:rFonts w:cs="Times New Roman"/>
          <w:i/>
          <w:sz w:val="24"/>
          <w:szCs w:val="24"/>
        </w:rPr>
        <w:t>an integral part of the system for determining the Member State responsible</w:t>
      </w:r>
      <w:r w:rsidRPr="00AC1891">
        <w:rPr>
          <w:rFonts w:cs="Times New Roman"/>
          <w:sz w:val="24"/>
          <w:szCs w:val="24"/>
        </w:rPr>
        <w:t>” and that use of the clause involved the implementation of EU law and was not solely a matter for domestic law.</w:t>
      </w:r>
      <w:r w:rsidR="00AC1891" w:rsidRPr="00AC1891">
        <w:rPr>
          <w:rFonts w:cs="Times New Roman"/>
          <w:sz w:val="24"/>
          <w:szCs w:val="24"/>
        </w:rPr>
        <w:t xml:space="preserve"> However, the Judge did not read </w:t>
      </w:r>
      <w:r w:rsidR="00AC1891" w:rsidRPr="00AC1891">
        <w:rPr>
          <w:rFonts w:cs="Times New Roman"/>
          <w:i/>
          <w:sz w:val="24"/>
          <w:szCs w:val="24"/>
        </w:rPr>
        <w:t>CK</w:t>
      </w:r>
      <w:r w:rsidR="00AC1891" w:rsidRPr="00AC1891">
        <w:rPr>
          <w:rFonts w:cs="Times New Roman"/>
          <w:sz w:val="24"/>
          <w:szCs w:val="24"/>
        </w:rPr>
        <w:t xml:space="preserve"> as authority for the proposition that a decision </w:t>
      </w:r>
      <w:r w:rsidR="00AC1891" w:rsidRPr="00AC1891">
        <w:rPr>
          <w:rFonts w:cs="Times New Roman"/>
          <w:sz w:val="24"/>
          <w:szCs w:val="24"/>
        </w:rPr>
        <w:lastRenderedPageBreak/>
        <w:t xml:space="preserve">under Article 17(1) was to be regarded as a transfer decision within the meaning of Article 27 </w:t>
      </w:r>
      <w:r w:rsidR="00D40264">
        <w:rPr>
          <w:rFonts w:cs="Times New Roman"/>
          <w:sz w:val="24"/>
          <w:szCs w:val="24"/>
        </w:rPr>
        <w:t xml:space="preserve">(Judgement, para 53) </w:t>
      </w:r>
      <w:r w:rsidR="00AC1891" w:rsidRPr="00AC1891">
        <w:rPr>
          <w:rFonts w:cs="Times New Roman"/>
          <w:sz w:val="24"/>
          <w:szCs w:val="24"/>
        </w:rPr>
        <w:t xml:space="preserve">and, in his view, the CJEU’s decision in </w:t>
      </w:r>
      <w:r w:rsidR="00AC1891" w:rsidRPr="00AC1891">
        <w:rPr>
          <w:rFonts w:cs="Times New Roman"/>
          <w:i/>
          <w:sz w:val="24"/>
          <w:szCs w:val="24"/>
        </w:rPr>
        <w:t>MA</w:t>
      </w:r>
      <w:r w:rsidR="00AC1891" w:rsidRPr="00AC1891">
        <w:rPr>
          <w:rFonts w:cs="Times New Roman"/>
          <w:sz w:val="24"/>
          <w:szCs w:val="24"/>
        </w:rPr>
        <w:t xml:space="preserve"> made it clear that Article 27, and in particular the provisions of Article 27(3) relating to suspensive effect, had no application to a decision under Article 17(1)</w:t>
      </w:r>
      <w:r w:rsidR="00D40264">
        <w:rPr>
          <w:rFonts w:cs="Times New Roman"/>
          <w:sz w:val="24"/>
          <w:szCs w:val="24"/>
        </w:rPr>
        <w:t xml:space="preserve"> (Judgment, para 56).</w:t>
      </w:r>
      <w:r w:rsidR="00AC1891" w:rsidRPr="00AC1891">
        <w:rPr>
          <w:rFonts w:cs="Times New Roman"/>
          <w:sz w:val="24"/>
          <w:szCs w:val="24"/>
        </w:rPr>
        <w:t xml:space="preserve"> The Judge then addressed and rejected </w:t>
      </w:r>
      <w:r w:rsidR="00AC1891">
        <w:rPr>
          <w:rFonts w:cs="Times New Roman"/>
          <w:sz w:val="24"/>
          <w:szCs w:val="24"/>
        </w:rPr>
        <w:t xml:space="preserve">what he characterised as a transposition argument advanced for the first time at the hearing to the effect that Article 27(3)(c) applied in circumstances where the only remedy </w:t>
      </w:r>
      <w:r w:rsidR="00CA7EC7">
        <w:rPr>
          <w:rFonts w:cs="Times New Roman"/>
          <w:sz w:val="24"/>
          <w:szCs w:val="24"/>
        </w:rPr>
        <w:t>available to the Applicant was judicial review of the Article 17 Decision. In the Judge’s view it was not open to the Applicant to make that argument as it had</w:t>
      </w:r>
      <w:r w:rsidR="003A0831">
        <w:rPr>
          <w:rFonts w:cs="Times New Roman"/>
          <w:sz w:val="24"/>
          <w:szCs w:val="24"/>
        </w:rPr>
        <w:t xml:space="preserve"> not</w:t>
      </w:r>
      <w:r w:rsidR="00CA7EC7">
        <w:rPr>
          <w:rFonts w:cs="Times New Roman"/>
          <w:sz w:val="24"/>
          <w:szCs w:val="24"/>
        </w:rPr>
        <w:t xml:space="preserve"> been pleaded and, in any event, the argument rested on the premise that Article 27 applied to a decision under Article 17(1) which the Judge regarded as “</w:t>
      </w:r>
      <w:r w:rsidR="00CA7EC7" w:rsidRPr="00CA7EC7">
        <w:rPr>
          <w:rFonts w:cs="Times New Roman"/>
          <w:i/>
          <w:sz w:val="24"/>
          <w:szCs w:val="24"/>
        </w:rPr>
        <w:t>untenable</w:t>
      </w:r>
      <w:r w:rsidR="00CA7EC7">
        <w:rPr>
          <w:rFonts w:cs="Times New Roman"/>
          <w:sz w:val="24"/>
          <w:szCs w:val="24"/>
        </w:rPr>
        <w:t>”</w:t>
      </w:r>
      <w:r w:rsidR="00D40264">
        <w:rPr>
          <w:rFonts w:cs="Times New Roman"/>
          <w:sz w:val="24"/>
          <w:szCs w:val="24"/>
        </w:rPr>
        <w:t xml:space="preserve"> (Judgment, para 58).</w:t>
      </w:r>
    </w:p>
    <w:p w14:paraId="3D147085" w14:textId="77777777" w:rsidR="00CA7EC7" w:rsidRDefault="00CA7EC7" w:rsidP="00CA7EC7">
      <w:pPr>
        <w:pStyle w:val="ListParagraph"/>
        <w:autoSpaceDE w:val="0"/>
        <w:autoSpaceDN w:val="0"/>
        <w:adjustRightInd w:val="0"/>
        <w:spacing w:after="0" w:line="480" w:lineRule="auto"/>
        <w:jc w:val="both"/>
        <w:rPr>
          <w:rFonts w:cs="Times New Roman"/>
          <w:sz w:val="24"/>
          <w:szCs w:val="24"/>
        </w:rPr>
      </w:pPr>
    </w:p>
    <w:p w14:paraId="1092FC49" w14:textId="735D0050" w:rsidR="00AC1891" w:rsidRDefault="00CA7EC7" w:rsidP="005922C0">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 xml:space="preserve">That did not leave the Applicant without a remedy, however, given the availability of judicial review and the Applicant was also entitled to seek an interlocutory injunction in his judicial review proceedings. The appropriate approach to applications for such injunctions in an asylum/immigration had been authoritatively addressed in </w:t>
      </w:r>
      <w:r w:rsidRPr="00CA7EC7">
        <w:rPr>
          <w:rFonts w:cs="Times New Roman"/>
          <w:i/>
          <w:sz w:val="24"/>
          <w:szCs w:val="24"/>
        </w:rPr>
        <w:t>Okunade</w:t>
      </w:r>
      <w:r>
        <w:rPr>
          <w:rFonts w:cs="Times New Roman"/>
          <w:sz w:val="24"/>
          <w:szCs w:val="24"/>
        </w:rPr>
        <w:t>. Applying that approach, the “</w:t>
      </w:r>
      <w:r w:rsidRPr="00CA7EC7">
        <w:rPr>
          <w:rFonts w:cs="Times New Roman"/>
          <w:i/>
          <w:sz w:val="24"/>
          <w:szCs w:val="24"/>
        </w:rPr>
        <w:t>real question</w:t>
      </w:r>
      <w:r>
        <w:rPr>
          <w:rFonts w:cs="Times New Roman"/>
          <w:sz w:val="24"/>
          <w:szCs w:val="24"/>
        </w:rPr>
        <w:t xml:space="preserve">” was where the balance of justice properly lay. In the Judge’s view, the balance of justice  came </w:t>
      </w:r>
      <w:r w:rsidR="009B71B2">
        <w:rPr>
          <w:rFonts w:cs="Times New Roman"/>
          <w:sz w:val="24"/>
          <w:szCs w:val="24"/>
        </w:rPr>
        <w:t xml:space="preserve">down very much against the grant of the injunction sought. In contrast to </w:t>
      </w:r>
      <w:r w:rsidR="009B71B2" w:rsidRPr="009B71B2">
        <w:rPr>
          <w:rFonts w:cs="Times New Roman"/>
          <w:i/>
          <w:sz w:val="24"/>
          <w:szCs w:val="24"/>
        </w:rPr>
        <w:t>CK</w:t>
      </w:r>
      <w:r w:rsidR="009B71B2">
        <w:rPr>
          <w:rFonts w:cs="Times New Roman"/>
          <w:sz w:val="24"/>
          <w:szCs w:val="24"/>
        </w:rPr>
        <w:t xml:space="preserve">, there was </w:t>
      </w:r>
      <w:r w:rsidR="003A0831">
        <w:rPr>
          <w:rFonts w:cs="Times New Roman"/>
          <w:sz w:val="24"/>
          <w:szCs w:val="24"/>
        </w:rPr>
        <w:t xml:space="preserve">no </w:t>
      </w:r>
      <w:r w:rsidR="009B71B2">
        <w:rPr>
          <w:rFonts w:cs="Times New Roman"/>
          <w:sz w:val="24"/>
          <w:szCs w:val="24"/>
        </w:rPr>
        <w:t xml:space="preserve">contemporary or compelling evidence that the Applicant’s fundamental rights would be breached by her transfer to Belgium. Furthermore, the Applicant had been guilty of significant delay in making her application to the Minister. Even if one overlooked the period prior to the Supreme Court’s decision in </w:t>
      </w:r>
      <w:r w:rsidR="009B71B2" w:rsidRPr="009B71B2">
        <w:rPr>
          <w:rFonts w:cs="Times New Roman"/>
          <w:i/>
          <w:sz w:val="24"/>
          <w:szCs w:val="24"/>
        </w:rPr>
        <w:t>NVU</w:t>
      </w:r>
      <w:r w:rsidR="009B71B2">
        <w:rPr>
          <w:rFonts w:cs="Times New Roman"/>
          <w:sz w:val="24"/>
          <w:szCs w:val="24"/>
        </w:rPr>
        <w:t xml:space="preserve"> (which had clarified that the Article 17(1) discretion remained with the Minister), the Applicant had failed to make her application until the </w:t>
      </w:r>
      <w:r w:rsidR="009B71B2" w:rsidRPr="009B71B2">
        <w:rPr>
          <w:rFonts w:cs="Times New Roman"/>
          <w:i/>
          <w:sz w:val="24"/>
          <w:szCs w:val="24"/>
        </w:rPr>
        <w:t xml:space="preserve">“eleventh </w:t>
      </w:r>
      <w:r w:rsidR="009B71B2" w:rsidRPr="009B71B2">
        <w:rPr>
          <w:rFonts w:cs="Times New Roman"/>
          <w:i/>
          <w:sz w:val="24"/>
          <w:szCs w:val="24"/>
        </w:rPr>
        <w:lastRenderedPageBreak/>
        <w:t>hour</w:t>
      </w:r>
      <w:r w:rsidR="009B71B2">
        <w:rPr>
          <w:rFonts w:cs="Times New Roman"/>
          <w:sz w:val="24"/>
          <w:szCs w:val="24"/>
        </w:rPr>
        <w:t>”</w:t>
      </w:r>
      <w:r w:rsidR="007E3C08">
        <w:rPr>
          <w:rFonts w:cs="Times New Roman"/>
          <w:sz w:val="24"/>
          <w:szCs w:val="24"/>
        </w:rPr>
        <w:t xml:space="preserve"> (Judgment, para 77)</w:t>
      </w:r>
      <w:r w:rsidR="009B71B2">
        <w:rPr>
          <w:rFonts w:cs="Times New Roman"/>
          <w:sz w:val="24"/>
          <w:szCs w:val="24"/>
        </w:rPr>
        <w:t>. It was important that applications under Article 17(1) should not be seen as a form of “</w:t>
      </w:r>
      <w:r w:rsidR="009B71B2" w:rsidRPr="009B71B2">
        <w:rPr>
          <w:rFonts w:cs="Times New Roman"/>
          <w:i/>
          <w:sz w:val="24"/>
          <w:szCs w:val="24"/>
        </w:rPr>
        <w:t>second go</w:t>
      </w:r>
      <w:r w:rsidR="009B71B2">
        <w:rPr>
          <w:rFonts w:cs="Times New Roman"/>
          <w:sz w:val="24"/>
          <w:szCs w:val="24"/>
        </w:rPr>
        <w:t xml:space="preserve">” following a failed challenge to a transfer decision. </w:t>
      </w:r>
      <w:r w:rsidR="00840E60">
        <w:rPr>
          <w:rFonts w:cs="Times New Roman"/>
          <w:sz w:val="24"/>
          <w:szCs w:val="24"/>
        </w:rPr>
        <w:t xml:space="preserve">The transfer decision here had been confirmed by IPAT and its decision had not been challenged. </w:t>
      </w:r>
      <w:r w:rsidR="00840E60" w:rsidRPr="00840E60">
        <w:rPr>
          <w:rFonts w:cs="Times New Roman"/>
          <w:i/>
          <w:sz w:val="24"/>
          <w:szCs w:val="24"/>
        </w:rPr>
        <w:t>Okunade</w:t>
      </w:r>
      <w:r w:rsidR="00840E60">
        <w:rPr>
          <w:rFonts w:cs="Times New Roman"/>
          <w:sz w:val="24"/>
          <w:szCs w:val="24"/>
        </w:rPr>
        <w:t xml:space="preserve"> suggested that significant weight should be given to permitting the implementation of </w:t>
      </w:r>
      <w:r w:rsidR="00840E60" w:rsidRPr="00840E60">
        <w:rPr>
          <w:rFonts w:cs="Times New Roman"/>
          <w:i/>
          <w:sz w:val="24"/>
          <w:szCs w:val="24"/>
        </w:rPr>
        <w:t>prima facie</w:t>
      </w:r>
      <w:r w:rsidR="00840E60">
        <w:rPr>
          <w:rFonts w:cs="Times New Roman"/>
          <w:sz w:val="24"/>
          <w:szCs w:val="24"/>
        </w:rPr>
        <w:t xml:space="preserve"> valid public law measures and, in the absence of any compelling countervailing circumstances, the Minister was entitled to proceed on the basis that she could act on foot of the transfer decision here. It followed that the Applicant was not entitled to an interlocutory injunction</w:t>
      </w:r>
      <w:r w:rsidR="007E3C08">
        <w:rPr>
          <w:rFonts w:cs="Times New Roman"/>
          <w:sz w:val="24"/>
          <w:szCs w:val="24"/>
        </w:rPr>
        <w:t xml:space="preserve"> (Judgment, paras 79-80).</w:t>
      </w:r>
    </w:p>
    <w:p w14:paraId="044557BF" w14:textId="77777777" w:rsidR="00840E60" w:rsidRDefault="00840E60" w:rsidP="00840E60">
      <w:pPr>
        <w:pStyle w:val="ListParagraph"/>
        <w:autoSpaceDE w:val="0"/>
        <w:autoSpaceDN w:val="0"/>
        <w:adjustRightInd w:val="0"/>
        <w:spacing w:after="0" w:line="480" w:lineRule="auto"/>
        <w:jc w:val="both"/>
        <w:rPr>
          <w:rFonts w:cs="Times New Roman"/>
          <w:sz w:val="24"/>
          <w:szCs w:val="24"/>
        </w:rPr>
      </w:pPr>
    </w:p>
    <w:p w14:paraId="5EFC96D1" w14:textId="093D1019" w:rsidR="00840E60" w:rsidRDefault="00840E60" w:rsidP="005922C0">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The Judge went on to make some general observations as to the appropriate timing of an Article 17 request, suggesting that such requests should in general be made no later than the time of any appeal to IPAT from a transfer decision made by the IPO (though</w:t>
      </w:r>
      <w:r w:rsidR="00D40264">
        <w:rPr>
          <w:rFonts w:cs="Times New Roman"/>
          <w:sz w:val="24"/>
          <w:szCs w:val="24"/>
        </w:rPr>
        <w:t xml:space="preserve"> noting that there was </w:t>
      </w:r>
      <w:r>
        <w:rPr>
          <w:rFonts w:cs="Times New Roman"/>
          <w:sz w:val="24"/>
          <w:szCs w:val="24"/>
        </w:rPr>
        <w:t>nothing to stop such a request being made before then</w:t>
      </w:r>
      <w:r w:rsidR="00D40264">
        <w:rPr>
          <w:rFonts w:cs="Times New Roman"/>
          <w:sz w:val="24"/>
          <w:szCs w:val="24"/>
        </w:rPr>
        <w:t xml:space="preserve"> (Judgment, para 87).</w:t>
      </w:r>
      <w:r>
        <w:rPr>
          <w:rFonts w:cs="Times New Roman"/>
          <w:sz w:val="24"/>
          <w:szCs w:val="24"/>
        </w:rPr>
        <w:t xml:space="preserve"> An adverse decision by the Minister could then be challenged by way of judicial review</w:t>
      </w:r>
      <w:r w:rsidR="00D40264">
        <w:rPr>
          <w:rFonts w:cs="Times New Roman"/>
          <w:sz w:val="24"/>
          <w:szCs w:val="24"/>
        </w:rPr>
        <w:t xml:space="preserve"> which could be progressed while IPAT considered the transfer decision appeal (which had suspensive effect). While there might be exceptional situations warranting a different approach, the Judge considered that “</w:t>
      </w:r>
      <w:r w:rsidR="00D40264" w:rsidRPr="00D40264">
        <w:rPr>
          <w:rFonts w:cs="Times New Roman"/>
          <w:i/>
          <w:sz w:val="24"/>
          <w:szCs w:val="24"/>
        </w:rPr>
        <w:t>the overall architecture</w:t>
      </w:r>
      <w:r w:rsidR="00D40264">
        <w:rPr>
          <w:rFonts w:cs="Times New Roman"/>
          <w:sz w:val="24"/>
          <w:szCs w:val="24"/>
        </w:rPr>
        <w:t>” of the Dublin III regime put an onus on an applicant to make any Article 17(1) application no later than the transfer decision and if an applicant waited until after the determination of an appeal to IPAT to do so, the balance of justice would inevitably be tipped “</w:t>
      </w:r>
      <w:r w:rsidR="00D40264" w:rsidRPr="00D40264">
        <w:rPr>
          <w:rFonts w:cs="Times New Roman"/>
          <w:i/>
          <w:sz w:val="24"/>
          <w:szCs w:val="24"/>
        </w:rPr>
        <w:t>very significantly”</w:t>
      </w:r>
      <w:r w:rsidR="00D40264">
        <w:rPr>
          <w:rFonts w:cs="Times New Roman"/>
          <w:sz w:val="24"/>
          <w:szCs w:val="24"/>
        </w:rPr>
        <w:t xml:space="preserve"> against the grant of an interlocutory injunction, absent the most exceptional circumstances (Judgment, para 89).</w:t>
      </w:r>
      <w:r w:rsidR="00EE03DD">
        <w:rPr>
          <w:rFonts w:cs="Times New Roman"/>
          <w:sz w:val="24"/>
          <w:szCs w:val="24"/>
        </w:rPr>
        <w:t xml:space="preserve"> This aspect of the Judgment was not debated on appeal and for that reason is not addressed further in this judgment.</w:t>
      </w:r>
    </w:p>
    <w:p w14:paraId="11F533CD" w14:textId="77777777" w:rsidR="007E3C08" w:rsidRDefault="007E3C08" w:rsidP="007E3C08">
      <w:pPr>
        <w:pStyle w:val="ListParagraph"/>
        <w:autoSpaceDE w:val="0"/>
        <w:autoSpaceDN w:val="0"/>
        <w:adjustRightInd w:val="0"/>
        <w:spacing w:after="0" w:line="480" w:lineRule="auto"/>
        <w:jc w:val="both"/>
        <w:rPr>
          <w:rFonts w:cs="Times New Roman"/>
          <w:sz w:val="24"/>
          <w:szCs w:val="24"/>
        </w:rPr>
      </w:pPr>
    </w:p>
    <w:p w14:paraId="76D7E38C" w14:textId="3E03C63F" w:rsidR="007E3C08" w:rsidRDefault="005F4287" w:rsidP="005922C0">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 xml:space="preserve">Finally, the </w:t>
      </w:r>
      <w:r w:rsidR="007E3C08">
        <w:rPr>
          <w:rFonts w:cs="Times New Roman"/>
          <w:sz w:val="24"/>
          <w:szCs w:val="24"/>
        </w:rPr>
        <w:t xml:space="preserve">Judge addressed the substantive application for judicial review. He noted what had been said by the Supreme Court in </w:t>
      </w:r>
      <w:r w:rsidR="007E3C08" w:rsidRPr="007E3C08">
        <w:rPr>
          <w:rFonts w:cs="Times New Roman"/>
          <w:i/>
          <w:sz w:val="24"/>
          <w:szCs w:val="24"/>
        </w:rPr>
        <w:t>NVU</w:t>
      </w:r>
      <w:r w:rsidR="007E3C08">
        <w:rPr>
          <w:rFonts w:cs="Times New Roman"/>
          <w:sz w:val="24"/>
          <w:szCs w:val="24"/>
        </w:rPr>
        <w:t xml:space="preserve"> as to the very wide discretion vested in the Minister under Article 17(1) and its view that fundamental rights would be engaged only exceptionally. </w:t>
      </w:r>
      <w:r w:rsidR="00CD7980">
        <w:rPr>
          <w:rFonts w:cs="Times New Roman"/>
          <w:sz w:val="24"/>
          <w:szCs w:val="24"/>
        </w:rPr>
        <w:t>He therefore rejected the Applicant’s contention that the Minister had fettered her discretion in applying a threshold test of “</w:t>
      </w:r>
      <w:r w:rsidR="00CD7980" w:rsidRPr="00CD7980">
        <w:rPr>
          <w:rFonts w:cs="Times New Roman"/>
          <w:i/>
          <w:sz w:val="24"/>
          <w:szCs w:val="24"/>
        </w:rPr>
        <w:t>exceptional circumstances”.</w:t>
      </w:r>
      <w:r w:rsidR="00CD7980">
        <w:rPr>
          <w:rFonts w:cs="Times New Roman"/>
          <w:sz w:val="24"/>
          <w:szCs w:val="24"/>
        </w:rPr>
        <w:t xml:space="preserve"> While the Applicant was entitled to deploy before the Minister the same points as had been advanced before IPAT (citing </w:t>
      </w:r>
      <w:r w:rsidR="00CD7980" w:rsidRPr="00CD7980">
        <w:rPr>
          <w:rFonts w:cs="Times New Roman"/>
          <w:i/>
          <w:sz w:val="24"/>
          <w:szCs w:val="24"/>
        </w:rPr>
        <w:t>DE v Minister for Justice and Equality</w:t>
      </w:r>
      <w:r w:rsidR="00CD7980">
        <w:rPr>
          <w:rFonts w:cs="Times New Roman"/>
          <w:sz w:val="24"/>
          <w:szCs w:val="24"/>
        </w:rPr>
        <w:t xml:space="preserve"> [2018] IESC 16, [2018] 3 IR 326),  </w:t>
      </w:r>
      <w:r w:rsidR="007E3C08">
        <w:rPr>
          <w:rFonts w:cs="Times New Roman"/>
          <w:sz w:val="24"/>
          <w:szCs w:val="24"/>
        </w:rPr>
        <w:t>the Applicant’s complaint that the Minister had failed to consider her arguments that transfer to Belgium would breach her rights</w:t>
      </w:r>
      <w:r w:rsidR="00CD7980">
        <w:rPr>
          <w:rFonts w:cs="Times New Roman"/>
          <w:sz w:val="24"/>
          <w:szCs w:val="24"/>
        </w:rPr>
        <w:t xml:space="preserve"> was without substance</w:t>
      </w:r>
      <w:r w:rsidR="007E3C08">
        <w:rPr>
          <w:rFonts w:cs="Times New Roman"/>
          <w:sz w:val="24"/>
          <w:szCs w:val="24"/>
        </w:rPr>
        <w:t xml:space="preserve">. </w:t>
      </w:r>
      <w:r w:rsidR="00CD7980">
        <w:rPr>
          <w:rFonts w:cs="Times New Roman"/>
          <w:sz w:val="24"/>
          <w:szCs w:val="24"/>
        </w:rPr>
        <w:t>As to the Covid issue, the Judge noted the absence of any evidence to the effect that the Applicant stood to be at any particular risk from Covid in the event of her transfer. The arguments made were “</w:t>
      </w:r>
      <w:r w:rsidR="00CD7980" w:rsidRPr="00CD7980">
        <w:rPr>
          <w:rFonts w:cs="Times New Roman"/>
          <w:i/>
          <w:sz w:val="24"/>
          <w:szCs w:val="24"/>
        </w:rPr>
        <w:t>generic</w:t>
      </w:r>
      <w:r w:rsidR="00CD7980">
        <w:rPr>
          <w:rFonts w:cs="Times New Roman"/>
          <w:sz w:val="24"/>
          <w:szCs w:val="24"/>
        </w:rPr>
        <w:t>” and had been substantively addressed by the Minister.</w:t>
      </w:r>
    </w:p>
    <w:p w14:paraId="693A9420" w14:textId="77777777" w:rsidR="00CD7980" w:rsidRDefault="00CD7980" w:rsidP="00CD7980">
      <w:pPr>
        <w:pStyle w:val="ListParagraph"/>
        <w:autoSpaceDE w:val="0"/>
        <w:autoSpaceDN w:val="0"/>
        <w:adjustRightInd w:val="0"/>
        <w:spacing w:after="0" w:line="480" w:lineRule="auto"/>
        <w:jc w:val="both"/>
        <w:rPr>
          <w:rFonts w:cs="Times New Roman"/>
          <w:sz w:val="24"/>
          <w:szCs w:val="24"/>
        </w:rPr>
      </w:pPr>
    </w:p>
    <w:p w14:paraId="1666B749" w14:textId="6F9A1B6C" w:rsidR="00CD7980" w:rsidRDefault="00FC7869" w:rsidP="005922C0">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The Judge expressed his conclusions on the substantive application thus:</w:t>
      </w:r>
    </w:p>
    <w:p w14:paraId="061AE2DE" w14:textId="507E1007" w:rsidR="00FC7869" w:rsidRDefault="00FC7869" w:rsidP="00FC7869">
      <w:pPr>
        <w:pStyle w:val="ListParagraph"/>
        <w:autoSpaceDE w:val="0"/>
        <w:autoSpaceDN w:val="0"/>
        <w:adjustRightInd w:val="0"/>
        <w:spacing w:after="0" w:line="480" w:lineRule="auto"/>
        <w:jc w:val="both"/>
        <w:rPr>
          <w:rFonts w:cs="Times New Roman"/>
          <w:sz w:val="24"/>
          <w:szCs w:val="24"/>
        </w:rPr>
      </w:pPr>
    </w:p>
    <w:p w14:paraId="0F39AAEC" w14:textId="38393AAA" w:rsidR="00FC7869" w:rsidRPr="00FC7869" w:rsidRDefault="00FC7869" w:rsidP="00FC7869">
      <w:pPr>
        <w:pStyle w:val="ListParagraph"/>
        <w:autoSpaceDE w:val="0"/>
        <w:autoSpaceDN w:val="0"/>
        <w:adjustRightInd w:val="0"/>
        <w:spacing w:after="0" w:line="480" w:lineRule="auto"/>
        <w:ind w:left="1418"/>
        <w:jc w:val="both"/>
        <w:rPr>
          <w:rFonts w:cs="Times New Roman"/>
          <w:i/>
          <w:sz w:val="24"/>
          <w:szCs w:val="24"/>
        </w:rPr>
      </w:pPr>
      <w:r w:rsidRPr="00FC7869">
        <w:rPr>
          <w:rFonts w:cs="Times New Roman"/>
          <w:i/>
          <w:sz w:val="24"/>
          <w:szCs w:val="24"/>
        </w:rPr>
        <w:t xml:space="preserve">“98. In summary, in my view, the Minister’s decision demonstrates on its face that all of the Applicant’s representations were considered and gives a concise but perfectly coherent set of reasons as to why the Applicant’s submissions were not considered such as to persuade the Minister to exercise her very wide discretion under Article 17 in favour of Ireland assuming jurisdiction to examine the Applicant’s international protection application.” </w:t>
      </w:r>
    </w:p>
    <w:p w14:paraId="2608818D" w14:textId="2B0B3AE4" w:rsidR="00CA7EC7" w:rsidRDefault="00CA7EC7" w:rsidP="00CA7EC7">
      <w:pPr>
        <w:pStyle w:val="ListParagraph"/>
        <w:autoSpaceDE w:val="0"/>
        <w:autoSpaceDN w:val="0"/>
        <w:adjustRightInd w:val="0"/>
        <w:spacing w:after="0" w:line="480" w:lineRule="auto"/>
        <w:jc w:val="both"/>
        <w:rPr>
          <w:rFonts w:cs="Times New Roman"/>
          <w:sz w:val="24"/>
          <w:szCs w:val="24"/>
        </w:rPr>
      </w:pPr>
    </w:p>
    <w:p w14:paraId="68DF1385" w14:textId="77777777" w:rsidR="00FC7869" w:rsidRPr="00AC1891" w:rsidRDefault="00FC7869" w:rsidP="00CA7EC7">
      <w:pPr>
        <w:pStyle w:val="ListParagraph"/>
        <w:autoSpaceDE w:val="0"/>
        <w:autoSpaceDN w:val="0"/>
        <w:adjustRightInd w:val="0"/>
        <w:spacing w:after="0" w:line="480" w:lineRule="auto"/>
        <w:jc w:val="both"/>
        <w:rPr>
          <w:rFonts w:cs="Times New Roman"/>
          <w:sz w:val="24"/>
          <w:szCs w:val="24"/>
        </w:rPr>
      </w:pPr>
    </w:p>
    <w:p w14:paraId="75118CDC" w14:textId="3C14DE12" w:rsidR="005F4287" w:rsidRPr="005F4287" w:rsidRDefault="005F4287" w:rsidP="005F4287">
      <w:pPr>
        <w:autoSpaceDE w:val="0"/>
        <w:autoSpaceDN w:val="0"/>
        <w:adjustRightInd w:val="0"/>
        <w:spacing w:after="0" w:line="480" w:lineRule="auto"/>
        <w:jc w:val="center"/>
        <w:rPr>
          <w:rFonts w:cs="Times New Roman"/>
          <w:b/>
          <w:sz w:val="24"/>
          <w:szCs w:val="24"/>
        </w:rPr>
      </w:pPr>
      <w:r w:rsidRPr="005F4287">
        <w:rPr>
          <w:rFonts w:cs="Times New Roman"/>
          <w:b/>
          <w:sz w:val="24"/>
          <w:szCs w:val="24"/>
        </w:rPr>
        <w:t>APPEAL</w:t>
      </w:r>
    </w:p>
    <w:p w14:paraId="07983C46" w14:textId="764CF3D6" w:rsidR="005F4287" w:rsidRDefault="005F4287" w:rsidP="00C77F45">
      <w:pPr>
        <w:autoSpaceDE w:val="0"/>
        <w:autoSpaceDN w:val="0"/>
        <w:adjustRightInd w:val="0"/>
        <w:spacing w:after="0" w:line="480" w:lineRule="auto"/>
        <w:jc w:val="both"/>
        <w:rPr>
          <w:rFonts w:cs="Times New Roman"/>
          <w:sz w:val="24"/>
          <w:szCs w:val="24"/>
        </w:rPr>
      </w:pPr>
    </w:p>
    <w:p w14:paraId="0133519B" w14:textId="3FE9E926" w:rsidR="005F4287" w:rsidRPr="006A36E8" w:rsidRDefault="005F4287" w:rsidP="00C77F45">
      <w:pPr>
        <w:autoSpaceDE w:val="0"/>
        <w:autoSpaceDN w:val="0"/>
        <w:adjustRightInd w:val="0"/>
        <w:spacing w:after="0" w:line="480" w:lineRule="auto"/>
        <w:jc w:val="both"/>
        <w:rPr>
          <w:rFonts w:cs="Times New Roman"/>
          <w:b/>
          <w:sz w:val="24"/>
          <w:szCs w:val="24"/>
        </w:rPr>
      </w:pPr>
      <w:r>
        <w:rPr>
          <w:rFonts w:cs="Times New Roman"/>
          <w:i/>
          <w:sz w:val="24"/>
          <w:szCs w:val="24"/>
        </w:rPr>
        <w:tab/>
      </w:r>
      <w:r w:rsidRPr="006A36E8">
        <w:rPr>
          <w:rFonts w:cs="Times New Roman"/>
          <w:b/>
          <w:sz w:val="24"/>
          <w:szCs w:val="24"/>
        </w:rPr>
        <w:t xml:space="preserve">The </w:t>
      </w:r>
      <w:r w:rsidR="006A36E8">
        <w:rPr>
          <w:rFonts w:cs="Times New Roman"/>
          <w:b/>
          <w:sz w:val="24"/>
          <w:szCs w:val="24"/>
        </w:rPr>
        <w:t xml:space="preserve">Appeal from </w:t>
      </w:r>
      <w:r w:rsidRPr="006A36E8">
        <w:rPr>
          <w:rFonts w:cs="Times New Roman"/>
          <w:b/>
          <w:sz w:val="24"/>
          <w:szCs w:val="24"/>
        </w:rPr>
        <w:t>the Refusal of Judicial Review</w:t>
      </w:r>
    </w:p>
    <w:p w14:paraId="33476C84" w14:textId="77C8AFC3" w:rsidR="005F4287" w:rsidRDefault="005F4287" w:rsidP="00C77F45">
      <w:pPr>
        <w:autoSpaceDE w:val="0"/>
        <w:autoSpaceDN w:val="0"/>
        <w:adjustRightInd w:val="0"/>
        <w:spacing w:after="0" w:line="480" w:lineRule="auto"/>
        <w:jc w:val="both"/>
        <w:rPr>
          <w:rFonts w:cs="Times New Roman"/>
          <w:sz w:val="24"/>
          <w:szCs w:val="24"/>
        </w:rPr>
      </w:pPr>
    </w:p>
    <w:p w14:paraId="690BB304" w14:textId="67987D6B" w:rsidR="005F4287" w:rsidRDefault="005F4287" w:rsidP="005F4287">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 xml:space="preserve">I shall address the Applicant’s appeal from the substantive decision of the Judge refusing </w:t>
      </w:r>
      <w:r w:rsidRPr="005F4287">
        <w:rPr>
          <w:rFonts w:cs="Times New Roman"/>
          <w:i/>
          <w:sz w:val="24"/>
          <w:szCs w:val="24"/>
        </w:rPr>
        <w:t>certiorari</w:t>
      </w:r>
      <w:r>
        <w:rPr>
          <w:rFonts w:cs="Times New Roman"/>
          <w:sz w:val="24"/>
          <w:szCs w:val="24"/>
        </w:rPr>
        <w:t xml:space="preserve"> first and then </w:t>
      </w:r>
      <w:r w:rsidR="003A0831">
        <w:rPr>
          <w:rFonts w:cs="Times New Roman"/>
          <w:sz w:val="24"/>
          <w:szCs w:val="24"/>
        </w:rPr>
        <w:t>address</w:t>
      </w:r>
      <w:r>
        <w:rPr>
          <w:rFonts w:cs="Times New Roman"/>
          <w:sz w:val="24"/>
          <w:szCs w:val="24"/>
        </w:rPr>
        <w:t xml:space="preserve"> the other </w:t>
      </w:r>
      <w:r w:rsidR="0054512D">
        <w:rPr>
          <w:rFonts w:cs="Times New Roman"/>
          <w:sz w:val="24"/>
          <w:szCs w:val="24"/>
        </w:rPr>
        <w:t>aspects of the appeal.</w:t>
      </w:r>
    </w:p>
    <w:p w14:paraId="08F46369" w14:textId="1A7FABF9" w:rsidR="006A36E8" w:rsidRDefault="006A36E8" w:rsidP="0054512D">
      <w:pPr>
        <w:pStyle w:val="ListParagraph"/>
        <w:autoSpaceDE w:val="0"/>
        <w:autoSpaceDN w:val="0"/>
        <w:adjustRightInd w:val="0"/>
        <w:spacing w:after="0" w:line="480" w:lineRule="auto"/>
        <w:jc w:val="both"/>
        <w:rPr>
          <w:rFonts w:cs="Times New Roman"/>
          <w:sz w:val="24"/>
          <w:szCs w:val="24"/>
        </w:rPr>
      </w:pPr>
    </w:p>
    <w:p w14:paraId="2EF53943" w14:textId="5B53FB8C" w:rsidR="006A36E8" w:rsidRPr="006A36E8" w:rsidRDefault="006A36E8" w:rsidP="0054512D">
      <w:pPr>
        <w:pStyle w:val="ListParagraph"/>
        <w:autoSpaceDE w:val="0"/>
        <w:autoSpaceDN w:val="0"/>
        <w:adjustRightInd w:val="0"/>
        <w:spacing w:after="0" w:line="480" w:lineRule="auto"/>
        <w:jc w:val="both"/>
        <w:rPr>
          <w:rFonts w:cs="Times New Roman"/>
          <w:i/>
          <w:sz w:val="24"/>
          <w:szCs w:val="24"/>
        </w:rPr>
      </w:pPr>
      <w:r w:rsidRPr="006A36E8">
        <w:rPr>
          <w:rFonts w:cs="Times New Roman"/>
          <w:i/>
          <w:sz w:val="24"/>
          <w:szCs w:val="24"/>
        </w:rPr>
        <w:t>The Nature of the Article 17(1) Discretion</w:t>
      </w:r>
    </w:p>
    <w:p w14:paraId="3FE6171B" w14:textId="77777777" w:rsidR="006A36E8" w:rsidRDefault="006A36E8" w:rsidP="0054512D">
      <w:pPr>
        <w:pStyle w:val="ListParagraph"/>
        <w:autoSpaceDE w:val="0"/>
        <w:autoSpaceDN w:val="0"/>
        <w:adjustRightInd w:val="0"/>
        <w:spacing w:after="0" w:line="480" w:lineRule="auto"/>
        <w:jc w:val="both"/>
        <w:rPr>
          <w:rFonts w:cs="Times New Roman"/>
          <w:sz w:val="24"/>
          <w:szCs w:val="24"/>
        </w:rPr>
      </w:pPr>
    </w:p>
    <w:p w14:paraId="073D249B" w14:textId="4FB1FAF7" w:rsidR="00B76759" w:rsidRDefault="006A36E8" w:rsidP="00B76759">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 xml:space="preserve">Before addressing the Applicant’s arguments in support of her appeal, it appears appropriate to consider in more detail the nature and scope of the Article 17(1) discretion. Article 17(1) is </w:t>
      </w:r>
      <w:r w:rsidRPr="0001412A">
        <w:rPr>
          <w:rFonts w:cs="Times New Roman"/>
          <w:i/>
          <w:sz w:val="24"/>
          <w:szCs w:val="24"/>
        </w:rPr>
        <w:t xml:space="preserve">“an integral part </w:t>
      </w:r>
      <w:r w:rsidR="0001412A" w:rsidRPr="0001412A">
        <w:rPr>
          <w:rFonts w:cs="Times New Roman"/>
          <w:i/>
          <w:sz w:val="24"/>
          <w:szCs w:val="24"/>
        </w:rPr>
        <w:t>of the mechanisms laid down by [Dublin III] for determining the member state responsible for an asylum application</w:t>
      </w:r>
      <w:r w:rsidR="0001412A">
        <w:rPr>
          <w:rFonts w:cs="Times New Roman"/>
          <w:sz w:val="24"/>
          <w:szCs w:val="24"/>
        </w:rPr>
        <w:t xml:space="preserve">”: </w:t>
      </w:r>
      <w:r w:rsidRPr="006A36E8">
        <w:rPr>
          <w:rFonts w:cs="Times New Roman"/>
          <w:i/>
          <w:sz w:val="24"/>
          <w:szCs w:val="24"/>
        </w:rPr>
        <w:t>MA</w:t>
      </w:r>
      <w:r>
        <w:rPr>
          <w:rFonts w:cs="Times New Roman"/>
          <w:sz w:val="24"/>
          <w:szCs w:val="24"/>
        </w:rPr>
        <w:t>, para 64.</w:t>
      </w:r>
      <w:r w:rsidR="0001412A">
        <w:rPr>
          <w:rFonts w:cs="Times New Roman"/>
          <w:sz w:val="24"/>
          <w:szCs w:val="24"/>
        </w:rPr>
        <w:t xml:space="preserve"> Consequently these questions involve the interpretation and application of EU law: </w:t>
      </w:r>
      <w:r w:rsidR="0001412A" w:rsidRPr="0001412A">
        <w:rPr>
          <w:rFonts w:cs="Times New Roman"/>
          <w:i/>
          <w:sz w:val="24"/>
          <w:szCs w:val="24"/>
        </w:rPr>
        <w:t>CK</w:t>
      </w:r>
      <w:r w:rsidR="0001412A">
        <w:rPr>
          <w:rFonts w:cs="Times New Roman"/>
          <w:sz w:val="24"/>
          <w:szCs w:val="24"/>
        </w:rPr>
        <w:t>, para 54.</w:t>
      </w:r>
    </w:p>
    <w:p w14:paraId="79F5B975" w14:textId="77777777" w:rsidR="00B76759" w:rsidRDefault="00B76759" w:rsidP="00B76759">
      <w:pPr>
        <w:pStyle w:val="ListParagraph"/>
        <w:autoSpaceDE w:val="0"/>
        <w:autoSpaceDN w:val="0"/>
        <w:adjustRightInd w:val="0"/>
        <w:spacing w:after="0" w:line="480" w:lineRule="auto"/>
        <w:jc w:val="both"/>
        <w:rPr>
          <w:rFonts w:cs="Times New Roman"/>
          <w:sz w:val="24"/>
          <w:szCs w:val="24"/>
        </w:rPr>
      </w:pPr>
    </w:p>
    <w:p w14:paraId="332AC637" w14:textId="1A4ED796" w:rsidR="001A5848" w:rsidRDefault="00B76759" w:rsidP="001A5848">
      <w:pPr>
        <w:pStyle w:val="ListParagraph"/>
        <w:numPr>
          <w:ilvl w:val="0"/>
          <w:numId w:val="1"/>
        </w:numPr>
        <w:autoSpaceDE w:val="0"/>
        <w:autoSpaceDN w:val="0"/>
        <w:adjustRightInd w:val="0"/>
        <w:spacing w:after="0" w:line="480" w:lineRule="auto"/>
        <w:ind w:hanging="720"/>
        <w:jc w:val="both"/>
        <w:rPr>
          <w:rFonts w:cs="Times New Roman"/>
          <w:sz w:val="24"/>
          <w:szCs w:val="24"/>
        </w:rPr>
      </w:pPr>
      <w:r w:rsidRPr="00B76759">
        <w:rPr>
          <w:rFonts w:cs="Times New Roman"/>
          <w:sz w:val="24"/>
          <w:szCs w:val="24"/>
        </w:rPr>
        <w:t>The Court</w:t>
      </w:r>
      <w:r>
        <w:rPr>
          <w:rFonts w:cs="Times New Roman"/>
          <w:sz w:val="24"/>
          <w:szCs w:val="24"/>
        </w:rPr>
        <w:t xml:space="preserve"> of J</w:t>
      </w:r>
      <w:r w:rsidR="005922C0">
        <w:rPr>
          <w:rFonts w:cs="Times New Roman"/>
          <w:sz w:val="24"/>
          <w:szCs w:val="24"/>
        </w:rPr>
        <w:t>u</w:t>
      </w:r>
      <w:r>
        <w:rPr>
          <w:rFonts w:cs="Times New Roman"/>
          <w:sz w:val="24"/>
          <w:szCs w:val="24"/>
        </w:rPr>
        <w:t>stice</w:t>
      </w:r>
      <w:r w:rsidRPr="00B76759">
        <w:rPr>
          <w:rFonts w:cs="Times New Roman"/>
          <w:sz w:val="24"/>
          <w:szCs w:val="24"/>
        </w:rPr>
        <w:t xml:space="preserve"> has consistently emphasised the broad nature of the discretion.</w:t>
      </w:r>
      <w:r w:rsidR="001A5848">
        <w:rPr>
          <w:rFonts w:cs="Times New Roman"/>
          <w:sz w:val="24"/>
          <w:szCs w:val="24"/>
        </w:rPr>
        <w:t xml:space="preserve"> </w:t>
      </w:r>
      <w:r w:rsidR="0088016F">
        <w:rPr>
          <w:rFonts w:cs="Times New Roman"/>
          <w:sz w:val="24"/>
          <w:szCs w:val="24"/>
        </w:rPr>
        <w:t xml:space="preserve">That is </w:t>
      </w:r>
      <w:r w:rsidR="00FE70B8">
        <w:rPr>
          <w:rFonts w:cs="Times New Roman"/>
          <w:sz w:val="24"/>
          <w:szCs w:val="24"/>
        </w:rPr>
        <w:t>abundantly clear</w:t>
      </w:r>
      <w:r w:rsidR="0088016F">
        <w:rPr>
          <w:rFonts w:cs="Times New Roman"/>
          <w:sz w:val="24"/>
          <w:szCs w:val="24"/>
        </w:rPr>
        <w:t xml:space="preserve"> from the following passage from the CJEU’s judgment in </w:t>
      </w:r>
      <w:r w:rsidR="001A5848" w:rsidRPr="001A5848">
        <w:rPr>
          <w:rFonts w:cs="Times New Roman"/>
          <w:i/>
          <w:sz w:val="24"/>
          <w:szCs w:val="24"/>
        </w:rPr>
        <w:t>MA</w:t>
      </w:r>
      <w:r w:rsidR="0088016F">
        <w:rPr>
          <w:rFonts w:cs="Times New Roman"/>
          <w:sz w:val="24"/>
          <w:szCs w:val="24"/>
        </w:rPr>
        <w:t>:</w:t>
      </w:r>
    </w:p>
    <w:p w14:paraId="49759B80" w14:textId="77777777" w:rsidR="001A5848" w:rsidRPr="001A5848" w:rsidRDefault="001A5848" w:rsidP="001A5848">
      <w:pPr>
        <w:pStyle w:val="c01pointnumerotealtn"/>
        <w:spacing w:before="0" w:beforeAutospacing="0" w:after="0" w:afterAutospacing="0" w:line="480" w:lineRule="auto"/>
        <w:ind w:left="1418"/>
        <w:jc w:val="both"/>
        <w:rPr>
          <w:i/>
          <w:color w:val="000000" w:themeColor="text1"/>
        </w:rPr>
      </w:pPr>
    </w:p>
    <w:p w14:paraId="2B007070" w14:textId="773DF955" w:rsidR="001A5848" w:rsidRPr="001A5848" w:rsidRDefault="001A5848" w:rsidP="001A5848">
      <w:pPr>
        <w:pStyle w:val="c01pointnumerotealtn"/>
        <w:spacing w:before="0" w:beforeAutospacing="0" w:after="0" w:afterAutospacing="0" w:line="480" w:lineRule="auto"/>
        <w:ind w:left="1418"/>
        <w:jc w:val="both"/>
        <w:rPr>
          <w:i/>
          <w:color w:val="000000" w:themeColor="text1"/>
        </w:rPr>
      </w:pPr>
      <w:r>
        <w:rPr>
          <w:i/>
          <w:color w:val="000000" w:themeColor="text1"/>
        </w:rPr>
        <w:t>“</w:t>
      </w:r>
      <w:r w:rsidRPr="001A5848">
        <w:rPr>
          <w:i/>
          <w:color w:val="000000" w:themeColor="text1"/>
        </w:rPr>
        <w:t>56  Under Article 3(1) of the Dublin III Regulation, an application for international protection is to be examined by a single Member State, which is to be the one which the criteria set out in Chapter III of that regulation indicate is responsible.</w:t>
      </w:r>
    </w:p>
    <w:p w14:paraId="4AE6408B" w14:textId="1F93354E" w:rsidR="001A5848" w:rsidRDefault="001A5848" w:rsidP="001A5848">
      <w:pPr>
        <w:pStyle w:val="c01pointnumerotealtn"/>
        <w:spacing w:before="0" w:beforeAutospacing="0" w:after="0" w:afterAutospacing="0" w:line="480" w:lineRule="auto"/>
        <w:ind w:left="1418"/>
        <w:jc w:val="both"/>
        <w:rPr>
          <w:i/>
          <w:color w:val="000000" w:themeColor="text1"/>
        </w:rPr>
      </w:pPr>
      <w:bookmarkStart w:id="8" w:name="point57"/>
      <w:r w:rsidRPr="001A5848">
        <w:rPr>
          <w:i/>
          <w:color w:val="000000" w:themeColor="text1"/>
        </w:rPr>
        <w:lastRenderedPageBreak/>
        <w:t>57</w:t>
      </w:r>
      <w:bookmarkEnd w:id="8"/>
      <w:r w:rsidRPr="001A5848">
        <w:rPr>
          <w:i/>
          <w:color w:val="000000" w:themeColor="text1"/>
        </w:rPr>
        <w:t>      By way of derogation from Article 3(1), Article 17(1) of that regulation provides that each Member State may decide to examine an application for international protection lodged with it by a third-country national or a stateless person, even if such examination is not its responsibility under such criteria.</w:t>
      </w:r>
    </w:p>
    <w:p w14:paraId="6D70BBE3" w14:textId="77777777" w:rsidR="001A5848" w:rsidRPr="001A5848" w:rsidRDefault="001A5848" w:rsidP="001A5848">
      <w:pPr>
        <w:pStyle w:val="c01pointnumerotealtn"/>
        <w:spacing w:before="0" w:beforeAutospacing="0" w:after="0" w:afterAutospacing="0" w:line="480" w:lineRule="auto"/>
        <w:ind w:left="1418"/>
        <w:jc w:val="both"/>
        <w:rPr>
          <w:i/>
          <w:color w:val="000000" w:themeColor="text1"/>
        </w:rPr>
      </w:pPr>
    </w:p>
    <w:p w14:paraId="7E46F5C0" w14:textId="18E4E968" w:rsidR="001A5848" w:rsidRDefault="001A5848" w:rsidP="001A5848">
      <w:pPr>
        <w:pStyle w:val="c01pointnumerotealtn"/>
        <w:spacing w:before="0" w:beforeAutospacing="0" w:after="0" w:afterAutospacing="0" w:line="480" w:lineRule="auto"/>
        <w:ind w:left="1418"/>
        <w:jc w:val="both"/>
        <w:rPr>
          <w:i/>
          <w:color w:val="000000" w:themeColor="text1"/>
        </w:rPr>
      </w:pPr>
      <w:bookmarkStart w:id="9" w:name="point58"/>
      <w:r w:rsidRPr="001A5848">
        <w:rPr>
          <w:i/>
          <w:color w:val="000000" w:themeColor="text1"/>
        </w:rPr>
        <w:t>58</w:t>
      </w:r>
      <w:bookmarkEnd w:id="9"/>
      <w:r w:rsidRPr="001A5848">
        <w:rPr>
          <w:i/>
          <w:color w:val="000000" w:themeColor="text1"/>
        </w:rPr>
        <w:t>      It is clear from the wording of Article 17(1) of the Dublin III Regulation that that provision is optional in so far it leaves it to the discretion of each Member State to decide to examine an application for international protection lodged with it, even if that examination is not its responsibility under the criteria defined by that regulation for determining the Member State responsible. The exercise of that option is not, moreover, subject to any particular condition (see, to that effect, judgment of 30 May 2013, </w:t>
      </w:r>
      <w:r w:rsidRPr="001A5848">
        <w:rPr>
          <w:i/>
          <w:iCs/>
          <w:color w:val="000000" w:themeColor="text1"/>
        </w:rPr>
        <w:t>Halaf, </w:t>
      </w:r>
      <w:r w:rsidRPr="001A5848">
        <w:rPr>
          <w:i/>
          <w:color w:val="000000" w:themeColor="text1"/>
        </w:rPr>
        <w:t>C</w:t>
      </w:r>
      <w:r w:rsidRPr="001A5848">
        <w:rPr>
          <w:i/>
          <w:color w:val="000000" w:themeColor="text1"/>
        </w:rPr>
        <w:noBreakHyphen/>
        <w:t>528/11, EU:C:2013:342, paragraph 36). That option is intended to allow each Member State to decide, in its absolute discretion, on the basis of political, humanitarian or practical considerations, to agree to examine an asylum application even if it is not responsible under the criteria laid down in that regulation (judgment of 4 October 2018, </w:t>
      </w:r>
      <w:r w:rsidRPr="001A5848">
        <w:rPr>
          <w:i/>
          <w:iCs/>
          <w:color w:val="000000" w:themeColor="text1"/>
        </w:rPr>
        <w:t>Fathi</w:t>
      </w:r>
      <w:r w:rsidRPr="001A5848">
        <w:rPr>
          <w:i/>
          <w:color w:val="000000" w:themeColor="text1"/>
        </w:rPr>
        <w:t>, C</w:t>
      </w:r>
      <w:r w:rsidRPr="001A5848">
        <w:rPr>
          <w:i/>
          <w:color w:val="000000" w:themeColor="text1"/>
        </w:rPr>
        <w:noBreakHyphen/>
        <w:t>56/17, EU:C:2018:803, paragraph 53).</w:t>
      </w:r>
    </w:p>
    <w:p w14:paraId="20DAEAAA" w14:textId="77777777" w:rsidR="001A5848" w:rsidRPr="001A5848" w:rsidRDefault="001A5848" w:rsidP="001A5848">
      <w:pPr>
        <w:pStyle w:val="c01pointnumerotealtn"/>
        <w:spacing w:before="0" w:beforeAutospacing="0" w:after="0" w:afterAutospacing="0" w:line="480" w:lineRule="auto"/>
        <w:ind w:left="1418"/>
        <w:jc w:val="both"/>
        <w:rPr>
          <w:i/>
          <w:color w:val="000000" w:themeColor="text1"/>
        </w:rPr>
      </w:pPr>
    </w:p>
    <w:p w14:paraId="034EBE1D" w14:textId="77777777" w:rsidR="001A5848" w:rsidRPr="001A5848" w:rsidRDefault="001A5848" w:rsidP="001A5848">
      <w:pPr>
        <w:pStyle w:val="c01pointnumerotealtn"/>
        <w:spacing w:before="0" w:beforeAutospacing="0" w:after="0" w:afterAutospacing="0" w:line="480" w:lineRule="auto"/>
        <w:ind w:left="1418"/>
        <w:jc w:val="both"/>
        <w:rPr>
          <w:i/>
          <w:color w:val="000000" w:themeColor="text1"/>
        </w:rPr>
      </w:pPr>
      <w:bookmarkStart w:id="10" w:name="point59"/>
      <w:r w:rsidRPr="001A5848">
        <w:rPr>
          <w:i/>
          <w:color w:val="000000" w:themeColor="text1"/>
        </w:rPr>
        <w:t>59</w:t>
      </w:r>
      <w:bookmarkEnd w:id="10"/>
      <w:r w:rsidRPr="001A5848">
        <w:rPr>
          <w:i/>
          <w:color w:val="000000" w:themeColor="text1"/>
        </w:rPr>
        <w:t>      In the light of the extent of the discretion thus conferred on the Member States, it is for the Member State concerned to determine the circumstances in which it wishes to use the option conferred by the discretionary clause set out in Article 17(1) of the Dublin III Regulation and to agree itself to examine an application for international protection for which it is not responsible under the criteria defined by that regulation.</w:t>
      </w:r>
    </w:p>
    <w:p w14:paraId="7EE01FA5" w14:textId="10220CCB" w:rsidR="001A5848" w:rsidRPr="001A5848" w:rsidRDefault="001A5848" w:rsidP="001A5848">
      <w:pPr>
        <w:pStyle w:val="c01pointnumerotealtn"/>
        <w:spacing w:before="0" w:beforeAutospacing="0" w:after="0" w:afterAutospacing="0" w:line="480" w:lineRule="auto"/>
        <w:ind w:left="1418"/>
        <w:jc w:val="both"/>
        <w:rPr>
          <w:i/>
          <w:color w:val="000000" w:themeColor="text1"/>
        </w:rPr>
      </w:pPr>
      <w:bookmarkStart w:id="11" w:name="point60"/>
      <w:r w:rsidRPr="001A5848">
        <w:rPr>
          <w:i/>
          <w:color w:val="000000" w:themeColor="text1"/>
        </w:rPr>
        <w:lastRenderedPageBreak/>
        <w:t>60</w:t>
      </w:r>
      <w:bookmarkEnd w:id="11"/>
      <w:r w:rsidRPr="001A5848">
        <w:rPr>
          <w:i/>
          <w:color w:val="000000" w:themeColor="text1"/>
        </w:rPr>
        <w:t>      That finding is also consistent, first, with the case-law of the Court relating to optional provisions, according to which such provisions afford wide discretionary power to the Member States (judgment of 10 December 2013, </w:t>
      </w:r>
      <w:r w:rsidRPr="001A5848">
        <w:rPr>
          <w:i/>
          <w:iCs/>
          <w:color w:val="000000" w:themeColor="text1"/>
        </w:rPr>
        <w:t>Abdullahi</w:t>
      </w:r>
      <w:r w:rsidRPr="001A5848">
        <w:rPr>
          <w:i/>
          <w:color w:val="000000" w:themeColor="text1"/>
        </w:rPr>
        <w:t>, C</w:t>
      </w:r>
      <w:r w:rsidRPr="001A5848">
        <w:rPr>
          <w:i/>
          <w:color w:val="000000" w:themeColor="text1"/>
        </w:rPr>
        <w:noBreakHyphen/>
        <w:t>394/12, EU:C:2013:813, paragraph 57 and the case-law cited) and, second, with the objective of Article 17(1), namely to maintain the prerogatives of the Member States in the exercise of the right to grant international protection (judgment of 5 July 2018, </w:t>
      </w:r>
      <w:r w:rsidRPr="001A5848">
        <w:rPr>
          <w:i/>
          <w:iCs/>
          <w:color w:val="000000" w:themeColor="text1"/>
        </w:rPr>
        <w:t>X</w:t>
      </w:r>
      <w:r w:rsidRPr="001A5848">
        <w:rPr>
          <w:i/>
          <w:color w:val="000000" w:themeColor="text1"/>
        </w:rPr>
        <w:t>, C</w:t>
      </w:r>
      <w:r w:rsidRPr="001A5848">
        <w:rPr>
          <w:i/>
          <w:color w:val="000000" w:themeColor="text1"/>
        </w:rPr>
        <w:noBreakHyphen/>
        <w:t>213/17, EU:C:2018:538, paragraph 61 and the case-law cited).”</w:t>
      </w:r>
    </w:p>
    <w:p w14:paraId="0D12FBAD" w14:textId="77777777" w:rsidR="001A5848" w:rsidRPr="001A5848" w:rsidRDefault="001A5848" w:rsidP="001A5848">
      <w:pPr>
        <w:autoSpaceDE w:val="0"/>
        <w:autoSpaceDN w:val="0"/>
        <w:adjustRightInd w:val="0"/>
        <w:spacing w:after="0" w:line="480" w:lineRule="auto"/>
        <w:jc w:val="both"/>
        <w:rPr>
          <w:rFonts w:cs="Times New Roman"/>
          <w:sz w:val="24"/>
          <w:szCs w:val="24"/>
        </w:rPr>
      </w:pPr>
    </w:p>
    <w:p w14:paraId="09D00B55" w14:textId="51E1E630" w:rsidR="001A5848" w:rsidRDefault="0088016F" w:rsidP="001A5848">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 xml:space="preserve">Thus, if the state of health of an applicant for international protection is such as to prevent the implementation of a transfer order, the requesting Member State may choose to exercise its discretion to examine their application but would be under no obligation to do so: </w:t>
      </w:r>
      <w:r w:rsidRPr="0088016F">
        <w:rPr>
          <w:rFonts w:cs="Times New Roman"/>
          <w:i/>
          <w:sz w:val="24"/>
          <w:szCs w:val="24"/>
        </w:rPr>
        <w:t>CK</w:t>
      </w:r>
      <w:r>
        <w:rPr>
          <w:rFonts w:cs="Times New Roman"/>
          <w:sz w:val="24"/>
          <w:szCs w:val="24"/>
        </w:rPr>
        <w:t>, at para 88.</w:t>
      </w:r>
      <w:r w:rsidR="00091607">
        <w:rPr>
          <w:rFonts w:cs="Times New Roman"/>
          <w:sz w:val="24"/>
          <w:szCs w:val="24"/>
        </w:rPr>
        <w:t xml:space="preserve"> Similarly, the fact that conditions in the Member State responsible were such as to pose a threat to the fundamental rights of the asylum seeker did not, in itself, trigger an obligation on the part of the requesting Member State to exercise its option to assume responsibility: Case C-4/11, </w:t>
      </w:r>
      <w:r w:rsidR="00091607" w:rsidRPr="00091607">
        <w:rPr>
          <w:rFonts w:cs="Times New Roman"/>
          <w:i/>
          <w:sz w:val="24"/>
          <w:szCs w:val="24"/>
        </w:rPr>
        <w:t>Puid</w:t>
      </w:r>
      <w:r w:rsidR="00091607">
        <w:rPr>
          <w:rFonts w:cs="Times New Roman"/>
          <w:sz w:val="24"/>
          <w:szCs w:val="24"/>
        </w:rPr>
        <w:t>.</w:t>
      </w:r>
    </w:p>
    <w:p w14:paraId="61344A7E" w14:textId="77777777" w:rsidR="00091607" w:rsidRDefault="00091607" w:rsidP="00091607">
      <w:pPr>
        <w:pStyle w:val="ListParagraph"/>
        <w:autoSpaceDE w:val="0"/>
        <w:autoSpaceDN w:val="0"/>
        <w:adjustRightInd w:val="0"/>
        <w:spacing w:after="0" w:line="480" w:lineRule="auto"/>
        <w:jc w:val="both"/>
        <w:rPr>
          <w:rFonts w:cs="Times New Roman"/>
          <w:sz w:val="24"/>
          <w:szCs w:val="24"/>
        </w:rPr>
      </w:pPr>
    </w:p>
    <w:p w14:paraId="7748CE74" w14:textId="54F6D63A" w:rsidR="008A5639" w:rsidRDefault="00CA1116" w:rsidP="001A5848">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Nevertheless</w:t>
      </w:r>
      <w:r w:rsidR="00091607">
        <w:rPr>
          <w:rFonts w:cs="Times New Roman"/>
          <w:sz w:val="24"/>
          <w:szCs w:val="24"/>
        </w:rPr>
        <w:t xml:space="preserve">, the CJEU’s jurisprudence does appear to leave open the possibility that, in certain circumstances, such an obligation could be triggered: </w:t>
      </w:r>
      <w:r>
        <w:rPr>
          <w:rFonts w:cs="Times New Roman"/>
          <w:sz w:val="24"/>
          <w:szCs w:val="24"/>
        </w:rPr>
        <w:t xml:space="preserve">Joined cases C-411/10 and C-493/10, </w:t>
      </w:r>
      <w:r w:rsidR="00035F0A">
        <w:rPr>
          <w:rFonts w:cs="Times New Roman"/>
          <w:sz w:val="24"/>
          <w:szCs w:val="24"/>
        </w:rPr>
        <w:t xml:space="preserve"> </w:t>
      </w:r>
      <w:r w:rsidR="008C33FC" w:rsidRPr="00CA1116">
        <w:rPr>
          <w:rFonts w:cs="Times New Roman"/>
          <w:i/>
          <w:sz w:val="24"/>
          <w:szCs w:val="24"/>
        </w:rPr>
        <w:t xml:space="preserve">NS) </w:t>
      </w:r>
      <w:r w:rsidR="00035F0A">
        <w:rPr>
          <w:rFonts w:cs="Times New Roman"/>
          <w:i/>
          <w:sz w:val="24"/>
          <w:szCs w:val="24"/>
        </w:rPr>
        <w:t>(</w:t>
      </w:r>
      <w:r w:rsidR="008C33FC" w:rsidRPr="00CA1116">
        <w:rPr>
          <w:rFonts w:cs="Times New Roman"/>
          <w:i/>
          <w:sz w:val="24"/>
          <w:szCs w:val="24"/>
        </w:rPr>
        <w:t>Afghanistan</w:t>
      </w:r>
      <w:r w:rsidRPr="00CA1116">
        <w:rPr>
          <w:rFonts w:cs="Times New Roman"/>
          <w:i/>
          <w:sz w:val="24"/>
          <w:szCs w:val="24"/>
        </w:rPr>
        <w:t>)) v Secretary of State for the Home Department</w:t>
      </w:r>
      <w:r>
        <w:rPr>
          <w:rFonts w:cs="Times New Roman"/>
          <w:sz w:val="24"/>
          <w:szCs w:val="24"/>
        </w:rPr>
        <w:t xml:space="preserve"> [2013] QB 102</w:t>
      </w:r>
      <w:r w:rsidR="008A5639">
        <w:rPr>
          <w:rFonts w:cs="Times New Roman"/>
          <w:sz w:val="24"/>
          <w:szCs w:val="24"/>
        </w:rPr>
        <w:t xml:space="preserve">. </w:t>
      </w:r>
      <w:r w:rsidR="00A97AEF">
        <w:rPr>
          <w:rFonts w:cs="Times New Roman"/>
          <w:sz w:val="24"/>
          <w:szCs w:val="24"/>
        </w:rPr>
        <w:t xml:space="preserve">The two references in </w:t>
      </w:r>
      <w:r w:rsidRPr="00CA1116">
        <w:rPr>
          <w:rFonts w:cs="Times New Roman"/>
          <w:i/>
          <w:sz w:val="24"/>
          <w:szCs w:val="24"/>
        </w:rPr>
        <w:t xml:space="preserve">NS </w:t>
      </w:r>
      <w:r w:rsidR="00A97AEF">
        <w:rPr>
          <w:rFonts w:cs="Times New Roman"/>
          <w:sz w:val="24"/>
          <w:szCs w:val="24"/>
        </w:rPr>
        <w:t>involved</w:t>
      </w:r>
      <w:r w:rsidR="0027521A">
        <w:rPr>
          <w:rFonts w:cs="Times New Roman"/>
          <w:sz w:val="24"/>
          <w:szCs w:val="24"/>
        </w:rPr>
        <w:t xml:space="preserve"> the</w:t>
      </w:r>
      <w:r w:rsidR="00A97AEF">
        <w:rPr>
          <w:rFonts w:cs="Times New Roman"/>
          <w:sz w:val="24"/>
          <w:szCs w:val="24"/>
        </w:rPr>
        <w:t xml:space="preserve"> transfer </w:t>
      </w:r>
      <w:r w:rsidR="0027521A">
        <w:rPr>
          <w:rFonts w:cs="Times New Roman"/>
          <w:sz w:val="24"/>
          <w:szCs w:val="24"/>
        </w:rPr>
        <w:t xml:space="preserve">of asylum applicants </w:t>
      </w:r>
      <w:r w:rsidR="00A97AEF">
        <w:rPr>
          <w:rFonts w:cs="Times New Roman"/>
          <w:sz w:val="24"/>
          <w:szCs w:val="24"/>
        </w:rPr>
        <w:t>to Greece</w:t>
      </w:r>
      <w:r w:rsidR="0027521A">
        <w:rPr>
          <w:rFonts w:cs="Times New Roman"/>
          <w:sz w:val="24"/>
          <w:szCs w:val="24"/>
        </w:rPr>
        <w:t xml:space="preserve"> in circumstances where, as a result of the influx of illegal immigrants into that country, there were significant difficulties in the asylum procedure and in the reception conditions of asylum seekers. In such circumstances, the Court held, Member States </w:t>
      </w:r>
      <w:r w:rsidR="0027521A">
        <w:rPr>
          <w:rFonts w:cs="Times New Roman"/>
          <w:sz w:val="24"/>
          <w:szCs w:val="24"/>
        </w:rPr>
        <w:lastRenderedPageBreak/>
        <w:t>could not transfer applicants to Greece, even though it was the Member State responsible. It did not follow, the Court went on, that the requesting Member State thereby became obliged to consider the applications under Article 3(2) (</w:t>
      </w:r>
      <w:r w:rsidR="0027521A" w:rsidRPr="0027521A">
        <w:rPr>
          <w:rFonts w:cs="Times New Roman"/>
          <w:i/>
          <w:sz w:val="24"/>
          <w:szCs w:val="24"/>
        </w:rPr>
        <w:t>NS</w:t>
      </w:r>
      <w:r w:rsidR="0027521A">
        <w:rPr>
          <w:rFonts w:cs="Times New Roman"/>
          <w:sz w:val="24"/>
          <w:szCs w:val="24"/>
        </w:rPr>
        <w:t xml:space="preserve"> was a Dublin II case). Its obligation </w:t>
      </w:r>
      <w:r w:rsidR="008A5639">
        <w:rPr>
          <w:rFonts w:cs="Times New Roman"/>
          <w:sz w:val="24"/>
          <w:szCs w:val="24"/>
        </w:rPr>
        <w:t xml:space="preserve">in such circumstances </w:t>
      </w:r>
      <w:r w:rsidR="0027521A">
        <w:rPr>
          <w:rFonts w:cs="Times New Roman"/>
          <w:sz w:val="24"/>
          <w:szCs w:val="24"/>
        </w:rPr>
        <w:t xml:space="preserve">was </w:t>
      </w:r>
      <w:r w:rsidR="008A5639">
        <w:rPr>
          <w:rFonts w:cs="Times New Roman"/>
          <w:sz w:val="24"/>
          <w:szCs w:val="24"/>
        </w:rPr>
        <w:t>to “</w:t>
      </w:r>
      <w:r w:rsidR="008A5639" w:rsidRPr="008A5639">
        <w:rPr>
          <w:rFonts w:cs="Times New Roman"/>
          <w:i/>
          <w:sz w:val="24"/>
          <w:szCs w:val="24"/>
        </w:rPr>
        <w:t>continue to examine the criteria set out in [Chapter III) in order to establish whether one of the following criteria enables another member state to be identified as responsible for the examination of the asylum application</w:t>
      </w:r>
      <w:r w:rsidR="008A5639">
        <w:rPr>
          <w:rFonts w:cs="Times New Roman"/>
          <w:sz w:val="24"/>
          <w:szCs w:val="24"/>
        </w:rPr>
        <w:t>” (para 96).  However, the Court added:</w:t>
      </w:r>
    </w:p>
    <w:p w14:paraId="124E3560" w14:textId="5D62685C" w:rsidR="008A5639" w:rsidRDefault="008A5639" w:rsidP="008A5639">
      <w:pPr>
        <w:pStyle w:val="ListParagraph"/>
        <w:autoSpaceDE w:val="0"/>
        <w:autoSpaceDN w:val="0"/>
        <w:adjustRightInd w:val="0"/>
        <w:spacing w:after="0" w:line="480" w:lineRule="auto"/>
        <w:jc w:val="both"/>
        <w:rPr>
          <w:rFonts w:cs="Times New Roman"/>
          <w:sz w:val="24"/>
          <w:szCs w:val="24"/>
        </w:rPr>
      </w:pPr>
    </w:p>
    <w:p w14:paraId="234A6C03" w14:textId="43472448" w:rsidR="008A5639" w:rsidRDefault="008A5639" w:rsidP="008A5639">
      <w:pPr>
        <w:pStyle w:val="ListParagraph"/>
        <w:autoSpaceDE w:val="0"/>
        <w:autoSpaceDN w:val="0"/>
        <w:adjustRightInd w:val="0"/>
        <w:spacing w:after="0" w:line="480" w:lineRule="auto"/>
        <w:ind w:left="1418"/>
        <w:jc w:val="both"/>
        <w:rPr>
          <w:rFonts w:cs="Times New Roman"/>
          <w:i/>
          <w:sz w:val="24"/>
          <w:szCs w:val="24"/>
        </w:rPr>
      </w:pPr>
      <w:r w:rsidRPr="008A5639">
        <w:rPr>
          <w:rFonts w:cs="Times New Roman"/>
          <w:i/>
          <w:sz w:val="24"/>
          <w:szCs w:val="24"/>
        </w:rPr>
        <w:t xml:space="preserve">“[98] The member state in which the asylum seeker is present must, however, ensure that it does not worsen a situation where the fundamental rights of that applicant have been infringed by using a procedure for determining the member state responsible which takes an unreasonable length of time. If necessary, that member state must itself examine the application in accordance with the procedure laid down in article 3(2) of [Dublin II].” </w:t>
      </w:r>
    </w:p>
    <w:p w14:paraId="19521BFD" w14:textId="0D9E007D" w:rsidR="008A5639" w:rsidRPr="008A5639" w:rsidRDefault="008A5639" w:rsidP="008A5639">
      <w:pPr>
        <w:pStyle w:val="ListParagraph"/>
        <w:autoSpaceDE w:val="0"/>
        <w:autoSpaceDN w:val="0"/>
        <w:adjustRightInd w:val="0"/>
        <w:spacing w:after="0" w:line="480" w:lineRule="auto"/>
        <w:ind w:left="709"/>
        <w:jc w:val="both"/>
        <w:rPr>
          <w:rFonts w:cs="Times New Roman"/>
          <w:sz w:val="24"/>
          <w:szCs w:val="24"/>
        </w:rPr>
      </w:pPr>
    </w:p>
    <w:p w14:paraId="1BFC9383" w14:textId="069F4C74" w:rsidR="00091607" w:rsidRDefault="0027521A" w:rsidP="001A5848">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 xml:space="preserve"> </w:t>
      </w:r>
      <w:r w:rsidR="008322DE">
        <w:rPr>
          <w:rFonts w:cs="Times New Roman"/>
          <w:sz w:val="24"/>
          <w:szCs w:val="24"/>
        </w:rPr>
        <w:t xml:space="preserve">The </w:t>
      </w:r>
      <w:r w:rsidR="00FE0512">
        <w:rPr>
          <w:rFonts w:cs="Times New Roman"/>
          <w:sz w:val="24"/>
          <w:szCs w:val="24"/>
        </w:rPr>
        <w:t>nature of the Article 17(1) discretion was also considered</w:t>
      </w:r>
      <w:r w:rsidR="00FE70B8">
        <w:rPr>
          <w:rFonts w:cs="Times New Roman"/>
          <w:sz w:val="24"/>
          <w:szCs w:val="24"/>
        </w:rPr>
        <w:t xml:space="preserve"> in </w:t>
      </w:r>
      <w:r w:rsidR="00FE70B8" w:rsidRPr="00FE70B8">
        <w:rPr>
          <w:rFonts w:cs="Times New Roman"/>
          <w:i/>
          <w:sz w:val="24"/>
          <w:szCs w:val="24"/>
        </w:rPr>
        <w:t>NVU</w:t>
      </w:r>
      <w:r w:rsidR="00FE70B8">
        <w:rPr>
          <w:rFonts w:cs="Times New Roman"/>
          <w:sz w:val="24"/>
          <w:szCs w:val="24"/>
        </w:rPr>
        <w:t xml:space="preserve">. In this Court, Baker J </w:t>
      </w:r>
      <w:r w:rsidR="00F77F9B">
        <w:rPr>
          <w:rFonts w:cs="Times New Roman"/>
          <w:sz w:val="24"/>
          <w:szCs w:val="24"/>
        </w:rPr>
        <w:t>observed that “</w:t>
      </w:r>
      <w:r w:rsidR="00F77F9B" w:rsidRPr="00F77F9B">
        <w:rPr>
          <w:rFonts w:cs="Times New Roman"/>
          <w:i/>
          <w:sz w:val="24"/>
          <w:szCs w:val="24"/>
        </w:rPr>
        <w:t>in its nature, and subject to the overriding restriction to compassionate and humanitarian considerations from Dublin III itself, the discretion is not one constrained by policies or criteria</w:t>
      </w:r>
      <w:r w:rsidR="00F77F9B">
        <w:rPr>
          <w:rFonts w:cs="Times New Roman"/>
          <w:sz w:val="24"/>
          <w:szCs w:val="24"/>
        </w:rPr>
        <w:t xml:space="preserve">” (para 114).  </w:t>
      </w:r>
      <w:r w:rsidR="00C606DA">
        <w:rPr>
          <w:rFonts w:cs="Times New Roman"/>
          <w:sz w:val="24"/>
          <w:szCs w:val="24"/>
        </w:rPr>
        <w:t xml:space="preserve">The reference to compassionate and humanitarian considerations here clearly reflects recital (19) but as is clear from that recital and from Article 17(1) itself, and as the CJEU emphasised in </w:t>
      </w:r>
      <w:r w:rsidR="00C606DA" w:rsidRPr="00C606DA">
        <w:rPr>
          <w:rFonts w:cs="Times New Roman"/>
          <w:i/>
          <w:sz w:val="24"/>
          <w:szCs w:val="24"/>
        </w:rPr>
        <w:t>MA</w:t>
      </w:r>
      <w:r w:rsidR="00C606DA">
        <w:rPr>
          <w:rFonts w:cs="Times New Roman"/>
          <w:sz w:val="24"/>
          <w:szCs w:val="24"/>
        </w:rPr>
        <w:t>, the discretion is not limited to such considerations. “</w:t>
      </w:r>
      <w:r w:rsidR="00C606DA" w:rsidRPr="00C606DA">
        <w:rPr>
          <w:rFonts w:cs="Times New Roman"/>
          <w:i/>
          <w:sz w:val="24"/>
          <w:szCs w:val="24"/>
        </w:rPr>
        <w:t>Political</w:t>
      </w:r>
      <w:r w:rsidR="00C606DA">
        <w:rPr>
          <w:rFonts w:cs="Times New Roman"/>
          <w:sz w:val="24"/>
          <w:szCs w:val="24"/>
        </w:rPr>
        <w:t>” and “</w:t>
      </w:r>
      <w:r w:rsidR="00C606DA" w:rsidRPr="00C606DA">
        <w:rPr>
          <w:rFonts w:cs="Times New Roman"/>
          <w:i/>
          <w:sz w:val="24"/>
          <w:szCs w:val="24"/>
        </w:rPr>
        <w:t>practical</w:t>
      </w:r>
      <w:r w:rsidR="00C606DA">
        <w:rPr>
          <w:rFonts w:cs="Times New Roman"/>
          <w:sz w:val="24"/>
          <w:szCs w:val="24"/>
        </w:rPr>
        <w:t xml:space="preserve">” considerations may also be relevant. In the Supreme Court, </w:t>
      </w:r>
      <w:r w:rsidR="00FE0512">
        <w:rPr>
          <w:rFonts w:cs="Times New Roman"/>
          <w:sz w:val="24"/>
          <w:szCs w:val="24"/>
        </w:rPr>
        <w:t>Charleton J thought the breadth of the discretion “</w:t>
      </w:r>
      <w:r w:rsidR="00FE0512" w:rsidRPr="00FE0512">
        <w:rPr>
          <w:rFonts w:cs="Times New Roman"/>
          <w:i/>
          <w:sz w:val="24"/>
          <w:szCs w:val="24"/>
        </w:rPr>
        <w:t>striking</w:t>
      </w:r>
      <w:r w:rsidR="00FE0512">
        <w:rPr>
          <w:rFonts w:cs="Times New Roman"/>
          <w:sz w:val="24"/>
          <w:szCs w:val="24"/>
        </w:rPr>
        <w:t>”. The CJEU in MA had “</w:t>
      </w:r>
      <w:r w:rsidR="00FE0512" w:rsidRPr="00FE0512">
        <w:rPr>
          <w:rFonts w:cs="Times New Roman"/>
          <w:i/>
          <w:sz w:val="24"/>
          <w:szCs w:val="24"/>
        </w:rPr>
        <w:t xml:space="preserve">emphasised the entirely </w:t>
      </w:r>
      <w:r w:rsidR="00FE0512" w:rsidRPr="00FE0512">
        <w:rPr>
          <w:rFonts w:cs="Times New Roman"/>
          <w:i/>
          <w:sz w:val="24"/>
          <w:szCs w:val="24"/>
        </w:rPr>
        <w:lastRenderedPageBreak/>
        <w:t>unfettered nature</w:t>
      </w:r>
      <w:r w:rsidR="00FE0512">
        <w:rPr>
          <w:rFonts w:cs="Times New Roman"/>
          <w:sz w:val="24"/>
          <w:szCs w:val="24"/>
        </w:rPr>
        <w:t>” of it (para 34). It was, he observed, difficult to identify other examples of discretionary powers “</w:t>
      </w:r>
      <w:r w:rsidR="00FE0512" w:rsidRPr="00FE0512">
        <w:rPr>
          <w:rFonts w:cs="Times New Roman"/>
          <w:i/>
          <w:sz w:val="24"/>
          <w:szCs w:val="24"/>
        </w:rPr>
        <w:t>of such a wide and unfettered nature</w:t>
      </w:r>
      <w:r w:rsidR="00FE0512">
        <w:rPr>
          <w:rFonts w:cs="Times New Roman"/>
          <w:sz w:val="24"/>
          <w:szCs w:val="24"/>
        </w:rPr>
        <w:t xml:space="preserve">” (para 36). He contrasted the Article 17(1) power </w:t>
      </w:r>
      <w:r w:rsidR="00052E40">
        <w:rPr>
          <w:rFonts w:cs="Times New Roman"/>
          <w:sz w:val="24"/>
          <w:szCs w:val="24"/>
        </w:rPr>
        <w:t>with the type of discretion given to administrative or quasi-judicial bodies to make decisions based on factual assessments (</w:t>
      </w:r>
      <w:r w:rsidR="00052E40" w:rsidRPr="00052E40">
        <w:rPr>
          <w:rFonts w:cs="Times New Roman"/>
          <w:i/>
          <w:sz w:val="24"/>
          <w:szCs w:val="24"/>
        </w:rPr>
        <w:t>ibid</w:t>
      </w:r>
      <w:r w:rsidR="00052E40">
        <w:rPr>
          <w:rFonts w:cs="Times New Roman"/>
          <w:sz w:val="24"/>
          <w:szCs w:val="24"/>
        </w:rPr>
        <w:t>).</w:t>
      </w:r>
    </w:p>
    <w:p w14:paraId="0F593B75" w14:textId="77777777" w:rsidR="00052E40" w:rsidRDefault="00052E40" w:rsidP="00052E40">
      <w:pPr>
        <w:pStyle w:val="ListParagraph"/>
        <w:autoSpaceDE w:val="0"/>
        <w:autoSpaceDN w:val="0"/>
        <w:adjustRightInd w:val="0"/>
        <w:spacing w:after="0" w:line="480" w:lineRule="auto"/>
        <w:jc w:val="both"/>
        <w:rPr>
          <w:rFonts w:cs="Times New Roman"/>
          <w:sz w:val="24"/>
          <w:szCs w:val="24"/>
        </w:rPr>
      </w:pPr>
    </w:p>
    <w:p w14:paraId="1ECABB69" w14:textId="50EAC685" w:rsidR="00052E40" w:rsidRPr="00E72FEA" w:rsidRDefault="00052E40" w:rsidP="001A5848">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 xml:space="preserve">The Supreme Court in </w:t>
      </w:r>
      <w:r w:rsidRPr="00052E40">
        <w:rPr>
          <w:rFonts w:cs="Times New Roman"/>
          <w:i/>
          <w:sz w:val="24"/>
          <w:szCs w:val="24"/>
        </w:rPr>
        <w:t>NVU</w:t>
      </w:r>
      <w:r>
        <w:rPr>
          <w:rFonts w:cs="Times New Roman"/>
          <w:sz w:val="24"/>
          <w:szCs w:val="24"/>
        </w:rPr>
        <w:t xml:space="preserve"> did not exclude rights-based arguments being made in the context of Article 17(1). However, Charleton J indicated that such issues would not </w:t>
      </w:r>
      <w:r w:rsidRPr="00052E40">
        <w:rPr>
          <w:rFonts w:cs="Times New Roman"/>
          <w:i/>
          <w:sz w:val="24"/>
          <w:szCs w:val="24"/>
        </w:rPr>
        <w:t>“ordinarily arise”</w:t>
      </w:r>
      <w:r>
        <w:rPr>
          <w:rFonts w:cs="Times New Roman"/>
          <w:i/>
          <w:sz w:val="24"/>
          <w:szCs w:val="24"/>
        </w:rPr>
        <w:t xml:space="preserve">. </w:t>
      </w:r>
      <w:r>
        <w:rPr>
          <w:rFonts w:cs="Times New Roman"/>
          <w:sz w:val="24"/>
          <w:szCs w:val="24"/>
        </w:rPr>
        <w:t>The Dublin system “</w:t>
      </w:r>
      <w:r w:rsidRPr="00052E40">
        <w:rPr>
          <w:rFonts w:cs="Times New Roman"/>
          <w:i/>
          <w:sz w:val="24"/>
          <w:szCs w:val="24"/>
        </w:rPr>
        <w:t>assumes equality of rights being upheld throughout”</w:t>
      </w:r>
      <w:r>
        <w:rPr>
          <w:rFonts w:cs="Times New Roman"/>
          <w:sz w:val="24"/>
          <w:szCs w:val="24"/>
        </w:rPr>
        <w:t xml:space="preserve"> and a thorough examination of applications for protection throughout the EU. Only where rights-based grounds were specifically asserted</w:t>
      </w:r>
      <w:r w:rsidR="00E72FEA">
        <w:rPr>
          <w:rFonts w:cs="Times New Roman"/>
          <w:sz w:val="24"/>
          <w:szCs w:val="24"/>
        </w:rPr>
        <w:t>, and where there was a factual basis that, “</w:t>
      </w:r>
      <w:r w:rsidR="00E72FEA" w:rsidRPr="00E72FEA">
        <w:rPr>
          <w:rFonts w:cs="Times New Roman"/>
          <w:i/>
          <w:sz w:val="24"/>
          <w:szCs w:val="24"/>
        </w:rPr>
        <w:t>exceptionally</w:t>
      </w:r>
      <w:r w:rsidR="00E72FEA">
        <w:rPr>
          <w:rFonts w:cs="Times New Roman"/>
          <w:sz w:val="24"/>
          <w:szCs w:val="24"/>
        </w:rPr>
        <w:t>”, engaged such rights, would there be a need to give consideration to them. That would, however, be a “</w:t>
      </w:r>
      <w:r w:rsidR="00E72FEA" w:rsidRPr="00E72FEA">
        <w:rPr>
          <w:rFonts w:cs="Times New Roman"/>
          <w:i/>
          <w:sz w:val="24"/>
          <w:szCs w:val="24"/>
        </w:rPr>
        <w:t>rare exception</w:t>
      </w:r>
      <w:r w:rsidR="0010192D">
        <w:rPr>
          <w:rFonts w:cs="Times New Roman"/>
          <w:i/>
          <w:sz w:val="24"/>
          <w:szCs w:val="24"/>
        </w:rPr>
        <w:t xml:space="preserve">” </w:t>
      </w:r>
      <w:r w:rsidR="0010192D">
        <w:rPr>
          <w:rFonts w:cs="Times New Roman"/>
          <w:sz w:val="24"/>
          <w:szCs w:val="24"/>
        </w:rPr>
        <w:t xml:space="preserve">(para 37). </w:t>
      </w:r>
    </w:p>
    <w:p w14:paraId="0A66D702" w14:textId="77A29BC7" w:rsidR="00E72FEA" w:rsidRPr="00E72FEA" w:rsidRDefault="00E72FEA" w:rsidP="00E72FEA">
      <w:pPr>
        <w:autoSpaceDE w:val="0"/>
        <w:autoSpaceDN w:val="0"/>
        <w:adjustRightInd w:val="0"/>
        <w:spacing w:after="0" w:line="480" w:lineRule="auto"/>
        <w:jc w:val="both"/>
        <w:rPr>
          <w:rFonts w:cs="Times New Roman"/>
          <w:sz w:val="24"/>
          <w:szCs w:val="24"/>
        </w:rPr>
      </w:pPr>
    </w:p>
    <w:p w14:paraId="23155E83" w14:textId="3CCD2C13" w:rsidR="00E72FEA" w:rsidRDefault="00E72FEA" w:rsidP="001A5848">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The issue of mutual trust referred to by Charleton  J is</w:t>
      </w:r>
      <w:r w:rsidR="00004721">
        <w:rPr>
          <w:rFonts w:cs="Times New Roman"/>
          <w:sz w:val="24"/>
          <w:szCs w:val="24"/>
        </w:rPr>
        <w:t xml:space="preserve"> potentially</w:t>
      </w:r>
      <w:r>
        <w:rPr>
          <w:rFonts w:cs="Times New Roman"/>
          <w:sz w:val="24"/>
          <w:szCs w:val="24"/>
        </w:rPr>
        <w:t xml:space="preserve"> a significant </w:t>
      </w:r>
      <w:r w:rsidR="00004721">
        <w:rPr>
          <w:rFonts w:cs="Times New Roman"/>
          <w:sz w:val="24"/>
          <w:szCs w:val="24"/>
        </w:rPr>
        <w:t xml:space="preserve">factor in the exercise of the Minister’s discretion under Article 17(1) and in any judicial review of the Minister’s decision. It may be, of course, that the </w:t>
      </w:r>
      <w:r w:rsidR="004603CD">
        <w:rPr>
          <w:rFonts w:cs="Times New Roman"/>
          <w:sz w:val="24"/>
          <w:szCs w:val="24"/>
        </w:rPr>
        <w:t>grounds</w:t>
      </w:r>
      <w:r w:rsidR="00004721">
        <w:rPr>
          <w:rFonts w:cs="Times New Roman"/>
          <w:sz w:val="24"/>
          <w:szCs w:val="24"/>
        </w:rPr>
        <w:t xml:space="preserve"> that the Minister is asked to consider will not involve any assertion that the transfer of the applicant would breach </w:t>
      </w:r>
      <w:r w:rsidR="004603CD">
        <w:rPr>
          <w:rFonts w:cs="Times New Roman"/>
          <w:sz w:val="24"/>
          <w:szCs w:val="24"/>
        </w:rPr>
        <w:t xml:space="preserve">their rights. But where – as here – it is suggested that rights of the applicant would not be adequately protected in the Member State responsible in the event of transfer, </w:t>
      </w:r>
      <w:r w:rsidR="004603CD" w:rsidRPr="004603CD">
        <w:rPr>
          <w:rFonts w:cs="Times New Roman"/>
          <w:i/>
          <w:sz w:val="24"/>
          <w:szCs w:val="24"/>
        </w:rPr>
        <w:t>“it must be assumed that the treatment of asylum seekers in all member states complies with the requirements of the Charter, the Geneva Convention and the ECHR</w:t>
      </w:r>
      <w:r w:rsidR="004603CD">
        <w:rPr>
          <w:rFonts w:cs="Times New Roman"/>
          <w:sz w:val="24"/>
          <w:szCs w:val="24"/>
        </w:rPr>
        <w:t>” (</w:t>
      </w:r>
      <w:r w:rsidR="004603CD" w:rsidRPr="004603CD">
        <w:rPr>
          <w:rFonts w:cs="Times New Roman"/>
          <w:i/>
          <w:sz w:val="24"/>
          <w:szCs w:val="24"/>
        </w:rPr>
        <w:t>NS</w:t>
      </w:r>
      <w:r w:rsidR="004603CD">
        <w:rPr>
          <w:rFonts w:cs="Times New Roman"/>
          <w:sz w:val="24"/>
          <w:szCs w:val="24"/>
        </w:rPr>
        <w:t xml:space="preserve">, para 80). </w:t>
      </w:r>
      <w:r w:rsidR="009C291C">
        <w:rPr>
          <w:rFonts w:cs="Times New Roman"/>
          <w:sz w:val="24"/>
          <w:szCs w:val="24"/>
        </w:rPr>
        <w:t>T</w:t>
      </w:r>
      <w:r w:rsidR="004603CD">
        <w:rPr>
          <w:rFonts w:cs="Times New Roman"/>
          <w:sz w:val="24"/>
          <w:szCs w:val="24"/>
        </w:rPr>
        <w:t>hat presumption is rebuttable (</w:t>
      </w:r>
      <w:r w:rsidR="004603CD" w:rsidRPr="004603CD">
        <w:rPr>
          <w:rFonts w:cs="Times New Roman"/>
          <w:i/>
          <w:sz w:val="24"/>
          <w:szCs w:val="24"/>
        </w:rPr>
        <w:t>NS</w:t>
      </w:r>
      <w:r w:rsidR="004603CD">
        <w:rPr>
          <w:rFonts w:cs="Times New Roman"/>
          <w:sz w:val="24"/>
          <w:szCs w:val="24"/>
        </w:rPr>
        <w:t>, para 98)</w:t>
      </w:r>
      <w:r w:rsidR="009C291C">
        <w:rPr>
          <w:rFonts w:cs="Times New Roman"/>
          <w:sz w:val="24"/>
          <w:szCs w:val="24"/>
        </w:rPr>
        <w:t>. But if it is to be rebutted, a</w:t>
      </w:r>
      <w:r w:rsidR="00035F0A">
        <w:rPr>
          <w:rFonts w:cs="Times New Roman"/>
          <w:sz w:val="24"/>
          <w:szCs w:val="24"/>
        </w:rPr>
        <w:t xml:space="preserve"> cogent </w:t>
      </w:r>
      <w:r w:rsidR="009C291C">
        <w:rPr>
          <w:rFonts w:cs="Times New Roman"/>
          <w:sz w:val="24"/>
          <w:szCs w:val="24"/>
        </w:rPr>
        <w:t xml:space="preserve">evidential basis for doing so must be </w:t>
      </w:r>
      <w:r w:rsidR="00035F0A">
        <w:rPr>
          <w:rFonts w:cs="Times New Roman"/>
          <w:sz w:val="24"/>
          <w:szCs w:val="24"/>
        </w:rPr>
        <w:t>established</w:t>
      </w:r>
      <w:r w:rsidR="009C291C">
        <w:rPr>
          <w:rFonts w:cs="Times New Roman"/>
          <w:sz w:val="24"/>
          <w:szCs w:val="24"/>
        </w:rPr>
        <w:t>.</w:t>
      </w:r>
    </w:p>
    <w:p w14:paraId="29EA6486" w14:textId="201F2C7E" w:rsidR="009C291C" w:rsidRDefault="009C291C" w:rsidP="009C291C">
      <w:pPr>
        <w:pStyle w:val="ListParagraph"/>
        <w:autoSpaceDE w:val="0"/>
        <w:autoSpaceDN w:val="0"/>
        <w:adjustRightInd w:val="0"/>
        <w:spacing w:after="0" w:line="480" w:lineRule="auto"/>
        <w:jc w:val="both"/>
        <w:rPr>
          <w:rFonts w:cs="Times New Roman"/>
          <w:sz w:val="24"/>
          <w:szCs w:val="24"/>
        </w:rPr>
      </w:pPr>
    </w:p>
    <w:p w14:paraId="66FAA002" w14:textId="066AF6C7" w:rsidR="009C291C" w:rsidRPr="009C291C" w:rsidRDefault="009C291C" w:rsidP="009C291C">
      <w:pPr>
        <w:pStyle w:val="ListParagraph"/>
        <w:autoSpaceDE w:val="0"/>
        <w:autoSpaceDN w:val="0"/>
        <w:adjustRightInd w:val="0"/>
        <w:spacing w:after="0" w:line="480" w:lineRule="auto"/>
        <w:jc w:val="both"/>
        <w:rPr>
          <w:rFonts w:cs="Times New Roman"/>
          <w:i/>
          <w:sz w:val="24"/>
          <w:szCs w:val="24"/>
        </w:rPr>
      </w:pPr>
      <w:r w:rsidRPr="009C291C">
        <w:rPr>
          <w:rFonts w:cs="Times New Roman"/>
          <w:i/>
          <w:sz w:val="24"/>
          <w:szCs w:val="24"/>
        </w:rPr>
        <w:lastRenderedPageBreak/>
        <w:t xml:space="preserve">Judicial Review of the </w:t>
      </w:r>
      <w:r w:rsidR="00C6327D">
        <w:rPr>
          <w:rFonts w:cs="Times New Roman"/>
          <w:i/>
          <w:sz w:val="24"/>
          <w:szCs w:val="24"/>
        </w:rPr>
        <w:t xml:space="preserve">Article 17(1) </w:t>
      </w:r>
      <w:r w:rsidRPr="009C291C">
        <w:rPr>
          <w:rFonts w:cs="Times New Roman"/>
          <w:i/>
          <w:sz w:val="24"/>
          <w:szCs w:val="24"/>
        </w:rPr>
        <w:t>Discretion</w:t>
      </w:r>
    </w:p>
    <w:p w14:paraId="53B8F798" w14:textId="77777777" w:rsidR="009C291C" w:rsidRDefault="009C291C" w:rsidP="009C291C">
      <w:pPr>
        <w:pStyle w:val="ListParagraph"/>
        <w:autoSpaceDE w:val="0"/>
        <w:autoSpaceDN w:val="0"/>
        <w:adjustRightInd w:val="0"/>
        <w:spacing w:after="0" w:line="480" w:lineRule="auto"/>
        <w:jc w:val="both"/>
        <w:rPr>
          <w:rFonts w:cs="Times New Roman"/>
          <w:sz w:val="24"/>
          <w:szCs w:val="24"/>
        </w:rPr>
      </w:pPr>
    </w:p>
    <w:p w14:paraId="56B018FA" w14:textId="0E00CB7F" w:rsidR="00881024" w:rsidRPr="00881024" w:rsidRDefault="009C291C" w:rsidP="00881024">
      <w:pPr>
        <w:pStyle w:val="ListParagraph"/>
        <w:numPr>
          <w:ilvl w:val="0"/>
          <w:numId w:val="1"/>
        </w:numPr>
        <w:autoSpaceDE w:val="0"/>
        <w:autoSpaceDN w:val="0"/>
        <w:adjustRightInd w:val="0"/>
        <w:spacing w:after="0" w:line="480" w:lineRule="auto"/>
        <w:ind w:hanging="720"/>
        <w:jc w:val="both"/>
        <w:rPr>
          <w:rFonts w:cs="Times New Roman"/>
          <w:sz w:val="24"/>
          <w:szCs w:val="24"/>
        </w:rPr>
      </w:pPr>
      <w:r w:rsidRPr="005A070F">
        <w:rPr>
          <w:rFonts w:cs="Times New Roman"/>
          <w:sz w:val="24"/>
          <w:szCs w:val="24"/>
        </w:rPr>
        <w:t>As already explained, there was no issue between the parties as to the availability of judicial review of the Article 17 Decision. The Minister expressly accepted that Article 47 of the Charter give</w:t>
      </w:r>
      <w:r w:rsidR="00600E6B">
        <w:rPr>
          <w:rFonts w:cs="Times New Roman"/>
          <w:sz w:val="24"/>
          <w:szCs w:val="24"/>
        </w:rPr>
        <w:t>s</w:t>
      </w:r>
      <w:r w:rsidRPr="005A070F">
        <w:rPr>
          <w:rFonts w:cs="Times New Roman"/>
          <w:sz w:val="24"/>
          <w:szCs w:val="24"/>
        </w:rPr>
        <w:t xml:space="preserve"> a right to an effective remedy</w:t>
      </w:r>
      <w:r w:rsidR="009C30C5" w:rsidRPr="005A070F">
        <w:rPr>
          <w:rFonts w:cs="Times New Roman"/>
          <w:sz w:val="24"/>
          <w:szCs w:val="24"/>
        </w:rPr>
        <w:t xml:space="preserve"> and that, in that context, the Article 17 Decision was amenable to judicial review</w:t>
      </w:r>
      <w:r w:rsidRPr="005A070F">
        <w:rPr>
          <w:rFonts w:cs="Times New Roman"/>
          <w:sz w:val="24"/>
          <w:szCs w:val="24"/>
        </w:rPr>
        <w:t xml:space="preserve">. </w:t>
      </w:r>
      <w:r w:rsidR="005A070F" w:rsidRPr="005A070F">
        <w:rPr>
          <w:rFonts w:cs="Times New Roman"/>
          <w:sz w:val="24"/>
          <w:szCs w:val="24"/>
        </w:rPr>
        <w:t xml:space="preserve">In light of the decisions of the CJEU in </w:t>
      </w:r>
      <w:r w:rsidR="005A070F" w:rsidRPr="005A070F">
        <w:rPr>
          <w:rFonts w:cs="Times New Roman"/>
          <w:i/>
          <w:sz w:val="24"/>
          <w:szCs w:val="24"/>
        </w:rPr>
        <w:t>NS</w:t>
      </w:r>
      <w:r w:rsidR="005A070F" w:rsidRPr="005A070F">
        <w:rPr>
          <w:rFonts w:cs="Times New Roman"/>
          <w:sz w:val="24"/>
          <w:szCs w:val="24"/>
        </w:rPr>
        <w:t xml:space="preserve">, </w:t>
      </w:r>
      <w:r w:rsidR="005A070F" w:rsidRPr="005A070F">
        <w:rPr>
          <w:rFonts w:cs="Times New Roman"/>
          <w:i/>
          <w:sz w:val="24"/>
          <w:szCs w:val="24"/>
        </w:rPr>
        <w:t>CK</w:t>
      </w:r>
      <w:r w:rsidR="005A070F" w:rsidRPr="005A070F">
        <w:rPr>
          <w:rFonts w:cs="Times New Roman"/>
          <w:sz w:val="24"/>
          <w:szCs w:val="24"/>
        </w:rPr>
        <w:t xml:space="preserve"> and </w:t>
      </w:r>
      <w:r w:rsidR="005A070F" w:rsidRPr="005A070F">
        <w:rPr>
          <w:rFonts w:cs="Times New Roman"/>
          <w:i/>
          <w:sz w:val="24"/>
          <w:szCs w:val="24"/>
        </w:rPr>
        <w:t>MA</w:t>
      </w:r>
      <w:r w:rsidR="005A070F" w:rsidRPr="005A070F">
        <w:rPr>
          <w:rFonts w:cs="Times New Roman"/>
          <w:sz w:val="24"/>
          <w:szCs w:val="24"/>
        </w:rPr>
        <w:t xml:space="preserve">, it appears to me that the Minister was correct to </w:t>
      </w:r>
      <w:r w:rsidR="003A0831">
        <w:rPr>
          <w:rFonts w:cs="Times New Roman"/>
          <w:sz w:val="24"/>
          <w:szCs w:val="24"/>
        </w:rPr>
        <w:t>do so</w:t>
      </w:r>
      <w:r w:rsidR="005A070F" w:rsidRPr="005A070F">
        <w:rPr>
          <w:rFonts w:cs="Times New Roman"/>
          <w:sz w:val="24"/>
          <w:szCs w:val="24"/>
        </w:rPr>
        <w:t xml:space="preserve">. </w:t>
      </w:r>
      <w:r w:rsidRPr="005A070F">
        <w:rPr>
          <w:rFonts w:cs="Times New Roman"/>
          <w:sz w:val="24"/>
          <w:szCs w:val="24"/>
        </w:rPr>
        <w:t xml:space="preserve">For her part, the Applicant accepted that judicial review was an effective remedy </w:t>
      </w:r>
      <w:r w:rsidR="009C30C5" w:rsidRPr="005A070F">
        <w:rPr>
          <w:rFonts w:cs="Times New Roman"/>
          <w:sz w:val="24"/>
          <w:szCs w:val="24"/>
        </w:rPr>
        <w:t xml:space="preserve">here, both </w:t>
      </w:r>
      <w:r w:rsidR="00002A0B">
        <w:rPr>
          <w:rFonts w:cs="Times New Roman"/>
          <w:sz w:val="24"/>
          <w:szCs w:val="24"/>
        </w:rPr>
        <w:t>as regards A</w:t>
      </w:r>
      <w:r w:rsidR="009C30C5" w:rsidRPr="005A070F">
        <w:rPr>
          <w:rFonts w:cs="Times New Roman"/>
          <w:sz w:val="24"/>
          <w:szCs w:val="24"/>
        </w:rPr>
        <w:t xml:space="preserve">rticle 47 of the Charter and also by reference to </w:t>
      </w:r>
      <w:r w:rsidR="005A070F" w:rsidRPr="005A070F">
        <w:rPr>
          <w:rFonts w:cs="Times New Roman"/>
          <w:sz w:val="24"/>
          <w:szCs w:val="24"/>
        </w:rPr>
        <w:t xml:space="preserve">the requirements of </w:t>
      </w:r>
      <w:r w:rsidR="009C30C5" w:rsidRPr="005A070F">
        <w:rPr>
          <w:rFonts w:cs="Times New Roman"/>
          <w:sz w:val="24"/>
          <w:szCs w:val="24"/>
        </w:rPr>
        <w:t>Article 27 of Dublin III. Judicial review was, the Applicant accepted, a form of “</w:t>
      </w:r>
      <w:r w:rsidR="009C30C5" w:rsidRPr="005A070F">
        <w:rPr>
          <w:rFonts w:cs="Times New Roman"/>
          <w:i/>
          <w:sz w:val="24"/>
          <w:szCs w:val="24"/>
        </w:rPr>
        <w:t>review</w:t>
      </w:r>
      <w:r w:rsidR="009C30C5" w:rsidRPr="005A070F">
        <w:rPr>
          <w:rFonts w:cs="Times New Roman"/>
          <w:sz w:val="24"/>
          <w:szCs w:val="24"/>
        </w:rPr>
        <w:t>” sufficient to satisfy th</w:t>
      </w:r>
      <w:r w:rsidR="005A070F" w:rsidRPr="005A070F">
        <w:rPr>
          <w:rFonts w:cs="Times New Roman"/>
          <w:sz w:val="24"/>
          <w:szCs w:val="24"/>
        </w:rPr>
        <w:t xml:space="preserve">ose requirements, assuming that – as the </w:t>
      </w:r>
      <w:r w:rsidR="009C30C5" w:rsidRPr="005A070F">
        <w:rPr>
          <w:rFonts w:cs="Times New Roman"/>
          <w:sz w:val="24"/>
          <w:szCs w:val="24"/>
        </w:rPr>
        <w:t xml:space="preserve">Applicant </w:t>
      </w:r>
      <w:r w:rsidR="005A070F" w:rsidRPr="005A070F">
        <w:rPr>
          <w:rFonts w:cs="Times New Roman"/>
          <w:sz w:val="24"/>
          <w:szCs w:val="24"/>
        </w:rPr>
        <w:t xml:space="preserve">contended but the Minister disputed – a decision under Article 17(1) came within the scope of Article 27 in the first place. </w:t>
      </w:r>
      <w:r w:rsidR="002C4E8F">
        <w:rPr>
          <w:rFonts w:eastAsia="Times New Roman" w:cs="Times New Roman"/>
          <w:color w:val="000000" w:themeColor="text1"/>
          <w:sz w:val="24"/>
          <w:szCs w:val="24"/>
          <w:lang w:eastAsia="en-IE"/>
        </w:rPr>
        <w:t xml:space="preserve">The Applicant did not contend that Article 27 required a </w:t>
      </w:r>
      <w:r w:rsidR="002C4E8F" w:rsidRPr="00CE1555">
        <w:rPr>
          <w:rFonts w:eastAsia="Times New Roman" w:cs="Times New Roman"/>
          <w:i/>
          <w:color w:val="000000" w:themeColor="text1"/>
          <w:sz w:val="24"/>
          <w:szCs w:val="24"/>
          <w:lang w:eastAsia="en-IE"/>
        </w:rPr>
        <w:t>de novo</w:t>
      </w:r>
      <w:r w:rsidR="002C4E8F">
        <w:rPr>
          <w:rFonts w:eastAsia="Times New Roman" w:cs="Times New Roman"/>
          <w:color w:val="000000" w:themeColor="text1"/>
          <w:sz w:val="24"/>
          <w:szCs w:val="24"/>
          <w:lang w:eastAsia="en-IE"/>
        </w:rPr>
        <w:t xml:space="preserve"> assessment of whether or not to exercise the discretion.</w:t>
      </w:r>
      <w:r w:rsidR="002C4E8F">
        <w:rPr>
          <w:rStyle w:val="FootnoteReference"/>
          <w:rFonts w:eastAsia="Times New Roman" w:cs="Times New Roman"/>
          <w:color w:val="000000" w:themeColor="text1"/>
          <w:sz w:val="24"/>
          <w:szCs w:val="24"/>
          <w:lang w:eastAsia="en-IE"/>
        </w:rPr>
        <w:footnoteReference w:id="3"/>
      </w:r>
      <w:r w:rsidR="002C4E8F">
        <w:rPr>
          <w:rFonts w:eastAsia="Times New Roman" w:cs="Times New Roman"/>
          <w:color w:val="000000" w:themeColor="text1"/>
          <w:sz w:val="24"/>
          <w:szCs w:val="24"/>
          <w:lang w:eastAsia="en-IE"/>
        </w:rPr>
        <w:t xml:space="preserve"> </w:t>
      </w:r>
      <w:r w:rsidR="00881024">
        <w:rPr>
          <w:rFonts w:cs="Times New Roman"/>
          <w:sz w:val="24"/>
          <w:szCs w:val="24"/>
        </w:rPr>
        <w:t xml:space="preserve">The decision of the High Court in </w:t>
      </w:r>
      <w:r w:rsidR="00881024" w:rsidRPr="00881024">
        <w:rPr>
          <w:rFonts w:eastAsia="Times New Roman" w:cs="Times New Roman"/>
          <w:i/>
          <w:iCs/>
          <w:color w:val="000000" w:themeColor="text1"/>
          <w:sz w:val="24"/>
          <w:szCs w:val="24"/>
          <w:lang w:eastAsia="en-IE"/>
        </w:rPr>
        <w:t xml:space="preserve">Efe (A Minor) v Minster for Justice </w:t>
      </w:r>
      <w:r w:rsidR="00881024" w:rsidRPr="00881024">
        <w:rPr>
          <w:rFonts w:eastAsia="Times New Roman" w:cs="Times New Roman"/>
          <w:color w:val="000000" w:themeColor="text1"/>
          <w:sz w:val="24"/>
          <w:szCs w:val="24"/>
          <w:lang w:eastAsia="en-IE"/>
        </w:rPr>
        <w:t>[2011] IEHC 214, [2011] 2 IR 798</w:t>
      </w:r>
      <w:r w:rsidR="00881024">
        <w:rPr>
          <w:rFonts w:eastAsia="Times New Roman" w:cs="Times New Roman"/>
          <w:color w:val="000000" w:themeColor="text1"/>
          <w:sz w:val="24"/>
          <w:szCs w:val="24"/>
          <w:lang w:eastAsia="en-IE"/>
        </w:rPr>
        <w:t xml:space="preserve"> appears to support the approach of the Applicant but it is not necessary to consider that issue further here.</w:t>
      </w:r>
      <w:r w:rsidR="003A0831">
        <w:rPr>
          <w:rFonts w:eastAsia="Times New Roman" w:cs="Times New Roman"/>
          <w:color w:val="000000" w:themeColor="text1"/>
          <w:sz w:val="24"/>
          <w:szCs w:val="24"/>
          <w:lang w:eastAsia="en-IE"/>
        </w:rPr>
        <w:t xml:space="preserve"> </w:t>
      </w:r>
    </w:p>
    <w:p w14:paraId="6BB59029" w14:textId="77777777" w:rsidR="006B422F" w:rsidRDefault="006B422F" w:rsidP="006B422F">
      <w:pPr>
        <w:pStyle w:val="ListParagraph"/>
        <w:autoSpaceDE w:val="0"/>
        <w:autoSpaceDN w:val="0"/>
        <w:adjustRightInd w:val="0"/>
        <w:spacing w:after="0" w:line="480" w:lineRule="auto"/>
        <w:jc w:val="both"/>
        <w:rPr>
          <w:rFonts w:cs="Times New Roman"/>
          <w:sz w:val="24"/>
          <w:szCs w:val="24"/>
        </w:rPr>
      </w:pPr>
    </w:p>
    <w:p w14:paraId="1293B8C1" w14:textId="4E816ED5" w:rsidR="00C77F45" w:rsidRDefault="006B422F" w:rsidP="009F0EB1">
      <w:pPr>
        <w:pStyle w:val="ListParagraph"/>
        <w:numPr>
          <w:ilvl w:val="0"/>
          <w:numId w:val="1"/>
        </w:numPr>
        <w:autoSpaceDE w:val="0"/>
        <w:autoSpaceDN w:val="0"/>
        <w:adjustRightInd w:val="0"/>
        <w:spacing w:after="0" w:line="480" w:lineRule="auto"/>
        <w:ind w:hanging="720"/>
        <w:jc w:val="both"/>
        <w:rPr>
          <w:rFonts w:cs="Times New Roman"/>
          <w:sz w:val="24"/>
          <w:szCs w:val="24"/>
        </w:rPr>
      </w:pPr>
      <w:r w:rsidRPr="00197E8C">
        <w:rPr>
          <w:rFonts w:cs="Times New Roman"/>
          <w:sz w:val="24"/>
          <w:szCs w:val="24"/>
        </w:rPr>
        <w:t xml:space="preserve">The authorities </w:t>
      </w:r>
      <w:r w:rsidR="003A0831">
        <w:rPr>
          <w:rFonts w:cs="Times New Roman"/>
          <w:sz w:val="24"/>
          <w:szCs w:val="24"/>
        </w:rPr>
        <w:t xml:space="preserve">provide </w:t>
      </w:r>
      <w:r w:rsidR="00035F0A" w:rsidRPr="00197E8C">
        <w:rPr>
          <w:rFonts w:cs="Times New Roman"/>
          <w:sz w:val="24"/>
          <w:szCs w:val="24"/>
        </w:rPr>
        <w:t xml:space="preserve">only very limited </w:t>
      </w:r>
      <w:r w:rsidRPr="00197E8C">
        <w:rPr>
          <w:rFonts w:cs="Times New Roman"/>
          <w:sz w:val="24"/>
          <w:szCs w:val="24"/>
        </w:rPr>
        <w:t xml:space="preserve">guidance as to the approach the court should take in a judicial review of a decision under Article 17(1). </w:t>
      </w:r>
      <w:r w:rsidR="00035F0A" w:rsidRPr="00197E8C">
        <w:rPr>
          <w:rFonts w:cs="Times New Roman"/>
          <w:sz w:val="24"/>
          <w:szCs w:val="24"/>
        </w:rPr>
        <w:t xml:space="preserve">The issue was, however, touched on by </w:t>
      </w:r>
      <w:r w:rsidR="005D5840" w:rsidRPr="00197E8C">
        <w:rPr>
          <w:rFonts w:cs="Times New Roman"/>
          <w:sz w:val="24"/>
          <w:szCs w:val="24"/>
        </w:rPr>
        <w:t>the Court of Appeal for England and Wales</w:t>
      </w:r>
      <w:r w:rsidR="00035F0A" w:rsidRPr="00197E8C">
        <w:rPr>
          <w:rFonts w:cs="Times New Roman"/>
          <w:sz w:val="24"/>
          <w:szCs w:val="24"/>
        </w:rPr>
        <w:t xml:space="preserve"> in </w:t>
      </w:r>
      <w:r w:rsidR="00035F0A" w:rsidRPr="00197E8C">
        <w:rPr>
          <w:rFonts w:cs="Times New Roman"/>
          <w:i/>
          <w:color w:val="000000" w:themeColor="text1"/>
          <w:sz w:val="24"/>
          <w:szCs w:val="24"/>
        </w:rPr>
        <w:t xml:space="preserve">ZT (Syria) v Secretary of </w:t>
      </w:r>
      <w:r w:rsidR="00035F0A" w:rsidRPr="00197E8C">
        <w:rPr>
          <w:rFonts w:cs="Times New Roman"/>
          <w:i/>
          <w:color w:val="000000" w:themeColor="text1"/>
          <w:sz w:val="24"/>
          <w:szCs w:val="24"/>
        </w:rPr>
        <w:lastRenderedPageBreak/>
        <w:t>State for the Home Department</w:t>
      </w:r>
      <w:r w:rsidR="00035F0A" w:rsidRPr="00197E8C">
        <w:rPr>
          <w:rFonts w:cs="Times New Roman"/>
          <w:color w:val="000000" w:themeColor="text1"/>
          <w:sz w:val="24"/>
          <w:szCs w:val="24"/>
        </w:rPr>
        <w:t xml:space="preserve"> </w:t>
      </w:r>
      <w:r w:rsidR="00035F0A" w:rsidRPr="00197E8C">
        <w:rPr>
          <w:rFonts w:cs="Times New Roman"/>
          <w:sz w:val="24"/>
          <w:szCs w:val="24"/>
        </w:rPr>
        <w:t>[2016] EWCA Civ 810, [2016] 1 WLR 4894</w:t>
      </w:r>
      <w:r w:rsidR="00E53959">
        <w:rPr>
          <w:rFonts w:cs="Times New Roman"/>
          <w:sz w:val="24"/>
          <w:szCs w:val="24"/>
        </w:rPr>
        <w:t>, a case where Article 8 family rights were centrally engaged</w:t>
      </w:r>
      <w:r w:rsidR="00C6327D" w:rsidRPr="00197E8C">
        <w:rPr>
          <w:rFonts w:cs="Times New Roman"/>
          <w:sz w:val="24"/>
          <w:szCs w:val="24"/>
        </w:rPr>
        <w:t xml:space="preserve">. </w:t>
      </w:r>
      <w:r w:rsidR="00197E8C" w:rsidRPr="00197E8C">
        <w:rPr>
          <w:rFonts w:cs="Times New Roman"/>
          <w:sz w:val="24"/>
          <w:szCs w:val="24"/>
        </w:rPr>
        <w:t xml:space="preserve">In a passage cited with apparent approval by Baker J in </w:t>
      </w:r>
      <w:r w:rsidR="00197E8C" w:rsidRPr="00197E8C">
        <w:rPr>
          <w:rFonts w:cs="Times New Roman"/>
          <w:i/>
          <w:sz w:val="24"/>
          <w:szCs w:val="24"/>
        </w:rPr>
        <w:t>NVU</w:t>
      </w:r>
      <w:r w:rsidR="00197E8C" w:rsidRPr="00197E8C">
        <w:rPr>
          <w:rFonts w:cs="Times New Roman"/>
          <w:sz w:val="24"/>
          <w:szCs w:val="24"/>
        </w:rPr>
        <w:t>, Beatson LJ stated (at para 85)</w:t>
      </w:r>
      <w:r w:rsidR="00197E8C">
        <w:rPr>
          <w:rFonts w:cs="Times New Roman"/>
          <w:sz w:val="24"/>
          <w:szCs w:val="24"/>
        </w:rPr>
        <w:t>:</w:t>
      </w:r>
    </w:p>
    <w:p w14:paraId="75A718DC" w14:textId="77777777" w:rsidR="00197E8C" w:rsidRPr="00197E8C" w:rsidRDefault="00197E8C" w:rsidP="00197E8C">
      <w:pPr>
        <w:pStyle w:val="ListParagraph"/>
        <w:autoSpaceDE w:val="0"/>
        <w:autoSpaceDN w:val="0"/>
        <w:adjustRightInd w:val="0"/>
        <w:spacing w:after="0" w:line="480" w:lineRule="auto"/>
        <w:jc w:val="both"/>
        <w:rPr>
          <w:rFonts w:cs="Times New Roman"/>
          <w:sz w:val="24"/>
          <w:szCs w:val="24"/>
        </w:rPr>
      </w:pPr>
    </w:p>
    <w:p w14:paraId="4ED72EFA" w14:textId="0C165D79" w:rsidR="00E53959" w:rsidRDefault="005D5840" w:rsidP="005D5840">
      <w:pPr>
        <w:autoSpaceDE w:val="0"/>
        <w:autoSpaceDN w:val="0"/>
        <w:adjustRightInd w:val="0"/>
        <w:spacing w:after="0" w:line="480" w:lineRule="auto"/>
        <w:ind w:left="1418"/>
        <w:jc w:val="both"/>
        <w:rPr>
          <w:i/>
          <w:sz w:val="24"/>
          <w:szCs w:val="24"/>
        </w:rPr>
      </w:pPr>
      <w:r>
        <w:rPr>
          <w:i/>
          <w:sz w:val="24"/>
          <w:szCs w:val="24"/>
        </w:rPr>
        <w:t>“</w:t>
      </w:r>
      <w:r w:rsidR="00035F0A" w:rsidRPr="005D5840">
        <w:rPr>
          <w:i/>
          <w:sz w:val="24"/>
          <w:szCs w:val="24"/>
        </w:rPr>
        <w:t xml:space="preserve">the exercise by the Secretary of State of her discretion is subject to </w:t>
      </w:r>
      <w:bookmarkStart w:id="12" w:name="_Hlk93324613"/>
      <w:r w:rsidR="00035F0A" w:rsidRPr="005D5840">
        <w:rPr>
          <w:i/>
          <w:sz w:val="24"/>
          <w:szCs w:val="24"/>
        </w:rPr>
        <w:t xml:space="preserve">the ordinary </w:t>
      </w:r>
      <w:bookmarkStart w:id="13" w:name="_Hlk93325243"/>
      <w:r w:rsidR="00035F0A" w:rsidRPr="005D5840">
        <w:rPr>
          <w:i/>
          <w:sz w:val="24"/>
          <w:szCs w:val="24"/>
        </w:rPr>
        <w:t xml:space="preserve">public law principles </w:t>
      </w:r>
      <w:bookmarkEnd w:id="12"/>
      <w:bookmarkEnd w:id="13"/>
      <w:r w:rsidR="00035F0A" w:rsidRPr="005D5840">
        <w:rPr>
          <w:i/>
          <w:sz w:val="24"/>
          <w:szCs w:val="24"/>
        </w:rPr>
        <w:t>of propriety of purpose, relevancy of considerations, and the longstop Wednesbury unreasonableness category (Associated Provincial Picture Houses Ltd v Wednesbury Corpn [1948] 1 KB 223) and, because of the engagement of article 8 of the European Convention, the intensity of review which is appropriate in the assessment of the proportionality of any interference with article 8 rights</w:t>
      </w:r>
      <w:r>
        <w:rPr>
          <w:i/>
          <w:sz w:val="24"/>
          <w:szCs w:val="24"/>
        </w:rPr>
        <w:t>.”</w:t>
      </w:r>
    </w:p>
    <w:p w14:paraId="510CA04E" w14:textId="77777777" w:rsidR="00E53959" w:rsidRDefault="00E53959" w:rsidP="005D5840">
      <w:pPr>
        <w:autoSpaceDE w:val="0"/>
        <w:autoSpaceDN w:val="0"/>
        <w:adjustRightInd w:val="0"/>
        <w:spacing w:after="0" w:line="480" w:lineRule="auto"/>
        <w:ind w:left="1418"/>
        <w:jc w:val="both"/>
        <w:rPr>
          <w:i/>
          <w:sz w:val="24"/>
          <w:szCs w:val="24"/>
        </w:rPr>
      </w:pPr>
    </w:p>
    <w:p w14:paraId="3E188A65" w14:textId="2FFA2701" w:rsidR="00E64D87" w:rsidRPr="00E64D87" w:rsidRDefault="00E53959" w:rsidP="00C77F45">
      <w:pPr>
        <w:pStyle w:val="ListParagraph"/>
        <w:numPr>
          <w:ilvl w:val="0"/>
          <w:numId w:val="1"/>
        </w:numPr>
        <w:autoSpaceDE w:val="0"/>
        <w:autoSpaceDN w:val="0"/>
        <w:adjustRightInd w:val="0"/>
        <w:spacing w:after="0" w:line="480" w:lineRule="auto"/>
        <w:ind w:hanging="720"/>
        <w:jc w:val="both"/>
        <w:rPr>
          <w:rFonts w:cs="Times New Roman"/>
          <w:sz w:val="24"/>
          <w:szCs w:val="24"/>
        </w:rPr>
      </w:pPr>
      <w:r w:rsidRPr="0006398B">
        <w:rPr>
          <w:rFonts w:cs="Times New Roman"/>
          <w:sz w:val="24"/>
          <w:szCs w:val="24"/>
        </w:rPr>
        <w:t xml:space="preserve">However, in light of the </w:t>
      </w:r>
      <w:r w:rsidR="00207F80" w:rsidRPr="0006398B">
        <w:rPr>
          <w:rFonts w:cs="Times New Roman"/>
          <w:sz w:val="24"/>
          <w:szCs w:val="24"/>
        </w:rPr>
        <w:t xml:space="preserve">CJEU’s characterisation of the </w:t>
      </w:r>
      <w:r w:rsidRPr="0006398B">
        <w:rPr>
          <w:rFonts w:cs="Times New Roman"/>
          <w:sz w:val="24"/>
          <w:szCs w:val="24"/>
        </w:rPr>
        <w:t xml:space="preserve">Article </w:t>
      </w:r>
      <w:r w:rsidR="00207F80" w:rsidRPr="0006398B">
        <w:rPr>
          <w:rFonts w:cs="Times New Roman"/>
          <w:sz w:val="24"/>
          <w:szCs w:val="24"/>
        </w:rPr>
        <w:t>17(1) discretion as “</w:t>
      </w:r>
      <w:r w:rsidR="00207F80" w:rsidRPr="0006398B">
        <w:rPr>
          <w:rFonts w:cs="Times New Roman"/>
          <w:i/>
          <w:sz w:val="24"/>
          <w:szCs w:val="24"/>
        </w:rPr>
        <w:t>absolute</w:t>
      </w:r>
      <w:r w:rsidR="00207F80" w:rsidRPr="0006398B">
        <w:rPr>
          <w:rFonts w:cs="Times New Roman"/>
          <w:sz w:val="24"/>
          <w:szCs w:val="24"/>
        </w:rPr>
        <w:t>” and “</w:t>
      </w:r>
      <w:r w:rsidR="00207F80" w:rsidRPr="0006398B">
        <w:rPr>
          <w:rFonts w:cs="Times New Roman"/>
          <w:i/>
          <w:sz w:val="24"/>
          <w:szCs w:val="24"/>
        </w:rPr>
        <w:t>wide</w:t>
      </w:r>
      <w:r w:rsidR="00207F80" w:rsidRPr="0006398B">
        <w:rPr>
          <w:rFonts w:cs="Times New Roman"/>
          <w:sz w:val="24"/>
          <w:szCs w:val="24"/>
        </w:rPr>
        <w:t xml:space="preserve">” and given that its exercise is not </w:t>
      </w:r>
      <w:r w:rsidRPr="0006398B">
        <w:rPr>
          <w:rFonts w:cs="Times New Roman"/>
          <w:sz w:val="24"/>
          <w:szCs w:val="24"/>
        </w:rPr>
        <w:t>“</w:t>
      </w:r>
      <w:r w:rsidRPr="0006398B">
        <w:rPr>
          <w:rFonts w:cs="Times New Roman"/>
          <w:i/>
          <w:sz w:val="24"/>
          <w:szCs w:val="24"/>
        </w:rPr>
        <w:t>subject to any part</w:t>
      </w:r>
      <w:r w:rsidR="00207F80" w:rsidRPr="0006398B">
        <w:rPr>
          <w:rFonts w:cs="Times New Roman"/>
          <w:i/>
          <w:sz w:val="24"/>
          <w:szCs w:val="24"/>
        </w:rPr>
        <w:t>icular condition</w:t>
      </w:r>
      <w:r w:rsidR="00207F80" w:rsidRPr="0006398B">
        <w:rPr>
          <w:rFonts w:cs="Times New Roman"/>
          <w:sz w:val="24"/>
          <w:szCs w:val="24"/>
        </w:rPr>
        <w:t>”, some at least of the “</w:t>
      </w:r>
      <w:r w:rsidR="00207F80" w:rsidRPr="0006398B">
        <w:rPr>
          <w:i/>
          <w:sz w:val="24"/>
          <w:szCs w:val="24"/>
        </w:rPr>
        <w:t>public law principles”</w:t>
      </w:r>
      <w:r w:rsidR="00207F80" w:rsidRPr="0006398B">
        <w:rPr>
          <w:sz w:val="24"/>
          <w:szCs w:val="24"/>
        </w:rPr>
        <w:t xml:space="preserve"> identified by Beatson LJ </w:t>
      </w:r>
      <w:r w:rsidR="00CF775E" w:rsidRPr="0006398B">
        <w:rPr>
          <w:sz w:val="24"/>
          <w:szCs w:val="24"/>
        </w:rPr>
        <w:t xml:space="preserve">in the passage above would </w:t>
      </w:r>
      <w:r w:rsidR="0006398B">
        <w:rPr>
          <w:sz w:val="24"/>
          <w:szCs w:val="24"/>
        </w:rPr>
        <w:t>seem</w:t>
      </w:r>
      <w:r w:rsidR="00CF775E" w:rsidRPr="0006398B">
        <w:rPr>
          <w:sz w:val="24"/>
          <w:szCs w:val="24"/>
        </w:rPr>
        <w:t xml:space="preserve"> to have</w:t>
      </w:r>
      <w:r w:rsidR="00182BE4">
        <w:rPr>
          <w:sz w:val="24"/>
          <w:szCs w:val="24"/>
        </w:rPr>
        <w:t xml:space="preserve"> only</w:t>
      </w:r>
      <w:r w:rsidR="00CF775E" w:rsidRPr="0006398B">
        <w:rPr>
          <w:sz w:val="24"/>
          <w:szCs w:val="24"/>
        </w:rPr>
        <w:t xml:space="preserve"> limited application.</w:t>
      </w:r>
      <w:r w:rsidR="00CE1555">
        <w:rPr>
          <w:sz w:val="24"/>
          <w:szCs w:val="24"/>
        </w:rPr>
        <w:t xml:space="preserve"> </w:t>
      </w:r>
      <w:r w:rsidR="00CF775E" w:rsidRPr="0006398B">
        <w:rPr>
          <w:sz w:val="24"/>
          <w:szCs w:val="24"/>
        </w:rPr>
        <w:t xml:space="preserve">On any view – or so it appears to me – an applicant for judicial review of a decision of the Minister not to exercise the Article 17(1) discretion in a given case </w:t>
      </w:r>
      <w:r w:rsidR="0006398B">
        <w:rPr>
          <w:sz w:val="24"/>
          <w:szCs w:val="24"/>
        </w:rPr>
        <w:t>faces</w:t>
      </w:r>
      <w:r w:rsidR="00CF775E" w:rsidRPr="0006398B">
        <w:rPr>
          <w:sz w:val="24"/>
          <w:szCs w:val="24"/>
        </w:rPr>
        <w:t xml:space="preserve"> a </w:t>
      </w:r>
      <w:r w:rsidR="0006398B" w:rsidRPr="0006398B">
        <w:rPr>
          <w:sz w:val="24"/>
          <w:szCs w:val="24"/>
        </w:rPr>
        <w:t>difficult</w:t>
      </w:r>
      <w:r w:rsidR="00CF775E" w:rsidRPr="0006398B">
        <w:rPr>
          <w:sz w:val="24"/>
          <w:szCs w:val="24"/>
        </w:rPr>
        <w:t xml:space="preserve"> </w:t>
      </w:r>
      <w:r w:rsidR="0082584C">
        <w:rPr>
          <w:sz w:val="24"/>
          <w:szCs w:val="24"/>
        </w:rPr>
        <w:t>task</w:t>
      </w:r>
      <w:r w:rsidR="00CF775E" w:rsidRPr="0006398B">
        <w:rPr>
          <w:sz w:val="24"/>
          <w:szCs w:val="24"/>
        </w:rPr>
        <w:t xml:space="preserve">. </w:t>
      </w:r>
      <w:r w:rsidR="00CE1555">
        <w:rPr>
          <w:sz w:val="24"/>
          <w:szCs w:val="24"/>
        </w:rPr>
        <w:t xml:space="preserve">There are no statutory criteria to which the Minister is required to have regard. </w:t>
      </w:r>
      <w:r w:rsidR="0006398B" w:rsidRPr="0006398B">
        <w:rPr>
          <w:sz w:val="24"/>
          <w:szCs w:val="24"/>
        </w:rPr>
        <w:t>There are no specific procedural rules</w:t>
      </w:r>
      <w:r w:rsidR="00E64D87">
        <w:rPr>
          <w:sz w:val="24"/>
          <w:szCs w:val="24"/>
        </w:rPr>
        <w:t xml:space="preserve"> set out either in Dublin III or in the 2018 Regulations. N</w:t>
      </w:r>
      <w:r w:rsidR="00CF775E" w:rsidRPr="0006398B">
        <w:rPr>
          <w:sz w:val="24"/>
          <w:szCs w:val="24"/>
        </w:rPr>
        <w:t xml:space="preserve">o particular form of decision </w:t>
      </w:r>
      <w:r w:rsidR="0006398B" w:rsidRPr="0006398B">
        <w:rPr>
          <w:sz w:val="24"/>
          <w:szCs w:val="24"/>
        </w:rPr>
        <w:t xml:space="preserve">is required. </w:t>
      </w:r>
      <w:r w:rsidR="00CE1555">
        <w:rPr>
          <w:sz w:val="24"/>
          <w:szCs w:val="24"/>
        </w:rPr>
        <w:t xml:space="preserve">In contrast to the provisions of Article 17(2), Article 17(1) does not require reasons to be given for a refusal to exercise the discretion, though it may be that such a requirement </w:t>
      </w:r>
      <w:r w:rsidR="00AD475F">
        <w:rPr>
          <w:sz w:val="24"/>
          <w:szCs w:val="24"/>
        </w:rPr>
        <w:t xml:space="preserve">must be read into it as otherwise the right to an effective </w:t>
      </w:r>
      <w:r w:rsidR="00AD475F">
        <w:rPr>
          <w:sz w:val="24"/>
          <w:szCs w:val="24"/>
        </w:rPr>
        <w:lastRenderedPageBreak/>
        <w:t xml:space="preserve">remedy </w:t>
      </w:r>
      <w:r w:rsidR="00182BE4">
        <w:rPr>
          <w:sz w:val="24"/>
          <w:szCs w:val="24"/>
        </w:rPr>
        <w:t>and judicial protection w</w:t>
      </w:r>
      <w:r w:rsidR="00AD475F">
        <w:rPr>
          <w:sz w:val="24"/>
          <w:szCs w:val="24"/>
        </w:rPr>
        <w:t>ould be undermined.</w:t>
      </w:r>
      <w:r w:rsidR="00182BE4">
        <w:rPr>
          <w:rStyle w:val="FootnoteReference"/>
          <w:sz w:val="24"/>
          <w:szCs w:val="24"/>
        </w:rPr>
        <w:footnoteReference w:id="4"/>
      </w:r>
      <w:r w:rsidR="00AD475F">
        <w:rPr>
          <w:sz w:val="24"/>
          <w:szCs w:val="24"/>
        </w:rPr>
        <w:t xml:space="preserve"> There was no discussion of that issue here, presumably because the Minister </w:t>
      </w:r>
      <w:r w:rsidR="00182BE4">
        <w:rPr>
          <w:sz w:val="24"/>
          <w:szCs w:val="24"/>
        </w:rPr>
        <w:t>in fact g</w:t>
      </w:r>
      <w:r w:rsidR="00AD475F">
        <w:rPr>
          <w:sz w:val="24"/>
          <w:szCs w:val="24"/>
        </w:rPr>
        <w:t>ave reasons for her decision. In any event, p</w:t>
      </w:r>
      <w:r w:rsidR="0006398B" w:rsidRPr="0006398B">
        <w:rPr>
          <w:sz w:val="24"/>
          <w:szCs w:val="24"/>
        </w:rPr>
        <w:t>rovided that the Minister</w:t>
      </w:r>
      <w:r w:rsidR="00E64D87">
        <w:rPr>
          <w:sz w:val="24"/>
          <w:szCs w:val="24"/>
        </w:rPr>
        <w:t xml:space="preserve">’s decision demonstrates </w:t>
      </w:r>
      <w:r w:rsidR="00A507A1">
        <w:rPr>
          <w:sz w:val="24"/>
          <w:szCs w:val="24"/>
        </w:rPr>
        <w:t xml:space="preserve">adequate engagement </w:t>
      </w:r>
      <w:r w:rsidR="0006398B" w:rsidRPr="0006398B">
        <w:rPr>
          <w:sz w:val="24"/>
          <w:szCs w:val="24"/>
        </w:rPr>
        <w:t>with the grounds relied on by the applican</w:t>
      </w:r>
      <w:r w:rsidR="00CE1555">
        <w:rPr>
          <w:sz w:val="24"/>
          <w:szCs w:val="24"/>
        </w:rPr>
        <w:t>t</w:t>
      </w:r>
      <w:r w:rsidR="00E64D87">
        <w:rPr>
          <w:sz w:val="24"/>
          <w:szCs w:val="24"/>
        </w:rPr>
        <w:t xml:space="preserve">, </w:t>
      </w:r>
      <w:r w:rsidR="0006398B" w:rsidRPr="0006398B">
        <w:rPr>
          <w:sz w:val="24"/>
          <w:szCs w:val="24"/>
        </w:rPr>
        <w:t xml:space="preserve">the scope for interference with the Minister’s exercise of discretion on judicial review would appear to be very limited. </w:t>
      </w:r>
      <w:r w:rsidR="00E64D87">
        <w:rPr>
          <w:sz w:val="24"/>
          <w:szCs w:val="24"/>
        </w:rPr>
        <w:t xml:space="preserve">At a minimum, </w:t>
      </w:r>
      <w:r w:rsidR="00156564">
        <w:rPr>
          <w:sz w:val="24"/>
          <w:szCs w:val="24"/>
        </w:rPr>
        <w:t xml:space="preserve">it would appear that </w:t>
      </w:r>
      <w:r w:rsidR="00E64D87">
        <w:rPr>
          <w:sz w:val="24"/>
          <w:szCs w:val="24"/>
        </w:rPr>
        <w:t>s</w:t>
      </w:r>
      <w:r w:rsidR="0006398B" w:rsidRPr="0006398B">
        <w:rPr>
          <w:sz w:val="24"/>
          <w:szCs w:val="24"/>
        </w:rPr>
        <w:t xml:space="preserve">ome significant error </w:t>
      </w:r>
      <w:r w:rsidR="0006398B">
        <w:rPr>
          <w:sz w:val="24"/>
          <w:szCs w:val="24"/>
        </w:rPr>
        <w:t xml:space="preserve">or errors </w:t>
      </w:r>
      <w:r w:rsidR="0006398B" w:rsidRPr="0006398B">
        <w:rPr>
          <w:sz w:val="24"/>
          <w:szCs w:val="24"/>
        </w:rPr>
        <w:t xml:space="preserve">of assessment </w:t>
      </w:r>
      <w:r w:rsidR="00E64D87">
        <w:rPr>
          <w:sz w:val="24"/>
          <w:szCs w:val="24"/>
        </w:rPr>
        <w:t xml:space="preserve">on the Minister’s part </w:t>
      </w:r>
      <w:r w:rsidR="0006398B" w:rsidRPr="0006398B">
        <w:rPr>
          <w:sz w:val="24"/>
          <w:szCs w:val="24"/>
        </w:rPr>
        <w:t>would</w:t>
      </w:r>
      <w:r w:rsidR="00E64D87">
        <w:rPr>
          <w:sz w:val="24"/>
          <w:szCs w:val="24"/>
        </w:rPr>
        <w:t xml:space="preserve"> </w:t>
      </w:r>
      <w:r w:rsidR="00C04FE5">
        <w:rPr>
          <w:sz w:val="24"/>
          <w:szCs w:val="24"/>
        </w:rPr>
        <w:t>need</w:t>
      </w:r>
      <w:r w:rsidR="00E64D87">
        <w:rPr>
          <w:sz w:val="24"/>
          <w:szCs w:val="24"/>
        </w:rPr>
        <w:t xml:space="preserve"> </w:t>
      </w:r>
      <w:r w:rsidR="0006398B" w:rsidRPr="0006398B">
        <w:rPr>
          <w:sz w:val="24"/>
          <w:szCs w:val="24"/>
        </w:rPr>
        <w:t xml:space="preserve">to be demonstrated. </w:t>
      </w:r>
    </w:p>
    <w:p w14:paraId="6D92BED7" w14:textId="77777777" w:rsidR="00E64D87" w:rsidRPr="00E64D87" w:rsidRDefault="00E64D87" w:rsidP="00E64D87">
      <w:pPr>
        <w:pStyle w:val="ListParagraph"/>
        <w:autoSpaceDE w:val="0"/>
        <w:autoSpaceDN w:val="0"/>
        <w:adjustRightInd w:val="0"/>
        <w:spacing w:after="0" w:line="480" w:lineRule="auto"/>
        <w:jc w:val="both"/>
        <w:rPr>
          <w:rFonts w:cs="Times New Roman"/>
          <w:sz w:val="24"/>
          <w:szCs w:val="24"/>
        </w:rPr>
      </w:pPr>
    </w:p>
    <w:p w14:paraId="2765A0F2" w14:textId="3F73E8A3" w:rsidR="00C04FE5" w:rsidRPr="00AD475F" w:rsidRDefault="00197E8C" w:rsidP="00C04FE5">
      <w:pPr>
        <w:pStyle w:val="ListParagraph"/>
        <w:numPr>
          <w:ilvl w:val="0"/>
          <w:numId w:val="1"/>
        </w:numPr>
        <w:autoSpaceDE w:val="0"/>
        <w:autoSpaceDN w:val="0"/>
        <w:adjustRightInd w:val="0"/>
        <w:spacing w:after="0" w:line="480" w:lineRule="auto"/>
        <w:ind w:hanging="720"/>
        <w:jc w:val="both"/>
        <w:rPr>
          <w:rFonts w:cs="Times New Roman"/>
          <w:sz w:val="24"/>
          <w:szCs w:val="24"/>
        </w:rPr>
      </w:pPr>
      <w:r w:rsidRPr="00E64D87">
        <w:rPr>
          <w:rFonts w:cs="Times New Roman"/>
          <w:sz w:val="24"/>
          <w:szCs w:val="24"/>
        </w:rPr>
        <w:t>I</w:t>
      </w:r>
      <w:r w:rsidR="00E64D87">
        <w:rPr>
          <w:rFonts w:cs="Times New Roman"/>
          <w:sz w:val="24"/>
          <w:szCs w:val="24"/>
        </w:rPr>
        <w:t xml:space="preserve">n the absence of any detailed </w:t>
      </w:r>
      <w:r w:rsidR="00002A0B">
        <w:rPr>
          <w:rFonts w:cs="Times New Roman"/>
          <w:sz w:val="24"/>
          <w:szCs w:val="24"/>
        </w:rPr>
        <w:t>argument</w:t>
      </w:r>
      <w:r w:rsidR="00E64D87">
        <w:rPr>
          <w:rFonts w:cs="Times New Roman"/>
          <w:sz w:val="24"/>
          <w:szCs w:val="24"/>
        </w:rPr>
        <w:t xml:space="preserve"> on th</w:t>
      </w:r>
      <w:r w:rsidR="00C04FE5">
        <w:rPr>
          <w:rFonts w:cs="Times New Roman"/>
          <w:sz w:val="24"/>
          <w:szCs w:val="24"/>
        </w:rPr>
        <w:t xml:space="preserve">is issue, however, it does not seem appropriate to seek to </w:t>
      </w:r>
      <w:r w:rsidR="00AD475F">
        <w:rPr>
          <w:rFonts w:cs="Times New Roman"/>
          <w:sz w:val="24"/>
          <w:szCs w:val="24"/>
        </w:rPr>
        <w:t>offer</w:t>
      </w:r>
      <w:r w:rsidR="00C04FE5">
        <w:rPr>
          <w:rFonts w:cs="Times New Roman"/>
          <w:sz w:val="24"/>
          <w:szCs w:val="24"/>
        </w:rPr>
        <w:t xml:space="preserve"> any more detailed guidance as to </w:t>
      </w:r>
      <w:r w:rsidR="00553746">
        <w:rPr>
          <w:rFonts w:cs="Times New Roman"/>
          <w:sz w:val="24"/>
          <w:szCs w:val="24"/>
        </w:rPr>
        <w:t xml:space="preserve">the </w:t>
      </w:r>
      <w:r w:rsidR="00C04FE5">
        <w:rPr>
          <w:rFonts w:cs="Times New Roman"/>
          <w:sz w:val="24"/>
          <w:szCs w:val="24"/>
        </w:rPr>
        <w:t>proper scope of judicial review in this context or the extent to which</w:t>
      </w:r>
      <w:r w:rsidR="00836ED9">
        <w:rPr>
          <w:rFonts w:cs="Times New Roman"/>
          <w:sz w:val="24"/>
          <w:szCs w:val="24"/>
        </w:rPr>
        <w:t xml:space="preserve"> and/or the manner in which</w:t>
      </w:r>
      <w:r w:rsidR="00C04FE5">
        <w:rPr>
          <w:rFonts w:cs="Times New Roman"/>
          <w:sz w:val="24"/>
          <w:szCs w:val="24"/>
        </w:rPr>
        <w:t xml:space="preserve"> the established grounds on which administrative decisions may be judicially reviewed apply to a decision of the Minister under Article 17(1).</w:t>
      </w:r>
      <w:r w:rsidR="00836ED9">
        <w:rPr>
          <w:rFonts w:cs="Times New Roman"/>
          <w:sz w:val="24"/>
          <w:szCs w:val="24"/>
        </w:rPr>
        <w:t xml:space="preserve"> </w:t>
      </w:r>
    </w:p>
    <w:p w14:paraId="1B14B3FB" w14:textId="77777777" w:rsidR="00C04FE5" w:rsidRDefault="00C04FE5" w:rsidP="00C04FE5">
      <w:pPr>
        <w:pStyle w:val="ListParagraph"/>
        <w:autoSpaceDE w:val="0"/>
        <w:autoSpaceDN w:val="0"/>
        <w:adjustRightInd w:val="0"/>
        <w:spacing w:after="0" w:line="480" w:lineRule="auto"/>
        <w:jc w:val="both"/>
        <w:rPr>
          <w:rFonts w:cs="Times New Roman"/>
          <w:sz w:val="24"/>
          <w:szCs w:val="24"/>
        </w:rPr>
      </w:pPr>
    </w:p>
    <w:p w14:paraId="6AD39651" w14:textId="1461FB3C" w:rsidR="00C04FE5" w:rsidRDefault="00C04FE5" w:rsidP="00C04FE5">
      <w:pPr>
        <w:pStyle w:val="ListParagraph"/>
        <w:autoSpaceDE w:val="0"/>
        <w:autoSpaceDN w:val="0"/>
        <w:adjustRightInd w:val="0"/>
        <w:spacing w:after="0" w:line="480" w:lineRule="auto"/>
        <w:jc w:val="both"/>
        <w:rPr>
          <w:rFonts w:cs="Times New Roman"/>
          <w:i/>
          <w:sz w:val="24"/>
          <w:szCs w:val="24"/>
        </w:rPr>
      </w:pPr>
      <w:r w:rsidRPr="00C04FE5">
        <w:rPr>
          <w:rFonts w:cs="Times New Roman"/>
          <w:i/>
          <w:sz w:val="24"/>
          <w:szCs w:val="24"/>
        </w:rPr>
        <w:t>The Grounds on which the Article 17 Decision is Impugned Here</w:t>
      </w:r>
    </w:p>
    <w:p w14:paraId="60835DFC" w14:textId="77777777" w:rsidR="00C04FE5" w:rsidRPr="00C04FE5" w:rsidRDefault="00C04FE5" w:rsidP="00C04FE5">
      <w:pPr>
        <w:pStyle w:val="ListParagraph"/>
        <w:autoSpaceDE w:val="0"/>
        <w:autoSpaceDN w:val="0"/>
        <w:adjustRightInd w:val="0"/>
        <w:spacing w:after="0" w:line="480" w:lineRule="auto"/>
        <w:jc w:val="both"/>
        <w:rPr>
          <w:rFonts w:cs="Times New Roman"/>
          <w:i/>
          <w:sz w:val="24"/>
          <w:szCs w:val="24"/>
        </w:rPr>
      </w:pPr>
    </w:p>
    <w:p w14:paraId="26507262" w14:textId="1B167E32" w:rsidR="00C04FE5" w:rsidRDefault="00C04FE5" w:rsidP="00C77F45">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An overarching complaint made by the Applicant is that the Minister erred in requiring her to demonstrate “</w:t>
      </w:r>
      <w:r w:rsidRPr="0010192D">
        <w:rPr>
          <w:rFonts w:cs="Times New Roman"/>
          <w:i/>
          <w:sz w:val="24"/>
          <w:szCs w:val="24"/>
        </w:rPr>
        <w:t>exceptional circumstances”</w:t>
      </w:r>
      <w:r>
        <w:rPr>
          <w:rFonts w:cs="Times New Roman"/>
          <w:sz w:val="24"/>
          <w:szCs w:val="24"/>
        </w:rPr>
        <w:t xml:space="preserve"> </w:t>
      </w:r>
      <w:r w:rsidR="0010192D">
        <w:rPr>
          <w:rFonts w:cs="Times New Roman"/>
          <w:sz w:val="24"/>
          <w:szCs w:val="24"/>
        </w:rPr>
        <w:t xml:space="preserve">warranting the exercise of the Article 17(1) discretion in her favour. This, it was said, was founded on a misreading of </w:t>
      </w:r>
      <w:r w:rsidR="0010192D" w:rsidRPr="0010192D">
        <w:rPr>
          <w:rFonts w:cs="Times New Roman"/>
          <w:i/>
          <w:sz w:val="24"/>
          <w:szCs w:val="24"/>
        </w:rPr>
        <w:t>NVU</w:t>
      </w:r>
      <w:r w:rsidR="0010192D">
        <w:rPr>
          <w:rFonts w:cs="Times New Roman"/>
          <w:sz w:val="24"/>
          <w:szCs w:val="24"/>
        </w:rPr>
        <w:t xml:space="preserve">. While Charleton J had indeed stated that it would only be exceptionally that rights would be engaged and would have to be considered by the Minister, that did not support </w:t>
      </w:r>
      <w:r w:rsidR="0010192D">
        <w:rPr>
          <w:rFonts w:cs="Times New Roman"/>
          <w:sz w:val="24"/>
          <w:szCs w:val="24"/>
        </w:rPr>
        <w:lastRenderedPageBreak/>
        <w:t>any general proposition that exceptional circumstances had to be demonstrated in an application under Article 17(1).</w:t>
      </w:r>
    </w:p>
    <w:p w14:paraId="1F07A8C4" w14:textId="77777777" w:rsidR="0010192D" w:rsidRDefault="0010192D" w:rsidP="0010192D">
      <w:pPr>
        <w:pStyle w:val="ListParagraph"/>
        <w:autoSpaceDE w:val="0"/>
        <w:autoSpaceDN w:val="0"/>
        <w:adjustRightInd w:val="0"/>
        <w:spacing w:after="0" w:line="480" w:lineRule="auto"/>
        <w:jc w:val="both"/>
        <w:rPr>
          <w:rFonts w:cs="Times New Roman"/>
          <w:sz w:val="24"/>
          <w:szCs w:val="24"/>
        </w:rPr>
      </w:pPr>
    </w:p>
    <w:p w14:paraId="58DC3F3E" w14:textId="52A1B1CF" w:rsidR="0010192D" w:rsidRDefault="00C07BEC" w:rsidP="00C77F45">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The only reference to “</w:t>
      </w:r>
      <w:r w:rsidRPr="00C07BEC">
        <w:rPr>
          <w:rFonts w:cs="Times New Roman"/>
          <w:i/>
          <w:sz w:val="24"/>
          <w:szCs w:val="24"/>
        </w:rPr>
        <w:t>exceptional circumstances</w:t>
      </w:r>
      <w:r>
        <w:rPr>
          <w:rFonts w:cs="Times New Roman"/>
          <w:sz w:val="24"/>
          <w:szCs w:val="24"/>
        </w:rPr>
        <w:t>” in the Article 17 Decision occurs in the context of assessing the claim made by the Applicant that her transfer to Belgium would breach Article 8(1) ECHR</w:t>
      </w:r>
      <w:r w:rsidR="00DE6B6F">
        <w:rPr>
          <w:rFonts w:cs="Times New Roman"/>
          <w:sz w:val="24"/>
          <w:szCs w:val="24"/>
        </w:rPr>
        <w:t>. That a</w:t>
      </w:r>
      <w:r w:rsidR="0040229E">
        <w:rPr>
          <w:rFonts w:cs="Times New Roman"/>
          <w:sz w:val="24"/>
          <w:szCs w:val="24"/>
        </w:rPr>
        <w:t>ppears to a</w:t>
      </w:r>
      <w:r w:rsidR="00DE6B6F">
        <w:rPr>
          <w:rFonts w:cs="Times New Roman"/>
          <w:sz w:val="24"/>
          <w:szCs w:val="24"/>
        </w:rPr>
        <w:t xml:space="preserve">ccord with the approach indicated by Charleton J in </w:t>
      </w:r>
      <w:r w:rsidR="00DE6B6F" w:rsidRPr="00DE6B6F">
        <w:rPr>
          <w:rFonts w:cs="Times New Roman"/>
          <w:i/>
          <w:sz w:val="24"/>
          <w:szCs w:val="24"/>
        </w:rPr>
        <w:t>NVU</w:t>
      </w:r>
      <w:r w:rsidR="00DE6B6F">
        <w:rPr>
          <w:rFonts w:cs="Times New Roman"/>
          <w:sz w:val="24"/>
          <w:szCs w:val="24"/>
        </w:rPr>
        <w:t xml:space="preserve">. However, even if it were the case that the Decision identified a general requirement to demonstrate the existence of exceptional circumstances, I would share </w:t>
      </w:r>
      <w:r w:rsidR="0010192D">
        <w:rPr>
          <w:rFonts w:cs="Times New Roman"/>
          <w:sz w:val="24"/>
          <w:szCs w:val="24"/>
        </w:rPr>
        <w:t>the Judge</w:t>
      </w:r>
      <w:r w:rsidR="00DE6B6F">
        <w:rPr>
          <w:rFonts w:cs="Times New Roman"/>
          <w:sz w:val="24"/>
          <w:szCs w:val="24"/>
        </w:rPr>
        <w:t xml:space="preserve">’s view that </w:t>
      </w:r>
      <w:r w:rsidR="0010192D">
        <w:rPr>
          <w:rFonts w:cs="Times New Roman"/>
          <w:sz w:val="24"/>
          <w:szCs w:val="24"/>
        </w:rPr>
        <w:t xml:space="preserve">there </w:t>
      </w:r>
      <w:r w:rsidR="00002A0B">
        <w:rPr>
          <w:rFonts w:cs="Times New Roman"/>
          <w:sz w:val="24"/>
          <w:szCs w:val="24"/>
        </w:rPr>
        <w:t>is</w:t>
      </w:r>
      <w:r w:rsidR="0010192D">
        <w:rPr>
          <w:rFonts w:cs="Times New Roman"/>
          <w:sz w:val="24"/>
          <w:szCs w:val="24"/>
        </w:rPr>
        <w:t xml:space="preserve"> no substance in this </w:t>
      </w:r>
      <w:r w:rsidR="00002A0B">
        <w:rPr>
          <w:rFonts w:cs="Times New Roman"/>
          <w:sz w:val="24"/>
          <w:szCs w:val="24"/>
        </w:rPr>
        <w:t>complaint</w:t>
      </w:r>
      <w:r w:rsidR="0010192D">
        <w:rPr>
          <w:rFonts w:cs="Times New Roman"/>
          <w:sz w:val="24"/>
          <w:szCs w:val="24"/>
        </w:rPr>
        <w:t xml:space="preserve">. </w:t>
      </w:r>
      <w:r w:rsidR="00371A13">
        <w:rPr>
          <w:rFonts w:cs="Times New Roman"/>
          <w:sz w:val="24"/>
          <w:szCs w:val="24"/>
        </w:rPr>
        <w:t xml:space="preserve">The rules set out in Dublin III are mandatory. The fundamental rule in Article 3(1) is that an application for asylum must be examined by the Member State identified as responsible under the criteria set out in Chapter III. </w:t>
      </w:r>
      <w:r w:rsidR="00D90A25">
        <w:rPr>
          <w:rFonts w:cs="Times New Roman"/>
          <w:sz w:val="24"/>
          <w:szCs w:val="24"/>
        </w:rPr>
        <w:t xml:space="preserve">Where the Member State responsible is not Ireland, Dublin III contemplates that a transfer decision will be made requiring the transfer of the person concerned to the Member State responsible. </w:t>
      </w:r>
      <w:r w:rsidR="00371A13">
        <w:rPr>
          <w:rFonts w:cs="Times New Roman"/>
          <w:sz w:val="24"/>
          <w:szCs w:val="24"/>
        </w:rPr>
        <w:t>Article 17(1) is a “</w:t>
      </w:r>
      <w:r w:rsidR="00371A13" w:rsidRPr="00371A13">
        <w:rPr>
          <w:rFonts w:cs="Times New Roman"/>
          <w:i/>
          <w:sz w:val="24"/>
          <w:szCs w:val="24"/>
        </w:rPr>
        <w:t>derogation</w:t>
      </w:r>
      <w:r w:rsidR="00371A13">
        <w:rPr>
          <w:rFonts w:cs="Times New Roman"/>
          <w:sz w:val="24"/>
          <w:szCs w:val="24"/>
        </w:rPr>
        <w:t xml:space="preserve">” from </w:t>
      </w:r>
      <w:r w:rsidR="00D90A25">
        <w:rPr>
          <w:rFonts w:cs="Times New Roman"/>
          <w:sz w:val="24"/>
          <w:szCs w:val="24"/>
        </w:rPr>
        <w:t>the</w:t>
      </w:r>
      <w:r w:rsidR="00371A13">
        <w:rPr>
          <w:rFonts w:cs="Times New Roman"/>
          <w:sz w:val="24"/>
          <w:szCs w:val="24"/>
        </w:rPr>
        <w:t xml:space="preserve"> fundamental rule</w:t>
      </w:r>
      <w:r w:rsidR="00D90A25">
        <w:rPr>
          <w:rFonts w:cs="Times New Roman"/>
          <w:sz w:val="24"/>
          <w:szCs w:val="24"/>
        </w:rPr>
        <w:t xml:space="preserve"> in Article 3(1)</w:t>
      </w:r>
      <w:r w:rsidR="00371A13">
        <w:rPr>
          <w:rFonts w:cs="Times New Roman"/>
          <w:sz w:val="24"/>
          <w:szCs w:val="24"/>
        </w:rPr>
        <w:t xml:space="preserve">. Similar language is used in recital (19). In my view, </w:t>
      </w:r>
      <w:r w:rsidR="00DE6B6F">
        <w:rPr>
          <w:rFonts w:cs="Times New Roman"/>
          <w:sz w:val="24"/>
          <w:szCs w:val="24"/>
        </w:rPr>
        <w:t xml:space="preserve">there would </w:t>
      </w:r>
      <w:r w:rsidR="0040229E">
        <w:rPr>
          <w:rFonts w:cs="Times New Roman"/>
          <w:sz w:val="24"/>
          <w:szCs w:val="24"/>
        </w:rPr>
        <w:t xml:space="preserve">be </w:t>
      </w:r>
      <w:r w:rsidR="00DE6B6F">
        <w:rPr>
          <w:rFonts w:cs="Times New Roman"/>
          <w:sz w:val="24"/>
          <w:szCs w:val="24"/>
        </w:rPr>
        <w:t>nothing im</w:t>
      </w:r>
      <w:r w:rsidR="00D90A25">
        <w:rPr>
          <w:rFonts w:cs="Times New Roman"/>
          <w:sz w:val="24"/>
          <w:szCs w:val="24"/>
        </w:rPr>
        <w:t>proper</w:t>
      </w:r>
      <w:r w:rsidR="00371A13">
        <w:rPr>
          <w:rFonts w:cs="Times New Roman"/>
          <w:sz w:val="24"/>
          <w:szCs w:val="24"/>
        </w:rPr>
        <w:t xml:space="preserve"> </w:t>
      </w:r>
      <w:r w:rsidR="00DE6B6F">
        <w:rPr>
          <w:rFonts w:cs="Times New Roman"/>
          <w:sz w:val="24"/>
          <w:szCs w:val="24"/>
        </w:rPr>
        <w:t>in</w:t>
      </w:r>
      <w:r w:rsidR="00371A13">
        <w:rPr>
          <w:rFonts w:cs="Times New Roman"/>
          <w:sz w:val="24"/>
          <w:szCs w:val="24"/>
        </w:rPr>
        <w:t xml:space="preserve"> the Minister t</w:t>
      </w:r>
      <w:r w:rsidR="00DE6B6F">
        <w:rPr>
          <w:rFonts w:cs="Times New Roman"/>
          <w:sz w:val="24"/>
          <w:szCs w:val="24"/>
        </w:rPr>
        <w:t xml:space="preserve">aking </w:t>
      </w:r>
      <w:r w:rsidR="00D90A25">
        <w:rPr>
          <w:rFonts w:cs="Times New Roman"/>
          <w:sz w:val="24"/>
          <w:szCs w:val="24"/>
        </w:rPr>
        <w:t>the view</w:t>
      </w:r>
      <w:r w:rsidR="00371A13">
        <w:rPr>
          <w:rFonts w:cs="Times New Roman"/>
          <w:sz w:val="24"/>
          <w:szCs w:val="24"/>
        </w:rPr>
        <w:t xml:space="preserve"> that applicants </w:t>
      </w:r>
      <w:r w:rsidR="00010B09">
        <w:rPr>
          <w:rFonts w:cs="Times New Roman"/>
          <w:sz w:val="24"/>
          <w:szCs w:val="24"/>
        </w:rPr>
        <w:t>should</w:t>
      </w:r>
      <w:r w:rsidR="00371A13">
        <w:rPr>
          <w:rFonts w:cs="Times New Roman"/>
          <w:sz w:val="24"/>
          <w:szCs w:val="24"/>
        </w:rPr>
        <w:t xml:space="preserve"> identify some exceptional </w:t>
      </w:r>
      <w:r w:rsidR="00010B09">
        <w:rPr>
          <w:rFonts w:cs="Times New Roman"/>
          <w:sz w:val="24"/>
          <w:szCs w:val="24"/>
        </w:rPr>
        <w:t>circumstance</w:t>
      </w:r>
      <w:r w:rsidR="0040229E">
        <w:rPr>
          <w:rFonts w:cs="Times New Roman"/>
          <w:sz w:val="24"/>
          <w:szCs w:val="24"/>
        </w:rPr>
        <w:t xml:space="preserve"> – in the sense of some </w:t>
      </w:r>
      <w:r w:rsidR="00010B09">
        <w:rPr>
          <w:rFonts w:cs="Times New Roman"/>
          <w:sz w:val="24"/>
          <w:szCs w:val="24"/>
        </w:rPr>
        <w:t xml:space="preserve"> circumstance warranting the </w:t>
      </w:r>
      <w:r w:rsidR="00D90A25">
        <w:rPr>
          <w:rFonts w:cs="Times New Roman"/>
          <w:sz w:val="24"/>
          <w:szCs w:val="24"/>
        </w:rPr>
        <w:t>exercise of that “</w:t>
      </w:r>
      <w:r w:rsidR="00D90A25" w:rsidRPr="00D90A25">
        <w:rPr>
          <w:rFonts w:cs="Times New Roman"/>
          <w:i/>
          <w:sz w:val="24"/>
          <w:szCs w:val="24"/>
        </w:rPr>
        <w:t>derogation</w:t>
      </w:r>
      <w:r w:rsidR="00D90A25">
        <w:rPr>
          <w:rFonts w:cs="Times New Roman"/>
          <w:sz w:val="24"/>
          <w:szCs w:val="24"/>
        </w:rPr>
        <w:t>”</w:t>
      </w:r>
      <w:r w:rsidR="00010B09">
        <w:rPr>
          <w:rFonts w:cs="Times New Roman"/>
          <w:sz w:val="24"/>
          <w:szCs w:val="24"/>
        </w:rPr>
        <w:t xml:space="preserve"> a</w:t>
      </w:r>
      <w:r w:rsidR="00D90A25">
        <w:rPr>
          <w:rFonts w:cs="Times New Roman"/>
          <w:sz w:val="24"/>
          <w:szCs w:val="24"/>
        </w:rPr>
        <w:t xml:space="preserve">nd the consequent disapplication of the </w:t>
      </w:r>
      <w:r w:rsidR="00836ED9">
        <w:rPr>
          <w:rFonts w:cs="Times New Roman"/>
          <w:sz w:val="24"/>
          <w:szCs w:val="24"/>
        </w:rPr>
        <w:t>ordinary</w:t>
      </w:r>
      <w:r w:rsidR="00D90A25">
        <w:rPr>
          <w:rFonts w:cs="Times New Roman"/>
          <w:sz w:val="24"/>
          <w:szCs w:val="24"/>
        </w:rPr>
        <w:t xml:space="preserve"> Dublin III rules</w:t>
      </w:r>
      <w:r w:rsidR="0040229E">
        <w:rPr>
          <w:rFonts w:cs="Times New Roman"/>
          <w:sz w:val="24"/>
          <w:szCs w:val="24"/>
        </w:rPr>
        <w:t xml:space="preserve"> -</w:t>
      </w:r>
      <w:r w:rsidR="00D90A25">
        <w:rPr>
          <w:rFonts w:cs="Times New Roman"/>
          <w:sz w:val="24"/>
          <w:szCs w:val="24"/>
        </w:rPr>
        <w:t xml:space="preserve"> </w:t>
      </w:r>
      <w:r w:rsidR="00010B09">
        <w:rPr>
          <w:rFonts w:cs="Times New Roman"/>
          <w:sz w:val="24"/>
          <w:szCs w:val="24"/>
        </w:rPr>
        <w:t>i</w:t>
      </w:r>
      <w:r w:rsidR="00D90A25">
        <w:rPr>
          <w:rFonts w:cs="Times New Roman"/>
          <w:sz w:val="24"/>
          <w:szCs w:val="24"/>
        </w:rPr>
        <w:t xml:space="preserve">n their particular case. </w:t>
      </w:r>
      <w:r w:rsidR="00010B09">
        <w:rPr>
          <w:rFonts w:cs="Times New Roman"/>
          <w:sz w:val="24"/>
          <w:szCs w:val="24"/>
        </w:rPr>
        <w:t xml:space="preserve">That simply reflects where the Article 17(1) discretion is properly located within the Dublin III regime and </w:t>
      </w:r>
      <w:r w:rsidR="00DE6B6F">
        <w:rPr>
          <w:rFonts w:cs="Times New Roman"/>
          <w:sz w:val="24"/>
          <w:szCs w:val="24"/>
        </w:rPr>
        <w:t>would</w:t>
      </w:r>
      <w:r w:rsidR="00A4715E">
        <w:rPr>
          <w:rFonts w:cs="Times New Roman"/>
          <w:sz w:val="24"/>
          <w:szCs w:val="24"/>
        </w:rPr>
        <w:t xml:space="preserve"> not, in my view, involve the fettering of the Minister’s discretion or the adoption of </w:t>
      </w:r>
      <w:r w:rsidR="00010B09">
        <w:rPr>
          <w:rFonts w:cs="Times New Roman"/>
          <w:sz w:val="24"/>
          <w:szCs w:val="24"/>
        </w:rPr>
        <w:t>any excessively high</w:t>
      </w:r>
      <w:r w:rsidR="00A4715E">
        <w:rPr>
          <w:rFonts w:cs="Times New Roman"/>
          <w:sz w:val="24"/>
          <w:szCs w:val="24"/>
        </w:rPr>
        <w:t xml:space="preserve"> standard. </w:t>
      </w:r>
    </w:p>
    <w:p w14:paraId="77D10BBC" w14:textId="77777777" w:rsidR="00D90A25" w:rsidRDefault="00D90A25" w:rsidP="00D90A25">
      <w:pPr>
        <w:pStyle w:val="ListParagraph"/>
        <w:autoSpaceDE w:val="0"/>
        <w:autoSpaceDN w:val="0"/>
        <w:adjustRightInd w:val="0"/>
        <w:spacing w:after="0" w:line="480" w:lineRule="auto"/>
        <w:jc w:val="both"/>
        <w:rPr>
          <w:rFonts w:cs="Times New Roman"/>
          <w:sz w:val="24"/>
          <w:szCs w:val="24"/>
        </w:rPr>
      </w:pPr>
    </w:p>
    <w:p w14:paraId="58ED7FD9" w14:textId="2687C856" w:rsidR="000F1FD2" w:rsidRDefault="00A4715E" w:rsidP="00C77F45">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lastRenderedPageBreak/>
        <w:t xml:space="preserve">Next, </w:t>
      </w:r>
      <w:r w:rsidR="00010B09">
        <w:rPr>
          <w:rFonts w:cs="Times New Roman"/>
          <w:sz w:val="24"/>
          <w:szCs w:val="24"/>
        </w:rPr>
        <w:t xml:space="preserve">it is said that the Minister did not properly engage with the Applicant’s claim that she </w:t>
      </w:r>
      <w:r w:rsidR="00192467">
        <w:rPr>
          <w:rFonts w:cs="Times New Roman"/>
          <w:sz w:val="24"/>
          <w:szCs w:val="24"/>
        </w:rPr>
        <w:t xml:space="preserve">faced </w:t>
      </w:r>
      <w:r w:rsidR="00E66364">
        <w:rPr>
          <w:rFonts w:cs="Times New Roman"/>
          <w:sz w:val="24"/>
          <w:szCs w:val="24"/>
        </w:rPr>
        <w:t xml:space="preserve">the risk of detention </w:t>
      </w:r>
      <w:r w:rsidR="000F1FD2">
        <w:rPr>
          <w:rFonts w:cs="Times New Roman"/>
          <w:sz w:val="24"/>
          <w:szCs w:val="24"/>
        </w:rPr>
        <w:t xml:space="preserve">or other ill-treatment </w:t>
      </w:r>
      <w:r w:rsidR="00E66364">
        <w:rPr>
          <w:rFonts w:cs="Times New Roman"/>
          <w:sz w:val="24"/>
          <w:szCs w:val="24"/>
        </w:rPr>
        <w:t>in the event of her transfer to Belgium</w:t>
      </w:r>
      <w:r w:rsidR="009F0EB1">
        <w:rPr>
          <w:rFonts w:cs="Times New Roman"/>
          <w:sz w:val="24"/>
          <w:szCs w:val="24"/>
        </w:rPr>
        <w:t xml:space="preserve"> in breach of Article 6 of the Charter/Article 5 ECHR</w:t>
      </w:r>
      <w:r w:rsidR="00E66364">
        <w:rPr>
          <w:rFonts w:cs="Times New Roman"/>
          <w:sz w:val="24"/>
          <w:szCs w:val="24"/>
        </w:rPr>
        <w:t>. Again, there is no force in that point in my view. The evidential material submitted to the Minister in support of this ground was substantially the same as the material relied on by the Applicant before IPA</w:t>
      </w:r>
      <w:r w:rsidR="00E67953">
        <w:rPr>
          <w:rFonts w:cs="Times New Roman"/>
          <w:sz w:val="24"/>
          <w:szCs w:val="24"/>
        </w:rPr>
        <w:t>T</w:t>
      </w:r>
      <w:r w:rsidR="00E66364">
        <w:rPr>
          <w:rFonts w:cs="Times New Roman"/>
          <w:sz w:val="24"/>
          <w:szCs w:val="24"/>
        </w:rPr>
        <w:t xml:space="preserve">. </w:t>
      </w:r>
      <w:r w:rsidR="009F0EB1">
        <w:rPr>
          <w:rFonts w:cs="Times New Roman"/>
          <w:sz w:val="24"/>
          <w:szCs w:val="24"/>
        </w:rPr>
        <w:t xml:space="preserve">I agree with the Judge that, having regard to the decision of the Supreme Court in </w:t>
      </w:r>
      <w:r w:rsidR="009F0EB1" w:rsidRPr="00CD7980">
        <w:rPr>
          <w:rFonts w:cs="Times New Roman"/>
          <w:i/>
          <w:sz w:val="24"/>
          <w:szCs w:val="24"/>
        </w:rPr>
        <w:t>DE v Minister for Justice and Equality</w:t>
      </w:r>
      <w:r w:rsidR="009F0EB1">
        <w:rPr>
          <w:rFonts w:cs="Times New Roman"/>
          <w:sz w:val="24"/>
          <w:szCs w:val="24"/>
        </w:rPr>
        <w:t xml:space="preserve"> [2018] IESC 16, [2018] 3 IR 326, the Applicant was not precluded from relying on this material again for the purposes of her Article 17(1) application. Material that falls short of establishing a </w:t>
      </w:r>
      <w:r w:rsidR="009F0EB1" w:rsidRPr="009F0EB1">
        <w:rPr>
          <w:rFonts w:cs="Times New Roman"/>
          <w:i/>
          <w:sz w:val="24"/>
          <w:szCs w:val="24"/>
        </w:rPr>
        <w:t>de jure</w:t>
      </w:r>
      <w:r w:rsidR="009F0EB1">
        <w:rPr>
          <w:rFonts w:cs="Times New Roman"/>
          <w:sz w:val="24"/>
          <w:szCs w:val="24"/>
        </w:rPr>
        <w:t xml:space="preserve"> </w:t>
      </w:r>
      <w:r w:rsidR="0066742C">
        <w:rPr>
          <w:rFonts w:cs="Times New Roman"/>
          <w:sz w:val="24"/>
          <w:szCs w:val="24"/>
        </w:rPr>
        <w:t>basis for objecting</w:t>
      </w:r>
      <w:r w:rsidR="009F0EB1">
        <w:rPr>
          <w:rFonts w:cs="Times New Roman"/>
          <w:sz w:val="24"/>
          <w:szCs w:val="24"/>
        </w:rPr>
        <w:t xml:space="preserve"> to a transfer decision (whether by reference to Article 3(2) of Dublin III</w:t>
      </w:r>
      <w:r w:rsidR="0066742C">
        <w:rPr>
          <w:rFonts w:cs="Times New Roman"/>
          <w:sz w:val="24"/>
          <w:szCs w:val="24"/>
        </w:rPr>
        <w:t xml:space="preserve">, Article 4 of the Charter </w:t>
      </w:r>
      <w:r w:rsidR="009F0EB1">
        <w:rPr>
          <w:rFonts w:cs="Times New Roman"/>
          <w:sz w:val="24"/>
          <w:szCs w:val="24"/>
        </w:rPr>
        <w:t xml:space="preserve">or otherwise) may nonetheless be relevant to a humanitarian assessment. However, the material relied on before the Minister simply did not substantiate the Applicant’s stated concerns. The Freedom House </w:t>
      </w:r>
      <w:r w:rsidR="00000DAA">
        <w:rPr>
          <w:rFonts w:cs="Times New Roman"/>
          <w:sz w:val="24"/>
          <w:szCs w:val="24"/>
        </w:rPr>
        <w:t xml:space="preserve">and Amnesty International reports issued in 2018 and related back to </w:t>
      </w:r>
      <w:r w:rsidR="000F1FD2">
        <w:rPr>
          <w:rFonts w:cs="Times New Roman"/>
          <w:sz w:val="24"/>
          <w:szCs w:val="24"/>
        </w:rPr>
        <w:t xml:space="preserve">events in </w:t>
      </w:r>
      <w:r w:rsidR="00000DAA">
        <w:rPr>
          <w:rFonts w:cs="Times New Roman"/>
          <w:sz w:val="24"/>
          <w:szCs w:val="24"/>
        </w:rPr>
        <w:t>2017. In any event, neither report suggested that applicants for asylum were at risk of detention in breach of applicable international or EU standards</w:t>
      </w:r>
      <w:r w:rsidR="000F1FD2">
        <w:rPr>
          <w:rFonts w:cs="Times New Roman"/>
          <w:sz w:val="24"/>
          <w:szCs w:val="24"/>
        </w:rPr>
        <w:t xml:space="preserve"> or that their rights of appeal had been improperly curtailed </w:t>
      </w:r>
      <w:r w:rsidR="00000DAA">
        <w:rPr>
          <w:rFonts w:cs="Times New Roman"/>
          <w:sz w:val="24"/>
          <w:szCs w:val="24"/>
        </w:rPr>
        <w:t xml:space="preserve">. That is true also of the </w:t>
      </w:r>
      <w:r w:rsidR="000F1FD2">
        <w:rPr>
          <w:rFonts w:cs="Times New Roman"/>
          <w:sz w:val="24"/>
          <w:szCs w:val="24"/>
        </w:rPr>
        <w:t>2021</w:t>
      </w:r>
      <w:r w:rsidR="00000DAA">
        <w:rPr>
          <w:rFonts w:cs="Times New Roman"/>
          <w:sz w:val="24"/>
          <w:szCs w:val="24"/>
        </w:rPr>
        <w:t xml:space="preserve"> AIDA Country Report. That Report does suggest that there were difficulties concerning access to the reception system for certain categories of applicants between March and October 2020  but</w:t>
      </w:r>
      <w:r w:rsidR="000F1FD2">
        <w:rPr>
          <w:rFonts w:cs="Times New Roman"/>
          <w:sz w:val="24"/>
          <w:szCs w:val="24"/>
        </w:rPr>
        <w:t xml:space="preserve"> it is also evident from it that those difficulties were resolved as of November 2020. </w:t>
      </w:r>
    </w:p>
    <w:p w14:paraId="2080F8C8" w14:textId="77777777" w:rsidR="000F1FD2" w:rsidRDefault="000F1FD2" w:rsidP="000F1FD2">
      <w:pPr>
        <w:pStyle w:val="ListParagraph"/>
        <w:autoSpaceDE w:val="0"/>
        <w:autoSpaceDN w:val="0"/>
        <w:adjustRightInd w:val="0"/>
        <w:spacing w:after="0" w:line="480" w:lineRule="auto"/>
        <w:jc w:val="both"/>
        <w:rPr>
          <w:rFonts w:cs="Times New Roman"/>
          <w:sz w:val="24"/>
          <w:szCs w:val="24"/>
        </w:rPr>
      </w:pPr>
    </w:p>
    <w:p w14:paraId="38BE0493" w14:textId="0B17A3BE" w:rsidR="00D90A25" w:rsidRDefault="000F1FD2" w:rsidP="000F1FD2">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The Applicant seeks to make something of the reference in the Article 17 Decision to there being no reason to believe that there were any “</w:t>
      </w:r>
      <w:r w:rsidRPr="000F1FD2">
        <w:rPr>
          <w:rFonts w:cs="Times New Roman"/>
          <w:i/>
          <w:sz w:val="24"/>
          <w:szCs w:val="24"/>
        </w:rPr>
        <w:t>systemic deficiencies</w:t>
      </w:r>
      <w:r>
        <w:rPr>
          <w:rFonts w:cs="Times New Roman"/>
          <w:sz w:val="24"/>
          <w:szCs w:val="24"/>
        </w:rPr>
        <w:t xml:space="preserve">” in the Belgian asylum system. That, it is said, was a matter for IPAT rather than the Minister </w:t>
      </w:r>
      <w:r>
        <w:rPr>
          <w:rFonts w:cs="Times New Roman"/>
          <w:sz w:val="24"/>
          <w:szCs w:val="24"/>
        </w:rPr>
        <w:lastRenderedPageBreak/>
        <w:t xml:space="preserve">and indicates that the Minister misdirected herself. </w:t>
      </w:r>
      <w:r w:rsidR="00AD1C81">
        <w:rPr>
          <w:rFonts w:cs="Times New Roman"/>
          <w:sz w:val="24"/>
          <w:szCs w:val="24"/>
        </w:rPr>
        <w:t>That is, wi</w:t>
      </w:r>
      <w:r>
        <w:rPr>
          <w:rFonts w:cs="Times New Roman"/>
          <w:sz w:val="24"/>
          <w:szCs w:val="24"/>
        </w:rPr>
        <w:t xml:space="preserve">th respect, </w:t>
      </w:r>
      <w:r w:rsidR="00836ED9">
        <w:rPr>
          <w:rFonts w:cs="Times New Roman"/>
          <w:sz w:val="24"/>
          <w:szCs w:val="24"/>
        </w:rPr>
        <w:t>wholly unconvincing</w:t>
      </w:r>
      <w:r>
        <w:rPr>
          <w:rFonts w:cs="Times New Roman"/>
          <w:sz w:val="24"/>
          <w:szCs w:val="24"/>
        </w:rPr>
        <w:t>. The entire thrust of this aspect of the Applicant’s application was that she was at risk of ill-</w:t>
      </w:r>
      <w:r w:rsidR="00AD1C81">
        <w:rPr>
          <w:rFonts w:cs="Times New Roman"/>
          <w:sz w:val="24"/>
          <w:szCs w:val="24"/>
        </w:rPr>
        <w:t>t</w:t>
      </w:r>
      <w:r w:rsidRPr="000F1FD2">
        <w:rPr>
          <w:rFonts w:cs="Times New Roman"/>
          <w:sz w:val="24"/>
          <w:szCs w:val="24"/>
        </w:rPr>
        <w:t xml:space="preserve">reatment by reason of systemic issues affecting the operation of the asylum system in Belgium. </w:t>
      </w:r>
      <w:r w:rsidR="00AD1C81">
        <w:rPr>
          <w:rFonts w:cs="Times New Roman"/>
          <w:sz w:val="24"/>
          <w:szCs w:val="24"/>
        </w:rPr>
        <w:t xml:space="preserve">She never sought to make a case that she </w:t>
      </w:r>
      <w:r w:rsidR="00053666">
        <w:rPr>
          <w:rFonts w:cs="Times New Roman"/>
          <w:sz w:val="24"/>
          <w:szCs w:val="24"/>
        </w:rPr>
        <w:t xml:space="preserve">was at risk of  </w:t>
      </w:r>
      <w:r w:rsidR="00AD1C81">
        <w:rPr>
          <w:rFonts w:cs="Times New Roman"/>
          <w:sz w:val="24"/>
          <w:szCs w:val="24"/>
        </w:rPr>
        <w:t>ill-treatment</w:t>
      </w:r>
      <w:r w:rsidR="00053666">
        <w:rPr>
          <w:rFonts w:cs="Times New Roman"/>
          <w:sz w:val="24"/>
          <w:szCs w:val="24"/>
        </w:rPr>
        <w:t xml:space="preserve"> because of any personal characteristics</w:t>
      </w:r>
      <w:r w:rsidR="002C4E8F">
        <w:rPr>
          <w:rFonts w:cs="Times New Roman"/>
          <w:sz w:val="24"/>
          <w:szCs w:val="24"/>
        </w:rPr>
        <w:t xml:space="preserve"> or circumstances</w:t>
      </w:r>
      <w:r w:rsidR="00AD1C81">
        <w:rPr>
          <w:rFonts w:cs="Times New Roman"/>
          <w:sz w:val="24"/>
          <w:szCs w:val="24"/>
        </w:rPr>
        <w:t>. In the circumstances, the Minister’s reference</w:t>
      </w:r>
      <w:r w:rsidRPr="000F1FD2">
        <w:rPr>
          <w:rFonts w:cs="Times New Roman"/>
          <w:sz w:val="24"/>
          <w:szCs w:val="24"/>
        </w:rPr>
        <w:t xml:space="preserve"> </w:t>
      </w:r>
      <w:r w:rsidR="00AD1C81">
        <w:rPr>
          <w:rFonts w:cs="Times New Roman"/>
          <w:sz w:val="24"/>
          <w:szCs w:val="24"/>
        </w:rPr>
        <w:t>to “</w:t>
      </w:r>
      <w:r w:rsidR="00AD1C81" w:rsidRPr="00AD1C81">
        <w:rPr>
          <w:rFonts w:cs="Times New Roman"/>
          <w:i/>
          <w:sz w:val="24"/>
          <w:szCs w:val="24"/>
        </w:rPr>
        <w:t>system</w:t>
      </w:r>
      <w:r w:rsidR="00002A0B">
        <w:rPr>
          <w:rFonts w:cs="Times New Roman"/>
          <w:i/>
          <w:sz w:val="24"/>
          <w:szCs w:val="24"/>
        </w:rPr>
        <w:t>i</w:t>
      </w:r>
      <w:r w:rsidR="00AD1C81" w:rsidRPr="00AD1C81">
        <w:rPr>
          <w:rFonts w:cs="Times New Roman"/>
          <w:i/>
          <w:sz w:val="24"/>
          <w:szCs w:val="24"/>
        </w:rPr>
        <w:t>c deficiencies”</w:t>
      </w:r>
      <w:r w:rsidR="00AD1C81">
        <w:rPr>
          <w:rFonts w:cs="Times New Roman"/>
          <w:sz w:val="24"/>
          <w:szCs w:val="24"/>
        </w:rPr>
        <w:t xml:space="preserve"> can only be understood as referring to, and rejecting, the case actually made by the Applicant. </w:t>
      </w:r>
    </w:p>
    <w:p w14:paraId="15E2FA77" w14:textId="77777777" w:rsidR="00AD1C81" w:rsidRDefault="00AD1C81" w:rsidP="00AD1C81">
      <w:pPr>
        <w:pStyle w:val="ListParagraph"/>
        <w:autoSpaceDE w:val="0"/>
        <w:autoSpaceDN w:val="0"/>
        <w:adjustRightInd w:val="0"/>
        <w:spacing w:after="0" w:line="480" w:lineRule="auto"/>
        <w:jc w:val="both"/>
        <w:rPr>
          <w:rFonts w:cs="Times New Roman"/>
          <w:sz w:val="24"/>
          <w:szCs w:val="24"/>
        </w:rPr>
      </w:pPr>
    </w:p>
    <w:p w14:paraId="26AFAB74" w14:textId="3CED4FB7" w:rsidR="00AD1C81" w:rsidRDefault="00AD1C81" w:rsidP="000F1FD2">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 xml:space="preserve">It is also said that the Minister failed to engage </w:t>
      </w:r>
      <w:r w:rsidR="00430202">
        <w:rPr>
          <w:rFonts w:cs="Times New Roman"/>
          <w:sz w:val="24"/>
          <w:szCs w:val="24"/>
        </w:rPr>
        <w:t xml:space="preserve">appropriately with the Applicant’s stated concerns regarding Covid. However, as the Judge observed, there was a </w:t>
      </w:r>
      <w:r w:rsidR="002C4E8F">
        <w:rPr>
          <w:rFonts w:cs="Times New Roman"/>
          <w:sz w:val="24"/>
          <w:szCs w:val="24"/>
        </w:rPr>
        <w:t>total</w:t>
      </w:r>
      <w:r w:rsidR="00430202">
        <w:rPr>
          <w:rFonts w:cs="Times New Roman"/>
          <w:sz w:val="24"/>
          <w:szCs w:val="24"/>
        </w:rPr>
        <w:t xml:space="preserve"> absence of any evidence suggestive of any particular risk </w:t>
      </w:r>
      <w:r w:rsidR="0082584C">
        <w:rPr>
          <w:rFonts w:cs="Times New Roman"/>
          <w:sz w:val="24"/>
          <w:szCs w:val="24"/>
        </w:rPr>
        <w:t xml:space="preserve">(or any increased risk) </w:t>
      </w:r>
      <w:r w:rsidR="00430202">
        <w:rPr>
          <w:rFonts w:cs="Times New Roman"/>
          <w:sz w:val="24"/>
          <w:szCs w:val="24"/>
        </w:rPr>
        <w:t xml:space="preserve">to the Applicant in the event of her transfer to Belgium and the arguments advanced in this context were entirely generic. It was </w:t>
      </w:r>
      <w:r w:rsidR="00B01439">
        <w:rPr>
          <w:rFonts w:cs="Times New Roman"/>
          <w:sz w:val="24"/>
          <w:szCs w:val="24"/>
        </w:rPr>
        <w:t>clearly</w:t>
      </w:r>
      <w:r w:rsidR="00430202">
        <w:rPr>
          <w:rFonts w:cs="Times New Roman"/>
          <w:sz w:val="24"/>
          <w:szCs w:val="24"/>
        </w:rPr>
        <w:t xml:space="preserve"> open to the Minister to conclude that the Applicant’s stated concerns did not provide </w:t>
      </w:r>
      <w:r w:rsidR="00B01439">
        <w:rPr>
          <w:rFonts w:cs="Times New Roman"/>
          <w:sz w:val="24"/>
          <w:szCs w:val="24"/>
        </w:rPr>
        <w:t xml:space="preserve">grounds </w:t>
      </w:r>
      <w:r w:rsidR="00430202">
        <w:rPr>
          <w:rFonts w:cs="Times New Roman"/>
          <w:sz w:val="24"/>
          <w:szCs w:val="24"/>
        </w:rPr>
        <w:t xml:space="preserve">for exercising the Article 17(1) discretion in </w:t>
      </w:r>
      <w:r w:rsidR="00FD4CA3">
        <w:rPr>
          <w:rFonts w:cs="Times New Roman"/>
          <w:sz w:val="24"/>
          <w:szCs w:val="24"/>
        </w:rPr>
        <w:t>he</w:t>
      </w:r>
      <w:r w:rsidR="00430202">
        <w:rPr>
          <w:rFonts w:cs="Times New Roman"/>
          <w:sz w:val="24"/>
          <w:szCs w:val="24"/>
        </w:rPr>
        <w:t xml:space="preserve">r favour. In truth, </w:t>
      </w:r>
      <w:r w:rsidR="00FD4CA3">
        <w:rPr>
          <w:rFonts w:cs="Times New Roman"/>
          <w:sz w:val="24"/>
          <w:szCs w:val="24"/>
        </w:rPr>
        <w:t xml:space="preserve">that was not seriously disputed. </w:t>
      </w:r>
      <w:r w:rsidR="00430202">
        <w:rPr>
          <w:rFonts w:cs="Times New Roman"/>
          <w:sz w:val="24"/>
          <w:szCs w:val="24"/>
        </w:rPr>
        <w:t xml:space="preserve"> Rather, </w:t>
      </w:r>
      <w:r w:rsidR="00B01439">
        <w:rPr>
          <w:rFonts w:cs="Times New Roman"/>
          <w:sz w:val="24"/>
          <w:szCs w:val="24"/>
        </w:rPr>
        <w:t>once a</w:t>
      </w:r>
      <w:r w:rsidR="00430202">
        <w:rPr>
          <w:rFonts w:cs="Times New Roman"/>
          <w:sz w:val="24"/>
          <w:szCs w:val="24"/>
        </w:rPr>
        <w:t xml:space="preserve">gain, the Applicant’s focus </w:t>
      </w:r>
      <w:r w:rsidR="00FD4CA3">
        <w:rPr>
          <w:rFonts w:cs="Times New Roman"/>
          <w:sz w:val="24"/>
          <w:szCs w:val="24"/>
        </w:rPr>
        <w:t>was</w:t>
      </w:r>
      <w:r w:rsidR="00430202">
        <w:rPr>
          <w:rFonts w:cs="Times New Roman"/>
          <w:sz w:val="24"/>
          <w:szCs w:val="24"/>
        </w:rPr>
        <w:t xml:space="preserve"> on the precise </w:t>
      </w:r>
      <w:r w:rsidR="00095017">
        <w:rPr>
          <w:rFonts w:cs="Times New Roman"/>
          <w:sz w:val="24"/>
          <w:szCs w:val="24"/>
        </w:rPr>
        <w:t>language</w:t>
      </w:r>
      <w:r w:rsidR="00430202">
        <w:rPr>
          <w:rFonts w:cs="Times New Roman"/>
          <w:sz w:val="24"/>
          <w:szCs w:val="24"/>
        </w:rPr>
        <w:t xml:space="preserve"> used </w:t>
      </w:r>
      <w:r w:rsidR="00B01439">
        <w:rPr>
          <w:rFonts w:cs="Times New Roman"/>
          <w:sz w:val="24"/>
          <w:szCs w:val="24"/>
        </w:rPr>
        <w:t xml:space="preserve">in </w:t>
      </w:r>
      <w:r w:rsidR="00430202">
        <w:rPr>
          <w:rFonts w:cs="Times New Roman"/>
          <w:sz w:val="24"/>
          <w:szCs w:val="24"/>
        </w:rPr>
        <w:t xml:space="preserve">the Article 17 Decision. </w:t>
      </w:r>
      <w:r w:rsidR="00B01439">
        <w:rPr>
          <w:rFonts w:cs="Times New Roman"/>
          <w:sz w:val="24"/>
          <w:szCs w:val="24"/>
        </w:rPr>
        <w:t>Again, it is suggested that the Minister wrongly addressed only issues of legal rights and had not assessed the Applicant’s concerns from a humanitarian point of law. I see no force whatever in that argument.</w:t>
      </w:r>
      <w:r w:rsidR="00095017">
        <w:rPr>
          <w:rFonts w:cs="Times New Roman"/>
          <w:sz w:val="24"/>
          <w:szCs w:val="24"/>
        </w:rPr>
        <w:t xml:space="preserve"> The Article 17 Decision is not to be parsed as if it were a statute and must be read by reference to the application addressed by it. T</w:t>
      </w:r>
      <w:r w:rsidR="00B01439">
        <w:rPr>
          <w:rFonts w:cs="Times New Roman"/>
          <w:sz w:val="24"/>
          <w:szCs w:val="24"/>
        </w:rPr>
        <w:t>he ground as advanced to the Minister was explicitly framed by reference (</w:t>
      </w:r>
      <w:r w:rsidR="00B01439" w:rsidRPr="00B01439">
        <w:rPr>
          <w:rFonts w:cs="Times New Roman"/>
          <w:i/>
          <w:sz w:val="24"/>
          <w:szCs w:val="24"/>
        </w:rPr>
        <w:t>inter alia</w:t>
      </w:r>
      <w:r w:rsidR="00B01439">
        <w:rPr>
          <w:rFonts w:cs="Times New Roman"/>
          <w:sz w:val="24"/>
          <w:szCs w:val="24"/>
        </w:rPr>
        <w:t>) to Article 4 of the Charter. That being so, the argument that the reference to that provision in the</w:t>
      </w:r>
      <w:r w:rsidR="00D13C42">
        <w:rPr>
          <w:rFonts w:cs="Times New Roman"/>
          <w:sz w:val="24"/>
          <w:szCs w:val="24"/>
        </w:rPr>
        <w:t xml:space="preserve"> subsequent</w:t>
      </w:r>
      <w:r w:rsidR="00B01439">
        <w:rPr>
          <w:rFonts w:cs="Times New Roman"/>
          <w:sz w:val="24"/>
          <w:szCs w:val="24"/>
        </w:rPr>
        <w:t xml:space="preserve"> Decision is indicative </w:t>
      </w:r>
      <w:r w:rsidR="00D13C42">
        <w:rPr>
          <w:rFonts w:cs="Times New Roman"/>
          <w:sz w:val="24"/>
          <w:szCs w:val="24"/>
        </w:rPr>
        <w:t xml:space="preserve">of the </w:t>
      </w:r>
      <w:r w:rsidR="00B01439">
        <w:rPr>
          <w:rFonts w:cs="Times New Roman"/>
          <w:sz w:val="24"/>
          <w:szCs w:val="24"/>
        </w:rPr>
        <w:t xml:space="preserve">Minister </w:t>
      </w:r>
      <w:r w:rsidR="00D13C42">
        <w:rPr>
          <w:rFonts w:cs="Times New Roman"/>
          <w:sz w:val="24"/>
          <w:szCs w:val="24"/>
        </w:rPr>
        <w:t xml:space="preserve">having </w:t>
      </w:r>
      <w:r w:rsidR="00B01439">
        <w:rPr>
          <w:rFonts w:cs="Times New Roman"/>
          <w:sz w:val="24"/>
          <w:szCs w:val="24"/>
        </w:rPr>
        <w:t xml:space="preserve">misdirected herself is </w:t>
      </w:r>
      <w:r w:rsidR="001915F1">
        <w:rPr>
          <w:rFonts w:cs="Times New Roman"/>
          <w:sz w:val="24"/>
          <w:szCs w:val="24"/>
        </w:rPr>
        <w:t>wholly implausible</w:t>
      </w:r>
      <w:r w:rsidR="00B01439">
        <w:rPr>
          <w:rFonts w:cs="Times New Roman"/>
          <w:sz w:val="24"/>
          <w:szCs w:val="24"/>
        </w:rPr>
        <w:t xml:space="preserve">. </w:t>
      </w:r>
      <w:r w:rsidR="00095017">
        <w:rPr>
          <w:rFonts w:cs="Times New Roman"/>
          <w:sz w:val="24"/>
          <w:szCs w:val="24"/>
        </w:rPr>
        <w:t>Furthermore</w:t>
      </w:r>
      <w:r w:rsidR="00B01439">
        <w:rPr>
          <w:rFonts w:cs="Times New Roman"/>
          <w:sz w:val="24"/>
          <w:szCs w:val="24"/>
        </w:rPr>
        <w:t xml:space="preserve">, </w:t>
      </w:r>
      <w:r w:rsidR="001915F1">
        <w:rPr>
          <w:rFonts w:cs="Times New Roman"/>
          <w:sz w:val="24"/>
          <w:szCs w:val="24"/>
        </w:rPr>
        <w:t xml:space="preserve">that argument flies in the face of the first paragraph of the Decision which </w:t>
      </w:r>
      <w:r w:rsidR="001915F1">
        <w:rPr>
          <w:rFonts w:cs="Times New Roman"/>
          <w:sz w:val="24"/>
          <w:szCs w:val="24"/>
        </w:rPr>
        <w:lastRenderedPageBreak/>
        <w:t xml:space="preserve">makes it clear that the Minister correctly understood that what </w:t>
      </w:r>
      <w:r w:rsidR="00FD4CA3">
        <w:rPr>
          <w:rFonts w:cs="Times New Roman"/>
          <w:sz w:val="24"/>
          <w:szCs w:val="24"/>
        </w:rPr>
        <w:t>s</w:t>
      </w:r>
      <w:r w:rsidR="001915F1">
        <w:rPr>
          <w:rFonts w:cs="Times New Roman"/>
          <w:sz w:val="24"/>
          <w:szCs w:val="24"/>
        </w:rPr>
        <w:t>he was being asked to decide was whether there was “</w:t>
      </w:r>
      <w:r w:rsidR="001915F1" w:rsidRPr="001915F1">
        <w:rPr>
          <w:rFonts w:cs="Times New Roman"/>
          <w:i/>
          <w:sz w:val="24"/>
          <w:szCs w:val="24"/>
        </w:rPr>
        <w:t>any humanitarian or compassionate grounds</w:t>
      </w:r>
      <w:r w:rsidR="001915F1">
        <w:rPr>
          <w:rFonts w:cs="Times New Roman"/>
          <w:sz w:val="24"/>
          <w:szCs w:val="24"/>
        </w:rPr>
        <w:t xml:space="preserve">” such that she should invoke Article 17(1). </w:t>
      </w:r>
    </w:p>
    <w:p w14:paraId="17BFF5D7" w14:textId="77777777" w:rsidR="001915F1" w:rsidRDefault="001915F1" w:rsidP="001915F1">
      <w:pPr>
        <w:pStyle w:val="ListParagraph"/>
        <w:autoSpaceDE w:val="0"/>
        <w:autoSpaceDN w:val="0"/>
        <w:adjustRightInd w:val="0"/>
        <w:spacing w:after="0" w:line="480" w:lineRule="auto"/>
        <w:jc w:val="both"/>
        <w:rPr>
          <w:rFonts w:cs="Times New Roman"/>
          <w:sz w:val="24"/>
          <w:szCs w:val="24"/>
        </w:rPr>
      </w:pPr>
    </w:p>
    <w:p w14:paraId="20035625" w14:textId="370269E2" w:rsidR="00FF10EF" w:rsidRDefault="00FE6D0F" w:rsidP="00C77F45">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 xml:space="preserve">As regards the ongoing risks presented by Covid, I agree with the Judge’s view that </w:t>
      </w:r>
      <w:r w:rsidR="0066742C">
        <w:rPr>
          <w:rFonts w:cs="Times New Roman"/>
          <w:sz w:val="24"/>
          <w:szCs w:val="24"/>
        </w:rPr>
        <w:t xml:space="preserve">these are matters to be addressed by reference to conditions at the time of transfer. I note that, in </w:t>
      </w:r>
      <w:r w:rsidR="00915CB2">
        <w:rPr>
          <w:rFonts w:cs="Times New Roman"/>
          <w:sz w:val="24"/>
          <w:szCs w:val="24"/>
        </w:rPr>
        <w:t>the</w:t>
      </w:r>
      <w:r w:rsidR="0066742C">
        <w:rPr>
          <w:rFonts w:cs="Times New Roman"/>
          <w:sz w:val="24"/>
          <w:szCs w:val="24"/>
        </w:rPr>
        <w:t xml:space="preserve"> affidavit sworn by </w:t>
      </w:r>
      <w:r w:rsidR="006E2F5E">
        <w:rPr>
          <w:rFonts w:cs="Times New Roman"/>
          <w:sz w:val="24"/>
          <w:szCs w:val="24"/>
        </w:rPr>
        <w:t>the Applicant</w:t>
      </w:r>
      <w:r w:rsidR="0066742C">
        <w:rPr>
          <w:rFonts w:cs="Times New Roman"/>
          <w:sz w:val="24"/>
          <w:szCs w:val="24"/>
        </w:rPr>
        <w:t xml:space="preserve"> for the purposes of the injunction application made to this Court in December last, </w:t>
      </w:r>
      <w:r w:rsidR="006E2F5E">
        <w:rPr>
          <w:rFonts w:cs="Times New Roman"/>
          <w:sz w:val="24"/>
          <w:szCs w:val="24"/>
        </w:rPr>
        <w:t xml:space="preserve">she states </w:t>
      </w:r>
      <w:r w:rsidR="0066742C">
        <w:rPr>
          <w:rFonts w:cs="Times New Roman"/>
          <w:sz w:val="24"/>
          <w:szCs w:val="24"/>
        </w:rPr>
        <w:t>that she is unvaccinated. That position was not disclosed to the Minister.</w:t>
      </w:r>
      <w:r w:rsidR="00915CB2">
        <w:rPr>
          <w:rFonts w:cs="Times New Roman"/>
          <w:sz w:val="24"/>
          <w:szCs w:val="24"/>
        </w:rPr>
        <w:t xml:space="preserve"> It </w:t>
      </w:r>
      <w:r w:rsidR="005D1B93">
        <w:rPr>
          <w:rFonts w:cs="Times New Roman"/>
          <w:sz w:val="24"/>
          <w:szCs w:val="24"/>
        </w:rPr>
        <w:t xml:space="preserve">rather </w:t>
      </w:r>
      <w:r w:rsidR="00915CB2">
        <w:rPr>
          <w:rFonts w:cs="Times New Roman"/>
          <w:sz w:val="24"/>
          <w:szCs w:val="24"/>
        </w:rPr>
        <w:t>undermine</w:t>
      </w:r>
      <w:r w:rsidR="00EA440B">
        <w:rPr>
          <w:rFonts w:cs="Times New Roman"/>
          <w:sz w:val="24"/>
          <w:szCs w:val="24"/>
        </w:rPr>
        <w:t>s</w:t>
      </w:r>
      <w:r w:rsidR="00915CB2">
        <w:rPr>
          <w:rFonts w:cs="Times New Roman"/>
          <w:sz w:val="24"/>
          <w:szCs w:val="24"/>
        </w:rPr>
        <w:t xml:space="preserve"> the Applicant’s stated concerns about the risks of </w:t>
      </w:r>
      <w:r w:rsidR="00FF10EF">
        <w:rPr>
          <w:rFonts w:cs="Times New Roman"/>
          <w:sz w:val="24"/>
          <w:szCs w:val="24"/>
        </w:rPr>
        <w:t>Covid to her health. I</w:t>
      </w:r>
      <w:r w:rsidR="0066742C">
        <w:rPr>
          <w:rFonts w:cs="Times New Roman"/>
          <w:sz w:val="24"/>
          <w:szCs w:val="24"/>
        </w:rPr>
        <w:t xml:space="preserve">n any event, the material before the Court (including that affidavit) does not </w:t>
      </w:r>
      <w:r w:rsidR="00915CB2">
        <w:rPr>
          <w:rFonts w:cs="Times New Roman"/>
          <w:sz w:val="24"/>
          <w:szCs w:val="24"/>
        </w:rPr>
        <w:t xml:space="preserve">appear to </w:t>
      </w:r>
      <w:r w:rsidR="006E2F5E">
        <w:rPr>
          <w:rFonts w:cs="Times New Roman"/>
          <w:sz w:val="24"/>
          <w:szCs w:val="24"/>
        </w:rPr>
        <w:t xml:space="preserve">provide any basis for </w:t>
      </w:r>
      <w:r w:rsidR="00915CB2">
        <w:rPr>
          <w:rFonts w:cs="Times New Roman"/>
          <w:sz w:val="24"/>
          <w:szCs w:val="24"/>
        </w:rPr>
        <w:t xml:space="preserve">interfering with </w:t>
      </w:r>
      <w:r w:rsidR="006E2F5E">
        <w:rPr>
          <w:rFonts w:cs="Times New Roman"/>
          <w:sz w:val="24"/>
          <w:szCs w:val="24"/>
        </w:rPr>
        <w:t xml:space="preserve">the Article 17(1) assessment carried out by the Minister. </w:t>
      </w:r>
    </w:p>
    <w:p w14:paraId="45E3DBED" w14:textId="77777777" w:rsidR="005D1B93" w:rsidRDefault="005D1B93" w:rsidP="005D1B93">
      <w:pPr>
        <w:pStyle w:val="ListParagraph"/>
        <w:autoSpaceDE w:val="0"/>
        <w:autoSpaceDN w:val="0"/>
        <w:adjustRightInd w:val="0"/>
        <w:spacing w:after="0" w:line="480" w:lineRule="auto"/>
        <w:jc w:val="both"/>
        <w:rPr>
          <w:rFonts w:cs="Times New Roman"/>
          <w:sz w:val="24"/>
          <w:szCs w:val="24"/>
        </w:rPr>
      </w:pPr>
    </w:p>
    <w:p w14:paraId="70EE3C74" w14:textId="2D5F4E37" w:rsidR="005D1B93" w:rsidRDefault="005D1B93" w:rsidP="00C77F45">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 xml:space="preserve">The final ground on which the Article 17 Decision is impugned relates to the period of time that the Applicant has spent in the State and the ties that she has established in that period. </w:t>
      </w:r>
      <w:r w:rsidR="00DA5408">
        <w:rPr>
          <w:rFonts w:cs="Times New Roman"/>
          <w:sz w:val="24"/>
          <w:szCs w:val="24"/>
        </w:rPr>
        <w:t>As it is put in the Amended Statement of Grounds, the complaint made is that the Minister did not give</w:t>
      </w:r>
      <w:r w:rsidR="00DA5408" w:rsidRPr="00024B28">
        <w:rPr>
          <w:rFonts w:cs="Times New Roman"/>
          <w:color w:val="auto"/>
          <w:sz w:val="24"/>
          <w:szCs w:val="24"/>
        </w:rPr>
        <w:t xml:space="preserve"> </w:t>
      </w:r>
      <w:r w:rsidR="00DA5408" w:rsidRPr="00024B28">
        <w:rPr>
          <w:rFonts w:cs="Times New Roman"/>
          <w:i/>
          <w:color w:val="auto"/>
          <w:sz w:val="24"/>
          <w:szCs w:val="24"/>
        </w:rPr>
        <w:t>“adequate regard to the Applicant’s integration in the State or the period</w:t>
      </w:r>
      <w:r w:rsidRPr="00024B28">
        <w:rPr>
          <w:rFonts w:cs="Times New Roman"/>
          <w:i/>
          <w:color w:val="auto"/>
          <w:sz w:val="24"/>
          <w:szCs w:val="24"/>
        </w:rPr>
        <w:t xml:space="preserve"> of t</w:t>
      </w:r>
      <w:r w:rsidR="00DA5408" w:rsidRPr="00024B28">
        <w:rPr>
          <w:rFonts w:cs="Times New Roman"/>
          <w:i/>
          <w:color w:val="auto"/>
          <w:sz w:val="24"/>
          <w:szCs w:val="24"/>
        </w:rPr>
        <w:t>ime she spent in the State (three years) in contrast to the brief period (two days) in Belgium</w:t>
      </w:r>
      <w:r w:rsidR="00DA5408" w:rsidRPr="00024B28">
        <w:rPr>
          <w:rFonts w:cs="Times New Roman"/>
          <w:color w:val="auto"/>
          <w:sz w:val="24"/>
          <w:szCs w:val="24"/>
        </w:rPr>
        <w:t xml:space="preserve">.” </w:t>
      </w:r>
      <w:r w:rsidR="00DA5408">
        <w:rPr>
          <w:rFonts w:cs="Times New Roman"/>
          <w:sz w:val="24"/>
          <w:szCs w:val="24"/>
        </w:rPr>
        <w:t>On that basis, it is said that the Minister erred in finding that the Applicant’s rights under Article 8(1) ECHR (Article 7 of the Charter) had not been engaged or breached.</w:t>
      </w:r>
    </w:p>
    <w:p w14:paraId="3C4853BF" w14:textId="77777777" w:rsidR="00DA5408" w:rsidRDefault="00DA5408" w:rsidP="00DA5408">
      <w:pPr>
        <w:pStyle w:val="ListParagraph"/>
        <w:autoSpaceDE w:val="0"/>
        <w:autoSpaceDN w:val="0"/>
        <w:adjustRightInd w:val="0"/>
        <w:spacing w:after="0" w:line="480" w:lineRule="auto"/>
        <w:jc w:val="both"/>
        <w:rPr>
          <w:rFonts w:cs="Times New Roman"/>
          <w:sz w:val="24"/>
          <w:szCs w:val="24"/>
        </w:rPr>
      </w:pPr>
    </w:p>
    <w:p w14:paraId="04806814" w14:textId="4D258BAD" w:rsidR="002431A4" w:rsidRDefault="009F0F53" w:rsidP="00EA21FB">
      <w:pPr>
        <w:pStyle w:val="ListParagraph"/>
        <w:numPr>
          <w:ilvl w:val="0"/>
          <w:numId w:val="1"/>
        </w:numPr>
        <w:autoSpaceDE w:val="0"/>
        <w:autoSpaceDN w:val="0"/>
        <w:adjustRightInd w:val="0"/>
        <w:spacing w:after="0" w:line="480" w:lineRule="auto"/>
        <w:ind w:hanging="720"/>
        <w:jc w:val="both"/>
        <w:rPr>
          <w:rFonts w:cs="Times New Roman"/>
          <w:sz w:val="24"/>
          <w:szCs w:val="24"/>
        </w:rPr>
      </w:pPr>
      <w:r w:rsidRPr="00607F08">
        <w:rPr>
          <w:rFonts w:cs="Times New Roman"/>
          <w:sz w:val="24"/>
          <w:szCs w:val="24"/>
        </w:rPr>
        <w:t xml:space="preserve">It is clear from the Article 17(1) Decision that the Minister did have regard to these matters. The Decision expressly notes </w:t>
      </w:r>
      <w:r w:rsidRPr="00607F08">
        <w:rPr>
          <w:rFonts w:cs="Times New Roman"/>
          <w:i/>
          <w:sz w:val="24"/>
          <w:szCs w:val="24"/>
        </w:rPr>
        <w:t xml:space="preserve">“from the representations received that the </w:t>
      </w:r>
      <w:r w:rsidRPr="00607F08">
        <w:rPr>
          <w:rFonts w:cs="Times New Roman"/>
          <w:i/>
          <w:sz w:val="24"/>
          <w:szCs w:val="24"/>
        </w:rPr>
        <w:lastRenderedPageBreak/>
        <w:t>applicant has begun to settle and has engaged in educational pursuits and has made connections in the local community</w:t>
      </w:r>
      <w:r w:rsidRPr="00607F08">
        <w:rPr>
          <w:rFonts w:cs="Times New Roman"/>
          <w:sz w:val="24"/>
          <w:szCs w:val="24"/>
        </w:rPr>
        <w:t>.” It also refers to “</w:t>
      </w:r>
      <w:r w:rsidRPr="00607F08">
        <w:rPr>
          <w:rFonts w:cs="Times New Roman"/>
          <w:i/>
          <w:sz w:val="24"/>
          <w:szCs w:val="24"/>
        </w:rPr>
        <w:t xml:space="preserve">other letters of support in respect of” </w:t>
      </w:r>
      <w:r w:rsidRPr="00607F08">
        <w:rPr>
          <w:rFonts w:cs="Times New Roman"/>
          <w:sz w:val="24"/>
          <w:szCs w:val="24"/>
        </w:rPr>
        <w:t xml:space="preserve">the Applicant. It is also clear that the Minister weighed these matters in assessing the Applicant’s contention that transfer to Belgium would involve a breach of Article 8 ECHR. In that context, the Minister clearly attached weight to the fact that the Applicant’s presence in the State was at all times precarious. </w:t>
      </w:r>
    </w:p>
    <w:p w14:paraId="346C3F78" w14:textId="77777777" w:rsidR="002431A4" w:rsidRDefault="002431A4" w:rsidP="002431A4">
      <w:pPr>
        <w:pStyle w:val="ListParagraph"/>
        <w:autoSpaceDE w:val="0"/>
        <w:autoSpaceDN w:val="0"/>
        <w:adjustRightInd w:val="0"/>
        <w:spacing w:after="0" w:line="480" w:lineRule="auto"/>
        <w:jc w:val="both"/>
        <w:rPr>
          <w:rFonts w:cs="Times New Roman"/>
          <w:sz w:val="24"/>
          <w:szCs w:val="24"/>
        </w:rPr>
      </w:pPr>
    </w:p>
    <w:p w14:paraId="45665789" w14:textId="459A8E5F" w:rsidR="00EE60D6" w:rsidRDefault="00607F08" w:rsidP="00EE60D6">
      <w:pPr>
        <w:pStyle w:val="ListParagraph"/>
        <w:numPr>
          <w:ilvl w:val="0"/>
          <w:numId w:val="1"/>
        </w:numPr>
        <w:autoSpaceDE w:val="0"/>
        <w:autoSpaceDN w:val="0"/>
        <w:adjustRightInd w:val="0"/>
        <w:spacing w:after="0" w:line="480" w:lineRule="auto"/>
        <w:ind w:hanging="720"/>
        <w:jc w:val="both"/>
        <w:rPr>
          <w:rFonts w:cs="Times New Roman"/>
          <w:sz w:val="24"/>
          <w:szCs w:val="24"/>
        </w:rPr>
      </w:pPr>
      <w:r w:rsidRPr="00607F08">
        <w:rPr>
          <w:rFonts w:cs="Times New Roman"/>
          <w:sz w:val="24"/>
          <w:szCs w:val="24"/>
        </w:rPr>
        <w:t xml:space="preserve">That aspect of the Minister’s analysis was not directly challenged on appeal but it was said that it disregarded the spirit of the observations made by Baker J at para 128 of her judgment in </w:t>
      </w:r>
      <w:r w:rsidRPr="00607F08">
        <w:rPr>
          <w:rFonts w:cs="Times New Roman"/>
          <w:i/>
          <w:sz w:val="24"/>
          <w:szCs w:val="24"/>
        </w:rPr>
        <w:t>NVU</w:t>
      </w:r>
      <w:r w:rsidRPr="00607F08">
        <w:rPr>
          <w:rFonts w:cs="Times New Roman"/>
          <w:sz w:val="24"/>
          <w:szCs w:val="24"/>
        </w:rPr>
        <w:t xml:space="preserve"> where she expressed her disagreement with the trial judge’s view that </w:t>
      </w:r>
      <w:r>
        <w:rPr>
          <w:rFonts w:cs="Times New Roman"/>
          <w:sz w:val="24"/>
          <w:szCs w:val="24"/>
        </w:rPr>
        <w:t>the decision maker had no obligation to consider the impact of Article 8 ECHR (Article 7 of the Charter)</w:t>
      </w:r>
      <w:r w:rsidR="00470B8E">
        <w:rPr>
          <w:rFonts w:cs="Times New Roman"/>
          <w:sz w:val="24"/>
          <w:szCs w:val="24"/>
        </w:rPr>
        <w:t xml:space="preserve">. Reliance is also placed on the further observations of Baker J at para 144 of </w:t>
      </w:r>
      <w:r w:rsidR="00470B8E" w:rsidRPr="00FD4CA3">
        <w:rPr>
          <w:rFonts w:cs="Times New Roman"/>
          <w:i/>
          <w:sz w:val="24"/>
          <w:szCs w:val="24"/>
        </w:rPr>
        <w:t>NVU</w:t>
      </w:r>
      <w:r w:rsidR="00470B8E">
        <w:rPr>
          <w:rFonts w:cs="Times New Roman"/>
          <w:sz w:val="24"/>
          <w:szCs w:val="24"/>
        </w:rPr>
        <w:t xml:space="preserve"> where she stated</w:t>
      </w:r>
      <w:r w:rsidR="00FD4CA3">
        <w:rPr>
          <w:rFonts w:cs="Times New Roman"/>
          <w:sz w:val="24"/>
          <w:szCs w:val="24"/>
        </w:rPr>
        <w:t xml:space="preserve"> that</w:t>
      </w:r>
      <w:r w:rsidR="00470B8E">
        <w:rPr>
          <w:rFonts w:cs="Times New Roman"/>
          <w:sz w:val="24"/>
          <w:szCs w:val="24"/>
        </w:rPr>
        <w:t xml:space="preserve"> “</w:t>
      </w:r>
      <w:r w:rsidR="00470B8E" w:rsidRPr="00470B8E">
        <w:rPr>
          <w:rFonts w:cs="Times New Roman"/>
          <w:i/>
          <w:sz w:val="24"/>
          <w:szCs w:val="24"/>
        </w:rPr>
        <w:t>fundamental rights, whether they be derived from the Charter or the ECHR, are to be engaged wherever circumstances demand.”</w:t>
      </w:r>
      <w:r w:rsidR="00470B8E">
        <w:rPr>
          <w:rFonts w:cs="Times New Roman"/>
          <w:sz w:val="24"/>
          <w:szCs w:val="24"/>
        </w:rPr>
        <w:t xml:space="preserve"> As regards the exercise of the Article 17(1) discretion by the Minister (as opposed to the exercise by IPO and IPAT of their functions under Dublin III), those observations must </w:t>
      </w:r>
      <w:r w:rsidR="00C275DB">
        <w:rPr>
          <w:rFonts w:cs="Times New Roman"/>
          <w:sz w:val="24"/>
          <w:szCs w:val="24"/>
        </w:rPr>
        <w:t xml:space="preserve">now </w:t>
      </w:r>
      <w:r w:rsidR="00470B8E">
        <w:rPr>
          <w:rFonts w:cs="Times New Roman"/>
          <w:sz w:val="24"/>
          <w:szCs w:val="24"/>
        </w:rPr>
        <w:t>be read subject to the</w:t>
      </w:r>
      <w:r w:rsidR="00FD4CA3">
        <w:rPr>
          <w:rFonts w:cs="Times New Roman"/>
          <w:sz w:val="24"/>
          <w:szCs w:val="24"/>
        </w:rPr>
        <w:t xml:space="preserve"> further</w:t>
      </w:r>
      <w:r w:rsidR="00470B8E">
        <w:rPr>
          <w:rFonts w:cs="Times New Roman"/>
          <w:sz w:val="24"/>
          <w:szCs w:val="24"/>
        </w:rPr>
        <w:t xml:space="preserve"> </w:t>
      </w:r>
      <w:r w:rsidR="00EE60D6">
        <w:rPr>
          <w:rFonts w:cs="Times New Roman"/>
          <w:sz w:val="24"/>
          <w:szCs w:val="24"/>
        </w:rPr>
        <w:t xml:space="preserve">observations of Charleton J for </w:t>
      </w:r>
      <w:r w:rsidR="00470B8E">
        <w:rPr>
          <w:rFonts w:cs="Times New Roman"/>
          <w:sz w:val="24"/>
          <w:szCs w:val="24"/>
        </w:rPr>
        <w:t xml:space="preserve">the Supreme Court on appeal. </w:t>
      </w:r>
      <w:r w:rsidR="002C4E8F">
        <w:rPr>
          <w:rFonts w:cs="Times New Roman"/>
          <w:sz w:val="24"/>
          <w:szCs w:val="24"/>
        </w:rPr>
        <w:t xml:space="preserve">In any event, however, </w:t>
      </w:r>
      <w:r w:rsidR="002431A4">
        <w:rPr>
          <w:rFonts w:cs="Times New Roman"/>
          <w:sz w:val="24"/>
          <w:szCs w:val="24"/>
        </w:rPr>
        <w:t xml:space="preserve">the Minister </w:t>
      </w:r>
      <w:r w:rsidR="00470B8E">
        <w:rPr>
          <w:rFonts w:cs="Times New Roman"/>
          <w:sz w:val="24"/>
          <w:szCs w:val="24"/>
        </w:rPr>
        <w:t>manifestly</w:t>
      </w:r>
      <w:r w:rsidR="002431A4">
        <w:rPr>
          <w:rFonts w:cs="Times New Roman"/>
          <w:sz w:val="24"/>
          <w:szCs w:val="24"/>
        </w:rPr>
        <w:t xml:space="preserve"> </w:t>
      </w:r>
      <w:r w:rsidR="002431A4" w:rsidRPr="00470B8E">
        <w:rPr>
          <w:rFonts w:cs="Times New Roman"/>
          <w:i/>
          <w:sz w:val="24"/>
          <w:szCs w:val="24"/>
        </w:rPr>
        <w:t>did</w:t>
      </w:r>
      <w:r w:rsidR="002431A4">
        <w:rPr>
          <w:rFonts w:cs="Times New Roman"/>
          <w:sz w:val="24"/>
          <w:szCs w:val="24"/>
        </w:rPr>
        <w:t xml:space="preserve"> consider the impact of Article 8. </w:t>
      </w:r>
      <w:r w:rsidR="00470B8E">
        <w:rPr>
          <w:rFonts w:cs="Times New Roman"/>
          <w:sz w:val="24"/>
          <w:szCs w:val="24"/>
        </w:rPr>
        <w:t xml:space="preserve">At issue here, on the Applicant’s case, was her right to respect for her private life (no reliance </w:t>
      </w:r>
      <w:r w:rsidR="00EA440B">
        <w:rPr>
          <w:rFonts w:cs="Times New Roman"/>
          <w:sz w:val="24"/>
          <w:szCs w:val="24"/>
        </w:rPr>
        <w:t>being</w:t>
      </w:r>
      <w:r w:rsidR="00470B8E">
        <w:rPr>
          <w:rFonts w:cs="Times New Roman"/>
          <w:sz w:val="24"/>
          <w:szCs w:val="24"/>
        </w:rPr>
        <w:t xml:space="preserve"> placed on family life) and the Minister’s assessment was entirely consistent with the Strasbourg jurisprudence</w:t>
      </w:r>
      <w:r w:rsidR="00EE60D6">
        <w:rPr>
          <w:rFonts w:cs="Times New Roman"/>
          <w:sz w:val="24"/>
          <w:szCs w:val="24"/>
        </w:rPr>
        <w:t xml:space="preserve">: see, by way of example, the Strasbourg Court’s decision in </w:t>
      </w:r>
      <w:r w:rsidR="00EE60D6" w:rsidRPr="00EE60D6">
        <w:rPr>
          <w:rFonts w:cs="Times New Roman"/>
          <w:i/>
          <w:sz w:val="24"/>
          <w:szCs w:val="24"/>
        </w:rPr>
        <w:t>Nnyanzi v United Kingdom</w:t>
      </w:r>
      <w:r w:rsidR="00EE60D6">
        <w:rPr>
          <w:rFonts w:cs="Times New Roman"/>
          <w:sz w:val="24"/>
          <w:szCs w:val="24"/>
        </w:rPr>
        <w:t xml:space="preserve"> (2008</w:t>
      </w:r>
      <w:r w:rsidR="0024196F">
        <w:rPr>
          <w:rFonts w:cs="Times New Roman"/>
          <w:sz w:val="24"/>
          <w:szCs w:val="24"/>
        </w:rPr>
        <w:t>)</w:t>
      </w:r>
      <w:r w:rsidR="00EE60D6">
        <w:rPr>
          <w:rFonts w:cs="Times New Roman"/>
          <w:sz w:val="24"/>
          <w:szCs w:val="24"/>
        </w:rPr>
        <w:t xml:space="preserve"> 47 EHRR 18, at paras 72-78.  </w:t>
      </w:r>
      <w:r w:rsidR="007A2772">
        <w:rPr>
          <w:rFonts w:cs="Times New Roman"/>
          <w:sz w:val="24"/>
          <w:szCs w:val="24"/>
        </w:rPr>
        <w:t>Even assuming that the ties that the Applicant had established since her arrival in the State constitute</w:t>
      </w:r>
      <w:r w:rsidR="002C4E8F">
        <w:rPr>
          <w:rFonts w:cs="Times New Roman"/>
          <w:sz w:val="24"/>
          <w:szCs w:val="24"/>
        </w:rPr>
        <w:t>d</w:t>
      </w:r>
      <w:r w:rsidR="007A2772">
        <w:rPr>
          <w:rFonts w:cs="Times New Roman"/>
          <w:sz w:val="24"/>
          <w:szCs w:val="24"/>
        </w:rPr>
        <w:t xml:space="preserve"> private life within the meaning of Article 8</w:t>
      </w:r>
      <w:r w:rsidR="00F40A67">
        <w:rPr>
          <w:rFonts w:cs="Times New Roman"/>
          <w:sz w:val="24"/>
          <w:szCs w:val="24"/>
        </w:rPr>
        <w:t xml:space="preserve">(1) ECHR, given that her </w:t>
      </w:r>
      <w:r w:rsidR="00F40A67">
        <w:rPr>
          <w:rFonts w:cs="Times New Roman"/>
          <w:sz w:val="24"/>
          <w:szCs w:val="24"/>
        </w:rPr>
        <w:lastRenderedPageBreak/>
        <w:t>proposed removal to Belgium was “</w:t>
      </w:r>
      <w:r w:rsidR="00F40A67" w:rsidRPr="00F40A67">
        <w:rPr>
          <w:rFonts w:cs="Times New Roman"/>
          <w:i/>
          <w:sz w:val="24"/>
          <w:szCs w:val="24"/>
        </w:rPr>
        <w:t>in accordance with law</w:t>
      </w:r>
      <w:r w:rsidR="00F40A67">
        <w:rPr>
          <w:rFonts w:cs="Times New Roman"/>
          <w:sz w:val="24"/>
          <w:szCs w:val="24"/>
        </w:rPr>
        <w:t>”</w:t>
      </w:r>
      <w:r w:rsidR="00095017">
        <w:rPr>
          <w:rFonts w:cs="Times New Roman"/>
          <w:sz w:val="24"/>
          <w:szCs w:val="24"/>
        </w:rPr>
        <w:t xml:space="preserve"> (</w:t>
      </w:r>
      <w:r w:rsidR="00F40A67">
        <w:rPr>
          <w:rFonts w:cs="Times New Roman"/>
          <w:sz w:val="24"/>
          <w:szCs w:val="24"/>
        </w:rPr>
        <w:t>the provisions of Dublin III and of the 2018 Regulations</w:t>
      </w:r>
      <w:r w:rsidR="00095017">
        <w:rPr>
          <w:rFonts w:cs="Times New Roman"/>
          <w:sz w:val="24"/>
          <w:szCs w:val="24"/>
        </w:rPr>
        <w:t>)</w:t>
      </w:r>
      <w:r w:rsidR="00F40A67">
        <w:rPr>
          <w:rFonts w:cs="Times New Roman"/>
          <w:sz w:val="24"/>
          <w:szCs w:val="24"/>
        </w:rPr>
        <w:t xml:space="preserve"> and was motivated by a legitimate aim </w:t>
      </w:r>
      <w:r w:rsidR="00095017">
        <w:rPr>
          <w:rFonts w:cs="Times New Roman"/>
          <w:sz w:val="24"/>
          <w:szCs w:val="24"/>
        </w:rPr>
        <w:t>(</w:t>
      </w:r>
      <w:r w:rsidR="00F40A67">
        <w:rPr>
          <w:rFonts w:cs="Times New Roman"/>
          <w:sz w:val="24"/>
          <w:szCs w:val="24"/>
        </w:rPr>
        <w:t>the</w:t>
      </w:r>
      <w:r w:rsidR="00095017">
        <w:rPr>
          <w:rFonts w:cs="Times New Roman"/>
          <w:sz w:val="24"/>
          <w:szCs w:val="24"/>
        </w:rPr>
        <w:t xml:space="preserve"> </w:t>
      </w:r>
      <w:r w:rsidR="00F40A67">
        <w:rPr>
          <w:rFonts w:cs="Times New Roman"/>
          <w:sz w:val="24"/>
          <w:szCs w:val="24"/>
        </w:rPr>
        <w:t>operation of the Dublin system</w:t>
      </w:r>
      <w:r w:rsidR="00095017">
        <w:rPr>
          <w:rFonts w:cs="Times New Roman"/>
          <w:sz w:val="24"/>
          <w:szCs w:val="24"/>
        </w:rPr>
        <w:t xml:space="preserve">) </w:t>
      </w:r>
      <w:r w:rsidR="00F40A67">
        <w:rPr>
          <w:rFonts w:cs="Times New Roman"/>
          <w:sz w:val="24"/>
          <w:szCs w:val="24"/>
        </w:rPr>
        <w:t xml:space="preserve"> </w:t>
      </w:r>
      <w:r w:rsidR="00095017">
        <w:rPr>
          <w:rFonts w:cs="Times New Roman"/>
          <w:sz w:val="24"/>
          <w:szCs w:val="24"/>
        </w:rPr>
        <w:t>and having regard to the fact that the Applicant was not a settled migrant and had never been granted a right to remain in the State, the Minister was entitled to conclude that her removal to Belgium would not constitute any disproportionate interference with the Applicant’s private life (</w:t>
      </w:r>
      <w:r w:rsidR="00095017" w:rsidRPr="00EE60D6">
        <w:rPr>
          <w:rFonts w:cs="Times New Roman"/>
          <w:i/>
          <w:sz w:val="24"/>
          <w:szCs w:val="24"/>
        </w:rPr>
        <w:t>Nnyanzi</w:t>
      </w:r>
      <w:r w:rsidR="00095017">
        <w:rPr>
          <w:rFonts w:cs="Times New Roman"/>
          <w:sz w:val="24"/>
          <w:szCs w:val="24"/>
        </w:rPr>
        <w:t>, para 62).</w:t>
      </w:r>
      <w:r w:rsidR="00AC7FE2">
        <w:rPr>
          <w:rFonts w:cs="Times New Roman"/>
          <w:sz w:val="24"/>
          <w:szCs w:val="24"/>
        </w:rPr>
        <w:t xml:space="preserve"> The applicant in </w:t>
      </w:r>
      <w:r w:rsidR="00AC7FE2" w:rsidRPr="00EE60D6">
        <w:rPr>
          <w:rFonts w:cs="Times New Roman"/>
          <w:i/>
          <w:sz w:val="24"/>
          <w:szCs w:val="24"/>
        </w:rPr>
        <w:t>Nnyanzi</w:t>
      </w:r>
      <w:r w:rsidR="00AC7FE2">
        <w:rPr>
          <w:rFonts w:cs="Times New Roman"/>
          <w:sz w:val="24"/>
          <w:szCs w:val="24"/>
        </w:rPr>
        <w:t xml:space="preserve"> had lived in the UK for almost 10 years. Even </w:t>
      </w:r>
      <w:r w:rsidR="0024196F">
        <w:rPr>
          <w:rFonts w:cs="Times New Roman"/>
          <w:sz w:val="24"/>
          <w:szCs w:val="24"/>
        </w:rPr>
        <w:t>in the context of</w:t>
      </w:r>
      <w:r w:rsidR="00AC7FE2">
        <w:rPr>
          <w:rFonts w:cs="Times New Roman"/>
          <w:sz w:val="24"/>
          <w:szCs w:val="24"/>
        </w:rPr>
        <w:t xml:space="preserve"> family life,</w:t>
      </w:r>
      <w:r w:rsidR="0024196F">
        <w:rPr>
          <w:rFonts w:cs="Times New Roman"/>
          <w:sz w:val="24"/>
          <w:szCs w:val="24"/>
        </w:rPr>
        <w:t xml:space="preserve"> it is</w:t>
      </w:r>
      <w:r w:rsidR="00AC7FE2">
        <w:rPr>
          <w:rFonts w:cs="Times New Roman"/>
          <w:sz w:val="24"/>
          <w:szCs w:val="24"/>
        </w:rPr>
        <w:t xml:space="preserve"> the Strasbourg Court’s “</w:t>
      </w:r>
      <w:r w:rsidR="00AC7FE2" w:rsidRPr="0024196F">
        <w:rPr>
          <w:rFonts w:cs="Times New Roman"/>
          <w:i/>
          <w:sz w:val="24"/>
          <w:szCs w:val="24"/>
        </w:rPr>
        <w:t>well-established case law</w:t>
      </w:r>
      <w:r w:rsidR="0024196F">
        <w:rPr>
          <w:rFonts w:cs="Times New Roman"/>
          <w:i/>
          <w:sz w:val="24"/>
          <w:szCs w:val="24"/>
        </w:rPr>
        <w:t xml:space="preserve">” </w:t>
      </w:r>
      <w:r w:rsidR="0024196F">
        <w:rPr>
          <w:rFonts w:cs="Times New Roman"/>
          <w:sz w:val="24"/>
          <w:szCs w:val="24"/>
        </w:rPr>
        <w:t>that, where the family life relied on was established while the immigration status of the non-national family member was precarious “</w:t>
      </w:r>
      <w:r w:rsidR="0024196F" w:rsidRPr="0024196F">
        <w:rPr>
          <w:rFonts w:cs="Times New Roman"/>
          <w:i/>
          <w:sz w:val="24"/>
          <w:szCs w:val="24"/>
        </w:rPr>
        <w:t>it is likely to be only in exceptional circumstances that the removal of the non-national family member will constitute a violation of art 8</w:t>
      </w:r>
      <w:r w:rsidR="0024196F">
        <w:rPr>
          <w:rFonts w:cs="Times New Roman"/>
          <w:sz w:val="24"/>
          <w:szCs w:val="24"/>
        </w:rPr>
        <w:t>” (</w:t>
      </w:r>
      <w:r w:rsidR="0024196F" w:rsidRPr="0024196F">
        <w:rPr>
          <w:rFonts w:cs="Times New Roman"/>
          <w:i/>
          <w:sz w:val="24"/>
          <w:szCs w:val="24"/>
        </w:rPr>
        <w:t>AS v Switzerland</w:t>
      </w:r>
      <w:r w:rsidR="0024196F">
        <w:rPr>
          <w:rFonts w:cs="Times New Roman"/>
          <w:sz w:val="24"/>
          <w:szCs w:val="24"/>
        </w:rPr>
        <w:t xml:space="preserve"> (2017) 65 EHRR 12, para 48)</w:t>
      </w:r>
      <w:r w:rsidR="00716FC9">
        <w:rPr>
          <w:rFonts w:cs="Times New Roman"/>
          <w:sz w:val="24"/>
          <w:szCs w:val="24"/>
        </w:rPr>
        <w:t>.</w:t>
      </w:r>
      <w:r w:rsidR="002C4E8F">
        <w:rPr>
          <w:rFonts w:cs="Times New Roman"/>
          <w:sz w:val="24"/>
          <w:szCs w:val="24"/>
        </w:rPr>
        <w:t xml:space="preserve"> The Minister clearly considered that there were no such “</w:t>
      </w:r>
      <w:r w:rsidR="002C4E8F" w:rsidRPr="002C4E8F">
        <w:rPr>
          <w:rFonts w:cs="Times New Roman"/>
          <w:i/>
          <w:sz w:val="24"/>
          <w:szCs w:val="24"/>
        </w:rPr>
        <w:t>exceptional circumstances</w:t>
      </w:r>
      <w:r w:rsidR="002C4E8F">
        <w:rPr>
          <w:rFonts w:cs="Times New Roman"/>
          <w:sz w:val="24"/>
          <w:szCs w:val="24"/>
        </w:rPr>
        <w:t>” here and the Applicant has not demonstrated any error in that assessment.</w:t>
      </w:r>
    </w:p>
    <w:p w14:paraId="21DF06D6" w14:textId="77777777" w:rsidR="00716FC9" w:rsidRPr="00716FC9" w:rsidRDefault="00716FC9" w:rsidP="00716FC9">
      <w:pPr>
        <w:pStyle w:val="ListParagraph"/>
        <w:autoSpaceDE w:val="0"/>
        <w:autoSpaceDN w:val="0"/>
        <w:adjustRightInd w:val="0"/>
        <w:spacing w:after="0" w:line="480" w:lineRule="auto"/>
        <w:jc w:val="both"/>
        <w:rPr>
          <w:rFonts w:cs="Times New Roman"/>
          <w:sz w:val="24"/>
          <w:szCs w:val="24"/>
        </w:rPr>
      </w:pPr>
    </w:p>
    <w:p w14:paraId="6873F0BD" w14:textId="4828E2AA" w:rsidR="00EE60D6" w:rsidRDefault="00EE60D6" w:rsidP="00EA21FB">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 xml:space="preserve">Again, it </w:t>
      </w:r>
      <w:r w:rsidR="00C275DB">
        <w:rPr>
          <w:rFonts w:cs="Times New Roman"/>
          <w:sz w:val="24"/>
          <w:szCs w:val="24"/>
        </w:rPr>
        <w:t>is</w:t>
      </w:r>
      <w:r>
        <w:rPr>
          <w:rFonts w:cs="Times New Roman"/>
          <w:sz w:val="24"/>
          <w:szCs w:val="24"/>
        </w:rPr>
        <w:t xml:space="preserve"> suggested that the Minister </w:t>
      </w:r>
      <w:r w:rsidR="00C07BEC">
        <w:rPr>
          <w:rFonts w:cs="Times New Roman"/>
          <w:sz w:val="24"/>
          <w:szCs w:val="24"/>
        </w:rPr>
        <w:t xml:space="preserve">took an unduly legalistic approach to the Article 8 ground and did not have regard to the issue within the context of humanitarian considerations. </w:t>
      </w:r>
      <w:r w:rsidR="00C275DB">
        <w:rPr>
          <w:rFonts w:cs="Times New Roman"/>
          <w:sz w:val="24"/>
          <w:szCs w:val="24"/>
        </w:rPr>
        <w:t>Once a</w:t>
      </w:r>
      <w:r w:rsidR="00C07BEC">
        <w:rPr>
          <w:rFonts w:cs="Times New Roman"/>
          <w:sz w:val="24"/>
          <w:szCs w:val="24"/>
        </w:rPr>
        <w:t>gain, I see no force in that suggestion. The Minister is not to be criticised for engaging with th</w:t>
      </w:r>
      <w:r w:rsidR="00716FC9">
        <w:rPr>
          <w:rFonts w:cs="Times New Roman"/>
          <w:sz w:val="24"/>
          <w:szCs w:val="24"/>
        </w:rPr>
        <w:t>is</w:t>
      </w:r>
      <w:r w:rsidR="00C07BEC">
        <w:rPr>
          <w:rFonts w:cs="Times New Roman"/>
          <w:sz w:val="24"/>
          <w:szCs w:val="24"/>
        </w:rPr>
        <w:t xml:space="preserve"> issue in the terms and on the basis on which it was </w:t>
      </w:r>
      <w:r w:rsidR="00716FC9">
        <w:rPr>
          <w:rFonts w:cs="Times New Roman"/>
          <w:sz w:val="24"/>
          <w:szCs w:val="24"/>
        </w:rPr>
        <w:t xml:space="preserve">actually </w:t>
      </w:r>
      <w:r w:rsidR="00C07BEC">
        <w:rPr>
          <w:rFonts w:cs="Times New Roman"/>
          <w:sz w:val="24"/>
          <w:szCs w:val="24"/>
        </w:rPr>
        <w:t>advanced by the Applicant. The Applicant asserted that transfer to Belgium would breach her Article 8 rights. The Minister examined and re</w:t>
      </w:r>
      <w:r w:rsidR="00DE6B6F">
        <w:rPr>
          <w:rFonts w:cs="Times New Roman"/>
          <w:sz w:val="24"/>
          <w:szCs w:val="24"/>
        </w:rPr>
        <w:t>j</w:t>
      </w:r>
      <w:r w:rsidR="00C07BEC">
        <w:rPr>
          <w:rFonts w:cs="Times New Roman"/>
          <w:sz w:val="24"/>
          <w:szCs w:val="24"/>
        </w:rPr>
        <w:t>ect</w:t>
      </w:r>
      <w:r w:rsidR="00DE6B6F">
        <w:rPr>
          <w:rFonts w:cs="Times New Roman"/>
          <w:sz w:val="24"/>
          <w:szCs w:val="24"/>
        </w:rPr>
        <w:t>ed</w:t>
      </w:r>
      <w:r w:rsidR="00C07BEC">
        <w:rPr>
          <w:rFonts w:cs="Times New Roman"/>
          <w:sz w:val="24"/>
          <w:szCs w:val="24"/>
        </w:rPr>
        <w:t xml:space="preserve"> that assertion</w:t>
      </w:r>
      <w:r w:rsidR="00DE6B6F">
        <w:rPr>
          <w:rFonts w:cs="Times New Roman"/>
          <w:sz w:val="24"/>
          <w:szCs w:val="24"/>
        </w:rPr>
        <w:t xml:space="preserve">. In any event, as I  have already noted, the first paragraph of the Decision makes it clear that the Minister correctly understood that what </w:t>
      </w:r>
      <w:r w:rsidR="00677E69">
        <w:rPr>
          <w:rFonts w:cs="Times New Roman"/>
          <w:sz w:val="24"/>
          <w:szCs w:val="24"/>
        </w:rPr>
        <w:t>s</w:t>
      </w:r>
      <w:r w:rsidR="00DE6B6F">
        <w:rPr>
          <w:rFonts w:cs="Times New Roman"/>
          <w:sz w:val="24"/>
          <w:szCs w:val="24"/>
        </w:rPr>
        <w:t>he was being asked to decide was whether there was “</w:t>
      </w:r>
      <w:r w:rsidR="00DE6B6F" w:rsidRPr="001915F1">
        <w:rPr>
          <w:rFonts w:cs="Times New Roman"/>
          <w:i/>
          <w:sz w:val="24"/>
          <w:szCs w:val="24"/>
        </w:rPr>
        <w:t>any humanitarian or compassionate grounds</w:t>
      </w:r>
      <w:r w:rsidR="00DE6B6F">
        <w:rPr>
          <w:rFonts w:cs="Times New Roman"/>
          <w:sz w:val="24"/>
          <w:szCs w:val="24"/>
        </w:rPr>
        <w:t xml:space="preserve">” such that she should </w:t>
      </w:r>
      <w:r w:rsidR="00DE6B6F">
        <w:rPr>
          <w:rFonts w:cs="Times New Roman"/>
          <w:sz w:val="24"/>
          <w:szCs w:val="24"/>
        </w:rPr>
        <w:lastRenderedPageBreak/>
        <w:t>invoke Article 17(1).</w:t>
      </w:r>
      <w:r w:rsidR="00716FC9">
        <w:rPr>
          <w:rFonts w:cs="Times New Roman"/>
          <w:sz w:val="24"/>
          <w:szCs w:val="24"/>
        </w:rPr>
        <w:t xml:space="preserve"> She took the view that the Applicant’s ties to the State did not justify the invocation of Article 17(1) and </w:t>
      </w:r>
      <w:r w:rsidR="009A0BF5">
        <w:rPr>
          <w:rFonts w:cs="Times New Roman"/>
          <w:sz w:val="24"/>
          <w:szCs w:val="24"/>
        </w:rPr>
        <w:t>in my view the Applicant has failed to demonstrate any error of assessment by the Minister.</w:t>
      </w:r>
    </w:p>
    <w:p w14:paraId="68638D2B" w14:textId="77777777" w:rsidR="00DE6B6F" w:rsidRDefault="00DE6B6F" w:rsidP="00DE6B6F">
      <w:pPr>
        <w:pStyle w:val="ListParagraph"/>
        <w:autoSpaceDE w:val="0"/>
        <w:autoSpaceDN w:val="0"/>
        <w:adjustRightInd w:val="0"/>
        <w:spacing w:after="0" w:line="480" w:lineRule="auto"/>
        <w:jc w:val="both"/>
        <w:rPr>
          <w:rFonts w:cs="Times New Roman"/>
          <w:sz w:val="24"/>
          <w:szCs w:val="24"/>
        </w:rPr>
      </w:pPr>
    </w:p>
    <w:p w14:paraId="78330FD5" w14:textId="6550591F" w:rsidR="00DE6B6F" w:rsidRPr="004C50D1" w:rsidRDefault="00DE6B6F" w:rsidP="00EA21FB">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In the Applicant’s written and oral submissions to this Court, the focus of this aspect of her challenge to the Article 17 Decision shifted. It was said that the Minister failed to have any adequate regard to the period of time that the Applicant had spent in the State and to the fact that this was the result of delay on the part of IPAT in determining her appeal from the transfer decision. That delay was, it was said, inconsistent with the fundamental objectives of the Dublin system</w:t>
      </w:r>
      <w:r w:rsidR="004C50D1">
        <w:rPr>
          <w:rFonts w:cs="Times New Roman"/>
          <w:sz w:val="24"/>
          <w:szCs w:val="24"/>
        </w:rPr>
        <w:t>. Reference was made in this context to what was characterised as the “</w:t>
      </w:r>
      <w:r w:rsidR="004C50D1" w:rsidRPr="004C50D1">
        <w:rPr>
          <w:rFonts w:cs="Times New Roman"/>
          <w:i/>
          <w:sz w:val="24"/>
          <w:szCs w:val="24"/>
        </w:rPr>
        <w:t>admonition”</w:t>
      </w:r>
      <w:r w:rsidR="004C50D1">
        <w:rPr>
          <w:rFonts w:cs="Times New Roman"/>
          <w:sz w:val="24"/>
          <w:szCs w:val="24"/>
        </w:rPr>
        <w:t xml:space="preserve"> in </w:t>
      </w:r>
      <w:r w:rsidR="004C50D1" w:rsidRPr="004C50D1">
        <w:rPr>
          <w:rFonts w:cs="Times New Roman"/>
          <w:i/>
          <w:sz w:val="24"/>
          <w:szCs w:val="24"/>
        </w:rPr>
        <w:t>NS</w:t>
      </w:r>
      <w:r w:rsidR="004C50D1">
        <w:rPr>
          <w:rFonts w:cs="Times New Roman"/>
          <w:sz w:val="24"/>
          <w:szCs w:val="24"/>
        </w:rPr>
        <w:t xml:space="preserve"> to the effect that Member States should not</w:t>
      </w:r>
      <w:r w:rsidR="004C50D1" w:rsidRPr="004C50D1">
        <w:rPr>
          <w:rFonts w:cs="Times New Roman"/>
          <w:i/>
          <w:sz w:val="24"/>
          <w:szCs w:val="24"/>
        </w:rPr>
        <w:t xml:space="preserve"> “worsen a situation where the fundamental rights of that applicant by using a procedure for determining the Member State responsible which takes an unreasonable length of time.” </w:t>
      </w:r>
    </w:p>
    <w:p w14:paraId="3DA2E775" w14:textId="77777777" w:rsidR="004C50D1" w:rsidRPr="004C50D1" w:rsidRDefault="004C50D1" w:rsidP="004C50D1">
      <w:pPr>
        <w:pStyle w:val="ListParagraph"/>
        <w:autoSpaceDE w:val="0"/>
        <w:autoSpaceDN w:val="0"/>
        <w:adjustRightInd w:val="0"/>
        <w:spacing w:after="0" w:line="480" w:lineRule="auto"/>
        <w:jc w:val="both"/>
        <w:rPr>
          <w:rFonts w:cs="Times New Roman"/>
          <w:sz w:val="24"/>
          <w:szCs w:val="24"/>
        </w:rPr>
      </w:pPr>
    </w:p>
    <w:p w14:paraId="52D0A469" w14:textId="439BEF09" w:rsidR="005C1296" w:rsidRDefault="004C50D1" w:rsidP="00EA21FB">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 xml:space="preserve">As </w:t>
      </w:r>
      <w:r w:rsidR="00C275DB">
        <w:rPr>
          <w:rFonts w:cs="Times New Roman"/>
          <w:sz w:val="24"/>
          <w:szCs w:val="24"/>
        </w:rPr>
        <w:t>Counsel for the Minister</w:t>
      </w:r>
      <w:r>
        <w:rPr>
          <w:rFonts w:cs="Times New Roman"/>
          <w:sz w:val="24"/>
          <w:szCs w:val="24"/>
        </w:rPr>
        <w:t xml:space="preserve"> observed, no argument in these terms was made to the Minister. However, I do not think that it adds anything of substance in any event. The Minister was clearly aware of the period of time that the Applicant had spent in the State and was also clearly aware of </w:t>
      </w:r>
      <w:r w:rsidR="00A66E4D">
        <w:rPr>
          <w:rFonts w:cs="Times New Roman"/>
          <w:sz w:val="24"/>
          <w:szCs w:val="24"/>
        </w:rPr>
        <w:t xml:space="preserve">how long her appeal to IPAT had taken. All of that information was set out in the application letter and </w:t>
      </w:r>
      <w:r w:rsidR="005C1296">
        <w:rPr>
          <w:rFonts w:cs="Times New Roman"/>
          <w:sz w:val="24"/>
          <w:szCs w:val="24"/>
        </w:rPr>
        <w:t xml:space="preserve">was </w:t>
      </w:r>
      <w:r w:rsidR="006F67A9">
        <w:rPr>
          <w:rFonts w:cs="Times New Roman"/>
          <w:sz w:val="24"/>
          <w:szCs w:val="24"/>
        </w:rPr>
        <w:t xml:space="preserve">otherwise available to </w:t>
      </w:r>
      <w:r w:rsidR="00A66E4D">
        <w:rPr>
          <w:rFonts w:cs="Times New Roman"/>
          <w:sz w:val="24"/>
          <w:szCs w:val="24"/>
        </w:rPr>
        <w:t>the Minister</w:t>
      </w:r>
      <w:r w:rsidR="006F67A9">
        <w:rPr>
          <w:rFonts w:cs="Times New Roman"/>
          <w:sz w:val="24"/>
          <w:szCs w:val="24"/>
        </w:rPr>
        <w:t xml:space="preserve"> in any event</w:t>
      </w:r>
      <w:r w:rsidR="007730DC">
        <w:rPr>
          <w:rFonts w:cs="Times New Roman"/>
          <w:sz w:val="24"/>
          <w:szCs w:val="24"/>
        </w:rPr>
        <w:t xml:space="preserve">. As for the </w:t>
      </w:r>
      <w:r w:rsidR="007730DC" w:rsidRPr="007730DC">
        <w:rPr>
          <w:rFonts w:cs="Times New Roman"/>
          <w:i/>
          <w:sz w:val="24"/>
          <w:szCs w:val="24"/>
        </w:rPr>
        <w:t>NS</w:t>
      </w:r>
      <w:r w:rsidR="007730DC">
        <w:rPr>
          <w:rFonts w:cs="Times New Roman"/>
          <w:sz w:val="24"/>
          <w:szCs w:val="24"/>
        </w:rPr>
        <w:t xml:space="preserve"> “</w:t>
      </w:r>
      <w:r w:rsidR="007730DC" w:rsidRPr="007730DC">
        <w:rPr>
          <w:rFonts w:cs="Times New Roman"/>
          <w:i/>
          <w:sz w:val="24"/>
          <w:szCs w:val="24"/>
        </w:rPr>
        <w:t>admonition</w:t>
      </w:r>
      <w:r w:rsidR="007730DC">
        <w:rPr>
          <w:rFonts w:cs="Times New Roman"/>
          <w:sz w:val="24"/>
          <w:szCs w:val="24"/>
        </w:rPr>
        <w:t xml:space="preserve">”, </w:t>
      </w:r>
      <w:r w:rsidR="007730DC" w:rsidRPr="007730DC">
        <w:rPr>
          <w:rFonts w:cs="Times New Roman"/>
          <w:i/>
          <w:sz w:val="24"/>
          <w:szCs w:val="24"/>
        </w:rPr>
        <w:t>NS</w:t>
      </w:r>
      <w:r w:rsidR="007730DC">
        <w:rPr>
          <w:rFonts w:cs="Times New Roman"/>
          <w:sz w:val="24"/>
          <w:szCs w:val="24"/>
        </w:rPr>
        <w:t xml:space="preserve"> was not brought to the attention of the Minister. Even if that </w:t>
      </w:r>
      <w:r w:rsidR="00B23E1F">
        <w:rPr>
          <w:rFonts w:cs="Times New Roman"/>
          <w:sz w:val="24"/>
          <w:szCs w:val="24"/>
        </w:rPr>
        <w:t xml:space="preserve">fact </w:t>
      </w:r>
      <w:r w:rsidR="007730DC">
        <w:rPr>
          <w:rFonts w:cs="Times New Roman"/>
          <w:sz w:val="24"/>
          <w:szCs w:val="24"/>
        </w:rPr>
        <w:t xml:space="preserve">is </w:t>
      </w:r>
      <w:r w:rsidR="00FD4CA3">
        <w:rPr>
          <w:rFonts w:cs="Times New Roman"/>
          <w:sz w:val="24"/>
          <w:szCs w:val="24"/>
        </w:rPr>
        <w:t>to be overlooked</w:t>
      </w:r>
      <w:r w:rsidR="007730DC">
        <w:rPr>
          <w:rFonts w:cs="Times New Roman"/>
          <w:sz w:val="24"/>
          <w:szCs w:val="24"/>
        </w:rPr>
        <w:t xml:space="preserve">, it </w:t>
      </w:r>
      <w:r w:rsidR="00B23E1F">
        <w:rPr>
          <w:rFonts w:cs="Times New Roman"/>
          <w:sz w:val="24"/>
          <w:szCs w:val="24"/>
        </w:rPr>
        <w:t>appears</w:t>
      </w:r>
      <w:r w:rsidR="007730DC">
        <w:rPr>
          <w:rFonts w:cs="Times New Roman"/>
          <w:sz w:val="24"/>
          <w:szCs w:val="24"/>
        </w:rPr>
        <w:t xml:space="preserve"> to me that </w:t>
      </w:r>
      <w:r w:rsidR="007730DC" w:rsidRPr="007730DC">
        <w:rPr>
          <w:rFonts w:cs="Times New Roman"/>
          <w:i/>
          <w:sz w:val="24"/>
          <w:szCs w:val="24"/>
        </w:rPr>
        <w:t>NS</w:t>
      </w:r>
      <w:r w:rsidR="007730DC">
        <w:rPr>
          <w:rFonts w:cs="Times New Roman"/>
          <w:sz w:val="24"/>
          <w:szCs w:val="24"/>
        </w:rPr>
        <w:t xml:space="preserve"> is of limited relevance in this context. As I have </w:t>
      </w:r>
      <w:r w:rsidR="0005452E">
        <w:rPr>
          <w:rFonts w:cs="Times New Roman"/>
          <w:sz w:val="24"/>
          <w:szCs w:val="24"/>
        </w:rPr>
        <w:t>said</w:t>
      </w:r>
      <w:r w:rsidR="007730DC">
        <w:rPr>
          <w:rFonts w:cs="Times New Roman"/>
          <w:sz w:val="24"/>
          <w:szCs w:val="24"/>
        </w:rPr>
        <w:t xml:space="preserve">, there are statements in </w:t>
      </w:r>
      <w:r w:rsidR="007730DC" w:rsidRPr="007730DC">
        <w:rPr>
          <w:rFonts w:cs="Times New Roman"/>
          <w:i/>
          <w:sz w:val="24"/>
          <w:szCs w:val="24"/>
        </w:rPr>
        <w:t>NS</w:t>
      </w:r>
      <w:r w:rsidR="007730DC">
        <w:rPr>
          <w:rFonts w:cs="Times New Roman"/>
          <w:sz w:val="24"/>
          <w:szCs w:val="24"/>
        </w:rPr>
        <w:t xml:space="preserve"> that appear to suggest that </w:t>
      </w:r>
      <w:r w:rsidR="0005452E">
        <w:rPr>
          <w:rFonts w:cs="Times New Roman"/>
          <w:sz w:val="24"/>
          <w:szCs w:val="24"/>
        </w:rPr>
        <w:t>in certain circumstances</w:t>
      </w:r>
      <w:r w:rsidR="007730DC">
        <w:rPr>
          <w:rFonts w:cs="Times New Roman"/>
          <w:sz w:val="24"/>
          <w:szCs w:val="24"/>
        </w:rPr>
        <w:t xml:space="preserve"> </w:t>
      </w:r>
      <w:r w:rsidR="0005452E">
        <w:rPr>
          <w:rFonts w:cs="Times New Roman"/>
          <w:sz w:val="24"/>
          <w:szCs w:val="24"/>
        </w:rPr>
        <w:t xml:space="preserve">it may be necessary for a Member State to </w:t>
      </w:r>
      <w:r w:rsidR="0005452E">
        <w:rPr>
          <w:rFonts w:cs="Times New Roman"/>
          <w:sz w:val="24"/>
          <w:szCs w:val="24"/>
        </w:rPr>
        <w:lastRenderedPageBreak/>
        <w:t xml:space="preserve">examine an application for protection in accordance with what is now Article 17(1) of Dublin III. However, I do not interpret </w:t>
      </w:r>
      <w:r w:rsidR="0005452E" w:rsidRPr="0005452E">
        <w:rPr>
          <w:rFonts w:cs="Times New Roman"/>
          <w:i/>
          <w:sz w:val="24"/>
          <w:szCs w:val="24"/>
        </w:rPr>
        <w:t>NS</w:t>
      </w:r>
      <w:r w:rsidR="0005452E">
        <w:rPr>
          <w:rFonts w:cs="Times New Roman"/>
          <w:sz w:val="24"/>
          <w:szCs w:val="24"/>
        </w:rPr>
        <w:t xml:space="preserve"> </w:t>
      </w:r>
      <w:r w:rsidR="00D353CD">
        <w:rPr>
          <w:rFonts w:cs="Times New Roman"/>
          <w:sz w:val="24"/>
          <w:szCs w:val="24"/>
        </w:rPr>
        <w:t>as meaning that any such obligation will arise whenever the Dublin III procedures in a Member State take an “</w:t>
      </w:r>
      <w:r w:rsidR="00D353CD" w:rsidRPr="00D353CD">
        <w:rPr>
          <w:rFonts w:cs="Times New Roman"/>
          <w:i/>
          <w:sz w:val="24"/>
          <w:szCs w:val="24"/>
        </w:rPr>
        <w:t>unreasonable length of time”.</w:t>
      </w:r>
      <w:r w:rsidR="00D353CD">
        <w:rPr>
          <w:rFonts w:cs="Times New Roman"/>
          <w:sz w:val="24"/>
          <w:szCs w:val="24"/>
        </w:rPr>
        <w:t xml:space="preserve"> </w:t>
      </w:r>
      <w:r w:rsidR="00B23E1F">
        <w:rPr>
          <w:rFonts w:cs="Times New Roman"/>
          <w:sz w:val="24"/>
          <w:szCs w:val="24"/>
        </w:rPr>
        <w:t xml:space="preserve">No argument to that effect was made by the Applicant and any such approach  </w:t>
      </w:r>
      <w:r w:rsidR="009C7785">
        <w:rPr>
          <w:rFonts w:cs="Times New Roman"/>
          <w:sz w:val="24"/>
          <w:szCs w:val="24"/>
        </w:rPr>
        <w:t>would</w:t>
      </w:r>
      <w:r w:rsidR="00B23E1F">
        <w:rPr>
          <w:rFonts w:cs="Times New Roman"/>
          <w:sz w:val="24"/>
          <w:szCs w:val="24"/>
        </w:rPr>
        <w:t>, in my view,</w:t>
      </w:r>
      <w:r w:rsidR="009C7785">
        <w:rPr>
          <w:rFonts w:cs="Times New Roman"/>
          <w:sz w:val="24"/>
          <w:szCs w:val="24"/>
        </w:rPr>
        <w:t xml:space="preserve"> involve a significant re-writing of Dublin III. As I read </w:t>
      </w:r>
      <w:r w:rsidR="009C7785" w:rsidRPr="009C7785">
        <w:rPr>
          <w:rFonts w:cs="Times New Roman"/>
          <w:i/>
          <w:sz w:val="24"/>
          <w:szCs w:val="24"/>
        </w:rPr>
        <w:t>NS</w:t>
      </w:r>
      <w:r w:rsidR="009C7785">
        <w:rPr>
          <w:rFonts w:cs="Times New Roman"/>
          <w:sz w:val="24"/>
          <w:szCs w:val="24"/>
        </w:rPr>
        <w:t>, the C</w:t>
      </w:r>
      <w:r w:rsidR="00C11A3F">
        <w:rPr>
          <w:rFonts w:cs="Times New Roman"/>
          <w:sz w:val="24"/>
          <w:szCs w:val="24"/>
        </w:rPr>
        <w:t xml:space="preserve">JEU </w:t>
      </w:r>
      <w:r w:rsidR="009C7785">
        <w:rPr>
          <w:rFonts w:cs="Times New Roman"/>
          <w:sz w:val="24"/>
          <w:szCs w:val="24"/>
        </w:rPr>
        <w:t xml:space="preserve">was addressing a particular scenario where transfer to the Member State responsible under Chapter III could not be effected because of systemic deficiencies in the asylum procedures and reception conditions in that Member State </w:t>
      </w:r>
      <w:r w:rsidR="009C7785" w:rsidRPr="009C7785">
        <w:rPr>
          <w:rFonts w:cs="Times New Roman"/>
          <w:i/>
          <w:sz w:val="24"/>
          <w:szCs w:val="24"/>
        </w:rPr>
        <w:t>and</w:t>
      </w:r>
      <w:r w:rsidR="009C7785">
        <w:rPr>
          <w:rFonts w:cs="Times New Roman"/>
          <w:sz w:val="24"/>
          <w:szCs w:val="24"/>
        </w:rPr>
        <w:t xml:space="preserve"> where difficulty arose in identifying a different Member State responsible under Chapter III to which a transfer could be effected</w:t>
      </w:r>
      <w:r w:rsidR="00C11A3F">
        <w:rPr>
          <w:rFonts w:cs="Times New Roman"/>
          <w:sz w:val="24"/>
          <w:szCs w:val="24"/>
        </w:rPr>
        <w:t xml:space="preserve"> in a timely way</w:t>
      </w:r>
      <w:r w:rsidR="009C7785">
        <w:rPr>
          <w:rFonts w:cs="Times New Roman"/>
          <w:sz w:val="24"/>
          <w:szCs w:val="24"/>
        </w:rPr>
        <w:t xml:space="preserve">. In such circumstances, it </w:t>
      </w:r>
      <w:r w:rsidR="00C11A3F">
        <w:rPr>
          <w:rFonts w:cs="Times New Roman"/>
          <w:sz w:val="24"/>
          <w:szCs w:val="24"/>
        </w:rPr>
        <w:t>might</w:t>
      </w:r>
      <w:r w:rsidR="009C7785">
        <w:rPr>
          <w:rFonts w:cs="Times New Roman"/>
          <w:sz w:val="24"/>
          <w:szCs w:val="24"/>
        </w:rPr>
        <w:t xml:space="preserve"> be necessary for the requesting Member State to assume responsibility for the protection application</w:t>
      </w:r>
      <w:r w:rsidR="00B23E1F">
        <w:rPr>
          <w:rFonts w:cs="Times New Roman"/>
          <w:sz w:val="24"/>
          <w:szCs w:val="24"/>
        </w:rPr>
        <w:t xml:space="preserve"> in order to bring a situation of ongoing uncertain</w:t>
      </w:r>
      <w:r w:rsidR="003B41A0">
        <w:rPr>
          <w:rFonts w:cs="Times New Roman"/>
          <w:sz w:val="24"/>
          <w:szCs w:val="24"/>
        </w:rPr>
        <w:t>ty</w:t>
      </w:r>
      <w:r w:rsidR="00B23E1F">
        <w:rPr>
          <w:rFonts w:cs="Times New Roman"/>
          <w:sz w:val="24"/>
          <w:szCs w:val="24"/>
        </w:rPr>
        <w:t xml:space="preserve"> to an end</w:t>
      </w:r>
      <w:r w:rsidR="009C7785">
        <w:rPr>
          <w:rFonts w:cs="Times New Roman"/>
          <w:sz w:val="24"/>
          <w:szCs w:val="24"/>
        </w:rPr>
        <w:t xml:space="preserve">. That was not the </w:t>
      </w:r>
      <w:r w:rsidR="00B23E1F">
        <w:rPr>
          <w:rFonts w:cs="Times New Roman"/>
          <w:sz w:val="24"/>
          <w:szCs w:val="24"/>
        </w:rPr>
        <w:t>scenario</w:t>
      </w:r>
      <w:r w:rsidR="009C7785">
        <w:rPr>
          <w:rFonts w:cs="Times New Roman"/>
          <w:sz w:val="24"/>
          <w:szCs w:val="24"/>
        </w:rPr>
        <w:t xml:space="preserve"> that confronted the Minister here</w:t>
      </w:r>
      <w:r w:rsidR="00B23E1F">
        <w:rPr>
          <w:rFonts w:cs="Times New Roman"/>
          <w:sz w:val="24"/>
          <w:szCs w:val="24"/>
        </w:rPr>
        <w:t>, however</w:t>
      </w:r>
      <w:r w:rsidR="009C7785">
        <w:rPr>
          <w:rFonts w:cs="Times New Roman"/>
          <w:sz w:val="24"/>
          <w:szCs w:val="24"/>
        </w:rPr>
        <w:t xml:space="preserve">. </w:t>
      </w:r>
      <w:r w:rsidR="00B23E1F">
        <w:rPr>
          <w:rFonts w:cs="Times New Roman"/>
          <w:sz w:val="24"/>
          <w:szCs w:val="24"/>
        </w:rPr>
        <w:t xml:space="preserve">Belgium had been identified as the Member State responsible for considering the Applicant’s claim for international protection. It had indicated its willingness to accept a transfer of the Applicant. As was her entitlement, the Applicant had appealed the consequent transfer decision to IPAT but her appeal had been rejected. In the event that the Minister declined to exercise the Article 17(1) discretion, the Applicant would be transferred to Belgium  and no </w:t>
      </w:r>
      <w:r w:rsidR="00C275DB">
        <w:rPr>
          <w:rFonts w:cs="Times New Roman"/>
          <w:sz w:val="24"/>
          <w:szCs w:val="24"/>
        </w:rPr>
        <w:t xml:space="preserve">plausible </w:t>
      </w:r>
      <w:r w:rsidR="00B23E1F">
        <w:rPr>
          <w:rFonts w:cs="Times New Roman"/>
          <w:sz w:val="24"/>
          <w:szCs w:val="24"/>
        </w:rPr>
        <w:t xml:space="preserve">argument </w:t>
      </w:r>
      <w:r w:rsidR="00C275DB">
        <w:rPr>
          <w:rFonts w:cs="Times New Roman"/>
          <w:sz w:val="24"/>
          <w:szCs w:val="24"/>
        </w:rPr>
        <w:t xml:space="preserve">was </w:t>
      </w:r>
      <w:r w:rsidR="00B23E1F">
        <w:rPr>
          <w:rFonts w:cs="Times New Roman"/>
          <w:sz w:val="24"/>
          <w:szCs w:val="24"/>
        </w:rPr>
        <w:t>advanced to the Minister to the effect that there would be any unreasonable delay on the part of the competent Belgian authorities in considering the Applicant’s protection claim</w:t>
      </w:r>
      <w:r w:rsidR="002C4E8F">
        <w:rPr>
          <w:rFonts w:cs="Times New Roman"/>
          <w:sz w:val="24"/>
          <w:szCs w:val="24"/>
        </w:rPr>
        <w:t xml:space="preserve"> </w:t>
      </w:r>
      <w:r w:rsidR="00FF0910">
        <w:rPr>
          <w:rFonts w:cs="Times New Roman"/>
          <w:sz w:val="24"/>
          <w:szCs w:val="24"/>
        </w:rPr>
        <w:t>following transfer</w:t>
      </w:r>
      <w:r w:rsidR="00B23E1F">
        <w:rPr>
          <w:rFonts w:cs="Times New Roman"/>
          <w:sz w:val="24"/>
          <w:szCs w:val="24"/>
        </w:rPr>
        <w:t xml:space="preserve">. </w:t>
      </w:r>
    </w:p>
    <w:p w14:paraId="20BF35E1" w14:textId="77777777" w:rsidR="005C1296" w:rsidRDefault="005C1296" w:rsidP="005C1296">
      <w:pPr>
        <w:pStyle w:val="ListParagraph"/>
        <w:autoSpaceDE w:val="0"/>
        <w:autoSpaceDN w:val="0"/>
        <w:adjustRightInd w:val="0"/>
        <w:spacing w:after="0" w:line="480" w:lineRule="auto"/>
        <w:jc w:val="both"/>
        <w:rPr>
          <w:rFonts w:cs="Times New Roman"/>
          <w:sz w:val="24"/>
          <w:szCs w:val="24"/>
        </w:rPr>
      </w:pPr>
    </w:p>
    <w:p w14:paraId="360ED80F" w14:textId="22F6177C" w:rsidR="004C50D1" w:rsidRDefault="00C11A3F" w:rsidP="00EA21FB">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In the result, therefore, I do not believe that this reformulated argument advances the Applicant’s position in any material way.</w:t>
      </w:r>
    </w:p>
    <w:p w14:paraId="55EFA94B" w14:textId="77777777" w:rsidR="00C11A3F" w:rsidRDefault="00C11A3F" w:rsidP="00C11A3F">
      <w:pPr>
        <w:pStyle w:val="ListParagraph"/>
        <w:autoSpaceDE w:val="0"/>
        <w:autoSpaceDN w:val="0"/>
        <w:adjustRightInd w:val="0"/>
        <w:spacing w:after="0" w:line="480" w:lineRule="auto"/>
        <w:jc w:val="both"/>
        <w:rPr>
          <w:rFonts w:cs="Times New Roman"/>
          <w:sz w:val="24"/>
          <w:szCs w:val="24"/>
        </w:rPr>
      </w:pPr>
    </w:p>
    <w:p w14:paraId="16587E75" w14:textId="46AE665D" w:rsidR="00182BE4" w:rsidRPr="00C275DB" w:rsidRDefault="00C11A3F" w:rsidP="00182BE4">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It follows that I would dismiss the Applicant’s appeal from the decision of the Judge to dismiss her application for judicial review of the Article 17 Decision.</w:t>
      </w:r>
    </w:p>
    <w:p w14:paraId="568D338B" w14:textId="77777777" w:rsidR="00182BE4" w:rsidRDefault="00182BE4" w:rsidP="00182BE4">
      <w:pPr>
        <w:pStyle w:val="ListParagraph"/>
        <w:autoSpaceDE w:val="0"/>
        <w:autoSpaceDN w:val="0"/>
        <w:adjustRightInd w:val="0"/>
        <w:spacing w:after="0" w:line="480" w:lineRule="auto"/>
        <w:jc w:val="both"/>
        <w:rPr>
          <w:rFonts w:cs="Times New Roman"/>
          <w:sz w:val="24"/>
          <w:szCs w:val="24"/>
        </w:rPr>
      </w:pPr>
    </w:p>
    <w:p w14:paraId="53E8515F" w14:textId="6D494004" w:rsidR="00182BE4" w:rsidRPr="00182BE4" w:rsidRDefault="00182BE4" w:rsidP="00182BE4">
      <w:pPr>
        <w:pStyle w:val="ListParagraph"/>
        <w:autoSpaceDE w:val="0"/>
        <w:autoSpaceDN w:val="0"/>
        <w:adjustRightInd w:val="0"/>
        <w:spacing w:after="0" w:line="480" w:lineRule="auto"/>
        <w:jc w:val="both"/>
        <w:rPr>
          <w:rFonts w:cs="Times New Roman"/>
          <w:b/>
          <w:sz w:val="24"/>
          <w:szCs w:val="24"/>
        </w:rPr>
      </w:pPr>
      <w:r w:rsidRPr="00182BE4">
        <w:rPr>
          <w:rFonts w:cs="Times New Roman"/>
          <w:b/>
          <w:sz w:val="24"/>
          <w:szCs w:val="24"/>
        </w:rPr>
        <w:t>The Appeal from the Refusal of the Interlocutory Injunction</w:t>
      </w:r>
    </w:p>
    <w:p w14:paraId="3C653ED2" w14:textId="77777777" w:rsidR="00182BE4" w:rsidRDefault="00182BE4" w:rsidP="00182BE4">
      <w:pPr>
        <w:pStyle w:val="ListParagraph"/>
        <w:autoSpaceDE w:val="0"/>
        <w:autoSpaceDN w:val="0"/>
        <w:adjustRightInd w:val="0"/>
        <w:spacing w:after="0" w:line="480" w:lineRule="auto"/>
        <w:jc w:val="both"/>
        <w:rPr>
          <w:rFonts w:cs="Times New Roman"/>
          <w:sz w:val="24"/>
          <w:szCs w:val="24"/>
        </w:rPr>
      </w:pPr>
    </w:p>
    <w:p w14:paraId="2E4A0308" w14:textId="6478444C" w:rsidR="00182BE4" w:rsidRDefault="00504608" w:rsidP="00EA21FB">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 xml:space="preserve">The remaining grounds of appeal are directed to the Judge’s refusal of the interlocutory injunction. </w:t>
      </w:r>
    </w:p>
    <w:p w14:paraId="74E10BBF" w14:textId="77777777" w:rsidR="0071364F" w:rsidRDefault="0071364F" w:rsidP="0071364F">
      <w:pPr>
        <w:pStyle w:val="ListParagraph"/>
        <w:autoSpaceDE w:val="0"/>
        <w:autoSpaceDN w:val="0"/>
        <w:adjustRightInd w:val="0"/>
        <w:spacing w:after="0" w:line="480" w:lineRule="auto"/>
        <w:jc w:val="both"/>
        <w:rPr>
          <w:rFonts w:cs="Times New Roman"/>
          <w:sz w:val="24"/>
          <w:szCs w:val="24"/>
        </w:rPr>
      </w:pPr>
    </w:p>
    <w:p w14:paraId="62DA26A9" w14:textId="572070CE" w:rsidR="00395A99" w:rsidRPr="00395A99" w:rsidRDefault="0071364F" w:rsidP="00395A99">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 xml:space="preserve">That injunction sought to restrain the removal of the Applicant from the State pending the determination of </w:t>
      </w:r>
      <w:r w:rsidR="00280A6B">
        <w:rPr>
          <w:rFonts w:cs="Times New Roman"/>
          <w:sz w:val="24"/>
          <w:szCs w:val="24"/>
        </w:rPr>
        <w:t>her</w:t>
      </w:r>
      <w:r>
        <w:rPr>
          <w:rFonts w:cs="Times New Roman"/>
          <w:sz w:val="24"/>
          <w:szCs w:val="24"/>
        </w:rPr>
        <w:t xml:space="preserve"> application for judicial review of the Article 17 Decision. As I have already explained, however, orders were granted restraining the removal of the Applicant before the application for an interlocutory injunction was heard and, by the time that the Judge gave judgment on that application on 18 November 2021, the application was effectively moot given that the Judge refused the application for judicial review on the same date</w:t>
      </w:r>
      <w:r w:rsidR="00395A99">
        <w:rPr>
          <w:rFonts w:cs="Times New Roman"/>
          <w:sz w:val="24"/>
          <w:szCs w:val="24"/>
        </w:rPr>
        <w:t>.</w:t>
      </w:r>
    </w:p>
    <w:p w14:paraId="1698B450" w14:textId="77777777" w:rsidR="0071364F" w:rsidRDefault="0071364F" w:rsidP="0071364F">
      <w:pPr>
        <w:pStyle w:val="ListParagraph"/>
        <w:autoSpaceDE w:val="0"/>
        <w:autoSpaceDN w:val="0"/>
        <w:adjustRightInd w:val="0"/>
        <w:spacing w:after="0" w:line="480" w:lineRule="auto"/>
        <w:jc w:val="both"/>
        <w:rPr>
          <w:rFonts w:cs="Times New Roman"/>
          <w:sz w:val="24"/>
          <w:szCs w:val="24"/>
        </w:rPr>
      </w:pPr>
    </w:p>
    <w:p w14:paraId="6A0E5679" w14:textId="0099E213" w:rsidR="0071364F" w:rsidRDefault="0071364F" w:rsidP="00EA21FB">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A decision</w:t>
      </w:r>
      <w:r w:rsidR="00AD7075">
        <w:rPr>
          <w:rFonts w:cs="Times New Roman"/>
          <w:sz w:val="24"/>
          <w:szCs w:val="24"/>
        </w:rPr>
        <w:t xml:space="preserve"> at that stage</w:t>
      </w:r>
      <w:r>
        <w:rPr>
          <w:rFonts w:cs="Times New Roman"/>
          <w:sz w:val="24"/>
          <w:szCs w:val="24"/>
        </w:rPr>
        <w:t xml:space="preserve"> </w:t>
      </w:r>
      <w:r w:rsidR="00395A99">
        <w:rPr>
          <w:rFonts w:cs="Times New Roman"/>
          <w:sz w:val="24"/>
          <w:szCs w:val="24"/>
        </w:rPr>
        <w:t>that it was appropriate to</w:t>
      </w:r>
      <w:r>
        <w:rPr>
          <w:rFonts w:cs="Times New Roman"/>
          <w:sz w:val="24"/>
          <w:szCs w:val="24"/>
        </w:rPr>
        <w:t xml:space="preserve"> grant the injunction sought would not have conferred any benefit </w:t>
      </w:r>
      <w:r w:rsidR="00AD7075">
        <w:rPr>
          <w:rFonts w:cs="Times New Roman"/>
          <w:sz w:val="24"/>
          <w:szCs w:val="24"/>
        </w:rPr>
        <w:t xml:space="preserve">whatever </w:t>
      </w:r>
      <w:r>
        <w:rPr>
          <w:rFonts w:cs="Times New Roman"/>
          <w:sz w:val="24"/>
          <w:szCs w:val="24"/>
        </w:rPr>
        <w:t>on the Applicant</w:t>
      </w:r>
      <w:r w:rsidR="00395A99">
        <w:rPr>
          <w:rFonts w:cs="Times New Roman"/>
          <w:sz w:val="24"/>
          <w:szCs w:val="24"/>
        </w:rPr>
        <w:t>; e</w:t>
      </w:r>
      <w:r>
        <w:rPr>
          <w:rFonts w:cs="Times New Roman"/>
          <w:sz w:val="24"/>
          <w:szCs w:val="24"/>
        </w:rPr>
        <w:t>qually, the refusal of the injunction</w:t>
      </w:r>
      <w:r w:rsidR="00395A99">
        <w:rPr>
          <w:rFonts w:cs="Times New Roman"/>
          <w:sz w:val="24"/>
          <w:szCs w:val="24"/>
        </w:rPr>
        <w:t xml:space="preserve"> did not prejudice her in any concrete way. That position was implicitly recognised by the Judge when he explained that he proposed to consider “</w:t>
      </w:r>
      <w:r w:rsidR="00395A99" w:rsidRPr="00395A99">
        <w:rPr>
          <w:rFonts w:cs="Times New Roman"/>
          <w:i/>
          <w:sz w:val="24"/>
          <w:szCs w:val="24"/>
        </w:rPr>
        <w:t>whether the Applicant would have been entitled to an interlocutory injunction in the circumstances that obtained at the outset of the proceedings</w:t>
      </w:r>
      <w:r w:rsidR="00395A99">
        <w:rPr>
          <w:rFonts w:cs="Times New Roman"/>
          <w:sz w:val="24"/>
          <w:szCs w:val="24"/>
        </w:rPr>
        <w:t xml:space="preserve">” (Judgment, para 2) and </w:t>
      </w:r>
      <w:r w:rsidR="007169ED">
        <w:rPr>
          <w:rFonts w:cs="Times New Roman"/>
          <w:i/>
          <w:sz w:val="24"/>
          <w:szCs w:val="24"/>
        </w:rPr>
        <w:t>“on t</w:t>
      </w:r>
      <w:r w:rsidR="00395A99" w:rsidRPr="00395A99">
        <w:rPr>
          <w:rFonts w:cs="Times New Roman"/>
          <w:i/>
          <w:sz w:val="24"/>
          <w:szCs w:val="24"/>
        </w:rPr>
        <w:t xml:space="preserve">he basis of the consideration which I would have given to that application in the event that the </w:t>
      </w:r>
      <w:r w:rsidR="00395A99" w:rsidRPr="00395A99">
        <w:rPr>
          <w:rFonts w:cs="Times New Roman"/>
          <w:i/>
          <w:sz w:val="24"/>
          <w:szCs w:val="24"/>
        </w:rPr>
        <w:lastRenderedPageBreak/>
        <w:t xml:space="preserve">application was before me for hearing and consideration in advance of me giving judgment on the substantive judicial review application” </w:t>
      </w:r>
      <w:r w:rsidR="00395A99">
        <w:rPr>
          <w:rFonts w:cs="Times New Roman"/>
          <w:sz w:val="24"/>
          <w:szCs w:val="24"/>
        </w:rPr>
        <w:t xml:space="preserve">(Judgment, para 47). </w:t>
      </w:r>
      <w:r w:rsidR="00C722CE">
        <w:rPr>
          <w:rFonts w:cs="Times New Roman"/>
          <w:sz w:val="24"/>
          <w:szCs w:val="24"/>
        </w:rPr>
        <w:t>These were not the circumstances in which the application was in fact decided.</w:t>
      </w:r>
    </w:p>
    <w:p w14:paraId="5DF0273F" w14:textId="77777777" w:rsidR="00C722CE" w:rsidRDefault="00C722CE" w:rsidP="00C722CE">
      <w:pPr>
        <w:pStyle w:val="ListParagraph"/>
        <w:autoSpaceDE w:val="0"/>
        <w:autoSpaceDN w:val="0"/>
        <w:adjustRightInd w:val="0"/>
        <w:spacing w:after="0" w:line="480" w:lineRule="auto"/>
        <w:jc w:val="both"/>
        <w:rPr>
          <w:rFonts w:cs="Times New Roman"/>
          <w:sz w:val="24"/>
          <w:szCs w:val="24"/>
        </w:rPr>
      </w:pPr>
    </w:p>
    <w:p w14:paraId="4439874F" w14:textId="7DA70CD3" w:rsidR="00C722CE" w:rsidRDefault="00C722CE" w:rsidP="00EA21FB">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 xml:space="preserve">In any event, the </w:t>
      </w:r>
      <w:r w:rsidR="00834F0B">
        <w:rPr>
          <w:rFonts w:cs="Times New Roman"/>
          <w:sz w:val="24"/>
          <w:szCs w:val="24"/>
        </w:rPr>
        <w:t>issue</w:t>
      </w:r>
      <w:r>
        <w:rPr>
          <w:rFonts w:cs="Times New Roman"/>
          <w:sz w:val="24"/>
          <w:szCs w:val="24"/>
        </w:rPr>
        <w:t xml:space="preserve"> that now arises is whether this Court should engage substantively with the Applicant’s appeal from the refusal of her application for an interlocutory injunction, in circumstances where it has dismissed the appeal from the refusal of her substantive application for judicial review.</w:t>
      </w:r>
    </w:p>
    <w:p w14:paraId="2193DA21" w14:textId="77777777" w:rsidR="00C20C08" w:rsidRDefault="00C20C08" w:rsidP="00C20C08">
      <w:pPr>
        <w:pStyle w:val="ListParagraph"/>
        <w:autoSpaceDE w:val="0"/>
        <w:autoSpaceDN w:val="0"/>
        <w:adjustRightInd w:val="0"/>
        <w:spacing w:after="0" w:line="480" w:lineRule="auto"/>
        <w:jc w:val="both"/>
        <w:rPr>
          <w:rFonts w:cs="Times New Roman"/>
          <w:sz w:val="24"/>
          <w:szCs w:val="24"/>
        </w:rPr>
      </w:pPr>
    </w:p>
    <w:p w14:paraId="717689F6" w14:textId="379BF272" w:rsidR="002431A4" w:rsidRDefault="00C722CE" w:rsidP="00C722CE">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 xml:space="preserve">This </w:t>
      </w:r>
      <w:r w:rsidR="00834F0B">
        <w:rPr>
          <w:rFonts w:cs="Times New Roman"/>
          <w:sz w:val="24"/>
          <w:szCs w:val="24"/>
        </w:rPr>
        <w:t>issue</w:t>
      </w:r>
      <w:r>
        <w:rPr>
          <w:rFonts w:cs="Times New Roman"/>
          <w:sz w:val="24"/>
          <w:szCs w:val="24"/>
        </w:rPr>
        <w:t xml:space="preserve"> was raised by the Court </w:t>
      </w:r>
      <w:r w:rsidR="00C275DB">
        <w:rPr>
          <w:rFonts w:cs="Times New Roman"/>
          <w:sz w:val="24"/>
          <w:szCs w:val="24"/>
        </w:rPr>
        <w:t xml:space="preserve">at an early stage of </w:t>
      </w:r>
      <w:r w:rsidR="00EA21FB">
        <w:rPr>
          <w:rFonts w:cs="Times New Roman"/>
          <w:sz w:val="24"/>
          <w:szCs w:val="24"/>
        </w:rPr>
        <w:t xml:space="preserve">the </w:t>
      </w:r>
      <w:r>
        <w:rPr>
          <w:rFonts w:cs="Times New Roman"/>
          <w:sz w:val="24"/>
          <w:szCs w:val="24"/>
        </w:rPr>
        <w:t xml:space="preserve">appeal hearing. </w:t>
      </w:r>
      <w:r w:rsidR="00834F0B">
        <w:rPr>
          <w:rFonts w:cs="Times New Roman"/>
          <w:sz w:val="24"/>
          <w:szCs w:val="24"/>
        </w:rPr>
        <w:t>While c</w:t>
      </w:r>
      <w:r>
        <w:rPr>
          <w:rFonts w:cs="Times New Roman"/>
          <w:sz w:val="24"/>
          <w:szCs w:val="24"/>
        </w:rPr>
        <w:t xml:space="preserve">ounsel for the Applicant </w:t>
      </w:r>
      <w:r w:rsidR="00EA21FB">
        <w:rPr>
          <w:rFonts w:cs="Times New Roman"/>
          <w:sz w:val="24"/>
          <w:szCs w:val="24"/>
        </w:rPr>
        <w:t>made it clear that he</w:t>
      </w:r>
      <w:r>
        <w:rPr>
          <w:rFonts w:cs="Times New Roman"/>
          <w:sz w:val="24"/>
          <w:szCs w:val="24"/>
        </w:rPr>
        <w:t xml:space="preserve"> </w:t>
      </w:r>
      <w:r w:rsidR="00834F0B">
        <w:rPr>
          <w:rFonts w:cs="Times New Roman"/>
          <w:sz w:val="24"/>
          <w:szCs w:val="24"/>
        </w:rPr>
        <w:t xml:space="preserve">wished </w:t>
      </w:r>
      <w:r w:rsidR="00EA21FB">
        <w:rPr>
          <w:rFonts w:cs="Times New Roman"/>
          <w:sz w:val="24"/>
          <w:szCs w:val="24"/>
        </w:rPr>
        <w:t xml:space="preserve">the Court </w:t>
      </w:r>
      <w:r w:rsidR="00834F0B">
        <w:rPr>
          <w:rFonts w:cs="Times New Roman"/>
          <w:sz w:val="24"/>
          <w:szCs w:val="24"/>
        </w:rPr>
        <w:t>to</w:t>
      </w:r>
      <w:r w:rsidR="00EA21FB">
        <w:rPr>
          <w:rFonts w:cs="Times New Roman"/>
          <w:sz w:val="24"/>
          <w:szCs w:val="24"/>
        </w:rPr>
        <w:t xml:space="preserve"> address all aspects of his client’s appeal</w:t>
      </w:r>
      <w:r w:rsidR="00834F0B">
        <w:rPr>
          <w:rFonts w:cs="Times New Roman"/>
          <w:sz w:val="24"/>
          <w:szCs w:val="24"/>
        </w:rPr>
        <w:t>, he properly</w:t>
      </w:r>
      <w:r w:rsidR="00EA21FB">
        <w:rPr>
          <w:rFonts w:cs="Times New Roman"/>
          <w:sz w:val="24"/>
          <w:szCs w:val="24"/>
        </w:rPr>
        <w:t xml:space="preserve"> acknowledged that </w:t>
      </w:r>
      <w:r w:rsidR="00834F0B">
        <w:rPr>
          <w:rFonts w:cs="Times New Roman"/>
          <w:sz w:val="24"/>
          <w:szCs w:val="24"/>
        </w:rPr>
        <w:t xml:space="preserve">the Applicant had no direct interest in the interlocutory injunction appeal. </w:t>
      </w:r>
      <w:r w:rsidR="00C275DB">
        <w:rPr>
          <w:rFonts w:cs="Times New Roman"/>
          <w:sz w:val="24"/>
          <w:szCs w:val="24"/>
        </w:rPr>
        <w:t>The position of the Minister was that it would not be appropriate for the Court to address the interlocutory injunction appeal in the circumstances.</w:t>
      </w:r>
    </w:p>
    <w:p w14:paraId="3AEB613A" w14:textId="77777777" w:rsidR="000727D5" w:rsidRDefault="000727D5" w:rsidP="000727D5">
      <w:pPr>
        <w:pStyle w:val="ListParagraph"/>
        <w:autoSpaceDE w:val="0"/>
        <w:autoSpaceDN w:val="0"/>
        <w:adjustRightInd w:val="0"/>
        <w:spacing w:after="0" w:line="480" w:lineRule="auto"/>
        <w:jc w:val="both"/>
        <w:rPr>
          <w:rFonts w:cs="Times New Roman"/>
          <w:sz w:val="24"/>
          <w:szCs w:val="24"/>
        </w:rPr>
      </w:pPr>
    </w:p>
    <w:p w14:paraId="68C67B85" w14:textId="27F15BE2" w:rsidR="000727D5" w:rsidRDefault="000727D5" w:rsidP="000727D5">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In my view, this aspect of the Applicant’s appeal is clearly moot. A decision on it “</w:t>
      </w:r>
      <w:r w:rsidRPr="000473C1">
        <w:rPr>
          <w:rFonts w:cs="Times New Roman"/>
          <w:i/>
          <w:sz w:val="24"/>
          <w:szCs w:val="24"/>
        </w:rPr>
        <w:t>can have no practical impact or effect on the reso</w:t>
      </w:r>
      <w:r w:rsidR="00937F16" w:rsidRPr="000473C1">
        <w:rPr>
          <w:rFonts w:cs="Times New Roman"/>
          <w:i/>
          <w:sz w:val="24"/>
          <w:szCs w:val="24"/>
        </w:rPr>
        <w:t xml:space="preserve">lution </w:t>
      </w:r>
      <w:r w:rsidR="000473C1" w:rsidRPr="000473C1">
        <w:rPr>
          <w:rFonts w:cs="Times New Roman"/>
          <w:i/>
          <w:sz w:val="24"/>
          <w:szCs w:val="24"/>
        </w:rPr>
        <w:t>of some live controversy between the parties”</w:t>
      </w:r>
      <w:r w:rsidR="000473C1">
        <w:rPr>
          <w:rFonts w:cs="Times New Roman"/>
          <w:i/>
          <w:sz w:val="24"/>
          <w:szCs w:val="24"/>
        </w:rPr>
        <w:t xml:space="preserve"> </w:t>
      </w:r>
      <w:r w:rsidR="000473C1">
        <w:rPr>
          <w:rFonts w:cs="Times New Roman"/>
          <w:sz w:val="24"/>
          <w:szCs w:val="24"/>
        </w:rPr>
        <w:t>(</w:t>
      </w:r>
      <w:r w:rsidR="000473C1" w:rsidRPr="000473C1">
        <w:rPr>
          <w:rFonts w:cs="Times New Roman"/>
          <w:i/>
          <w:sz w:val="24"/>
          <w:szCs w:val="24"/>
        </w:rPr>
        <w:t>Lofinmakin v Minister for Justice, Equality and Law Reform</w:t>
      </w:r>
      <w:r w:rsidR="000473C1">
        <w:rPr>
          <w:rFonts w:cs="Times New Roman"/>
          <w:sz w:val="24"/>
          <w:szCs w:val="24"/>
        </w:rPr>
        <w:t xml:space="preserve"> [2013] IESC 49, [2013] 4 IR 274, per McKechnie J at para 82). This aspect of the appeal does not involve </w:t>
      </w:r>
      <w:r w:rsidR="000473C1" w:rsidRPr="000473C1">
        <w:rPr>
          <w:rFonts w:cs="Times New Roman"/>
          <w:i/>
          <w:sz w:val="24"/>
          <w:szCs w:val="24"/>
        </w:rPr>
        <w:t>“real and definite issues in which the parties retain a legal interest in their outcome</w:t>
      </w:r>
      <w:r w:rsidR="000473C1">
        <w:rPr>
          <w:rFonts w:cs="Times New Roman"/>
          <w:sz w:val="24"/>
          <w:szCs w:val="24"/>
        </w:rPr>
        <w:t>” (</w:t>
      </w:r>
      <w:r w:rsidR="000473C1" w:rsidRPr="000473C1">
        <w:rPr>
          <w:rFonts w:cs="Times New Roman"/>
          <w:i/>
          <w:sz w:val="24"/>
          <w:szCs w:val="24"/>
        </w:rPr>
        <w:t>Ibid</w:t>
      </w:r>
      <w:r w:rsidR="000473C1">
        <w:rPr>
          <w:rFonts w:cs="Times New Roman"/>
          <w:sz w:val="24"/>
          <w:szCs w:val="24"/>
        </w:rPr>
        <w:t>)</w:t>
      </w:r>
    </w:p>
    <w:p w14:paraId="1D1CB8DC" w14:textId="77777777" w:rsidR="000473C1" w:rsidRDefault="000473C1" w:rsidP="000473C1">
      <w:pPr>
        <w:pStyle w:val="ListParagraph"/>
        <w:autoSpaceDE w:val="0"/>
        <w:autoSpaceDN w:val="0"/>
        <w:adjustRightInd w:val="0"/>
        <w:spacing w:after="0" w:line="480" w:lineRule="auto"/>
        <w:jc w:val="both"/>
        <w:rPr>
          <w:rFonts w:cs="Times New Roman"/>
          <w:sz w:val="24"/>
          <w:szCs w:val="24"/>
        </w:rPr>
      </w:pPr>
    </w:p>
    <w:p w14:paraId="4389248C" w14:textId="10FCDEB4" w:rsidR="000473C1" w:rsidRDefault="00BD7CA8" w:rsidP="000727D5">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lastRenderedPageBreak/>
        <w:t xml:space="preserve">Even so, there are circumstances in which the Court may </w:t>
      </w:r>
      <w:r w:rsidR="00FD4CA3">
        <w:rPr>
          <w:rFonts w:cs="Times New Roman"/>
          <w:sz w:val="24"/>
          <w:szCs w:val="24"/>
        </w:rPr>
        <w:t xml:space="preserve">consider it appropriate to </w:t>
      </w:r>
      <w:r>
        <w:rPr>
          <w:rFonts w:cs="Times New Roman"/>
          <w:sz w:val="24"/>
          <w:szCs w:val="24"/>
        </w:rPr>
        <w:t xml:space="preserve">entertain an appeal, notwithstanding that the issues are moot in the sense indicated above: see generally the discussion in </w:t>
      </w:r>
      <w:r w:rsidRPr="00BD7CA8">
        <w:rPr>
          <w:rFonts w:cs="Times New Roman"/>
          <w:i/>
          <w:sz w:val="24"/>
          <w:szCs w:val="24"/>
        </w:rPr>
        <w:t>Delany and McGrath on Civil Procedure</w:t>
      </w:r>
      <w:r>
        <w:rPr>
          <w:rFonts w:cs="Times New Roman"/>
          <w:sz w:val="24"/>
          <w:szCs w:val="24"/>
        </w:rPr>
        <w:t xml:space="preserve"> (4</w:t>
      </w:r>
      <w:r w:rsidRPr="00BD7CA8">
        <w:rPr>
          <w:rFonts w:cs="Times New Roman"/>
          <w:sz w:val="24"/>
          <w:szCs w:val="24"/>
          <w:vertAlign w:val="superscript"/>
        </w:rPr>
        <w:t>th</w:t>
      </w:r>
      <w:r>
        <w:rPr>
          <w:rFonts w:cs="Times New Roman"/>
          <w:sz w:val="24"/>
          <w:szCs w:val="24"/>
        </w:rPr>
        <w:t xml:space="preserve"> ed, 2018) at </w:t>
      </w:r>
      <w:r w:rsidR="000C58E9">
        <w:rPr>
          <w:rFonts w:cs="Times New Roman"/>
          <w:sz w:val="24"/>
          <w:szCs w:val="24"/>
        </w:rPr>
        <w:t>para 23-202 and following. In my opinion, however, this is not such a case.</w:t>
      </w:r>
    </w:p>
    <w:p w14:paraId="27F6185C" w14:textId="77777777" w:rsidR="000C58E9" w:rsidRDefault="000C58E9" w:rsidP="000C58E9">
      <w:pPr>
        <w:pStyle w:val="ListParagraph"/>
        <w:autoSpaceDE w:val="0"/>
        <w:autoSpaceDN w:val="0"/>
        <w:adjustRightInd w:val="0"/>
        <w:spacing w:after="0" w:line="480" w:lineRule="auto"/>
        <w:jc w:val="both"/>
        <w:rPr>
          <w:rFonts w:cs="Times New Roman"/>
          <w:sz w:val="24"/>
          <w:szCs w:val="24"/>
        </w:rPr>
      </w:pPr>
    </w:p>
    <w:p w14:paraId="42FCF64F" w14:textId="3AAC1EEF" w:rsidR="000C58E9" w:rsidRPr="00C07520" w:rsidRDefault="000C58E9" w:rsidP="00126316">
      <w:pPr>
        <w:pStyle w:val="ListParagraph"/>
        <w:numPr>
          <w:ilvl w:val="0"/>
          <w:numId w:val="1"/>
        </w:numPr>
        <w:autoSpaceDE w:val="0"/>
        <w:autoSpaceDN w:val="0"/>
        <w:adjustRightInd w:val="0"/>
        <w:spacing w:after="0" w:line="480" w:lineRule="auto"/>
        <w:ind w:hanging="720"/>
        <w:jc w:val="both"/>
        <w:rPr>
          <w:rFonts w:cs="Times New Roman"/>
          <w:sz w:val="24"/>
          <w:szCs w:val="24"/>
        </w:rPr>
      </w:pPr>
      <w:r w:rsidRPr="008540C5">
        <w:rPr>
          <w:rFonts w:cs="Times New Roman"/>
          <w:sz w:val="24"/>
          <w:szCs w:val="24"/>
        </w:rPr>
        <w:t xml:space="preserve">As already explained, the Judge considered that the interlocutory injunction application raised two issues arose for consideration. The first was whether the Applicant’s application for judicial review triggered the automatic suspension of the transfer decision </w:t>
      </w:r>
      <w:r w:rsidR="00B55920">
        <w:rPr>
          <w:rFonts w:cs="Times New Roman"/>
          <w:sz w:val="24"/>
          <w:szCs w:val="24"/>
        </w:rPr>
        <w:t xml:space="preserve">having regard to </w:t>
      </w:r>
      <w:r w:rsidRPr="008540C5">
        <w:rPr>
          <w:rFonts w:cs="Times New Roman"/>
          <w:sz w:val="24"/>
          <w:szCs w:val="24"/>
        </w:rPr>
        <w:t>Article 27(3) of Dublin III. The second was whether, assuming no such automatic suspension,</w:t>
      </w:r>
      <w:r w:rsidR="008540C5">
        <w:rPr>
          <w:rFonts w:cs="Times New Roman"/>
          <w:sz w:val="24"/>
          <w:szCs w:val="24"/>
        </w:rPr>
        <w:t xml:space="preserve"> </w:t>
      </w:r>
      <w:r w:rsidR="008540C5" w:rsidRPr="008540C5">
        <w:rPr>
          <w:rFonts w:cs="Times New Roman"/>
          <w:sz w:val="24"/>
          <w:szCs w:val="24"/>
        </w:rPr>
        <w:t xml:space="preserve">the Applicant was entitled to an interlocutory injunction on the application of the principles set out in </w:t>
      </w:r>
      <w:r w:rsidR="008540C5" w:rsidRPr="008540C5">
        <w:rPr>
          <w:rFonts w:cs="Times New Roman"/>
          <w:i/>
          <w:sz w:val="24"/>
          <w:szCs w:val="24"/>
        </w:rPr>
        <w:t>Okunade</w:t>
      </w:r>
      <w:r w:rsidR="008540C5">
        <w:rPr>
          <w:rFonts w:cs="Times New Roman"/>
          <w:i/>
          <w:sz w:val="24"/>
          <w:szCs w:val="24"/>
        </w:rPr>
        <w:t xml:space="preserve">. </w:t>
      </w:r>
    </w:p>
    <w:p w14:paraId="782B7D54" w14:textId="77777777" w:rsidR="00C07520" w:rsidRPr="00C07520" w:rsidRDefault="00C07520" w:rsidP="00C07520">
      <w:pPr>
        <w:pStyle w:val="ListParagraph"/>
        <w:autoSpaceDE w:val="0"/>
        <w:autoSpaceDN w:val="0"/>
        <w:adjustRightInd w:val="0"/>
        <w:spacing w:after="0" w:line="480" w:lineRule="auto"/>
        <w:jc w:val="both"/>
        <w:rPr>
          <w:rFonts w:cs="Times New Roman"/>
          <w:sz w:val="24"/>
          <w:szCs w:val="24"/>
        </w:rPr>
      </w:pPr>
    </w:p>
    <w:p w14:paraId="4CC19CE0" w14:textId="22DCFF97" w:rsidR="00C07520" w:rsidRDefault="00C275DB" w:rsidP="00126316">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 xml:space="preserve">As regards the second of these issues – the application of </w:t>
      </w:r>
      <w:r w:rsidRPr="00C275DB">
        <w:rPr>
          <w:rFonts w:cs="Times New Roman"/>
          <w:i/>
          <w:sz w:val="24"/>
          <w:szCs w:val="24"/>
        </w:rPr>
        <w:t>Okunade</w:t>
      </w:r>
      <w:r>
        <w:rPr>
          <w:rFonts w:cs="Times New Roman"/>
          <w:sz w:val="24"/>
          <w:szCs w:val="24"/>
        </w:rPr>
        <w:t xml:space="preserve"> – the appeal raises no significant or exceptional point of law such as might warrant consideration by this Court notwithstanding that the issue of interlocutory injunctive relief is moot. </w:t>
      </w:r>
    </w:p>
    <w:p w14:paraId="13460F16" w14:textId="77777777" w:rsidR="00C83887" w:rsidRDefault="00C83887" w:rsidP="00C83887">
      <w:pPr>
        <w:pStyle w:val="ListParagraph"/>
        <w:autoSpaceDE w:val="0"/>
        <w:autoSpaceDN w:val="0"/>
        <w:adjustRightInd w:val="0"/>
        <w:spacing w:after="0" w:line="480" w:lineRule="auto"/>
        <w:jc w:val="both"/>
        <w:rPr>
          <w:rFonts w:cs="Times New Roman"/>
          <w:sz w:val="24"/>
          <w:szCs w:val="24"/>
        </w:rPr>
      </w:pPr>
    </w:p>
    <w:p w14:paraId="4873F078" w14:textId="5AA2E11C" w:rsidR="00C83887" w:rsidRDefault="004E31BC" w:rsidP="00126316">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Th</w:t>
      </w:r>
      <w:r w:rsidR="00C83887">
        <w:rPr>
          <w:rFonts w:cs="Times New Roman"/>
          <w:sz w:val="24"/>
          <w:szCs w:val="24"/>
        </w:rPr>
        <w:t xml:space="preserve">e </w:t>
      </w:r>
      <w:r w:rsidR="004C4BD7">
        <w:rPr>
          <w:rFonts w:cs="Times New Roman"/>
          <w:sz w:val="24"/>
          <w:szCs w:val="24"/>
        </w:rPr>
        <w:t>automatic suspension issue</w:t>
      </w:r>
      <w:r>
        <w:rPr>
          <w:rFonts w:cs="Times New Roman"/>
          <w:sz w:val="24"/>
          <w:szCs w:val="24"/>
        </w:rPr>
        <w:t xml:space="preserve"> is clearly an issue of general significance, at least at the level of principle. However the issue actually arising on this appeal is a </w:t>
      </w:r>
      <w:r w:rsidR="007C68EF">
        <w:rPr>
          <w:rFonts w:cs="Times New Roman"/>
          <w:sz w:val="24"/>
          <w:szCs w:val="24"/>
        </w:rPr>
        <w:t xml:space="preserve">relatively </w:t>
      </w:r>
      <w:r>
        <w:rPr>
          <w:rFonts w:cs="Times New Roman"/>
          <w:sz w:val="24"/>
          <w:szCs w:val="24"/>
        </w:rPr>
        <w:t>narrow one. The Applicant accepts – correctly</w:t>
      </w:r>
      <w:r w:rsidR="00112772">
        <w:rPr>
          <w:rFonts w:cs="Times New Roman"/>
          <w:sz w:val="24"/>
          <w:szCs w:val="24"/>
        </w:rPr>
        <w:t>, in my view</w:t>
      </w:r>
      <w:r>
        <w:rPr>
          <w:rFonts w:cs="Times New Roman"/>
          <w:sz w:val="24"/>
          <w:szCs w:val="24"/>
        </w:rPr>
        <w:t xml:space="preserve"> - that, even on the premise that the Article 17 Decision here is properly </w:t>
      </w:r>
      <w:r w:rsidR="001E2B43">
        <w:rPr>
          <w:rFonts w:cs="Times New Roman"/>
          <w:sz w:val="24"/>
          <w:szCs w:val="24"/>
        </w:rPr>
        <w:t>treated</w:t>
      </w:r>
      <w:r>
        <w:rPr>
          <w:rFonts w:cs="Times New Roman"/>
          <w:sz w:val="24"/>
          <w:szCs w:val="24"/>
        </w:rPr>
        <w:t xml:space="preserve"> as a transfer decision for the purposes of Article 27 of Dublin III, </w:t>
      </w:r>
      <w:r w:rsidR="00112772">
        <w:rPr>
          <w:rFonts w:cs="Times New Roman"/>
          <w:sz w:val="24"/>
          <w:szCs w:val="24"/>
        </w:rPr>
        <w:t xml:space="preserve">the fact that </w:t>
      </w:r>
      <w:r w:rsidR="00CD15D2">
        <w:rPr>
          <w:rFonts w:cs="Times New Roman"/>
          <w:sz w:val="24"/>
          <w:szCs w:val="24"/>
        </w:rPr>
        <w:t xml:space="preserve">her </w:t>
      </w:r>
      <w:r w:rsidR="00112772">
        <w:rPr>
          <w:rFonts w:cs="Times New Roman"/>
          <w:sz w:val="24"/>
          <w:szCs w:val="24"/>
        </w:rPr>
        <w:t xml:space="preserve">judicial review </w:t>
      </w:r>
      <w:r w:rsidR="00CD15D2">
        <w:rPr>
          <w:rFonts w:cs="Times New Roman"/>
          <w:sz w:val="24"/>
          <w:szCs w:val="24"/>
        </w:rPr>
        <w:t xml:space="preserve">challenge </w:t>
      </w:r>
      <w:r w:rsidR="00FF0910">
        <w:rPr>
          <w:rFonts w:cs="Times New Roman"/>
          <w:sz w:val="24"/>
          <w:szCs w:val="24"/>
        </w:rPr>
        <w:t>to</w:t>
      </w:r>
      <w:r w:rsidR="00CD15D2">
        <w:rPr>
          <w:rFonts w:cs="Times New Roman"/>
          <w:sz w:val="24"/>
          <w:szCs w:val="24"/>
        </w:rPr>
        <w:t xml:space="preserve"> the Decision did not trigger an </w:t>
      </w:r>
      <w:r w:rsidR="00112772">
        <w:rPr>
          <w:rFonts w:cs="Times New Roman"/>
          <w:sz w:val="24"/>
          <w:szCs w:val="24"/>
        </w:rPr>
        <w:t xml:space="preserve">automatic suspension of </w:t>
      </w:r>
      <w:r w:rsidR="00CD15D2">
        <w:rPr>
          <w:rFonts w:cs="Times New Roman"/>
          <w:sz w:val="24"/>
          <w:szCs w:val="24"/>
        </w:rPr>
        <w:t>her</w:t>
      </w:r>
      <w:r w:rsidR="00112772">
        <w:rPr>
          <w:rFonts w:cs="Times New Roman"/>
          <w:sz w:val="24"/>
          <w:szCs w:val="24"/>
        </w:rPr>
        <w:t xml:space="preserve"> </w:t>
      </w:r>
      <w:r w:rsidR="00CD15D2">
        <w:rPr>
          <w:rFonts w:cs="Times New Roman"/>
          <w:sz w:val="24"/>
          <w:szCs w:val="24"/>
        </w:rPr>
        <w:t>removal to Belgium</w:t>
      </w:r>
      <w:r w:rsidR="00112772">
        <w:rPr>
          <w:rFonts w:cs="Times New Roman"/>
          <w:sz w:val="24"/>
          <w:szCs w:val="24"/>
        </w:rPr>
        <w:t xml:space="preserve"> </w:t>
      </w:r>
      <w:r w:rsidR="00CD15D2">
        <w:rPr>
          <w:rFonts w:cs="Times New Roman"/>
          <w:sz w:val="24"/>
          <w:szCs w:val="24"/>
        </w:rPr>
        <w:t>did not necessarily involve a breach of Article 27(3)</w:t>
      </w:r>
      <w:r w:rsidR="001E2B43">
        <w:rPr>
          <w:rFonts w:cs="Times New Roman"/>
          <w:sz w:val="24"/>
          <w:szCs w:val="24"/>
        </w:rPr>
        <w:t>, given that it</w:t>
      </w:r>
      <w:r w:rsidR="00CD15D2">
        <w:rPr>
          <w:rFonts w:cs="Times New Roman"/>
          <w:sz w:val="24"/>
          <w:szCs w:val="24"/>
        </w:rPr>
        <w:t xml:space="preserve"> was open to the State to make provision in terms of Article 27(3)(c). </w:t>
      </w:r>
      <w:r w:rsidR="001E2B43">
        <w:rPr>
          <w:rFonts w:cs="Times New Roman"/>
          <w:sz w:val="24"/>
          <w:szCs w:val="24"/>
        </w:rPr>
        <w:t xml:space="preserve">But, the </w:t>
      </w:r>
      <w:r w:rsidR="00CD15D2">
        <w:rPr>
          <w:rFonts w:cs="Times New Roman"/>
          <w:sz w:val="24"/>
          <w:szCs w:val="24"/>
        </w:rPr>
        <w:t xml:space="preserve">Applicant </w:t>
      </w:r>
      <w:r w:rsidR="001E2B43">
        <w:rPr>
          <w:rFonts w:cs="Times New Roman"/>
          <w:sz w:val="24"/>
          <w:szCs w:val="24"/>
        </w:rPr>
        <w:t xml:space="preserve">said, while she was able to </w:t>
      </w:r>
      <w:r w:rsidR="001E2B43">
        <w:rPr>
          <w:rFonts w:cs="Times New Roman"/>
          <w:sz w:val="24"/>
          <w:szCs w:val="24"/>
        </w:rPr>
        <w:lastRenderedPageBreak/>
        <w:t xml:space="preserve">seek interim interlocutory relief in her judicial review proceedings, the procedures under Order 84 did not guarantee her the right to have her application for suspension heard and determined prior to her transfer. Thus, it was said, the availability of judicial review of the Article 17 Decision under Order 84 RSC did not satisfy the requirements of Article 27(3) </w:t>
      </w:r>
      <w:r w:rsidR="00196CDF">
        <w:rPr>
          <w:rFonts w:cs="Times New Roman"/>
          <w:sz w:val="24"/>
          <w:szCs w:val="24"/>
        </w:rPr>
        <w:t xml:space="preserve">(or Article 27(2)) </w:t>
      </w:r>
      <w:r w:rsidR="001E2B43">
        <w:rPr>
          <w:rFonts w:cs="Times New Roman"/>
          <w:sz w:val="24"/>
          <w:szCs w:val="24"/>
        </w:rPr>
        <w:t>in any event.</w:t>
      </w:r>
      <w:r w:rsidR="00196CDF">
        <w:rPr>
          <w:rFonts w:cs="Times New Roman"/>
          <w:sz w:val="24"/>
          <w:szCs w:val="24"/>
        </w:rPr>
        <w:t xml:space="preserve"> However, as the Applicant also accepted, any such </w:t>
      </w:r>
      <w:r w:rsidR="00FF0910">
        <w:rPr>
          <w:rFonts w:cs="Times New Roman"/>
          <w:sz w:val="24"/>
          <w:szCs w:val="24"/>
        </w:rPr>
        <w:t xml:space="preserve">alleged </w:t>
      </w:r>
      <w:r w:rsidR="00196CDF">
        <w:rPr>
          <w:rFonts w:cs="Times New Roman"/>
          <w:sz w:val="24"/>
          <w:szCs w:val="24"/>
        </w:rPr>
        <w:t>inadequacy in the procedures for interim relief available under Order 84 ha</w:t>
      </w:r>
      <w:r w:rsidR="008A7BE1">
        <w:rPr>
          <w:rFonts w:cs="Times New Roman"/>
          <w:sz w:val="24"/>
          <w:szCs w:val="24"/>
        </w:rPr>
        <w:t>s</w:t>
      </w:r>
      <w:r w:rsidR="00196CDF">
        <w:rPr>
          <w:rFonts w:cs="Times New Roman"/>
          <w:sz w:val="24"/>
          <w:szCs w:val="24"/>
        </w:rPr>
        <w:t xml:space="preserve"> not caused her any concrete prejudice.</w:t>
      </w:r>
    </w:p>
    <w:p w14:paraId="67B8F245" w14:textId="77777777" w:rsidR="00196CDF" w:rsidRDefault="00196CDF" w:rsidP="00196CDF">
      <w:pPr>
        <w:pStyle w:val="ListParagraph"/>
        <w:autoSpaceDE w:val="0"/>
        <w:autoSpaceDN w:val="0"/>
        <w:adjustRightInd w:val="0"/>
        <w:spacing w:after="0" w:line="480" w:lineRule="auto"/>
        <w:jc w:val="both"/>
        <w:rPr>
          <w:rFonts w:cs="Times New Roman"/>
          <w:sz w:val="24"/>
          <w:szCs w:val="24"/>
        </w:rPr>
      </w:pPr>
    </w:p>
    <w:p w14:paraId="732778A2" w14:textId="173CE344" w:rsidR="00196CDF" w:rsidRDefault="00196CDF" w:rsidP="00126316">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The</w:t>
      </w:r>
      <w:r w:rsidR="007C68EF">
        <w:rPr>
          <w:rFonts w:cs="Times New Roman"/>
          <w:sz w:val="24"/>
          <w:szCs w:val="24"/>
        </w:rPr>
        <w:t xml:space="preserve"> fact that this issue arose only in the context of an application for an interlocutory injunction is of some relevance in this context. In the event that the Applicant had sought declaratory relief which had been the subject of determination by the High Court, there might be a stronger argument for addressing the issue, notwithstanding its mootness. No such declaratory relief was sought however. In her Notice of Appeal, the Applicant purports to seek two declarations. </w:t>
      </w:r>
      <w:r w:rsidR="007C68EF">
        <w:rPr>
          <w:rStyle w:val="FootnoteReference"/>
          <w:rFonts w:cs="Times New Roman"/>
          <w:sz w:val="24"/>
          <w:szCs w:val="24"/>
        </w:rPr>
        <w:footnoteReference w:id="5"/>
      </w:r>
      <w:r w:rsidR="007C68EF">
        <w:rPr>
          <w:rFonts w:cs="Times New Roman"/>
          <w:sz w:val="24"/>
          <w:szCs w:val="24"/>
        </w:rPr>
        <w:t xml:space="preserve"> But it is not open to the Applicant to seek additional reliefs in this way. Absent a further amendment of the Amended Statement of Grounds – and no application for leave to amend was made to this Court – the Applicant is confined to the reliefs </w:t>
      </w:r>
      <w:r w:rsidR="002F0A21">
        <w:rPr>
          <w:rFonts w:cs="Times New Roman"/>
          <w:sz w:val="24"/>
          <w:szCs w:val="24"/>
        </w:rPr>
        <w:t>which she was given leave to seek by Heslin J in the High Court on 24 September 2021.</w:t>
      </w:r>
    </w:p>
    <w:p w14:paraId="3D43C9C4" w14:textId="77777777" w:rsidR="002F0A21" w:rsidRDefault="002F0A21" w:rsidP="002F0A21">
      <w:pPr>
        <w:pStyle w:val="ListParagraph"/>
        <w:autoSpaceDE w:val="0"/>
        <w:autoSpaceDN w:val="0"/>
        <w:adjustRightInd w:val="0"/>
        <w:spacing w:after="0" w:line="480" w:lineRule="auto"/>
        <w:jc w:val="both"/>
        <w:rPr>
          <w:rFonts w:cs="Times New Roman"/>
          <w:sz w:val="24"/>
          <w:szCs w:val="24"/>
        </w:rPr>
      </w:pPr>
    </w:p>
    <w:p w14:paraId="1377133B" w14:textId="5D068C5C" w:rsidR="002F0A21" w:rsidRDefault="002F0A21" w:rsidP="00126316">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 xml:space="preserve">There is one further consideration which, in my view, has significant if not </w:t>
      </w:r>
      <w:r w:rsidR="004B7C55">
        <w:rPr>
          <w:rFonts w:cs="Times New Roman"/>
          <w:sz w:val="24"/>
          <w:szCs w:val="24"/>
        </w:rPr>
        <w:t xml:space="preserve">indeed </w:t>
      </w:r>
      <w:r>
        <w:rPr>
          <w:rFonts w:cs="Times New Roman"/>
          <w:sz w:val="24"/>
          <w:szCs w:val="24"/>
        </w:rPr>
        <w:t>decisive weight</w:t>
      </w:r>
      <w:r w:rsidR="00D47DE0">
        <w:rPr>
          <w:rFonts w:cs="Times New Roman"/>
          <w:sz w:val="24"/>
          <w:szCs w:val="24"/>
        </w:rPr>
        <w:t xml:space="preserve"> in this context. It is this.</w:t>
      </w:r>
      <w:r>
        <w:rPr>
          <w:rFonts w:cs="Times New Roman"/>
          <w:sz w:val="24"/>
          <w:szCs w:val="24"/>
        </w:rPr>
        <w:t xml:space="preserve"> The automatic suspension issue </w:t>
      </w:r>
      <w:r w:rsidR="00D47DE0">
        <w:rPr>
          <w:rFonts w:cs="Times New Roman"/>
          <w:sz w:val="24"/>
          <w:szCs w:val="24"/>
        </w:rPr>
        <w:t>necessarily</w:t>
      </w:r>
      <w:r>
        <w:rPr>
          <w:rFonts w:cs="Times New Roman"/>
          <w:sz w:val="24"/>
          <w:szCs w:val="24"/>
        </w:rPr>
        <w:t xml:space="preserve"> </w:t>
      </w:r>
      <w:r>
        <w:rPr>
          <w:rFonts w:cs="Times New Roman"/>
          <w:sz w:val="24"/>
          <w:szCs w:val="24"/>
        </w:rPr>
        <w:lastRenderedPageBreak/>
        <w:t xml:space="preserve">raises the issue of the scope of the Article 27 remedy and whether or not it encompasses the exercise of the discretion under Article 17(1). In light of the CJEU’s decision in </w:t>
      </w:r>
      <w:r w:rsidRPr="002F0A21">
        <w:rPr>
          <w:rFonts w:cs="Times New Roman"/>
          <w:i/>
          <w:sz w:val="24"/>
          <w:szCs w:val="24"/>
        </w:rPr>
        <w:t>MA</w:t>
      </w:r>
      <w:r>
        <w:rPr>
          <w:rFonts w:cs="Times New Roman"/>
          <w:sz w:val="24"/>
          <w:szCs w:val="24"/>
        </w:rPr>
        <w:t xml:space="preserve">, the Judge thought it clear that it did not: Judgment, para 56. For reasons that I </w:t>
      </w:r>
      <w:r w:rsidR="00D47DE0">
        <w:rPr>
          <w:rFonts w:cs="Times New Roman"/>
          <w:sz w:val="24"/>
          <w:szCs w:val="24"/>
        </w:rPr>
        <w:t>will</w:t>
      </w:r>
      <w:r>
        <w:rPr>
          <w:rFonts w:cs="Times New Roman"/>
          <w:sz w:val="24"/>
          <w:szCs w:val="24"/>
        </w:rPr>
        <w:t xml:space="preserve"> briefly indicate, I do not consider that issue to be clear and, if the Court were proceed</w:t>
      </w:r>
      <w:r w:rsidR="00D47DE0">
        <w:rPr>
          <w:rFonts w:cs="Times New Roman"/>
          <w:sz w:val="24"/>
          <w:szCs w:val="24"/>
        </w:rPr>
        <w:t>ing</w:t>
      </w:r>
      <w:r>
        <w:rPr>
          <w:rFonts w:cs="Times New Roman"/>
          <w:sz w:val="24"/>
          <w:szCs w:val="24"/>
        </w:rPr>
        <w:t xml:space="preserve"> to address that issue </w:t>
      </w:r>
      <w:r w:rsidR="00D47DE0">
        <w:rPr>
          <w:rFonts w:cs="Times New Roman"/>
          <w:sz w:val="24"/>
          <w:szCs w:val="24"/>
        </w:rPr>
        <w:t>on this appeal, it seems to me that it would be necessary to seek to seek further guidance from the CJEU pursuant to Article 267 TFEU.</w:t>
      </w:r>
    </w:p>
    <w:p w14:paraId="5DDBD045" w14:textId="77777777" w:rsidR="006E266B" w:rsidRDefault="006E266B" w:rsidP="006E266B">
      <w:pPr>
        <w:pStyle w:val="ListParagraph"/>
        <w:autoSpaceDE w:val="0"/>
        <w:autoSpaceDN w:val="0"/>
        <w:adjustRightInd w:val="0"/>
        <w:spacing w:after="0" w:line="480" w:lineRule="auto"/>
        <w:jc w:val="both"/>
        <w:rPr>
          <w:rFonts w:cs="Times New Roman"/>
          <w:sz w:val="24"/>
          <w:szCs w:val="24"/>
        </w:rPr>
      </w:pPr>
    </w:p>
    <w:p w14:paraId="67B85F52" w14:textId="64239155" w:rsidR="00D47DE0" w:rsidRPr="004B7C55" w:rsidRDefault="006E266B" w:rsidP="004B7C55">
      <w:pPr>
        <w:pStyle w:val="ListParagraph"/>
        <w:numPr>
          <w:ilvl w:val="0"/>
          <w:numId w:val="1"/>
        </w:numPr>
        <w:autoSpaceDE w:val="0"/>
        <w:autoSpaceDN w:val="0"/>
        <w:adjustRightInd w:val="0"/>
        <w:spacing w:after="0" w:line="480" w:lineRule="auto"/>
        <w:ind w:hanging="720"/>
        <w:jc w:val="both"/>
        <w:rPr>
          <w:rFonts w:cs="Times New Roman"/>
          <w:sz w:val="24"/>
          <w:szCs w:val="24"/>
        </w:rPr>
      </w:pPr>
      <w:r w:rsidRPr="006E266B">
        <w:rPr>
          <w:rFonts w:cs="Times New Roman"/>
          <w:sz w:val="24"/>
          <w:szCs w:val="24"/>
        </w:rPr>
        <w:t xml:space="preserve">In para 64 of </w:t>
      </w:r>
      <w:r w:rsidRPr="006E266B">
        <w:rPr>
          <w:rFonts w:cs="Times New Roman"/>
          <w:i/>
          <w:sz w:val="24"/>
          <w:szCs w:val="24"/>
        </w:rPr>
        <w:t>MA</w:t>
      </w:r>
      <w:r w:rsidRPr="006E266B">
        <w:rPr>
          <w:rFonts w:cs="Times New Roman"/>
          <w:sz w:val="24"/>
          <w:szCs w:val="24"/>
        </w:rPr>
        <w:t xml:space="preserve">, the CJEU recalled that it was </w:t>
      </w:r>
      <w:r>
        <w:rPr>
          <w:rFonts w:cs="Times New Roman"/>
          <w:sz w:val="24"/>
          <w:szCs w:val="24"/>
        </w:rPr>
        <w:t>“</w:t>
      </w:r>
      <w:r w:rsidRPr="006E266B">
        <w:rPr>
          <w:rFonts w:cs="Times New Roman"/>
          <w:i/>
          <w:sz w:val="24"/>
          <w:szCs w:val="24"/>
        </w:rPr>
        <w:t>apparent from the case-law of the Court that the discretion conferred on Member States by Article 17(1) of the Dublin III Regulation is an integral part of the mechanisms laid down by that regulation for determining the Member State responsible for an asylum application.</w:t>
      </w:r>
      <w:r>
        <w:rPr>
          <w:rFonts w:cs="Times New Roman"/>
          <w:i/>
          <w:sz w:val="24"/>
          <w:szCs w:val="24"/>
        </w:rPr>
        <w:t xml:space="preserve">” </w:t>
      </w:r>
      <w:r>
        <w:rPr>
          <w:rFonts w:cs="Times New Roman"/>
          <w:sz w:val="24"/>
          <w:szCs w:val="24"/>
        </w:rPr>
        <w:t xml:space="preserve">Thus, the Court went on, a decision whether to exercise that discretion implements EU law. </w:t>
      </w:r>
      <w:r>
        <w:rPr>
          <w:rFonts w:cs="Times New Roman"/>
          <w:i/>
          <w:sz w:val="24"/>
          <w:szCs w:val="24"/>
        </w:rPr>
        <w:t xml:space="preserve"> </w:t>
      </w:r>
      <w:r>
        <w:rPr>
          <w:rFonts w:cs="Times New Roman"/>
          <w:sz w:val="24"/>
          <w:szCs w:val="24"/>
        </w:rPr>
        <w:t xml:space="preserve">Referring to a similar statement by the Court in </w:t>
      </w:r>
      <w:r w:rsidRPr="006E266B">
        <w:rPr>
          <w:rFonts w:cs="Times New Roman"/>
          <w:i/>
          <w:sz w:val="24"/>
          <w:szCs w:val="24"/>
        </w:rPr>
        <w:t>CK</w:t>
      </w:r>
      <w:r>
        <w:rPr>
          <w:rFonts w:cs="Times New Roman"/>
          <w:sz w:val="24"/>
          <w:szCs w:val="24"/>
        </w:rPr>
        <w:t xml:space="preserve">, the Judge expressed the view that it related only to the question of whether the application of Article 17(1) is governed solely by national law or whether it is a question governed by EU law (Judgment, para 53). </w:t>
      </w:r>
      <w:r w:rsidR="00432F42">
        <w:rPr>
          <w:rFonts w:cs="Times New Roman"/>
          <w:sz w:val="24"/>
          <w:szCs w:val="24"/>
        </w:rPr>
        <w:t xml:space="preserve">Arguably, that is too </w:t>
      </w:r>
      <w:r w:rsidR="00C6733C">
        <w:rPr>
          <w:rFonts w:cs="Times New Roman"/>
          <w:sz w:val="24"/>
          <w:szCs w:val="24"/>
        </w:rPr>
        <w:t>cramped</w:t>
      </w:r>
      <w:r w:rsidR="00432F42">
        <w:rPr>
          <w:rFonts w:cs="Times New Roman"/>
          <w:sz w:val="24"/>
          <w:szCs w:val="24"/>
        </w:rPr>
        <w:t xml:space="preserve"> a view. The jurisprudence of the CJEU might in fact be thought to suggest that the Article 27 remedy </w:t>
      </w:r>
      <w:r w:rsidR="004B7C55">
        <w:rPr>
          <w:rFonts w:cs="Times New Roman"/>
          <w:sz w:val="24"/>
          <w:szCs w:val="24"/>
        </w:rPr>
        <w:t xml:space="preserve">must </w:t>
      </w:r>
      <w:r w:rsidR="00432F42">
        <w:rPr>
          <w:rFonts w:cs="Times New Roman"/>
          <w:sz w:val="24"/>
          <w:szCs w:val="24"/>
        </w:rPr>
        <w:t>encompass</w:t>
      </w:r>
      <w:r w:rsidR="00432F42" w:rsidRPr="004B7C55">
        <w:rPr>
          <w:rFonts w:cs="Times New Roman"/>
          <w:sz w:val="24"/>
          <w:szCs w:val="24"/>
        </w:rPr>
        <w:t xml:space="preserve"> </w:t>
      </w:r>
      <w:r w:rsidR="00432F42" w:rsidRPr="004B7C55">
        <w:rPr>
          <w:rFonts w:cs="Times New Roman"/>
          <w:i/>
          <w:sz w:val="24"/>
          <w:szCs w:val="24"/>
        </w:rPr>
        <w:t>all</w:t>
      </w:r>
      <w:r w:rsidR="00432F42" w:rsidRPr="004B7C55">
        <w:rPr>
          <w:rFonts w:cs="Times New Roman"/>
          <w:sz w:val="24"/>
          <w:szCs w:val="24"/>
        </w:rPr>
        <w:t xml:space="preserve"> aspects of the determination of the Member State responsible. Thus, in Case C-670/16 </w:t>
      </w:r>
      <w:r w:rsidR="00432F42" w:rsidRPr="004B7C55">
        <w:rPr>
          <w:rFonts w:cs="Times New Roman"/>
          <w:i/>
          <w:sz w:val="24"/>
          <w:szCs w:val="24"/>
        </w:rPr>
        <w:t>Mengesteab v Germany</w:t>
      </w:r>
      <w:r w:rsidR="00432F42" w:rsidRPr="004B7C55">
        <w:rPr>
          <w:rFonts w:cs="Times New Roman"/>
          <w:sz w:val="24"/>
          <w:szCs w:val="24"/>
        </w:rPr>
        <w:t xml:space="preserve"> [2018] 1 WLR 865, the CJEU (Grand Chamber) stated that while the provisions of Article 21(1) </w:t>
      </w:r>
      <w:r w:rsidR="00C6733C" w:rsidRPr="004B7C55">
        <w:rPr>
          <w:rFonts w:cs="Times New Roman"/>
          <w:sz w:val="24"/>
          <w:szCs w:val="24"/>
        </w:rPr>
        <w:t xml:space="preserve">of Dublin III </w:t>
      </w:r>
      <w:r w:rsidR="00432F42" w:rsidRPr="004B7C55">
        <w:rPr>
          <w:rFonts w:cs="Times New Roman"/>
          <w:sz w:val="24"/>
          <w:szCs w:val="24"/>
        </w:rPr>
        <w:t xml:space="preserve">(the time-limits for effecting a transfer) were intended to provide for a framework for the take charge procedure, they </w:t>
      </w:r>
      <w:r w:rsidR="00432F42" w:rsidRPr="004B7C55">
        <w:rPr>
          <w:rFonts w:cs="Times New Roman"/>
          <w:i/>
          <w:sz w:val="24"/>
          <w:szCs w:val="24"/>
        </w:rPr>
        <w:t>“also contribute</w:t>
      </w:r>
      <w:r w:rsidR="00C6733C" w:rsidRPr="004B7C55">
        <w:rPr>
          <w:rFonts w:cs="Times New Roman"/>
          <w:i/>
          <w:sz w:val="24"/>
          <w:szCs w:val="24"/>
        </w:rPr>
        <w:t>, in the same way as the criteria set out in Chapter III of that Regulation, to determining the responsible member state, within the meaning of that Regulation</w:t>
      </w:r>
      <w:r w:rsidR="00C6733C" w:rsidRPr="004B7C55">
        <w:rPr>
          <w:rFonts w:cs="Times New Roman"/>
          <w:sz w:val="24"/>
          <w:szCs w:val="24"/>
        </w:rPr>
        <w:t xml:space="preserve">” (para 53). On that basis, the Court concluded that the court dealing with an action challenging </w:t>
      </w:r>
      <w:r w:rsidR="00C6733C" w:rsidRPr="004B7C55">
        <w:rPr>
          <w:rFonts w:cs="Times New Roman"/>
          <w:sz w:val="24"/>
          <w:szCs w:val="24"/>
        </w:rPr>
        <w:lastRenderedPageBreak/>
        <w:t>a transfer decision had to be able to consider any claim that their transfer would infringe Article 21(1) (para 55-58). Arguably</w:t>
      </w:r>
      <w:r w:rsidR="00FD4CA3" w:rsidRPr="004B7C55">
        <w:rPr>
          <w:rFonts w:cs="Times New Roman"/>
          <w:sz w:val="24"/>
          <w:szCs w:val="24"/>
        </w:rPr>
        <w:t>,</w:t>
      </w:r>
      <w:r w:rsidR="00C6733C" w:rsidRPr="004B7C55">
        <w:rPr>
          <w:rFonts w:cs="Times New Roman"/>
          <w:sz w:val="24"/>
          <w:szCs w:val="24"/>
        </w:rPr>
        <w:t xml:space="preserve"> Article 17(1) is much more central to the determination of the Member State responsible than a provision such as Article 21(1). </w:t>
      </w:r>
      <w:r w:rsidR="0058287F" w:rsidRPr="004B7C55">
        <w:rPr>
          <w:rFonts w:cs="Times New Roman"/>
          <w:sz w:val="24"/>
          <w:szCs w:val="24"/>
        </w:rPr>
        <w:t>Where</w:t>
      </w:r>
      <w:r w:rsidR="00C6733C" w:rsidRPr="004B7C55">
        <w:rPr>
          <w:rFonts w:cs="Times New Roman"/>
          <w:sz w:val="24"/>
          <w:szCs w:val="24"/>
        </w:rPr>
        <w:t xml:space="preserve"> a Member State exercise</w:t>
      </w:r>
      <w:r w:rsidR="0058287F" w:rsidRPr="004B7C55">
        <w:rPr>
          <w:rFonts w:cs="Times New Roman"/>
          <w:sz w:val="24"/>
          <w:szCs w:val="24"/>
        </w:rPr>
        <w:t>s</w:t>
      </w:r>
      <w:r w:rsidR="00C6733C" w:rsidRPr="004B7C55">
        <w:rPr>
          <w:rFonts w:cs="Times New Roman"/>
          <w:sz w:val="24"/>
          <w:szCs w:val="24"/>
        </w:rPr>
        <w:t xml:space="preserve"> the discretion </w:t>
      </w:r>
      <w:r w:rsidR="0058287F" w:rsidRPr="004B7C55">
        <w:rPr>
          <w:rFonts w:cs="Times New Roman"/>
          <w:sz w:val="24"/>
          <w:szCs w:val="24"/>
        </w:rPr>
        <w:t xml:space="preserve">conferred by Article 17(1), it </w:t>
      </w:r>
      <w:r w:rsidR="0058287F" w:rsidRPr="004B7C55">
        <w:rPr>
          <w:rFonts w:cs="Times New Roman"/>
          <w:i/>
          <w:sz w:val="24"/>
          <w:szCs w:val="24"/>
        </w:rPr>
        <w:t>ipso facto</w:t>
      </w:r>
      <w:r w:rsidR="0058287F" w:rsidRPr="004B7C55">
        <w:rPr>
          <w:rFonts w:cs="Times New Roman"/>
          <w:sz w:val="24"/>
          <w:szCs w:val="24"/>
        </w:rPr>
        <w:t xml:space="preserve"> becomes the Member State responsible, thus effectively trumping the Chapter III criteria. </w:t>
      </w:r>
    </w:p>
    <w:p w14:paraId="02EAADEA" w14:textId="77777777" w:rsidR="0058287F" w:rsidRDefault="0058287F" w:rsidP="0058287F">
      <w:pPr>
        <w:pStyle w:val="ListParagraph"/>
        <w:autoSpaceDE w:val="0"/>
        <w:autoSpaceDN w:val="0"/>
        <w:adjustRightInd w:val="0"/>
        <w:spacing w:after="0" w:line="480" w:lineRule="auto"/>
        <w:jc w:val="both"/>
        <w:rPr>
          <w:rFonts w:cs="Times New Roman"/>
          <w:sz w:val="24"/>
          <w:szCs w:val="24"/>
        </w:rPr>
      </w:pPr>
    </w:p>
    <w:p w14:paraId="0F6544D4" w14:textId="1D35E071" w:rsidR="003E43EE" w:rsidRPr="00126316" w:rsidRDefault="00B50A8C" w:rsidP="003E43EE">
      <w:pPr>
        <w:pStyle w:val="ListParagraph"/>
        <w:numPr>
          <w:ilvl w:val="0"/>
          <w:numId w:val="1"/>
        </w:numPr>
        <w:autoSpaceDE w:val="0"/>
        <w:autoSpaceDN w:val="0"/>
        <w:adjustRightInd w:val="0"/>
        <w:spacing w:after="240" w:line="480" w:lineRule="auto"/>
        <w:ind w:left="714" w:hanging="714"/>
        <w:jc w:val="both"/>
        <w:rPr>
          <w:rFonts w:cs="Times New Roman"/>
          <w:sz w:val="24"/>
          <w:szCs w:val="24"/>
        </w:rPr>
      </w:pPr>
      <w:r>
        <w:rPr>
          <w:rFonts w:cs="Times New Roman"/>
          <w:sz w:val="24"/>
          <w:szCs w:val="24"/>
        </w:rPr>
        <w:t xml:space="preserve">In </w:t>
      </w:r>
      <w:r w:rsidRPr="003E43EE">
        <w:rPr>
          <w:rFonts w:cs="Times New Roman"/>
          <w:i/>
          <w:sz w:val="24"/>
          <w:szCs w:val="24"/>
        </w:rPr>
        <w:t>MA</w:t>
      </w:r>
      <w:r>
        <w:rPr>
          <w:rFonts w:cs="Times New Roman"/>
          <w:sz w:val="24"/>
          <w:szCs w:val="24"/>
        </w:rPr>
        <w:t xml:space="preserve">, the CJEU </w:t>
      </w:r>
      <w:bookmarkStart w:id="14" w:name="point75"/>
      <w:r w:rsidR="003E43EE">
        <w:rPr>
          <w:rFonts w:cs="Times New Roman"/>
          <w:sz w:val="24"/>
          <w:szCs w:val="24"/>
        </w:rPr>
        <w:t>stated that “</w:t>
      </w:r>
      <w:r w:rsidR="003E43EE" w:rsidRPr="003E43EE">
        <w:rPr>
          <w:rFonts w:cs="Times New Roman"/>
          <w:i/>
          <w:sz w:val="24"/>
          <w:szCs w:val="24"/>
        </w:rPr>
        <w:t>Article 27(1) of the Dublin III Regulation must be interpreted as meaning that it does not require a remedy to be made available against the decision not to use the option set out in Article 17(1) of that regulation</w:t>
      </w:r>
      <w:r w:rsidR="003E43EE">
        <w:rPr>
          <w:rFonts w:cs="Times New Roman"/>
          <w:sz w:val="24"/>
          <w:szCs w:val="24"/>
        </w:rPr>
        <w:t xml:space="preserve">” (para 79). So much is clear. However, the Court also emphasised that the principle of effective judicial protection applied. Thus, the Court went on, the decision not to use the Article 17(1) </w:t>
      </w:r>
      <w:r w:rsidR="00126316">
        <w:rPr>
          <w:rFonts w:cs="Times New Roman"/>
          <w:sz w:val="24"/>
          <w:szCs w:val="24"/>
        </w:rPr>
        <w:t xml:space="preserve">option </w:t>
      </w:r>
      <w:r w:rsidR="003E43EE">
        <w:rPr>
          <w:rFonts w:cs="Times New Roman"/>
          <w:sz w:val="24"/>
          <w:szCs w:val="24"/>
        </w:rPr>
        <w:t>“</w:t>
      </w:r>
      <w:r w:rsidR="003E43EE" w:rsidRPr="003E43EE">
        <w:rPr>
          <w:rFonts w:cs="Times New Roman"/>
          <w:i/>
          <w:sz w:val="24"/>
          <w:szCs w:val="24"/>
        </w:rPr>
        <w:t>may be challenged at the time of an appeal against a transfer decision</w:t>
      </w:r>
      <w:r w:rsidR="003E43EE">
        <w:rPr>
          <w:rFonts w:cs="Times New Roman"/>
          <w:sz w:val="24"/>
          <w:szCs w:val="24"/>
        </w:rPr>
        <w:t xml:space="preserve">” (paras 78 &amp; 79). </w:t>
      </w:r>
      <w:r w:rsidR="00126316">
        <w:rPr>
          <w:rFonts w:cs="Times New Roman"/>
          <w:sz w:val="24"/>
          <w:szCs w:val="24"/>
        </w:rPr>
        <w:t>In saying that, the Court clearly contemplated that a decision under Article 17(1) would precede a transfer decision</w:t>
      </w:r>
      <w:r w:rsidR="00126316" w:rsidRPr="00126316">
        <w:rPr>
          <w:rFonts w:cs="Times New Roman"/>
          <w:i/>
          <w:sz w:val="24"/>
          <w:szCs w:val="24"/>
        </w:rPr>
        <w:t xml:space="preserve"> (“if a member state refuses to use the discretionary clause set out in article 17(1) … that necessarily means that that member state must adopt a transfer decis</w:t>
      </w:r>
      <w:r w:rsidR="00126316">
        <w:rPr>
          <w:rFonts w:cs="Times New Roman"/>
          <w:i/>
          <w:sz w:val="24"/>
          <w:szCs w:val="24"/>
        </w:rPr>
        <w:t>ion”).</w:t>
      </w:r>
    </w:p>
    <w:p w14:paraId="2DA2AC5B" w14:textId="77777777" w:rsidR="00126316" w:rsidRPr="00126316" w:rsidRDefault="00126316" w:rsidP="00126316">
      <w:pPr>
        <w:pStyle w:val="ListParagraph"/>
        <w:autoSpaceDE w:val="0"/>
        <w:autoSpaceDN w:val="0"/>
        <w:adjustRightInd w:val="0"/>
        <w:spacing w:after="240" w:line="480" w:lineRule="auto"/>
        <w:ind w:left="714"/>
        <w:jc w:val="both"/>
        <w:rPr>
          <w:rFonts w:cs="Times New Roman"/>
          <w:sz w:val="24"/>
          <w:szCs w:val="24"/>
        </w:rPr>
      </w:pPr>
    </w:p>
    <w:p w14:paraId="1C3C4290" w14:textId="2FF31B7D" w:rsidR="00126316" w:rsidRDefault="00126316" w:rsidP="003E43EE">
      <w:pPr>
        <w:pStyle w:val="ListParagraph"/>
        <w:numPr>
          <w:ilvl w:val="0"/>
          <w:numId w:val="1"/>
        </w:numPr>
        <w:autoSpaceDE w:val="0"/>
        <w:autoSpaceDN w:val="0"/>
        <w:adjustRightInd w:val="0"/>
        <w:spacing w:after="240" w:line="480" w:lineRule="auto"/>
        <w:ind w:left="714" w:hanging="714"/>
        <w:jc w:val="both"/>
        <w:rPr>
          <w:rFonts w:cs="Times New Roman"/>
          <w:sz w:val="24"/>
          <w:szCs w:val="24"/>
        </w:rPr>
      </w:pPr>
      <w:r>
        <w:rPr>
          <w:rFonts w:cs="Times New Roman"/>
          <w:sz w:val="24"/>
          <w:szCs w:val="24"/>
        </w:rPr>
        <w:t xml:space="preserve">The Minister says that </w:t>
      </w:r>
      <w:r w:rsidRPr="00126316">
        <w:rPr>
          <w:rFonts w:cs="Times New Roman"/>
          <w:i/>
          <w:sz w:val="24"/>
          <w:szCs w:val="24"/>
        </w:rPr>
        <w:t>MA</w:t>
      </w:r>
      <w:r>
        <w:rPr>
          <w:rFonts w:cs="Times New Roman"/>
          <w:sz w:val="24"/>
          <w:szCs w:val="24"/>
        </w:rPr>
        <w:t xml:space="preserve"> should not be taken as indicating that an appeal against a transfer decision must therefore encompass any challenge to the decision not to use the option in Article 17(1). All </w:t>
      </w:r>
      <w:r w:rsidR="0042006D">
        <w:rPr>
          <w:rFonts w:cs="Times New Roman"/>
          <w:sz w:val="24"/>
          <w:szCs w:val="24"/>
        </w:rPr>
        <w:t xml:space="preserve">that </w:t>
      </w:r>
      <w:r w:rsidRPr="0042006D">
        <w:rPr>
          <w:rFonts w:cs="Times New Roman"/>
          <w:i/>
          <w:sz w:val="24"/>
          <w:szCs w:val="24"/>
        </w:rPr>
        <w:t>MA</w:t>
      </w:r>
      <w:r>
        <w:rPr>
          <w:rFonts w:cs="Times New Roman"/>
          <w:sz w:val="24"/>
          <w:szCs w:val="24"/>
        </w:rPr>
        <w:t xml:space="preserve"> requires is that such a challenge can be made “</w:t>
      </w:r>
      <w:r w:rsidRPr="00126316">
        <w:rPr>
          <w:rFonts w:cs="Times New Roman"/>
          <w:i/>
          <w:sz w:val="24"/>
          <w:szCs w:val="24"/>
        </w:rPr>
        <w:t>at the time of</w:t>
      </w:r>
      <w:r>
        <w:rPr>
          <w:rFonts w:cs="Times New Roman"/>
          <w:sz w:val="24"/>
          <w:szCs w:val="24"/>
        </w:rPr>
        <w:t>” such an appeal an</w:t>
      </w:r>
      <w:r w:rsidR="00FD4CA3">
        <w:rPr>
          <w:rFonts w:cs="Times New Roman"/>
          <w:sz w:val="24"/>
          <w:szCs w:val="24"/>
        </w:rPr>
        <w:t>d</w:t>
      </w:r>
      <w:r>
        <w:rPr>
          <w:rFonts w:cs="Times New Roman"/>
          <w:sz w:val="24"/>
          <w:szCs w:val="24"/>
        </w:rPr>
        <w:t xml:space="preserve"> not necessarily as part of it. Here, it was said, applicants </w:t>
      </w:r>
      <w:r w:rsidR="00FD4CA3">
        <w:rPr>
          <w:rFonts w:cs="Times New Roman"/>
          <w:sz w:val="24"/>
          <w:szCs w:val="24"/>
        </w:rPr>
        <w:t>have</w:t>
      </w:r>
      <w:r>
        <w:rPr>
          <w:rFonts w:cs="Times New Roman"/>
          <w:sz w:val="24"/>
          <w:szCs w:val="24"/>
        </w:rPr>
        <w:t xml:space="preserve"> a separate remedy available to them in respect of a decision not to use the option in Article 17(1), namely </w:t>
      </w:r>
      <w:r w:rsidR="00FD4CA3">
        <w:rPr>
          <w:rFonts w:cs="Times New Roman"/>
          <w:sz w:val="24"/>
          <w:szCs w:val="24"/>
        </w:rPr>
        <w:t xml:space="preserve">Order 84 </w:t>
      </w:r>
      <w:r>
        <w:rPr>
          <w:rFonts w:cs="Times New Roman"/>
          <w:sz w:val="24"/>
          <w:szCs w:val="24"/>
        </w:rPr>
        <w:t xml:space="preserve">judicial review. </w:t>
      </w:r>
      <w:r w:rsidR="00DD2908">
        <w:rPr>
          <w:rFonts w:cs="Times New Roman"/>
          <w:sz w:val="24"/>
          <w:szCs w:val="24"/>
        </w:rPr>
        <w:t xml:space="preserve">Notwithstanding the CJEU’s </w:t>
      </w:r>
      <w:r w:rsidR="00DD2908">
        <w:rPr>
          <w:rFonts w:cs="Times New Roman"/>
          <w:sz w:val="24"/>
          <w:szCs w:val="24"/>
        </w:rPr>
        <w:lastRenderedPageBreak/>
        <w:t>observation that the objectives of Dublin III “</w:t>
      </w:r>
      <w:r w:rsidR="00DD2908" w:rsidRPr="00DD2908">
        <w:rPr>
          <w:rFonts w:cs="Times New Roman"/>
          <w:i/>
          <w:sz w:val="24"/>
          <w:szCs w:val="24"/>
        </w:rPr>
        <w:t>discourages multiple remedies”</w:t>
      </w:r>
      <w:r w:rsidR="00DD2908">
        <w:rPr>
          <w:rFonts w:cs="Times New Roman"/>
          <w:sz w:val="24"/>
          <w:szCs w:val="24"/>
        </w:rPr>
        <w:t xml:space="preserve">, that </w:t>
      </w:r>
      <w:r w:rsidR="00FD4CA3">
        <w:rPr>
          <w:rFonts w:cs="Times New Roman"/>
          <w:sz w:val="24"/>
          <w:szCs w:val="24"/>
        </w:rPr>
        <w:t xml:space="preserve">procedure </w:t>
      </w:r>
      <w:r w:rsidR="0042006D">
        <w:rPr>
          <w:rFonts w:cs="Times New Roman"/>
          <w:sz w:val="24"/>
          <w:szCs w:val="24"/>
        </w:rPr>
        <w:t>is</w:t>
      </w:r>
      <w:r w:rsidR="00DD2908">
        <w:rPr>
          <w:rFonts w:cs="Times New Roman"/>
          <w:sz w:val="24"/>
          <w:szCs w:val="24"/>
        </w:rPr>
        <w:t xml:space="preserve"> said</w:t>
      </w:r>
      <w:r w:rsidR="0042006D">
        <w:rPr>
          <w:rFonts w:cs="Times New Roman"/>
          <w:sz w:val="24"/>
          <w:szCs w:val="24"/>
        </w:rPr>
        <w:t xml:space="preserve"> by the Minister</w:t>
      </w:r>
      <w:r w:rsidR="00DD2908">
        <w:rPr>
          <w:rFonts w:cs="Times New Roman"/>
          <w:sz w:val="24"/>
          <w:szCs w:val="24"/>
        </w:rPr>
        <w:t xml:space="preserve"> to be</w:t>
      </w:r>
      <w:r w:rsidR="0042006D">
        <w:rPr>
          <w:rFonts w:cs="Times New Roman"/>
          <w:sz w:val="24"/>
          <w:szCs w:val="24"/>
        </w:rPr>
        <w:t xml:space="preserve"> fully</w:t>
      </w:r>
      <w:r w:rsidR="00DD2908">
        <w:rPr>
          <w:rFonts w:cs="Times New Roman"/>
          <w:sz w:val="24"/>
          <w:szCs w:val="24"/>
        </w:rPr>
        <w:t xml:space="preserve"> </w:t>
      </w:r>
      <w:r w:rsidR="0042006D">
        <w:rPr>
          <w:rFonts w:cs="Times New Roman"/>
          <w:sz w:val="24"/>
          <w:szCs w:val="24"/>
        </w:rPr>
        <w:t>compliant</w:t>
      </w:r>
      <w:r w:rsidR="00DD2908">
        <w:rPr>
          <w:rFonts w:cs="Times New Roman"/>
          <w:sz w:val="24"/>
          <w:szCs w:val="24"/>
        </w:rPr>
        <w:t xml:space="preserve"> with the requirements of </w:t>
      </w:r>
      <w:r w:rsidR="00FD4CA3">
        <w:rPr>
          <w:rFonts w:cs="Times New Roman"/>
          <w:sz w:val="24"/>
          <w:szCs w:val="24"/>
        </w:rPr>
        <w:t>Article 2</w:t>
      </w:r>
      <w:r w:rsidR="000F7248">
        <w:rPr>
          <w:rFonts w:cs="Times New Roman"/>
          <w:sz w:val="24"/>
          <w:szCs w:val="24"/>
        </w:rPr>
        <w:t xml:space="preserve">7 of </w:t>
      </w:r>
      <w:r w:rsidR="0042006D">
        <w:rPr>
          <w:rFonts w:cs="Times New Roman"/>
          <w:sz w:val="24"/>
          <w:szCs w:val="24"/>
        </w:rPr>
        <w:t xml:space="preserve">Dublin III and Article 47 of the Charter </w:t>
      </w:r>
      <w:r w:rsidR="00DD2908">
        <w:rPr>
          <w:rFonts w:cs="Times New Roman"/>
          <w:sz w:val="24"/>
          <w:szCs w:val="24"/>
        </w:rPr>
        <w:t xml:space="preserve">as explained in </w:t>
      </w:r>
      <w:r w:rsidR="00DD2908" w:rsidRPr="00DD2908">
        <w:rPr>
          <w:rFonts w:cs="Times New Roman"/>
          <w:i/>
          <w:sz w:val="24"/>
          <w:szCs w:val="24"/>
        </w:rPr>
        <w:t>MA</w:t>
      </w:r>
      <w:r w:rsidR="00DD2908">
        <w:rPr>
          <w:rFonts w:cs="Times New Roman"/>
          <w:sz w:val="24"/>
          <w:szCs w:val="24"/>
        </w:rPr>
        <w:t>.</w:t>
      </w:r>
    </w:p>
    <w:p w14:paraId="386A59B9" w14:textId="77777777" w:rsidR="00DD2908" w:rsidRDefault="00DD2908" w:rsidP="00DD2908">
      <w:pPr>
        <w:pStyle w:val="ListParagraph"/>
        <w:autoSpaceDE w:val="0"/>
        <w:autoSpaceDN w:val="0"/>
        <w:adjustRightInd w:val="0"/>
        <w:spacing w:after="240" w:line="480" w:lineRule="auto"/>
        <w:ind w:left="714"/>
        <w:jc w:val="both"/>
        <w:rPr>
          <w:rFonts w:cs="Times New Roman"/>
          <w:sz w:val="24"/>
          <w:szCs w:val="24"/>
        </w:rPr>
      </w:pPr>
    </w:p>
    <w:p w14:paraId="6A93D2AD" w14:textId="7C43AD14" w:rsidR="00DD2908" w:rsidRDefault="00B00926" w:rsidP="00DD2908">
      <w:pPr>
        <w:pStyle w:val="ListParagraph"/>
        <w:numPr>
          <w:ilvl w:val="0"/>
          <w:numId w:val="1"/>
        </w:numPr>
        <w:autoSpaceDE w:val="0"/>
        <w:autoSpaceDN w:val="0"/>
        <w:adjustRightInd w:val="0"/>
        <w:spacing w:after="240" w:line="480" w:lineRule="auto"/>
        <w:ind w:left="714" w:hanging="714"/>
        <w:jc w:val="both"/>
        <w:rPr>
          <w:rFonts w:cs="Times New Roman"/>
          <w:sz w:val="24"/>
          <w:szCs w:val="24"/>
        </w:rPr>
      </w:pPr>
      <w:r>
        <w:rPr>
          <w:rFonts w:cs="Times New Roman"/>
          <w:sz w:val="24"/>
          <w:szCs w:val="24"/>
        </w:rPr>
        <w:t xml:space="preserve">That may well be right but it does not appear to me that the position is so clear as to be beyond argument. </w:t>
      </w:r>
      <w:r>
        <w:rPr>
          <w:rFonts w:cs="Times New Roman"/>
          <w:i/>
          <w:iCs/>
          <w:sz w:val="24"/>
          <w:szCs w:val="24"/>
        </w:rPr>
        <w:t xml:space="preserve">MA </w:t>
      </w:r>
      <w:r w:rsidR="004B7C55">
        <w:rPr>
          <w:rFonts w:cs="Times New Roman"/>
          <w:i/>
          <w:sz w:val="24"/>
          <w:szCs w:val="24"/>
        </w:rPr>
        <w:t>could</w:t>
      </w:r>
      <w:r>
        <w:rPr>
          <w:rFonts w:cs="Times New Roman"/>
          <w:sz w:val="24"/>
          <w:szCs w:val="24"/>
        </w:rPr>
        <w:t xml:space="preserve"> be read as indicating that in an appeal from/review of a transfer decision </w:t>
      </w:r>
      <w:r w:rsidR="000F7248">
        <w:rPr>
          <w:rFonts w:cs="Times New Roman"/>
          <w:sz w:val="24"/>
          <w:szCs w:val="24"/>
        </w:rPr>
        <w:t>pursuant to</w:t>
      </w:r>
      <w:r>
        <w:rPr>
          <w:rFonts w:cs="Times New Roman"/>
          <w:sz w:val="24"/>
          <w:szCs w:val="24"/>
        </w:rPr>
        <w:t xml:space="preserve"> Article 27(1), an applicant </w:t>
      </w:r>
      <w:r w:rsidR="000F7248">
        <w:rPr>
          <w:rFonts w:cs="Times New Roman"/>
          <w:sz w:val="24"/>
          <w:szCs w:val="24"/>
        </w:rPr>
        <w:t xml:space="preserve">must </w:t>
      </w:r>
      <w:r>
        <w:rPr>
          <w:rFonts w:cs="Times New Roman"/>
          <w:sz w:val="24"/>
          <w:szCs w:val="24"/>
        </w:rPr>
        <w:t>be able to challenge the decision on the basis (</w:t>
      </w:r>
      <w:r>
        <w:rPr>
          <w:rFonts w:cs="Times New Roman"/>
          <w:i/>
          <w:iCs/>
          <w:sz w:val="24"/>
          <w:szCs w:val="24"/>
        </w:rPr>
        <w:t>inter alia</w:t>
      </w:r>
      <w:r>
        <w:rPr>
          <w:rFonts w:cs="Times New Roman"/>
          <w:sz w:val="24"/>
          <w:szCs w:val="24"/>
        </w:rPr>
        <w:t xml:space="preserve">) that the competent authority – here, the Minister – did not properly consider the exercise of the Article 17(1) discretion in their case. In other words, </w:t>
      </w:r>
      <w:r>
        <w:rPr>
          <w:rFonts w:cs="Times New Roman"/>
          <w:i/>
          <w:iCs/>
          <w:sz w:val="24"/>
          <w:szCs w:val="24"/>
        </w:rPr>
        <w:t>MA</w:t>
      </w:r>
      <w:r>
        <w:rPr>
          <w:rFonts w:cs="Times New Roman"/>
          <w:sz w:val="24"/>
          <w:szCs w:val="24"/>
        </w:rPr>
        <w:t xml:space="preserve"> </w:t>
      </w:r>
      <w:r w:rsidR="004B7C55">
        <w:rPr>
          <w:rFonts w:cs="Times New Roman"/>
          <w:i/>
          <w:sz w:val="24"/>
          <w:szCs w:val="24"/>
        </w:rPr>
        <w:t>could</w:t>
      </w:r>
      <w:r>
        <w:rPr>
          <w:rFonts w:cs="Times New Roman"/>
          <w:sz w:val="24"/>
          <w:szCs w:val="24"/>
        </w:rPr>
        <w:t xml:space="preserve"> be read as holding that, while Article 27(1) does not provide for a </w:t>
      </w:r>
      <w:r w:rsidR="000F7248">
        <w:rPr>
          <w:rFonts w:cs="Times New Roman"/>
          <w:sz w:val="24"/>
          <w:szCs w:val="24"/>
        </w:rPr>
        <w:t>separate</w:t>
      </w:r>
      <w:r>
        <w:rPr>
          <w:rFonts w:cs="Times New Roman"/>
          <w:sz w:val="24"/>
          <w:szCs w:val="24"/>
        </w:rPr>
        <w:t xml:space="preserve"> appeal</w:t>
      </w:r>
      <w:r w:rsidR="000F7248">
        <w:rPr>
          <w:rFonts w:cs="Times New Roman"/>
          <w:sz w:val="24"/>
          <w:szCs w:val="24"/>
        </w:rPr>
        <w:t>/review</w:t>
      </w:r>
      <w:r>
        <w:rPr>
          <w:rFonts w:cs="Times New Roman"/>
          <w:sz w:val="24"/>
          <w:szCs w:val="24"/>
        </w:rPr>
        <w:t xml:space="preserve"> against a decision under Article 17(1), that is </w:t>
      </w:r>
      <w:r w:rsidR="000F7248">
        <w:rPr>
          <w:rFonts w:cs="Times New Roman"/>
          <w:sz w:val="24"/>
          <w:szCs w:val="24"/>
        </w:rPr>
        <w:t xml:space="preserve">precisely </w:t>
      </w:r>
      <w:r>
        <w:rPr>
          <w:rFonts w:cs="Times New Roman"/>
          <w:sz w:val="24"/>
          <w:szCs w:val="24"/>
        </w:rPr>
        <w:t>because any challenge to that decision may be advanced as part of the appeal/review of the transfer decision itself</w:t>
      </w:r>
      <w:r w:rsidR="000F7248">
        <w:rPr>
          <w:rFonts w:cs="Times New Roman"/>
          <w:sz w:val="24"/>
          <w:szCs w:val="24"/>
        </w:rPr>
        <w:t xml:space="preserve"> (to which the provisions of Article 27(2) and 27(3) would apply)</w:t>
      </w:r>
      <w:r>
        <w:rPr>
          <w:rFonts w:cs="Times New Roman"/>
          <w:sz w:val="24"/>
          <w:szCs w:val="24"/>
        </w:rPr>
        <w:t xml:space="preserve">. </w:t>
      </w:r>
      <w:r w:rsidRPr="00B00926">
        <w:rPr>
          <w:rFonts w:cs="Times New Roman"/>
          <w:sz w:val="24"/>
          <w:szCs w:val="24"/>
        </w:rPr>
        <w:t xml:space="preserve">That is not possible under the 2018 Regulations. IPAT has no function in relation to Article 17(1) and any challenge to the Minister’s refusal to exercise her discretion under that provision is by way of judicial review to the High Court. Requiring an applicant to pursue multiple remedies, with different standards of review and different consequences for the implementation of the </w:t>
      </w:r>
      <w:r w:rsidR="000F7248">
        <w:rPr>
          <w:rFonts w:cs="Times New Roman"/>
          <w:sz w:val="24"/>
          <w:szCs w:val="24"/>
        </w:rPr>
        <w:t xml:space="preserve">disputed </w:t>
      </w:r>
      <w:r w:rsidRPr="00B00926">
        <w:rPr>
          <w:rFonts w:cs="Times New Roman"/>
          <w:sz w:val="24"/>
          <w:szCs w:val="24"/>
        </w:rPr>
        <w:t xml:space="preserve">transfer decision, </w:t>
      </w:r>
      <w:r w:rsidR="004B7C55">
        <w:rPr>
          <w:rFonts w:cs="Times New Roman"/>
          <w:i/>
          <w:sz w:val="24"/>
          <w:szCs w:val="24"/>
        </w:rPr>
        <w:t>could</w:t>
      </w:r>
      <w:r w:rsidRPr="00B00926">
        <w:rPr>
          <w:rFonts w:cs="Times New Roman"/>
          <w:sz w:val="24"/>
          <w:szCs w:val="24"/>
        </w:rPr>
        <w:t xml:space="preserve"> be said to depart from the fundamental requirement of EU </w:t>
      </w:r>
      <w:r w:rsidR="000F7248">
        <w:rPr>
          <w:rFonts w:cs="Times New Roman"/>
          <w:sz w:val="24"/>
          <w:szCs w:val="24"/>
        </w:rPr>
        <w:t xml:space="preserve">law </w:t>
      </w:r>
      <w:r w:rsidRPr="00B00926">
        <w:rPr>
          <w:rFonts w:cs="Times New Roman"/>
          <w:sz w:val="24"/>
          <w:szCs w:val="24"/>
        </w:rPr>
        <w:t xml:space="preserve">that the applicant have an effective remedy and effective judicial protection. I do not mean to suggest that such is the case. </w:t>
      </w:r>
      <w:r w:rsidR="000F7248">
        <w:rPr>
          <w:rFonts w:cs="Times New Roman"/>
          <w:sz w:val="24"/>
          <w:szCs w:val="24"/>
        </w:rPr>
        <w:t xml:space="preserve">Important questions </w:t>
      </w:r>
      <w:r w:rsidRPr="00B00926">
        <w:rPr>
          <w:rFonts w:cs="Times New Roman"/>
          <w:sz w:val="24"/>
          <w:szCs w:val="24"/>
        </w:rPr>
        <w:t>of Member State procedural autonomy</w:t>
      </w:r>
      <w:r w:rsidR="004B7C55">
        <w:rPr>
          <w:rFonts w:cs="Times New Roman"/>
          <w:sz w:val="24"/>
          <w:szCs w:val="24"/>
        </w:rPr>
        <w:t xml:space="preserve"> </w:t>
      </w:r>
      <w:r w:rsidRPr="00B00926">
        <w:rPr>
          <w:rFonts w:cs="Times New Roman"/>
          <w:sz w:val="24"/>
          <w:szCs w:val="24"/>
        </w:rPr>
        <w:t xml:space="preserve">would also need to be considered in this context. The point is that, in my view, the decision in </w:t>
      </w:r>
      <w:r w:rsidRPr="00B00926">
        <w:rPr>
          <w:rFonts w:cs="Times New Roman"/>
          <w:i/>
          <w:iCs/>
          <w:sz w:val="24"/>
          <w:szCs w:val="24"/>
        </w:rPr>
        <w:t>MA</w:t>
      </w:r>
      <w:r w:rsidRPr="00B00926">
        <w:rPr>
          <w:rFonts w:cs="Times New Roman"/>
          <w:sz w:val="24"/>
          <w:szCs w:val="24"/>
        </w:rPr>
        <w:t xml:space="preserve"> does not clearly foreclose such arguments</w:t>
      </w:r>
      <w:r>
        <w:rPr>
          <w:rFonts w:cs="Times New Roman"/>
          <w:sz w:val="24"/>
          <w:szCs w:val="24"/>
        </w:rPr>
        <w:t>.</w:t>
      </w:r>
    </w:p>
    <w:p w14:paraId="67B5436E" w14:textId="77777777" w:rsidR="0001203F" w:rsidRDefault="0001203F" w:rsidP="0001203F">
      <w:pPr>
        <w:pStyle w:val="ListParagraph"/>
        <w:autoSpaceDE w:val="0"/>
        <w:autoSpaceDN w:val="0"/>
        <w:adjustRightInd w:val="0"/>
        <w:spacing w:after="240" w:line="480" w:lineRule="auto"/>
        <w:ind w:left="714"/>
        <w:jc w:val="both"/>
        <w:rPr>
          <w:rFonts w:cs="Times New Roman"/>
          <w:sz w:val="24"/>
          <w:szCs w:val="24"/>
        </w:rPr>
      </w:pPr>
    </w:p>
    <w:p w14:paraId="3C0046B1" w14:textId="63B04D37" w:rsidR="000F5A03" w:rsidRPr="000F5A03" w:rsidRDefault="0001203F" w:rsidP="000F5A03">
      <w:pPr>
        <w:pStyle w:val="ListParagraph"/>
        <w:numPr>
          <w:ilvl w:val="0"/>
          <w:numId w:val="1"/>
        </w:numPr>
        <w:autoSpaceDE w:val="0"/>
        <w:autoSpaceDN w:val="0"/>
        <w:adjustRightInd w:val="0"/>
        <w:spacing w:after="240" w:line="480" w:lineRule="auto"/>
        <w:ind w:left="714" w:hanging="714"/>
        <w:jc w:val="both"/>
        <w:rPr>
          <w:rFonts w:cs="Times New Roman"/>
          <w:sz w:val="24"/>
          <w:szCs w:val="24"/>
        </w:rPr>
      </w:pPr>
      <w:r w:rsidRPr="0001203F">
        <w:rPr>
          <w:rFonts w:cs="Times New Roman"/>
          <w:sz w:val="24"/>
          <w:szCs w:val="24"/>
        </w:rPr>
        <w:lastRenderedPageBreak/>
        <w:t xml:space="preserve">In these circumstances, before determining the automatic suspension </w:t>
      </w:r>
      <w:r w:rsidR="008E514E">
        <w:rPr>
          <w:rFonts w:cs="Times New Roman"/>
          <w:sz w:val="24"/>
          <w:szCs w:val="24"/>
        </w:rPr>
        <w:t xml:space="preserve">issue </w:t>
      </w:r>
      <w:r w:rsidRPr="0001203F">
        <w:rPr>
          <w:rFonts w:cs="Times New Roman"/>
          <w:sz w:val="24"/>
          <w:szCs w:val="24"/>
        </w:rPr>
        <w:t>and the issues that it gives rise to as to the scope of the Article 27 remedy and whether or not it encompasses the exercise of the discretion under Article 17(1), it appears to me that it would be necessary to make a reference to the CJEU. But given that by its judgment today the Court is finally dismissing the Applicant’s judicial</w:t>
      </w:r>
      <w:r>
        <w:rPr>
          <w:rFonts w:cs="Times New Roman"/>
          <w:sz w:val="24"/>
          <w:szCs w:val="24"/>
        </w:rPr>
        <w:t xml:space="preserve"> review proceedings, I do not believe that it would be open to the Court to make a reference at this point, having regard to the threshold condition for doing so contained in Article 267. </w:t>
      </w:r>
      <w:r w:rsidR="00BB5D8F">
        <w:rPr>
          <w:rFonts w:cs="Times New Roman"/>
          <w:sz w:val="24"/>
          <w:szCs w:val="24"/>
        </w:rPr>
        <w:t xml:space="preserve">No decision on these issues is necessary to enable the Court to give judgment in the particular circumstances. Even if </w:t>
      </w:r>
      <w:r w:rsidR="000F7248">
        <w:rPr>
          <w:rFonts w:cs="Times New Roman"/>
          <w:sz w:val="24"/>
          <w:szCs w:val="24"/>
        </w:rPr>
        <w:t>the Court were to make a reference</w:t>
      </w:r>
      <w:r w:rsidR="00BB5D8F">
        <w:rPr>
          <w:rFonts w:cs="Times New Roman"/>
          <w:sz w:val="24"/>
          <w:szCs w:val="24"/>
        </w:rPr>
        <w:t xml:space="preserve">, it seems likely that the CJEU would decline to adjudicate on </w:t>
      </w:r>
      <w:r w:rsidR="000F7248">
        <w:rPr>
          <w:rFonts w:cs="Times New Roman"/>
          <w:sz w:val="24"/>
          <w:szCs w:val="24"/>
        </w:rPr>
        <w:t>it</w:t>
      </w:r>
      <w:r w:rsidR="00BB5D8F">
        <w:rPr>
          <w:rFonts w:cs="Times New Roman"/>
          <w:sz w:val="24"/>
          <w:szCs w:val="24"/>
        </w:rPr>
        <w:t xml:space="preserve">: Case C-169/18 </w:t>
      </w:r>
      <w:r w:rsidR="00BB5D8F" w:rsidRPr="00BB5D8F">
        <w:rPr>
          <w:rFonts w:cs="Times New Roman"/>
          <w:i/>
          <w:sz w:val="24"/>
          <w:szCs w:val="24"/>
        </w:rPr>
        <w:t>Atif Mahmood</w:t>
      </w:r>
      <w:r w:rsidR="00BB5D8F">
        <w:rPr>
          <w:rFonts w:cs="Times New Roman"/>
          <w:sz w:val="24"/>
          <w:szCs w:val="24"/>
        </w:rPr>
        <w:t>, para 21 and following.</w:t>
      </w:r>
    </w:p>
    <w:bookmarkEnd w:id="14"/>
    <w:p w14:paraId="6751B9C6" w14:textId="77777777" w:rsidR="00D47DE0" w:rsidRDefault="00D47DE0" w:rsidP="00D47DE0">
      <w:pPr>
        <w:pStyle w:val="ListParagraph"/>
        <w:autoSpaceDE w:val="0"/>
        <w:autoSpaceDN w:val="0"/>
        <w:adjustRightInd w:val="0"/>
        <w:spacing w:after="0" w:line="480" w:lineRule="auto"/>
        <w:jc w:val="both"/>
        <w:rPr>
          <w:rFonts w:cs="Times New Roman"/>
          <w:sz w:val="24"/>
          <w:szCs w:val="24"/>
        </w:rPr>
      </w:pPr>
    </w:p>
    <w:p w14:paraId="1780C704" w14:textId="499589E0" w:rsidR="00D47DE0" w:rsidRDefault="00BB5D8F" w:rsidP="00126316">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 xml:space="preserve">In light of the above analysis, I would dismiss the appeal from the Judge’s refusal to grant an interlocutory injunction on the basis that the appeal is moot. </w:t>
      </w:r>
      <w:r w:rsidR="000F5A03">
        <w:rPr>
          <w:rFonts w:cs="Times New Roman"/>
          <w:sz w:val="24"/>
          <w:szCs w:val="24"/>
        </w:rPr>
        <w:t>The issues identified above must await determination in proceedings where they were the subject of a live controversy.</w:t>
      </w:r>
    </w:p>
    <w:p w14:paraId="3FD7B7AD" w14:textId="3FF0B672" w:rsidR="00C07520" w:rsidRDefault="00C07520" w:rsidP="00C07520">
      <w:pPr>
        <w:autoSpaceDE w:val="0"/>
        <w:autoSpaceDN w:val="0"/>
        <w:adjustRightInd w:val="0"/>
        <w:spacing w:after="0" w:line="480" w:lineRule="auto"/>
        <w:jc w:val="both"/>
        <w:rPr>
          <w:rFonts w:cs="Times New Roman"/>
          <w:sz w:val="24"/>
          <w:szCs w:val="24"/>
        </w:rPr>
      </w:pPr>
    </w:p>
    <w:p w14:paraId="10940251" w14:textId="7904A4DB" w:rsidR="00BB5D8F" w:rsidRDefault="00BB5D8F" w:rsidP="00BB5D8F">
      <w:pPr>
        <w:autoSpaceDE w:val="0"/>
        <w:autoSpaceDN w:val="0"/>
        <w:adjustRightInd w:val="0"/>
        <w:spacing w:after="0" w:line="480" w:lineRule="auto"/>
        <w:jc w:val="center"/>
        <w:rPr>
          <w:rFonts w:cs="Times New Roman"/>
          <w:sz w:val="24"/>
          <w:szCs w:val="24"/>
        </w:rPr>
      </w:pPr>
      <w:r>
        <w:rPr>
          <w:rFonts w:cs="Times New Roman"/>
          <w:sz w:val="24"/>
          <w:szCs w:val="24"/>
        </w:rPr>
        <w:t>_________________________</w:t>
      </w:r>
    </w:p>
    <w:p w14:paraId="503DDE9A" w14:textId="03A00DE4" w:rsidR="00BB5D8F" w:rsidRDefault="00BB5D8F">
      <w:pPr>
        <w:rPr>
          <w:rFonts w:cs="Times New Roman"/>
          <w:sz w:val="24"/>
          <w:szCs w:val="24"/>
        </w:rPr>
      </w:pPr>
      <w:r>
        <w:rPr>
          <w:rFonts w:cs="Times New Roman"/>
          <w:sz w:val="24"/>
          <w:szCs w:val="24"/>
        </w:rPr>
        <w:br w:type="page"/>
      </w:r>
    </w:p>
    <w:p w14:paraId="2E4183D3" w14:textId="1AF96FB2" w:rsidR="00BB5D8F" w:rsidRPr="00BB5D8F" w:rsidRDefault="00BB5D8F" w:rsidP="00BB5D8F">
      <w:pPr>
        <w:autoSpaceDE w:val="0"/>
        <w:autoSpaceDN w:val="0"/>
        <w:adjustRightInd w:val="0"/>
        <w:spacing w:after="0" w:line="480" w:lineRule="auto"/>
        <w:jc w:val="center"/>
        <w:rPr>
          <w:rFonts w:cs="Times New Roman"/>
          <w:b/>
          <w:color w:val="auto"/>
          <w:sz w:val="24"/>
          <w:szCs w:val="24"/>
        </w:rPr>
      </w:pPr>
      <w:r w:rsidRPr="00BB5D8F">
        <w:rPr>
          <w:rFonts w:cs="Times New Roman"/>
          <w:b/>
          <w:color w:val="auto"/>
          <w:sz w:val="24"/>
          <w:szCs w:val="24"/>
        </w:rPr>
        <w:lastRenderedPageBreak/>
        <w:t>CONCLUSION AND ORDER</w:t>
      </w:r>
    </w:p>
    <w:p w14:paraId="6E3ED202" w14:textId="7B0B8877" w:rsidR="00BB5D8F" w:rsidRDefault="00BB5D8F" w:rsidP="00C07520">
      <w:pPr>
        <w:autoSpaceDE w:val="0"/>
        <w:autoSpaceDN w:val="0"/>
        <w:adjustRightInd w:val="0"/>
        <w:spacing w:after="0" w:line="480" w:lineRule="auto"/>
        <w:jc w:val="both"/>
        <w:rPr>
          <w:rFonts w:cs="Times New Roman"/>
          <w:sz w:val="24"/>
          <w:szCs w:val="24"/>
        </w:rPr>
      </w:pPr>
    </w:p>
    <w:p w14:paraId="047F333F" w14:textId="5726767D" w:rsidR="00BB5D8F" w:rsidRDefault="00BB5D8F" w:rsidP="00BB5D8F">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Accordingly, I would dismiss the Applicant’s substantive appeal.</w:t>
      </w:r>
      <w:r w:rsidR="006E38F7">
        <w:rPr>
          <w:rFonts w:cs="Times New Roman"/>
          <w:sz w:val="24"/>
          <w:szCs w:val="24"/>
        </w:rPr>
        <w:t xml:space="preserve"> It follows that the injunction granted by the Court </w:t>
      </w:r>
      <w:r w:rsidR="00A46352">
        <w:rPr>
          <w:rFonts w:cs="Times New Roman"/>
          <w:sz w:val="24"/>
          <w:szCs w:val="24"/>
        </w:rPr>
        <w:t>at the conclusion of the appeal hearing must be discharged.</w:t>
      </w:r>
    </w:p>
    <w:p w14:paraId="51E1F80A" w14:textId="77777777" w:rsidR="00BB5D8F" w:rsidRDefault="00BB5D8F" w:rsidP="00BB5D8F">
      <w:pPr>
        <w:pStyle w:val="ListParagraph"/>
        <w:autoSpaceDE w:val="0"/>
        <w:autoSpaceDN w:val="0"/>
        <w:adjustRightInd w:val="0"/>
        <w:spacing w:after="0" w:line="480" w:lineRule="auto"/>
        <w:jc w:val="both"/>
        <w:rPr>
          <w:rFonts w:cs="Times New Roman"/>
          <w:sz w:val="24"/>
          <w:szCs w:val="24"/>
        </w:rPr>
      </w:pPr>
    </w:p>
    <w:p w14:paraId="037ABB6F" w14:textId="6644C9F9" w:rsidR="00BB5D8F" w:rsidRDefault="00BB5D8F" w:rsidP="00BB5D8F">
      <w:pPr>
        <w:pStyle w:val="ListParagraph"/>
        <w:numPr>
          <w:ilvl w:val="0"/>
          <w:numId w:val="1"/>
        </w:numPr>
        <w:autoSpaceDE w:val="0"/>
        <w:autoSpaceDN w:val="0"/>
        <w:adjustRightInd w:val="0"/>
        <w:spacing w:after="0" w:line="480" w:lineRule="auto"/>
        <w:ind w:hanging="720"/>
        <w:jc w:val="both"/>
        <w:rPr>
          <w:rFonts w:cs="Times New Roman"/>
          <w:sz w:val="24"/>
          <w:szCs w:val="24"/>
        </w:rPr>
      </w:pPr>
      <w:r>
        <w:rPr>
          <w:rFonts w:cs="Times New Roman"/>
          <w:sz w:val="24"/>
          <w:szCs w:val="24"/>
        </w:rPr>
        <w:t xml:space="preserve">The Applicant also appealed against the costs orders made by the Judge. That aspect of the appeal was not addressed at the appeal hearing. It, and the issue of the costs of the appeal, can be addressed </w:t>
      </w:r>
      <w:r w:rsidR="00F52DCC">
        <w:rPr>
          <w:rFonts w:cs="Times New Roman"/>
          <w:sz w:val="24"/>
          <w:szCs w:val="24"/>
        </w:rPr>
        <w:t>now.</w:t>
      </w:r>
    </w:p>
    <w:p w14:paraId="4CB4BC74" w14:textId="4CAE97DD" w:rsidR="00F52DCC" w:rsidRDefault="00F52DCC" w:rsidP="00F52DCC">
      <w:pPr>
        <w:pStyle w:val="ListParagraph"/>
        <w:autoSpaceDE w:val="0"/>
        <w:autoSpaceDN w:val="0"/>
        <w:adjustRightInd w:val="0"/>
        <w:spacing w:after="0" w:line="480" w:lineRule="auto"/>
        <w:jc w:val="both"/>
        <w:rPr>
          <w:rFonts w:cs="Times New Roman"/>
          <w:sz w:val="24"/>
          <w:szCs w:val="24"/>
        </w:rPr>
      </w:pPr>
    </w:p>
    <w:p w14:paraId="6104DE70" w14:textId="6FE71965" w:rsidR="00F52DCC" w:rsidRPr="00F52DCC" w:rsidRDefault="00F52DCC" w:rsidP="00F52DCC">
      <w:pPr>
        <w:pStyle w:val="ListParagraph"/>
        <w:autoSpaceDE w:val="0"/>
        <w:autoSpaceDN w:val="0"/>
        <w:adjustRightInd w:val="0"/>
        <w:spacing w:after="0" w:line="480" w:lineRule="auto"/>
        <w:jc w:val="both"/>
        <w:rPr>
          <w:rFonts w:cs="Times New Roman"/>
          <w:b/>
          <w:i/>
          <w:sz w:val="24"/>
          <w:szCs w:val="24"/>
        </w:rPr>
      </w:pPr>
      <w:r w:rsidRPr="00F52DCC">
        <w:rPr>
          <w:rFonts w:cs="Times New Roman"/>
          <w:b/>
          <w:i/>
          <w:sz w:val="24"/>
          <w:szCs w:val="24"/>
        </w:rPr>
        <w:t xml:space="preserve">Edwards and Faherty JJ </w:t>
      </w:r>
      <w:r w:rsidR="00A46352">
        <w:rPr>
          <w:rFonts w:cs="Times New Roman"/>
          <w:b/>
          <w:i/>
          <w:sz w:val="24"/>
          <w:szCs w:val="24"/>
        </w:rPr>
        <w:t xml:space="preserve">agree with </w:t>
      </w:r>
      <w:r w:rsidRPr="00F52DCC">
        <w:rPr>
          <w:rFonts w:cs="Times New Roman"/>
          <w:b/>
          <w:i/>
          <w:sz w:val="24"/>
          <w:szCs w:val="24"/>
        </w:rPr>
        <w:t>this judgment and with the orders proposed.</w:t>
      </w:r>
    </w:p>
    <w:p w14:paraId="7A83CD71" w14:textId="2D6D52D3" w:rsidR="00F52DCC" w:rsidRDefault="00F52DCC" w:rsidP="00F52DCC">
      <w:pPr>
        <w:pStyle w:val="ListParagraph"/>
        <w:autoSpaceDE w:val="0"/>
        <w:autoSpaceDN w:val="0"/>
        <w:adjustRightInd w:val="0"/>
        <w:spacing w:after="0" w:line="480" w:lineRule="auto"/>
        <w:jc w:val="both"/>
        <w:rPr>
          <w:rFonts w:cs="Times New Roman"/>
          <w:sz w:val="24"/>
          <w:szCs w:val="24"/>
        </w:rPr>
      </w:pPr>
    </w:p>
    <w:p w14:paraId="4388952E" w14:textId="77777777" w:rsidR="008540C5" w:rsidRDefault="008540C5" w:rsidP="002431A4">
      <w:pPr>
        <w:pStyle w:val="ListParagraph"/>
        <w:autoSpaceDE w:val="0"/>
        <w:autoSpaceDN w:val="0"/>
        <w:adjustRightInd w:val="0"/>
        <w:spacing w:after="0" w:line="480" w:lineRule="auto"/>
        <w:jc w:val="both"/>
        <w:rPr>
          <w:rFonts w:cs="Times New Roman"/>
          <w:sz w:val="24"/>
          <w:szCs w:val="24"/>
        </w:rPr>
      </w:pPr>
    </w:p>
    <w:p w14:paraId="293EE6E3" w14:textId="348AB70E" w:rsidR="008540C5" w:rsidRPr="00607F08" w:rsidRDefault="008540C5" w:rsidP="002431A4">
      <w:pPr>
        <w:pStyle w:val="ListParagraph"/>
        <w:autoSpaceDE w:val="0"/>
        <w:autoSpaceDN w:val="0"/>
        <w:adjustRightInd w:val="0"/>
        <w:spacing w:after="0" w:line="480" w:lineRule="auto"/>
        <w:jc w:val="both"/>
        <w:rPr>
          <w:rFonts w:cs="Times New Roman"/>
          <w:sz w:val="24"/>
          <w:szCs w:val="24"/>
        </w:rPr>
      </w:pPr>
    </w:p>
    <w:sectPr w:rsidR="008540C5" w:rsidRPr="00607F08" w:rsidSect="00F17F0A">
      <w:footerReference w:type="even" r:id="rId8"/>
      <w:footerReference w:type="default" r:id="rId9"/>
      <w:headerReference w:type="first" r:id="rId10"/>
      <w:footerReference w:type="first" r:id="rId11"/>
      <w:pgSz w:w="11906" w:h="16838"/>
      <w:pgMar w:top="1814" w:right="1440" w:bottom="1814"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3E332" w14:textId="77777777" w:rsidR="00126316" w:rsidRDefault="00126316" w:rsidP="003A60F4">
      <w:pPr>
        <w:spacing w:after="0" w:line="240" w:lineRule="auto"/>
      </w:pPr>
      <w:r>
        <w:separator/>
      </w:r>
    </w:p>
  </w:endnote>
  <w:endnote w:type="continuationSeparator" w:id="0">
    <w:p w14:paraId="389DAFB1" w14:textId="77777777" w:rsidR="00126316" w:rsidRDefault="00126316" w:rsidP="003A6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No2BT-Roman">
    <w:altName w:val="Baskerville Old Face"/>
    <w:panose1 w:val="00000000000000000000"/>
    <w:charset w:val="00"/>
    <w:family w:val="auto"/>
    <w:notTrueType/>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909C8" w14:textId="77777777" w:rsidR="00126316" w:rsidRDefault="00126316">
    <w:pPr>
      <w:spacing w:after="481"/>
      <w:ind w:left="72"/>
    </w:pPr>
    <w:r>
      <w:rPr>
        <w:rFonts w:ascii="Arial" w:eastAsia="Arial" w:hAnsi="Arial" w:cs="Arial"/>
      </w:rPr>
      <w:t xml:space="preserve"> </w:t>
    </w:r>
  </w:p>
  <w:p w14:paraId="0AE92642" w14:textId="77777777" w:rsidR="00126316" w:rsidRDefault="00126316">
    <w:pPr>
      <w:tabs>
        <w:tab w:val="right" w:pos="9031"/>
      </w:tabs>
      <w:spacing w:after="0"/>
    </w:pPr>
    <w:r>
      <w:rPr>
        <w:sz w:val="24"/>
      </w:rPr>
      <w:t xml:space="preserve"> </w:t>
    </w:r>
    <w:r>
      <w:rPr>
        <w:sz w:val="24"/>
      </w:rPr>
      <w:tab/>
      <w:t>1</w:t>
    </w:r>
  </w:p>
  <w:p w14:paraId="2D6D7B55" w14:textId="77777777" w:rsidR="00126316" w:rsidRDefault="00126316">
    <w:pPr>
      <w:spacing w:after="0"/>
      <w:ind w:right="-742"/>
      <w:jc w:val="right"/>
    </w:pPr>
    <w:r>
      <w:rPr>
        <w:rFonts w:ascii="Arial" w:eastAsia="Arial" w:hAnsi="Arial" w:cs="Arial"/>
        <w:sz w:val="16"/>
      </w:rPr>
      <w:t xml:space="preserve">Page </w:t>
    </w:r>
    <w:r>
      <w:rPr>
        <w:rFonts w:ascii="Arial" w:eastAsia="Arial" w:hAnsi="Arial" w:cs="Arial"/>
        <w:sz w:val="16"/>
      </w:rPr>
      <w:fldChar w:fldCharType="begin"/>
    </w:r>
    <w:r>
      <w:rPr>
        <w:rFonts w:ascii="Arial" w:eastAsia="Arial" w:hAnsi="Arial" w:cs="Arial"/>
        <w:sz w:val="16"/>
      </w:rPr>
      <w:instrText xml:space="preserve"> PAGE   \* MERGEFORMAT </w:instrText>
    </w:r>
    <w:r>
      <w:rPr>
        <w:rFonts w:ascii="Arial" w:eastAsia="Arial" w:hAnsi="Arial" w:cs="Arial"/>
        <w:sz w:val="16"/>
      </w:rPr>
      <w:fldChar w:fldCharType="separate"/>
    </w:r>
    <w:r>
      <w:rPr>
        <w:rFonts w:ascii="Arial" w:eastAsia="Arial" w:hAnsi="Arial" w:cs="Arial"/>
        <w:sz w:val="16"/>
      </w:rPr>
      <w:t>130</w:t>
    </w:r>
    <w:r>
      <w:rPr>
        <w:rFonts w:ascii="Arial" w:eastAsia="Arial" w:hAnsi="Arial" w:cs="Arial"/>
        <w:sz w:val="16"/>
      </w:rPr>
      <w:fldChar w:fldCharType="end"/>
    </w:r>
    <w:r>
      <w:rPr>
        <w:rFonts w:ascii="Arial" w:eastAsia="Arial" w:hAnsi="Arial" w:cs="Arial"/>
        <w:sz w:val="16"/>
      </w:rPr>
      <w:t xml:space="preserve"> of 152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0384428"/>
      <w:docPartObj>
        <w:docPartGallery w:val="Page Numbers (Bottom of Page)"/>
        <w:docPartUnique/>
      </w:docPartObj>
    </w:sdtPr>
    <w:sdtEndPr/>
    <w:sdtContent>
      <w:sdt>
        <w:sdtPr>
          <w:id w:val="291650299"/>
          <w:docPartObj>
            <w:docPartGallery w:val="Page Numbers (Top of Page)"/>
            <w:docPartUnique/>
          </w:docPartObj>
        </w:sdtPr>
        <w:sdtEndPr/>
        <w:sdtContent>
          <w:p w14:paraId="069458DB" w14:textId="150E4533" w:rsidR="00126316" w:rsidRDefault="00126316">
            <w:pPr>
              <w:pStyle w:val="Footer"/>
              <w:jc w:val="center"/>
            </w:pPr>
            <w:r w:rsidRPr="00B7437A">
              <w:rPr>
                <w:rFonts w:ascii="Times New Roman" w:hAnsi="Times New Roman"/>
                <w:b/>
                <w:i/>
                <w:sz w:val="24"/>
                <w:szCs w:val="24"/>
              </w:rPr>
              <w:t xml:space="preserve">Page </w:t>
            </w:r>
            <w:r w:rsidRPr="00B7437A">
              <w:rPr>
                <w:rFonts w:ascii="Times New Roman" w:hAnsi="Times New Roman"/>
                <w:b/>
                <w:bCs/>
                <w:i/>
                <w:sz w:val="24"/>
                <w:szCs w:val="24"/>
              </w:rPr>
              <w:fldChar w:fldCharType="begin"/>
            </w:r>
            <w:r w:rsidRPr="00B7437A">
              <w:rPr>
                <w:rFonts w:ascii="Times New Roman" w:hAnsi="Times New Roman"/>
                <w:b/>
                <w:bCs/>
                <w:i/>
                <w:sz w:val="24"/>
                <w:szCs w:val="24"/>
              </w:rPr>
              <w:instrText xml:space="preserve"> PAGE </w:instrText>
            </w:r>
            <w:r w:rsidRPr="00B7437A">
              <w:rPr>
                <w:rFonts w:ascii="Times New Roman" w:hAnsi="Times New Roman"/>
                <w:b/>
                <w:bCs/>
                <w:i/>
                <w:sz w:val="24"/>
                <w:szCs w:val="24"/>
              </w:rPr>
              <w:fldChar w:fldCharType="separate"/>
            </w:r>
            <w:r w:rsidRPr="00B7437A">
              <w:rPr>
                <w:rFonts w:ascii="Times New Roman" w:hAnsi="Times New Roman"/>
                <w:b/>
                <w:bCs/>
                <w:i/>
                <w:noProof/>
                <w:sz w:val="24"/>
                <w:szCs w:val="24"/>
              </w:rPr>
              <w:t>2</w:t>
            </w:r>
            <w:r w:rsidRPr="00B7437A">
              <w:rPr>
                <w:rFonts w:ascii="Times New Roman" w:hAnsi="Times New Roman"/>
                <w:b/>
                <w:bCs/>
                <w:i/>
                <w:sz w:val="24"/>
                <w:szCs w:val="24"/>
              </w:rPr>
              <w:fldChar w:fldCharType="end"/>
            </w:r>
            <w:r w:rsidRPr="00B7437A">
              <w:rPr>
                <w:rFonts w:ascii="Times New Roman" w:hAnsi="Times New Roman"/>
                <w:b/>
                <w:i/>
                <w:sz w:val="24"/>
                <w:szCs w:val="24"/>
              </w:rPr>
              <w:t xml:space="preserve"> of </w:t>
            </w:r>
            <w:r w:rsidRPr="00B7437A">
              <w:rPr>
                <w:rFonts w:ascii="Times New Roman" w:hAnsi="Times New Roman"/>
                <w:b/>
                <w:bCs/>
                <w:i/>
                <w:sz w:val="24"/>
                <w:szCs w:val="24"/>
              </w:rPr>
              <w:fldChar w:fldCharType="begin"/>
            </w:r>
            <w:r w:rsidRPr="00B7437A">
              <w:rPr>
                <w:rFonts w:ascii="Times New Roman" w:hAnsi="Times New Roman"/>
                <w:b/>
                <w:bCs/>
                <w:i/>
                <w:sz w:val="24"/>
                <w:szCs w:val="24"/>
              </w:rPr>
              <w:instrText xml:space="preserve"> NUMPAGES  </w:instrText>
            </w:r>
            <w:r w:rsidRPr="00B7437A">
              <w:rPr>
                <w:rFonts w:ascii="Times New Roman" w:hAnsi="Times New Roman"/>
                <w:b/>
                <w:bCs/>
                <w:i/>
                <w:sz w:val="24"/>
                <w:szCs w:val="24"/>
              </w:rPr>
              <w:fldChar w:fldCharType="separate"/>
            </w:r>
            <w:r w:rsidRPr="00B7437A">
              <w:rPr>
                <w:rFonts w:ascii="Times New Roman" w:hAnsi="Times New Roman"/>
                <w:b/>
                <w:bCs/>
                <w:i/>
                <w:noProof/>
                <w:sz w:val="24"/>
                <w:szCs w:val="24"/>
              </w:rPr>
              <w:t>2</w:t>
            </w:r>
            <w:r w:rsidRPr="00B7437A">
              <w:rPr>
                <w:rFonts w:ascii="Times New Roman" w:hAnsi="Times New Roman"/>
                <w:b/>
                <w:bCs/>
                <w:i/>
                <w:sz w:val="24"/>
                <w:szCs w:val="24"/>
              </w:rPr>
              <w:fldChar w:fldCharType="end"/>
            </w:r>
          </w:p>
        </w:sdtContent>
      </w:sdt>
    </w:sdtContent>
  </w:sdt>
  <w:p w14:paraId="027CA108" w14:textId="77777777" w:rsidR="00126316" w:rsidRDefault="00126316" w:rsidP="00BB14BD">
    <w:pPr>
      <w:tabs>
        <w:tab w:val="right" w:pos="9031"/>
      </w:tabs>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732917"/>
      <w:docPartObj>
        <w:docPartGallery w:val="Page Numbers (Bottom of Page)"/>
        <w:docPartUnique/>
      </w:docPartObj>
    </w:sdtPr>
    <w:sdtEndPr>
      <w:rPr>
        <w:rFonts w:ascii="Times New Roman" w:hAnsi="Times New Roman"/>
        <w:b/>
        <w:i/>
      </w:rPr>
    </w:sdtEndPr>
    <w:sdtContent>
      <w:sdt>
        <w:sdtPr>
          <w:rPr>
            <w:rFonts w:ascii="Times New Roman" w:hAnsi="Times New Roman"/>
            <w:b/>
            <w:i/>
          </w:rPr>
          <w:id w:val="1728636285"/>
          <w:docPartObj>
            <w:docPartGallery w:val="Page Numbers (Top of Page)"/>
            <w:docPartUnique/>
          </w:docPartObj>
        </w:sdtPr>
        <w:sdtEndPr/>
        <w:sdtContent>
          <w:p w14:paraId="6996AF93" w14:textId="60C0659C" w:rsidR="00126316" w:rsidRPr="00F033A7" w:rsidRDefault="00126316">
            <w:pPr>
              <w:pStyle w:val="Footer"/>
              <w:jc w:val="center"/>
              <w:rPr>
                <w:rFonts w:ascii="Times New Roman" w:hAnsi="Times New Roman"/>
                <w:b/>
                <w:i/>
              </w:rPr>
            </w:pPr>
            <w:r w:rsidRPr="00F033A7">
              <w:rPr>
                <w:rFonts w:ascii="Times New Roman" w:hAnsi="Times New Roman"/>
                <w:b/>
                <w:i/>
              </w:rPr>
              <w:t xml:space="preserve">Page </w:t>
            </w:r>
            <w:r w:rsidRPr="00F033A7">
              <w:rPr>
                <w:rFonts w:ascii="Times New Roman" w:hAnsi="Times New Roman"/>
                <w:b/>
                <w:bCs/>
                <w:i/>
              </w:rPr>
              <w:fldChar w:fldCharType="begin"/>
            </w:r>
            <w:r w:rsidRPr="00F033A7">
              <w:rPr>
                <w:rFonts w:ascii="Times New Roman" w:hAnsi="Times New Roman"/>
                <w:b/>
                <w:bCs/>
                <w:i/>
              </w:rPr>
              <w:instrText xml:space="preserve"> PAGE </w:instrText>
            </w:r>
            <w:r w:rsidRPr="00F033A7">
              <w:rPr>
                <w:rFonts w:ascii="Times New Roman" w:hAnsi="Times New Roman"/>
                <w:b/>
                <w:bCs/>
                <w:i/>
              </w:rPr>
              <w:fldChar w:fldCharType="separate"/>
            </w:r>
            <w:r w:rsidRPr="00F033A7">
              <w:rPr>
                <w:rFonts w:ascii="Times New Roman" w:hAnsi="Times New Roman"/>
                <w:b/>
                <w:bCs/>
                <w:i/>
                <w:noProof/>
              </w:rPr>
              <w:t>2</w:t>
            </w:r>
            <w:r w:rsidRPr="00F033A7">
              <w:rPr>
                <w:rFonts w:ascii="Times New Roman" w:hAnsi="Times New Roman"/>
                <w:b/>
                <w:bCs/>
                <w:i/>
              </w:rPr>
              <w:fldChar w:fldCharType="end"/>
            </w:r>
            <w:r w:rsidRPr="00F033A7">
              <w:rPr>
                <w:rFonts w:ascii="Times New Roman" w:hAnsi="Times New Roman"/>
                <w:b/>
                <w:i/>
              </w:rPr>
              <w:t xml:space="preserve"> of </w:t>
            </w:r>
            <w:r w:rsidRPr="00F033A7">
              <w:rPr>
                <w:rFonts w:ascii="Times New Roman" w:hAnsi="Times New Roman"/>
                <w:b/>
                <w:bCs/>
                <w:i/>
              </w:rPr>
              <w:fldChar w:fldCharType="begin"/>
            </w:r>
            <w:r w:rsidRPr="00F033A7">
              <w:rPr>
                <w:rFonts w:ascii="Times New Roman" w:hAnsi="Times New Roman"/>
                <w:b/>
                <w:bCs/>
                <w:i/>
              </w:rPr>
              <w:instrText xml:space="preserve"> NUMPAGES  </w:instrText>
            </w:r>
            <w:r w:rsidRPr="00F033A7">
              <w:rPr>
                <w:rFonts w:ascii="Times New Roman" w:hAnsi="Times New Roman"/>
                <w:b/>
                <w:bCs/>
                <w:i/>
              </w:rPr>
              <w:fldChar w:fldCharType="separate"/>
            </w:r>
            <w:r w:rsidRPr="00F033A7">
              <w:rPr>
                <w:rFonts w:ascii="Times New Roman" w:hAnsi="Times New Roman"/>
                <w:b/>
                <w:bCs/>
                <w:i/>
                <w:noProof/>
              </w:rPr>
              <w:t>2</w:t>
            </w:r>
            <w:r w:rsidRPr="00F033A7">
              <w:rPr>
                <w:rFonts w:ascii="Times New Roman" w:hAnsi="Times New Roman"/>
                <w:b/>
                <w:bCs/>
                <w:i/>
              </w:rPr>
              <w:fldChar w:fldCharType="end"/>
            </w:r>
          </w:p>
        </w:sdtContent>
      </w:sdt>
    </w:sdtContent>
  </w:sdt>
  <w:p w14:paraId="79A64D41" w14:textId="77777777" w:rsidR="00126316" w:rsidRDefault="00126316">
    <w:pPr>
      <w:spacing w:after="0"/>
      <w:ind w:right="-74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F0F1F" w14:textId="77777777" w:rsidR="00126316" w:rsidRDefault="00126316" w:rsidP="003A60F4">
      <w:pPr>
        <w:spacing w:after="0" w:line="240" w:lineRule="auto"/>
      </w:pPr>
      <w:r>
        <w:separator/>
      </w:r>
    </w:p>
  </w:footnote>
  <w:footnote w:type="continuationSeparator" w:id="0">
    <w:p w14:paraId="59A70BCB" w14:textId="77777777" w:rsidR="00126316" w:rsidRDefault="00126316" w:rsidP="003A60F4">
      <w:pPr>
        <w:spacing w:after="0" w:line="240" w:lineRule="auto"/>
      </w:pPr>
      <w:r>
        <w:continuationSeparator/>
      </w:r>
    </w:p>
  </w:footnote>
  <w:footnote w:id="1">
    <w:p w14:paraId="13C78991" w14:textId="73FDBEB6" w:rsidR="00126316" w:rsidRPr="00D01BA8" w:rsidRDefault="00126316" w:rsidP="00DC4CEB">
      <w:pPr>
        <w:pStyle w:val="FootnoteText"/>
      </w:pPr>
      <w:r w:rsidRPr="00D01BA8">
        <w:rPr>
          <w:rStyle w:val="FootnoteReference"/>
        </w:rPr>
        <w:footnoteRef/>
      </w:r>
      <w:r w:rsidRPr="00D01BA8">
        <w:t xml:space="preserve"> Formally, the Convention determining the State responsible for examining applications for asylum lodged in one of the Member States of the European Communities, signed in Dublin on 15 June 1990</w:t>
      </w:r>
    </w:p>
  </w:footnote>
  <w:footnote w:id="2">
    <w:p w14:paraId="110E4BAC" w14:textId="79E7F26B" w:rsidR="00126316" w:rsidRDefault="00126316">
      <w:pPr>
        <w:pStyle w:val="FootnoteText"/>
      </w:pPr>
      <w:r>
        <w:rPr>
          <w:rStyle w:val="FootnoteReference"/>
        </w:rPr>
        <w:footnoteRef/>
      </w:r>
      <w:r>
        <w:t xml:space="preserve"> The Amended Statement refers to “</w:t>
      </w:r>
      <w:r w:rsidRPr="00DA5408">
        <w:rPr>
          <w:i/>
        </w:rPr>
        <w:t>system</w:t>
      </w:r>
      <w:r>
        <w:t>” here but it seems clear that this is an error.</w:t>
      </w:r>
    </w:p>
  </w:footnote>
  <w:footnote w:id="3">
    <w:p w14:paraId="4F8B7238" w14:textId="77777777" w:rsidR="002C4E8F" w:rsidRDefault="002C4E8F" w:rsidP="002C4E8F">
      <w:pPr>
        <w:pStyle w:val="FootnoteText"/>
      </w:pPr>
      <w:r>
        <w:rPr>
          <w:rStyle w:val="FootnoteReference"/>
        </w:rPr>
        <w:footnoteRef/>
      </w:r>
      <w:r>
        <w:t xml:space="preserve"> In this context it may be noted that in Case C-194/19, </w:t>
      </w:r>
      <w:r w:rsidRPr="00563CF1">
        <w:rPr>
          <w:i/>
        </w:rPr>
        <w:t>HA v Etat Belge,</w:t>
      </w:r>
      <w:r>
        <w:t xml:space="preserve"> the CJEU (Grand Chamber) noted that Article 27 of Dublin III differed from the provisions of Article 46 of Directive 2013/32 in that it did not expressly require an </w:t>
      </w:r>
      <w:r w:rsidRPr="00563CF1">
        <w:rPr>
          <w:i/>
        </w:rPr>
        <w:t>ex nunc</w:t>
      </w:r>
      <w:r>
        <w:t xml:space="preserve"> examination of the lawfulness of the transfer decision: para 40 and following. </w:t>
      </w:r>
    </w:p>
  </w:footnote>
  <w:footnote w:id="4">
    <w:p w14:paraId="04F4A293" w14:textId="337C68DE" w:rsidR="00126316" w:rsidRDefault="00126316">
      <w:pPr>
        <w:pStyle w:val="FootnoteText"/>
      </w:pPr>
      <w:r>
        <w:rPr>
          <w:rStyle w:val="FootnoteReference"/>
        </w:rPr>
        <w:footnoteRef/>
      </w:r>
      <w:r>
        <w:t xml:space="preserve"> See for instance C</w:t>
      </w:r>
      <w:r w:rsidR="005B1989">
        <w:t xml:space="preserve">ase </w:t>
      </w:r>
      <w:r w:rsidR="00A507A1">
        <w:t xml:space="preserve">C300/11, </w:t>
      </w:r>
      <w:r w:rsidR="00A507A1" w:rsidRPr="00A507A1">
        <w:rPr>
          <w:i/>
        </w:rPr>
        <w:t>ZZ,</w:t>
      </w:r>
      <w:r w:rsidR="00A507A1">
        <w:t xml:space="preserve"> at para 22.</w:t>
      </w:r>
    </w:p>
  </w:footnote>
  <w:footnote w:id="5">
    <w:p w14:paraId="0946630F" w14:textId="000F39B3" w:rsidR="00126316" w:rsidRDefault="00126316">
      <w:pPr>
        <w:pStyle w:val="FootnoteText"/>
      </w:pPr>
      <w:r>
        <w:rPr>
          <w:rStyle w:val="FootnoteReference"/>
        </w:rPr>
        <w:footnoteRef/>
      </w:r>
      <w:r>
        <w:t xml:space="preserve"> One to the effect that the Applicant was entitled to an undertaking and/or a reasonable period of time in the State to consider the Article 17 Decision and the other to the effect that she was entitled to an injunction having initiated the judicial review process and/or that same operated to suspend the transfer decision.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A219D" w14:textId="08740794" w:rsidR="00126316" w:rsidRPr="00E035A1" w:rsidRDefault="00E64640" w:rsidP="005F3C35">
    <w:pPr>
      <w:pStyle w:val="Header"/>
      <w:spacing w:line="360" w:lineRule="auto"/>
      <w:rPr>
        <w:rFonts w:cs="Times New Roman"/>
        <w:b/>
        <w:bCs/>
        <w:i/>
        <w:sz w:val="22"/>
        <w:szCs w:val="22"/>
      </w:rPr>
    </w:pPr>
    <w:r>
      <w:rPr>
        <w:rFonts w:cs="Times New Roman"/>
        <w:b/>
        <w:bCs/>
        <w:i/>
        <w:sz w:val="22"/>
        <w:szCs w:val="22"/>
      </w:rPr>
      <w:t>A</w:t>
    </w:r>
    <w:r w:rsidR="00A2288F" w:rsidRPr="00E035A1">
      <w:rPr>
        <w:rFonts w:cs="Times New Roman"/>
        <w:b/>
        <w:bCs/>
        <w:i/>
        <w:sz w:val="22"/>
        <w:szCs w:val="22"/>
      </w:rPr>
      <w:t>pproved</w:t>
    </w:r>
  </w:p>
  <w:p w14:paraId="5F882757" w14:textId="1944CF1E" w:rsidR="003F5A4A" w:rsidRPr="00E035A1" w:rsidRDefault="0062728B" w:rsidP="005F3C35">
    <w:pPr>
      <w:pStyle w:val="Header"/>
      <w:spacing w:line="360" w:lineRule="auto"/>
      <w:rPr>
        <w:rFonts w:cs="Times New Roman"/>
        <w:b/>
        <w:bCs/>
        <w:i/>
        <w:sz w:val="22"/>
        <w:szCs w:val="22"/>
      </w:rPr>
    </w:pPr>
    <w:r w:rsidRPr="00E035A1">
      <w:rPr>
        <w:rFonts w:cs="Times New Roman"/>
        <w:b/>
        <w:bCs/>
        <w:i/>
        <w:sz w:val="22"/>
        <w:szCs w:val="22"/>
      </w:rPr>
      <w:t>No further redactions required</w:t>
    </w:r>
  </w:p>
  <w:p w14:paraId="126B7627" w14:textId="58364CBD" w:rsidR="00126316" w:rsidRPr="00E74485" w:rsidRDefault="00126316">
    <w:pPr>
      <w:pStyle w:val="Header"/>
      <w:rPr>
        <w:b/>
        <w:bCs/>
      </w:rPr>
    </w:pPr>
    <w:r w:rsidRPr="009C3941">
      <w:rPr>
        <w:noProof/>
      </w:rPr>
      <w:drawing>
        <wp:anchor distT="0" distB="0" distL="114300" distR="114300" simplePos="0" relativeHeight="251659264" behindDoc="1" locked="0" layoutInCell="1" allowOverlap="1" wp14:anchorId="42F63AA9" wp14:editId="7B353544">
          <wp:simplePos x="0" y="0"/>
          <wp:positionH relativeFrom="margin">
            <wp:align>center</wp:align>
          </wp:positionH>
          <wp:positionV relativeFrom="paragraph">
            <wp:posOffset>-139928</wp:posOffset>
          </wp:positionV>
          <wp:extent cx="390525" cy="600075"/>
          <wp:effectExtent l="0" t="0" r="9525" b="9525"/>
          <wp:wrapTight wrapText="bothSides">
            <wp:wrapPolygon edited="0">
              <wp:start x="0" y="0"/>
              <wp:lineTo x="0" y="21257"/>
              <wp:lineTo x="21073" y="21257"/>
              <wp:lineTo x="21073" y="0"/>
              <wp:lineTo x="0" y="0"/>
            </wp:wrapPolygon>
          </wp:wrapTight>
          <wp:docPr id="2" name="Picture 2"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1915"/>
    <w:multiLevelType w:val="hybridMultilevel"/>
    <w:tmpl w:val="D92C1CC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07D6384"/>
    <w:multiLevelType w:val="hybridMultilevel"/>
    <w:tmpl w:val="124EACE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2341596"/>
    <w:multiLevelType w:val="hybridMultilevel"/>
    <w:tmpl w:val="886E85C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40049FE"/>
    <w:multiLevelType w:val="hybridMultilevel"/>
    <w:tmpl w:val="2E7A6F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32700DA"/>
    <w:multiLevelType w:val="hybridMultilevel"/>
    <w:tmpl w:val="CF406CD4"/>
    <w:lvl w:ilvl="0" w:tplc="1809000F">
      <w:start w:val="1"/>
      <w:numFmt w:val="decimal"/>
      <w:lvlText w:val="%1."/>
      <w:lvlJc w:val="left"/>
      <w:pPr>
        <w:ind w:left="1571" w:hanging="360"/>
      </w:pPr>
    </w:lvl>
    <w:lvl w:ilvl="1" w:tplc="18090019" w:tentative="1">
      <w:start w:val="1"/>
      <w:numFmt w:val="lowerLetter"/>
      <w:lvlText w:val="%2."/>
      <w:lvlJc w:val="left"/>
      <w:pPr>
        <w:ind w:left="2291" w:hanging="360"/>
      </w:pPr>
    </w:lvl>
    <w:lvl w:ilvl="2" w:tplc="1809001B" w:tentative="1">
      <w:start w:val="1"/>
      <w:numFmt w:val="lowerRoman"/>
      <w:lvlText w:val="%3."/>
      <w:lvlJc w:val="right"/>
      <w:pPr>
        <w:ind w:left="3011" w:hanging="180"/>
      </w:pPr>
    </w:lvl>
    <w:lvl w:ilvl="3" w:tplc="1809000F" w:tentative="1">
      <w:start w:val="1"/>
      <w:numFmt w:val="decimal"/>
      <w:lvlText w:val="%4."/>
      <w:lvlJc w:val="left"/>
      <w:pPr>
        <w:ind w:left="3731" w:hanging="360"/>
      </w:pPr>
    </w:lvl>
    <w:lvl w:ilvl="4" w:tplc="18090019" w:tentative="1">
      <w:start w:val="1"/>
      <w:numFmt w:val="lowerLetter"/>
      <w:lvlText w:val="%5."/>
      <w:lvlJc w:val="left"/>
      <w:pPr>
        <w:ind w:left="4451" w:hanging="360"/>
      </w:pPr>
    </w:lvl>
    <w:lvl w:ilvl="5" w:tplc="1809001B" w:tentative="1">
      <w:start w:val="1"/>
      <w:numFmt w:val="lowerRoman"/>
      <w:lvlText w:val="%6."/>
      <w:lvlJc w:val="right"/>
      <w:pPr>
        <w:ind w:left="5171" w:hanging="180"/>
      </w:pPr>
    </w:lvl>
    <w:lvl w:ilvl="6" w:tplc="1809000F" w:tentative="1">
      <w:start w:val="1"/>
      <w:numFmt w:val="decimal"/>
      <w:lvlText w:val="%7."/>
      <w:lvlJc w:val="left"/>
      <w:pPr>
        <w:ind w:left="5891" w:hanging="360"/>
      </w:pPr>
    </w:lvl>
    <w:lvl w:ilvl="7" w:tplc="18090019" w:tentative="1">
      <w:start w:val="1"/>
      <w:numFmt w:val="lowerLetter"/>
      <w:lvlText w:val="%8."/>
      <w:lvlJc w:val="left"/>
      <w:pPr>
        <w:ind w:left="6611" w:hanging="360"/>
      </w:pPr>
    </w:lvl>
    <w:lvl w:ilvl="8" w:tplc="1809001B" w:tentative="1">
      <w:start w:val="1"/>
      <w:numFmt w:val="lowerRoman"/>
      <w:lvlText w:val="%9."/>
      <w:lvlJc w:val="right"/>
      <w:pPr>
        <w:ind w:left="7331" w:hanging="180"/>
      </w:pPr>
    </w:lvl>
  </w:abstractNum>
  <w:abstractNum w:abstractNumId="5" w15:restartNumberingAfterBreak="0">
    <w:nsid w:val="7D200DCF"/>
    <w:multiLevelType w:val="hybridMultilevel"/>
    <w:tmpl w:val="D3C4A3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4"/>
  </w:num>
  <w:num w:numId="6">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901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F4"/>
    <w:rsid w:val="00000DAA"/>
    <w:rsid w:val="0000143F"/>
    <w:rsid w:val="00001E07"/>
    <w:rsid w:val="00002A0B"/>
    <w:rsid w:val="00004721"/>
    <w:rsid w:val="0000538B"/>
    <w:rsid w:val="00010B09"/>
    <w:rsid w:val="0001203F"/>
    <w:rsid w:val="0001412A"/>
    <w:rsid w:val="00017C6F"/>
    <w:rsid w:val="00023F58"/>
    <w:rsid w:val="00024B28"/>
    <w:rsid w:val="00027886"/>
    <w:rsid w:val="00030E75"/>
    <w:rsid w:val="000338AF"/>
    <w:rsid w:val="000339D4"/>
    <w:rsid w:val="00035F0A"/>
    <w:rsid w:val="000369CF"/>
    <w:rsid w:val="00040CB2"/>
    <w:rsid w:val="00040D46"/>
    <w:rsid w:val="0004300E"/>
    <w:rsid w:val="000473C1"/>
    <w:rsid w:val="00047D05"/>
    <w:rsid w:val="00052E40"/>
    <w:rsid w:val="00053666"/>
    <w:rsid w:val="0005452E"/>
    <w:rsid w:val="0006398B"/>
    <w:rsid w:val="00065FBA"/>
    <w:rsid w:val="00071CEF"/>
    <w:rsid w:val="000722E3"/>
    <w:rsid w:val="000727D5"/>
    <w:rsid w:val="000764F3"/>
    <w:rsid w:val="00081CDE"/>
    <w:rsid w:val="00086DDE"/>
    <w:rsid w:val="00087D8B"/>
    <w:rsid w:val="00091607"/>
    <w:rsid w:val="00095017"/>
    <w:rsid w:val="000A2211"/>
    <w:rsid w:val="000B3A10"/>
    <w:rsid w:val="000B5994"/>
    <w:rsid w:val="000C085F"/>
    <w:rsid w:val="000C58E9"/>
    <w:rsid w:val="000C7597"/>
    <w:rsid w:val="000D1633"/>
    <w:rsid w:val="000D6C64"/>
    <w:rsid w:val="000D7115"/>
    <w:rsid w:val="000E101F"/>
    <w:rsid w:val="000E4357"/>
    <w:rsid w:val="000F1A79"/>
    <w:rsid w:val="000F1FD2"/>
    <w:rsid w:val="000F5A03"/>
    <w:rsid w:val="000F5D4F"/>
    <w:rsid w:val="000F7248"/>
    <w:rsid w:val="001005BA"/>
    <w:rsid w:val="0010192D"/>
    <w:rsid w:val="00105015"/>
    <w:rsid w:val="00110F07"/>
    <w:rsid w:val="00112772"/>
    <w:rsid w:val="00116CB8"/>
    <w:rsid w:val="00117CE5"/>
    <w:rsid w:val="0012021E"/>
    <w:rsid w:val="001204A4"/>
    <w:rsid w:val="00126316"/>
    <w:rsid w:val="00133912"/>
    <w:rsid w:val="001355D1"/>
    <w:rsid w:val="001377FF"/>
    <w:rsid w:val="00145E4F"/>
    <w:rsid w:val="00151807"/>
    <w:rsid w:val="001545D3"/>
    <w:rsid w:val="00154704"/>
    <w:rsid w:val="00156564"/>
    <w:rsid w:val="0016418C"/>
    <w:rsid w:val="00164EB6"/>
    <w:rsid w:val="00165217"/>
    <w:rsid w:val="00172054"/>
    <w:rsid w:val="001727B5"/>
    <w:rsid w:val="00177415"/>
    <w:rsid w:val="00181394"/>
    <w:rsid w:val="001820B9"/>
    <w:rsid w:val="00182BE4"/>
    <w:rsid w:val="00187BCB"/>
    <w:rsid w:val="001915F1"/>
    <w:rsid w:val="00192467"/>
    <w:rsid w:val="00194130"/>
    <w:rsid w:val="0019520A"/>
    <w:rsid w:val="001962E0"/>
    <w:rsid w:val="001966F1"/>
    <w:rsid w:val="00196CDF"/>
    <w:rsid w:val="00197E8C"/>
    <w:rsid w:val="001A1B25"/>
    <w:rsid w:val="001A5848"/>
    <w:rsid w:val="001A69CE"/>
    <w:rsid w:val="001A6BEB"/>
    <w:rsid w:val="001A711C"/>
    <w:rsid w:val="001B1654"/>
    <w:rsid w:val="001B45FA"/>
    <w:rsid w:val="001C069A"/>
    <w:rsid w:val="001C403B"/>
    <w:rsid w:val="001D15F6"/>
    <w:rsid w:val="001D2787"/>
    <w:rsid w:val="001D36C2"/>
    <w:rsid w:val="001D7C8C"/>
    <w:rsid w:val="001E2B43"/>
    <w:rsid w:val="001E4CDE"/>
    <w:rsid w:val="001E5618"/>
    <w:rsid w:val="001F0EFC"/>
    <w:rsid w:val="001F21A4"/>
    <w:rsid w:val="001F3847"/>
    <w:rsid w:val="001F6D3E"/>
    <w:rsid w:val="00203F96"/>
    <w:rsid w:val="00204782"/>
    <w:rsid w:val="00205E28"/>
    <w:rsid w:val="00207F80"/>
    <w:rsid w:val="00213173"/>
    <w:rsid w:val="002170B9"/>
    <w:rsid w:val="00222E84"/>
    <w:rsid w:val="00224FA8"/>
    <w:rsid w:val="0023482C"/>
    <w:rsid w:val="0024196F"/>
    <w:rsid w:val="002431A4"/>
    <w:rsid w:val="002450AA"/>
    <w:rsid w:val="00245C3B"/>
    <w:rsid w:val="00252EDB"/>
    <w:rsid w:val="002547A4"/>
    <w:rsid w:val="00255930"/>
    <w:rsid w:val="00255D44"/>
    <w:rsid w:val="00256378"/>
    <w:rsid w:val="0026013F"/>
    <w:rsid w:val="00260241"/>
    <w:rsid w:val="002701CC"/>
    <w:rsid w:val="002737FF"/>
    <w:rsid w:val="0027521A"/>
    <w:rsid w:val="00280A6B"/>
    <w:rsid w:val="002816C8"/>
    <w:rsid w:val="00283709"/>
    <w:rsid w:val="002837E1"/>
    <w:rsid w:val="00285E30"/>
    <w:rsid w:val="00287B9B"/>
    <w:rsid w:val="00291E6A"/>
    <w:rsid w:val="00294B59"/>
    <w:rsid w:val="002953C8"/>
    <w:rsid w:val="002A62E3"/>
    <w:rsid w:val="002A6C8E"/>
    <w:rsid w:val="002B03B1"/>
    <w:rsid w:val="002B640D"/>
    <w:rsid w:val="002B6836"/>
    <w:rsid w:val="002B6FAC"/>
    <w:rsid w:val="002B7F7E"/>
    <w:rsid w:val="002C0B90"/>
    <w:rsid w:val="002C0DCF"/>
    <w:rsid w:val="002C4E8F"/>
    <w:rsid w:val="002D04C9"/>
    <w:rsid w:val="002D59A7"/>
    <w:rsid w:val="002D6BD5"/>
    <w:rsid w:val="002E59BA"/>
    <w:rsid w:val="002F0501"/>
    <w:rsid w:val="002F0A21"/>
    <w:rsid w:val="002F242D"/>
    <w:rsid w:val="002F655D"/>
    <w:rsid w:val="003074B6"/>
    <w:rsid w:val="0030794D"/>
    <w:rsid w:val="00314323"/>
    <w:rsid w:val="00316FBC"/>
    <w:rsid w:val="0033561B"/>
    <w:rsid w:val="003443B0"/>
    <w:rsid w:val="00345FDD"/>
    <w:rsid w:val="00354A5B"/>
    <w:rsid w:val="00361D6C"/>
    <w:rsid w:val="00362FE2"/>
    <w:rsid w:val="00364153"/>
    <w:rsid w:val="00367156"/>
    <w:rsid w:val="00371A13"/>
    <w:rsid w:val="00375AAC"/>
    <w:rsid w:val="00375FE4"/>
    <w:rsid w:val="00376143"/>
    <w:rsid w:val="00381B4D"/>
    <w:rsid w:val="00385EFC"/>
    <w:rsid w:val="00391F7B"/>
    <w:rsid w:val="00394262"/>
    <w:rsid w:val="00395A99"/>
    <w:rsid w:val="00395AC6"/>
    <w:rsid w:val="00396E48"/>
    <w:rsid w:val="003A0831"/>
    <w:rsid w:val="003A3D20"/>
    <w:rsid w:val="003A60F4"/>
    <w:rsid w:val="003A6E7C"/>
    <w:rsid w:val="003B0A2F"/>
    <w:rsid w:val="003B41A0"/>
    <w:rsid w:val="003B7F1E"/>
    <w:rsid w:val="003C1DDA"/>
    <w:rsid w:val="003C4DBD"/>
    <w:rsid w:val="003E1057"/>
    <w:rsid w:val="003E31C9"/>
    <w:rsid w:val="003E43EE"/>
    <w:rsid w:val="003F273B"/>
    <w:rsid w:val="003F4BBA"/>
    <w:rsid w:val="003F5A4A"/>
    <w:rsid w:val="0040229E"/>
    <w:rsid w:val="00403625"/>
    <w:rsid w:val="00403ED1"/>
    <w:rsid w:val="0040442F"/>
    <w:rsid w:val="0042006D"/>
    <w:rsid w:val="004271D0"/>
    <w:rsid w:val="00430202"/>
    <w:rsid w:val="004314D0"/>
    <w:rsid w:val="00432F42"/>
    <w:rsid w:val="004366EE"/>
    <w:rsid w:val="00436A22"/>
    <w:rsid w:val="00436DC3"/>
    <w:rsid w:val="00436E5C"/>
    <w:rsid w:val="00440CCA"/>
    <w:rsid w:val="004416BB"/>
    <w:rsid w:val="004479B3"/>
    <w:rsid w:val="004603CD"/>
    <w:rsid w:val="00460AA7"/>
    <w:rsid w:val="00465F20"/>
    <w:rsid w:val="004670A8"/>
    <w:rsid w:val="00467287"/>
    <w:rsid w:val="004700DA"/>
    <w:rsid w:val="00470B8E"/>
    <w:rsid w:val="00474E6E"/>
    <w:rsid w:val="00480A39"/>
    <w:rsid w:val="00480C2E"/>
    <w:rsid w:val="00480D0B"/>
    <w:rsid w:val="004839B1"/>
    <w:rsid w:val="00483B93"/>
    <w:rsid w:val="00487E5B"/>
    <w:rsid w:val="00490EF7"/>
    <w:rsid w:val="00491152"/>
    <w:rsid w:val="00491DE6"/>
    <w:rsid w:val="004B2964"/>
    <w:rsid w:val="004B2EA6"/>
    <w:rsid w:val="004B4C06"/>
    <w:rsid w:val="004B7C55"/>
    <w:rsid w:val="004C2A22"/>
    <w:rsid w:val="004C4BD7"/>
    <w:rsid w:val="004C4F26"/>
    <w:rsid w:val="004C50D1"/>
    <w:rsid w:val="004C6A7B"/>
    <w:rsid w:val="004E31BC"/>
    <w:rsid w:val="004E4290"/>
    <w:rsid w:val="004E57EC"/>
    <w:rsid w:val="004F1AC7"/>
    <w:rsid w:val="004F3586"/>
    <w:rsid w:val="004F3631"/>
    <w:rsid w:val="0050419D"/>
    <w:rsid w:val="00504608"/>
    <w:rsid w:val="00504A19"/>
    <w:rsid w:val="005076E7"/>
    <w:rsid w:val="00524295"/>
    <w:rsid w:val="00530A6E"/>
    <w:rsid w:val="00531EA5"/>
    <w:rsid w:val="0054383C"/>
    <w:rsid w:val="0054512D"/>
    <w:rsid w:val="00545FFC"/>
    <w:rsid w:val="00552E47"/>
    <w:rsid w:val="00553612"/>
    <w:rsid w:val="00553746"/>
    <w:rsid w:val="00553E90"/>
    <w:rsid w:val="00560194"/>
    <w:rsid w:val="00562A80"/>
    <w:rsid w:val="00563CF1"/>
    <w:rsid w:val="005776E0"/>
    <w:rsid w:val="0058160B"/>
    <w:rsid w:val="0058287F"/>
    <w:rsid w:val="00583741"/>
    <w:rsid w:val="0058398E"/>
    <w:rsid w:val="00587E79"/>
    <w:rsid w:val="00590C9C"/>
    <w:rsid w:val="005922AC"/>
    <w:rsid w:val="005922C0"/>
    <w:rsid w:val="00596B71"/>
    <w:rsid w:val="005A070F"/>
    <w:rsid w:val="005B1989"/>
    <w:rsid w:val="005B3C1B"/>
    <w:rsid w:val="005B3CB7"/>
    <w:rsid w:val="005C1296"/>
    <w:rsid w:val="005C4645"/>
    <w:rsid w:val="005C6EB7"/>
    <w:rsid w:val="005D02B3"/>
    <w:rsid w:val="005D1B93"/>
    <w:rsid w:val="005D52DF"/>
    <w:rsid w:val="005D5840"/>
    <w:rsid w:val="005D78CE"/>
    <w:rsid w:val="005E7226"/>
    <w:rsid w:val="005F3C35"/>
    <w:rsid w:val="005F4287"/>
    <w:rsid w:val="005F5A07"/>
    <w:rsid w:val="00600E6B"/>
    <w:rsid w:val="0060358C"/>
    <w:rsid w:val="00607F08"/>
    <w:rsid w:val="00610A42"/>
    <w:rsid w:val="006170A2"/>
    <w:rsid w:val="00620D63"/>
    <w:rsid w:val="0062149B"/>
    <w:rsid w:val="0062728B"/>
    <w:rsid w:val="00634EF6"/>
    <w:rsid w:val="0063570F"/>
    <w:rsid w:val="006375CE"/>
    <w:rsid w:val="00642E01"/>
    <w:rsid w:val="0064307B"/>
    <w:rsid w:val="006507F1"/>
    <w:rsid w:val="00662E81"/>
    <w:rsid w:val="006633BB"/>
    <w:rsid w:val="0066742C"/>
    <w:rsid w:val="006729F4"/>
    <w:rsid w:val="00675094"/>
    <w:rsid w:val="006777CF"/>
    <w:rsid w:val="00677E69"/>
    <w:rsid w:val="0068103A"/>
    <w:rsid w:val="00682358"/>
    <w:rsid w:val="0068364A"/>
    <w:rsid w:val="006870EF"/>
    <w:rsid w:val="00690160"/>
    <w:rsid w:val="00690CB8"/>
    <w:rsid w:val="006950B8"/>
    <w:rsid w:val="00696D69"/>
    <w:rsid w:val="00697233"/>
    <w:rsid w:val="00697E28"/>
    <w:rsid w:val="006A1354"/>
    <w:rsid w:val="006A36E8"/>
    <w:rsid w:val="006A55C9"/>
    <w:rsid w:val="006A6FD5"/>
    <w:rsid w:val="006A7B34"/>
    <w:rsid w:val="006B0D53"/>
    <w:rsid w:val="006B3223"/>
    <w:rsid w:val="006B422F"/>
    <w:rsid w:val="006D594B"/>
    <w:rsid w:val="006E03AB"/>
    <w:rsid w:val="006E266B"/>
    <w:rsid w:val="006E2F5E"/>
    <w:rsid w:val="006E3414"/>
    <w:rsid w:val="006E38F7"/>
    <w:rsid w:val="006E483D"/>
    <w:rsid w:val="006F1097"/>
    <w:rsid w:val="006F336D"/>
    <w:rsid w:val="006F3A18"/>
    <w:rsid w:val="006F45A4"/>
    <w:rsid w:val="006F67A9"/>
    <w:rsid w:val="0070281B"/>
    <w:rsid w:val="00703CE6"/>
    <w:rsid w:val="007074FC"/>
    <w:rsid w:val="00710A61"/>
    <w:rsid w:val="007114FC"/>
    <w:rsid w:val="00711668"/>
    <w:rsid w:val="007135D2"/>
    <w:rsid w:val="0071364F"/>
    <w:rsid w:val="007169ED"/>
    <w:rsid w:val="00716FC9"/>
    <w:rsid w:val="0072115C"/>
    <w:rsid w:val="00733339"/>
    <w:rsid w:val="00734257"/>
    <w:rsid w:val="00736935"/>
    <w:rsid w:val="00741342"/>
    <w:rsid w:val="0074214F"/>
    <w:rsid w:val="007448D9"/>
    <w:rsid w:val="00745B3C"/>
    <w:rsid w:val="00751090"/>
    <w:rsid w:val="007548A6"/>
    <w:rsid w:val="00761D9A"/>
    <w:rsid w:val="007648D0"/>
    <w:rsid w:val="0076713E"/>
    <w:rsid w:val="0077306D"/>
    <w:rsid w:val="007730DC"/>
    <w:rsid w:val="007775F4"/>
    <w:rsid w:val="007815B9"/>
    <w:rsid w:val="00781FF3"/>
    <w:rsid w:val="007829C8"/>
    <w:rsid w:val="00782EEC"/>
    <w:rsid w:val="00783B40"/>
    <w:rsid w:val="00786850"/>
    <w:rsid w:val="00787F5E"/>
    <w:rsid w:val="007940BC"/>
    <w:rsid w:val="007A2772"/>
    <w:rsid w:val="007A5714"/>
    <w:rsid w:val="007A6311"/>
    <w:rsid w:val="007A7E84"/>
    <w:rsid w:val="007C5C8B"/>
    <w:rsid w:val="007C68EF"/>
    <w:rsid w:val="007D65D1"/>
    <w:rsid w:val="007D76D5"/>
    <w:rsid w:val="007E3C08"/>
    <w:rsid w:val="007E40C6"/>
    <w:rsid w:val="007E6445"/>
    <w:rsid w:val="007F2F6C"/>
    <w:rsid w:val="008002CF"/>
    <w:rsid w:val="00800B42"/>
    <w:rsid w:val="008018F6"/>
    <w:rsid w:val="00803E11"/>
    <w:rsid w:val="008044F6"/>
    <w:rsid w:val="00804FDE"/>
    <w:rsid w:val="00807319"/>
    <w:rsid w:val="00813681"/>
    <w:rsid w:val="00822E1A"/>
    <w:rsid w:val="008230C8"/>
    <w:rsid w:val="008233B7"/>
    <w:rsid w:val="00823CF7"/>
    <w:rsid w:val="0082584C"/>
    <w:rsid w:val="00826600"/>
    <w:rsid w:val="00826D85"/>
    <w:rsid w:val="00830355"/>
    <w:rsid w:val="008322DE"/>
    <w:rsid w:val="00834559"/>
    <w:rsid w:val="00834F0B"/>
    <w:rsid w:val="00836ED9"/>
    <w:rsid w:val="00840E60"/>
    <w:rsid w:val="008413CC"/>
    <w:rsid w:val="008439DA"/>
    <w:rsid w:val="00847FD8"/>
    <w:rsid w:val="00852297"/>
    <w:rsid w:val="008540C5"/>
    <w:rsid w:val="008557FA"/>
    <w:rsid w:val="008633AD"/>
    <w:rsid w:val="008638B1"/>
    <w:rsid w:val="00865178"/>
    <w:rsid w:val="00865BE0"/>
    <w:rsid w:val="008744E8"/>
    <w:rsid w:val="00880097"/>
    <w:rsid w:val="0088016F"/>
    <w:rsid w:val="00881024"/>
    <w:rsid w:val="008818BD"/>
    <w:rsid w:val="00882837"/>
    <w:rsid w:val="00883FAA"/>
    <w:rsid w:val="00892AAF"/>
    <w:rsid w:val="00895DE4"/>
    <w:rsid w:val="00896A43"/>
    <w:rsid w:val="008A449C"/>
    <w:rsid w:val="008A5639"/>
    <w:rsid w:val="008A7BE1"/>
    <w:rsid w:val="008B19F5"/>
    <w:rsid w:val="008B365A"/>
    <w:rsid w:val="008B4A7B"/>
    <w:rsid w:val="008B758D"/>
    <w:rsid w:val="008C33FC"/>
    <w:rsid w:val="008D3BFF"/>
    <w:rsid w:val="008D737B"/>
    <w:rsid w:val="008E2768"/>
    <w:rsid w:val="008E31A7"/>
    <w:rsid w:val="008E4DC4"/>
    <w:rsid w:val="008E514E"/>
    <w:rsid w:val="008F0ABE"/>
    <w:rsid w:val="008F5C87"/>
    <w:rsid w:val="008F7268"/>
    <w:rsid w:val="0090303E"/>
    <w:rsid w:val="00903849"/>
    <w:rsid w:val="009048EE"/>
    <w:rsid w:val="009148F4"/>
    <w:rsid w:val="00915CB2"/>
    <w:rsid w:val="009272C2"/>
    <w:rsid w:val="00930D42"/>
    <w:rsid w:val="00933521"/>
    <w:rsid w:val="0093481E"/>
    <w:rsid w:val="0093489B"/>
    <w:rsid w:val="00934EC7"/>
    <w:rsid w:val="00937F16"/>
    <w:rsid w:val="0094014D"/>
    <w:rsid w:val="009439CD"/>
    <w:rsid w:val="0095045D"/>
    <w:rsid w:val="00957238"/>
    <w:rsid w:val="0095791C"/>
    <w:rsid w:val="00962B9F"/>
    <w:rsid w:val="00965628"/>
    <w:rsid w:val="00970143"/>
    <w:rsid w:val="00970BBF"/>
    <w:rsid w:val="0097290B"/>
    <w:rsid w:val="00977D8B"/>
    <w:rsid w:val="0098010E"/>
    <w:rsid w:val="0098195B"/>
    <w:rsid w:val="0098501B"/>
    <w:rsid w:val="0098645D"/>
    <w:rsid w:val="009A0BF5"/>
    <w:rsid w:val="009A33FA"/>
    <w:rsid w:val="009A58EA"/>
    <w:rsid w:val="009A5EC9"/>
    <w:rsid w:val="009A603D"/>
    <w:rsid w:val="009B096E"/>
    <w:rsid w:val="009B6941"/>
    <w:rsid w:val="009B71B2"/>
    <w:rsid w:val="009C0C08"/>
    <w:rsid w:val="009C1EC7"/>
    <w:rsid w:val="009C291C"/>
    <w:rsid w:val="009C30C5"/>
    <w:rsid w:val="009C314D"/>
    <w:rsid w:val="009C4829"/>
    <w:rsid w:val="009C7785"/>
    <w:rsid w:val="009C794D"/>
    <w:rsid w:val="009D2ACE"/>
    <w:rsid w:val="009D5CA9"/>
    <w:rsid w:val="009E0AF5"/>
    <w:rsid w:val="009E1234"/>
    <w:rsid w:val="009E4EFA"/>
    <w:rsid w:val="009E53F5"/>
    <w:rsid w:val="009E5C22"/>
    <w:rsid w:val="009E6656"/>
    <w:rsid w:val="009F01F6"/>
    <w:rsid w:val="009F0EB1"/>
    <w:rsid w:val="009F0F53"/>
    <w:rsid w:val="009F4F04"/>
    <w:rsid w:val="009F70C4"/>
    <w:rsid w:val="00A00FA0"/>
    <w:rsid w:val="00A05B39"/>
    <w:rsid w:val="00A141BF"/>
    <w:rsid w:val="00A20AB0"/>
    <w:rsid w:val="00A2288F"/>
    <w:rsid w:val="00A24422"/>
    <w:rsid w:val="00A30F5B"/>
    <w:rsid w:val="00A311BE"/>
    <w:rsid w:val="00A31733"/>
    <w:rsid w:val="00A32766"/>
    <w:rsid w:val="00A4101A"/>
    <w:rsid w:val="00A428DF"/>
    <w:rsid w:val="00A42CB6"/>
    <w:rsid w:val="00A46352"/>
    <w:rsid w:val="00A4715E"/>
    <w:rsid w:val="00A507A1"/>
    <w:rsid w:val="00A517D3"/>
    <w:rsid w:val="00A51AB3"/>
    <w:rsid w:val="00A568B6"/>
    <w:rsid w:val="00A60B17"/>
    <w:rsid w:val="00A61C50"/>
    <w:rsid w:val="00A66E4D"/>
    <w:rsid w:val="00A7414D"/>
    <w:rsid w:val="00A77C71"/>
    <w:rsid w:val="00A82E56"/>
    <w:rsid w:val="00A838C4"/>
    <w:rsid w:val="00A84E74"/>
    <w:rsid w:val="00A85733"/>
    <w:rsid w:val="00A90C84"/>
    <w:rsid w:val="00A91B1F"/>
    <w:rsid w:val="00A92179"/>
    <w:rsid w:val="00A948F2"/>
    <w:rsid w:val="00A95585"/>
    <w:rsid w:val="00A95ECF"/>
    <w:rsid w:val="00A977AD"/>
    <w:rsid w:val="00A97AEF"/>
    <w:rsid w:val="00AA1081"/>
    <w:rsid w:val="00AA2A1C"/>
    <w:rsid w:val="00AA61FD"/>
    <w:rsid w:val="00AB2A28"/>
    <w:rsid w:val="00AB7E8E"/>
    <w:rsid w:val="00AC1891"/>
    <w:rsid w:val="00AC5375"/>
    <w:rsid w:val="00AC5E61"/>
    <w:rsid w:val="00AC67DD"/>
    <w:rsid w:val="00AC6E7C"/>
    <w:rsid w:val="00AC7FE2"/>
    <w:rsid w:val="00AD1260"/>
    <w:rsid w:val="00AD1C81"/>
    <w:rsid w:val="00AD1DC4"/>
    <w:rsid w:val="00AD475F"/>
    <w:rsid w:val="00AD66F7"/>
    <w:rsid w:val="00AD7075"/>
    <w:rsid w:val="00AD71BC"/>
    <w:rsid w:val="00AE6809"/>
    <w:rsid w:val="00B00926"/>
    <w:rsid w:val="00B01439"/>
    <w:rsid w:val="00B06133"/>
    <w:rsid w:val="00B06311"/>
    <w:rsid w:val="00B06A8A"/>
    <w:rsid w:val="00B175AF"/>
    <w:rsid w:val="00B21473"/>
    <w:rsid w:val="00B22C9F"/>
    <w:rsid w:val="00B23E1F"/>
    <w:rsid w:val="00B2627F"/>
    <w:rsid w:val="00B32BDC"/>
    <w:rsid w:val="00B339CE"/>
    <w:rsid w:val="00B43E5D"/>
    <w:rsid w:val="00B44634"/>
    <w:rsid w:val="00B50A8C"/>
    <w:rsid w:val="00B521B9"/>
    <w:rsid w:val="00B53F62"/>
    <w:rsid w:val="00B5560A"/>
    <w:rsid w:val="00B55920"/>
    <w:rsid w:val="00B6520A"/>
    <w:rsid w:val="00B67D53"/>
    <w:rsid w:val="00B67DD0"/>
    <w:rsid w:val="00B708E8"/>
    <w:rsid w:val="00B73A88"/>
    <w:rsid w:val="00B7437A"/>
    <w:rsid w:val="00B7446B"/>
    <w:rsid w:val="00B75639"/>
    <w:rsid w:val="00B760F6"/>
    <w:rsid w:val="00B76729"/>
    <w:rsid w:val="00B76759"/>
    <w:rsid w:val="00B803CD"/>
    <w:rsid w:val="00B858A0"/>
    <w:rsid w:val="00B955F4"/>
    <w:rsid w:val="00BA0556"/>
    <w:rsid w:val="00BA12F8"/>
    <w:rsid w:val="00BA1F47"/>
    <w:rsid w:val="00BA2ABE"/>
    <w:rsid w:val="00BA3436"/>
    <w:rsid w:val="00BA5A19"/>
    <w:rsid w:val="00BB14BD"/>
    <w:rsid w:val="00BB3664"/>
    <w:rsid w:val="00BB465B"/>
    <w:rsid w:val="00BB4D4B"/>
    <w:rsid w:val="00BB5D8F"/>
    <w:rsid w:val="00BB614C"/>
    <w:rsid w:val="00BB6D22"/>
    <w:rsid w:val="00BC5882"/>
    <w:rsid w:val="00BC60B1"/>
    <w:rsid w:val="00BC7383"/>
    <w:rsid w:val="00BC7720"/>
    <w:rsid w:val="00BD235F"/>
    <w:rsid w:val="00BD7CA8"/>
    <w:rsid w:val="00BE1281"/>
    <w:rsid w:val="00BE4823"/>
    <w:rsid w:val="00BF0677"/>
    <w:rsid w:val="00BF267C"/>
    <w:rsid w:val="00C04FE5"/>
    <w:rsid w:val="00C06489"/>
    <w:rsid w:val="00C07520"/>
    <w:rsid w:val="00C07BEC"/>
    <w:rsid w:val="00C11A3F"/>
    <w:rsid w:val="00C11DB0"/>
    <w:rsid w:val="00C1567C"/>
    <w:rsid w:val="00C15E1D"/>
    <w:rsid w:val="00C20C08"/>
    <w:rsid w:val="00C22B3A"/>
    <w:rsid w:val="00C22F6A"/>
    <w:rsid w:val="00C2441E"/>
    <w:rsid w:val="00C24733"/>
    <w:rsid w:val="00C24D00"/>
    <w:rsid w:val="00C26696"/>
    <w:rsid w:val="00C275DB"/>
    <w:rsid w:val="00C306DA"/>
    <w:rsid w:val="00C37744"/>
    <w:rsid w:val="00C409D5"/>
    <w:rsid w:val="00C42396"/>
    <w:rsid w:val="00C43457"/>
    <w:rsid w:val="00C5047D"/>
    <w:rsid w:val="00C53EE1"/>
    <w:rsid w:val="00C5586A"/>
    <w:rsid w:val="00C606DA"/>
    <w:rsid w:val="00C61C1D"/>
    <w:rsid w:val="00C62C3E"/>
    <w:rsid w:val="00C6327D"/>
    <w:rsid w:val="00C6733C"/>
    <w:rsid w:val="00C722CE"/>
    <w:rsid w:val="00C72771"/>
    <w:rsid w:val="00C73AB9"/>
    <w:rsid w:val="00C77F45"/>
    <w:rsid w:val="00C817BB"/>
    <w:rsid w:val="00C82A72"/>
    <w:rsid w:val="00C83887"/>
    <w:rsid w:val="00C86EB4"/>
    <w:rsid w:val="00C926A9"/>
    <w:rsid w:val="00C9598C"/>
    <w:rsid w:val="00CA1116"/>
    <w:rsid w:val="00CA644C"/>
    <w:rsid w:val="00CA7EC7"/>
    <w:rsid w:val="00CB2871"/>
    <w:rsid w:val="00CB5B3C"/>
    <w:rsid w:val="00CC7F2F"/>
    <w:rsid w:val="00CD15D2"/>
    <w:rsid w:val="00CD672B"/>
    <w:rsid w:val="00CD78B6"/>
    <w:rsid w:val="00CD7980"/>
    <w:rsid w:val="00CE1555"/>
    <w:rsid w:val="00CE1704"/>
    <w:rsid w:val="00CE628D"/>
    <w:rsid w:val="00CE62D9"/>
    <w:rsid w:val="00CF1680"/>
    <w:rsid w:val="00CF184D"/>
    <w:rsid w:val="00CF6C3D"/>
    <w:rsid w:val="00CF6F08"/>
    <w:rsid w:val="00CF775E"/>
    <w:rsid w:val="00CF78C5"/>
    <w:rsid w:val="00D01BA8"/>
    <w:rsid w:val="00D12BBE"/>
    <w:rsid w:val="00D13C42"/>
    <w:rsid w:val="00D26C19"/>
    <w:rsid w:val="00D32804"/>
    <w:rsid w:val="00D353CD"/>
    <w:rsid w:val="00D40264"/>
    <w:rsid w:val="00D40989"/>
    <w:rsid w:val="00D41BCC"/>
    <w:rsid w:val="00D42D25"/>
    <w:rsid w:val="00D445C4"/>
    <w:rsid w:val="00D45E92"/>
    <w:rsid w:val="00D47DE0"/>
    <w:rsid w:val="00D52AF0"/>
    <w:rsid w:val="00D56C61"/>
    <w:rsid w:val="00D66475"/>
    <w:rsid w:val="00D66CEB"/>
    <w:rsid w:val="00D714EE"/>
    <w:rsid w:val="00D8222D"/>
    <w:rsid w:val="00D90A25"/>
    <w:rsid w:val="00D910DC"/>
    <w:rsid w:val="00D91C81"/>
    <w:rsid w:val="00DA5408"/>
    <w:rsid w:val="00DA550A"/>
    <w:rsid w:val="00DA6BDA"/>
    <w:rsid w:val="00DB4ACB"/>
    <w:rsid w:val="00DB4C2B"/>
    <w:rsid w:val="00DC3C7A"/>
    <w:rsid w:val="00DC4CEB"/>
    <w:rsid w:val="00DC5F1B"/>
    <w:rsid w:val="00DD13A5"/>
    <w:rsid w:val="00DD2908"/>
    <w:rsid w:val="00DD2A52"/>
    <w:rsid w:val="00DD34F7"/>
    <w:rsid w:val="00DD549F"/>
    <w:rsid w:val="00DE039C"/>
    <w:rsid w:val="00DE0FD0"/>
    <w:rsid w:val="00DE2D5E"/>
    <w:rsid w:val="00DE54CF"/>
    <w:rsid w:val="00DE6B6F"/>
    <w:rsid w:val="00DF0405"/>
    <w:rsid w:val="00DF536A"/>
    <w:rsid w:val="00DF75FD"/>
    <w:rsid w:val="00E01D24"/>
    <w:rsid w:val="00E035A1"/>
    <w:rsid w:val="00E21748"/>
    <w:rsid w:val="00E21DC1"/>
    <w:rsid w:val="00E262AA"/>
    <w:rsid w:val="00E26540"/>
    <w:rsid w:val="00E27015"/>
    <w:rsid w:val="00E353EF"/>
    <w:rsid w:val="00E53959"/>
    <w:rsid w:val="00E62C2C"/>
    <w:rsid w:val="00E62FFE"/>
    <w:rsid w:val="00E64640"/>
    <w:rsid w:val="00E64D87"/>
    <w:rsid w:val="00E65A42"/>
    <w:rsid w:val="00E66364"/>
    <w:rsid w:val="00E67953"/>
    <w:rsid w:val="00E70C2F"/>
    <w:rsid w:val="00E72FEA"/>
    <w:rsid w:val="00E74485"/>
    <w:rsid w:val="00E8146E"/>
    <w:rsid w:val="00E85077"/>
    <w:rsid w:val="00E86E82"/>
    <w:rsid w:val="00E8773C"/>
    <w:rsid w:val="00E92135"/>
    <w:rsid w:val="00E92EDC"/>
    <w:rsid w:val="00E9753B"/>
    <w:rsid w:val="00EA21FB"/>
    <w:rsid w:val="00EA2365"/>
    <w:rsid w:val="00EA440B"/>
    <w:rsid w:val="00EA4D11"/>
    <w:rsid w:val="00EA55FF"/>
    <w:rsid w:val="00EA6007"/>
    <w:rsid w:val="00EB3E85"/>
    <w:rsid w:val="00EB48B1"/>
    <w:rsid w:val="00EC62FD"/>
    <w:rsid w:val="00ED6BD9"/>
    <w:rsid w:val="00EE03DD"/>
    <w:rsid w:val="00EE5FBA"/>
    <w:rsid w:val="00EE60D6"/>
    <w:rsid w:val="00EF0927"/>
    <w:rsid w:val="00EF09ED"/>
    <w:rsid w:val="00F033A7"/>
    <w:rsid w:val="00F03410"/>
    <w:rsid w:val="00F14EC1"/>
    <w:rsid w:val="00F17F0A"/>
    <w:rsid w:val="00F2163C"/>
    <w:rsid w:val="00F222E6"/>
    <w:rsid w:val="00F2428D"/>
    <w:rsid w:val="00F31124"/>
    <w:rsid w:val="00F356AA"/>
    <w:rsid w:val="00F40A67"/>
    <w:rsid w:val="00F41FBC"/>
    <w:rsid w:val="00F46F24"/>
    <w:rsid w:val="00F52DCC"/>
    <w:rsid w:val="00F52F1B"/>
    <w:rsid w:val="00F67289"/>
    <w:rsid w:val="00F75C0D"/>
    <w:rsid w:val="00F768F1"/>
    <w:rsid w:val="00F77F9B"/>
    <w:rsid w:val="00F81879"/>
    <w:rsid w:val="00F82C16"/>
    <w:rsid w:val="00F91918"/>
    <w:rsid w:val="00F93D55"/>
    <w:rsid w:val="00F93F9D"/>
    <w:rsid w:val="00F9671C"/>
    <w:rsid w:val="00F97C91"/>
    <w:rsid w:val="00FB4593"/>
    <w:rsid w:val="00FB55DD"/>
    <w:rsid w:val="00FC0092"/>
    <w:rsid w:val="00FC520B"/>
    <w:rsid w:val="00FC7869"/>
    <w:rsid w:val="00FD3108"/>
    <w:rsid w:val="00FD4CA3"/>
    <w:rsid w:val="00FE0512"/>
    <w:rsid w:val="00FE2548"/>
    <w:rsid w:val="00FE6D0F"/>
    <w:rsid w:val="00FE70B8"/>
    <w:rsid w:val="00FE7B1D"/>
    <w:rsid w:val="00FF0910"/>
    <w:rsid w:val="00FF10EF"/>
    <w:rsid w:val="00FF2652"/>
    <w:rsid w:val="00FF54D9"/>
    <w:rsid w:val="00FF58F5"/>
    <w:rsid w:val="00FF76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14:docId w14:val="71817B9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Calibri"/>
        <w:color w:val="000000"/>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8F4"/>
  </w:style>
  <w:style w:type="paragraph" w:styleId="Heading1">
    <w:name w:val="heading 1"/>
    <w:next w:val="Normal"/>
    <w:link w:val="Heading1Char"/>
    <w:uiPriority w:val="9"/>
    <w:qFormat/>
    <w:rsid w:val="00A517D3"/>
    <w:pPr>
      <w:keepNext/>
      <w:keepLines/>
      <w:spacing w:after="98"/>
      <w:ind w:left="10" w:right="2" w:hanging="10"/>
      <w:jc w:val="center"/>
      <w:outlineLvl w:val="0"/>
    </w:pPr>
    <w:rPr>
      <w:rFonts w:eastAsia="Times New Roman" w:cs="Times New Roman"/>
      <w:b/>
      <w:sz w:val="24"/>
      <w:u w:color="000000"/>
      <w:lang w:eastAsia="en-IE"/>
    </w:rPr>
  </w:style>
  <w:style w:type="paragraph" w:styleId="Heading2">
    <w:name w:val="heading 2"/>
    <w:next w:val="Normal"/>
    <w:link w:val="Heading2Char"/>
    <w:uiPriority w:val="9"/>
    <w:unhideWhenUsed/>
    <w:qFormat/>
    <w:rsid w:val="00A517D3"/>
    <w:pPr>
      <w:keepNext/>
      <w:keepLines/>
      <w:spacing w:after="0" w:line="250" w:lineRule="auto"/>
      <w:ind w:left="862" w:hanging="11"/>
      <w:outlineLvl w:val="1"/>
    </w:pPr>
    <w:rPr>
      <w:rFonts w:eastAsia="Times New Roman" w:cs="Times New Roman"/>
      <w:b/>
      <w:sz w:val="24"/>
      <w:lang w:eastAsia="en-IE"/>
    </w:rPr>
  </w:style>
  <w:style w:type="paragraph" w:styleId="Heading3">
    <w:name w:val="heading 3"/>
    <w:basedOn w:val="Normal"/>
    <w:next w:val="Normal"/>
    <w:link w:val="Heading3Char"/>
    <w:uiPriority w:val="9"/>
    <w:unhideWhenUsed/>
    <w:qFormat/>
    <w:rsid w:val="00A82E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7D3"/>
    <w:rPr>
      <w:rFonts w:eastAsia="Times New Roman" w:cs="Times New Roman"/>
      <w:b/>
      <w:sz w:val="24"/>
      <w:u w:color="000000"/>
      <w:lang w:eastAsia="en-IE"/>
    </w:rPr>
  </w:style>
  <w:style w:type="character" w:customStyle="1" w:styleId="Heading2Char">
    <w:name w:val="Heading 2 Char"/>
    <w:basedOn w:val="DefaultParagraphFont"/>
    <w:link w:val="Heading2"/>
    <w:uiPriority w:val="9"/>
    <w:rsid w:val="00A517D3"/>
    <w:rPr>
      <w:rFonts w:eastAsia="Times New Roman" w:cs="Times New Roman"/>
      <w:b/>
      <w:sz w:val="24"/>
      <w:lang w:eastAsia="en-IE"/>
    </w:rPr>
  </w:style>
  <w:style w:type="paragraph" w:styleId="ListParagraph">
    <w:name w:val="List Paragraph"/>
    <w:basedOn w:val="Normal"/>
    <w:link w:val="ListParagraphChar"/>
    <w:uiPriority w:val="34"/>
    <w:qFormat/>
    <w:rsid w:val="00D8222D"/>
    <w:pPr>
      <w:ind w:left="720"/>
      <w:contextualSpacing/>
    </w:pPr>
  </w:style>
  <w:style w:type="paragraph" w:customStyle="1" w:styleId="footnotedescription">
    <w:name w:val="footnote description"/>
    <w:next w:val="Normal"/>
    <w:link w:val="footnotedescriptionChar"/>
    <w:hidden/>
    <w:rsid w:val="003A60F4"/>
    <w:pPr>
      <w:spacing w:after="0"/>
      <w:ind w:left="6"/>
    </w:pPr>
    <w:rPr>
      <w:rFonts w:eastAsia="Times New Roman" w:cs="Times New Roman"/>
      <w:lang w:eastAsia="en-IE"/>
    </w:rPr>
  </w:style>
  <w:style w:type="character" w:customStyle="1" w:styleId="footnotedescriptionChar">
    <w:name w:val="footnote description Char"/>
    <w:link w:val="footnotedescription"/>
    <w:rsid w:val="003A60F4"/>
    <w:rPr>
      <w:rFonts w:ascii="Times New Roman" w:eastAsia="Times New Roman" w:hAnsi="Times New Roman" w:cs="Times New Roman"/>
      <w:color w:val="000000"/>
      <w:sz w:val="20"/>
      <w:lang w:eastAsia="en-IE"/>
    </w:rPr>
  </w:style>
  <w:style w:type="character" w:customStyle="1" w:styleId="footnotemark">
    <w:name w:val="footnote mark"/>
    <w:hidden/>
    <w:rsid w:val="003A60F4"/>
    <w:rPr>
      <w:rFonts w:ascii="Times New Roman" w:eastAsia="Times New Roman" w:hAnsi="Times New Roman" w:cs="Times New Roman"/>
      <w:color w:val="000000"/>
      <w:sz w:val="20"/>
      <w:vertAlign w:val="superscript"/>
    </w:rPr>
  </w:style>
  <w:style w:type="paragraph" w:styleId="EndnoteText">
    <w:name w:val="endnote text"/>
    <w:basedOn w:val="Normal"/>
    <w:link w:val="EndnoteTextChar"/>
    <w:uiPriority w:val="99"/>
    <w:semiHidden/>
    <w:unhideWhenUsed/>
    <w:rsid w:val="00260241"/>
    <w:pPr>
      <w:spacing w:after="0" w:line="240" w:lineRule="auto"/>
    </w:pPr>
  </w:style>
  <w:style w:type="character" w:customStyle="1" w:styleId="EndnoteTextChar">
    <w:name w:val="Endnote Text Char"/>
    <w:basedOn w:val="DefaultParagraphFont"/>
    <w:link w:val="EndnoteText"/>
    <w:uiPriority w:val="99"/>
    <w:semiHidden/>
    <w:rsid w:val="00260241"/>
    <w:rPr>
      <w:rFonts w:ascii="Calibri" w:eastAsia="Calibri" w:hAnsi="Calibri" w:cs="Calibri"/>
      <w:color w:val="000000"/>
      <w:sz w:val="20"/>
      <w:szCs w:val="20"/>
      <w:lang w:eastAsia="en-IE"/>
    </w:rPr>
  </w:style>
  <w:style w:type="character" w:styleId="EndnoteReference">
    <w:name w:val="endnote reference"/>
    <w:basedOn w:val="DefaultParagraphFont"/>
    <w:uiPriority w:val="99"/>
    <w:semiHidden/>
    <w:unhideWhenUsed/>
    <w:rsid w:val="00260241"/>
    <w:rPr>
      <w:vertAlign w:val="superscript"/>
    </w:rPr>
  </w:style>
  <w:style w:type="paragraph" w:styleId="Header">
    <w:name w:val="header"/>
    <w:basedOn w:val="Normal"/>
    <w:link w:val="HeaderChar"/>
    <w:uiPriority w:val="99"/>
    <w:unhideWhenUsed/>
    <w:rsid w:val="00BB14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4BD"/>
    <w:rPr>
      <w:rFonts w:ascii="Calibri" w:eastAsia="Calibri" w:hAnsi="Calibri" w:cs="Calibri"/>
      <w:color w:val="000000"/>
      <w:lang w:eastAsia="en-IE"/>
    </w:rPr>
  </w:style>
  <w:style w:type="paragraph" w:styleId="Footer">
    <w:name w:val="footer"/>
    <w:basedOn w:val="Normal"/>
    <w:link w:val="FooterChar"/>
    <w:uiPriority w:val="99"/>
    <w:unhideWhenUsed/>
    <w:rsid w:val="00BB14BD"/>
    <w:pPr>
      <w:tabs>
        <w:tab w:val="center" w:pos="4680"/>
        <w:tab w:val="right" w:pos="9360"/>
      </w:tabs>
      <w:spacing w:after="0" w:line="240" w:lineRule="auto"/>
    </w:pPr>
    <w:rPr>
      <w:rFonts w:asciiTheme="minorHAnsi" w:eastAsiaTheme="minorEastAsia" w:hAnsiTheme="minorHAnsi" w:cs="Times New Roman"/>
      <w:color w:val="auto"/>
      <w:lang w:val="en-US"/>
    </w:rPr>
  </w:style>
  <w:style w:type="character" w:customStyle="1" w:styleId="FooterChar">
    <w:name w:val="Footer Char"/>
    <w:basedOn w:val="DefaultParagraphFont"/>
    <w:link w:val="Footer"/>
    <w:uiPriority w:val="99"/>
    <w:rsid w:val="00BB14BD"/>
    <w:rPr>
      <w:rFonts w:eastAsiaTheme="minorEastAsia" w:cs="Times New Roman"/>
      <w:lang w:val="en-US"/>
    </w:rPr>
  </w:style>
  <w:style w:type="character" w:customStyle="1" w:styleId="Heading3Char">
    <w:name w:val="Heading 3 Char"/>
    <w:basedOn w:val="DefaultParagraphFont"/>
    <w:link w:val="Heading3"/>
    <w:uiPriority w:val="9"/>
    <w:rsid w:val="00A82E56"/>
    <w:rPr>
      <w:rFonts w:asciiTheme="majorHAnsi" w:eastAsiaTheme="majorEastAsia" w:hAnsiTheme="majorHAnsi" w:cstheme="majorBidi"/>
      <w:color w:val="1F3763" w:themeColor="accent1" w:themeShade="7F"/>
      <w:sz w:val="24"/>
      <w:szCs w:val="24"/>
      <w:lang w:eastAsia="en-IE"/>
    </w:rPr>
  </w:style>
  <w:style w:type="character" w:styleId="Strong">
    <w:name w:val="Strong"/>
    <w:basedOn w:val="DefaultParagraphFont"/>
    <w:uiPriority w:val="22"/>
    <w:qFormat/>
    <w:rsid w:val="004839B1"/>
    <w:rPr>
      <w:b/>
      <w:bCs/>
    </w:rPr>
  </w:style>
  <w:style w:type="character" w:styleId="Emphasis">
    <w:name w:val="Emphasis"/>
    <w:basedOn w:val="DefaultParagraphFont"/>
    <w:uiPriority w:val="20"/>
    <w:qFormat/>
    <w:rsid w:val="004839B1"/>
    <w:rPr>
      <w:i/>
      <w:iCs/>
    </w:rPr>
  </w:style>
  <w:style w:type="paragraph" w:styleId="NormalWeb">
    <w:name w:val="Normal (Web)"/>
    <w:basedOn w:val="Normal"/>
    <w:uiPriority w:val="99"/>
    <w:unhideWhenUsed/>
    <w:rsid w:val="004839B1"/>
    <w:pPr>
      <w:spacing w:before="100" w:beforeAutospacing="1" w:after="100" w:afterAutospacing="1" w:line="240" w:lineRule="auto"/>
    </w:pPr>
    <w:rPr>
      <w:rFonts w:eastAsia="Times New Roman" w:cs="Times New Roman"/>
      <w:color w:val="auto"/>
      <w:sz w:val="24"/>
      <w:szCs w:val="24"/>
    </w:rPr>
  </w:style>
  <w:style w:type="character" w:customStyle="1" w:styleId="label">
    <w:name w:val="label"/>
    <w:basedOn w:val="DefaultParagraphFont"/>
    <w:rsid w:val="004839B1"/>
  </w:style>
  <w:style w:type="character" w:styleId="Hyperlink">
    <w:name w:val="Hyperlink"/>
    <w:basedOn w:val="DefaultParagraphFont"/>
    <w:uiPriority w:val="99"/>
    <w:semiHidden/>
    <w:unhideWhenUsed/>
    <w:rsid w:val="004839B1"/>
    <w:rPr>
      <w:color w:val="0000FF"/>
      <w:u w:val="single"/>
    </w:rPr>
  </w:style>
  <w:style w:type="character" w:customStyle="1" w:styleId="judges">
    <w:name w:val="judges"/>
    <w:basedOn w:val="DefaultParagraphFont"/>
    <w:rsid w:val="004839B1"/>
  </w:style>
  <w:style w:type="paragraph" w:customStyle="1" w:styleId="constituent">
    <w:name w:val="constituent"/>
    <w:basedOn w:val="Normal"/>
    <w:rsid w:val="004839B1"/>
    <w:pPr>
      <w:spacing w:before="100" w:beforeAutospacing="1" w:after="100" w:afterAutospacing="1" w:line="240" w:lineRule="auto"/>
    </w:pPr>
    <w:rPr>
      <w:rFonts w:eastAsia="Times New Roman" w:cs="Times New Roman"/>
      <w:color w:val="auto"/>
      <w:sz w:val="24"/>
      <w:szCs w:val="24"/>
    </w:rPr>
  </w:style>
  <w:style w:type="paragraph" w:customStyle="1" w:styleId="author">
    <w:name w:val="author"/>
    <w:basedOn w:val="Normal"/>
    <w:rsid w:val="004839B1"/>
    <w:pPr>
      <w:spacing w:before="100" w:beforeAutospacing="1" w:after="100" w:afterAutospacing="1" w:line="240" w:lineRule="auto"/>
    </w:pPr>
    <w:rPr>
      <w:rFonts w:eastAsia="Times New Roman" w:cs="Times New Roman"/>
      <w:color w:val="auto"/>
      <w:sz w:val="24"/>
      <w:szCs w:val="24"/>
    </w:rPr>
  </w:style>
  <w:style w:type="paragraph" w:styleId="BalloonText">
    <w:name w:val="Balloon Text"/>
    <w:basedOn w:val="Normal"/>
    <w:link w:val="BalloonTextChar"/>
    <w:uiPriority w:val="99"/>
    <w:semiHidden/>
    <w:unhideWhenUsed/>
    <w:rsid w:val="004F1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AC7"/>
    <w:rPr>
      <w:rFonts w:ascii="Segoe UI" w:eastAsia="Calibri" w:hAnsi="Segoe UI" w:cs="Segoe UI"/>
      <w:color w:val="000000"/>
      <w:sz w:val="18"/>
      <w:szCs w:val="18"/>
      <w:lang w:eastAsia="en-IE"/>
    </w:rPr>
  </w:style>
  <w:style w:type="character" w:customStyle="1" w:styleId="ListParagraphChar">
    <w:name w:val="List Paragraph Char"/>
    <w:link w:val="ListParagraph"/>
    <w:uiPriority w:val="34"/>
    <w:locked/>
    <w:rsid w:val="00065FBA"/>
    <w:rPr>
      <w:rFonts w:ascii="Calibri" w:eastAsia="Calibri" w:hAnsi="Calibri" w:cs="Calibri"/>
      <w:color w:val="000000"/>
      <w:lang w:eastAsia="en-IE"/>
    </w:rPr>
  </w:style>
  <w:style w:type="character" w:customStyle="1" w:styleId="text-highlight">
    <w:name w:val="text-highlight"/>
    <w:basedOn w:val="DefaultParagraphFont"/>
    <w:rsid w:val="000D6C64"/>
  </w:style>
  <w:style w:type="character" w:styleId="CommentReference">
    <w:name w:val="annotation reference"/>
    <w:basedOn w:val="DefaultParagraphFont"/>
    <w:uiPriority w:val="99"/>
    <w:semiHidden/>
    <w:unhideWhenUsed/>
    <w:rsid w:val="00480C2E"/>
    <w:rPr>
      <w:sz w:val="16"/>
      <w:szCs w:val="16"/>
    </w:rPr>
  </w:style>
  <w:style w:type="paragraph" w:styleId="CommentText">
    <w:name w:val="annotation text"/>
    <w:basedOn w:val="Normal"/>
    <w:link w:val="CommentTextChar"/>
    <w:uiPriority w:val="99"/>
    <w:unhideWhenUsed/>
    <w:rsid w:val="00480C2E"/>
    <w:pPr>
      <w:spacing w:line="240" w:lineRule="auto"/>
    </w:pPr>
  </w:style>
  <w:style w:type="character" w:customStyle="1" w:styleId="CommentTextChar">
    <w:name w:val="Comment Text Char"/>
    <w:basedOn w:val="DefaultParagraphFont"/>
    <w:link w:val="CommentText"/>
    <w:uiPriority w:val="99"/>
    <w:rsid w:val="00480C2E"/>
    <w:rPr>
      <w:rFonts w:ascii="Calibri" w:eastAsia="Calibri" w:hAnsi="Calibri" w:cs="Calibri"/>
      <w:color w:val="000000"/>
      <w:sz w:val="20"/>
      <w:szCs w:val="20"/>
      <w:lang w:eastAsia="en-IE"/>
    </w:rPr>
  </w:style>
  <w:style w:type="paragraph" w:styleId="CommentSubject">
    <w:name w:val="annotation subject"/>
    <w:basedOn w:val="CommentText"/>
    <w:next w:val="CommentText"/>
    <w:link w:val="CommentSubjectChar"/>
    <w:uiPriority w:val="99"/>
    <w:semiHidden/>
    <w:unhideWhenUsed/>
    <w:rsid w:val="00480C2E"/>
    <w:rPr>
      <w:b/>
      <w:bCs/>
    </w:rPr>
  </w:style>
  <w:style w:type="character" w:customStyle="1" w:styleId="CommentSubjectChar">
    <w:name w:val="Comment Subject Char"/>
    <w:basedOn w:val="CommentTextChar"/>
    <w:link w:val="CommentSubject"/>
    <w:uiPriority w:val="99"/>
    <w:semiHidden/>
    <w:rsid w:val="00480C2E"/>
    <w:rPr>
      <w:rFonts w:ascii="Calibri" w:eastAsia="Calibri" w:hAnsi="Calibri" w:cs="Calibri"/>
      <w:b/>
      <w:bCs/>
      <w:color w:val="000000"/>
      <w:sz w:val="20"/>
      <w:szCs w:val="20"/>
      <w:lang w:eastAsia="en-IE"/>
    </w:rPr>
  </w:style>
  <w:style w:type="character" w:customStyle="1" w:styleId="link-name">
    <w:name w:val="link-name"/>
    <w:basedOn w:val="DefaultParagraphFont"/>
    <w:rsid w:val="00030E75"/>
  </w:style>
  <w:style w:type="paragraph" w:styleId="Revision">
    <w:name w:val="Revision"/>
    <w:hidden/>
    <w:uiPriority w:val="99"/>
    <w:semiHidden/>
    <w:rsid w:val="00D56C61"/>
    <w:pPr>
      <w:spacing w:after="0" w:line="240" w:lineRule="auto"/>
    </w:pPr>
    <w:rPr>
      <w:rFonts w:ascii="Calibri" w:eastAsia="Calibri" w:hAnsi="Calibri"/>
      <w:lang w:eastAsia="en-IE"/>
    </w:rPr>
  </w:style>
  <w:style w:type="paragraph" w:styleId="FootnoteText">
    <w:name w:val="footnote text"/>
    <w:basedOn w:val="Normal"/>
    <w:link w:val="FootnoteTextChar"/>
    <w:autoRedefine/>
    <w:uiPriority w:val="99"/>
    <w:unhideWhenUsed/>
    <w:rsid w:val="00DC4CEB"/>
    <w:pPr>
      <w:spacing w:after="0" w:line="360" w:lineRule="auto"/>
      <w:jc w:val="both"/>
    </w:pPr>
  </w:style>
  <w:style w:type="character" w:customStyle="1" w:styleId="FootnoteTextChar">
    <w:name w:val="Footnote Text Char"/>
    <w:basedOn w:val="DefaultParagraphFont"/>
    <w:link w:val="FootnoteText"/>
    <w:uiPriority w:val="99"/>
    <w:rsid w:val="00DC4CEB"/>
  </w:style>
  <w:style w:type="character" w:styleId="FootnoteReference">
    <w:name w:val="footnote reference"/>
    <w:basedOn w:val="DefaultParagraphFont"/>
    <w:uiPriority w:val="99"/>
    <w:semiHidden/>
    <w:unhideWhenUsed/>
    <w:rsid w:val="009C4829"/>
    <w:rPr>
      <w:vertAlign w:val="superscript"/>
    </w:rPr>
  </w:style>
  <w:style w:type="paragraph" w:styleId="BodyTextIndent">
    <w:name w:val="Body Text Indent"/>
    <w:basedOn w:val="Normal"/>
    <w:link w:val="BodyTextIndentChar"/>
    <w:uiPriority w:val="99"/>
    <w:unhideWhenUsed/>
    <w:rsid w:val="00A84E74"/>
    <w:pPr>
      <w:autoSpaceDE w:val="0"/>
      <w:autoSpaceDN w:val="0"/>
      <w:adjustRightInd w:val="0"/>
      <w:spacing w:after="0" w:line="480" w:lineRule="auto"/>
      <w:ind w:left="1418"/>
      <w:jc w:val="both"/>
    </w:pPr>
    <w:rPr>
      <w:rFonts w:cs="BaskervilleNo2BT-Roman"/>
      <w:i/>
      <w:sz w:val="24"/>
    </w:rPr>
  </w:style>
  <w:style w:type="character" w:customStyle="1" w:styleId="BodyTextIndentChar">
    <w:name w:val="Body Text Indent Char"/>
    <w:basedOn w:val="DefaultParagraphFont"/>
    <w:link w:val="BodyTextIndent"/>
    <w:uiPriority w:val="99"/>
    <w:rsid w:val="00A84E74"/>
    <w:rPr>
      <w:rFonts w:cs="BaskervilleNo2BT-Roman"/>
      <w:i/>
      <w:sz w:val="24"/>
    </w:rPr>
  </w:style>
  <w:style w:type="paragraph" w:customStyle="1" w:styleId="c01pointnumerotealtn">
    <w:name w:val="c01pointnumerotealtn"/>
    <w:basedOn w:val="Normal"/>
    <w:rsid w:val="001A5848"/>
    <w:pPr>
      <w:spacing w:before="100" w:beforeAutospacing="1" w:after="100" w:afterAutospacing="1" w:line="240" w:lineRule="auto"/>
    </w:pPr>
    <w:rPr>
      <w:rFonts w:eastAsia="Times New Roman" w:cs="Times New Roman"/>
      <w:color w:val="auto"/>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6956">
      <w:bodyDiv w:val="1"/>
      <w:marLeft w:val="0"/>
      <w:marRight w:val="0"/>
      <w:marTop w:val="0"/>
      <w:marBottom w:val="0"/>
      <w:divBdr>
        <w:top w:val="none" w:sz="0" w:space="0" w:color="auto"/>
        <w:left w:val="none" w:sz="0" w:space="0" w:color="auto"/>
        <w:bottom w:val="none" w:sz="0" w:space="0" w:color="auto"/>
        <w:right w:val="none" w:sz="0" w:space="0" w:color="auto"/>
      </w:divBdr>
    </w:div>
    <w:div w:id="326401723">
      <w:bodyDiv w:val="1"/>
      <w:marLeft w:val="0"/>
      <w:marRight w:val="0"/>
      <w:marTop w:val="0"/>
      <w:marBottom w:val="0"/>
      <w:divBdr>
        <w:top w:val="none" w:sz="0" w:space="0" w:color="auto"/>
        <w:left w:val="none" w:sz="0" w:space="0" w:color="auto"/>
        <w:bottom w:val="none" w:sz="0" w:space="0" w:color="auto"/>
        <w:right w:val="none" w:sz="0" w:space="0" w:color="auto"/>
      </w:divBdr>
    </w:div>
    <w:div w:id="844327471">
      <w:bodyDiv w:val="1"/>
      <w:marLeft w:val="0"/>
      <w:marRight w:val="0"/>
      <w:marTop w:val="0"/>
      <w:marBottom w:val="0"/>
      <w:divBdr>
        <w:top w:val="none" w:sz="0" w:space="0" w:color="auto"/>
        <w:left w:val="none" w:sz="0" w:space="0" w:color="auto"/>
        <w:bottom w:val="none" w:sz="0" w:space="0" w:color="auto"/>
        <w:right w:val="none" w:sz="0" w:space="0" w:color="auto"/>
      </w:divBdr>
      <w:divsChild>
        <w:div w:id="630522602">
          <w:marLeft w:val="0"/>
          <w:marRight w:val="0"/>
          <w:marTop w:val="0"/>
          <w:marBottom w:val="0"/>
          <w:divBdr>
            <w:top w:val="none" w:sz="0" w:space="0" w:color="auto"/>
            <w:left w:val="none" w:sz="0" w:space="0" w:color="auto"/>
            <w:bottom w:val="none" w:sz="0" w:space="0" w:color="auto"/>
            <w:right w:val="none" w:sz="0" w:space="0" w:color="auto"/>
          </w:divBdr>
        </w:div>
      </w:divsChild>
    </w:div>
    <w:div w:id="874542742">
      <w:bodyDiv w:val="1"/>
      <w:marLeft w:val="0"/>
      <w:marRight w:val="0"/>
      <w:marTop w:val="0"/>
      <w:marBottom w:val="0"/>
      <w:divBdr>
        <w:top w:val="none" w:sz="0" w:space="0" w:color="auto"/>
        <w:left w:val="none" w:sz="0" w:space="0" w:color="auto"/>
        <w:bottom w:val="none" w:sz="0" w:space="0" w:color="auto"/>
        <w:right w:val="none" w:sz="0" w:space="0" w:color="auto"/>
      </w:divBdr>
    </w:div>
    <w:div w:id="1587762465">
      <w:bodyDiv w:val="1"/>
      <w:marLeft w:val="0"/>
      <w:marRight w:val="0"/>
      <w:marTop w:val="0"/>
      <w:marBottom w:val="0"/>
      <w:divBdr>
        <w:top w:val="none" w:sz="0" w:space="0" w:color="auto"/>
        <w:left w:val="none" w:sz="0" w:space="0" w:color="auto"/>
        <w:bottom w:val="none" w:sz="0" w:space="0" w:color="auto"/>
        <w:right w:val="none" w:sz="0" w:space="0" w:color="auto"/>
      </w:divBdr>
    </w:div>
    <w:div w:id="1623994655">
      <w:bodyDiv w:val="1"/>
      <w:marLeft w:val="0"/>
      <w:marRight w:val="0"/>
      <w:marTop w:val="0"/>
      <w:marBottom w:val="0"/>
      <w:divBdr>
        <w:top w:val="none" w:sz="0" w:space="0" w:color="auto"/>
        <w:left w:val="none" w:sz="0" w:space="0" w:color="auto"/>
        <w:bottom w:val="none" w:sz="0" w:space="0" w:color="auto"/>
        <w:right w:val="none" w:sz="0" w:space="0" w:color="auto"/>
      </w:divBdr>
    </w:div>
    <w:div w:id="1990596298">
      <w:bodyDiv w:val="1"/>
      <w:marLeft w:val="0"/>
      <w:marRight w:val="0"/>
      <w:marTop w:val="0"/>
      <w:marBottom w:val="0"/>
      <w:divBdr>
        <w:top w:val="none" w:sz="0" w:space="0" w:color="auto"/>
        <w:left w:val="none" w:sz="0" w:space="0" w:color="auto"/>
        <w:bottom w:val="none" w:sz="0" w:space="0" w:color="auto"/>
        <w:right w:val="none" w:sz="0" w:space="0" w:color="auto"/>
      </w:divBdr>
    </w:div>
    <w:div w:id="210777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4BED0-0333-4D7B-BD01-DE7C0DF0D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11152</Words>
  <Characters>63570</Characters>
  <Application>Microsoft Office Word</Application>
  <DocSecurity>0</DocSecurity>
  <Lines>529</Lines>
  <Paragraphs>149</Paragraphs>
  <ScaleCrop>false</ScaleCrop>
  <Company/>
  <LinksUpToDate>false</LinksUpToDate>
  <CharactersWithSpaces>74573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2022-01-27T11:46:00Z</dcterms:created>
  <dcterms:modified xsi:type="dcterms:W3CDTF">2022-01-27T11:46:00Z</dcterms:modified>
</cp:coreProperties>
</file>