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B39C" w14:textId="77777777" w:rsidR="008D6D66" w:rsidRPr="00F12E41" w:rsidRDefault="008D6D66" w:rsidP="008D6D66">
      <w:pPr>
        <w:spacing w:line="480" w:lineRule="auto"/>
        <w:jc w:val="center"/>
        <w:rPr>
          <w:b/>
          <w:sz w:val="32"/>
          <w:szCs w:val="32"/>
        </w:rPr>
      </w:pPr>
      <w:r w:rsidRPr="00F12E41">
        <w:rPr>
          <w:b/>
          <w:sz w:val="32"/>
          <w:szCs w:val="32"/>
        </w:rPr>
        <w:t>THE HIGH COURT</w:t>
      </w:r>
    </w:p>
    <w:p w14:paraId="048A2CD6" w14:textId="77777777" w:rsidR="00273B0D" w:rsidRDefault="008D6D66" w:rsidP="008D6D66">
      <w:pPr>
        <w:spacing w:line="480" w:lineRule="auto"/>
        <w:jc w:val="right"/>
        <w:rPr>
          <w:b/>
        </w:rPr>
      </w:pPr>
      <w:r>
        <w:rPr>
          <w:b/>
        </w:rPr>
        <w:t xml:space="preserve"> </w:t>
      </w:r>
      <w:r w:rsidR="00273B0D">
        <w:rPr>
          <w:b/>
        </w:rPr>
        <w:t>[2022] IEHC 316</w:t>
      </w:r>
    </w:p>
    <w:p w14:paraId="43E6B3F5" w14:textId="77777777" w:rsidR="008D6D66" w:rsidRDefault="008D6D66" w:rsidP="008D6D66">
      <w:pPr>
        <w:spacing w:line="480" w:lineRule="auto"/>
        <w:jc w:val="right"/>
        <w:rPr>
          <w:b/>
        </w:rPr>
      </w:pPr>
      <w:r>
        <w:rPr>
          <w:b/>
        </w:rPr>
        <w:t>[202</w:t>
      </w:r>
      <w:r w:rsidR="00793475">
        <w:rPr>
          <w:b/>
        </w:rPr>
        <w:t>2</w:t>
      </w:r>
      <w:r>
        <w:rPr>
          <w:b/>
        </w:rPr>
        <w:t xml:space="preserve"> No. </w:t>
      </w:r>
      <w:r w:rsidR="00793475">
        <w:rPr>
          <w:b/>
        </w:rPr>
        <w:t>20</w:t>
      </w:r>
      <w:r>
        <w:rPr>
          <w:b/>
        </w:rPr>
        <w:t xml:space="preserve"> EXT.]</w:t>
      </w:r>
    </w:p>
    <w:p w14:paraId="049289E9" w14:textId="77777777" w:rsidR="008D6D66" w:rsidRDefault="008D6D66" w:rsidP="008D6D66">
      <w:pPr>
        <w:spacing w:line="480" w:lineRule="auto"/>
        <w:rPr>
          <w:b/>
        </w:rPr>
      </w:pPr>
      <w:r>
        <w:rPr>
          <w:b/>
        </w:rPr>
        <w:t>BETWEEN</w:t>
      </w:r>
    </w:p>
    <w:p w14:paraId="04C16333" w14:textId="77777777" w:rsidR="008D6D66" w:rsidRDefault="008D6D66" w:rsidP="008D6D66">
      <w:pPr>
        <w:spacing w:line="480" w:lineRule="auto"/>
        <w:jc w:val="center"/>
        <w:rPr>
          <w:b/>
        </w:rPr>
      </w:pPr>
      <w:r>
        <w:rPr>
          <w:b/>
        </w:rPr>
        <w:t>MINISTER FOR JUSTICE AND EQUALITY</w:t>
      </w:r>
    </w:p>
    <w:p w14:paraId="0A074DCF" w14:textId="77777777" w:rsidR="008D6D66" w:rsidRDefault="008D6D66" w:rsidP="008D6D66">
      <w:pPr>
        <w:spacing w:line="480" w:lineRule="auto"/>
        <w:jc w:val="right"/>
        <w:rPr>
          <w:b/>
        </w:rPr>
      </w:pPr>
      <w:r>
        <w:rPr>
          <w:b/>
        </w:rPr>
        <w:t>APPLICANT</w:t>
      </w:r>
    </w:p>
    <w:p w14:paraId="5540AD1A" w14:textId="77777777" w:rsidR="008D6D66" w:rsidRDefault="008D6D66" w:rsidP="008D6D66">
      <w:pPr>
        <w:spacing w:line="480" w:lineRule="auto"/>
        <w:jc w:val="center"/>
        <w:rPr>
          <w:b/>
        </w:rPr>
      </w:pPr>
      <w:smartTag w:uri="urn:schemas-microsoft-com:office:smarttags" w:element="stockticker">
        <w:r>
          <w:rPr>
            <w:b/>
          </w:rPr>
          <w:t>AND</w:t>
        </w:r>
      </w:smartTag>
    </w:p>
    <w:p w14:paraId="2D3DB369" w14:textId="77777777" w:rsidR="008D6D66" w:rsidRDefault="008D6D66" w:rsidP="008D6D66">
      <w:pPr>
        <w:spacing w:line="480" w:lineRule="auto"/>
        <w:jc w:val="right"/>
        <w:rPr>
          <w:b/>
        </w:rPr>
      </w:pPr>
    </w:p>
    <w:p w14:paraId="33188B60" w14:textId="77777777" w:rsidR="008D6D66" w:rsidRDefault="008D6D66" w:rsidP="008D6D66">
      <w:pPr>
        <w:spacing w:line="480" w:lineRule="auto"/>
        <w:jc w:val="center"/>
        <w:rPr>
          <w:b/>
        </w:rPr>
      </w:pPr>
      <w:r>
        <w:rPr>
          <w:b/>
        </w:rPr>
        <w:t xml:space="preserve">BONCHO ASENOV </w:t>
      </w:r>
    </w:p>
    <w:p w14:paraId="4FA7BF9C" w14:textId="77777777" w:rsidR="008D6D66" w:rsidRDefault="008D6D66" w:rsidP="008D6D66">
      <w:pPr>
        <w:spacing w:line="480" w:lineRule="auto"/>
        <w:jc w:val="right"/>
        <w:rPr>
          <w:b/>
        </w:rPr>
      </w:pPr>
      <w:r>
        <w:rPr>
          <w:b/>
        </w:rPr>
        <w:t>RESPONDENT</w:t>
      </w:r>
    </w:p>
    <w:p w14:paraId="716EA66D" w14:textId="77777777" w:rsidR="008D6D66" w:rsidRDefault="008D6D66" w:rsidP="008D6D66">
      <w:pPr>
        <w:spacing w:line="480" w:lineRule="auto"/>
        <w:rPr>
          <w:b/>
          <w:u w:val="single"/>
        </w:rPr>
      </w:pPr>
      <w:r>
        <w:rPr>
          <w:b/>
          <w:u w:val="single"/>
        </w:rPr>
        <w:t>JUDGMENT of M</w:t>
      </w:r>
      <w:r w:rsidR="00E334B9">
        <w:rPr>
          <w:b/>
          <w:u w:val="single"/>
        </w:rPr>
        <w:t>s</w:t>
      </w:r>
      <w:r>
        <w:rPr>
          <w:b/>
          <w:u w:val="single"/>
        </w:rPr>
        <w:t>. Justic</w:t>
      </w:r>
      <w:r w:rsidR="00E334B9">
        <w:rPr>
          <w:b/>
          <w:u w:val="single"/>
        </w:rPr>
        <w:t>e Caroline Biggs</w:t>
      </w:r>
      <w:r>
        <w:rPr>
          <w:b/>
          <w:u w:val="single"/>
        </w:rPr>
        <w:t xml:space="preserve"> delivered on the </w:t>
      </w:r>
      <w:r w:rsidR="00B57A2A">
        <w:rPr>
          <w:b/>
          <w:u w:val="single"/>
        </w:rPr>
        <w:t>1</w:t>
      </w:r>
      <w:r w:rsidR="00B57A2A" w:rsidRPr="00B57A2A">
        <w:rPr>
          <w:b/>
          <w:u w:val="single"/>
          <w:vertAlign w:val="superscript"/>
        </w:rPr>
        <w:t>st</w:t>
      </w:r>
      <w:r w:rsidR="00B57A2A">
        <w:rPr>
          <w:b/>
          <w:u w:val="single"/>
        </w:rPr>
        <w:t xml:space="preserve"> </w:t>
      </w:r>
      <w:r>
        <w:rPr>
          <w:b/>
          <w:u w:val="single"/>
        </w:rPr>
        <w:t xml:space="preserve">day of </w:t>
      </w:r>
      <w:proofErr w:type="gramStart"/>
      <w:r w:rsidR="00B57A2A">
        <w:rPr>
          <w:b/>
          <w:u w:val="single"/>
        </w:rPr>
        <w:t>April</w:t>
      </w:r>
      <w:r>
        <w:rPr>
          <w:b/>
          <w:u w:val="single"/>
        </w:rPr>
        <w:t>,</w:t>
      </w:r>
      <w:proofErr w:type="gramEnd"/>
      <w:r>
        <w:rPr>
          <w:b/>
          <w:u w:val="single"/>
        </w:rPr>
        <w:t xml:space="preserve"> 202</w:t>
      </w:r>
      <w:r w:rsidR="009A36AE">
        <w:rPr>
          <w:b/>
          <w:u w:val="single"/>
        </w:rPr>
        <w:t>2</w:t>
      </w:r>
    </w:p>
    <w:p w14:paraId="3CF38CDF" w14:textId="77777777" w:rsidR="008D6D66" w:rsidRDefault="008D6D66" w:rsidP="008D6D66">
      <w:pPr>
        <w:pStyle w:val="ListParagraph"/>
        <w:numPr>
          <w:ilvl w:val="0"/>
          <w:numId w:val="1"/>
        </w:numPr>
        <w:spacing w:line="480" w:lineRule="auto"/>
        <w:ind w:left="0" w:firstLine="0"/>
      </w:pPr>
      <w:r>
        <w:t>By this application, the applicant seeks an order for the surrender of the respondent to</w:t>
      </w:r>
      <w:r w:rsidR="00F5574B">
        <w:t xml:space="preserve"> Federal Republic of</w:t>
      </w:r>
      <w:r>
        <w:t xml:space="preserve"> Germany pursuant to a European Arrest Warrant dated 19</w:t>
      </w:r>
      <w:r w:rsidRPr="00AA1CD8">
        <w:rPr>
          <w:vertAlign w:val="superscript"/>
        </w:rPr>
        <w:t>th</w:t>
      </w:r>
      <w:r>
        <w:t xml:space="preserve"> of May 2021 (“the EAW”). The EAW was issued by Judge </w:t>
      </w:r>
      <w:proofErr w:type="spellStart"/>
      <w:r>
        <w:t>Datsogiannis</w:t>
      </w:r>
      <w:proofErr w:type="spellEnd"/>
      <w:r>
        <w:t xml:space="preserve"> of the Kiel Local Court, as the issuing judicial authority.</w:t>
      </w:r>
    </w:p>
    <w:p w14:paraId="667028CB" w14:textId="77777777" w:rsidR="008D6D66" w:rsidRDefault="008D6D66" w:rsidP="008D6D66">
      <w:pPr>
        <w:pStyle w:val="ListParagraph"/>
        <w:numPr>
          <w:ilvl w:val="0"/>
          <w:numId w:val="1"/>
        </w:numPr>
        <w:spacing w:line="480" w:lineRule="auto"/>
        <w:ind w:left="0" w:firstLine="0"/>
      </w:pPr>
      <w:r>
        <w:t xml:space="preserve">The EAW seeks the surrender of the respondent </w:t>
      </w:r>
      <w:proofErr w:type="gramStart"/>
      <w:r>
        <w:t>in order to</w:t>
      </w:r>
      <w:proofErr w:type="gramEnd"/>
      <w:r>
        <w:t xml:space="preserve"> prosecute him in respect of alleged </w:t>
      </w:r>
      <w:r w:rsidR="002842AF">
        <w:t>burglary</w:t>
      </w:r>
      <w:r>
        <w:t>-type offences.</w:t>
      </w:r>
    </w:p>
    <w:p w14:paraId="77D9CF28" w14:textId="77777777" w:rsidR="008D6D66" w:rsidRDefault="008D6D66" w:rsidP="008D6D66">
      <w:pPr>
        <w:pStyle w:val="ListParagraph"/>
        <w:numPr>
          <w:ilvl w:val="0"/>
          <w:numId w:val="1"/>
        </w:numPr>
        <w:spacing w:line="480" w:lineRule="auto"/>
        <w:ind w:left="0" w:firstLine="0"/>
      </w:pPr>
      <w:r>
        <w:t>T</w:t>
      </w:r>
      <w:r w:rsidRPr="000247D2">
        <w:t>he respondent was arrested on</w:t>
      </w:r>
      <w:r>
        <w:t xml:space="preserve"> 31</w:t>
      </w:r>
      <w:r w:rsidRPr="00AA1CD8">
        <w:rPr>
          <w:vertAlign w:val="superscript"/>
        </w:rPr>
        <w:t>st</w:t>
      </w:r>
      <w:r>
        <w:t xml:space="preserve"> of January 2022, </w:t>
      </w:r>
      <w:r w:rsidRPr="000247D2">
        <w:t xml:space="preserve">on foot of a </w:t>
      </w:r>
      <w:r>
        <w:t>Schengen Information System II alert</w:t>
      </w:r>
      <w:r w:rsidRPr="000247D2">
        <w:t>, and brought before the High Court on the</w:t>
      </w:r>
      <w:r>
        <w:t xml:space="preserve"> 1</w:t>
      </w:r>
      <w:r w:rsidRPr="00AA1CD8">
        <w:rPr>
          <w:vertAlign w:val="superscript"/>
        </w:rPr>
        <w:t>st</w:t>
      </w:r>
      <w:r>
        <w:t xml:space="preserve"> of February</w:t>
      </w:r>
      <w:r w:rsidR="002842AF">
        <w:t xml:space="preserve"> 2022</w:t>
      </w:r>
      <w:r w:rsidRPr="000247D2">
        <w:t>. The EAW was produced to the High Court on</w:t>
      </w:r>
      <w:r>
        <w:t xml:space="preserve"> the 7</w:t>
      </w:r>
      <w:r w:rsidRPr="00AA1CD8">
        <w:rPr>
          <w:vertAlign w:val="superscript"/>
        </w:rPr>
        <w:t>th</w:t>
      </w:r>
      <w:r>
        <w:t xml:space="preserve"> of February 2022</w:t>
      </w:r>
    </w:p>
    <w:p w14:paraId="79ED2272" w14:textId="77777777" w:rsidR="008D6D66" w:rsidRDefault="008D6D66" w:rsidP="008D6D66">
      <w:pPr>
        <w:pStyle w:val="ListParagraph"/>
        <w:numPr>
          <w:ilvl w:val="0"/>
          <w:numId w:val="1"/>
        </w:numPr>
        <w:spacing w:line="480" w:lineRule="auto"/>
        <w:ind w:left="0" w:firstLine="0"/>
      </w:pPr>
      <w:r>
        <w:t xml:space="preserve">I am satisfied that the person before the </w:t>
      </w:r>
      <w:r w:rsidR="00484306">
        <w:t>C</w:t>
      </w:r>
      <w:r>
        <w:t>ourt, the respondent, is the person in respect of whom the EAW was issued. No issue was raised in that regard.</w:t>
      </w:r>
    </w:p>
    <w:p w14:paraId="194F656E" w14:textId="77777777" w:rsidR="008D6D66" w:rsidRDefault="008D6D66" w:rsidP="008D6D66">
      <w:pPr>
        <w:pStyle w:val="ListParagraph"/>
        <w:numPr>
          <w:ilvl w:val="0"/>
          <w:numId w:val="1"/>
        </w:numPr>
        <w:spacing w:line="480" w:lineRule="auto"/>
        <w:ind w:left="0" w:firstLine="0"/>
      </w:pPr>
      <w:r w:rsidRPr="000B2270">
        <w:t>I am satisfied that none of the matters referred to in ss. 22, 23 and 24 of the European Arrest Warrant Act, 2003, as amended</w:t>
      </w:r>
      <w:r>
        <w:t xml:space="preserve"> (“the Act of 2003”)</w:t>
      </w:r>
      <w:r w:rsidRPr="000B2270">
        <w:t xml:space="preserve">, arise for consideration in this </w:t>
      </w:r>
      <w:r w:rsidRPr="000B2270">
        <w:lastRenderedPageBreak/>
        <w:t>application and surrender o</w:t>
      </w:r>
      <w:r>
        <w:t>f the respondent is not precluded</w:t>
      </w:r>
      <w:r w:rsidRPr="000B2270">
        <w:t xml:space="preserve"> for any of the reasons set forth in any of those sections.</w:t>
      </w:r>
    </w:p>
    <w:p w14:paraId="15F2E3BD" w14:textId="77777777" w:rsidR="008D6D66" w:rsidRDefault="008D6D66" w:rsidP="008D6D66">
      <w:pPr>
        <w:pStyle w:val="ListParagraph"/>
        <w:numPr>
          <w:ilvl w:val="0"/>
          <w:numId w:val="1"/>
        </w:numPr>
        <w:spacing w:line="480" w:lineRule="auto"/>
        <w:ind w:left="0" w:firstLine="0"/>
      </w:pPr>
      <w:r>
        <w:t>I am satisfied that the minimum gravity requirements of the Act of 2003 have been met.</w:t>
      </w:r>
      <w:r w:rsidRPr="003B36BA">
        <w:t xml:space="preserve"> </w:t>
      </w:r>
      <w:r>
        <w:t xml:space="preserve">Each of the offences in respect of which surrender of the respondent is sought carries a maximum penalty </w:t>
      </w:r>
      <w:proofErr w:type="gramStart"/>
      <w:r>
        <w:t>in excess of</w:t>
      </w:r>
      <w:proofErr w:type="gramEnd"/>
      <w:r>
        <w:t xml:space="preserve"> twelve months’ imprisonment.</w:t>
      </w:r>
    </w:p>
    <w:p w14:paraId="221774AC" w14:textId="77777777" w:rsidR="002842AF" w:rsidRDefault="008D6D66" w:rsidP="002842AF">
      <w:pPr>
        <w:pStyle w:val="ListParagraph"/>
        <w:numPr>
          <w:ilvl w:val="0"/>
          <w:numId w:val="1"/>
        </w:numPr>
        <w:spacing w:line="480" w:lineRule="auto"/>
        <w:ind w:left="0" w:firstLine="0"/>
      </w:pPr>
      <w:r>
        <w:t xml:space="preserve">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 for “organised or armed robbery”. There is no manifest error or ambiguity in respect of the aforesaid certification such as would justify this </w:t>
      </w:r>
      <w:r w:rsidR="00484306">
        <w:t>C</w:t>
      </w:r>
      <w:r>
        <w:t>ourt in looking beyond same</w:t>
      </w:r>
      <w:r w:rsidR="002842AF">
        <w:t>, in any case the candidate offence is Section 12 of the Criminal Justice Theft and Fraud Offences Act 2001</w:t>
      </w:r>
    </w:p>
    <w:p w14:paraId="78E3A7FF" w14:textId="77777777" w:rsidR="008D6D66" w:rsidRDefault="008D6D66" w:rsidP="008D6D66">
      <w:pPr>
        <w:pStyle w:val="ListParagraph"/>
        <w:numPr>
          <w:ilvl w:val="0"/>
          <w:numId w:val="1"/>
        </w:numPr>
        <w:spacing w:line="480" w:lineRule="auto"/>
        <w:ind w:left="0" w:firstLine="0"/>
      </w:pPr>
      <w:r>
        <w:t>As surrender is sought to prosecute the respondent, no issue arises under s. 45 of the Act of 2003.</w:t>
      </w:r>
    </w:p>
    <w:p w14:paraId="50B0E6B5" w14:textId="77777777" w:rsidR="009676D0" w:rsidRDefault="008D6D66" w:rsidP="009676D0">
      <w:pPr>
        <w:pStyle w:val="ListParagraph"/>
        <w:numPr>
          <w:ilvl w:val="0"/>
          <w:numId w:val="1"/>
        </w:numPr>
        <w:spacing w:line="480" w:lineRule="auto"/>
        <w:ind w:left="0" w:firstLine="0"/>
      </w:pPr>
      <w:r>
        <w:t>The respondent objected to surrender on the following grounds</w:t>
      </w:r>
      <w:r w:rsidR="009676D0">
        <w:t>:</w:t>
      </w:r>
    </w:p>
    <w:p w14:paraId="2D8F9E5F" w14:textId="77777777" w:rsidR="009676D0" w:rsidRPr="009D47BC" w:rsidRDefault="009676D0" w:rsidP="00484306">
      <w:pPr>
        <w:pStyle w:val="ListParagraph"/>
        <w:numPr>
          <w:ilvl w:val="0"/>
          <w:numId w:val="8"/>
        </w:numPr>
        <w:spacing w:line="480" w:lineRule="auto"/>
      </w:pPr>
      <w:r w:rsidRPr="009676D0">
        <w:rPr>
          <w:rFonts w:eastAsiaTheme="minorHAnsi"/>
          <w:lang w:eastAsia="en-US"/>
        </w:rPr>
        <w:t>T</w:t>
      </w:r>
      <w:r w:rsidR="00484306">
        <w:rPr>
          <w:rFonts w:eastAsiaTheme="minorHAnsi"/>
          <w:lang w:eastAsia="en-US"/>
        </w:rPr>
        <w:t>hat t</w:t>
      </w:r>
      <w:r w:rsidRPr="009676D0">
        <w:rPr>
          <w:rFonts w:eastAsiaTheme="minorHAnsi"/>
          <w:lang w:eastAsia="en-US"/>
        </w:rPr>
        <w:t xml:space="preserve">he surrender of the </w:t>
      </w:r>
      <w:r w:rsidR="00484306">
        <w:rPr>
          <w:rFonts w:eastAsiaTheme="minorHAnsi"/>
          <w:lang w:eastAsia="en-US"/>
        </w:rPr>
        <w:t>r</w:t>
      </w:r>
      <w:r w:rsidRPr="009676D0">
        <w:rPr>
          <w:rFonts w:eastAsiaTheme="minorHAnsi"/>
          <w:lang w:eastAsia="en-US"/>
        </w:rPr>
        <w:t>espondent would be a breach of, or a disproportionate</w:t>
      </w:r>
      <w:r>
        <w:rPr>
          <w:rFonts w:eastAsiaTheme="minorHAnsi"/>
          <w:lang w:eastAsia="en-US"/>
        </w:rPr>
        <w:t xml:space="preserve"> </w:t>
      </w:r>
      <w:r w:rsidRPr="009676D0">
        <w:rPr>
          <w:rFonts w:eastAsiaTheme="minorHAnsi"/>
          <w:lang w:eastAsia="en-US"/>
        </w:rPr>
        <w:t>interference with, his rights pursuant to Article 8 of the European Convention on</w:t>
      </w:r>
      <w:r>
        <w:rPr>
          <w:rFonts w:eastAsiaTheme="minorHAnsi"/>
          <w:lang w:eastAsia="en-US"/>
        </w:rPr>
        <w:t xml:space="preserve"> </w:t>
      </w:r>
      <w:r w:rsidRPr="009676D0">
        <w:rPr>
          <w:rFonts w:ascii="TimesNewRomanPSMT" w:eastAsiaTheme="minorHAnsi" w:hAnsi="TimesNewRomanPSMT" w:cs="TimesNewRomanPSMT"/>
          <w:lang w:eastAsia="en-US"/>
        </w:rPr>
        <w:t>Human Rights and/or his and/or his family’s rights under Article 8 of the</w:t>
      </w:r>
      <w:r>
        <w:rPr>
          <w:rFonts w:ascii="TimesNewRomanPSMT" w:eastAsiaTheme="minorHAnsi" w:hAnsi="TimesNewRomanPSMT" w:cs="TimesNewRomanPSMT"/>
          <w:lang w:eastAsia="en-US"/>
        </w:rPr>
        <w:t xml:space="preserve"> </w:t>
      </w:r>
      <w:r w:rsidRPr="009676D0">
        <w:rPr>
          <w:rFonts w:eastAsiaTheme="minorHAnsi"/>
          <w:lang w:eastAsia="en-US"/>
        </w:rPr>
        <w:t>European Convention on Human Rights and/or the Constitution and/or Articles 7</w:t>
      </w:r>
      <w:r>
        <w:rPr>
          <w:rFonts w:eastAsiaTheme="minorHAnsi"/>
          <w:lang w:eastAsia="en-US"/>
        </w:rPr>
        <w:t xml:space="preserve"> </w:t>
      </w:r>
      <w:r w:rsidRPr="009676D0">
        <w:rPr>
          <w:rFonts w:eastAsiaTheme="minorHAnsi"/>
          <w:lang w:eastAsia="en-US"/>
        </w:rPr>
        <w:t xml:space="preserve">of the Charter of Fundamental Rights of the European Union and </w:t>
      </w:r>
      <w:proofErr w:type="gramStart"/>
      <w:r w:rsidRPr="009676D0">
        <w:rPr>
          <w:rFonts w:eastAsiaTheme="minorHAnsi"/>
          <w:lang w:eastAsia="en-US"/>
        </w:rPr>
        <w:t>as a</w:t>
      </w:r>
      <w:r>
        <w:rPr>
          <w:rFonts w:eastAsiaTheme="minorHAnsi"/>
          <w:lang w:eastAsia="en-US"/>
        </w:rPr>
        <w:t xml:space="preserve"> </w:t>
      </w:r>
      <w:r w:rsidRPr="009676D0">
        <w:rPr>
          <w:rFonts w:eastAsiaTheme="minorHAnsi"/>
          <w:lang w:eastAsia="en-US"/>
        </w:rPr>
        <w:lastRenderedPageBreak/>
        <w:t>consequence</w:t>
      </w:r>
      <w:proofErr w:type="gramEnd"/>
      <w:r w:rsidRPr="009676D0">
        <w:rPr>
          <w:rFonts w:eastAsiaTheme="minorHAnsi"/>
          <w:lang w:eastAsia="en-US"/>
        </w:rPr>
        <w:t xml:space="preserve"> surrender of the Respondent would be in breach of Section 37 of the</w:t>
      </w:r>
      <w:r>
        <w:t xml:space="preserve"> </w:t>
      </w:r>
      <w:r w:rsidRPr="009676D0">
        <w:rPr>
          <w:rFonts w:eastAsiaTheme="minorHAnsi"/>
          <w:lang w:eastAsia="en-US"/>
        </w:rPr>
        <w:t>European Arrest Warrant Act, 2003.</w:t>
      </w:r>
    </w:p>
    <w:p w14:paraId="79BB7C93" w14:textId="77777777" w:rsidR="00484306" w:rsidRDefault="008D6D66" w:rsidP="00484306">
      <w:pPr>
        <w:pStyle w:val="ListParagraph"/>
        <w:numPr>
          <w:ilvl w:val="0"/>
          <w:numId w:val="1"/>
        </w:numPr>
        <w:spacing w:line="480" w:lineRule="auto"/>
      </w:pPr>
      <w:r>
        <w:t>The respondent swore an affidavit dated</w:t>
      </w:r>
      <w:r w:rsidR="00160289">
        <w:t xml:space="preserve"> </w:t>
      </w:r>
      <w:r w:rsidR="009B24D3">
        <w:t>25</w:t>
      </w:r>
      <w:r w:rsidR="009B24D3" w:rsidRPr="009B24D3">
        <w:rPr>
          <w:vertAlign w:val="superscript"/>
        </w:rPr>
        <w:t>th</w:t>
      </w:r>
      <w:r w:rsidR="009B24D3">
        <w:t xml:space="preserve"> February 2022 </w:t>
      </w:r>
      <w:r w:rsidR="00160289">
        <w:t xml:space="preserve">wherein he averred </w:t>
      </w:r>
      <w:proofErr w:type="gramStart"/>
      <w:r w:rsidR="00160289">
        <w:t>to</w:t>
      </w:r>
      <w:proofErr w:type="gramEnd"/>
      <w:r w:rsidR="00160289">
        <w:t xml:space="preserve"> the </w:t>
      </w:r>
    </w:p>
    <w:p w14:paraId="28A6F9FB" w14:textId="77777777" w:rsidR="009676D0" w:rsidRDefault="00160289" w:rsidP="00484306">
      <w:pPr>
        <w:spacing w:line="480" w:lineRule="auto"/>
      </w:pPr>
      <w:r>
        <w:t>following:</w:t>
      </w:r>
    </w:p>
    <w:p w14:paraId="28D0DF49" w14:textId="77777777" w:rsidR="00160289" w:rsidRDefault="00160289" w:rsidP="00160289">
      <w:pPr>
        <w:pStyle w:val="ListParagraph"/>
        <w:numPr>
          <w:ilvl w:val="0"/>
          <w:numId w:val="4"/>
        </w:numPr>
        <w:spacing w:line="480" w:lineRule="auto"/>
      </w:pPr>
      <w:r>
        <w:t xml:space="preserve">The respondent says that he has been living and working in Ireland since October 2020. </w:t>
      </w:r>
      <w:r w:rsidR="006576FD">
        <w:t xml:space="preserve">He </w:t>
      </w:r>
      <w:r>
        <w:t>reside</w:t>
      </w:r>
      <w:r w:rsidR="00484306">
        <w:t>s</w:t>
      </w:r>
      <w:r>
        <w:t xml:space="preserve"> in rented accommodation in Cahir with his wife Beata and her father.</w:t>
      </w:r>
    </w:p>
    <w:p w14:paraId="7012C9D6" w14:textId="77777777" w:rsidR="00160289" w:rsidRDefault="00160289" w:rsidP="00160289">
      <w:pPr>
        <w:pStyle w:val="ListParagraph"/>
        <w:numPr>
          <w:ilvl w:val="0"/>
          <w:numId w:val="4"/>
        </w:numPr>
        <w:spacing w:line="480" w:lineRule="auto"/>
      </w:pPr>
      <w:r>
        <w:t>His father-in-law has lived and worked in Ireland for the last twenty years. He was the reason</w:t>
      </w:r>
      <w:r w:rsidR="006576FD">
        <w:t xml:space="preserve"> they</w:t>
      </w:r>
      <w:r>
        <w:t xml:space="preserve"> moved to Ireland </w:t>
      </w:r>
      <w:proofErr w:type="gramStart"/>
      <w:r>
        <w:t>in order to</w:t>
      </w:r>
      <w:proofErr w:type="gramEnd"/>
      <w:r>
        <w:t xml:space="preserve"> secure work in the same place he works – HSK Nursery Limited in Cahir, Co. Tipperary.</w:t>
      </w:r>
    </w:p>
    <w:p w14:paraId="1BD5FA2D" w14:textId="77777777" w:rsidR="00160289" w:rsidRDefault="00160289" w:rsidP="00160289">
      <w:pPr>
        <w:pStyle w:val="ListParagraph"/>
        <w:numPr>
          <w:ilvl w:val="0"/>
          <w:numId w:val="4"/>
        </w:numPr>
        <w:spacing w:line="480" w:lineRule="auto"/>
      </w:pPr>
      <w:r>
        <w:t>He has a medical condition, suffering from neurosis and depression. His wife was diagnosed with schizophrenia on 14</w:t>
      </w:r>
      <w:r w:rsidRPr="00160289">
        <w:rPr>
          <w:vertAlign w:val="superscript"/>
        </w:rPr>
        <w:t>th</w:t>
      </w:r>
      <w:r>
        <w:t xml:space="preserve"> April 2015 in Poland. Since then</w:t>
      </w:r>
      <w:r w:rsidR="00532092">
        <w:t>,</w:t>
      </w:r>
      <w:r>
        <w:t xml:space="preserve"> his wife has been in and out of hospital. They both attend a Polish doctor (online now) </w:t>
      </w:r>
      <w:proofErr w:type="spellStart"/>
      <w:r>
        <w:t>Dr.</w:t>
      </w:r>
      <w:proofErr w:type="spellEnd"/>
      <w:r>
        <w:t xml:space="preserve"> </w:t>
      </w:r>
      <w:proofErr w:type="spellStart"/>
      <w:r>
        <w:t>Kryszkowski</w:t>
      </w:r>
      <w:proofErr w:type="spellEnd"/>
      <w:r w:rsidR="006576FD">
        <w:t>.</w:t>
      </w:r>
      <w:r w:rsidR="00532092">
        <w:t xml:space="preserve"> Lastly, he</w:t>
      </w:r>
      <w:r w:rsidR="009B24D3">
        <w:t xml:space="preserve"> takes ca</w:t>
      </w:r>
      <w:r w:rsidR="00912BD2">
        <w:t>r</w:t>
      </w:r>
      <w:r w:rsidR="009B24D3">
        <w:t>e of his wife when she is sick.</w:t>
      </w:r>
    </w:p>
    <w:p w14:paraId="7AEB4552" w14:textId="77777777" w:rsidR="009B24D3" w:rsidRDefault="009B24D3" w:rsidP="00160289">
      <w:pPr>
        <w:pStyle w:val="ListParagraph"/>
        <w:numPr>
          <w:ilvl w:val="0"/>
          <w:numId w:val="4"/>
        </w:numPr>
        <w:spacing w:line="480" w:lineRule="auto"/>
      </w:pPr>
      <w:r>
        <w:t xml:space="preserve">In relation to the offence, he has been to Kiel several times with his </w:t>
      </w:r>
      <w:proofErr w:type="gramStart"/>
      <w:r>
        <w:t>family</w:t>
      </w:r>
      <w:proofErr w:type="gramEnd"/>
      <w:r>
        <w:t xml:space="preserve"> and he used to work there. However, he was not in Kiel at the time of the offence as his wife was admitted to hospital in Poland at the time.</w:t>
      </w:r>
    </w:p>
    <w:p w14:paraId="2ECF44BD" w14:textId="77777777" w:rsidR="009B24D3" w:rsidRDefault="009B24D3" w:rsidP="00160289">
      <w:pPr>
        <w:pStyle w:val="ListParagraph"/>
        <w:numPr>
          <w:ilvl w:val="0"/>
          <w:numId w:val="4"/>
        </w:numPr>
        <w:spacing w:line="480" w:lineRule="auto"/>
      </w:pPr>
      <w:r>
        <w:t>He has lived in this jurisdiction since October 2020, he has not left the jurisdiction since then and very much consider</w:t>
      </w:r>
      <w:r w:rsidR="00484306">
        <w:t>s</w:t>
      </w:r>
      <w:r>
        <w:t xml:space="preserve"> Ireland to be his home.</w:t>
      </w:r>
    </w:p>
    <w:p w14:paraId="608CDA81" w14:textId="77777777" w:rsidR="009B24D3" w:rsidRDefault="009B24D3" w:rsidP="009B24D3">
      <w:pPr>
        <w:pStyle w:val="ListParagraph"/>
        <w:numPr>
          <w:ilvl w:val="0"/>
          <w:numId w:val="4"/>
        </w:numPr>
        <w:spacing w:line="480" w:lineRule="auto"/>
      </w:pPr>
      <w:r>
        <w:t>He has lived openly throughout his entire time in the State</w:t>
      </w:r>
      <w:r w:rsidR="009E3316">
        <w:t>,</w:t>
      </w:r>
      <w:r>
        <w:t xml:space="preserve"> is registered as</w:t>
      </w:r>
      <w:r w:rsidR="00007D3F">
        <w:t xml:space="preserve"> a</w:t>
      </w:r>
      <w:r>
        <w:t xml:space="preserve"> PAYE employee and is fully </w:t>
      </w:r>
      <w:proofErr w:type="gramStart"/>
      <w:r>
        <w:t>tax-compliant</w:t>
      </w:r>
      <w:proofErr w:type="gramEnd"/>
      <w:r>
        <w:t xml:space="preserve">. For the avoidance of doubt, he says that he has always presented himself and conducted </w:t>
      </w:r>
      <w:r w:rsidR="00484306">
        <w:t>his</w:t>
      </w:r>
      <w:r>
        <w:t xml:space="preserve"> business using his correct personal details, and he has never used an alias at any stage.</w:t>
      </w:r>
    </w:p>
    <w:p w14:paraId="16A76A85" w14:textId="77777777" w:rsidR="009B24D3" w:rsidRDefault="009B24D3" w:rsidP="009B24D3">
      <w:pPr>
        <w:pStyle w:val="ListParagraph"/>
        <w:numPr>
          <w:ilvl w:val="0"/>
          <w:numId w:val="4"/>
        </w:numPr>
        <w:spacing w:line="480" w:lineRule="auto"/>
      </w:pPr>
      <w:r>
        <w:t>In summary, he says that he has strong personal and family ties to this jurisdiction. His wife and father</w:t>
      </w:r>
      <w:r w:rsidR="000A77F6">
        <w:t>-in-law</w:t>
      </w:r>
      <w:r>
        <w:t xml:space="preserve"> reside </w:t>
      </w:r>
      <w:proofErr w:type="gramStart"/>
      <w:r>
        <w:t>here</w:t>
      </w:r>
      <w:proofErr w:type="gramEnd"/>
      <w:r>
        <w:t xml:space="preserve"> and he has a number of close friends in Ireland. </w:t>
      </w:r>
      <w:r>
        <w:lastRenderedPageBreak/>
        <w:t>In the</w:t>
      </w:r>
      <w:r w:rsidR="000A77F6">
        <w:t>se</w:t>
      </w:r>
      <w:r>
        <w:t xml:space="preserve"> circumstances, surrender would constitute a very significant interference with his private and family life.</w:t>
      </w:r>
    </w:p>
    <w:p w14:paraId="2FAE3A1F" w14:textId="77777777" w:rsidR="009676D0" w:rsidRDefault="008D6D66" w:rsidP="00484306">
      <w:pPr>
        <w:pStyle w:val="ListParagraph"/>
        <w:numPr>
          <w:ilvl w:val="0"/>
          <w:numId w:val="1"/>
        </w:numPr>
        <w:spacing w:line="480" w:lineRule="auto"/>
        <w:ind w:left="0" w:firstLine="0"/>
      </w:pPr>
      <w:proofErr w:type="gramStart"/>
      <w:r>
        <w:t>In light of</w:t>
      </w:r>
      <w:proofErr w:type="gramEnd"/>
      <w:r>
        <w:t xml:space="preserve"> the aforementioned Affidavit and</w:t>
      </w:r>
      <w:r w:rsidR="00E90BC2">
        <w:t xml:space="preserve"> original p</w:t>
      </w:r>
      <w:r>
        <w:t xml:space="preserve">oints of </w:t>
      </w:r>
      <w:r w:rsidR="00E90BC2">
        <w:t>o</w:t>
      </w:r>
      <w:r>
        <w:t>bjection</w:t>
      </w:r>
      <w:r w:rsidR="00017B8C">
        <w:t>,</w:t>
      </w:r>
      <w:r>
        <w:t xml:space="preserve"> this </w:t>
      </w:r>
      <w:r w:rsidR="009676D0">
        <w:t>C</w:t>
      </w:r>
      <w:r>
        <w:t>ourt sought further information by way of</w:t>
      </w:r>
      <w:r w:rsidR="00484306">
        <w:t xml:space="preserve"> a</w:t>
      </w:r>
      <w:r>
        <w:t xml:space="preserve"> Section 20 request dated the 28</w:t>
      </w:r>
      <w:r w:rsidRPr="00032927">
        <w:rPr>
          <w:vertAlign w:val="superscript"/>
        </w:rPr>
        <w:t>th</w:t>
      </w:r>
      <w:r>
        <w:t xml:space="preserve"> of Febr</w:t>
      </w:r>
      <w:r w:rsidR="009676D0">
        <w:t>uar</w:t>
      </w:r>
      <w:r>
        <w:t>y 2022 where this court asked</w:t>
      </w:r>
      <w:r w:rsidR="009676D0">
        <w:t>:</w:t>
      </w:r>
    </w:p>
    <w:p w14:paraId="49F88DE1"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“1. The Respondent has maintained that his surrender to Germany should be refused on the</w:t>
      </w:r>
      <w:r w:rsidR="00484306">
        <w:rPr>
          <w:rFonts w:eastAsiaTheme="minorHAnsi"/>
          <w:lang w:eastAsia="en-US"/>
        </w:rPr>
        <w:t xml:space="preserve"> </w:t>
      </w:r>
      <w:r w:rsidRPr="009676D0">
        <w:rPr>
          <w:rFonts w:eastAsiaTheme="minorHAnsi"/>
          <w:lang w:eastAsia="en-US"/>
        </w:rPr>
        <w:t>grounds of an inordinate delay on the part of the authorities in issuing the European</w:t>
      </w:r>
      <w:r w:rsidR="00484306">
        <w:rPr>
          <w:rFonts w:eastAsiaTheme="minorHAnsi"/>
          <w:lang w:eastAsia="en-US"/>
        </w:rPr>
        <w:t xml:space="preserve"> </w:t>
      </w:r>
      <w:r w:rsidRPr="009676D0">
        <w:rPr>
          <w:rFonts w:eastAsiaTheme="minorHAnsi"/>
          <w:lang w:eastAsia="en-US"/>
        </w:rPr>
        <w:t xml:space="preserve">Arrest Warrant and in taking steps to enforce same. In those </w:t>
      </w:r>
      <w:proofErr w:type="gramStart"/>
      <w:r w:rsidRPr="009676D0">
        <w:rPr>
          <w:rFonts w:eastAsiaTheme="minorHAnsi"/>
          <w:lang w:eastAsia="en-US"/>
        </w:rPr>
        <w:t>circumstances</w:t>
      </w:r>
      <w:proofErr w:type="gramEnd"/>
      <w:r w:rsidRPr="009676D0">
        <w:rPr>
          <w:rFonts w:eastAsiaTheme="minorHAnsi"/>
          <w:lang w:eastAsia="en-US"/>
        </w:rPr>
        <w:t xml:space="preserve"> please provide</w:t>
      </w:r>
      <w:r w:rsidR="00484306">
        <w:rPr>
          <w:rFonts w:eastAsiaTheme="minorHAnsi"/>
          <w:lang w:eastAsia="en-US"/>
        </w:rPr>
        <w:t xml:space="preserve"> </w:t>
      </w:r>
      <w:r w:rsidRPr="009676D0">
        <w:rPr>
          <w:rFonts w:eastAsiaTheme="minorHAnsi"/>
          <w:lang w:eastAsia="en-US"/>
        </w:rPr>
        <w:t>a full chronology of all steps taken by the authorities in Germany from the date of the</w:t>
      </w:r>
      <w:r w:rsidR="00484306">
        <w:rPr>
          <w:rFonts w:eastAsiaTheme="minorHAnsi"/>
          <w:lang w:eastAsia="en-US"/>
        </w:rPr>
        <w:t xml:space="preserve"> </w:t>
      </w:r>
      <w:r w:rsidRPr="009676D0">
        <w:rPr>
          <w:rFonts w:eastAsiaTheme="minorHAnsi"/>
          <w:lang w:eastAsia="en-US"/>
        </w:rPr>
        <w:t>alleged commission of the offence (4 April 2015 - 5 April 2015) to the date of the issue of</w:t>
      </w:r>
      <w:r w:rsidR="00484306">
        <w:rPr>
          <w:rFonts w:eastAsiaTheme="minorHAnsi"/>
          <w:lang w:eastAsia="en-US"/>
        </w:rPr>
        <w:t xml:space="preserve"> </w:t>
      </w:r>
      <w:r w:rsidRPr="009676D0">
        <w:rPr>
          <w:rFonts w:eastAsiaTheme="minorHAnsi"/>
          <w:lang w:eastAsia="en-US"/>
        </w:rPr>
        <w:t>the European Arrest Warrant (19 May 2021) to proceed with</w:t>
      </w:r>
      <w:r w:rsidR="0017783D">
        <w:rPr>
          <w:rFonts w:eastAsiaTheme="minorHAnsi"/>
          <w:lang w:eastAsia="en-US"/>
        </w:rPr>
        <w:t xml:space="preserve"> [and]</w:t>
      </w:r>
      <w:r w:rsidRPr="009676D0">
        <w:rPr>
          <w:rFonts w:eastAsiaTheme="minorHAnsi"/>
          <w:lang w:eastAsia="en-US"/>
        </w:rPr>
        <w:t xml:space="preserve"> prosecute this matter.</w:t>
      </w:r>
    </w:p>
    <w:p w14:paraId="5F67C9AD"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2. Please note the following sections from the European Arrest Warrant Act 2003 which</w:t>
      </w:r>
      <w:r w:rsidR="008D6D66" w:rsidRPr="009676D0">
        <w:t xml:space="preserve"> </w:t>
      </w:r>
      <w:r w:rsidRPr="009676D0">
        <w:rPr>
          <w:rFonts w:eastAsiaTheme="minorHAnsi"/>
          <w:lang w:eastAsia="en-US"/>
        </w:rPr>
        <w:t>governs the extradition process in this jurisdiction</w:t>
      </w:r>
    </w:p>
    <w:p w14:paraId="2BB0E2FE"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10. — Where a judicial authority in an issuing state issues a relevant arrest warrant in</w:t>
      </w:r>
    </w:p>
    <w:p w14:paraId="3C00E864"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respect of a person —</w:t>
      </w:r>
    </w:p>
    <w:p w14:paraId="09E00E10" w14:textId="77777777" w:rsidR="009676D0" w:rsidRPr="009676D0" w:rsidRDefault="009676D0" w:rsidP="00484306">
      <w:pPr>
        <w:autoSpaceDE w:val="0"/>
        <w:autoSpaceDN w:val="0"/>
        <w:adjustRightInd w:val="0"/>
        <w:spacing w:line="480" w:lineRule="auto"/>
        <w:ind w:left="737"/>
        <w:rPr>
          <w:rFonts w:eastAsiaTheme="minorHAnsi"/>
          <w:lang w:eastAsia="en-US"/>
        </w:rPr>
      </w:pPr>
      <w:proofErr w:type="gramStart"/>
      <w:r w:rsidRPr="009676D0">
        <w:rPr>
          <w:rFonts w:eastAsiaTheme="minorHAnsi"/>
          <w:lang w:eastAsia="en-US"/>
        </w:rPr>
        <w:t>( a</w:t>
      </w:r>
      <w:proofErr w:type="gramEnd"/>
      <w:r w:rsidRPr="009676D0">
        <w:rPr>
          <w:rFonts w:eastAsiaTheme="minorHAnsi"/>
          <w:lang w:eastAsia="en-US"/>
        </w:rPr>
        <w:t xml:space="preserve"> ) against whom that state intends to bring proceedings for an offence to which the</w:t>
      </w:r>
    </w:p>
    <w:p w14:paraId="73882518"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relevant arrest warrant relates,</w:t>
      </w:r>
    </w:p>
    <w:p w14:paraId="49040D25" w14:textId="77777777" w:rsidR="009676D0" w:rsidRPr="009676D0" w:rsidRDefault="009676D0" w:rsidP="00484306">
      <w:pPr>
        <w:autoSpaceDE w:val="0"/>
        <w:autoSpaceDN w:val="0"/>
        <w:adjustRightInd w:val="0"/>
        <w:spacing w:line="480" w:lineRule="auto"/>
        <w:ind w:left="737"/>
        <w:rPr>
          <w:rFonts w:eastAsiaTheme="minorHAnsi"/>
          <w:lang w:eastAsia="en-US"/>
        </w:rPr>
      </w:pPr>
      <w:proofErr w:type="gramStart"/>
      <w:r w:rsidRPr="009676D0">
        <w:rPr>
          <w:rFonts w:eastAsiaTheme="minorHAnsi"/>
          <w:lang w:eastAsia="en-US"/>
        </w:rPr>
        <w:t>( b</w:t>
      </w:r>
      <w:proofErr w:type="gramEnd"/>
      <w:r w:rsidRPr="009676D0">
        <w:rPr>
          <w:rFonts w:eastAsiaTheme="minorHAnsi"/>
          <w:lang w:eastAsia="en-US"/>
        </w:rPr>
        <w:t xml:space="preserve"> ) who is the subject of proceedings in that state for an offence in that state to which the</w:t>
      </w:r>
      <w:r w:rsidR="00484306">
        <w:rPr>
          <w:rFonts w:eastAsiaTheme="minorHAnsi"/>
          <w:lang w:eastAsia="en-US"/>
        </w:rPr>
        <w:t xml:space="preserve"> </w:t>
      </w:r>
      <w:r w:rsidRPr="009676D0">
        <w:rPr>
          <w:rFonts w:eastAsiaTheme="minorHAnsi"/>
          <w:lang w:eastAsia="en-US"/>
        </w:rPr>
        <w:t>relevant arrest warrant relates,</w:t>
      </w:r>
    </w:p>
    <w:p w14:paraId="3B790EFF" w14:textId="77777777" w:rsidR="009676D0" w:rsidRPr="009676D0" w:rsidRDefault="009676D0" w:rsidP="00484306">
      <w:pPr>
        <w:autoSpaceDE w:val="0"/>
        <w:autoSpaceDN w:val="0"/>
        <w:adjustRightInd w:val="0"/>
        <w:spacing w:line="480" w:lineRule="auto"/>
        <w:ind w:left="737"/>
        <w:rPr>
          <w:rFonts w:eastAsiaTheme="minorHAnsi"/>
          <w:lang w:eastAsia="en-US"/>
        </w:rPr>
      </w:pPr>
      <w:proofErr w:type="gramStart"/>
      <w:r w:rsidRPr="009676D0">
        <w:rPr>
          <w:rFonts w:eastAsiaTheme="minorHAnsi"/>
          <w:lang w:eastAsia="en-US"/>
        </w:rPr>
        <w:t>( c</w:t>
      </w:r>
      <w:proofErr w:type="gramEnd"/>
      <w:r w:rsidRPr="009676D0">
        <w:rPr>
          <w:rFonts w:eastAsiaTheme="minorHAnsi"/>
          <w:lang w:eastAsia="en-US"/>
        </w:rPr>
        <w:t xml:space="preserve"> ) who has been convicted of, but not yet sentenced in respect of, an offence in that</w:t>
      </w:r>
    </w:p>
    <w:p w14:paraId="2E411C36"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state to which the relevant arrest warrant relates, or</w:t>
      </w:r>
    </w:p>
    <w:p w14:paraId="12E419B6" w14:textId="77777777" w:rsidR="009676D0" w:rsidRPr="009676D0" w:rsidRDefault="009676D0" w:rsidP="00484306">
      <w:pPr>
        <w:autoSpaceDE w:val="0"/>
        <w:autoSpaceDN w:val="0"/>
        <w:adjustRightInd w:val="0"/>
        <w:spacing w:line="480" w:lineRule="auto"/>
        <w:ind w:left="737"/>
        <w:rPr>
          <w:rFonts w:eastAsiaTheme="minorHAnsi"/>
          <w:lang w:eastAsia="en-US"/>
        </w:rPr>
      </w:pPr>
      <w:proofErr w:type="gramStart"/>
      <w:r w:rsidRPr="009676D0">
        <w:rPr>
          <w:rFonts w:eastAsiaTheme="minorHAnsi"/>
          <w:lang w:eastAsia="en-US"/>
        </w:rPr>
        <w:t>( d</w:t>
      </w:r>
      <w:proofErr w:type="gramEnd"/>
      <w:r w:rsidRPr="009676D0">
        <w:rPr>
          <w:rFonts w:eastAsiaTheme="minorHAnsi"/>
          <w:lang w:eastAsia="en-US"/>
        </w:rPr>
        <w:t xml:space="preserve"> ) on whom a sentence of imprisonment or detention has been imposed in that state in</w:t>
      </w:r>
      <w:r w:rsidR="00484306">
        <w:rPr>
          <w:rFonts w:eastAsiaTheme="minorHAnsi"/>
          <w:lang w:eastAsia="en-US"/>
        </w:rPr>
        <w:t xml:space="preserve"> </w:t>
      </w:r>
      <w:r w:rsidRPr="009676D0">
        <w:rPr>
          <w:rFonts w:eastAsiaTheme="minorHAnsi"/>
          <w:lang w:eastAsia="en-US"/>
        </w:rPr>
        <w:t xml:space="preserve">respect of an offence to which the relevant arrest warrant relates, that person shall, </w:t>
      </w:r>
      <w:r w:rsidRPr="009676D0">
        <w:rPr>
          <w:rFonts w:eastAsiaTheme="minorHAnsi"/>
          <w:lang w:eastAsia="en-US"/>
        </w:rPr>
        <w:lastRenderedPageBreak/>
        <w:t>subject</w:t>
      </w:r>
      <w:r w:rsidR="00484306">
        <w:rPr>
          <w:rFonts w:eastAsiaTheme="minorHAnsi"/>
          <w:lang w:eastAsia="en-US"/>
        </w:rPr>
        <w:t xml:space="preserve"> </w:t>
      </w:r>
      <w:r w:rsidRPr="009676D0">
        <w:rPr>
          <w:rFonts w:eastAsiaTheme="minorHAnsi"/>
          <w:lang w:eastAsia="en-US"/>
        </w:rPr>
        <w:t>to and in accordance with the provisions of this Act, be arrested and</w:t>
      </w:r>
      <w:r w:rsidR="00484306">
        <w:rPr>
          <w:rFonts w:eastAsiaTheme="minorHAnsi"/>
          <w:lang w:eastAsia="en-US"/>
        </w:rPr>
        <w:t xml:space="preserve"> </w:t>
      </w:r>
      <w:r w:rsidRPr="009676D0">
        <w:rPr>
          <w:rFonts w:eastAsiaTheme="minorHAnsi"/>
          <w:lang w:eastAsia="en-US"/>
        </w:rPr>
        <w:t>surrendered to the</w:t>
      </w:r>
      <w:r w:rsidR="00484306">
        <w:rPr>
          <w:rFonts w:eastAsiaTheme="minorHAnsi"/>
          <w:lang w:eastAsia="en-US"/>
        </w:rPr>
        <w:t xml:space="preserve"> </w:t>
      </w:r>
      <w:r w:rsidRPr="009676D0">
        <w:rPr>
          <w:rFonts w:eastAsiaTheme="minorHAnsi"/>
          <w:lang w:eastAsia="en-US"/>
        </w:rPr>
        <w:t>issuing state.</w:t>
      </w:r>
    </w:p>
    <w:p w14:paraId="53BB29A4"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Similarly, please note that Section 21A of the European Arrest Warrant Act, 2003, as</w:t>
      </w:r>
    </w:p>
    <w:p w14:paraId="4E396034"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amended, states as follows:</w:t>
      </w:r>
    </w:p>
    <w:p w14:paraId="0A2C8CC0"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21A. — (1) Where a European arrest warrant is issued in the issuing state in respect</w:t>
      </w:r>
    </w:p>
    <w:p w14:paraId="6A205DC4"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of a person who has not been convicted of an offence specified therein, the High Court</w:t>
      </w:r>
      <w:r w:rsidR="00484306">
        <w:rPr>
          <w:rFonts w:eastAsiaTheme="minorHAnsi"/>
          <w:lang w:eastAsia="en-US"/>
        </w:rPr>
        <w:t xml:space="preserve"> </w:t>
      </w:r>
      <w:r w:rsidRPr="009676D0">
        <w:rPr>
          <w:rFonts w:eastAsiaTheme="minorHAnsi"/>
          <w:lang w:eastAsia="en-US"/>
        </w:rPr>
        <w:t>shall refuse to surrender the person if it is satisfied that a decision has not been made to</w:t>
      </w:r>
      <w:r w:rsidR="00484306">
        <w:rPr>
          <w:rFonts w:eastAsiaTheme="minorHAnsi"/>
          <w:lang w:eastAsia="en-US"/>
        </w:rPr>
        <w:t xml:space="preserve"> </w:t>
      </w:r>
      <w:r w:rsidRPr="009676D0">
        <w:rPr>
          <w:rFonts w:eastAsiaTheme="minorHAnsi"/>
          <w:lang w:eastAsia="en-US"/>
        </w:rPr>
        <w:t>charge the person with, and try him or her for, that offence in the issuing state.</w:t>
      </w:r>
    </w:p>
    <w:p w14:paraId="76BA14FF"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(2) Where a European arrest warrant is issued in respect of a person who has not been</w:t>
      </w:r>
    </w:p>
    <w:p w14:paraId="5BC470F2"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convicted of an offence specified therein, it shall be presumed that a decision has been</w:t>
      </w:r>
      <w:r w:rsidR="00484306">
        <w:rPr>
          <w:rFonts w:eastAsiaTheme="minorHAnsi"/>
          <w:lang w:eastAsia="en-US"/>
        </w:rPr>
        <w:t xml:space="preserve"> </w:t>
      </w:r>
      <w:r w:rsidRPr="009676D0">
        <w:rPr>
          <w:rFonts w:eastAsiaTheme="minorHAnsi"/>
          <w:lang w:eastAsia="en-US"/>
        </w:rPr>
        <w:t>made to charge the person with, and try him or her for, that offence in the issuing state,</w:t>
      </w:r>
      <w:r w:rsidR="00484306">
        <w:rPr>
          <w:rFonts w:eastAsiaTheme="minorHAnsi"/>
          <w:lang w:eastAsia="en-US"/>
        </w:rPr>
        <w:t xml:space="preserve"> </w:t>
      </w:r>
      <w:r w:rsidRPr="009676D0">
        <w:rPr>
          <w:rFonts w:eastAsiaTheme="minorHAnsi"/>
          <w:lang w:eastAsia="en-US"/>
        </w:rPr>
        <w:t>unless the contrary is proved.</w:t>
      </w:r>
    </w:p>
    <w:p w14:paraId="1A2DECED"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Having regard to the above</w:t>
      </w:r>
      <w:r w:rsidR="00256907">
        <w:rPr>
          <w:rFonts w:eastAsiaTheme="minorHAnsi"/>
          <w:lang w:eastAsia="en-US"/>
        </w:rPr>
        <w:t>,</w:t>
      </w:r>
      <w:r w:rsidRPr="009676D0">
        <w:rPr>
          <w:rFonts w:eastAsiaTheme="minorHAnsi"/>
          <w:lang w:eastAsia="en-US"/>
        </w:rPr>
        <w:t xml:space="preserve"> please confirm whether a decision has been made to charge</w:t>
      </w:r>
      <w:r w:rsidR="00484306">
        <w:rPr>
          <w:rFonts w:eastAsiaTheme="minorHAnsi"/>
          <w:lang w:eastAsia="en-US"/>
        </w:rPr>
        <w:t xml:space="preserve"> </w:t>
      </w:r>
      <w:r w:rsidRPr="009676D0">
        <w:rPr>
          <w:rFonts w:eastAsiaTheme="minorHAnsi"/>
          <w:lang w:eastAsia="en-US"/>
        </w:rPr>
        <w:t>and try the Respondent for the offence set out in the European Arrest Warrant and if so,</w:t>
      </w:r>
      <w:r w:rsidR="00484306">
        <w:rPr>
          <w:rFonts w:eastAsiaTheme="minorHAnsi"/>
          <w:lang w:eastAsia="en-US"/>
        </w:rPr>
        <w:t xml:space="preserve"> </w:t>
      </w:r>
      <w:r w:rsidRPr="009676D0">
        <w:rPr>
          <w:rFonts w:eastAsiaTheme="minorHAnsi"/>
          <w:lang w:eastAsia="en-US"/>
        </w:rPr>
        <w:t xml:space="preserve">please provide full details of same </w:t>
      </w:r>
      <w:proofErr w:type="gramStart"/>
      <w:r w:rsidRPr="009676D0">
        <w:rPr>
          <w:rFonts w:eastAsiaTheme="minorHAnsi"/>
          <w:lang w:eastAsia="en-US"/>
        </w:rPr>
        <w:t>including;</w:t>
      </w:r>
      <w:proofErr w:type="gramEnd"/>
    </w:p>
    <w:p w14:paraId="6EE700FC"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a) the date upon which the decision was made and</w:t>
      </w:r>
    </w:p>
    <w:p w14:paraId="2F1DA8ED"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b) the identity of the relevant authority or person who made the decision.</w:t>
      </w:r>
    </w:p>
    <w:p w14:paraId="1FE65CCC" w14:textId="77777777" w:rsidR="009676D0" w:rsidRPr="009676D0" w:rsidRDefault="009676D0" w:rsidP="00484306">
      <w:pPr>
        <w:autoSpaceDE w:val="0"/>
        <w:autoSpaceDN w:val="0"/>
        <w:adjustRightInd w:val="0"/>
        <w:spacing w:line="480" w:lineRule="auto"/>
        <w:ind w:left="737"/>
        <w:rPr>
          <w:rFonts w:eastAsiaTheme="minorHAnsi"/>
          <w:lang w:eastAsia="en-US"/>
        </w:rPr>
      </w:pPr>
      <w:r w:rsidRPr="009676D0">
        <w:rPr>
          <w:rFonts w:eastAsiaTheme="minorHAnsi"/>
          <w:lang w:eastAsia="en-US"/>
        </w:rPr>
        <w:t>3. Where the Respondent has maintained that he was not in Kiel, Germany at the time of the</w:t>
      </w:r>
      <w:r w:rsidR="00484306">
        <w:rPr>
          <w:rFonts w:eastAsiaTheme="minorHAnsi"/>
          <w:lang w:eastAsia="en-US"/>
        </w:rPr>
        <w:t xml:space="preserve"> </w:t>
      </w:r>
      <w:r w:rsidRPr="009676D0">
        <w:rPr>
          <w:rFonts w:eastAsiaTheme="minorHAnsi"/>
          <w:lang w:eastAsia="en-US"/>
        </w:rPr>
        <w:t>alleged offence, please furnish additional information in respect of the connection made</w:t>
      </w:r>
      <w:r w:rsidR="00484306">
        <w:rPr>
          <w:rFonts w:eastAsiaTheme="minorHAnsi"/>
          <w:lang w:eastAsia="en-US"/>
        </w:rPr>
        <w:t xml:space="preserve"> </w:t>
      </w:r>
      <w:r w:rsidRPr="009676D0">
        <w:rPr>
          <w:rFonts w:eastAsiaTheme="minorHAnsi"/>
          <w:lang w:eastAsia="en-US"/>
        </w:rPr>
        <w:t>by the relevant prosecuting authority between the Respondent and the commission of the</w:t>
      </w:r>
      <w:r w:rsidR="00484306">
        <w:rPr>
          <w:rFonts w:eastAsiaTheme="minorHAnsi"/>
          <w:lang w:eastAsia="en-US"/>
        </w:rPr>
        <w:t xml:space="preserve"> </w:t>
      </w:r>
      <w:r w:rsidRPr="009676D0">
        <w:rPr>
          <w:rFonts w:eastAsiaTheme="minorHAnsi"/>
          <w:lang w:eastAsia="en-US"/>
        </w:rPr>
        <w:t>alleged offence.</w:t>
      </w:r>
      <w:r>
        <w:rPr>
          <w:rFonts w:eastAsiaTheme="minorHAnsi"/>
          <w:lang w:eastAsia="en-US"/>
        </w:rPr>
        <w:t>”</w:t>
      </w:r>
    </w:p>
    <w:p w14:paraId="6382C9A3" w14:textId="77777777" w:rsidR="009676D0" w:rsidRDefault="008D6D66" w:rsidP="00484306">
      <w:pPr>
        <w:pStyle w:val="ListParagraph"/>
        <w:numPr>
          <w:ilvl w:val="0"/>
          <w:numId w:val="1"/>
        </w:numPr>
        <w:spacing w:line="480" w:lineRule="auto"/>
        <w:ind w:left="0" w:firstLine="0"/>
      </w:pPr>
      <w:r>
        <w:t xml:space="preserve">The </w:t>
      </w:r>
      <w:r w:rsidR="00484306">
        <w:t xml:space="preserve">issuing judicial state </w:t>
      </w:r>
      <w:r>
        <w:t>responded by way of letter dated the 4</w:t>
      </w:r>
      <w:r w:rsidRPr="00032927">
        <w:rPr>
          <w:vertAlign w:val="superscript"/>
        </w:rPr>
        <w:t>th</w:t>
      </w:r>
      <w:r>
        <w:t xml:space="preserve"> of March </w:t>
      </w:r>
      <w:r w:rsidR="008A2FA5">
        <w:t xml:space="preserve">2022 </w:t>
      </w:r>
      <w:r w:rsidR="00484306">
        <w:t xml:space="preserve">wherein they </w:t>
      </w:r>
      <w:r>
        <w:t>confirmed</w:t>
      </w:r>
      <w:r w:rsidR="009676D0">
        <w:t>:</w:t>
      </w:r>
    </w:p>
    <w:p w14:paraId="2B7E4FA7" w14:textId="77777777" w:rsidR="00160289" w:rsidRPr="00160289" w:rsidRDefault="00160289" w:rsidP="00484306">
      <w:pPr>
        <w:pStyle w:val="ListParagraph"/>
        <w:spacing w:line="480" w:lineRule="auto"/>
        <w:ind w:left="737"/>
        <w:rPr>
          <w:rFonts w:eastAsiaTheme="minorHAnsi"/>
          <w:lang w:eastAsia="en-US"/>
        </w:rPr>
      </w:pPr>
      <w:r>
        <w:rPr>
          <w:rFonts w:eastAsiaTheme="minorHAnsi"/>
          <w:lang w:eastAsia="en-US"/>
        </w:rPr>
        <w:lastRenderedPageBreak/>
        <w:t>“</w:t>
      </w:r>
      <w:r w:rsidR="009676D0" w:rsidRPr="00160289">
        <w:rPr>
          <w:rFonts w:eastAsiaTheme="minorHAnsi"/>
          <w:lang w:eastAsia="en-US"/>
        </w:rPr>
        <w:t>1. The long period that has elapsed since the crime in 2015 is explained by</w:t>
      </w:r>
      <w:r w:rsidRPr="00160289">
        <w:rPr>
          <w:rFonts w:eastAsiaTheme="minorHAnsi"/>
          <w:lang w:eastAsia="en-US"/>
        </w:rPr>
        <w:t xml:space="preserve"> </w:t>
      </w:r>
      <w:r w:rsidR="009676D0" w:rsidRPr="00160289">
        <w:rPr>
          <w:rFonts w:eastAsiaTheme="minorHAnsi"/>
          <w:lang w:eastAsia="en-US"/>
        </w:rPr>
        <w:t xml:space="preserve">the fact that the accused </w:t>
      </w:r>
      <w:proofErr w:type="spellStart"/>
      <w:r w:rsidR="009676D0" w:rsidRPr="00160289">
        <w:rPr>
          <w:rFonts w:eastAsiaTheme="minorHAnsi"/>
          <w:lang w:eastAsia="en-US"/>
        </w:rPr>
        <w:t>Asenov</w:t>
      </w:r>
      <w:proofErr w:type="spellEnd"/>
      <w:r w:rsidR="009676D0" w:rsidRPr="00160289">
        <w:rPr>
          <w:rFonts w:eastAsiaTheme="minorHAnsi"/>
          <w:lang w:eastAsia="en-US"/>
        </w:rPr>
        <w:t xml:space="preserve"> was absconding immediately after the crime</w:t>
      </w:r>
      <w:r w:rsidRPr="00160289">
        <w:rPr>
          <w:rFonts w:eastAsiaTheme="minorHAnsi"/>
          <w:lang w:eastAsia="en-US"/>
        </w:rPr>
        <w:t xml:space="preserve"> </w:t>
      </w:r>
      <w:r w:rsidR="009676D0" w:rsidRPr="00160289">
        <w:rPr>
          <w:rFonts w:eastAsiaTheme="minorHAnsi"/>
          <w:lang w:eastAsia="en-US"/>
        </w:rPr>
        <w:t>and the whereabouts in Ireland only became known with the arrest on</w:t>
      </w:r>
      <w:r w:rsidRPr="00160289">
        <w:rPr>
          <w:rFonts w:eastAsiaTheme="minorHAnsi"/>
          <w:lang w:eastAsia="en-US"/>
        </w:rPr>
        <w:t xml:space="preserve"> </w:t>
      </w:r>
      <w:r w:rsidR="009676D0" w:rsidRPr="00160289">
        <w:rPr>
          <w:rFonts w:eastAsiaTheme="minorHAnsi"/>
          <w:lang w:eastAsia="en-US"/>
        </w:rPr>
        <w:t xml:space="preserve">31.01.2022. The accused </w:t>
      </w:r>
      <w:proofErr w:type="spellStart"/>
      <w:r w:rsidR="009676D0" w:rsidRPr="00160289">
        <w:rPr>
          <w:rFonts w:eastAsiaTheme="minorHAnsi"/>
          <w:lang w:eastAsia="en-US"/>
        </w:rPr>
        <w:t>Asenov</w:t>
      </w:r>
      <w:proofErr w:type="spellEnd"/>
      <w:r w:rsidR="009676D0" w:rsidRPr="00160289">
        <w:rPr>
          <w:rFonts w:eastAsiaTheme="minorHAnsi"/>
          <w:lang w:eastAsia="en-US"/>
        </w:rPr>
        <w:t xml:space="preserve"> was initially only advertised within Germany</w:t>
      </w:r>
      <w:r w:rsidRPr="00160289">
        <w:rPr>
          <w:rFonts w:eastAsiaTheme="minorHAnsi"/>
          <w:lang w:eastAsia="en-US"/>
        </w:rPr>
        <w:t xml:space="preserve"> </w:t>
      </w:r>
      <w:r w:rsidR="009676D0" w:rsidRPr="00160289">
        <w:rPr>
          <w:rFonts w:eastAsiaTheme="minorHAnsi"/>
          <w:lang w:eastAsia="en-US"/>
        </w:rPr>
        <w:t>for search. Since the search for the accused in Germany was unsuccessful, the</w:t>
      </w:r>
      <w:r w:rsidRPr="00160289">
        <w:rPr>
          <w:rFonts w:eastAsiaTheme="minorHAnsi"/>
          <w:lang w:eastAsia="en-US"/>
        </w:rPr>
        <w:t xml:space="preserve"> </w:t>
      </w:r>
      <w:r w:rsidR="009676D0" w:rsidRPr="00160289">
        <w:rPr>
          <w:rFonts w:eastAsiaTheme="minorHAnsi"/>
          <w:lang w:eastAsia="en-US"/>
        </w:rPr>
        <w:t>EAW was issued on 19 May 2021.</w:t>
      </w:r>
    </w:p>
    <w:p w14:paraId="27C2808D" w14:textId="77777777" w:rsidR="00160289" w:rsidRPr="00CE6903" w:rsidRDefault="009676D0" w:rsidP="00CE6903">
      <w:pPr>
        <w:pStyle w:val="ListParagraph"/>
        <w:spacing w:line="480" w:lineRule="auto"/>
        <w:ind w:left="737"/>
      </w:pPr>
      <w:r w:rsidRPr="00160289">
        <w:rPr>
          <w:rFonts w:eastAsiaTheme="minorHAnsi"/>
          <w:lang w:eastAsia="en-US"/>
        </w:rPr>
        <w:t>2. Because of the offence, the District Court of Kiel on 4.8.2015 issue</w:t>
      </w:r>
      <w:r w:rsidR="0052383B">
        <w:rPr>
          <w:rFonts w:eastAsiaTheme="minorHAnsi"/>
          <w:lang w:eastAsia="en-US"/>
        </w:rPr>
        <w:t xml:space="preserve"> </w:t>
      </w:r>
      <w:r w:rsidR="0052383B" w:rsidRPr="0052383B">
        <w:rPr>
          <w:rFonts w:eastAsiaTheme="minorHAnsi"/>
          <w:i/>
          <w:iCs/>
          <w:lang w:eastAsia="en-US"/>
        </w:rPr>
        <w:t>(sic)</w:t>
      </w:r>
      <w:r w:rsidRPr="00160289">
        <w:rPr>
          <w:rFonts w:eastAsiaTheme="minorHAnsi"/>
          <w:lang w:eastAsia="en-US"/>
        </w:rPr>
        <w:t xml:space="preserve"> a</w:t>
      </w:r>
      <w:r w:rsidR="00160289" w:rsidRPr="00160289">
        <w:rPr>
          <w:rFonts w:eastAsiaTheme="minorHAnsi"/>
          <w:lang w:eastAsia="en-US"/>
        </w:rPr>
        <w:t xml:space="preserve"> </w:t>
      </w:r>
      <w:r w:rsidRPr="00160289">
        <w:rPr>
          <w:rFonts w:eastAsiaTheme="minorHAnsi"/>
          <w:lang w:eastAsia="en-US"/>
        </w:rPr>
        <w:t>national arrest warrant. After transfer to Germany, charges will be brought</w:t>
      </w:r>
      <w:r w:rsidR="00160289" w:rsidRPr="00160289">
        <w:rPr>
          <w:rFonts w:eastAsiaTheme="minorHAnsi"/>
          <w:lang w:eastAsia="en-US"/>
        </w:rPr>
        <w:t xml:space="preserve"> </w:t>
      </w:r>
      <w:r w:rsidRPr="00160289">
        <w:rPr>
          <w:rFonts w:eastAsiaTheme="minorHAnsi"/>
          <w:lang w:eastAsia="en-US"/>
        </w:rPr>
        <w:t>against the accused by the public prosecutor's office in Kiel to the District</w:t>
      </w:r>
      <w:r w:rsidR="00CE6903">
        <w:rPr>
          <w:rFonts w:eastAsiaTheme="minorHAnsi"/>
          <w:lang w:eastAsia="en-US"/>
        </w:rPr>
        <w:t xml:space="preserve"> </w:t>
      </w:r>
      <w:r w:rsidRPr="00160289">
        <w:rPr>
          <w:rFonts w:eastAsiaTheme="minorHAnsi"/>
          <w:lang w:eastAsia="en-US"/>
        </w:rPr>
        <w:t>Court of Kiel. However, under German law, the accused must be granted a right</w:t>
      </w:r>
      <w:r w:rsidR="00160289" w:rsidRPr="00160289">
        <w:rPr>
          <w:rFonts w:eastAsiaTheme="minorHAnsi"/>
          <w:lang w:eastAsia="en-US"/>
        </w:rPr>
        <w:t xml:space="preserve"> </w:t>
      </w:r>
      <w:r w:rsidRPr="00160289">
        <w:rPr>
          <w:rFonts w:eastAsiaTheme="minorHAnsi"/>
          <w:lang w:eastAsia="en-US"/>
        </w:rPr>
        <w:t>to be heard before charges are</w:t>
      </w:r>
      <w:r w:rsidR="00160289" w:rsidRPr="00160289">
        <w:rPr>
          <w:rFonts w:eastAsiaTheme="minorHAnsi"/>
          <w:lang w:eastAsia="en-US"/>
        </w:rPr>
        <w:t xml:space="preserve"> </w:t>
      </w:r>
      <w:r w:rsidRPr="00160289">
        <w:rPr>
          <w:rFonts w:eastAsiaTheme="minorHAnsi"/>
          <w:lang w:eastAsia="en-US"/>
        </w:rPr>
        <w:t>brought.</w:t>
      </w:r>
    </w:p>
    <w:p w14:paraId="6BCA749E" w14:textId="77777777" w:rsidR="00E90BC2" w:rsidRDefault="009676D0" w:rsidP="00484306">
      <w:pPr>
        <w:autoSpaceDE w:val="0"/>
        <w:autoSpaceDN w:val="0"/>
        <w:adjustRightInd w:val="0"/>
        <w:spacing w:line="480" w:lineRule="auto"/>
        <w:ind w:left="737"/>
        <w:rPr>
          <w:rFonts w:eastAsiaTheme="minorHAnsi"/>
          <w:lang w:eastAsia="en-US"/>
        </w:rPr>
      </w:pPr>
      <w:r w:rsidRPr="00160289">
        <w:rPr>
          <w:rFonts w:eastAsiaTheme="minorHAnsi"/>
          <w:lang w:eastAsia="en-US"/>
        </w:rPr>
        <w:t xml:space="preserve">3. </w:t>
      </w:r>
      <w:proofErr w:type="gramStart"/>
      <w:r w:rsidRPr="00160289">
        <w:rPr>
          <w:rFonts w:eastAsiaTheme="minorHAnsi"/>
          <w:lang w:eastAsia="en-US"/>
        </w:rPr>
        <w:t>With regard to</w:t>
      </w:r>
      <w:proofErr w:type="gramEnd"/>
      <w:r w:rsidRPr="00160289">
        <w:rPr>
          <w:rFonts w:eastAsiaTheme="minorHAnsi"/>
          <w:lang w:eastAsia="en-US"/>
        </w:rPr>
        <w:t xml:space="preserve"> the defendant's argument that he was not in Kiel at the time</w:t>
      </w:r>
      <w:r w:rsidR="00160289" w:rsidRPr="00160289">
        <w:rPr>
          <w:rFonts w:eastAsiaTheme="minorHAnsi"/>
          <w:lang w:eastAsia="en-US"/>
        </w:rPr>
        <w:t xml:space="preserve"> </w:t>
      </w:r>
      <w:r w:rsidRPr="00160289">
        <w:rPr>
          <w:rFonts w:eastAsiaTheme="minorHAnsi"/>
          <w:lang w:eastAsia="en-US"/>
        </w:rPr>
        <w:t>of the crime, the following must be stated: In the apartment of witness</w:t>
      </w:r>
      <w:r w:rsidR="00160289" w:rsidRPr="00160289">
        <w:rPr>
          <w:rFonts w:eastAsiaTheme="minorHAnsi"/>
          <w:lang w:eastAsia="en-US"/>
        </w:rPr>
        <w:t xml:space="preserve"> </w:t>
      </w:r>
      <w:r w:rsidRPr="00160289">
        <w:rPr>
          <w:rFonts w:eastAsiaTheme="minorHAnsi"/>
          <w:lang w:eastAsia="en-US"/>
        </w:rPr>
        <w:t xml:space="preserve">Wolter, which was broken into, the fingerprints of the accused </w:t>
      </w:r>
      <w:proofErr w:type="spellStart"/>
      <w:r w:rsidRPr="00160289">
        <w:rPr>
          <w:rFonts w:eastAsiaTheme="minorHAnsi"/>
          <w:lang w:eastAsia="en-US"/>
        </w:rPr>
        <w:t>Asenov</w:t>
      </w:r>
      <w:proofErr w:type="spellEnd"/>
      <w:r w:rsidRPr="00160289">
        <w:rPr>
          <w:rFonts w:eastAsiaTheme="minorHAnsi"/>
          <w:lang w:eastAsia="en-US"/>
        </w:rPr>
        <w:t xml:space="preserve"> could be</w:t>
      </w:r>
      <w:r w:rsidR="00160289" w:rsidRPr="00160289">
        <w:rPr>
          <w:rFonts w:eastAsiaTheme="minorHAnsi"/>
          <w:lang w:eastAsia="en-US"/>
        </w:rPr>
        <w:t xml:space="preserve"> </w:t>
      </w:r>
      <w:r w:rsidRPr="00160289">
        <w:rPr>
          <w:rFonts w:eastAsiaTheme="minorHAnsi"/>
          <w:lang w:eastAsia="en-US"/>
        </w:rPr>
        <w:t>determined beyond doubt on a lamp. This results in the suspicion against the</w:t>
      </w:r>
      <w:r w:rsidR="00160289" w:rsidRPr="00160289">
        <w:rPr>
          <w:rFonts w:eastAsiaTheme="minorHAnsi"/>
          <w:lang w:eastAsia="en-US"/>
        </w:rPr>
        <w:t xml:space="preserve"> </w:t>
      </w:r>
      <w:r w:rsidRPr="00160289">
        <w:rPr>
          <w:rFonts w:eastAsiaTheme="minorHAnsi"/>
          <w:lang w:eastAsia="en-US"/>
        </w:rPr>
        <w:t>accused. The accused also had no previously entitled access to the home of</w:t>
      </w:r>
      <w:r w:rsidR="00160289" w:rsidRPr="00160289">
        <w:rPr>
          <w:rFonts w:eastAsiaTheme="minorHAnsi"/>
          <w:lang w:eastAsia="en-US"/>
        </w:rPr>
        <w:t xml:space="preserve"> </w:t>
      </w:r>
      <w:r w:rsidRPr="00160289">
        <w:rPr>
          <w:rFonts w:eastAsiaTheme="minorHAnsi"/>
          <w:lang w:eastAsia="en-US"/>
        </w:rPr>
        <w:t>witness Wolter.</w:t>
      </w:r>
      <w:r w:rsidR="00160289">
        <w:rPr>
          <w:rFonts w:eastAsiaTheme="minorHAnsi"/>
          <w:lang w:eastAsia="en-US"/>
        </w:rPr>
        <w:t>”</w:t>
      </w:r>
    </w:p>
    <w:p w14:paraId="50E8B19B" w14:textId="77777777" w:rsidR="00484306" w:rsidRPr="00484306" w:rsidRDefault="00E90BC2" w:rsidP="00484306">
      <w:pPr>
        <w:pStyle w:val="ListParagraph"/>
        <w:numPr>
          <w:ilvl w:val="0"/>
          <w:numId w:val="1"/>
        </w:numPr>
        <w:spacing w:line="480" w:lineRule="auto"/>
        <w:ind w:right="521"/>
        <w:jc w:val="both"/>
        <w:rPr>
          <w:bCs/>
        </w:rPr>
      </w:pPr>
      <w:r>
        <w:rPr>
          <w:bCs/>
          <w:iCs/>
        </w:rPr>
        <w:t>I</w:t>
      </w:r>
      <w:r w:rsidR="008D6D66">
        <w:rPr>
          <w:bCs/>
          <w:iCs/>
        </w:rPr>
        <w:t xml:space="preserve">n </w:t>
      </w:r>
      <w:r>
        <w:rPr>
          <w:bCs/>
          <w:iCs/>
        </w:rPr>
        <w:t>considering Section 21 (a) of the 2003 Act</w:t>
      </w:r>
      <w:r w:rsidR="006203A8">
        <w:rPr>
          <w:bCs/>
          <w:iCs/>
        </w:rPr>
        <w:t>,</w:t>
      </w:r>
      <w:r>
        <w:rPr>
          <w:bCs/>
          <w:iCs/>
        </w:rPr>
        <w:t xml:space="preserve"> this </w:t>
      </w:r>
      <w:r w:rsidR="00484306">
        <w:rPr>
          <w:bCs/>
          <w:iCs/>
        </w:rPr>
        <w:t>C</w:t>
      </w:r>
      <w:r w:rsidR="008D6D66" w:rsidRPr="000C41BD">
        <w:rPr>
          <w:bCs/>
          <w:iCs/>
        </w:rPr>
        <w:t xml:space="preserve">ourt must have regard to the </w:t>
      </w:r>
    </w:p>
    <w:p w14:paraId="09F269D8" w14:textId="77777777" w:rsidR="008D6D66" w:rsidRPr="00484306" w:rsidRDefault="006203A8" w:rsidP="00484306">
      <w:pPr>
        <w:spacing w:line="480" w:lineRule="auto"/>
        <w:ind w:right="521"/>
        <w:jc w:val="both"/>
        <w:rPr>
          <w:bCs/>
        </w:rPr>
      </w:pPr>
      <w:r>
        <w:rPr>
          <w:bCs/>
          <w:iCs/>
        </w:rPr>
        <w:t>f</w:t>
      </w:r>
      <w:r w:rsidR="008D6D66" w:rsidRPr="00484306">
        <w:rPr>
          <w:bCs/>
          <w:iCs/>
        </w:rPr>
        <w:t>ollowing</w:t>
      </w:r>
      <w:r>
        <w:rPr>
          <w:bCs/>
          <w:iCs/>
        </w:rPr>
        <w:t xml:space="preserve"> -</w:t>
      </w:r>
    </w:p>
    <w:p w14:paraId="33D3317A" w14:textId="77777777" w:rsidR="008D6D66" w:rsidRPr="000C41BD" w:rsidRDefault="008D6D66" w:rsidP="00484306">
      <w:pPr>
        <w:pStyle w:val="ListParagraph"/>
        <w:numPr>
          <w:ilvl w:val="1"/>
          <w:numId w:val="1"/>
        </w:numPr>
        <w:spacing w:line="480" w:lineRule="auto"/>
        <w:ind w:right="521"/>
        <w:jc w:val="both"/>
        <w:rPr>
          <w:bCs/>
        </w:rPr>
      </w:pPr>
      <w:r w:rsidRPr="000C41BD">
        <w:rPr>
          <w:bCs/>
          <w:iCs/>
        </w:rPr>
        <w:t xml:space="preserve"> </w:t>
      </w:r>
      <w:r w:rsidR="00432A54">
        <w:rPr>
          <w:bCs/>
          <w:iCs/>
        </w:rPr>
        <w:t>s</w:t>
      </w:r>
      <w:r w:rsidRPr="000C41BD">
        <w:rPr>
          <w:bCs/>
          <w:iCs/>
        </w:rPr>
        <w:t>. 21</w:t>
      </w:r>
      <w:proofErr w:type="gramStart"/>
      <w:r w:rsidRPr="000C41BD">
        <w:rPr>
          <w:bCs/>
          <w:iCs/>
        </w:rPr>
        <w:t>A(</w:t>
      </w:r>
      <w:proofErr w:type="gramEnd"/>
      <w:r w:rsidRPr="000C41BD">
        <w:rPr>
          <w:bCs/>
          <w:iCs/>
        </w:rPr>
        <w:t>2) of the Act of 2003, as inserted by s. 25 of the Act of 2005, contains a presumption that a decision has been made to charge the person and try him or her for the offence.</w:t>
      </w:r>
    </w:p>
    <w:p w14:paraId="481DDD07" w14:textId="77777777" w:rsidR="008D6D66" w:rsidRPr="000C41BD" w:rsidRDefault="008D6D66" w:rsidP="00484306">
      <w:pPr>
        <w:pStyle w:val="ListParagraph"/>
        <w:numPr>
          <w:ilvl w:val="1"/>
          <w:numId w:val="1"/>
        </w:numPr>
        <w:spacing w:line="480" w:lineRule="auto"/>
        <w:ind w:right="521"/>
        <w:jc w:val="both"/>
        <w:rPr>
          <w:bCs/>
        </w:rPr>
      </w:pPr>
      <w:r w:rsidRPr="000C41BD">
        <w:rPr>
          <w:bCs/>
          <w:iCs/>
        </w:rPr>
        <w:t>The opening lines of the European arrest warrant itself, request that the person mentioned below “be arrested and surrendered for the purposes of conducting a criminal prosecution</w:t>
      </w:r>
      <w:r>
        <w:rPr>
          <w:bCs/>
          <w:iCs/>
        </w:rPr>
        <w:t xml:space="preserve"> or executing a custodial sentence or detention order</w:t>
      </w:r>
      <w:r w:rsidRPr="000C41BD">
        <w:rPr>
          <w:bCs/>
          <w:iCs/>
        </w:rPr>
        <w:t xml:space="preserve">” </w:t>
      </w:r>
    </w:p>
    <w:p w14:paraId="3CB528DD" w14:textId="77777777" w:rsidR="008D6D66" w:rsidRPr="000C41BD" w:rsidRDefault="008D6D66" w:rsidP="00484306">
      <w:pPr>
        <w:pStyle w:val="ListParagraph"/>
        <w:numPr>
          <w:ilvl w:val="1"/>
          <w:numId w:val="1"/>
        </w:numPr>
        <w:spacing w:line="480" w:lineRule="auto"/>
        <w:ind w:right="521"/>
        <w:jc w:val="both"/>
        <w:rPr>
          <w:bCs/>
        </w:rPr>
      </w:pPr>
      <w:r w:rsidRPr="000C41BD">
        <w:rPr>
          <w:bCs/>
          <w:iCs/>
        </w:rPr>
        <w:lastRenderedPageBreak/>
        <w:t>Recital 10 of the Framework Decision which describes “[t]he mechanism of the European arrest warrant [as being] based on a high level of confidence between Member States”.</w:t>
      </w:r>
    </w:p>
    <w:p w14:paraId="0CED7F87" w14:textId="77777777" w:rsidR="008D6D66" w:rsidRPr="004E6118" w:rsidRDefault="008D6D66" w:rsidP="00484306">
      <w:pPr>
        <w:pStyle w:val="ListParagraph"/>
        <w:numPr>
          <w:ilvl w:val="1"/>
          <w:numId w:val="1"/>
        </w:numPr>
        <w:spacing w:line="480" w:lineRule="auto"/>
        <w:ind w:right="521"/>
        <w:jc w:val="both"/>
        <w:rPr>
          <w:bCs/>
        </w:rPr>
      </w:pPr>
      <w:r w:rsidRPr="00651630">
        <w:rPr>
          <w:bCs/>
          <w:iCs/>
        </w:rPr>
        <w:t>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r w:rsidRPr="00640B49">
        <w:rPr>
          <w:bCs/>
          <w:i/>
          <w:iCs/>
        </w:rPr>
        <w:t>.</w:t>
      </w:r>
    </w:p>
    <w:p w14:paraId="0E421E56" w14:textId="77777777" w:rsidR="008D6D66" w:rsidRPr="000C41BD" w:rsidRDefault="008D6D66" w:rsidP="00484306">
      <w:pPr>
        <w:pStyle w:val="ListParagraph"/>
        <w:numPr>
          <w:ilvl w:val="1"/>
          <w:numId w:val="1"/>
        </w:numPr>
        <w:spacing w:line="480" w:lineRule="auto"/>
        <w:ind w:right="521"/>
        <w:jc w:val="both"/>
        <w:rPr>
          <w:bCs/>
        </w:rPr>
      </w:pPr>
      <w:r>
        <w:t xml:space="preserve">There must be strong and cogent evidence to rebut the presumption in </w:t>
      </w:r>
      <w:r w:rsidR="00F1010C">
        <w:t xml:space="preserve">          </w:t>
      </w:r>
      <w:r>
        <w:t>s.</w:t>
      </w:r>
      <w:r w:rsidR="00F1010C">
        <w:t xml:space="preserve"> </w:t>
      </w:r>
      <w:r>
        <w:t xml:space="preserve">21A of the Act of 2003, </w:t>
      </w:r>
      <w:r w:rsidR="00B74500">
        <w:t xml:space="preserve">and </w:t>
      </w:r>
      <w:r>
        <w:t xml:space="preserve">in this </w:t>
      </w:r>
      <w:proofErr w:type="gramStart"/>
      <w:r>
        <w:t>case</w:t>
      </w:r>
      <w:proofErr w:type="gramEnd"/>
      <w:r>
        <w:t xml:space="preserve"> there is none.</w:t>
      </w:r>
    </w:p>
    <w:p w14:paraId="199276E0" w14:textId="77777777" w:rsidR="008D6D66" w:rsidRDefault="008D6D66" w:rsidP="00484306">
      <w:pPr>
        <w:pStyle w:val="ListParagraph"/>
        <w:numPr>
          <w:ilvl w:val="1"/>
          <w:numId w:val="1"/>
        </w:numPr>
        <w:spacing w:line="480" w:lineRule="auto"/>
        <w:ind w:right="521"/>
        <w:jc w:val="both"/>
      </w:pPr>
      <w:r>
        <w:t xml:space="preserve">The issuing judicial authority has confirmed </w:t>
      </w:r>
      <w:r w:rsidR="00484306">
        <w:t>by way of additional information</w:t>
      </w:r>
      <w:r>
        <w:t xml:space="preserve"> that after transfer to Germany</w:t>
      </w:r>
      <w:r w:rsidR="00132E4C">
        <w:t>,</w:t>
      </w:r>
      <w:r>
        <w:t xml:space="preserve"> </w:t>
      </w:r>
      <w:r w:rsidR="00484306">
        <w:t xml:space="preserve">a </w:t>
      </w:r>
      <w:r>
        <w:t>charge will be brought against the accused by the public prosecutor’s office in Kiel to the District Court in Kiel.  However</w:t>
      </w:r>
      <w:r w:rsidR="001C0A92">
        <w:t>,</w:t>
      </w:r>
      <w:r>
        <w:t xml:space="preserve"> under German Law</w:t>
      </w:r>
      <w:r w:rsidR="001C0A92">
        <w:t>,</w:t>
      </w:r>
      <w:r>
        <w:t xml:space="preserve"> the accused must be granted a right to be heard before the charges are brought.</w:t>
      </w:r>
    </w:p>
    <w:p w14:paraId="22E73A9B" w14:textId="77777777" w:rsidR="00484306" w:rsidRDefault="008D6D66" w:rsidP="00484306">
      <w:pPr>
        <w:pStyle w:val="ListParagraph"/>
        <w:numPr>
          <w:ilvl w:val="0"/>
          <w:numId w:val="1"/>
        </w:numPr>
        <w:spacing w:line="480" w:lineRule="auto"/>
        <w:ind w:right="521"/>
        <w:jc w:val="both"/>
        <w:rPr>
          <w:color w:val="000000" w:themeColor="text1"/>
        </w:rPr>
      </w:pPr>
      <w:r w:rsidRPr="0056390C">
        <w:rPr>
          <w:color w:val="000000" w:themeColor="text1"/>
        </w:rPr>
        <w:t xml:space="preserve"> </w:t>
      </w:r>
      <w:proofErr w:type="gramStart"/>
      <w:r w:rsidRPr="0056390C">
        <w:rPr>
          <w:color w:val="000000" w:themeColor="text1"/>
        </w:rPr>
        <w:t>In light of</w:t>
      </w:r>
      <w:proofErr w:type="gramEnd"/>
      <w:r w:rsidRPr="0056390C">
        <w:rPr>
          <w:color w:val="000000" w:themeColor="text1"/>
        </w:rPr>
        <w:t xml:space="preserve"> the foregoing and in all of the circumstances I am satisfied that </w:t>
      </w:r>
    </w:p>
    <w:p w14:paraId="1BC00DE0" w14:textId="77777777" w:rsidR="00484306" w:rsidRDefault="008D6D66" w:rsidP="00484306">
      <w:pPr>
        <w:spacing w:line="480" w:lineRule="auto"/>
        <w:ind w:right="521"/>
        <w:jc w:val="both"/>
        <w:rPr>
          <w:color w:val="000000" w:themeColor="text1"/>
        </w:rPr>
      </w:pPr>
      <w:r w:rsidRPr="00484306">
        <w:rPr>
          <w:color w:val="000000" w:themeColor="text1"/>
        </w:rPr>
        <w:t>surrender of the respondent is not precluded by reason of Section 21A of the Act of 2003</w:t>
      </w:r>
      <w:r w:rsidR="00484306">
        <w:rPr>
          <w:color w:val="000000" w:themeColor="text1"/>
        </w:rPr>
        <w:t>.</w:t>
      </w:r>
    </w:p>
    <w:p w14:paraId="31E0FB61" w14:textId="77777777" w:rsidR="00484306" w:rsidRPr="00484306" w:rsidRDefault="00484306" w:rsidP="00484306">
      <w:pPr>
        <w:spacing w:line="480" w:lineRule="auto"/>
        <w:ind w:right="521"/>
        <w:jc w:val="both"/>
        <w:rPr>
          <w:color w:val="000000" w:themeColor="text1"/>
        </w:rPr>
      </w:pPr>
    </w:p>
    <w:p w14:paraId="1F188A23" w14:textId="77777777" w:rsidR="008D6D66" w:rsidRDefault="008D6D66" w:rsidP="00484306">
      <w:pPr>
        <w:pStyle w:val="ListParagraph"/>
        <w:numPr>
          <w:ilvl w:val="0"/>
          <w:numId w:val="1"/>
        </w:numPr>
        <w:spacing w:line="480" w:lineRule="auto"/>
        <w:ind w:left="0" w:firstLine="0"/>
        <w:rPr>
          <w:b/>
          <w:bCs/>
          <w:color w:val="000000" w:themeColor="text1"/>
          <w:u w:val="single"/>
        </w:rPr>
      </w:pPr>
      <w:r w:rsidRPr="0056390C">
        <w:rPr>
          <w:b/>
          <w:bCs/>
          <w:color w:val="000000" w:themeColor="text1"/>
          <w:u w:val="single"/>
        </w:rPr>
        <w:t>Is surrender prohibited by section 37 of the Act of 2003</w:t>
      </w:r>
      <w:r w:rsidR="008A2FA5">
        <w:rPr>
          <w:b/>
          <w:bCs/>
          <w:color w:val="000000" w:themeColor="text1"/>
          <w:u w:val="single"/>
        </w:rPr>
        <w:t xml:space="preserve"> </w:t>
      </w:r>
    </w:p>
    <w:p w14:paraId="0B7828A6" w14:textId="77777777" w:rsidR="003B2457" w:rsidRPr="0056390C" w:rsidRDefault="003B2457" w:rsidP="00484306">
      <w:pPr>
        <w:pStyle w:val="ListParagraph"/>
        <w:spacing w:line="480" w:lineRule="auto"/>
        <w:ind w:left="0"/>
        <w:rPr>
          <w:color w:val="000000" w:themeColor="text1"/>
        </w:rPr>
      </w:pPr>
      <w:r w:rsidRPr="0056390C">
        <w:rPr>
          <w:color w:val="000000" w:themeColor="text1"/>
        </w:rPr>
        <w:t xml:space="preserve">The respondent provided the court with </w:t>
      </w:r>
      <w:proofErr w:type="gramStart"/>
      <w:r w:rsidRPr="0056390C">
        <w:rPr>
          <w:color w:val="000000" w:themeColor="text1"/>
        </w:rPr>
        <w:t>a number of</w:t>
      </w:r>
      <w:proofErr w:type="gramEnd"/>
      <w:r w:rsidRPr="0056390C">
        <w:rPr>
          <w:color w:val="000000" w:themeColor="text1"/>
        </w:rPr>
        <w:t xml:space="preserve"> reports that were relevant to both the respondent and his wife.</w:t>
      </w:r>
    </w:p>
    <w:p w14:paraId="1BBC2A2B" w14:textId="77777777" w:rsidR="00812F8B" w:rsidRPr="0056390C" w:rsidRDefault="003B2457" w:rsidP="00812F8B">
      <w:pPr>
        <w:pStyle w:val="ListParagraph"/>
        <w:numPr>
          <w:ilvl w:val="0"/>
          <w:numId w:val="5"/>
        </w:numPr>
        <w:spacing w:line="480" w:lineRule="auto"/>
        <w:rPr>
          <w:color w:val="000000" w:themeColor="text1"/>
        </w:rPr>
      </w:pPr>
      <w:r w:rsidRPr="0056390C">
        <w:rPr>
          <w:color w:val="000000" w:themeColor="text1"/>
        </w:rPr>
        <w:t xml:space="preserve">Reports from Dr </w:t>
      </w:r>
      <w:proofErr w:type="spellStart"/>
      <w:r w:rsidRPr="0056390C">
        <w:rPr>
          <w:color w:val="000000" w:themeColor="text1"/>
        </w:rPr>
        <w:t>Kryszkowski</w:t>
      </w:r>
      <w:proofErr w:type="spellEnd"/>
      <w:r w:rsidRPr="0056390C">
        <w:rPr>
          <w:color w:val="000000" w:themeColor="text1"/>
        </w:rPr>
        <w:t xml:space="preserve"> dated the</w:t>
      </w:r>
      <w:r w:rsidR="00484306">
        <w:rPr>
          <w:color w:val="000000" w:themeColor="text1"/>
        </w:rPr>
        <w:t xml:space="preserve"> </w:t>
      </w:r>
      <w:proofErr w:type="gramStart"/>
      <w:r w:rsidR="00484306">
        <w:rPr>
          <w:color w:val="000000" w:themeColor="text1"/>
        </w:rPr>
        <w:t>24</w:t>
      </w:r>
      <w:r w:rsidR="00484306" w:rsidRPr="00484306">
        <w:rPr>
          <w:color w:val="000000" w:themeColor="text1"/>
          <w:vertAlign w:val="superscript"/>
        </w:rPr>
        <w:t>th</w:t>
      </w:r>
      <w:proofErr w:type="gramEnd"/>
      <w:r w:rsidR="00484306">
        <w:rPr>
          <w:color w:val="000000" w:themeColor="text1"/>
        </w:rPr>
        <w:t xml:space="preserve"> January 2022, 26</w:t>
      </w:r>
      <w:r w:rsidR="00484306" w:rsidRPr="00484306">
        <w:rPr>
          <w:color w:val="000000" w:themeColor="text1"/>
          <w:vertAlign w:val="superscript"/>
        </w:rPr>
        <w:t>th</w:t>
      </w:r>
      <w:r w:rsidR="00484306">
        <w:rPr>
          <w:color w:val="000000" w:themeColor="text1"/>
        </w:rPr>
        <w:t xml:space="preserve"> February 2022 and 7</w:t>
      </w:r>
      <w:r w:rsidR="00484306" w:rsidRPr="00484306">
        <w:rPr>
          <w:color w:val="000000" w:themeColor="text1"/>
          <w:vertAlign w:val="superscript"/>
        </w:rPr>
        <w:t>th</w:t>
      </w:r>
      <w:r w:rsidR="00484306">
        <w:rPr>
          <w:color w:val="000000" w:themeColor="text1"/>
        </w:rPr>
        <w:t xml:space="preserve"> March 2022.</w:t>
      </w:r>
      <w:r w:rsidRPr="0056390C">
        <w:rPr>
          <w:color w:val="000000" w:themeColor="text1"/>
        </w:rPr>
        <w:t xml:space="preserve"> </w:t>
      </w:r>
      <w:r w:rsidR="00484306">
        <w:rPr>
          <w:color w:val="000000" w:themeColor="text1"/>
        </w:rPr>
        <w:t>T</w:t>
      </w:r>
      <w:r w:rsidRPr="0056390C">
        <w:rPr>
          <w:color w:val="000000" w:themeColor="text1"/>
        </w:rPr>
        <w:t xml:space="preserve">he findings of </w:t>
      </w:r>
      <w:proofErr w:type="spellStart"/>
      <w:r w:rsidRPr="0056390C">
        <w:rPr>
          <w:color w:val="000000" w:themeColor="text1"/>
        </w:rPr>
        <w:t>Dr.</w:t>
      </w:r>
      <w:proofErr w:type="spellEnd"/>
      <w:r w:rsidRPr="0056390C">
        <w:rPr>
          <w:color w:val="000000" w:themeColor="text1"/>
        </w:rPr>
        <w:t xml:space="preserve"> </w:t>
      </w:r>
      <w:proofErr w:type="spellStart"/>
      <w:r w:rsidRPr="0056390C">
        <w:rPr>
          <w:color w:val="000000" w:themeColor="text1"/>
        </w:rPr>
        <w:t>Kryszkowski</w:t>
      </w:r>
      <w:proofErr w:type="spellEnd"/>
      <w:r w:rsidRPr="0056390C">
        <w:rPr>
          <w:color w:val="000000" w:themeColor="text1"/>
        </w:rPr>
        <w:t xml:space="preserve"> are conveniently summarised in his final report wherein he states</w:t>
      </w:r>
      <w:r w:rsidR="000225E9" w:rsidRPr="0056390C">
        <w:rPr>
          <w:color w:val="000000" w:themeColor="text1"/>
        </w:rPr>
        <w:t>:</w:t>
      </w:r>
    </w:p>
    <w:p w14:paraId="1CAA8080" w14:textId="77777777" w:rsidR="00812F8B" w:rsidRPr="0056390C" w:rsidRDefault="00812F8B" w:rsidP="00812F8B">
      <w:pPr>
        <w:pStyle w:val="ListParagraph"/>
        <w:spacing w:line="480" w:lineRule="auto"/>
        <w:ind w:left="1440"/>
        <w:rPr>
          <w:color w:val="000000" w:themeColor="text1"/>
        </w:rPr>
      </w:pPr>
      <w:r w:rsidRPr="0056390C">
        <w:rPr>
          <w:color w:val="000000" w:themeColor="text1"/>
        </w:rPr>
        <w:t>“</w:t>
      </w:r>
      <w:r w:rsidRPr="0056390C">
        <w:rPr>
          <w:b/>
          <w:bCs/>
          <w:color w:val="000000" w:themeColor="text1"/>
        </w:rPr>
        <w:t>Physical Examination</w:t>
      </w:r>
    </w:p>
    <w:p w14:paraId="54106FE9" w14:textId="77777777" w:rsidR="00812F8B" w:rsidRPr="0056390C" w:rsidRDefault="00812F8B" w:rsidP="00812F8B">
      <w:pPr>
        <w:pStyle w:val="ListParagraph"/>
        <w:spacing w:line="480" w:lineRule="auto"/>
        <w:ind w:left="1440"/>
        <w:rPr>
          <w:color w:val="000000" w:themeColor="text1"/>
        </w:rPr>
      </w:pPr>
      <w:r w:rsidRPr="0056390C">
        <w:rPr>
          <w:color w:val="000000" w:themeColor="text1"/>
        </w:rPr>
        <w:lastRenderedPageBreak/>
        <w:t>Mental State:</w:t>
      </w:r>
    </w:p>
    <w:p w14:paraId="15A22D71" w14:textId="77777777" w:rsidR="00812F8B" w:rsidRPr="0056390C" w:rsidRDefault="00812F8B" w:rsidP="00812F8B">
      <w:pPr>
        <w:pStyle w:val="ListParagraph"/>
        <w:spacing w:line="480" w:lineRule="auto"/>
        <w:ind w:left="1440"/>
        <w:rPr>
          <w:color w:val="000000" w:themeColor="text1"/>
          <w:w w:val="105"/>
        </w:rPr>
      </w:pPr>
      <w:r w:rsidRPr="0056390C">
        <w:rPr>
          <w:color w:val="000000" w:themeColor="text1"/>
        </w:rPr>
        <w:t>The patient is well-oriented</w:t>
      </w:r>
      <w:r w:rsidRPr="0056390C">
        <w:rPr>
          <w:color w:val="000000" w:themeColor="text1"/>
          <w:spacing w:val="1"/>
        </w:rPr>
        <w:t xml:space="preserve"> </w:t>
      </w:r>
      <w:proofErr w:type="spellStart"/>
      <w:r w:rsidRPr="0056390C">
        <w:rPr>
          <w:color w:val="000000" w:themeColor="text1"/>
        </w:rPr>
        <w:t>allo</w:t>
      </w:r>
      <w:proofErr w:type="spellEnd"/>
      <w:r w:rsidRPr="0056390C">
        <w:rPr>
          <w:color w:val="000000" w:themeColor="text1"/>
        </w:rPr>
        <w:t xml:space="preserve">- and </w:t>
      </w:r>
      <w:proofErr w:type="spellStart"/>
      <w:r w:rsidRPr="0056390C">
        <w:rPr>
          <w:color w:val="000000" w:themeColor="text1"/>
        </w:rPr>
        <w:t>aut</w:t>
      </w:r>
      <w:r w:rsidR="0056390C">
        <w:rPr>
          <w:color w:val="000000" w:themeColor="text1"/>
        </w:rPr>
        <w:t>o</w:t>
      </w:r>
      <w:r w:rsidRPr="0056390C">
        <w:rPr>
          <w:color w:val="000000" w:themeColor="text1"/>
        </w:rPr>
        <w:t>psychologically</w:t>
      </w:r>
      <w:proofErr w:type="spellEnd"/>
      <w:r w:rsidRPr="0056390C">
        <w:rPr>
          <w:color w:val="000000" w:themeColor="text1"/>
        </w:rPr>
        <w:t>. Clear awareness. Situationally</w:t>
      </w:r>
      <w:r w:rsidRPr="0056390C">
        <w:rPr>
          <w:color w:val="000000" w:themeColor="text1"/>
          <w:spacing w:val="52"/>
        </w:rPr>
        <w:t xml:space="preserve"> </w:t>
      </w:r>
      <w:r w:rsidRPr="0056390C">
        <w:rPr>
          <w:color w:val="000000" w:themeColor="text1"/>
        </w:rPr>
        <w:t>depressed</w:t>
      </w:r>
      <w:r w:rsidRPr="0056390C">
        <w:rPr>
          <w:color w:val="000000" w:themeColor="text1"/>
          <w:spacing w:val="1"/>
        </w:rPr>
        <w:t xml:space="preserve"> </w:t>
      </w:r>
      <w:r w:rsidRPr="0056390C">
        <w:rPr>
          <w:color w:val="000000" w:themeColor="text1"/>
        </w:rPr>
        <w:t>mood, as is the psychomotor</w:t>
      </w:r>
      <w:r w:rsidRPr="0056390C">
        <w:rPr>
          <w:color w:val="000000" w:themeColor="text1"/>
          <w:spacing w:val="1"/>
        </w:rPr>
        <w:t xml:space="preserve"> </w:t>
      </w:r>
      <w:r w:rsidRPr="0056390C">
        <w:rPr>
          <w:color w:val="000000" w:themeColor="text1"/>
        </w:rPr>
        <w:t>drive.</w:t>
      </w:r>
      <w:r w:rsidRPr="0056390C">
        <w:rPr>
          <w:color w:val="000000" w:themeColor="text1"/>
          <w:spacing w:val="1"/>
        </w:rPr>
        <w:t xml:space="preserve"> </w:t>
      </w:r>
      <w:r w:rsidRPr="0056390C">
        <w:rPr>
          <w:color w:val="000000" w:themeColor="text1"/>
        </w:rPr>
        <w:t>Without</w:t>
      </w:r>
      <w:r w:rsidRPr="0056390C">
        <w:rPr>
          <w:color w:val="000000" w:themeColor="text1"/>
          <w:spacing w:val="52"/>
        </w:rPr>
        <w:t xml:space="preserve"> </w:t>
      </w:r>
      <w:r w:rsidRPr="0056390C">
        <w:rPr>
          <w:color w:val="000000" w:themeColor="text1"/>
        </w:rPr>
        <w:t>psychosis</w:t>
      </w:r>
      <w:r w:rsidRPr="0056390C">
        <w:rPr>
          <w:color w:val="000000" w:themeColor="text1"/>
          <w:spacing w:val="53"/>
        </w:rPr>
        <w:t xml:space="preserve"> </w:t>
      </w:r>
      <w:r w:rsidRPr="0056390C">
        <w:rPr>
          <w:color w:val="000000" w:themeColor="text1"/>
        </w:rPr>
        <w:t>symptoms</w:t>
      </w:r>
      <w:r w:rsidRPr="0056390C">
        <w:rPr>
          <w:color w:val="000000" w:themeColor="text1"/>
          <w:spacing w:val="53"/>
        </w:rPr>
        <w:t xml:space="preserve"> </w:t>
      </w:r>
      <w:r w:rsidRPr="0056390C">
        <w:rPr>
          <w:color w:val="000000" w:themeColor="text1"/>
        </w:rPr>
        <w:t>(negates</w:t>
      </w:r>
      <w:r w:rsidRPr="0056390C">
        <w:rPr>
          <w:color w:val="000000" w:themeColor="text1"/>
          <w:spacing w:val="53"/>
        </w:rPr>
        <w:t xml:space="preserve"> </w:t>
      </w:r>
      <w:r w:rsidRPr="0056390C">
        <w:rPr>
          <w:color w:val="000000" w:themeColor="text1"/>
        </w:rPr>
        <w:t>all productive</w:t>
      </w:r>
      <w:r w:rsidRPr="0056390C">
        <w:rPr>
          <w:color w:val="000000" w:themeColor="text1"/>
          <w:spacing w:val="52"/>
        </w:rPr>
        <w:t xml:space="preserve"> </w:t>
      </w:r>
      <w:r w:rsidRPr="0056390C">
        <w:rPr>
          <w:color w:val="000000" w:themeColor="text1"/>
        </w:rPr>
        <w:t>symptoms,</w:t>
      </w:r>
      <w:r w:rsidRPr="0056390C">
        <w:rPr>
          <w:color w:val="000000" w:themeColor="text1"/>
          <w:spacing w:val="1"/>
        </w:rPr>
        <w:t xml:space="preserve"> </w:t>
      </w:r>
      <w:r w:rsidRPr="0056390C">
        <w:rPr>
          <w:color w:val="000000" w:themeColor="text1"/>
        </w:rPr>
        <w:t>does not</w:t>
      </w:r>
      <w:r w:rsidRPr="0056390C">
        <w:rPr>
          <w:color w:val="000000" w:themeColor="text1"/>
          <w:spacing w:val="1"/>
        </w:rPr>
        <w:t xml:space="preserve"> </w:t>
      </w:r>
      <w:r w:rsidRPr="0056390C">
        <w:rPr>
          <w:color w:val="000000" w:themeColor="text1"/>
        </w:rPr>
        <w:t>appear hallucinating, does not</w:t>
      </w:r>
      <w:r w:rsidRPr="0056390C">
        <w:rPr>
          <w:color w:val="000000" w:themeColor="text1"/>
          <w:spacing w:val="52"/>
        </w:rPr>
        <w:t xml:space="preserve"> </w:t>
      </w:r>
      <w:r w:rsidRPr="0056390C">
        <w:rPr>
          <w:color w:val="000000" w:themeColor="text1"/>
        </w:rPr>
        <w:t>express delusions). It</w:t>
      </w:r>
      <w:r w:rsidRPr="0056390C">
        <w:rPr>
          <w:color w:val="000000" w:themeColor="text1"/>
          <w:spacing w:val="53"/>
        </w:rPr>
        <w:t xml:space="preserve"> </w:t>
      </w:r>
      <w:r w:rsidRPr="0056390C">
        <w:rPr>
          <w:color w:val="000000" w:themeColor="text1"/>
        </w:rPr>
        <w:t>contradicts suicidal thoughts and</w:t>
      </w:r>
      <w:r w:rsidRPr="0056390C">
        <w:rPr>
          <w:color w:val="000000" w:themeColor="text1"/>
          <w:spacing w:val="1"/>
        </w:rPr>
        <w:t xml:space="preserve"> </w:t>
      </w:r>
      <w:r w:rsidRPr="0056390C">
        <w:rPr>
          <w:color w:val="000000" w:themeColor="text1"/>
        </w:rPr>
        <w:t>tendencies.</w:t>
      </w:r>
      <w:r w:rsidRPr="0056390C">
        <w:rPr>
          <w:color w:val="000000" w:themeColor="text1"/>
          <w:spacing w:val="1"/>
        </w:rPr>
        <w:t xml:space="preserve"> </w:t>
      </w:r>
      <w:r w:rsidRPr="0056390C">
        <w:rPr>
          <w:color w:val="000000" w:themeColor="text1"/>
        </w:rPr>
        <w:t>Sleep</w:t>
      </w:r>
      <w:r w:rsidRPr="0056390C">
        <w:rPr>
          <w:color w:val="000000" w:themeColor="text1"/>
          <w:spacing w:val="52"/>
        </w:rPr>
        <w:t xml:space="preserve"> </w:t>
      </w:r>
      <w:r w:rsidRPr="0056390C">
        <w:rPr>
          <w:color w:val="000000" w:themeColor="text1"/>
        </w:rPr>
        <w:t>is not</w:t>
      </w:r>
      <w:r w:rsidRPr="0056390C">
        <w:rPr>
          <w:color w:val="000000" w:themeColor="text1"/>
          <w:spacing w:val="53"/>
        </w:rPr>
        <w:t xml:space="preserve"> </w:t>
      </w:r>
      <w:r w:rsidRPr="0056390C">
        <w:rPr>
          <w:color w:val="000000" w:themeColor="text1"/>
        </w:rPr>
        <w:t>very good. Fluctuating</w:t>
      </w:r>
      <w:r w:rsidRPr="0056390C">
        <w:rPr>
          <w:color w:val="000000" w:themeColor="text1"/>
          <w:spacing w:val="53"/>
        </w:rPr>
        <w:t xml:space="preserve"> </w:t>
      </w:r>
      <w:r w:rsidRPr="0056390C">
        <w:rPr>
          <w:color w:val="000000" w:themeColor="text1"/>
        </w:rPr>
        <w:t>appetite. Fear and anxiety</w:t>
      </w:r>
      <w:r w:rsidRPr="0056390C">
        <w:rPr>
          <w:color w:val="000000" w:themeColor="text1"/>
          <w:spacing w:val="53"/>
        </w:rPr>
        <w:t xml:space="preserve"> </w:t>
      </w:r>
      <w:r w:rsidRPr="0056390C">
        <w:rPr>
          <w:color w:val="000000" w:themeColor="text1"/>
        </w:rPr>
        <w:t>confirm</w:t>
      </w:r>
      <w:r w:rsidRPr="0056390C">
        <w:rPr>
          <w:color w:val="000000" w:themeColor="text1"/>
          <w:spacing w:val="52"/>
        </w:rPr>
        <w:t xml:space="preserve"> </w:t>
      </w:r>
      <w:r w:rsidRPr="0056390C">
        <w:rPr>
          <w:color w:val="000000" w:themeColor="text1"/>
        </w:rPr>
        <w:t>situational. Focused</w:t>
      </w:r>
      <w:r w:rsidRPr="0056390C">
        <w:rPr>
          <w:color w:val="000000" w:themeColor="text1"/>
          <w:spacing w:val="1"/>
        </w:rPr>
        <w:t xml:space="preserve"> </w:t>
      </w:r>
      <w:r w:rsidRPr="0056390C">
        <w:rPr>
          <w:color w:val="000000" w:themeColor="text1"/>
        </w:rPr>
        <w:t>on himself</w:t>
      </w:r>
      <w:r w:rsidRPr="0056390C">
        <w:rPr>
          <w:color w:val="000000" w:themeColor="text1"/>
          <w:spacing w:val="1"/>
        </w:rPr>
        <w:t xml:space="preserve"> </w:t>
      </w:r>
      <w:r w:rsidRPr="0056390C">
        <w:rPr>
          <w:color w:val="000000" w:themeColor="text1"/>
        </w:rPr>
        <w:t>and his ailments -</w:t>
      </w:r>
      <w:r w:rsidRPr="0056390C">
        <w:rPr>
          <w:color w:val="000000" w:themeColor="text1"/>
          <w:spacing w:val="1"/>
        </w:rPr>
        <w:t xml:space="preserve"> </w:t>
      </w:r>
      <w:r w:rsidRPr="0056390C">
        <w:rPr>
          <w:color w:val="000000" w:themeColor="text1"/>
        </w:rPr>
        <w:t>features of a personality</w:t>
      </w:r>
      <w:r w:rsidRPr="0056390C">
        <w:rPr>
          <w:color w:val="000000" w:themeColor="text1"/>
          <w:spacing w:val="1"/>
        </w:rPr>
        <w:t xml:space="preserve"> </w:t>
      </w:r>
      <w:r w:rsidRPr="0056390C">
        <w:rPr>
          <w:color w:val="000000" w:themeColor="text1"/>
        </w:rPr>
        <w:t>disorder. Tendency</w:t>
      </w:r>
      <w:r w:rsidRPr="0056390C">
        <w:rPr>
          <w:color w:val="000000" w:themeColor="text1"/>
          <w:spacing w:val="1"/>
        </w:rPr>
        <w:t xml:space="preserve"> </w:t>
      </w:r>
      <w:r w:rsidRPr="0056390C">
        <w:rPr>
          <w:color w:val="000000" w:themeColor="text1"/>
        </w:rPr>
        <w:t>to</w:t>
      </w:r>
      <w:r w:rsidRPr="0056390C">
        <w:rPr>
          <w:color w:val="000000" w:themeColor="text1"/>
          <w:spacing w:val="1"/>
        </w:rPr>
        <w:t xml:space="preserve"> </w:t>
      </w:r>
      <w:r w:rsidRPr="0056390C">
        <w:rPr>
          <w:color w:val="000000" w:themeColor="text1"/>
        </w:rPr>
        <w:t>put</w:t>
      </w:r>
      <w:r w:rsidR="00285FD0">
        <w:rPr>
          <w:color w:val="000000" w:themeColor="text1"/>
        </w:rPr>
        <w:t xml:space="preserve"> </w:t>
      </w:r>
      <w:r w:rsidRPr="0056390C">
        <w:rPr>
          <w:color w:val="000000" w:themeColor="text1"/>
        </w:rPr>
        <w:t>oneself in</w:t>
      </w:r>
      <w:r w:rsidR="00285FD0">
        <w:rPr>
          <w:color w:val="000000" w:themeColor="text1"/>
          <w:spacing w:val="53"/>
        </w:rPr>
        <w:t xml:space="preserve"> </w:t>
      </w:r>
      <w:r w:rsidRPr="0056390C">
        <w:rPr>
          <w:color w:val="000000" w:themeColor="text1"/>
        </w:rPr>
        <w:t>the role of a</w:t>
      </w:r>
      <w:r w:rsidRPr="0056390C">
        <w:rPr>
          <w:color w:val="000000" w:themeColor="text1"/>
          <w:spacing w:val="-50"/>
        </w:rPr>
        <w:t xml:space="preserve"> </w:t>
      </w:r>
      <w:r w:rsidR="00285FD0">
        <w:rPr>
          <w:color w:val="000000" w:themeColor="text1"/>
          <w:spacing w:val="-50"/>
        </w:rPr>
        <w:t xml:space="preserve">    </w:t>
      </w:r>
      <w:r w:rsidRPr="0056390C">
        <w:rPr>
          <w:color w:val="000000" w:themeColor="text1"/>
        </w:rPr>
        <w:t>sick person, to</w:t>
      </w:r>
      <w:r w:rsidRPr="0056390C">
        <w:rPr>
          <w:color w:val="000000" w:themeColor="text1"/>
          <w:spacing w:val="1"/>
        </w:rPr>
        <w:t xml:space="preserve"> </w:t>
      </w:r>
      <w:r w:rsidRPr="0056390C">
        <w:rPr>
          <w:color w:val="000000" w:themeColor="text1"/>
        </w:rPr>
        <w:t>exaggerate</w:t>
      </w:r>
      <w:r w:rsidRPr="0056390C">
        <w:rPr>
          <w:color w:val="000000" w:themeColor="text1"/>
          <w:spacing w:val="1"/>
        </w:rPr>
        <w:t xml:space="preserve"> </w:t>
      </w:r>
      <w:r w:rsidRPr="0056390C">
        <w:rPr>
          <w:color w:val="000000" w:themeColor="text1"/>
        </w:rPr>
        <w:t>symptoms.</w:t>
      </w:r>
      <w:r w:rsidRPr="0056390C">
        <w:rPr>
          <w:color w:val="000000" w:themeColor="text1"/>
          <w:spacing w:val="1"/>
        </w:rPr>
        <w:t xml:space="preserve"> </w:t>
      </w:r>
      <w:r w:rsidRPr="0056390C">
        <w:rPr>
          <w:color w:val="000000" w:themeColor="text1"/>
        </w:rPr>
        <w:t>The main influence</w:t>
      </w:r>
      <w:r w:rsidRPr="0056390C">
        <w:rPr>
          <w:color w:val="000000" w:themeColor="text1"/>
          <w:spacing w:val="1"/>
        </w:rPr>
        <w:t xml:space="preserve"> </w:t>
      </w:r>
      <w:r w:rsidRPr="0056390C">
        <w:rPr>
          <w:color w:val="000000" w:themeColor="text1"/>
        </w:rPr>
        <w:t>of external</w:t>
      </w:r>
      <w:r w:rsidRPr="0056390C">
        <w:rPr>
          <w:color w:val="000000" w:themeColor="text1"/>
          <w:spacing w:val="1"/>
        </w:rPr>
        <w:t xml:space="preserve"> </w:t>
      </w:r>
      <w:r w:rsidRPr="0056390C">
        <w:rPr>
          <w:color w:val="000000" w:themeColor="text1"/>
        </w:rPr>
        <w:t>factors on the mental state of the</w:t>
      </w:r>
      <w:r w:rsidRPr="0056390C">
        <w:rPr>
          <w:color w:val="000000" w:themeColor="text1"/>
          <w:spacing w:val="1"/>
        </w:rPr>
        <w:t xml:space="preserve"> </w:t>
      </w:r>
      <w:r w:rsidRPr="0056390C">
        <w:rPr>
          <w:color w:val="000000" w:themeColor="text1"/>
          <w:w w:val="105"/>
        </w:rPr>
        <w:t>patient. Reports problems</w:t>
      </w:r>
      <w:r w:rsidRPr="0056390C">
        <w:rPr>
          <w:color w:val="000000" w:themeColor="text1"/>
          <w:spacing w:val="1"/>
          <w:w w:val="105"/>
        </w:rPr>
        <w:t xml:space="preserve"> </w:t>
      </w:r>
      <w:r w:rsidRPr="0056390C">
        <w:rPr>
          <w:color w:val="000000" w:themeColor="text1"/>
          <w:w w:val="105"/>
        </w:rPr>
        <w:t>with memory» for further observation</w:t>
      </w:r>
      <w:r w:rsidRPr="0056390C">
        <w:rPr>
          <w:color w:val="000000" w:themeColor="text1"/>
          <w:spacing w:val="1"/>
          <w:w w:val="105"/>
        </w:rPr>
        <w:t xml:space="preserve"> </w:t>
      </w:r>
      <w:r w:rsidRPr="0056390C">
        <w:rPr>
          <w:color w:val="000000" w:themeColor="text1"/>
          <w:w w:val="105"/>
        </w:rPr>
        <w:t>It</w:t>
      </w:r>
      <w:r w:rsidRPr="0056390C">
        <w:rPr>
          <w:color w:val="000000" w:themeColor="text1"/>
          <w:spacing w:val="1"/>
          <w:w w:val="105"/>
        </w:rPr>
        <w:t xml:space="preserve"> </w:t>
      </w:r>
      <w:r w:rsidRPr="0056390C">
        <w:rPr>
          <w:color w:val="000000" w:themeColor="text1"/>
          <w:w w:val="105"/>
        </w:rPr>
        <w:t>functions properly in everyday life.</w:t>
      </w:r>
      <w:r w:rsidRPr="0056390C">
        <w:rPr>
          <w:color w:val="000000" w:themeColor="text1"/>
          <w:spacing w:val="-53"/>
          <w:w w:val="105"/>
        </w:rPr>
        <w:t xml:space="preserve"> </w:t>
      </w:r>
      <w:r w:rsidRPr="0056390C">
        <w:rPr>
          <w:color w:val="000000" w:themeColor="text1"/>
        </w:rPr>
        <w:t>Stable</w:t>
      </w:r>
      <w:r w:rsidRPr="0056390C">
        <w:rPr>
          <w:color w:val="000000" w:themeColor="text1"/>
          <w:spacing w:val="1"/>
        </w:rPr>
        <w:t xml:space="preserve"> </w:t>
      </w:r>
      <w:r w:rsidRPr="0056390C">
        <w:rPr>
          <w:color w:val="000000" w:themeColor="text1"/>
        </w:rPr>
        <w:t>mental state. He has not undertaken</w:t>
      </w:r>
      <w:r w:rsidRPr="0056390C">
        <w:rPr>
          <w:color w:val="000000" w:themeColor="text1"/>
          <w:spacing w:val="1"/>
        </w:rPr>
        <w:t xml:space="preserve"> </w:t>
      </w:r>
      <w:r w:rsidRPr="0056390C">
        <w:rPr>
          <w:color w:val="000000" w:themeColor="text1"/>
        </w:rPr>
        <w:t>and is not</w:t>
      </w:r>
      <w:r w:rsidRPr="0056390C">
        <w:rPr>
          <w:color w:val="000000" w:themeColor="text1"/>
          <w:spacing w:val="1"/>
        </w:rPr>
        <w:t xml:space="preserve"> </w:t>
      </w:r>
      <w:r w:rsidRPr="0056390C">
        <w:rPr>
          <w:color w:val="000000" w:themeColor="text1"/>
        </w:rPr>
        <w:t>planning to</w:t>
      </w:r>
      <w:r w:rsidRPr="0056390C">
        <w:rPr>
          <w:color w:val="000000" w:themeColor="text1"/>
          <w:spacing w:val="1"/>
        </w:rPr>
        <w:t xml:space="preserve"> </w:t>
      </w:r>
      <w:r w:rsidRPr="0056390C">
        <w:rPr>
          <w:color w:val="000000" w:themeColor="text1"/>
        </w:rPr>
        <w:t xml:space="preserve">take any action </w:t>
      </w:r>
      <w:proofErr w:type="gramStart"/>
      <w:r w:rsidRPr="0056390C">
        <w:rPr>
          <w:color w:val="000000" w:themeColor="text1"/>
        </w:rPr>
        <w:t>on the basis of</w:t>
      </w:r>
      <w:proofErr w:type="gramEnd"/>
      <w:r w:rsidRPr="0056390C">
        <w:rPr>
          <w:color w:val="000000" w:themeColor="text1"/>
        </w:rPr>
        <w:t xml:space="preserve"> the</w:t>
      </w:r>
      <w:r w:rsidRPr="0056390C">
        <w:rPr>
          <w:color w:val="000000" w:themeColor="text1"/>
          <w:spacing w:val="1"/>
        </w:rPr>
        <w:t xml:space="preserve"> </w:t>
      </w:r>
      <w:r w:rsidRPr="0056390C">
        <w:rPr>
          <w:color w:val="000000" w:themeColor="text1"/>
          <w:w w:val="105"/>
        </w:rPr>
        <w:t>presented</w:t>
      </w:r>
      <w:r w:rsidRPr="0056390C">
        <w:rPr>
          <w:color w:val="000000" w:themeColor="text1"/>
          <w:spacing w:val="3"/>
          <w:w w:val="105"/>
        </w:rPr>
        <w:t xml:space="preserve"> </w:t>
      </w:r>
      <w:r w:rsidRPr="0056390C">
        <w:rPr>
          <w:color w:val="000000" w:themeColor="text1"/>
          <w:w w:val="105"/>
        </w:rPr>
        <w:t>symptoms. He</w:t>
      </w:r>
      <w:r w:rsidRPr="0056390C">
        <w:rPr>
          <w:color w:val="000000" w:themeColor="text1"/>
          <w:spacing w:val="-13"/>
          <w:w w:val="105"/>
        </w:rPr>
        <w:t xml:space="preserve"> </w:t>
      </w:r>
      <w:r w:rsidRPr="0056390C">
        <w:rPr>
          <w:color w:val="000000" w:themeColor="text1"/>
          <w:w w:val="105"/>
        </w:rPr>
        <w:t>ensured</w:t>
      </w:r>
      <w:r w:rsidRPr="0056390C">
        <w:rPr>
          <w:color w:val="000000" w:themeColor="text1"/>
          <w:spacing w:val="-9"/>
          <w:w w:val="105"/>
        </w:rPr>
        <w:t xml:space="preserve"> </w:t>
      </w:r>
      <w:r w:rsidRPr="0056390C">
        <w:rPr>
          <w:color w:val="000000" w:themeColor="text1"/>
          <w:w w:val="105"/>
        </w:rPr>
        <w:t>that</w:t>
      </w:r>
      <w:r w:rsidRPr="0056390C">
        <w:rPr>
          <w:color w:val="000000" w:themeColor="text1"/>
          <w:spacing w:val="-10"/>
          <w:w w:val="105"/>
        </w:rPr>
        <w:t xml:space="preserve"> </w:t>
      </w:r>
      <w:r w:rsidRPr="0056390C">
        <w:rPr>
          <w:color w:val="000000" w:themeColor="text1"/>
          <w:w w:val="105"/>
        </w:rPr>
        <w:t>he</w:t>
      </w:r>
      <w:r w:rsidRPr="0056390C">
        <w:rPr>
          <w:color w:val="000000" w:themeColor="text1"/>
          <w:spacing w:val="-10"/>
          <w:w w:val="105"/>
        </w:rPr>
        <w:t xml:space="preserve"> </w:t>
      </w:r>
      <w:r w:rsidRPr="0056390C">
        <w:rPr>
          <w:color w:val="000000" w:themeColor="text1"/>
          <w:w w:val="105"/>
        </w:rPr>
        <w:t>would</w:t>
      </w:r>
      <w:r w:rsidRPr="0056390C">
        <w:rPr>
          <w:color w:val="000000" w:themeColor="text1"/>
          <w:spacing w:val="-9"/>
          <w:w w:val="105"/>
        </w:rPr>
        <w:t xml:space="preserve"> </w:t>
      </w:r>
      <w:r w:rsidRPr="0056390C">
        <w:rPr>
          <w:color w:val="000000" w:themeColor="text1"/>
          <w:w w:val="105"/>
        </w:rPr>
        <w:t>cooperate in</w:t>
      </w:r>
      <w:r w:rsidRPr="0056390C">
        <w:rPr>
          <w:color w:val="000000" w:themeColor="text1"/>
          <w:spacing w:val="-1"/>
          <w:w w:val="105"/>
        </w:rPr>
        <w:t xml:space="preserve"> </w:t>
      </w:r>
      <w:r w:rsidRPr="0056390C">
        <w:rPr>
          <w:color w:val="000000" w:themeColor="text1"/>
          <w:w w:val="105"/>
        </w:rPr>
        <w:t>therapy</w:t>
      </w:r>
      <w:r w:rsidRPr="0056390C">
        <w:rPr>
          <w:color w:val="000000" w:themeColor="text1"/>
          <w:spacing w:val="-6"/>
          <w:w w:val="105"/>
        </w:rPr>
        <w:t xml:space="preserve"> </w:t>
      </w:r>
      <w:r w:rsidRPr="0056390C">
        <w:rPr>
          <w:color w:val="000000" w:themeColor="text1"/>
          <w:w w:val="105"/>
        </w:rPr>
        <w:t>and</w:t>
      </w:r>
      <w:r w:rsidRPr="0056390C">
        <w:rPr>
          <w:color w:val="000000" w:themeColor="text1"/>
          <w:spacing w:val="-7"/>
          <w:w w:val="105"/>
        </w:rPr>
        <w:t xml:space="preserve"> </w:t>
      </w:r>
      <w:r w:rsidRPr="0056390C">
        <w:rPr>
          <w:color w:val="000000" w:themeColor="text1"/>
          <w:w w:val="105"/>
        </w:rPr>
        <w:t>report</w:t>
      </w:r>
      <w:r w:rsidRPr="0056390C">
        <w:rPr>
          <w:color w:val="000000" w:themeColor="text1"/>
          <w:spacing w:val="-6"/>
          <w:w w:val="105"/>
        </w:rPr>
        <w:t xml:space="preserve"> </w:t>
      </w:r>
      <w:r w:rsidRPr="0056390C">
        <w:rPr>
          <w:color w:val="000000" w:themeColor="text1"/>
          <w:w w:val="105"/>
        </w:rPr>
        <w:t>any</w:t>
      </w:r>
      <w:r w:rsidRPr="0056390C">
        <w:rPr>
          <w:color w:val="000000" w:themeColor="text1"/>
          <w:spacing w:val="-11"/>
          <w:w w:val="105"/>
        </w:rPr>
        <w:t xml:space="preserve"> </w:t>
      </w:r>
      <w:r w:rsidRPr="0056390C">
        <w:rPr>
          <w:color w:val="000000" w:themeColor="text1"/>
          <w:w w:val="105"/>
        </w:rPr>
        <w:t>disturbing</w:t>
      </w:r>
      <w:r w:rsidRPr="0056390C">
        <w:rPr>
          <w:color w:val="000000" w:themeColor="text1"/>
          <w:spacing w:val="-10"/>
          <w:w w:val="105"/>
        </w:rPr>
        <w:t xml:space="preserve"> </w:t>
      </w:r>
      <w:r w:rsidRPr="0056390C">
        <w:rPr>
          <w:color w:val="000000" w:themeColor="text1"/>
          <w:w w:val="105"/>
        </w:rPr>
        <w:t>psychological</w:t>
      </w:r>
      <w:r w:rsidRPr="0056390C">
        <w:rPr>
          <w:color w:val="000000" w:themeColor="text1"/>
          <w:spacing w:val="-2"/>
          <w:w w:val="105"/>
        </w:rPr>
        <w:t xml:space="preserve"> </w:t>
      </w:r>
      <w:r w:rsidRPr="0056390C">
        <w:rPr>
          <w:color w:val="000000" w:themeColor="text1"/>
          <w:w w:val="105"/>
        </w:rPr>
        <w:t>symptoms</w:t>
      </w:r>
      <w:proofErr w:type="gramStart"/>
      <w:r w:rsidRPr="0056390C">
        <w:rPr>
          <w:color w:val="000000" w:themeColor="text1"/>
          <w:w w:val="105"/>
        </w:rPr>
        <w:t>"</w:t>
      </w:r>
      <w:r w:rsidR="0041010B">
        <w:rPr>
          <w:color w:val="000000" w:themeColor="text1"/>
          <w:w w:val="105"/>
        </w:rPr>
        <w:t xml:space="preserve"> </w:t>
      </w:r>
      <w:r w:rsidRPr="0056390C">
        <w:rPr>
          <w:color w:val="000000" w:themeColor="text1"/>
          <w:spacing w:val="-53"/>
          <w:w w:val="105"/>
        </w:rPr>
        <w:t xml:space="preserve"> </w:t>
      </w:r>
      <w:r w:rsidR="0041010B">
        <w:rPr>
          <w:color w:val="000000" w:themeColor="text1"/>
          <w:w w:val="105"/>
        </w:rPr>
        <w:t>t</w:t>
      </w:r>
      <w:r w:rsidRPr="0056390C">
        <w:rPr>
          <w:color w:val="000000" w:themeColor="text1"/>
          <w:w w:val="105"/>
        </w:rPr>
        <w:t>herapeutic</w:t>
      </w:r>
      <w:proofErr w:type="gramEnd"/>
      <w:r w:rsidRPr="0056390C">
        <w:rPr>
          <w:color w:val="000000" w:themeColor="text1"/>
          <w:spacing w:val="8"/>
          <w:w w:val="105"/>
        </w:rPr>
        <w:t xml:space="preserve"> </w:t>
      </w:r>
      <w:r w:rsidRPr="0056390C">
        <w:rPr>
          <w:color w:val="000000" w:themeColor="text1"/>
          <w:w w:val="105"/>
        </w:rPr>
        <w:t>and</w:t>
      </w:r>
      <w:r w:rsidRPr="0056390C">
        <w:rPr>
          <w:color w:val="000000" w:themeColor="text1"/>
          <w:spacing w:val="-6"/>
          <w:w w:val="105"/>
        </w:rPr>
        <w:t xml:space="preserve"> </w:t>
      </w:r>
      <w:r w:rsidRPr="0056390C">
        <w:rPr>
          <w:color w:val="000000" w:themeColor="text1"/>
          <w:w w:val="105"/>
        </w:rPr>
        <w:t>informative</w:t>
      </w:r>
      <w:r w:rsidRPr="0056390C">
        <w:rPr>
          <w:color w:val="000000" w:themeColor="text1"/>
          <w:spacing w:val="10"/>
          <w:w w:val="105"/>
        </w:rPr>
        <w:t xml:space="preserve"> </w:t>
      </w:r>
      <w:r w:rsidRPr="0056390C">
        <w:rPr>
          <w:color w:val="000000" w:themeColor="text1"/>
          <w:w w:val="105"/>
        </w:rPr>
        <w:t xml:space="preserve">conversation. </w:t>
      </w:r>
      <w:r w:rsidRPr="0056390C">
        <w:rPr>
          <w:color w:val="000000" w:themeColor="text1"/>
        </w:rPr>
        <w:t>He claims to</w:t>
      </w:r>
      <w:r w:rsidRPr="0056390C">
        <w:rPr>
          <w:color w:val="000000" w:themeColor="text1"/>
          <w:spacing w:val="1"/>
        </w:rPr>
        <w:t xml:space="preserve"> </w:t>
      </w:r>
      <w:r w:rsidRPr="0056390C">
        <w:rPr>
          <w:color w:val="000000" w:themeColor="text1"/>
        </w:rPr>
        <w:t xml:space="preserve">take the </w:t>
      </w:r>
      <w:proofErr w:type="gramStart"/>
      <w:r w:rsidRPr="0056390C">
        <w:rPr>
          <w:color w:val="000000" w:themeColor="text1"/>
        </w:rPr>
        <w:t xml:space="preserve">drugs </w:t>
      </w:r>
      <w:r w:rsidR="00BB3ECD">
        <w:rPr>
          <w:color w:val="000000" w:themeColor="text1"/>
        </w:rPr>
        <w:t xml:space="preserve"> </w:t>
      </w:r>
      <w:r w:rsidRPr="0056390C">
        <w:rPr>
          <w:color w:val="000000" w:themeColor="text1"/>
        </w:rPr>
        <w:t>as</w:t>
      </w:r>
      <w:proofErr w:type="gramEnd"/>
      <w:r w:rsidRPr="0056390C">
        <w:rPr>
          <w:color w:val="000000" w:themeColor="text1"/>
        </w:rPr>
        <w:t xml:space="preserve"> prescribed</w:t>
      </w:r>
      <w:r w:rsidRPr="0056390C">
        <w:rPr>
          <w:color w:val="000000" w:themeColor="text1"/>
          <w:spacing w:val="-51"/>
        </w:rPr>
        <w:t xml:space="preserve"> </w:t>
      </w:r>
      <w:r w:rsidR="0072775A">
        <w:rPr>
          <w:color w:val="000000" w:themeColor="text1"/>
          <w:spacing w:val="-51"/>
        </w:rPr>
        <w:t xml:space="preserve">.  </w:t>
      </w:r>
      <w:r w:rsidRPr="0056390C">
        <w:rPr>
          <w:color w:val="000000" w:themeColor="text1"/>
        </w:rPr>
        <w:t>No side</w:t>
      </w:r>
      <w:r w:rsidRPr="0056390C">
        <w:rPr>
          <w:color w:val="000000" w:themeColor="text1"/>
          <w:spacing w:val="5"/>
        </w:rPr>
        <w:t xml:space="preserve"> </w:t>
      </w:r>
      <w:r w:rsidRPr="0056390C">
        <w:rPr>
          <w:color w:val="000000" w:themeColor="text1"/>
        </w:rPr>
        <w:t>effects</w:t>
      </w:r>
      <w:r w:rsidRPr="0056390C">
        <w:rPr>
          <w:color w:val="000000" w:themeColor="text1"/>
          <w:spacing w:val="3"/>
        </w:rPr>
        <w:t xml:space="preserve"> </w:t>
      </w:r>
      <w:r w:rsidRPr="0056390C">
        <w:rPr>
          <w:color w:val="000000" w:themeColor="text1"/>
        </w:rPr>
        <w:t>after</w:t>
      </w:r>
      <w:r w:rsidRPr="0056390C">
        <w:rPr>
          <w:color w:val="000000" w:themeColor="text1"/>
          <w:spacing w:val="5"/>
        </w:rPr>
        <w:t xml:space="preserve"> </w:t>
      </w:r>
      <w:r w:rsidRPr="0056390C">
        <w:rPr>
          <w:color w:val="000000" w:themeColor="text1"/>
        </w:rPr>
        <w:t>medication.</w:t>
      </w:r>
      <w:r w:rsidRPr="0056390C">
        <w:rPr>
          <w:color w:val="000000" w:themeColor="text1"/>
          <w:spacing w:val="1"/>
        </w:rPr>
        <w:t xml:space="preserve"> </w:t>
      </w:r>
      <w:r w:rsidRPr="0056390C">
        <w:rPr>
          <w:color w:val="000000" w:themeColor="text1"/>
        </w:rPr>
        <w:t>Cardiovascular</w:t>
      </w:r>
      <w:r w:rsidRPr="0056390C">
        <w:rPr>
          <w:color w:val="000000" w:themeColor="text1"/>
          <w:spacing w:val="1"/>
        </w:rPr>
        <w:t xml:space="preserve"> </w:t>
      </w:r>
      <w:r w:rsidRPr="0056390C">
        <w:rPr>
          <w:color w:val="000000" w:themeColor="text1"/>
        </w:rPr>
        <w:t>and</w:t>
      </w:r>
      <w:r w:rsidRPr="0056390C">
        <w:rPr>
          <w:color w:val="000000" w:themeColor="text1"/>
          <w:spacing w:val="12"/>
        </w:rPr>
        <w:t xml:space="preserve"> </w:t>
      </w:r>
      <w:r w:rsidRPr="0056390C">
        <w:rPr>
          <w:color w:val="000000" w:themeColor="text1"/>
        </w:rPr>
        <w:t>respiratory</w:t>
      </w:r>
      <w:r w:rsidRPr="0056390C">
        <w:rPr>
          <w:color w:val="000000" w:themeColor="text1"/>
          <w:spacing w:val="29"/>
        </w:rPr>
        <w:t xml:space="preserve"> </w:t>
      </w:r>
      <w:r w:rsidRPr="0056390C">
        <w:rPr>
          <w:color w:val="000000" w:themeColor="text1"/>
        </w:rPr>
        <w:t>efficient. He agreed</w:t>
      </w:r>
      <w:r w:rsidRPr="0056390C">
        <w:rPr>
          <w:color w:val="000000" w:themeColor="text1"/>
          <w:spacing w:val="1"/>
        </w:rPr>
        <w:t xml:space="preserve"> </w:t>
      </w:r>
      <w:r w:rsidRPr="0056390C">
        <w:rPr>
          <w:color w:val="000000" w:themeColor="text1"/>
        </w:rPr>
        <w:t>to</w:t>
      </w:r>
      <w:r w:rsidRPr="0056390C">
        <w:rPr>
          <w:color w:val="000000" w:themeColor="text1"/>
          <w:spacing w:val="1"/>
        </w:rPr>
        <w:t xml:space="preserve"> </w:t>
      </w:r>
      <w:r w:rsidRPr="0056390C">
        <w:rPr>
          <w:color w:val="000000" w:themeColor="text1"/>
        </w:rPr>
        <w:t>the proposed therapeutic</w:t>
      </w:r>
      <w:r w:rsidRPr="0056390C">
        <w:rPr>
          <w:color w:val="000000" w:themeColor="text1"/>
          <w:spacing w:val="1"/>
        </w:rPr>
        <w:t xml:space="preserve"> </w:t>
      </w:r>
      <w:proofErr w:type="gramStart"/>
      <w:r w:rsidRPr="0056390C">
        <w:rPr>
          <w:color w:val="000000" w:themeColor="text1"/>
        </w:rPr>
        <w:t>procedure</w:t>
      </w:r>
      <w:r w:rsidRPr="0056390C">
        <w:rPr>
          <w:color w:val="000000" w:themeColor="text1"/>
          <w:spacing w:val="-50"/>
        </w:rPr>
        <w:t xml:space="preserve"> </w:t>
      </w:r>
      <w:r w:rsidR="0072775A">
        <w:rPr>
          <w:color w:val="000000" w:themeColor="text1"/>
          <w:spacing w:val="-50"/>
        </w:rPr>
        <w:t>.</w:t>
      </w:r>
      <w:proofErr w:type="gramEnd"/>
      <w:r w:rsidR="0072775A">
        <w:rPr>
          <w:color w:val="000000" w:themeColor="text1"/>
          <w:spacing w:val="-50"/>
        </w:rPr>
        <w:t xml:space="preserve">         </w:t>
      </w:r>
      <w:r w:rsidRPr="0056390C">
        <w:rPr>
          <w:color w:val="000000" w:themeColor="text1"/>
          <w:w w:val="105"/>
        </w:rPr>
        <w:t>Further</w:t>
      </w:r>
      <w:r w:rsidRPr="0056390C">
        <w:rPr>
          <w:color w:val="000000" w:themeColor="text1"/>
          <w:spacing w:val="-1"/>
          <w:w w:val="105"/>
        </w:rPr>
        <w:t xml:space="preserve"> </w:t>
      </w:r>
      <w:r w:rsidRPr="0056390C">
        <w:rPr>
          <w:color w:val="000000" w:themeColor="text1"/>
          <w:w w:val="105"/>
        </w:rPr>
        <w:t>care</w:t>
      </w:r>
      <w:r w:rsidRPr="0056390C">
        <w:rPr>
          <w:color w:val="000000" w:themeColor="text1"/>
          <w:spacing w:val="-9"/>
          <w:w w:val="105"/>
        </w:rPr>
        <w:t xml:space="preserve"> </w:t>
      </w:r>
      <w:r w:rsidRPr="0056390C">
        <w:rPr>
          <w:color w:val="000000" w:themeColor="text1"/>
          <w:w w:val="105"/>
        </w:rPr>
        <w:t>in</w:t>
      </w:r>
      <w:r w:rsidRPr="0056390C">
        <w:rPr>
          <w:color w:val="000000" w:themeColor="text1"/>
          <w:spacing w:val="3"/>
          <w:w w:val="105"/>
        </w:rPr>
        <w:t xml:space="preserve"> </w:t>
      </w:r>
      <w:r w:rsidRPr="0056390C">
        <w:rPr>
          <w:color w:val="000000" w:themeColor="text1"/>
          <w:w w:val="105"/>
        </w:rPr>
        <w:t xml:space="preserve">PZP </w:t>
      </w:r>
      <w:r w:rsidRPr="0056390C">
        <w:rPr>
          <w:color w:val="000000" w:themeColor="text1"/>
        </w:rPr>
        <w:t>Pharmacotherapy</w:t>
      </w:r>
      <w:r w:rsidRPr="0056390C">
        <w:rPr>
          <w:color w:val="000000" w:themeColor="text1"/>
          <w:spacing w:val="-3"/>
        </w:rPr>
        <w:t xml:space="preserve"> </w:t>
      </w:r>
      <w:r w:rsidRPr="0056390C">
        <w:rPr>
          <w:color w:val="000000" w:themeColor="text1"/>
        </w:rPr>
        <w:t>as</w:t>
      </w:r>
      <w:r w:rsidRPr="0056390C">
        <w:rPr>
          <w:color w:val="000000" w:themeColor="text1"/>
          <w:spacing w:val="6"/>
        </w:rPr>
        <w:t xml:space="preserve"> </w:t>
      </w:r>
      <w:r w:rsidRPr="0056390C">
        <w:rPr>
          <w:color w:val="000000" w:themeColor="text1"/>
        </w:rPr>
        <w:t>prescribed.</w:t>
      </w:r>
      <w:r w:rsidRPr="0056390C">
        <w:rPr>
          <w:color w:val="000000" w:themeColor="text1"/>
          <w:spacing w:val="1"/>
        </w:rPr>
        <w:t xml:space="preserve"> </w:t>
      </w:r>
      <w:r w:rsidRPr="0056390C">
        <w:rPr>
          <w:color w:val="000000" w:themeColor="text1"/>
        </w:rPr>
        <w:t>Psychological</w:t>
      </w:r>
      <w:r w:rsidRPr="0056390C">
        <w:rPr>
          <w:color w:val="000000" w:themeColor="text1"/>
          <w:spacing w:val="19"/>
        </w:rPr>
        <w:t xml:space="preserve"> </w:t>
      </w:r>
      <w:r w:rsidRPr="0056390C">
        <w:rPr>
          <w:color w:val="000000" w:themeColor="text1"/>
        </w:rPr>
        <w:t>care</w:t>
      </w:r>
      <w:r w:rsidRPr="0056390C">
        <w:rPr>
          <w:color w:val="000000" w:themeColor="text1"/>
          <w:spacing w:val="6"/>
        </w:rPr>
        <w:t xml:space="preserve"> </w:t>
      </w:r>
      <w:r w:rsidRPr="0056390C">
        <w:rPr>
          <w:color w:val="000000" w:themeColor="text1"/>
        </w:rPr>
        <w:t>recommended. The time from modification</w:t>
      </w:r>
      <w:r w:rsidRPr="0056390C">
        <w:rPr>
          <w:color w:val="000000" w:themeColor="text1"/>
          <w:spacing w:val="1"/>
        </w:rPr>
        <w:t xml:space="preserve"> </w:t>
      </w:r>
      <w:r w:rsidRPr="0056390C">
        <w:rPr>
          <w:color w:val="000000" w:themeColor="text1"/>
        </w:rPr>
        <w:t>and pharmacotherapy is too</w:t>
      </w:r>
      <w:r w:rsidRPr="0056390C">
        <w:rPr>
          <w:color w:val="000000" w:themeColor="text1"/>
          <w:spacing w:val="1"/>
        </w:rPr>
        <w:t xml:space="preserve"> </w:t>
      </w:r>
      <w:r w:rsidRPr="0056390C">
        <w:rPr>
          <w:color w:val="000000" w:themeColor="text1"/>
        </w:rPr>
        <w:t>short to</w:t>
      </w:r>
      <w:r w:rsidRPr="0056390C">
        <w:rPr>
          <w:color w:val="000000" w:themeColor="text1"/>
          <w:spacing w:val="1"/>
        </w:rPr>
        <w:t xml:space="preserve"> </w:t>
      </w:r>
      <w:r w:rsidRPr="0056390C">
        <w:rPr>
          <w:color w:val="000000" w:themeColor="text1"/>
        </w:rPr>
        <w:t>assess</w:t>
      </w:r>
      <w:r w:rsidRPr="0056390C">
        <w:rPr>
          <w:color w:val="000000" w:themeColor="text1"/>
          <w:spacing w:val="52"/>
        </w:rPr>
        <w:t xml:space="preserve"> </w:t>
      </w:r>
      <w:r w:rsidRPr="0056390C">
        <w:rPr>
          <w:color w:val="000000" w:themeColor="text1"/>
        </w:rPr>
        <w:t>its effectiveness</w:t>
      </w:r>
      <w:r w:rsidRPr="0056390C">
        <w:rPr>
          <w:color w:val="000000" w:themeColor="text1"/>
          <w:spacing w:val="1"/>
        </w:rPr>
        <w:t xml:space="preserve"> </w:t>
      </w:r>
      <w:r w:rsidRPr="0056390C">
        <w:rPr>
          <w:color w:val="000000" w:themeColor="text1"/>
          <w:w w:val="105"/>
        </w:rPr>
        <w:t>He</w:t>
      </w:r>
      <w:r w:rsidRPr="0056390C">
        <w:rPr>
          <w:color w:val="000000" w:themeColor="text1"/>
          <w:spacing w:val="-7"/>
          <w:w w:val="105"/>
        </w:rPr>
        <w:t xml:space="preserve"> </w:t>
      </w:r>
      <w:r w:rsidRPr="0056390C">
        <w:rPr>
          <w:color w:val="000000" w:themeColor="text1"/>
          <w:w w:val="105"/>
        </w:rPr>
        <w:t>has</w:t>
      </w:r>
      <w:r w:rsidRPr="0056390C">
        <w:rPr>
          <w:color w:val="000000" w:themeColor="text1"/>
          <w:spacing w:val="-12"/>
          <w:w w:val="105"/>
        </w:rPr>
        <w:t xml:space="preserve"> </w:t>
      </w:r>
      <w:r w:rsidRPr="0056390C">
        <w:rPr>
          <w:color w:val="000000" w:themeColor="text1"/>
          <w:w w:val="105"/>
        </w:rPr>
        <w:t>other drugs. Doctor's</w:t>
      </w:r>
      <w:r w:rsidRPr="0056390C">
        <w:rPr>
          <w:color w:val="000000" w:themeColor="text1"/>
          <w:spacing w:val="3"/>
          <w:w w:val="105"/>
        </w:rPr>
        <w:t xml:space="preserve"> </w:t>
      </w:r>
      <w:r w:rsidRPr="0056390C">
        <w:rPr>
          <w:color w:val="000000" w:themeColor="text1"/>
          <w:w w:val="105"/>
        </w:rPr>
        <w:t>certificate</w:t>
      </w:r>
      <w:r w:rsidRPr="0056390C">
        <w:rPr>
          <w:color w:val="000000" w:themeColor="text1"/>
          <w:spacing w:val="-4"/>
          <w:w w:val="105"/>
        </w:rPr>
        <w:t xml:space="preserve"> </w:t>
      </w:r>
      <w:r w:rsidRPr="0056390C">
        <w:rPr>
          <w:color w:val="000000" w:themeColor="text1"/>
          <w:w w:val="105"/>
        </w:rPr>
        <w:t>-</w:t>
      </w:r>
      <w:r w:rsidRPr="0056390C">
        <w:rPr>
          <w:color w:val="000000" w:themeColor="text1"/>
          <w:spacing w:val="38"/>
          <w:w w:val="105"/>
        </w:rPr>
        <w:t xml:space="preserve"> </w:t>
      </w:r>
      <w:r w:rsidRPr="0056390C">
        <w:rPr>
          <w:color w:val="000000" w:themeColor="text1"/>
          <w:w w:val="105"/>
        </w:rPr>
        <w:t>at</w:t>
      </w:r>
      <w:r w:rsidRPr="0056390C">
        <w:rPr>
          <w:color w:val="000000" w:themeColor="text1"/>
          <w:spacing w:val="-5"/>
          <w:w w:val="105"/>
        </w:rPr>
        <w:t xml:space="preserve"> </w:t>
      </w:r>
      <w:r w:rsidRPr="0056390C">
        <w:rPr>
          <w:color w:val="000000" w:themeColor="text1"/>
          <w:w w:val="105"/>
        </w:rPr>
        <w:t>the</w:t>
      </w:r>
      <w:r w:rsidRPr="0056390C">
        <w:rPr>
          <w:color w:val="000000" w:themeColor="text1"/>
          <w:spacing w:val="7"/>
          <w:w w:val="105"/>
        </w:rPr>
        <w:t xml:space="preserve"> </w:t>
      </w:r>
      <w:r w:rsidRPr="0056390C">
        <w:rPr>
          <w:color w:val="000000" w:themeColor="text1"/>
          <w:w w:val="105"/>
        </w:rPr>
        <w:t>patient's</w:t>
      </w:r>
      <w:r w:rsidRPr="0056390C">
        <w:rPr>
          <w:color w:val="000000" w:themeColor="text1"/>
          <w:spacing w:val="2"/>
          <w:w w:val="105"/>
        </w:rPr>
        <w:t xml:space="preserve"> </w:t>
      </w:r>
      <w:r w:rsidRPr="0056390C">
        <w:rPr>
          <w:color w:val="000000" w:themeColor="text1"/>
          <w:w w:val="105"/>
        </w:rPr>
        <w:t>request</w:t>
      </w:r>
    </w:p>
    <w:p w14:paraId="09B5FBD4" w14:textId="77777777" w:rsidR="00812F8B" w:rsidRPr="0056390C" w:rsidRDefault="00812F8B" w:rsidP="00812F8B">
      <w:pPr>
        <w:pStyle w:val="ListParagraph"/>
        <w:spacing w:line="480" w:lineRule="auto"/>
        <w:ind w:left="1440"/>
        <w:rPr>
          <w:b/>
          <w:color w:val="000000" w:themeColor="text1"/>
          <w:w w:val="90"/>
        </w:rPr>
      </w:pPr>
      <w:r w:rsidRPr="0056390C">
        <w:rPr>
          <w:b/>
          <w:color w:val="000000" w:themeColor="text1"/>
          <w:w w:val="90"/>
        </w:rPr>
        <w:t>Main</w:t>
      </w:r>
      <w:r w:rsidRPr="0056390C">
        <w:rPr>
          <w:b/>
          <w:color w:val="000000" w:themeColor="text1"/>
          <w:spacing w:val="13"/>
          <w:w w:val="90"/>
        </w:rPr>
        <w:t xml:space="preserve"> </w:t>
      </w:r>
      <w:r w:rsidRPr="0056390C">
        <w:rPr>
          <w:b/>
          <w:color w:val="000000" w:themeColor="text1"/>
          <w:w w:val="90"/>
        </w:rPr>
        <w:t>diagnoses:</w:t>
      </w:r>
    </w:p>
    <w:p w14:paraId="258ABB33" w14:textId="77777777" w:rsidR="00812F8B" w:rsidRPr="0056390C" w:rsidRDefault="00812F8B" w:rsidP="00812F8B">
      <w:pPr>
        <w:pStyle w:val="ListParagraph"/>
        <w:spacing w:line="480" w:lineRule="auto"/>
        <w:ind w:left="1440"/>
        <w:rPr>
          <w:color w:val="000000" w:themeColor="text1"/>
        </w:rPr>
      </w:pPr>
      <w:r w:rsidRPr="0056390C">
        <w:rPr>
          <w:color w:val="000000" w:themeColor="text1"/>
          <w:w w:val="110"/>
        </w:rPr>
        <w:t>Main:</w:t>
      </w:r>
    </w:p>
    <w:p w14:paraId="563C5C6E" w14:textId="77777777" w:rsidR="00812F8B" w:rsidRPr="0056390C" w:rsidRDefault="00812F8B" w:rsidP="00812F8B">
      <w:pPr>
        <w:pStyle w:val="ListParagraph"/>
        <w:widowControl w:val="0"/>
        <w:numPr>
          <w:ilvl w:val="1"/>
          <w:numId w:val="7"/>
        </w:numPr>
        <w:tabs>
          <w:tab w:val="left" w:pos="1769"/>
          <w:tab w:val="left" w:pos="1770"/>
        </w:tabs>
        <w:autoSpaceDE w:val="0"/>
        <w:autoSpaceDN w:val="0"/>
        <w:ind w:hanging="356"/>
        <w:contextualSpacing w:val="0"/>
        <w:rPr>
          <w:color w:val="000000" w:themeColor="text1"/>
        </w:rPr>
      </w:pPr>
      <w:r w:rsidRPr="0056390C">
        <w:rPr>
          <w:color w:val="000000" w:themeColor="text1"/>
        </w:rPr>
        <w:t>F43</w:t>
      </w:r>
      <w:r w:rsidRPr="0056390C">
        <w:rPr>
          <w:color w:val="000000" w:themeColor="text1"/>
          <w:spacing w:val="-11"/>
        </w:rPr>
        <w:t xml:space="preserve"> </w:t>
      </w:r>
      <w:r w:rsidRPr="0056390C">
        <w:rPr>
          <w:color w:val="000000" w:themeColor="text1"/>
        </w:rPr>
        <w:t>-</w:t>
      </w:r>
      <w:r w:rsidRPr="0056390C">
        <w:rPr>
          <w:color w:val="000000" w:themeColor="text1"/>
          <w:spacing w:val="39"/>
        </w:rPr>
        <w:t xml:space="preserve"> </w:t>
      </w:r>
      <w:r w:rsidRPr="0056390C">
        <w:rPr>
          <w:color w:val="000000" w:themeColor="text1"/>
        </w:rPr>
        <w:t>adaptive</w:t>
      </w:r>
      <w:r w:rsidRPr="0056390C">
        <w:rPr>
          <w:color w:val="000000" w:themeColor="text1"/>
          <w:spacing w:val="9"/>
        </w:rPr>
        <w:t xml:space="preserve"> </w:t>
      </w:r>
      <w:r w:rsidRPr="0056390C">
        <w:rPr>
          <w:color w:val="000000" w:themeColor="text1"/>
        </w:rPr>
        <w:t>disorders</w:t>
      </w:r>
    </w:p>
    <w:p w14:paraId="64B2DE0C" w14:textId="77777777" w:rsidR="00812F8B" w:rsidRPr="0056390C" w:rsidRDefault="00812F8B" w:rsidP="00812F8B">
      <w:pPr>
        <w:pStyle w:val="ListParagraph"/>
        <w:widowControl w:val="0"/>
        <w:numPr>
          <w:ilvl w:val="1"/>
          <w:numId w:val="7"/>
        </w:numPr>
        <w:tabs>
          <w:tab w:val="left" w:pos="1769"/>
          <w:tab w:val="left" w:pos="1770"/>
        </w:tabs>
        <w:autoSpaceDE w:val="0"/>
        <w:autoSpaceDN w:val="0"/>
        <w:spacing w:before="75"/>
        <w:ind w:hanging="361"/>
        <w:contextualSpacing w:val="0"/>
        <w:rPr>
          <w:color w:val="000000" w:themeColor="text1"/>
        </w:rPr>
      </w:pPr>
      <w:r w:rsidRPr="0056390C">
        <w:rPr>
          <w:color w:val="000000" w:themeColor="text1"/>
          <w:w w:val="95"/>
        </w:rPr>
        <w:t>FGO</w:t>
      </w:r>
      <w:r w:rsidRPr="0056390C">
        <w:rPr>
          <w:color w:val="000000" w:themeColor="text1"/>
          <w:spacing w:val="10"/>
          <w:w w:val="95"/>
        </w:rPr>
        <w:t xml:space="preserve"> </w:t>
      </w:r>
      <w:r w:rsidRPr="0056390C">
        <w:rPr>
          <w:color w:val="000000" w:themeColor="text1"/>
          <w:w w:val="95"/>
        </w:rPr>
        <w:t>-</w:t>
      </w:r>
      <w:r w:rsidRPr="0056390C">
        <w:rPr>
          <w:color w:val="000000" w:themeColor="text1"/>
          <w:spacing w:val="4"/>
          <w:w w:val="95"/>
        </w:rPr>
        <w:t xml:space="preserve"> </w:t>
      </w:r>
      <w:r w:rsidRPr="0056390C">
        <w:rPr>
          <w:color w:val="000000" w:themeColor="text1"/>
          <w:w w:val="95"/>
        </w:rPr>
        <w:t>specific</w:t>
      </w:r>
      <w:r w:rsidRPr="0056390C">
        <w:rPr>
          <w:color w:val="000000" w:themeColor="text1"/>
          <w:spacing w:val="23"/>
          <w:w w:val="95"/>
        </w:rPr>
        <w:t xml:space="preserve"> </w:t>
      </w:r>
      <w:r w:rsidRPr="0056390C">
        <w:rPr>
          <w:color w:val="000000" w:themeColor="text1"/>
          <w:w w:val="95"/>
        </w:rPr>
        <w:t>personality</w:t>
      </w:r>
      <w:r w:rsidRPr="0056390C">
        <w:rPr>
          <w:color w:val="000000" w:themeColor="text1"/>
          <w:spacing w:val="31"/>
          <w:w w:val="95"/>
        </w:rPr>
        <w:t xml:space="preserve"> </w:t>
      </w:r>
      <w:r w:rsidRPr="0056390C">
        <w:rPr>
          <w:color w:val="000000" w:themeColor="text1"/>
          <w:w w:val="95"/>
        </w:rPr>
        <w:t>disorders</w:t>
      </w:r>
    </w:p>
    <w:p w14:paraId="3CFD5664" w14:textId="77777777" w:rsidR="00812F8B" w:rsidRPr="0056390C" w:rsidRDefault="00812F8B" w:rsidP="00812F8B">
      <w:pPr>
        <w:pStyle w:val="BodyText"/>
        <w:rPr>
          <w:rFonts w:ascii="Times New Roman" w:hAnsi="Times New Roman" w:cs="Times New Roman"/>
          <w:color w:val="000000" w:themeColor="text1"/>
          <w:sz w:val="24"/>
          <w:szCs w:val="24"/>
        </w:rPr>
      </w:pPr>
    </w:p>
    <w:p w14:paraId="5DE8009C" w14:textId="77777777" w:rsidR="0056390C" w:rsidRDefault="00812F8B" w:rsidP="0056390C">
      <w:pPr>
        <w:ind w:left="1059"/>
        <w:rPr>
          <w:b/>
          <w:color w:val="000000" w:themeColor="text1"/>
          <w:w w:val="90"/>
        </w:rPr>
      </w:pPr>
      <w:r w:rsidRPr="0056390C">
        <w:rPr>
          <w:b/>
          <w:color w:val="000000" w:themeColor="text1"/>
          <w:w w:val="90"/>
        </w:rPr>
        <w:t>Recommendations,</w:t>
      </w:r>
      <w:r w:rsidRPr="0056390C">
        <w:rPr>
          <w:b/>
          <w:color w:val="000000" w:themeColor="text1"/>
          <w:spacing w:val="4"/>
          <w:w w:val="90"/>
        </w:rPr>
        <w:t xml:space="preserve"> </w:t>
      </w:r>
      <w:r w:rsidRPr="0056390C">
        <w:rPr>
          <w:b/>
          <w:color w:val="000000" w:themeColor="text1"/>
          <w:w w:val="90"/>
        </w:rPr>
        <w:t>treatments,</w:t>
      </w:r>
      <w:r w:rsidRPr="0056390C">
        <w:rPr>
          <w:b/>
          <w:color w:val="000000" w:themeColor="text1"/>
          <w:spacing w:val="24"/>
          <w:w w:val="90"/>
        </w:rPr>
        <w:t xml:space="preserve"> </w:t>
      </w:r>
      <w:r w:rsidRPr="0056390C">
        <w:rPr>
          <w:b/>
          <w:color w:val="000000" w:themeColor="text1"/>
          <w:w w:val="90"/>
        </w:rPr>
        <w:t>medicinal</w:t>
      </w:r>
      <w:r w:rsidRPr="0056390C">
        <w:rPr>
          <w:b/>
          <w:color w:val="000000" w:themeColor="text1"/>
          <w:spacing w:val="34"/>
          <w:w w:val="90"/>
        </w:rPr>
        <w:t xml:space="preserve"> </w:t>
      </w:r>
      <w:proofErr w:type="gramStart"/>
      <w:r w:rsidRPr="0056390C">
        <w:rPr>
          <w:b/>
          <w:color w:val="000000" w:themeColor="text1"/>
          <w:w w:val="90"/>
        </w:rPr>
        <w:t>products</w:t>
      </w:r>
      <w:proofErr w:type="gramEnd"/>
      <w:r w:rsidRPr="0056390C">
        <w:rPr>
          <w:b/>
          <w:color w:val="000000" w:themeColor="text1"/>
          <w:spacing w:val="37"/>
          <w:w w:val="90"/>
        </w:rPr>
        <w:t xml:space="preserve"> </w:t>
      </w:r>
      <w:r w:rsidRPr="0056390C">
        <w:rPr>
          <w:b/>
          <w:color w:val="000000" w:themeColor="text1"/>
          <w:w w:val="90"/>
        </w:rPr>
        <w:t>and</w:t>
      </w:r>
      <w:r w:rsidRPr="0056390C">
        <w:rPr>
          <w:b/>
          <w:color w:val="000000" w:themeColor="text1"/>
          <w:spacing w:val="13"/>
          <w:w w:val="90"/>
        </w:rPr>
        <w:t xml:space="preserve"> </w:t>
      </w:r>
      <w:r w:rsidRPr="0056390C">
        <w:rPr>
          <w:b/>
          <w:color w:val="000000" w:themeColor="text1"/>
          <w:w w:val="90"/>
        </w:rPr>
        <w:t>medical</w:t>
      </w:r>
      <w:r w:rsidRPr="0056390C">
        <w:rPr>
          <w:b/>
          <w:color w:val="000000" w:themeColor="text1"/>
          <w:spacing w:val="23"/>
          <w:w w:val="90"/>
        </w:rPr>
        <w:t xml:space="preserve"> </w:t>
      </w:r>
      <w:r w:rsidRPr="0056390C">
        <w:rPr>
          <w:b/>
          <w:color w:val="000000" w:themeColor="text1"/>
          <w:w w:val="90"/>
        </w:rPr>
        <w:t>devices</w:t>
      </w:r>
    </w:p>
    <w:p w14:paraId="286C490C" w14:textId="77777777" w:rsidR="0056390C" w:rsidRPr="0056390C" w:rsidRDefault="0056390C" w:rsidP="0056390C">
      <w:pPr>
        <w:ind w:left="1059"/>
        <w:rPr>
          <w:b/>
          <w:color w:val="000000" w:themeColor="text1"/>
        </w:rPr>
      </w:pPr>
      <w:r w:rsidRPr="0056390C">
        <w:rPr>
          <w:color w:val="000000" w:themeColor="text1"/>
        </w:rPr>
        <w:t>Anxieties:</w:t>
      </w:r>
    </w:p>
    <w:p w14:paraId="5D3B2C2C" w14:textId="77777777" w:rsidR="0056390C" w:rsidRPr="0056390C" w:rsidRDefault="0056390C" w:rsidP="0056390C">
      <w:pPr>
        <w:pStyle w:val="BodyText"/>
        <w:spacing w:before="7"/>
        <w:rPr>
          <w:rFonts w:ascii="Times New Roman" w:hAnsi="Times New Roman" w:cs="Times New Roman"/>
          <w:color w:val="000000" w:themeColor="text1"/>
          <w:sz w:val="24"/>
          <w:szCs w:val="24"/>
        </w:rPr>
      </w:pPr>
    </w:p>
    <w:p w14:paraId="421A7385" w14:textId="77777777" w:rsidR="0056390C" w:rsidRPr="0056390C" w:rsidRDefault="0056390C" w:rsidP="0056390C">
      <w:pPr>
        <w:pStyle w:val="BodyText"/>
        <w:spacing w:line="475" w:lineRule="auto"/>
        <w:ind w:left="1030" w:right="2738" w:firstLine="47"/>
        <w:rPr>
          <w:rFonts w:ascii="Times New Roman" w:hAnsi="Times New Roman" w:cs="Times New Roman"/>
          <w:color w:val="000000" w:themeColor="text1"/>
          <w:sz w:val="24"/>
          <w:szCs w:val="24"/>
        </w:rPr>
      </w:pPr>
      <w:r w:rsidRPr="0056390C">
        <w:rPr>
          <w:rFonts w:ascii="Times New Roman" w:hAnsi="Times New Roman" w:cs="Times New Roman"/>
          <w:color w:val="000000" w:themeColor="text1"/>
          <w:sz w:val="24"/>
          <w:szCs w:val="24"/>
        </w:rPr>
        <w:lastRenderedPageBreak/>
        <w:t xml:space="preserve">Rp. </w:t>
      </w:r>
      <w:proofErr w:type="spellStart"/>
      <w:r w:rsidRPr="0056390C">
        <w:rPr>
          <w:rFonts w:ascii="Times New Roman" w:hAnsi="Times New Roman" w:cs="Times New Roman"/>
          <w:color w:val="000000" w:themeColor="text1"/>
          <w:sz w:val="24"/>
          <w:szCs w:val="24"/>
        </w:rPr>
        <w:t>Chlorprothixen</w:t>
      </w:r>
      <w:proofErr w:type="spellEnd"/>
      <w:r w:rsidRPr="0056390C">
        <w:rPr>
          <w:rFonts w:ascii="Times New Roman" w:hAnsi="Times New Roman" w:cs="Times New Roman"/>
          <w:color w:val="000000" w:themeColor="text1"/>
          <w:sz w:val="24"/>
          <w:szCs w:val="24"/>
        </w:rPr>
        <w:t xml:space="preserve"> Zentiva (0.015 g) (SO tablets (5 blisters of 10 tablets))</w:t>
      </w:r>
      <w:r w:rsidRPr="0056390C">
        <w:rPr>
          <w:rFonts w:ascii="Times New Roman" w:hAnsi="Times New Roman" w:cs="Times New Roman"/>
          <w:color w:val="000000" w:themeColor="text1"/>
          <w:spacing w:val="1"/>
          <w:sz w:val="24"/>
          <w:szCs w:val="24"/>
        </w:rPr>
        <w:t xml:space="preserve"> </w:t>
      </w:r>
      <w:r w:rsidRPr="0056390C">
        <w:rPr>
          <w:rFonts w:ascii="Times New Roman" w:hAnsi="Times New Roman" w:cs="Times New Roman"/>
          <w:color w:val="000000" w:themeColor="text1"/>
          <w:sz w:val="24"/>
          <w:szCs w:val="24"/>
        </w:rPr>
        <w:t>2 packs</w:t>
      </w:r>
      <w:r w:rsidRPr="0056390C">
        <w:rPr>
          <w:rFonts w:ascii="Times New Roman" w:hAnsi="Times New Roman" w:cs="Times New Roman"/>
          <w:color w:val="000000" w:themeColor="text1"/>
          <w:spacing w:val="-50"/>
          <w:sz w:val="24"/>
          <w:szCs w:val="24"/>
        </w:rPr>
        <w:t xml:space="preserve"> </w:t>
      </w:r>
      <w:r w:rsidRPr="0056390C">
        <w:rPr>
          <w:rFonts w:ascii="Times New Roman" w:hAnsi="Times New Roman" w:cs="Times New Roman"/>
          <w:color w:val="000000" w:themeColor="text1"/>
          <w:w w:val="105"/>
          <w:sz w:val="24"/>
          <w:szCs w:val="24"/>
        </w:rPr>
        <w:t>Dosage</w:t>
      </w:r>
      <w:r w:rsidRPr="0056390C">
        <w:rPr>
          <w:rFonts w:ascii="Times New Roman" w:hAnsi="Times New Roman" w:cs="Times New Roman"/>
          <w:color w:val="000000" w:themeColor="text1"/>
          <w:spacing w:val="-2"/>
          <w:w w:val="105"/>
          <w:sz w:val="24"/>
          <w:szCs w:val="24"/>
        </w:rPr>
        <w:t xml:space="preserve"> </w:t>
      </w:r>
      <w:r w:rsidRPr="0056390C">
        <w:rPr>
          <w:rFonts w:ascii="Times New Roman" w:hAnsi="Times New Roman" w:cs="Times New Roman"/>
          <w:color w:val="000000" w:themeColor="text1"/>
          <w:w w:val="105"/>
          <w:sz w:val="24"/>
          <w:szCs w:val="24"/>
        </w:rPr>
        <w:t>Ox</w:t>
      </w:r>
      <w:r w:rsidRPr="0056390C">
        <w:rPr>
          <w:rFonts w:ascii="Times New Roman" w:hAnsi="Times New Roman" w:cs="Times New Roman"/>
          <w:color w:val="000000" w:themeColor="text1"/>
          <w:spacing w:val="-5"/>
          <w:w w:val="105"/>
          <w:sz w:val="24"/>
          <w:szCs w:val="24"/>
        </w:rPr>
        <w:t xml:space="preserve"> </w:t>
      </w:r>
      <w:r w:rsidRPr="0056390C">
        <w:rPr>
          <w:rFonts w:ascii="Times New Roman" w:hAnsi="Times New Roman" w:cs="Times New Roman"/>
          <w:color w:val="000000" w:themeColor="text1"/>
          <w:w w:val="105"/>
          <w:sz w:val="24"/>
          <w:szCs w:val="24"/>
        </w:rPr>
        <w:t>0</w:t>
      </w:r>
      <w:r w:rsidRPr="0056390C">
        <w:rPr>
          <w:rFonts w:ascii="Times New Roman" w:hAnsi="Times New Roman" w:cs="Times New Roman"/>
          <w:color w:val="000000" w:themeColor="text1"/>
          <w:spacing w:val="-6"/>
          <w:w w:val="105"/>
          <w:sz w:val="24"/>
          <w:szCs w:val="24"/>
        </w:rPr>
        <w:t xml:space="preserve"> </w:t>
      </w:r>
      <w:r w:rsidRPr="0056390C">
        <w:rPr>
          <w:rFonts w:ascii="Times New Roman" w:hAnsi="Times New Roman" w:cs="Times New Roman"/>
          <w:color w:val="000000" w:themeColor="text1"/>
          <w:w w:val="105"/>
          <w:sz w:val="24"/>
          <w:szCs w:val="24"/>
        </w:rPr>
        <w:t>tablets</w:t>
      </w:r>
    </w:p>
    <w:p w14:paraId="0BCE7F80" w14:textId="77777777" w:rsidR="0056390C" w:rsidRDefault="0056390C" w:rsidP="0056390C">
      <w:pPr>
        <w:pStyle w:val="BodyText"/>
        <w:spacing w:before="5" w:line="475" w:lineRule="auto"/>
        <w:ind w:left="1030" w:right="5017" w:firstLine="4"/>
        <w:rPr>
          <w:rFonts w:ascii="Times New Roman" w:hAnsi="Times New Roman" w:cs="Times New Roman"/>
          <w:color w:val="000000" w:themeColor="text1"/>
          <w:w w:val="105"/>
          <w:sz w:val="24"/>
          <w:szCs w:val="24"/>
        </w:rPr>
      </w:pPr>
      <w:r w:rsidRPr="0056390C">
        <w:rPr>
          <w:rFonts w:ascii="Times New Roman" w:hAnsi="Times New Roman" w:cs="Times New Roman"/>
          <w:color w:val="000000" w:themeColor="text1"/>
          <w:sz w:val="24"/>
          <w:szCs w:val="24"/>
        </w:rPr>
        <w:t>Prescription</w:t>
      </w:r>
      <w:r w:rsidRPr="0056390C">
        <w:rPr>
          <w:rFonts w:ascii="Times New Roman" w:hAnsi="Times New Roman" w:cs="Times New Roman"/>
          <w:color w:val="000000" w:themeColor="text1"/>
          <w:spacing w:val="1"/>
          <w:sz w:val="24"/>
          <w:szCs w:val="24"/>
        </w:rPr>
        <w:t xml:space="preserve"> </w:t>
      </w:r>
      <w:r w:rsidRPr="0056390C">
        <w:rPr>
          <w:rFonts w:ascii="Times New Roman" w:hAnsi="Times New Roman" w:cs="Times New Roman"/>
          <w:color w:val="000000" w:themeColor="text1"/>
          <w:sz w:val="24"/>
          <w:szCs w:val="24"/>
        </w:rPr>
        <w:t>printout</w:t>
      </w:r>
      <w:r w:rsidRPr="0056390C">
        <w:rPr>
          <w:rFonts w:ascii="Times New Roman" w:hAnsi="Times New Roman" w:cs="Times New Roman"/>
          <w:color w:val="000000" w:themeColor="text1"/>
          <w:spacing w:val="1"/>
          <w:sz w:val="24"/>
          <w:szCs w:val="24"/>
        </w:rPr>
        <w:t xml:space="preserve"> </w:t>
      </w:r>
      <w:r w:rsidRPr="0056390C">
        <w:rPr>
          <w:rFonts w:ascii="Times New Roman" w:hAnsi="Times New Roman" w:cs="Times New Roman"/>
          <w:color w:val="000000" w:themeColor="text1"/>
          <w:sz w:val="24"/>
          <w:szCs w:val="24"/>
        </w:rPr>
        <w:t>number:</w:t>
      </w:r>
      <w:r w:rsidRPr="0056390C">
        <w:rPr>
          <w:rFonts w:ascii="Times New Roman" w:hAnsi="Times New Roman" w:cs="Times New Roman"/>
          <w:color w:val="000000" w:themeColor="text1"/>
          <w:spacing w:val="1"/>
          <w:sz w:val="24"/>
          <w:szCs w:val="24"/>
        </w:rPr>
        <w:t xml:space="preserve"> </w:t>
      </w:r>
      <w:r w:rsidRPr="0056390C">
        <w:rPr>
          <w:rFonts w:ascii="Times New Roman" w:hAnsi="Times New Roman" w:cs="Times New Roman"/>
          <w:color w:val="000000" w:themeColor="text1"/>
          <w:sz w:val="24"/>
          <w:szCs w:val="24"/>
        </w:rPr>
        <w:t>0205040000001321838786</w:t>
      </w:r>
      <w:r w:rsidRPr="0056390C">
        <w:rPr>
          <w:rFonts w:ascii="Times New Roman" w:hAnsi="Times New Roman" w:cs="Times New Roman"/>
          <w:color w:val="000000" w:themeColor="text1"/>
          <w:spacing w:val="1"/>
          <w:sz w:val="24"/>
          <w:szCs w:val="24"/>
        </w:rPr>
        <w:t xml:space="preserve"> </w:t>
      </w:r>
      <w:r w:rsidRPr="0056390C">
        <w:rPr>
          <w:rFonts w:ascii="Times New Roman" w:hAnsi="Times New Roman" w:cs="Times New Roman"/>
          <w:color w:val="000000" w:themeColor="text1"/>
          <w:w w:val="105"/>
          <w:sz w:val="24"/>
          <w:szCs w:val="24"/>
        </w:rPr>
        <w:t>Description:</w:t>
      </w:r>
      <w:r w:rsidRPr="0056390C">
        <w:rPr>
          <w:rFonts w:ascii="Times New Roman" w:hAnsi="Times New Roman" w:cs="Times New Roman"/>
          <w:color w:val="000000" w:themeColor="text1"/>
          <w:spacing w:val="8"/>
          <w:w w:val="105"/>
          <w:sz w:val="24"/>
          <w:szCs w:val="24"/>
        </w:rPr>
        <w:t xml:space="preserve"> </w:t>
      </w:r>
      <w:r w:rsidRPr="0056390C">
        <w:rPr>
          <w:rFonts w:ascii="Times New Roman" w:hAnsi="Times New Roman" w:cs="Times New Roman"/>
          <w:color w:val="000000" w:themeColor="text1"/>
          <w:w w:val="105"/>
          <w:sz w:val="24"/>
          <w:szCs w:val="24"/>
        </w:rPr>
        <w:t>DS.1-1-1</w:t>
      </w:r>
      <w:r w:rsidRPr="0056390C">
        <w:rPr>
          <w:rFonts w:ascii="Times New Roman" w:hAnsi="Times New Roman" w:cs="Times New Roman"/>
          <w:color w:val="000000" w:themeColor="text1"/>
          <w:spacing w:val="-29"/>
          <w:w w:val="105"/>
          <w:sz w:val="24"/>
          <w:szCs w:val="24"/>
        </w:rPr>
        <w:t xml:space="preserve"> </w:t>
      </w:r>
      <w:r w:rsidRPr="0056390C">
        <w:rPr>
          <w:rFonts w:ascii="Times New Roman" w:hAnsi="Times New Roman" w:cs="Times New Roman"/>
          <w:color w:val="000000" w:themeColor="text1"/>
          <w:w w:val="105"/>
          <w:sz w:val="24"/>
          <w:szCs w:val="24"/>
        </w:rPr>
        <w:t>tabl</w:t>
      </w:r>
      <w:r>
        <w:rPr>
          <w:rFonts w:ascii="Times New Roman" w:hAnsi="Times New Roman" w:cs="Times New Roman"/>
          <w:color w:val="000000" w:themeColor="text1"/>
          <w:w w:val="105"/>
          <w:sz w:val="24"/>
          <w:szCs w:val="24"/>
        </w:rPr>
        <w:t>e.</w:t>
      </w:r>
    </w:p>
    <w:p w14:paraId="0BFDFE3C" w14:textId="77777777" w:rsidR="0056390C" w:rsidRPr="0056390C" w:rsidRDefault="0056390C" w:rsidP="0056390C">
      <w:pPr>
        <w:pStyle w:val="BodyText"/>
        <w:spacing w:before="5" w:line="475" w:lineRule="auto"/>
        <w:ind w:left="1030" w:right="5017" w:firstLine="4"/>
        <w:rPr>
          <w:rFonts w:ascii="Times New Roman" w:hAnsi="Times New Roman" w:cs="Times New Roman"/>
          <w:color w:val="000000" w:themeColor="text1"/>
          <w:w w:val="105"/>
          <w:sz w:val="24"/>
          <w:szCs w:val="24"/>
        </w:rPr>
      </w:pPr>
      <w:r w:rsidRPr="0056390C">
        <w:rPr>
          <w:rFonts w:ascii="Times New Roman" w:hAnsi="Times New Roman" w:cs="Times New Roman"/>
          <w:color w:val="000000" w:themeColor="text1"/>
          <w:w w:val="105"/>
          <w:sz w:val="24"/>
          <w:szCs w:val="24"/>
        </w:rPr>
        <w:t>Recommendations:</w:t>
      </w:r>
      <w:r w:rsidRPr="0056390C">
        <w:rPr>
          <w:rFonts w:ascii="Times New Roman" w:hAnsi="Times New Roman" w:cs="Times New Roman"/>
          <w:color w:val="000000" w:themeColor="text1"/>
          <w:sz w:val="24"/>
          <w:szCs w:val="24"/>
        </w:rPr>
        <w:t xml:space="preserve"> </w:t>
      </w:r>
      <w:r w:rsidRPr="0056390C">
        <w:rPr>
          <w:rFonts w:ascii="Times New Roman" w:hAnsi="Times New Roman" w:cs="Times New Roman"/>
          <w:color w:val="000000" w:themeColor="text1"/>
          <w:w w:val="105"/>
          <w:sz w:val="24"/>
          <w:szCs w:val="24"/>
        </w:rPr>
        <w:t>Further</w:t>
      </w:r>
      <w:r w:rsidR="004E6C74">
        <w:rPr>
          <w:rFonts w:ascii="Times New Roman" w:hAnsi="Times New Roman" w:cs="Times New Roman"/>
          <w:color w:val="000000" w:themeColor="text1"/>
          <w:w w:val="105"/>
          <w:sz w:val="24"/>
          <w:szCs w:val="24"/>
        </w:rPr>
        <w:t xml:space="preserve"> </w:t>
      </w:r>
      <w:r w:rsidRPr="0056390C">
        <w:rPr>
          <w:rFonts w:ascii="Times New Roman" w:hAnsi="Times New Roman" w:cs="Times New Roman"/>
          <w:color w:val="000000" w:themeColor="text1"/>
          <w:w w:val="105"/>
          <w:sz w:val="24"/>
          <w:szCs w:val="24"/>
        </w:rPr>
        <w:t>care in PZP</w:t>
      </w:r>
      <w:r w:rsidRPr="0056390C">
        <w:rPr>
          <w:rFonts w:ascii="Times New Roman" w:hAnsi="Times New Roman" w:cs="Times New Roman"/>
          <w:color w:val="000000" w:themeColor="text1"/>
          <w:spacing w:val="1"/>
          <w:w w:val="105"/>
          <w:sz w:val="24"/>
          <w:szCs w:val="24"/>
        </w:rPr>
        <w:t xml:space="preserve"> </w:t>
      </w:r>
      <w:r w:rsidRPr="0056390C">
        <w:rPr>
          <w:rFonts w:ascii="Times New Roman" w:hAnsi="Times New Roman" w:cs="Times New Roman"/>
          <w:color w:val="000000" w:themeColor="text1"/>
          <w:sz w:val="24"/>
          <w:szCs w:val="24"/>
        </w:rPr>
        <w:t>Pharmacotherapy as prescribed</w:t>
      </w:r>
      <w:r w:rsidRPr="0056390C">
        <w:rPr>
          <w:rFonts w:ascii="Times New Roman" w:hAnsi="Times New Roman" w:cs="Times New Roman"/>
          <w:color w:val="000000" w:themeColor="text1"/>
          <w:spacing w:val="1"/>
          <w:sz w:val="24"/>
          <w:szCs w:val="24"/>
        </w:rPr>
        <w:t xml:space="preserve"> </w:t>
      </w:r>
      <w:proofErr w:type="gramStart"/>
      <w:r w:rsidRPr="0056390C">
        <w:rPr>
          <w:rFonts w:ascii="Times New Roman" w:hAnsi="Times New Roman" w:cs="Times New Roman"/>
          <w:color w:val="000000" w:themeColor="text1"/>
          <w:sz w:val="24"/>
          <w:szCs w:val="24"/>
        </w:rPr>
        <w:t>Psychological</w:t>
      </w:r>
      <w:proofErr w:type="gramEnd"/>
      <w:r w:rsidR="0041010B">
        <w:rPr>
          <w:rFonts w:ascii="Times New Roman" w:hAnsi="Times New Roman" w:cs="Times New Roman"/>
          <w:color w:val="000000" w:themeColor="text1"/>
          <w:spacing w:val="20"/>
          <w:sz w:val="24"/>
          <w:szCs w:val="24"/>
        </w:rPr>
        <w:t xml:space="preserve"> </w:t>
      </w:r>
      <w:r w:rsidRPr="0056390C">
        <w:rPr>
          <w:rFonts w:ascii="Times New Roman" w:hAnsi="Times New Roman" w:cs="Times New Roman"/>
          <w:color w:val="000000" w:themeColor="text1"/>
          <w:sz w:val="24"/>
          <w:szCs w:val="24"/>
        </w:rPr>
        <w:t>care</w:t>
      </w:r>
      <w:r w:rsidRPr="0056390C">
        <w:rPr>
          <w:rFonts w:ascii="Times New Roman" w:hAnsi="Times New Roman" w:cs="Times New Roman"/>
          <w:color w:val="000000" w:themeColor="text1"/>
          <w:spacing w:val="2"/>
          <w:sz w:val="24"/>
          <w:szCs w:val="24"/>
        </w:rPr>
        <w:t xml:space="preserve"> </w:t>
      </w:r>
      <w:r w:rsidRPr="0056390C">
        <w:rPr>
          <w:rFonts w:ascii="Times New Roman" w:hAnsi="Times New Roman" w:cs="Times New Roman"/>
          <w:color w:val="000000" w:themeColor="text1"/>
          <w:sz w:val="24"/>
          <w:szCs w:val="24"/>
        </w:rPr>
        <w:t xml:space="preserve">recommended. </w:t>
      </w:r>
      <w:r w:rsidRPr="0056390C">
        <w:rPr>
          <w:rFonts w:ascii="Times New Roman" w:hAnsi="Times New Roman" w:cs="Times New Roman"/>
          <w:color w:val="000000" w:themeColor="text1"/>
          <w:w w:val="105"/>
          <w:sz w:val="24"/>
          <w:szCs w:val="24"/>
        </w:rPr>
        <w:t>Information</w:t>
      </w:r>
      <w:r w:rsidRPr="0056390C">
        <w:rPr>
          <w:rFonts w:ascii="Times New Roman" w:hAnsi="Times New Roman" w:cs="Times New Roman"/>
          <w:color w:val="000000" w:themeColor="text1"/>
          <w:spacing w:val="12"/>
          <w:w w:val="105"/>
          <w:sz w:val="24"/>
          <w:szCs w:val="24"/>
        </w:rPr>
        <w:t xml:space="preserve"> </w:t>
      </w:r>
      <w:r w:rsidRPr="0056390C">
        <w:rPr>
          <w:rFonts w:ascii="Times New Roman" w:hAnsi="Times New Roman" w:cs="Times New Roman"/>
          <w:color w:val="000000" w:themeColor="text1"/>
          <w:w w:val="105"/>
          <w:sz w:val="24"/>
          <w:szCs w:val="24"/>
        </w:rPr>
        <w:t>about</w:t>
      </w:r>
      <w:r w:rsidRPr="0056390C">
        <w:rPr>
          <w:rFonts w:ascii="Times New Roman" w:hAnsi="Times New Roman" w:cs="Times New Roman"/>
          <w:color w:val="000000" w:themeColor="text1"/>
          <w:spacing w:val="44"/>
          <w:w w:val="105"/>
          <w:sz w:val="24"/>
          <w:szCs w:val="24"/>
        </w:rPr>
        <w:t xml:space="preserve"> </w:t>
      </w:r>
      <w:r w:rsidRPr="0056390C">
        <w:rPr>
          <w:rFonts w:ascii="Times New Roman" w:hAnsi="Times New Roman" w:cs="Times New Roman"/>
          <w:color w:val="000000" w:themeColor="text1"/>
          <w:w w:val="105"/>
          <w:sz w:val="24"/>
          <w:szCs w:val="24"/>
        </w:rPr>
        <w:t>limitations</w:t>
      </w:r>
      <w:r w:rsidRPr="0056390C">
        <w:rPr>
          <w:rFonts w:ascii="Times New Roman" w:hAnsi="Times New Roman" w:cs="Times New Roman"/>
          <w:color w:val="000000" w:themeColor="text1"/>
          <w:spacing w:val="-1"/>
          <w:w w:val="105"/>
          <w:sz w:val="24"/>
          <w:szCs w:val="24"/>
        </w:rPr>
        <w:t xml:space="preserve"> </w:t>
      </w:r>
      <w:r w:rsidRPr="0056390C">
        <w:rPr>
          <w:rFonts w:ascii="Times New Roman" w:hAnsi="Times New Roman" w:cs="Times New Roman"/>
          <w:color w:val="000000" w:themeColor="text1"/>
          <w:w w:val="105"/>
          <w:sz w:val="24"/>
          <w:szCs w:val="24"/>
        </w:rPr>
        <w:t>after</w:t>
      </w:r>
      <w:r w:rsidRPr="0056390C">
        <w:rPr>
          <w:rFonts w:ascii="Times New Roman" w:hAnsi="Times New Roman" w:cs="Times New Roman"/>
          <w:color w:val="000000" w:themeColor="text1"/>
          <w:spacing w:val="-4"/>
          <w:w w:val="105"/>
          <w:sz w:val="24"/>
          <w:szCs w:val="24"/>
        </w:rPr>
        <w:t xml:space="preserve"> </w:t>
      </w:r>
      <w:r w:rsidRPr="0056390C">
        <w:rPr>
          <w:rFonts w:ascii="Times New Roman" w:hAnsi="Times New Roman" w:cs="Times New Roman"/>
          <w:color w:val="000000" w:themeColor="text1"/>
          <w:w w:val="105"/>
          <w:sz w:val="24"/>
          <w:szCs w:val="24"/>
        </w:rPr>
        <w:t>taking</w:t>
      </w:r>
      <w:r w:rsidRPr="0056390C">
        <w:rPr>
          <w:rFonts w:ascii="Times New Roman" w:hAnsi="Times New Roman" w:cs="Times New Roman"/>
          <w:color w:val="000000" w:themeColor="text1"/>
          <w:spacing w:val="-5"/>
          <w:w w:val="105"/>
          <w:sz w:val="24"/>
          <w:szCs w:val="24"/>
        </w:rPr>
        <w:t xml:space="preserve"> </w:t>
      </w:r>
      <w:r w:rsidRPr="0056390C">
        <w:rPr>
          <w:rFonts w:ascii="Times New Roman" w:hAnsi="Times New Roman" w:cs="Times New Roman"/>
          <w:color w:val="000000" w:themeColor="text1"/>
          <w:w w:val="105"/>
          <w:sz w:val="24"/>
          <w:szCs w:val="24"/>
        </w:rPr>
        <w:t>medications</w:t>
      </w:r>
      <w:r w:rsidRPr="0056390C">
        <w:rPr>
          <w:rFonts w:ascii="Times New Roman" w:hAnsi="Times New Roman" w:cs="Times New Roman"/>
          <w:color w:val="000000" w:themeColor="text1"/>
          <w:spacing w:val="13"/>
          <w:w w:val="105"/>
          <w:sz w:val="24"/>
          <w:szCs w:val="24"/>
        </w:rPr>
        <w:t xml:space="preserve"> </w:t>
      </w:r>
      <w:r w:rsidRPr="0056390C">
        <w:rPr>
          <w:rFonts w:ascii="Times New Roman" w:hAnsi="Times New Roman" w:cs="Times New Roman"/>
          <w:color w:val="000000" w:themeColor="text1"/>
          <w:w w:val="105"/>
          <w:sz w:val="24"/>
          <w:szCs w:val="24"/>
        </w:rPr>
        <w:t>were</w:t>
      </w:r>
      <w:r w:rsidRPr="0056390C">
        <w:rPr>
          <w:rFonts w:ascii="Times New Roman" w:hAnsi="Times New Roman" w:cs="Times New Roman"/>
          <w:color w:val="000000" w:themeColor="text1"/>
          <w:spacing w:val="1"/>
          <w:w w:val="105"/>
          <w:sz w:val="24"/>
          <w:szCs w:val="24"/>
        </w:rPr>
        <w:t xml:space="preserve"> </w:t>
      </w:r>
      <w:r w:rsidRPr="0056390C">
        <w:rPr>
          <w:rFonts w:ascii="Times New Roman" w:hAnsi="Times New Roman" w:cs="Times New Roman"/>
          <w:color w:val="000000" w:themeColor="text1"/>
          <w:w w:val="105"/>
          <w:sz w:val="24"/>
          <w:szCs w:val="24"/>
        </w:rPr>
        <w:t>provided.</w:t>
      </w:r>
    </w:p>
    <w:p w14:paraId="2A0F0822" w14:textId="77777777" w:rsidR="0056390C" w:rsidRPr="0056390C" w:rsidRDefault="0056390C" w:rsidP="0056390C">
      <w:pPr>
        <w:pStyle w:val="BodyText"/>
        <w:rPr>
          <w:rFonts w:ascii="Times New Roman" w:hAnsi="Times New Roman" w:cs="Times New Roman"/>
          <w:color w:val="000000" w:themeColor="text1"/>
          <w:sz w:val="24"/>
          <w:szCs w:val="24"/>
        </w:rPr>
      </w:pPr>
    </w:p>
    <w:p w14:paraId="1DB7CD01" w14:textId="77777777" w:rsidR="00484306" w:rsidRDefault="0056390C" w:rsidP="00484306">
      <w:pPr>
        <w:pStyle w:val="BodyText"/>
        <w:spacing w:line="480" w:lineRule="auto"/>
        <w:ind w:left="1031" w:right="2033"/>
        <w:rPr>
          <w:rFonts w:ascii="Times New Roman" w:hAnsi="Times New Roman" w:cs="Times New Roman"/>
          <w:color w:val="000000" w:themeColor="text1"/>
          <w:sz w:val="24"/>
          <w:szCs w:val="24"/>
        </w:rPr>
      </w:pPr>
      <w:r w:rsidRPr="0056390C">
        <w:rPr>
          <w:rFonts w:ascii="Times New Roman" w:hAnsi="Times New Roman" w:cs="Times New Roman"/>
          <w:color w:val="000000" w:themeColor="text1"/>
          <w:w w:val="105"/>
          <w:sz w:val="24"/>
          <w:szCs w:val="24"/>
        </w:rPr>
        <w:t>It was informed about the management</w:t>
      </w:r>
      <w:r w:rsidRPr="0056390C">
        <w:rPr>
          <w:rFonts w:ascii="Times New Roman" w:hAnsi="Times New Roman" w:cs="Times New Roman"/>
          <w:color w:val="000000" w:themeColor="text1"/>
          <w:spacing w:val="1"/>
          <w:w w:val="105"/>
          <w:sz w:val="24"/>
          <w:szCs w:val="24"/>
        </w:rPr>
        <w:t xml:space="preserve"> </w:t>
      </w:r>
      <w:r w:rsidRPr="0056390C">
        <w:rPr>
          <w:rFonts w:ascii="Times New Roman" w:hAnsi="Times New Roman" w:cs="Times New Roman"/>
          <w:color w:val="000000" w:themeColor="text1"/>
          <w:w w:val="105"/>
          <w:sz w:val="24"/>
          <w:szCs w:val="24"/>
        </w:rPr>
        <w:t>if the patient's mental condition deteriorating</w:t>
      </w:r>
      <w:r w:rsidRPr="0056390C">
        <w:rPr>
          <w:rFonts w:ascii="Times New Roman" w:hAnsi="Times New Roman" w:cs="Times New Roman"/>
          <w:color w:val="000000" w:themeColor="text1"/>
          <w:spacing w:val="1"/>
          <w:w w:val="105"/>
          <w:sz w:val="24"/>
          <w:szCs w:val="24"/>
        </w:rPr>
        <w:t xml:space="preserve"> </w:t>
      </w:r>
      <w:r w:rsidRPr="0056390C">
        <w:rPr>
          <w:rFonts w:ascii="Times New Roman" w:hAnsi="Times New Roman" w:cs="Times New Roman"/>
          <w:color w:val="000000" w:themeColor="text1"/>
          <w:sz w:val="24"/>
          <w:szCs w:val="24"/>
        </w:rPr>
        <w:t>Complete</w:t>
      </w:r>
      <w:r w:rsidRPr="0056390C">
        <w:rPr>
          <w:rFonts w:ascii="Times New Roman" w:hAnsi="Times New Roman" w:cs="Times New Roman"/>
          <w:color w:val="000000" w:themeColor="text1"/>
          <w:spacing w:val="22"/>
          <w:sz w:val="24"/>
          <w:szCs w:val="24"/>
        </w:rPr>
        <w:t xml:space="preserve"> </w:t>
      </w:r>
      <w:r w:rsidRPr="0056390C">
        <w:rPr>
          <w:rFonts w:ascii="Times New Roman" w:hAnsi="Times New Roman" w:cs="Times New Roman"/>
          <w:color w:val="000000" w:themeColor="text1"/>
          <w:sz w:val="24"/>
          <w:szCs w:val="24"/>
        </w:rPr>
        <w:t>abstinence</w:t>
      </w:r>
      <w:r w:rsidRPr="0056390C">
        <w:rPr>
          <w:rFonts w:ascii="Times New Roman" w:hAnsi="Times New Roman" w:cs="Times New Roman"/>
          <w:color w:val="000000" w:themeColor="text1"/>
          <w:spacing w:val="22"/>
          <w:sz w:val="24"/>
          <w:szCs w:val="24"/>
        </w:rPr>
        <w:t xml:space="preserve"> </w:t>
      </w:r>
      <w:r w:rsidRPr="0056390C">
        <w:rPr>
          <w:rFonts w:ascii="Times New Roman" w:hAnsi="Times New Roman" w:cs="Times New Roman"/>
          <w:color w:val="000000" w:themeColor="text1"/>
          <w:sz w:val="24"/>
          <w:szCs w:val="24"/>
        </w:rPr>
        <w:t>from</w:t>
      </w:r>
      <w:r w:rsidRPr="0056390C">
        <w:rPr>
          <w:rFonts w:ascii="Times New Roman" w:hAnsi="Times New Roman" w:cs="Times New Roman"/>
          <w:color w:val="000000" w:themeColor="text1"/>
          <w:spacing w:val="5"/>
          <w:sz w:val="24"/>
          <w:szCs w:val="24"/>
        </w:rPr>
        <w:t xml:space="preserve"> </w:t>
      </w:r>
      <w:r w:rsidRPr="0056390C">
        <w:rPr>
          <w:rFonts w:ascii="Times New Roman" w:hAnsi="Times New Roman" w:cs="Times New Roman"/>
          <w:color w:val="000000" w:themeColor="text1"/>
          <w:sz w:val="24"/>
          <w:szCs w:val="24"/>
        </w:rPr>
        <w:t>alcohol</w:t>
      </w:r>
      <w:r w:rsidRPr="0056390C">
        <w:rPr>
          <w:rFonts w:ascii="Times New Roman" w:hAnsi="Times New Roman" w:cs="Times New Roman"/>
          <w:color w:val="000000" w:themeColor="text1"/>
          <w:spacing w:val="12"/>
          <w:sz w:val="24"/>
          <w:szCs w:val="24"/>
        </w:rPr>
        <w:t xml:space="preserve"> </w:t>
      </w:r>
      <w:r w:rsidRPr="0056390C">
        <w:rPr>
          <w:rFonts w:ascii="Times New Roman" w:hAnsi="Times New Roman" w:cs="Times New Roman"/>
          <w:color w:val="000000" w:themeColor="text1"/>
          <w:sz w:val="24"/>
          <w:szCs w:val="24"/>
        </w:rPr>
        <w:t>and</w:t>
      </w:r>
      <w:r w:rsidRPr="0056390C">
        <w:rPr>
          <w:rFonts w:ascii="Times New Roman" w:hAnsi="Times New Roman" w:cs="Times New Roman"/>
          <w:color w:val="000000" w:themeColor="text1"/>
          <w:spacing w:val="7"/>
          <w:sz w:val="24"/>
          <w:szCs w:val="24"/>
        </w:rPr>
        <w:t xml:space="preserve"> </w:t>
      </w:r>
      <w:r w:rsidRPr="0056390C">
        <w:rPr>
          <w:rFonts w:ascii="Times New Roman" w:hAnsi="Times New Roman" w:cs="Times New Roman"/>
          <w:color w:val="000000" w:themeColor="text1"/>
          <w:sz w:val="24"/>
          <w:szCs w:val="24"/>
        </w:rPr>
        <w:t>other</w:t>
      </w:r>
      <w:r w:rsidRPr="0056390C">
        <w:rPr>
          <w:rFonts w:ascii="Times New Roman" w:hAnsi="Times New Roman" w:cs="Times New Roman"/>
          <w:color w:val="000000" w:themeColor="text1"/>
          <w:spacing w:val="9"/>
          <w:sz w:val="24"/>
          <w:szCs w:val="24"/>
        </w:rPr>
        <w:t xml:space="preserve"> </w:t>
      </w:r>
      <w:r w:rsidRPr="0056390C">
        <w:rPr>
          <w:rFonts w:ascii="Times New Roman" w:hAnsi="Times New Roman" w:cs="Times New Roman"/>
          <w:color w:val="000000" w:themeColor="text1"/>
          <w:sz w:val="24"/>
          <w:szCs w:val="24"/>
        </w:rPr>
        <w:t>psychoactive</w:t>
      </w:r>
      <w:r w:rsidRPr="0056390C">
        <w:rPr>
          <w:rFonts w:ascii="Times New Roman" w:hAnsi="Times New Roman" w:cs="Times New Roman"/>
          <w:color w:val="000000" w:themeColor="text1"/>
          <w:spacing w:val="38"/>
          <w:sz w:val="24"/>
          <w:szCs w:val="24"/>
        </w:rPr>
        <w:t xml:space="preserve"> </w:t>
      </w:r>
      <w:r w:rsidRPr="0056390C">
        <w:rPr>
          <w:rFonts w:ascii="Times New Roman" w:hAnsi="Times New Roman" w:cs="Times New Roman"/>
          <w:color w:val="000000" w:themeColor="text1"/>
          <w:sz w:val="24"/>
          <w:szCs w:val="24"/>
        </w:rPr>
        <w:t>substances</w:t>
      </w:r>
      <w:r w:rsidRPr="0056390C">
        <w:rPr>
          <w:rFonts w:ascii="Times New Roman" w:hAnsi="Times New Roman" w:cs="Times New Roman"/>
          <w:color w:val="000000" w:themeColor="text1"/>
          <w:spacing w:val="24"/>
          <w:sz w:val="24"/>
          <w:szCs w:val="24"/>
        </w:rPr>
        <w:t xml:space="preserve"> </w:t>
      </w:r>
      <w:r w:rsidRPr="0056390C">
        <w:rPr>
          <w:rFonts w:ascii="Times New Roman" w:hAnsi="Times New Roman" w:cs="Times New Roman"/>
          <w:color w:val="000000" w:themeColor="text1"/>
          <w:sz w:val="24"/>
          <w:szCs w:val="24"/>
        </w:rPr>
        <w:t>was</w:t>
      </w:r>
      <w:r w:rsidRPr="0056390C">
        <w:rPr>
          <w:rFonts w:ascii="Times New Roman" w:hAnsi="Times New Roman" w:cs="Times New Roman"/>
          <w:color w:val="000000" w:themeColor="text1"/>
          <w:spacing w:val="10"/>
          <w:sz w:val="24"/>
          <w:szCs w:val="24"/>
        </w:rPr>
        <w:t xml:space="preserve"> </w:t>
      </w:r>
      <w:r w:rsidRPr="0056390C">
        <w:rPr>
          <w:rFonts w:ascii="Times New Roman" w:hAnsi="Times New Roman" w:cs="Times New Roman"/>
          <w:color w:val="000000" w:themeColor="text1"/>
          <w:sz w:val="24"/>
          <w:szCs w:val="24"/>
        </w:rPr>
        <w:t>recommended.</w:t>
      </w:r>
    </w:p>
    <w:p w14:paraId="2F40723C" w14:textId="77777777" w:rsidR="0056390C" w:rsidRPr="0056390C" w:rsidRDefault="0056390C" w:rsidP="00484306">
      <w:pPr>
        <w:pStyle w:val="BodyText"/>
        <w:spacing w:line="480" w:lineRule="auto"/>
        <w:ind w:left="1031" w:right="2033"/>
        <w:rPr>
          <w:rFonts w:ascii="Times New Roman" w:hAnsi="Times New Roman" w:cs="Times New Roman"/>
          <w:color w:val="000000" w:themeColor="text1"/>
          <w:sz w:val="24"/>
          <w:szCs w:val="24"/>
        </w:rPr>
      </w:pPr>
      <w:r w:rsidRPr="0056390C">
        <w:rPr>
          <w:rFonts w:ascii="Times New Roman" w:hAnsi="Times New Roman" w:cs="Times New Roman"/>
          <w:color w:val="000000" w:themeColor="text1"/>
          <w:w w:val="105"/>
          <w:sz w:val="24"/>
          <w:szCs w:val="24"/>
        </w:rPr>
        <w:t>Informed about the prohibition of drinking alcohol and driving vehicles until the individual sensitivity to</w:t>
      </w:r>
      <w:r w:rsidRPr="0056390C">
        <w:rPr>
          <w:rFonts w:ascii="Times New Roman" w:hAnsi="Times New Roman" w:cs="Times New Roman"/>
          <w:color w:val="000000" w:themeColor="text1"/>
          <w:spacing w:val="-53"/>
          <w:w w:val="105"/>
          <w:sz w:val="24"/>
          <w:szCs w:val="24"/>
        </w:rPr>
        <w:t xml:space="preserve"> </w:t>
      </w:r>
      <w:r w:rsidRPr="0056390C">
        <w:rPr>
          <w:rFonts w:ascii="Times New Roman" w:hAnsi="Times New Roman" w:cs="Times New Roman"/>
          <w:color w:val="000000" w:themeColor="text1"/>
          <w:w w:val="105"/>
          <w:sz w:val="24"/>
          <w:szCs w:val="24"/>
        </w:rPr>
        <w:t>the</w:t>
      </w:r>
      <w:r w:rsidRPr="0056390C">
        <w:rPr>
          <w:rFonts w:ascii="Times New Roman" w:hAnsi="Times New Roman" w:cs="Times New Roman"/>
          <w:color w:val="000000" w:themeColor="text1"/>
          <w:spacing w:val="11"/>
          <w:w w:val="105"/>
          <w:sz w:val="24"/>
          <w:szCs w:val="24"/>
        </w:rPr>
        <w:t xml:space="preserve"> </w:t>
      </w:r>
      <w:r w:rsidRPr="0056390C">
        <w:rPr>
          <w:rFonts w:ascii="Times New Roman" w:hAnsi="Times New Roman" w:cs="Times New Roman"/>
          <w:color w:val="000000" w:themeColor="text1"/>
          <w:w w:val="105"/>
          <w:sz w:val="24"/>
          <w:szCs w:val="24"/>
        </w:rPr>
        <w:t>drug</w:t>
      </w:r>
      <w:r w:rsidRPr="0056390C">
        <w:rPr>
          <w:rFonts w:ascii="Times New Roman" w:hAnsi="Times New Roman" w:cs="Times New Roman"/>
          <w:color w:val="000000" w:themeColor="text1"/>
          <w:spacing w:val="-9"/>
          <w:w w:val="105"/>
          <w:sz w:val="24"/>
          <w:szCs w:val="24"/>
        </w:rPr>
        <w:t xml:space="preserve"> </w:t>
      </w:r>
      <w:r w:rsidRPr="0056390C">
        <w:rPr>
          <w:rFonts w:ascii="Times New Roman" w:hAnsi="Times New Roman" w:cs="Times New Roman"/>
          <w:color w:val="000000" w:themeColor="text1"/>
          <w:w w:val="105"/>
          <w:sz w:val="24"/>
          <w:szCs w:val="24"/>
        </w:rPr>
        <w:t>is</w:t>
      </w:r>
      <w:r w:rsidRPr="0056390C">
        <w:rPr>
          <w:rFonts w:ascii="Times New Roman" w:hAnsi="Times New Roman" w:cs="Times New Roman"/>
          <w:color w:val="000000" w:themeColor="text1"/>
          <w:spacing w:val="-9"/>
          <w:w w:val="105"/>
          <w:sz w:val="24"/>
          <w:szCs w:val="24"/>
        </w:rPr>
        <w:t xml:space="preserve"> </w:t>
      </w:r>
      <w:r w:rsidRPr="0056390C">
        <w:rPr>
          <w:rFonts w:ascii="Times New Roman" w:hAnsi="Times New Roman" w:cs="Times New Roman"/>
          <w:color w:val="000000" w:themeColor="text1"/>
          <w:w w:val="105"/>
          <w:sz w:val="24"/>
          <w:szCs w:val="24"/>
        </w:rPr>
        <w:t>established.</w:t>
      </w:r>
    </w:p>
    <w:p w14:paraId="566B3D97" w14:textId="77777777" w:rsidR="003B2457" w:rsidRPr="0056390C" w:rsidRDefault="0056390C" w:rsidP="0056390C">
      <w:pPr>
        <w:pStyle w:val="BodyText"/>
        <w:spacing w:before="149"/>
        <w:ind w:left="1035"/>
        <w:rPr>
          <w:rFonts w:ascii="Times New Roman" w:hAnsi="Times New Roman" w:cs="Times New Roman"/>
          <w:color w:val="000000" w:themeColor="text1"/>
          <w:sz w:val="24"/>
          <w:szCs w:val="24"/>
        </w:rPr>
      </w:pPr>
      <w:r w:rsidRPr="0056390C">
        <w:rPr>
          <w:rFonts w:ascii="Times New Roman" w:hAnsi="Times New Roman" w:cs="Times New Roman"/>
          <w:color w:val="000000" w:themeColor="text1"/>
          <w:sz w:val="24"/>
          <w:szCs w:val="24"/>
        </w:rPr>
        <w:t>The</w:t>
      </w:r>
      <w:r w:rsidRPr="0056390C">
        <w:rPr>
          <w:rFonts w:ascii="Times New Roman" w:hAnsi="Times New Roman" w:cs="Times New Roman"/>
          <w:color w:val="000000" w:themeColor="text1"/>
          <w:spacing w:val="10"/>
          <w:sz w:val="24"/>
          <w:szCs w:val="24"/>
        </w:rPr>
        <w:t xml:space="preserve"> </w:t>
      </w:r>
      <w:r w:rsidRPr="0056390C">
        <w:rPr>
          <w:rFonts w:ascii="Times New Roman" w:hAnsi="Times New Roman" w:cs="Times New Roman"/>
          <w:color w:val="000000" w:themeColor="text1"/>
          <w:sz w:val="24"/>
          <w:szCs w:val="24"/>
        </w:rPr>
        <w:t>maximum</w:t>
      </w:r>
      <w:r w:rsidRPr="0056390C">
        <w:rPr>
          <w:rFonts w:ascii="Times New Roman" w:hAnsi="Times New Roman" w:cs="Times New Roman"/>
          <w:color w:val="000000" w:themeColor="text1"/>
          <w:spacing w:val="14"/>
          <w:sz w:val="24"/>
          <w:szCs w:val="24"/>
        </w:rPr>
        <w:t xml:space="preserve"> </w:t>
      </w:r>
      <w:r w:rsidRPr="0056390C">
        <w:rPr>
          <w:rFonts w:ascii="Times New Roman" w:hAnsi="Times New Roman" w:cs="Times New Roman"/>
          <w:color w:val="000000" w:themeColor="text1"/>
          <w:sz w:val="24"/>
          <w:szCs w:val="24"/>
        </w:rPr>
        <w:t>dose</w:t>
      </w:r>
      <w:r w:rsidRPr="0056390C">
        <w:rPr>
          <w:rFonts w:ascii="Times New Roman" w:hAnsi="Times New Roman" w:cs="Times New Roman"/>
          <w:color w:val="000000" w:themeColor="text1"/>
          <w:spacing w:val="15"/>
          <w:sz w:val="24"/>
          <w:szCs w:val="24"/>
        </w:rPr>
        <w:t xml:space="preserve"> </w:t>
      </w:r>
      <w:r w:rsidRPr="0056390C">
        <w:rPr>
          <w:rFonts w:ascii="Times New Roman" w:hAnsi="Times New Roman" w:cs="Times New Roman"/>
          <w:color w:val="000000" w:themeColor="text1"/>
          <w:sz w:val="24"/>
          <w:szCs w:val="24"/>
        </w:rPr>
        <w:t>of</w:t>
      </w:r>
      <w:r w:rsidR="004E6C74">
        <w:rPr>
          <w:rFonts w:ascii="Times New Roman" w:hAnsi="Times New Roman" w:cs="Times New Roman"/>
          <w:color w:val="000000" w:themeColor="text1"/>
          <w:spacing w:val="2"/>
          <w:sz w:val="24"/>
          <w:szCs w:val="24"/>
        </w:rPr>
        <w:t xml:space="preserve"> </w:t>
      </w:r>
      <w:r w:rsidRPr="0056390C">
        <w:rPr>
          <w:rFonts w:ascii="Times New Roman" w:hAnsi="Times New Roman" w:cs="Times New Roman"/>
          <w:color w:val="000000" w:themeColor="text1"/>
          <w:sz w:val="24"/>
          <w:szCs w:val="24"/>
        </w:rPr>
        <w:t>Hydroxyzine</w:t>
      </w:r>
      <w:r w:rsidR="0091477E">
        <w:rPr>
          <w:rFonts w:ascii="Times New Roman" w:hAnsi="Times New Roman" w:cs="Times New Roman"/>
          <w:color w:val="000000" w:themeColor="text1"/>
          <w:sz w:val="24"/>
          <w:szCs w:val="24"/>
        </w:rPr>
        <w:t xml:space="preserve"> </w:t>
      </w:r>
      <w:r w:rsidRPr="0056390C">
        <w:rPr>
          <w:rFonts w:ascii="Times New Roman" w:hAnsi="Times New Roman" w:cs="Times New Roman"/>
          <w:color w:val="000000" w:themeColor="text1"/>
          <w:sz w:val="24"/>
          <w:szCs w:val="24"/>
        </w:rPr>
        <w:t>=</w:t>
      </w:r>
      <w:r w:rsidRPr="0056390C">
        <w:rPr>
          <w:rFonts w:ascii="Times New Roman" w:hAnsi="Times New Roman" w:cs="Times New Roman"/>
          <w:color w:val="000000" w:themeColor="text1"/>
          <w:spacing w:val="15"/>
          <w:sz w:val="24"/>
          <w:szCs w:val="24"/>
        </w:rPr>
        <w:t xml:space="preserve"> </w:t>
      </w:r>
      <w:r w:rsidRPr="0056390C">
        <w:rPr>
          <w:rFonts w:ascii="Times New Roman" w:hAnsi="Times New Roman" w:cs="Times New Roman"/>
          <w:color w:val="000000" w:themeColor="text1"/>
          <w:sz w:val="24"/>
          <w:szCs w:val="24"/>
        </w:rPr>
        <w:t>100</w:t>
      </w:r>
      <w:r w:rsidRPr="0056390C">
        <w:rPr>
          <w:rFonts w:ascii="Times New Roman" w:hAnsi="Times New Roman" w:cs="Times New Roman"/>
          <w:color w:val="000000" w:themeColor="text1"/>
          <w:spacing w:val="1"/>
          <w:sz w:val="24"/>
          <w:szCs w:val="24"/>
        </w:rPr>
        <w:t xml:space="preserve"> </w:t>
      </w:r>
      <w:r w:rsidRPr="0056390C">
        <w:rPr>
          <w:rFonts w:ascii="Times New Roman" w:hAnsi="Times New Roman" w:cs="Times New Roman"/>
          <w:color w:val="000000" w:themeColor="text1"/>
          <w:sz w:val="24"/>
          <w:szCs w:val="24"/>
        </w:rPr>
        <w:t xml:space="preserve">mg/day.” </w:t>
      </w:r>
    </w:p>
    <w:p w14:paraId="6B26A2DE" w14:textId="77777777" w:rsidR="0056390C" w:rsidRPr="0056390C" w:rsidRDefault="0056390C" w:rsidP="0056390C">
      <w:pPr>
        <w:pStyle w:val="BodyText"/>
        <w:spacing w:before="149"/>
        <w:ind w:left="1035"/>
        <w:rPr>
          <w:rFonts w:ascii="Times New Roman" w:hAnsi="Times New Roman" w:cs="Times New Roman"/>
          <w:color w:val="000000" w:themeColor="text1"/>
          <w:sz w:val="24"/>
          <w:szCs w:val="24"/>
        </w:rPr>
      </w:pPr>
    </w:p>
    <w:p w14:paraId="444316C2" w14:textId="77777777" w:rsidR="003B2457" w:rsidRPr="0056390C" w:rsidRDefault="003B2457" w:rsidP="003B2457">
      <w:pPr>
        <w:pStyle w:val="ListParagraph"/>
        <w:numPr>
          <w:ilvl w:val="0"/>
          <w:numId w:val="5"/>
        </w:numPr>
        <w:spacing w:line="480" w:lineRule="auto"/>
        <w:rPr>
          <w:color w:val="000000" w:themeColor="text1"/>
        </w:rPr>
      </w:pPr>
      <w:r w:rsidRPr="0056390C">
        <w:rPr>
          <w:color w:val="000000" w:themeColor="text1"/>
        </w:rPr>
        <w:t xml:space="preserve">Report from Dr Patrick Lynch dated the </w:t>
      </w:r>
      <w:proofErr w:type="gramStart"/>
      <w:r w:rsidR="00484306">
        <w:rPr>
          <w:color w:val="000000" w:themeColor="text1"/>
        </w:rPr>
        <w:t>21</w:t>
      </w:r>
      <w:r w:rsidR="00484306" w:rsidRPr="00484306">
        <w:rPr>
          <w:color w:val="000000" w:themeColor="text1"/>
          <w:vertAlign w:val="superscript"/>
        </w:rPr>
        <w:t>st</w:t>
      </w:r>
      <w:proofErr w:type="gramEnd"/>
      <w:r w:rsidR="00484306">
        <w:rPr>
          <w:color w:val="000000" w:themeColor="text1"/>
        </w:rPr>
        <w:t xml:space="preserve"> March 2022 </w:t>
      </w:r>
      <w:r w:rsidR="000225E9" w:rsidRPr="0056390C">
        <w:rPr>
          <w:color w:val="000000" w:themeColor="text1"/>
        </w:rPr>
        <w:t>wherein he states:</w:t>
      </w:r>
    </w:p>
    <w:p w14:paraId="5CCCF0E8" w14:textId="77777777" w:rsidR="000225E9" w:rsidRPr="0056390C" w:rsidRDefault="000225E9" w:rsidP="00484306">
      <w:pPr>
        <w:spacing w:line="480" w:lineRule="auto"/>
        <w:ind w:left="737"/>
        <w:rPr>
          <w:color w:val="000000" w:themeColor="text1"/>
        </w:rPr>
      </w:pPr>
      <w:r w:rsidRPr="0056390C">
        <w:rPr>
          <w:color w:val="000000" w:themeColor="text1"/>
        </w:rPr>
        <w:t xml:space="preserve">“Mr. </w:t>
      </w:r>
      <w:proofErr w:type="spellStart"/>
      <w:r w:rsidRPr="0056390C">
        <w:rPr>
          <w:color w:val="000000" w:themeColor="text1"/>
        </w:rPr>
        <w:t>Boncho</w:t>
      </w:r>
      <w:proofErr w:type="spellEnd"/>
      <w:r w:rsidRPr="0056390C">
        <w:rPr>
          <w:color w:val="000000" w:themeColor="text1"/>
        </w:rPr>
        <w:t xml:space="preserve"> </w:t>
      </w:r>
      <w:proofErr w:type="spellStart"/>
      <w:r w:rsidRPr="0056390C">
        <w:rPr>
          <w:color w:val="000000" w:themeColor="text1"/>
        </w:rPr>
        <w:t>Asenov</w:t>
      </w:r>
      <w:proofErr w:type="spellEnd"/>
      <w:r w:rsidRPr="0056390C">
        <w:rPr>
          <w:color w:val="000000" w:themeColor="text1"/>
        </w:rPr>
        <w:t xml:space="preserve"> attended me today in my surgery for the first time.</w:t>
      </w:r>
    </w:p>
    <w:p w14:paraId="3D42EBB8" w14:textId="77777777" w:rsidR="000225E9" w:rsidRPr="0056390C" w:rsidRDefault="000225E9" w:rsidP="00484306">
      <w:pPr>
        <w:spacing w:line="480" w:lineRule="auto"/>
        <w:ind w:left="737"/>
        <w:rPr>
          <w:color w:val="000000" w:themeColor="text1"/>
        </w:rPr>
      </w:pPr>
      <w:r w:rsidRPr="0056390C">
        <w:rPr>
          <w:color w:val="000000" w:themeColor="text1"/>
        </w:rPr>
        <w:lastRenderedPageBreak/>
        <w:t>He showed me documentation which confirmed that he had been under psychiatric care in Poland since 24 January 2022, where he had been treated for adjustment disorder and personality disorder.</w:t>
      </w:r>
    </w:p>
    <w:p w14:paraId="4B59B9D9" w14:textId="77777777" w:rsidR="000225E9" w:rsidRPr="0056390C" w:rsidRDefault="000225E9" w:rsidP="00484306">
      <w:pPr>
        <w:spacing w:line="480" w:lineRule="auto"/>
        <w:ind w:left="737"/>
        <w:rPr>
          <w:color w:val="000000" w:themeColor="text1"/>
        </w:rPr>
      </w:pPr>
      <w:r w:rsidRPr="0056390C">
        <w:rPr>
          <w:color w:val="000000" w:themeColor="text1"/>
        </w:rPr>
        <w:t>He showed me a prescription and pharmacists receipt confirming that he had been prescribed, and dispensed, the following medication:</w:t>
      </w:r>
    </w:p>
    <w:p w14:paraId="4C3BA906" w14:textId="77777777" w:rsidR="000225E9" w:rsidRPr="0056390C" w:rsidRDefault="000225E9" w:rsidP="00484306">
      <w:pPr>
        <w:spacing w:line="480" w:lineRule="auto"/>
        <w:ind w:left="737"/>
        <w:rPr>
          <w:color w:val="000000" w:themeColor="text1"/>
        </w:rPr>
      </w:pPr>
      <w:r w:rsidRPr="0056390C">
        <w:rPr>
          <w:color w:val="000000" w:themeColor="text1"/>
        </w:rPr>
        <w:t>Epilim Chrono 300mg, two to be taken daily – a mood stabilising medication Atarax 25mg (Hydroxyzine), one or two to be taken as needed (an antihistamine sedative)</w:t>
      </w:r>
    </w:p>
    <w:p w14:paraId="27D03A4D" w14:textId="77777777" w:rsidR="000225E9" w:rsidRPr="0056390C" w:rsidRDefault="000225E9" w:rsidP="00484306">
      <w:pPr>
        <w:spacing w:line="480" w:lineRule="auto"/>
        <w:ind w:left="737"/>
        <w:rPr>
          <w:color w:val="000000" w:themeColor="text1"/>
        </w:rPr>
      </w:pPr>
      <w:proofErr w:type="spellStart"/>
      <w:r w:rsidRPr="0056390C">
        <w:rPr>
          <w:color w:val="000000" w:themeColor="text1"/>
        </w:rPr>
        <w:t>Chlorprothixen</w:t>
      </w:r>
      <w:proofErr w:type="spellEnd"/>
      <w:r w:rsidRPr="0056390C">
        <w:rPr>
          <w:color w:val="000000" w:themeColor="text1"/>
        </w:rPr>
        <w:t xml:space="preserve"> 15mg – an antipsychotic medication.</w:t>
      </w:r>
    </w:p>
    <w:p w14:paraId="7A595DC2" w14:textId="77777777" w:rsidR="000225E9" w:rsidRPr="0056390C" w:rsidRDefault="000225E9" w:rsidP="00484306">
      <w:pPr>
        <w:spacing w:line="480" w:lineRule="auto"/>
        <w:ind w:left="737"/>
        <w:rPr>
          <w:color w:val="000000" w:themeColor="text1"/>
        </w:rPr>
      </w:pPr>
      <w:r w:rsidRPr="0056390C">
        <w:rPr>
          <w:color w:val="000000" w:themeColor="text1"/>
        </w:rPr>
        <w:t>From the information available to me and my limited contact with the patient, it is difficult to pronounce on the severity of the disorder, but it was certainly considered significant to judge by the medication prescribed. It seems more likely that he would have intended to take medication of this nature long-term, especially mood stabilising medication like Epilim.”</w:t>
      </w:r>
    </w:p>
    <w:p w14:paraId="516EC7BF" w14:textId="77777777" w:rsidR="0056390C" w:rsidRPr="0056390C" w:rsidRDefault="003B2457" w:rsidP="0056390C">
      <w:pPr>
        <w:pStyle w:val="ListParagraph"/>
        <w:numPr>
          <w:ilvl w:val="0"/>
          <w:numId w:val="5"/>
        </w:numPr>
        <w:spacing w:line="480" w:lineRule="auto"/>
        <w:rPr>
          <w:color w:val="000000" w:themeColor="text1"/>
        </w:rPr>
      </w:pPr>
      <w:r w:rsidRPr="0056390C">
        <w:rPr>
          <w:color w:val="000000" w:themeColor="text1"/>
        </w:rPr>
        <w:t xml:space="preserve">Prison medical records from February 2022 of significance is an entry dated </w:t>
      </w:r>
      <w:r w:rsidR="00484306">
        <w:rPr>
          <w:color w:val="000000" w:themeColor="text1"/>
        </w:rPr>
        <w:t>1</w:t>
      </w:r>
      <w:r w:rsidR="00484306" w:rsidRPr="00484306">
        <w:rPr>
          <w:color w:val="000000" w:themeColor="text1"/>
          <w:vertAlign w:val="superscript"/>
        </w:rPr>
        <w:t>st</w:t>
      </w:r>
      <w:r w:rsidR="00484306">
        <w:rPr>
          <w:color w:val="000000" w:themeColor="text1"/>
        </w:rPr>
        <w:t xml:space="preserve"> February 2022 </w:t>
      </w:r>
      <w:r w:rsidR="0056390C">
        <w:rPr>
          <w:color w:val="000000" w:themeColor="text1"/>
        </w:rPr>
        <w:t xml:space="preserve">from </w:t>
      </w:r>
      <w:r w:rsidRPr="0056390C">
        <w:rPr>
          <w:color w:val="000000" w:themeColor="text1"/>
        </w:rPr>
        <w:t>nurse Miriam Dunne &amp; the</w:t>
      </w:r>
      <w:r w:rsidR="0056390C">
        <w:rPr>
          <w:color w:val="000000" w:themeColor="text1"/>
        </w:rPr>
        <w:t xml:space="preserve"> </w:t>
      </w:r>
      <w:proofErr w:type="gramStart"/>
      <w:r w:rsidR="00484306">
        <w:rPr>
          <w:color w:val="000000" w:themeColor="text1"/>
        </w:rPr>
        <w:t>2</w:t>
      </w:r>
      <w:r w:rsidR="00484306" w:rsidRPr="00484306">
        <w:rPr>
          <w:color w:val="000000" w:themeColor="text1"/>
          <w:vertAlign w:val="superscript"/>
        </w:rPr>
        <w:t>nd</w:t>
      </w:r>
      <w:proofErr w:type="gramEnd"/>
      <w:r w:rsidR="00484306">
        <w:rPr>
          <w:color w:val="000000" w:themeColor="text1"/>
        </w:rPr>
        <w:t xml:space="preserve"> February 2022</w:t>
      </w:r>
      <w:r w:rsidRPr="0056390C">
        <w:rPr>
          <w:color w:val="000000" w:themeColor="text1"/>
          <w:vertAlign w:val="superscript"/>
        </w:rPr>
        <w:t xml:space="preserve"> </w:t>
      </w:r>
      <w:r w:rsidRPr="0056390C">
        <w:rPr>
          <w:color w:val="000000" w:themeColor="text1"/>
        </w:rPr>
        <w:t xml:space="preserve">from Dr </w:t>
      </w:r>
      <w:proofErr w:type="spellStart"/>
      <w:r w:rsidRPr="0056390C">
        <w:rPr>
          <w:color w:val="000000" w:themeColor="text1"/>
        </w:rPr>
        <w:t>Elkerany</w:t>
      </w:r>
      <w:proofErr w:type="spellEnd"/>
      <w:r w:rsidR="00812F8B" w:rsidRPr="0056390C">
        <w:rPr>
          <w:color w:val="000000" w:themeColor="text1"/>
        </w:rPr>
        <w:t>:</w:t>
      </w:r>
    </w:p>
    <w:p w14:paraId="21F1D65C" w14:textId="77777777" w:rsidR="0056390C" w:rsidRDefault="0056390C" w:rsidP="0056390C">
      <w:pPr>
        <w:pStyle w:val="ListParagraph"/>
        <w:spacing w:line="480" w:lineRule="auto"/>
        <w:ind w:left="1440"/>
        <w:rPr>
          <w:color w:val="000000" w:themeColor="text1"/>
          <w:w w:val="105"/>
        </w:rPr>
      </w:pPr>
      <w:r>
        <w:rPr>
          <w:color w:val="000000" w:themeColor="text1"/>
          <w:w w:val="105"/>
        </w:rPr>
        <w:t>New Committal:</w:t>
      </w:r>
    </w:p>
    <w:p w14:paraId="55B95772" w14:textId="77777777" w:rsidR="003B2457" w:rsidRPr="0056390C" w:rsidRDefault="0056390C" w:rsidP="0056390C">
      <w:pPr>
        <w:pStyle w:val="ListParagraph"/>
        <w:spacing w:line="480" w:lineRule="auto"/>
        <w:ind w:left="1440"/>
        <w:rPr>
          <w:color w:val="000000" w:themeColor="text1"/>
          <w:w w:val="105"/>
        </w:rPr>
      </w:pPr>
      <w:r w:rsidRPr="0056390C">
        <w:rPr>
          <w:color w:val="000000" w:themeColor="text1"/>
          <w:w w:val="105"/>
        </w:rPr>
        <w:t>Hx</w:t>
      </w:r>
      <w:r w:rsidRPr="0056390C">
        <w:rPr>
          <w:color w:val="000000" w:themeColor="text1"/>
          <w:spacing w:val="-7"/>
          <w:w w:val="105"/>
        </w:rPr>
        <w:t xml:space="preserve"> </w:t>
      </w:r>
      <w:r w:rsidRPr="0056390C">
        <w:rPr>
          <w:color w:val="000000" w:themeColor="text1"/>
          <w:w w:val="105"/>
        </w:rPr>
        <w:t>anxiety/panic</w:t>
      </w:r>
      <w:r w:rsidRPr="0056390C">
        <w:rPr>
          <w:color w:val="000000" w:themeColor="text1"/>
          <w:spacing w:val="33"/>
          <w:w w:val="105"/>
        </w:rPr>
        <w:t xml:space="preserve"> </w:t>
      </w:r>
      <w:r w:rsidRPr="0056390C">
        <w:rPr>
          <w:color w:val="000000" w:themeColor="text1"/>
          <w:w w:val="105"/>
        </w:rPr>
        <w:t>attacks. Was</w:t>
      </w:r>
      <w:r w:rsidRPr="0056390C">
        <w:rPr>
          <w:color w:val="000000" w:themeColor="text1"/>
          <w:spacing w:val="11"/>
          <w:w w:val="105"/>
        </w:rPr>
        <w:t xml:space="preserve"> </w:t>
      </w:r>
      <w:r w:rsidRPr="0056390C">
        <w:rPr>
          <w:color w:val="000000" w:themeColor="text1"/>
          <w:w w:val="105"/>
        </w:rPr>
        <w:t>medicating</w:t>
      </w:r>
      <w:r w:rsidRPr="0056390C">
        <w:rPr>
          <w:color w:val="000000" w:themeColor="text1"/>
          <w:spacing w:val="13"/>
          <w:w w:val="105"/>
        </w:rPr>
        <w:t xml:space="preserve"> </w:t>
      </w:r>
      <w:r w:rsidRPr="0056390C">
        <w:rPr>
          <w:color w:val="000000" w:themeColor="text1"/>
          <w:w w:val="105"/>
        </w:rPr>
        <w:t>through</w:t>
      </w:r>
      <w:r w:rsidRPr="0056390C">
        <w:rPr>
          <w:color w:val="000000" w:themeColor="text1"/>
          <w:spacing w:val="10"/>
          <w:w w:val="105"/>
        </w:rPr>
        <w:t xml:space="preserve"> </w:t>
      </w:r>
      <w:r w:rsidRPr="0056390C">
        <w:rPr>
          <w:color w:val="000000" w:themeColor="text1"/>
          <w:w w:val="105"/>
        </w:rPr>
        <w:t>doctor</w:t>
      </w:r>
      <w:r w:rsidRPr="0056390C">
        <w:rPr>
          <w:color w:val="000000" w:themeColor="text1"/>
          <w:spacing w:val="7"/>
          <w:w w:val="105"/>
        </w:rPr>
        <w:t xml:space="preserve"> </w:t>
      </w:r>
      <w:r w:rsidRPr="0056390C">
        <w:rPr>
          <w:color w:val="000000" w:themeColor="text1"/>
          <w:w w:val="105"/>
        </w:rPr>
        <w:t>in</w:t>
      </w:r>
      <w:r w:rsidRPr="0056390C">
        <w:rPr>
          <w:color w:val="000000" w:themeColor="text1"/>
          <w:spacing w:val="-9"/>
          <w:w w:val="105"/>
        </w:rPr>
        <w:t xml:space="preserve"> </w:t>
      </w:r>
      <w:r w:rsidRPr="0056390C">
        <w:rPr>
          <w:color w:val="000000" w:themeColor="text1"/>
          <w:w w:val="105"/>
        </w:rPr>
        <w:t xml:space="preserve">Bulgaria. </w:t>
      </w:r>
      <w:r w:rsidRPr="0056390C">
        <w:rPr>
          <w:color w:val="000000" w:themeColor="text1"/>
          <w:spacing w:val="-1"/>
          <w:w w:val="105"/>
        </w:rPr>
        <w:t>He</w:t>
      </w:r>
      <w:r w:rsidRPr="0056390C">
        <w:rPr>
          <w:color w:val="000000" w:themeColor="text1"/>
          <w:spacing w:val="-4"/>
          <w:w w:val="105"/>
        </w:rPr>
        <w:t xml:space="preserve"> </w:t>
      </w:r>
      <w:r w:rsidRPr="0056390C">
        <w:rPr>
          <w:color w:val="000000" w:themeColor="text1"/>
          <w:spacing w:val="-1"/>
          <w:w w:val="105"/>
        </w:rPr>
        <w:t>didn't</w:t>
      </w:r>
      <w:r w:rsidRPr="0056390C">
        <w:rPr>
          <w:color w:val="000000" w:themeColor="text1"/>
          <w:spacing w:val="1"/>
          <w:w w:val="105"/>
        </w:rPr>
        <w:t xml:space="preserve"> </w:t>
      </w:r>
      <w:r w:rsidRPr="0056390C">
        <w:rPr>
          <w:color w:val="000000" w:themeColor="text1"/>
          <w:spacing w:val="-1"/>
          <w:w w:val="105"/>
        </w:rPr>
        <w:t>attend</w:t>
      </w:r>
      <w:r w:rsidRPr="0056390C">
        <w:rPr>
          <w:color w:val="000000" w:themeColor="text1"/>
          <w:spacing w:val="4"/>
          <w:w w:val="105"/>
        </w:rPr>
        <w:t xml:space="preserve"> </w:t>
      </w:r>
      <w:r w:rsidRPr="0056390C">
        <w:rPr>
          <w:color w:val="000000" w:themeColor="text1"/>
          <w:spacing w:val="-1"/>
          <w:w w:val="105"/>
        </w:rPr>
        <w:t>any</w:t>
      </w:r>
      <w:r w:rsidRPr="0056390C">
        <w:rPr>
          <w:color w:val="000000" w:themeColor="text1"/>
          <w:spacing w:val="6"/>
          <w:w w:val="105"/>
        </w:rPr>
        <w:t xml:space="preserve"> </w:t>
      </w:r>
      <w:r w:rsidRPr="0056390C">
        <w:rPr>
          <w:color w:val="000000" w:themeColor="text1"/>
          <w:spacing w:val="-1"/>
          <w:w w:val="105"/>
        </w:rPr>
        <w:t>GP</w:t>
      </w:r>
      <w:r w:rsidRPr="0056390C">
        <w:rPr>
          <w:color w:val="000000" w:themeColor="text1"/>
          <w:spacing w:val="-8"/>
          <w:w w:val="105"/>
        </w:rPr>
        <w:t xml:space="preserve"> </w:t>
      </w:r>
      <w:r w:rsidRPr="0056390C">
        <w:rPr>
          <w:color w:val="000000" w:themeColor="text1"/>
          <w:w w:val="105"/>
        </w:rPr>
        <w:t>clinic</w:t>
      </w:r>
      <w:r w:rsidRPr="0056390C">
        <w:rPr>
          <w:color w:val="000000" w:themeColor="text1"/>
          <w:spacing w:val="1"/>
          <w:w w:val="105"/>
        </w:rPr>
        <w:t xml:space="preserve"> </w:t>
      </w:r>
      <w:r w:rsidRPr="0056390C">
        <w:rPr>
          <w:color w:val="000000" w:themeColor="text1"/>
          <w:w w:val="105"/>
        </w:rPr>
        <w:t>although</w:t>
      </w:r>
      <w:r w:rsidRPr="0056390C">
        <w:rPr>
          <w:color w:val="000000" w:themeColor="text1"/>
          <w:spacing w:val="-1"/>
          <w:w w:val="105"/>
        </w:rPr>
        <w:t xml:space="preserve"> </w:t>
      </w:r>
      <w:r w:rsidRPr="0056390C">
        <w:rPr>
          <w:color w:val="000000" w:themeColor="text1"/>
          <w:w w:val="105"/>
        </w:rPr>
        <w:t>he</w:t>
      </w:r>
      <w:r w:rsidRPr="0056390C">
        <w:rPr>
          <w:color w:val="000000" w:themeColor="text1"/>
          <w:spacing w:val="3"/>
          <w:w w:val="105"/>
        </w:rPr>
        <w:t xml:space="preserve"> </w:t>
      </w:r>
      <w:r w:rsidRPr="0056390C">
        <w:rPr>
          <w:color w:val="000000" w:themeColor="text1"/>
          <w:w w:val="105"/>
        </w:rPr>
        <w:t>is</w:t>
      </w:r>
      <w:r w:rsidRPr="0056390C">
        <w:rPr>
          <w:color w:val="000000" w:themeColor="text1"/>
          <w:spacing w:val="-3"/>
          <w:w w:val="105"/>
        </w:rPr>
        <w:t xml:space="preserve"> </w:t>
      </w:r>
      <w:r w:rsidRPr="0056390C">
        <w:rPr>
          <w:color w:val="000000" w:themeColor="text1"/>
          <w:w w:val="105"/>
        </w:rPr>
        <w:t>living</w:t>
      </w:r>
      <w:r w:rsidRPr="0056390C">
        <w:rPr>
          <w:color w:val="000000" w:themeColor="text1"/>
          <w:spacing w:val="-9"/>
          <w:w w:val="105"/>
        </w:rPr>
        <w:t xml:space="preserve"> </w:t>
      </w:r>
      <w:r w:rsidRPr="0056390C">
        <w:rPr>
          <w:color w:val="000000" w:themeColor="text1"/>
          <w:w w:val="105"/>
        </w:rPr>
        <w:t>in</w:t>
      </w:r>
      <w:r w:rsidRPr="0056390C">
        <w:rPr>
          <w:color w:val="000000" w:themeColor="text1"/>
          <w:spacing w:val="-9"/>
          <w:w w:val="105"/>
        </w:rPr>
        <w:t xml:space="preserve"> </w:t>
      </w:r>
      <w:r w:rsidRPr="0056390C">
        <w:rPr>
          <w:color w:val="000000" w:themeColor="text1"/>
          <w:w w:val="105"/>
        </w:rPr>
        <w:t>Ireland</w:t>
      </w:r>
      <w:r w:rsidRPr="0056390C">
        <w:rPr>
          <w:color w:val="000000" w:themeColor="text1"/>
          <w:spacing w:val="4"/>
          <w:w w:val="105"/>
        </w:rPr>
        <w:t xml:space="preserve"> </w:t>
      </w:r>
      <w:r w:rsidRPr="0056390C">
        <w:rPr>
          <w:color w:val="000000" w:themeColor="text1"/>
          <w:w w:val="105"/>
        </w:rPr>
        <w:t>15</w:t>
      </w:r>
      <w:r w:rsidRPr="0056390C">
        <w:rPr>
          <w:color w:val="000000" w:themeColor="text1"/>
          <w:spacing w:val="-15"/>
          <w:w w:val="105"/>
        </w:rPr>
        <w:t xml:space="preserve"> </w:t>
      </w:r>
      <w:r w:rsidRPr="0056390C">
        <w:rPr>
          <w:color w:val="000000" w:themeColor="text1"/>
          <w:w w:val="105"/>
        </w:rPr>
        <w:t>years,</w:t>
      </w:r>
      <w:r w:rsidRPr="0056390C">
        <w:rPr>
          <w:color w:val="000000" w:themeColor="text1"/>
          <w:spacing w:val="-1"/>
          <w:w w:val="105"/>
        </w:rPr>
        <w:t xml:space="preserve"> </w:t>
      </w:r>
      <w:r w:rsidRPr="0056390C">
        <w:rPr>
          <w:color w:val="000000" w:themeColor="text1"/>
          <w:w w:val="105"/>
        </w:rPr>
        <w:t>works</w:t>
      </w:r>
      <w:r w:rsidRPr="0056390C">
        <w:rPr>
          <w:color w:val="000000" w:themeColor="text1"/>
          <w:spacing w:val="-7"/>
          <w:w w:val="105"/>
        </w:rPr>
        <w:t xml:space="preserve"> </w:t>
      </w:r>
      <w:r w:rsidRPr="0056390C">
        <w:rPr>
          <w:color w:val="000000" w:themeColor="text1"/>
          <w:w w:val="105"/>
        </w:rPr>
        <w:t>as</w:t>
      </w:r>
      <w:r w:rsidRPr="0056390C">
        <w:rPr>
          <w:color w:val="000000" w:themeColor="text1"/>
          <w:spacing w:val="-11"/>
          <w:w w:val="105"/>
        </w:rPr>
        <w:t xml:space="preserve"> </w:t>
      </w:r>
      <w:r w:rsidRPr="0056390C">
        <w:rPr>
          <w:color w:val="000000" w:themeColor="text1"/>
          <w:w w:val="105"/>
        </w:rPr>
        <w:t>gardener</w:t>
      </w:r>
      <w:r w:rsidRPr="0056390C">
        <w:rPr>
          <w:color w:val="000000" w:themeColor="text1"/>
          <w:spacing w:val="-52"/>
          <w:w w:val="105"/>
        </w:rPr>
        <w:t xml:space="preserve"> </w:t>
      </w:r>
      <w:r w:rsidRPr="0056390C">
        <w:rPr>
          <w:color w:val="000000" w:themeColor="text1"/>
          <w:w w:val="105"/>
        </w:rPr>
        <w:t>Speech</w:t>
      </w:r>
      <w:r w:rsidRPr="0056390C">
        <w:rPr>
          <w:color w:val="000000" w:themeColor="text1"/>
          <w:spacing w:val="2"/>
          <w:w w:val="105"/>
        </w:rPr>
        <w:t xml:space="preserve"> </w:t>
      </w:r>
      <w:r w:rsidRPr="0056390C">
        <w:rPr>
          <w:color w:val="000000" w:themeColor="text1"/>
          <w:w w:val="105"/>
        </w:rPr>
        <w:t>normal</w:t>
      </w:r>
      <w:r w:rsidRPr="0056390C">
        <w:rPr>
          <w:color w:val="000000" w:themeColor="text1"/>
          <w:spacing w:val="5"/>
          <w:w w:val="105"/>
        </w:rPr>
        <w:t xml:space="preserve"> </w:t>
      </w:r>
      <w:r w:rsidRPr="0056390C">
        <w:rPr>
          <w:color w:val="000000" w:themeColor="text1"/>
          <w:w w:val="105"/>
        </w:rPr>
        <w:t>with</w:t>
      </w:r>
      <w:r w:rsidRPr="0056390C">
        <w:rPr>
          <w:color w:val="000000" w:themeColor="text1"/>
          <w:spacing w:val="1"/>
          <w:w w:val="105"/>
        </w:rPr>
        <w:t xml:space="preserve"> </w:t>
      </w:r>
      <w:r w:rsidRPr="0056390C">
        <w:rPr>
          <w:color w:val="000000" w:themeColor="text1"/>
          <w:w w:val="105"/>
        </w:rPr>
        <w:t>basic</w:t>
      </w:r>
      <w:r w:rsidRPr="0056390C">
        <w:rPr>
          <w:color w:val="000000" w:themeColor="text1"/>
          <w:spacing w:val="6"/>
          <w:w w:val="105"/>
        </w:rPr>
        <w:t xml:space="preserve"> </w:t>
      </w:r>
      <w:r w:rsidRPr="0056390C">
        <w:rPr>
          <w:color w:val="000000" w:themeColor="text1"/>
          <w:w w:val="105"/>
        </w:rPr>
        <w:t xml:space="preserve">English. </w:t>
      </w:r>
    </w:p>
    <w:p w14:paraId="425C89F4" w14:textId="77777777" w:rsidR="0056390C" w:rsidRPr="0056390C" w:rsidRDefault="0056390C" w:rsidP="0056390C">
      <w:pPr>
        <w:pStyle w:val="ListParagraph"/>
        <w:spacing w:line="480" w:lineRule="auto"/>
        <w:ind w:left="1440"/>
        <w:rPr>
          <w:color w:val="000000" w:themeColor="text1"/>
          <w:w w:val="105"/>
        </w:rPr>
      </w:pPr>
      <w:r w:rsidRPr="0056390C">
        <w:rPr>
          <w:color w:val="000000" w:themeColor="text1"/>
          <w:w w:val="105"/>
        </w:rPr>
        <w:t>Depressed mood. Anxious and angry. No sleep.</w:t>
      </w:r>
    </w:p>
    <w:p w14:paraId="732531CD" w14:textId="77777777" w:rsidR="0056390C" w:rsidRPr="00484306" w:rsidRDefault="0056390C" w:rsidP="00484306">
      <w:pPr>
        <w:pStyle w:val="ListParagraph"/>
        <w:spacing w:line="480" w:lineRule="auto"/>
        <w:ind w:left="1440"/>
        <w:rPr>
          <w:color w:val="000000" w:themeColor="text1"/>
          <w:w w:val="105"/>
        </w:rPr>
      </w:pPr>
      <w:r w:rsidRPr="0056390C">
        <w:rPr>
          <w:color w:val="000000" w:themeColor="text1"/>
          <w:w w:val="105"/>
        </w:rPr>
        <w:t>Plan:</w:t>
      </w:r>
      <w:r>
        <w:rPr>
          <w:color w:val="000000" w:themeColor="text1"/>
          <w:w w:val="105"/>
        </w:rPr>
        <w:t xml:space="preserve"> </w:t>
      </w:r>
      <w:r w:rsidRPr="0056390C">
        <w:rPr>
          <w:color w:val="000000" w:themeColor="text1"/>
          <w:w w:val="105"/>
        </w:rPr>
        <w:t xml:space="preserve">Psychiatry review. Chat with his family if </w:t>
      </w:r>
      <w:proofErr w:type="gramStart"/>
      <w:r w:rsidRPr="0056390C">
        <w:rPr>
          <w:color w:val="000000" w:themeColor="text1"/>
          <w:w w:val="105"/>
        </w:rPr>
        <w:t>possible</w:t>
      </w:r>
      <w:proofErr w:type="gramEnd"/>
      <w:r w:rsidRPr="0056390C">
        <w:rPr>
          <w:color w:val="000000" w:themeColor="text1"/>
          <w:w w:val="105"/>
        </w:rPr>
        <w:t xml:space="preserve"> to get information about medications he is on as he claimed.</w:t>
      </w:r>
    </w:p>
    <w:p w14:paraId="74F46F58" w14:textId="77777777" w:rsidR="003B2457" w:rsidRPr="0056390C" w:rsidRDefault="003B2457" w:rsidP="003B2457">
      <w:pPr>
        <w:pStyle w:val="ListParagraph"/>
        <w:numPr>
          <w:ilvl w:val="0"/>
          <w:numId w:val="5"/>
        </w:numPr>
        <w:spacing w:line="480" w:lineRule="auto"/>
        <w:rPr>
          <w:color w:val="000000" w:themeColor="text1"/>
        </w:rPr>
      </w:pPr>
      <w:r w:rsidRPr="0056390C">
        <w:rPr>
          <w:color w:val="000000" w:themeColor="text1"/>
        </w:rPr>
        <w:t>A Hos</w:t>
      </w:r>
      <w:r w:rsidR="00484306">
        <w:rPr>
          <w:color w:val="000000" w:themeColor="text1"/>
        </w:rPr>
        <w:t xml:space="preserve">pital </w:t>
      </w:r>
      <w:r w:rsidRPr="0056390C">
        <w:rPr>
          <w:color w:val="000000" w:themeColor="text1"/>
        </w:rPr>
        <w:t>Information sheet in relation to the respondent</w:t>
      </w:r>
      <w:r w:rsidR="007F3489">
        <w:rPr>
          <w:color w:val="000000" w:themeColor="text1"/>
        </w:rPr>
        <w:t>’</w:t>
      </w:r>
      <w:r w:rsidRPr="0056390C">
        <w:rPr>
          <w:color w:val="000000" w:themeColor="text1"/>
        </w:rPr>
        <w:t>s wife from 2013</w:t>
      </w:r>
      <w:r w:rsidR="008A2FA5">
        <w:rPr>
          <w:color w:val="000000" w:themeColor="text1"/>
        </w:rPr>
        <w:t xml:space="preserve"> 2018 </w:t>
      </w:r>
      <w:r w:rsidRPr="0056390C">
        <w:rPr>
          <w:color w:val="000000" w:themeColor="text1"/>
        </w:rPr>
        <w:t>the relevant portions states</w:t>
      </w:r>
      <w:r w:rsidR="0056390C" w:rsidRPr="0056390C">
        <w:rPr>
          <w:color w:val="000000" w:themeColor="text1"/>
        </w:rPr>
        <w:t>:</w:t>
      </w:r>
    </w:p>
    <w:p w14:paraId="60607622" w14:textId="77777777" w:rsidR="003B2457" w:rsidRPr="0056390C" w:rsidRDefault="007F3489" w:rsidP="0056390C">
      <w:pPr>
        <w:pStyle w:val="ListParagraph"/>
        <w:spacing w:line="480" w:lineRule="auto"/>
        <w:ind w:left="1440"/>
        <w:rPr>
          <w:color w:val="000000" w:themeColor="text1"/>
        </w:rPr>
      </w:pPr>
      <w:r>
        <w:rPr>
          <w:color w:val="000000" w:themeColor="text1"/>
        </w:rPr>
        <w:lastRenderedPageBreak/>
        <w:t>“</w:t>
      </w:r>
      <w:r w:rsidR="0056390C" w:rsidRPr="0056390C">
        <w:rPr>
          <w:color w:val="000000" w:themeColor="text1"/>
        </w:rPr>
        <w:t>Basic Diagnosis: Paranoid schizophrenia (F20.0)</w:t>
      </w:r>
      <w:r>
        <w:rPr>
          <w:color w:val="000000" w:themeColor="text1"/>
        </w:rPr>
        <w:t>.”</w:t>
      </w:r>
    </w:p>
    <w:p w14:paraId="6FA0D73B" w14:textId="77777777" w:rsidR="008D6D66" w:rsidRDefault="008D6D66" w:rsidP="00484306">
      <w:pPr>
        <w:pStyle w:val="ListParagraph"/>
        <w:numPr>
          <w:ilvl w:val="0"/>
          <w:numId w:val="1"/>
        </w:numPr>
        <w:spacing w:line="480" w:lineRule="auto"/>
        <w:ind w:left="0" w:firstLine="0"/>
        <w:jc w:val="both"/>
        <w:rPr>
          <w:bCs/>
        </w:rPr>
      </w:pPr>
      <w:r>
        <w:rPr>
          <w:bCs/>
        </w:rPr>
        <w:t>W</w:t>
      </w:r>
      <w:r w:rsidRPr="00FA6DD9">
        <w:rPr>
          <w:bCs/>
        </w:rPr>
        <w:t xml:space="preserve">hilst lapse of time is not, on its own, a recognised a ground for refusal of surrender, delay is a recognised factor weighing into a </w:t>
      </w:r>
      <w:r>
        <w:rPr>
          <w:bCs/>
        </w:rPr>
        <w:t>c</w:t>
      </w:r>
      <w:r w:rsidRPr="00FA6DD9">
        <w:rPr>
          <w:bCs/>
        </w:rPr>
        <w:t xml:space="preserve">ourt’s cumulative </w:t>
      </w:r>
      <w:r w:rsidR="007F3489">
        <w:rPr>
          <w:bCs/>
        </w:rPr>
        <w:t xml:space="preserve">Section </w:t>
      </w:r>
      <w:r w:rsidRPr="00FA6DD9">
        <w:rPr>
          <w:bCs/>
        </w:rPr>
        <w:t>37 analysis as to whether Article 8 ECHR or other alleged breaches of rights might ground a refusal to surrender</w:t>
      </w:r>
      <w:r w:rsidR="007F3489">
        <w:rPr>
          <w:bCs/>
        </w:rPr>
        <w:t>.</w:t>
      </w:r>
      <w:r w:rsidRPr="00FA6DD9">
        <w:rPr>
          <w:bCs/>
        </w:rPr>
        <w:t xml:space="preserve"> </w:t>
      </w:r>
      <w:r w:rsidR="007F3489">
        <w:rPr>
          <w:bCs/>
        </w:rPr>
        <w:t>A</w:t>
      </w:r>
      <w:r w:rsidRPr="00FA6DD9">
        <w:rPr>
          <w:bCs/>
        </w:rPr>
        <w:t>s set out</w:t>
      </w:r>
      <w:r>
        <w:rPr>
          <w:bCs/>
        </w:rPr>
        <w:t xml:space="preserve"> by O’Donnell J.</w:t>
      </w:r>
      <w:r w:rsidRPr="00FA6DD9">
        <w:rPr>
          <w:bCs/>
        </w:rPr>
        <w:t xml:space="preserve"> in </w:t>
      </w:r>
      <w:r w:rsidRPr="00EF26EF">
        <w:rPr>
          <w:bCs/>
          <w:i/>
          <w:iCs/>
        </w:rPr>
        <w:t>Minister for Justice and Equality v J.A.T. No. 2</w:t>
      </w:r>
      <w:r w:rsidRPr="00EF26EF">
        <w:rPr>
          <w:b/>
          <w:i/>
          <w:iCs/>
        </w:rPr>
        <w:t xml:space="preserve"> </w:t>
      </w:r>
      <w:r w:rsidRPr="00FA6DD9">
        <w:rPr>
          <w:bCs/>
        </w:rPr>
        <w:t>[2016] IESC 17</w:t>
      </w:r>
      <w:r>
        <w:rPr>
          <w:bCs/>
        </w:rPr>
        <w:t xml:space="preserve"> at</w:t>
      </w:r>
      <w:r w:rsidRPr="00FA6DD9">
        <w:rPr>
          <w:bCs/>
        </w:rPr>
        <w:t xml:space="preserve"> para</w:t>
      </w:r>
      <w:r>
        <w:rPr>
          <w:bCs/>
        </w:rPr>
        <w:t xml:space="preserve">s 9 to </w:t>
      </w:r>
      <w:proofErr w:type="gramStart"/>
      <w:r>
        <w:rPr>
          <w:bCs/>
        </w:rPr>
        <w:t>11</w:t>
      </w:r>
      <w:r w:rsidR="007F3489">
        <w:rPr>
          <w:bCs/>
        </w:rPr>
        <w:t>;-</w:t>
      </w:r>
      <w:proofErr w:type="gramEnd"/>
    </w:p>
    <w:p w14:paraId="086DED52" w14:textId="77777777" w:rsidR="008D6D66" w:rsidRPr="00EF26EF" w:rsidRDefault="008D6D66" w:rsidP="008D6D66">
      <w:pPr>
        <w:pStyle w:val="ListParagraph"/>
        <w:spacing w:line="480" w:lineRule="auto"/>
        <w:jc w:val="both"/>
        <w:rPr>
          <w:i/>
          <w:iCs/>
        </w:rPr>
      </w:pPr>
      <w:r w:rsidRPr="00EF26EF">
        <w:rPr>
          <w:bCs/>
          <w:i/>
          <w:iCs/>
        </w:rPr>
        <w:t>“</w:t>
      </w:r>
      <w:r w:rsidRPr="00EF26EF">
        <w:rPr>
          <w:i/>
          <w:iCs/>
        </w:rPr>
        <w:t xml:space="preserve">Delay and Lapse of Time </w:t>
      </w:r>
    </w:p>
    <w:p w14:paraId="7C361211" w14:textId="77777777" w:rsidR="008D6D66" w:rsidRPr="00EF26EF" w:rsidRDefault="008D6D66" w:rsidP="008D6D66">
      <w:pPr>
        <w:pStyle w:val="ListParagraph"/>
        <w:spacing w:line="480" w:lineRule="auto"/>
        <w:jc w:val="both"/>
        <w:rPr>
          <w:i/>
          <w:iCs/>
        </w:rPr>
      </w:pPr>
      <w:r w:rsidRPr="00EF26EF">
        <w:rPr>
          <w:i/>
          <w:iCs/>
        </w:rPr>
        <w:t>9.</w:t>
      </w:r>
      <w:r>
        <w:rPr>
          <w:i/>
          <w:iCs/>
        </w:rPr>
        <w:t xml:space="preserve"> </w:t>
      </w:r>
      <w:r w:rsidRPr="00EF26EF">
        <w:rPr>
          <w:i/>
          <w:iCs/>
        </w:rPr>
        <w:t xml:space="preserve">The fact that the crimes alleged here date back to 1997 is more properly to be considered in the context of lapse of time rather than delay. There is, as I understand it, no suggestion that the United Kingdom authorities ought to have detected the alleged crime any earlier. In any event, such an allegation is one which a court should be extremely slow to entertain. The relative antiquity of the offences, however, is relevant in considering those elements of delay in the issuance of the first warrant, and more importantly, the second warrant, and its execution in this jurisdiction. I do think that these delays are factors in the Court’s assessment, but, regrettable and worthy of criticism as they are, in my view they fall far short, by themselves, of establishing any abuse of process or grounds for refusal of surrender. Nor do they do so when taken in conjunction with the fact that a second warrant was issued. </w:t>
      </w:r>
    </w:p>
    <w:p w14:paraId="4160079E" w14:textId="77777777" w:rsidR="008D6D66" w:rsidRPr="00EF26EF" w:rsidRDefault="008D6D66" w:rsidP="008D6D66">
      <w:pPr>
        <w:pStyle w:val="ListParagraph"/>
        <w:spacing w:line="480" w:lineRule="auto"/>
        <w:jc w:val="both"/>
        <w:rPr>
          <w:i/>
          <w:iCs/>
        </w:rPr>
      </w:pPr>
      <w:r w:rsidRPr="00EF26EF">
        <w:rPr>
          <w:i/>
          <w:iCs/>
        </w:rPr>
        <w:t xml:space="preserve">Article 8 </w:t>
      </w:r>
    </w:p>
    <w:p w14:paraId="1C11128A" w14:textId="77777777" w:rsidR="008D6D66" w:rsidRPr="00EF26EF" w:rsidRDefault="008D6D66" w:rsidP="008D6D66">
      <w:pPr>
        <w:pStyle w:val="ListParagraph"/>
        <w:spacing w:line="480" w:lineRule="auto"/>
        <w:jc w:val="both"/>
        <w:rPr>
          <w:i/>
          <w:iCs/>
        </w:rPr>
      </w:pPr>
      <w:r w:rsidRPr="00EF26EF">
        <w:rPr>
          <w:i/>
          <w:iCs/>
        </w:rPr>
        <w:t>10</w:t>
      </w:r>
      <w:r>
        <w:rPr>
          <w:i/>
          <w:iCs/>
        </w:rPr>
        <w:t xml:space="preserve">. </w:t>
      </w:r>
      <w:r w:rsidRPr="00EF26EF">
        <w:rPr>
          <w:i/>
          <w:iCs/>
        </w:rPr>
        <w:t xml:space="preserve">It seems clear that the respondent is in a very difficult health situation, although the Court might expect a more detailed expert report. Again, however, this matter must not be tested against some generalised consideration of personal sympathy, but rather as to whether the circumstances are such which render it unjust to surrender the respondent. It will almost always be the case that considerations such as these, which undoubtedly evoke some sympathy, would never, in themselves, be remotely a ground </w:t>
      </w:r>
      <w:r w:rsidRPr="00EF26EF">
        <w:rPr>
          <w:i/>
          <w:iCs/>
        </w:rPr>
        <w:lastRenderedPageBreak/>
        <w:t xml:space="preserve">for refusing surrender any more than they would be a ground for prohibiting a trial in this jurisdiction. The respondent, however, is also the primary, and effectively the sole caregiver for his son, who in turn is in a situation where that care is particularly important. For the reasons set out in the judgment of the Chief Justice, it seems clear that he will undoubtedly suffer very severely if the appellant is surrendered for trial. He is not a person against whom there is any accusation of wrongdoing. The impact on the appellant’s son is, for me, an important consideration. While the appellant’s son is not a child, he is, in my view, a member of the appellant’s family for the purposes both of Article 8 of the ECHR and the Constitution. Nevertheless, I agree with the learned trial judge in this case that these considerations would, themselves, not be enough to establish a ground for refusing surrender if the first warrant had been in a proper form and these matters, which were present at that time, had been the sole ground for resisting surrender. I do not, however, agree that the fact that neither the respondent’s health </w:t>
      </w:r>
      <w:proofErr w:type="gramStart"/>
      <w:r w:rsidRPr="00EF26EF">
        <w:rPr>
          <w:i/>
          <w:iCs/>
        </w:rPr>
        <w:t>issues</w:t>
      </w:r>
      <w:proofErr w:type="gramEnd"/>
      <w:r w:rsidRPr="00EF26EF">
        <w:rPr>
          <w:i/>
          <w:iCs/>
        </w:rPr>
        <w:t xml:space="preserve"> nor his son’s condition has deteriorated in the intervening time means that this consideration is now irrelevant. It seems to me to be relevant that this is a second application, and moreover, that there has been avoidable delay on the part of the authorities in both jurisdictions in the preparation, submission, and execution of the second warrant, even though the evidence of the respondent's circumstances, and those of his son, had been adduced in the first European Arrest Warrant proceedings.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w:t>
      </w:r>
      <w:proofErr w:type="gramStart"/>
      <w:r w:rsidRPr="00EF26EF">
        <w:rPr>
          <w:i/>
          <w:iCs/>
        </w:rPr>
        <w:t>then</w:t>
      </w:r>
      <w:proofErr w:type="gramEnd"/>
      <w:r w:rsidRPr="00EF26EF">
        <w:rPr>
          <w:i/>
          <w:iCs/>
        </w:rPr>
        <w:t xml:space="preserve"> close to the margin. </w:t>
      </w:r>
    </w:p>
    <w:p w14:paraId="5600FF50" w14:textId="77777777" w:rsidR="008D6D66" w:rsidRPr="002B6157" w:rsidRDefault="008D6D66" w:rsidP="008D6D66">
      <w:pPr>
        <w:pStyle w:val="ListParagraph"/>
        <w:spacing w:line="480" w:lineRule="auto"/>
        <w:jc w:val="both"/>
        <w:rPr>
          <w:bCs/>
          <w:i/>
          <w:iCs/>
        </w:rPr>
      </w:pPr>
      <w:r w:rsidRPr="00EF26EF">
        <w:rPr>
          <w:i/>
          <w:iCs/>
        </w:rPr>
        <w:lastRenderedPageBreak/>
        <w:t>11</w:t>
      </w:r>
      <w:r>
        <w:rPr>
          <w:i/>
          <w:iCs/>
        </w:rPr>
        <w:t xml:space="preserve">. </w:t>
      </w:r>
      <w:r w:rsidRPr="00EF26EF">
        <w:rPr>
          <w:i/>
          <w:iCs/>
        </w:rPr>
        <w:t xml:space="preserve">In any future case, where all or any of the above factors may be relied on, it would not, in my view, be necessary to carry out any elaborate factual analysis or weighing of matters unless </w:t>
      </w:r>
      <w:proofErr w:type="gramStart"/>
      <w:r w:rsidRPr="00EF26EF">
        <w:rPr>
          <w:i/>
          <w:iCs/>
        </w:rPr>
        <w:t>it is clear that the</w:t>
      </w:r>
      <w:proofErr w:type="gramEnd"/>
      <w:r w:rsidRPr="00EF26EF">
        <w:rPr>
          <w:i/>
          <w:iCs/>
        </w:rPr>
        <w:t xml:space="preserve"> facts come at least close to a case which can be said to be truly exceptional in its features. Even in such cases, which must be rare, it is important that the considerations raised are scrutinised rigorously.”</w:t>
      </w:r>
    </w:p>
    <w:p w14:paraId="7F4F8F54" w14:textId="77777777" w:rsidR="008D6D66" w:rsidRPr="00D813B7" w:rsidRDefault="008D6D66" w:rsidP="00484306">
      <w:pPr>
        <w:pStyle w:val="ListParagraph"/>
        <w:numPr>
          <w:ilvl w:val="0"/>
          <w:numId w:val="1"/>
        </w:numPr>
        <w:spacing w:line="480" w:lineRule="auto"/>
        <w:ind w:left="0" w:firstLine="0"/>
        <w:jc w:val="both"/>
        <w:rPr>
          <w:bCs/>
        </w:rPr>
      </w:pPr>
      <w:r w:rsidRPr="00C1465D">
        <w:t xml:space="preserve">The Supreme Court set out the test which must be applied where an application for surrender is opposed on the grounds of Article 8 of the ECHR. </w:t>
      </w:r>
      <w:r>
        <w:t xml:space="preserve">In </w:t>
      </w:r>
      <w:r w:rsidRPr="00D34811">
        <w:rPr>
          <w:i/>
          <w:iCs/>
        </w:rPr>
        <w:t>M</w:t>
      </w:r>
      <w:r w:rsidR="00E25E4A">
        <w:rPr>
          <w:i/>
          <w:iCs/>
        </w:rPr>
        <w:t xml:space="preserve">inister for </w:t>
      </w:r>
      <w:r w:rsidRPr="00D34811">
        <w:rPr>
          <w:i/>
          <w:iCs/>
        </w:rPr>
        <w:t>J</w:t>
      </w:r>
      <w:r w:rsidR="00E25E4A">
        <w:rPr>
          <w:i/>
          <w:iCs/>
        </w:rPr>
        <w:t xml:space="preserve">ustice and </w:t>
      </w:r>
      <w:r w:rsidRPr="00D34811">
        <w:rPr>
          <w:i/>
          <w:iCs/>
        </w:rPr>
        <w:t>E</w:t>
      </w:r>
      <w:r w:rsidR="00E25E4A">
        <w:rPr>
          <w:i/>
          <w:iCs/>
        </w:rPr>
        <w:t>quality</w:t>
      </w:r>
      <w:r w:rsidRPr="00D34811">
        <w:rPr>
          <w:i/>
          <w:iCs/>
        </w:rPr>
        <w:t xml:space="preserve"> v </w:t>
      </w:r>
      <w:proofErr w:type="spellStart"/>
      <w:r w:rsidRPr="00D34811">
        <w:rPr>
          <w:i/>
          <w:iCs/>
        </w:rPr>
        <w:t>Vestartas</w:t>
      </w:r>
      <w:proofErr w:type="spellEnd"/>
      <w:r w:rsidRPr="00D34811">
        <w:rPr>
          <w:i/>
          <w:iCs/>
        </w:rPr>
        <w:t xml:space="preserve"> </w:t>
      </w:r>
      <w:r>
        <w:rPr>
          <w:iCs/>
        </w:rPr>
        <w:t xml:space="preserve">[2020] IESC 12 </w:t>
      </w:r>
      <w:proofErr w:type="spellStart"/>
      <w:r>
        <w:rPr>
          <w:iCs/>
        </w:rPr>
        <w:t>MacMenamin</w:t>
      </w:r>
      <w:proofErr w:type="spellEnd"/>
      <w:r>
        <w:rPr>
          <w:iCs/>
        </w:rPr>
        <w:t xml:space="preserve"> J. stated</w:t>
      </w:r>
      <w:r>
        <w:t xml:space="preserve"> at para </w:t>
      </w:r>
      <w:proofErr w:type="gramStart"/>
      <w:r>
        <w:t>89</w:t>
      </w:r>
      <w:r w:rsidR="007F3489">
        <w:t>;-</w:t>
      </w:r>
      <w:proofErr w:type="gramEnd"/>
    </w:p>
    <w:p w14:paraId="2A3A7F9B" w14:textId="77777777" w:rsidR="008D6D66" w:rsidRDefault="008D6D66" w:rsidP="008D6D66">
      <w:pPr>
        <w:pStyle w:val="ListParagraph"/>
        <w:spacing w:line="480" w:lineRule="auto"/>
        <w:jc w:val="both"/>
        <w:rPr>
          <w:i/>
          <w:iCs/>
        </w:rPr>
      </w:pPr>
      <w:r w:rsidRPr="00D813B7">
        <w:rPr>
          <w:i/>
          <w:iCs/>
        </w:rPr>
        <w:t xml:space="preserve">“89. Though a matter of legitimate concern, in this case the delay is to be viewed against the </w:t>
      </w:r>
      <w:proofErr w:type="gramStart"/>
      <w:r w:rsidRPr="00D813B7">
        <w:rPr>
          <w:i/>
          <w:iCs/>
        </w:rPr>
        <w:t>respondent‘</w:t>
      </w:r>
      <w:proofErr w:type="gramEnd"/>
      <w:r w:rsidRPr="00D813B7">
        <w:rPr>
          <w:i/>
          <w:iCs/>
        </w:rPr>
        <w: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14:paraId="213E1AFA" w14:textId="77777777" w:rsidR="008D6D66" w:rsidRDefault="008D6D66" w:rsidP="008D6D66">
      <w:pPr>
        <w:spacing w:line="480" w:lineRule="auto"/>
        <w:ind w:right="521"/>
        <w:jc w:val="both"/>
      </w:pPr>
      <w:proofErr w:type="spellStart"/>
      <w:r w:rsidRPr="00C1465D">
        <w:t>MacMenamin</w:t>
      </w:r>
      <w:proofErr w:type="spellEnd"/>
      <w:r w:rsidRPr="00C1465D">
        <w:t xml:space="preserve"> J.</w:t>
      </w:r>
      <w:r>
        <w:t xml:space="preserve"> went on to state at para 94:</w:t>
      </w:r>
    </w:p>
    <w:p w14:paraId="669DAF1A" w14:textId="77777777" w:rsidR="008D6D66" w:rsidRDefault="008D6D66" w:rsidP="008D6D66">
      <w:pPr>
        <w:spacing w:line="480" w:lineRule="auto"/>
        <w:ind w:left="720"/>
        <w:jc w:val="both"/>
        <w:rPr>
          <w:i/>
          <w:iCs/>
        </w:rPr>
      </w:pPr>
      <w:r w:rsidRPr="00D813B7">
        <w:rPr>
          <w:i/>
          <w:iCs/>
        </w:rPr>
        <w:t xml:space="preserve">“94. The contrast with the exceptional facts in J.A.T. is plain. For an </w:t>
      </w:r>
      <w:proofErr w:type="gramStart"/>
      <w:r w:rsidRPr="00D813B7">
        <w:rPr>
          <w:i/>
          <w:iCs/>
        </w:rPr>
        <w:t>Article</w:t>
      </w:r>
      <w:proofErr w:type="gramEnd"/>
      <w:r w:rsidRPr="00D813B7">
        <w:rPr>
          <w:i/>
          <w:iCs/>
        </w:rPr>
        <w:t xml:space="preserve"> 8 defence to succeed, it can only be on clear facts based and cogent evidence. The evidence must be sufficient to rebut the presumption contained in s.4A of the Act (see, para. 41 above). The circumstances must be shown to be well outside the norm; that is, truly exceptional. </w:t>
      </w:r>
      <w:r w:rsidRPr="00D813B7">
        <w:rPr>
          <w:i/>
          <w:iCs/>
        </w:rPr>
        <w:lastRenderedPageBreak/>
        <w:t xml:space="preserve">In the words of s.37(1), they must be such as would render an order for surrender ―incompatible with the </w:t>
      </w:r>
      <w:proofErr w:type="gramStart"/>
      <w:r w:rsidRPr="00D813B7">
        <w:rPr>
          <w:i/>
          <w:iCs/>
        </w:rPr>
        <w:t>State‘</w:t>
      </w:r>
      <w:proofErr w:type="gramEnd"/>
      <w:r w:rsidRPr="00D813B7">
        <w:rPr>
          <w:i/>
          <w:iCs/>
        </w:rPr>
        <w:t>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4A5360D2" w14:textId="77777777" w:rsidR="008D6D66" w:rsidRDefault="008D6D66" w:rsidP="00484306">
      <w:pPr>
        <w:pStyle w:val="ListParagraph"/>
        <w:numPr>
          <w:ilvl w:val="0"/>
          <w:numId w:val="1"/>
        </w:numPr>
        <w:spacing w:line="480" w:lineRule="auto"/>
        <w:ind w:left="0" w:firstLine="0"/>
        <w:jc w:val="both"/>
        <w:rPr>
          <w:bCs/>
        </w:rPr>
      </w:pPr>
      <w:r>
        <w:t>In</w:t>
      </w:r>
      <w:r w:rsidRPr="00FA6DD9">
        <w:rPr>
          <w:bCs/>
        </w:rPr>
        <w:t xml:space="preserve"> </w:t>
      </w:r>
      <w:r w:rsidRPr="00A17376">
        <w:rPr>
          <w:bCs/>
          <w:i/>
          <w:iCs/>
        </w:rPr>
        <w:t>The Minister for Justice and Equality v Smits</w:t>
      </w:r>
      <w:r w:rsidRPr="00A17376">
        <w:rPr>
          <w:b/>
          <w:i/>
          <w:iCs/>
        </w:rPr>
        <w:t xml:space="preserve"> </w:t>
      </w:r>
      <w:r w:rsidRPr="00FA6DD9">
        <w:rPr>
          <w:bCs/>
        </w:rPr>
        <w:t>[2021] IESC 27</w:t>
      </w:r>
      <w:r>
        <w:rPr>
          <w:bCs/>
        </w:rPr>
        <w:t>, the Supreme Court noted</w:t>
      </w:r>
      <w:r w:rsidRPr="00FA6DD9">
        <w:rPr>
          <w:bCs/>
        </w:rPr>
        <w:t xml:space="preserve"> at para. </w:t>
      </w:r>
      <w:proofErr w:type="gramStart"/>
      <w:r>
        <w:t>62</w:t>
      </w:r>
      <w:r w:rsidR="007F3489">
        <w:t>;-</w:t>
      </w:r>
      <w:proofErr w:type="gramEnd"/>
    </w:p>
    <w:p w14:paraId="7BB63319" w14:textId="77777777" w:rsidR="008D6D66" w:rsidRPr="002B6157" w:rsidRDefault="008D6D66" w:rsidP="008D6D66">
      <w:pPr>
        <w:pStyle w:val="ListParagraph"/>
        <w:spacing w:line="480" w:lineRule="auto"/>
        <w:jc w:val="both"/>
        <w:rPr>
          <w:i/>
          <w:iCs/>
        </w:rPr>
      </w:pPr>
      <w:r w:rsidRPr="00D813B7">
        <w:rPr>
          <w:i/>
          <w:iCs/>
        </w:rPr>
        <w:t xml:space="preserve">“62. Dealing with the issue of the elapse of time, McMenamin J. noted indications that the trial judge might have thought this could </w:t>
      </w:r>
      <w:proofErr w:type="gramStart"/>
      <w:r w:rsidRPr="00D813B7">
        <w:rPr>
          <w:i/>
          <w:iCs/>
        </w:rPr>
        <w:t>in itself suffice</w:t>
      </w:r>
      <w:proofErr w:type="gramEnd"/>
      <w:r w:rsidRPr="00D813B7">
        <w:rPr>
          <w:i/>
          <w:iCs/>
        </w:rPr>
        <w:t xml:space="preserve"> to defeat an EAW application, by reference to the decision of this Court in Finnegan. However, the decision in Finnegan had clearly been limited to the unusual facts of that case. Delay could not alter the public interest considerations unless it reached a point where it was so lengthy and unexplained as to amount to an abuse of process, or to raise other constitutional or ECHR issues. On the facts in </w:t>
      </w:r>
      <w:proofErr w:type="spellStart"/>
      <w:r w:rsidRPr="00D813B7">
        <w:rPr>
          <w:i/>
          <w:iCs/>
        </w:rPr>
        <w:t>Vestartas</w:t>
      </w:r>
      <w:proofErr w:type="spellEnd"/>
      <w:r w:rsidRPr="00D813B7">
        <w:rPr>
          <w:i/>
          <w:iCs/>
        </w:rPr>
        <w:t>, delay was a matter of legitimate concern but was to be viewed against the background of private and family circumstances that fell very far short of those in J.A.T. (No.2).”</w:t>
      </w:r>
    </w:p>
    <w:p w14:paraId="17D34BFB" w14:textId="77777777" w:rsidR="008D6D66" w:rsidRPr="00DB6CFF" w:rsidRDefault="008D6D66" w:rsidP="00484306">
      <w:pPr>
        <w:pStyle w:val="ListParagraph"/>
        <w:numPr>
          <w:ilvl w:val="0"/>
          <w:numId w:val="1"/>
        </w:numPr>
        <w:spacing w:line="480" w:lineRule="auto"/>
        <w:ind w:left="0" w:firstLine="0"/>
        <w:jc w:val="both"/>
        <w:rPr>
          <w:i/>
          <w:iCs/>
        </w:rPr>
      </w:pPr>
      <w:r>
        <w:t xml:space="preserve">In </w:t>
      </w:r>
      <w:r w:rsidRPr="00C82B39">
        <w:rPr>
          <w:i/>
          <w:iCs/>
        </w:rPr>
        <w:t>Minister for Justice and Equality v D</w:t>
      </w:r>
      <w:r>
        <w:rPr>
          <w:i/>
          <w:iCs/>
        </w:rPr>
        <w:t>.</w:t>
      </w:r>
      <w:r w:rsidRPr="00C82B39">
        <w:rPr>
          <w:i/>
          <w:iCs/>
        </w:rPr>
        <w:t>E</w:t>
      </w:r>
      <w:r>
        <w:rPr>
          <w:i/>
          <w:iCs/>
        </w:rPr>
        <w:t>.</w:t>
      </w:r>
      <w:r>
        <w:t xml:space="preserve"> </w:t>
      </w:r>
      <w:r w:rsidRPr="002E2A09">
        <w:t>[2021] IECA 188</w:t>
      </w:r>
      <w:r>
        <w:t xml:space="preserve">, the Court of Appeal stated at para. </w:t>
      </w:r>
      <w:proofErr w:type="gramStart"/>
      <w:r>
        <w:t>67;-</w:t>
      </w:r>
      <w:proofErr w:type="gramEnd"/>
      <w:r>
        <w:t xml:space="preserve"> </w:t>
      </w:r>
    </w:p>
    <w:p w14:paraId="2016A671" w14:textId="77777777" w:rsidR="008D6D66" w:rsidRDefault="008D6D66" w:rsidP="008D6D66">
      <w:pPr>
        <w:spacing w:line="480" w:lineRule="auto"/>
        <w:ind w:left="720"/>
        <w:jc w:val="both"/>
        <w:rPr>
          <w:i/>
          <w:iCs/>
        </w:rPr>
      </w:pPr>
      <w:r w:rsidRPr="002E2A09">
        <w:rPr>
          <w:i/>
          <w:iCs/>
        </w:rPr>
        <w:t xml:space="preserve">“67. The questions certified by the High Court were as follows: “In the context of proceedings under the European Arrest Warrant Act 2003 as amended, where a respondent objects to surrender on the basis that same is precluded by s. 37 of the said Act as it would be in breach of the respondent’s rights under art. 8 ECHR and having particular regard to the provisions of art. 8(2) ECHR: </w:t>
      </w:r>
    </w:p>
    <w:p w14:paraId="1FFBF0C1" w14:textId="77777777" w:rsidR="008D6D66" w:rsidRDefault="008D6D66" w:rsidP="008D6D66">
      <w:pPr>
        <w:spacing w:line="480" w:lineRule="auto"/>
        <w:ind w:left="720"/>
        <w:jc w:val="both"/>
        <w:rPr>
          <w:i/>
          <w:iCs/>
        </w:rPr>
      </w:pPr>
      <w:r w:rsidRPr="002E2A09">
        <w:rPr>
          <w:i/>
          <w:iCs/>
        </w:rPr>
        <w:t xml:space="preserve">1. Can personal or family circumstances, in and of themselves, provide a basis upon which surrender might be precluded by s. 37 of the Act of 2003? </w:t>
      </w:r>
    </w:p>
    <w:p w14:paraId="1F4FDC54" w14:textId="77777777" w:rsidR="008D6D66" w:rsidRDefault="008D6D66" w:rsidP="008D6D66">
      <w:pPr>
        <w:spacing w:line="480" w:lineRule="auto"/>
        <w:ind w:left="720"/>
        <w:jc w:val="both"/>
        <w:rPr>
          <w:i/>
          <w:iCs/>
        </w:rPr>
      </w:pPr>
      <w:r w:rsidRPr="002E2A09">
        <w:rPr>
          <w:i/>
          <w:iCs/>
        </w:rPr>
        <w:lastRenderedPageBreak/>
        <w:t xml:space="preserve">2. What is the appropriate test to be applied by the Court in determining whether such an objection is </w:t>
      </w:r>
      <w:proofErr w:type="gramStart"/>
      <w:r w:rsidRPr="002E2A09">
        <w:rPr>
          <w:i/>
          <w:iCs/>
        </w:rPr>
        <w:t>sustained</w:t>
      </w:r>
      <w:proofErr w:type="gramEnd"/>
      <w:r w:rsidRPr="002E2A09">
        <w:rPr>
          <w:i/>
          <w:iCs/>
        </w:rPr>
        <w:t xml:space="preserve"> and that surrender should be refused? </w:t>
      </w:r>
    </w:p>
    <w:p w14:paraId="55C44F8A" w14:textId="77777777" w:rsidR="008D6D66" w:rsidRDefault="008D6D66" w:rsidP="008D6D66">
      <w:pPr>
        <w:spacing w:line="480" w:lineRule="auto"/>
        <w:ind w:left="720"/>
        <w:jc w:val="both"/>
        <w:rPr>
          <w:i/>
          <w:iCs/>
        </w:rPr>
      </w:pPr>
      <w:r w:rsidRPr="002E2A09">
        <w:rPr>
          <w:i/>
          <w:iCs/>
        </w:rPr>
        <w:t xml:space="preserve">3. In so far as exceptionality may be a relevant factor in determining such an objection, what is the appropriate test to be applied by the Court in determining whether the circumstances found to exist are so exceptional as to justify refusal of surrender” </w:t>
      </w:r>
    </w:p>
    <w:p w14:paraId="672C56D8" w14:textId="77777777" w:rsidR="008D6D66" w:rsidRDefault="008D6D66" w:rsidP="008D6D66">
      <w:pPr>
        <w:spacing w:line="480" w:lineRule="auto"/>
        <w:ind w:left="720"/>
        <w:jc w:val="both"/>
        <w:rPr>
          <w:i/>
          <w:iCs/>
        </w:rPr>
      </w:pPr>
      <w:r w:rsidRPr="002E2A09">
        <w:rPr>
          <w:i/>
          <w:iCs/>
        </w:rPr>
        <w:t xml:space="preserve">For the reasons set out in this judgment, it is appropriate to answer all three questions by repeating the principles set out at para 59 above: </w:t>
      </w:r>
    </w:p>
    <w:p w14:paraId="2B0C8405" w14:textId="77777777" w:rsidR="008D6D66" w:rsidRPr="002E2A09" w:rsidRDefault="008D6D66" w:rsidP="008D6D66">
      <w:pPr>
        <w:pStyle w:val="ListParagraph"/>
        <w:numPr>
          <w:ilvl w:val="0"/>
          <w:numId w:val="2"/>
        </w:numPr>
        <w:spacing w:line="480" w:lineRule="auto"/>
        <w:jc w:val="both"/>
        <w:rPr>
          <w:i/>
          <w:iCs/>
        </w:rPr>
      </w:pPr>
      <w:r w:rsidRPr="002E2A09">
        <w:rPr>
          <w:i/>
          <w:iCs/>
        </w:rPr>
        <w:t>In an application for surrender, the court is not carrying out a general proportionality test on the merits of the application. The court should apply the specific terms of the 2003 Act, albeit subject to a careful consideration of whether, if necessary, applying a proportionality test to Article 8 Convention rights, to order surrender would involve a violation of that ECHR right to the extent of being incompatible with the State’s obligations under the Convention. (</w:t>
      </w:r>
      <w:proofErr w:type="spellStart"/>
      <w:r w:rsidRPr="002E2A09">
        <w:rPr>
          <w:i/>
          <w:iCs/>
        </w:rPr>
        <w:t>Vestartas</w:t>
      </w:r>
      <w:proofErr w:type="spellEnd"/>
      <w:r w:rsidRPr="002E2A09">
        <w:rPr>
          <w:i/>
          <w:iCs/>
        </w:rPr>
        <w:t xml:space="preserve">). </w:t>
      </w:r>
    </w:p>
    <w:p w14:paraId="1A318EB5" w14:textId="77777777" w:rsidR="008D6D66" w:rsidRDefault="008D6D66" w:rsidP="008D6D66">
      <w:pPr>
        <w:pStyle w:val="ListParagraph"/>
        <w:numPr>
          <w:ilvl w:val="0"/>
          <w:numId w:val="2"/>
        </w:numPr>
        <w:spacing w:line="480" w:lineRule="auto"/>
        <w:jc w:val="both"/>
        <w:rPr>
          <w:i/>
          <w:iCs/>
        </w:rPr>
      </w:pPr>
      <w:r w:rsidRPr="002E2A09">
        <w:rPr>
          <w:i/>
          <w:iCs/>
        </w:rPr>
        <w:t xml:space="preserve">Surrender (or extradition) presupposes an impact on the personal or family life of a requested person. Having regard to Article 8(2), surrender (or extradition) carried out pursuant to legislation is in principle an acceptable interference with the right to respect for those rights. (Ostrowski, JAT (No. 2), </w:t>
      </w:r>
      <w:proofErr w:type="spellStart"/>
      <w:r w:rsidRPr="002E2A09">
        <w:rPr>
          <w:i/>
          <w:iCs/>
        </w:rPr>
        <w:t>Vestartas</w:t>
      </w:r>
      <w:proofErr w:type="spellEnd"/>
      <w:r w:rsidRPr="002E2A09">
        <w:rPr>
          <w:i/>
          <w:iCs/>
        </w:rPr>
        <w:t xml:space="preserve">). </w:t>
      </w:r>
    </w:p>
    <w:p w14:paraId="7A3C75E4" w14:textId="77777777" w:rsidR="008D6D66" w:rsidRDefault="008D6D66" w:rsidP="008D6D66">
      <w:pPr>
        <w:pStyle w:val="ListParagraph"/>
        <w:numPr>
          <w:ilvl w:val="0"/>
          <w:numId w:val="2"/>
        </w:numPr>
        <w:spacing w:line="480" w:lineRule="auto"/>
        <w:jc w:val="both"/>
        <w:rPr>
          <w:i/>
          <w:iCs/>
        </w:rPr>
      </w:pPr>
      <w:r w:rsidRPr="002E2A09">
        <w:rPr>
          <w:i/>
          <w:iCs/>
        </w:rPr>
        <w:t xml:space="preserve">When faced with an </w:t>
      </w:r>
      <w:proofErr w:type="gramStart"/>
      <w:r w:rsidRPr="002E2A09">
        <w:rPr>
          <w:i/>
          <w:iCs/>
        </w:rPr>
        <w:t>Article</w:t>
      </w:r>
      <w:proofErr w:type="gramEnd"/>
      <w:r w:rsidRPr="002E2A09">
        <w:rPr>
          <w:i/>
          <w:iCs/>
        </w:rPr>
        <w:t xml:space="preserve"> 8 objection to surrender, the function of the Court is to decide if the surrender is incompatible with the State’s obligation under the European Convention on Human Rights. That requires a very high threshold. Any inquiry must bear in mind that s. 10 requires a court to surrender in accordance with the provisions of the 2003 Act and s. 4A of that Act obliges the court to presume that the issuing state has complied and will comply with its fundamental rights obligations. (</w:t>
      </w:r>
      <w:proofErr w:type="spellStart"/>
      <w:r w:rsidRPr="002E2A09">
        <w:rPr>
          <w:i/>
          <w:iCs/>
        </w:rPr>
        <w:t>Vestartas</w:t>
      </w:r>
      <w:proofErr w:type="spellEnd"/>
      <w:r w:rsidRPr="002E2A09">
        <w:rPr>
          <w:i/>
          <w:iCs/>
        </w:rPr>
        <w:t xml:space="preserve">). </w:t>
      </w:r>
    </w:p>
    <w:p w14:paraId="7C83983F" w14:textId="77777777" w:rsidR="008D6D66" w:rsidRDefault="008D6D66" w:rsidP="008D6D66">
      <w:pPr>
        <w:pStyle w:val="ListParagraph"/>
        <w:numPr>
          <w:ilvl w:val="0"/>
          <w:numId w:val="2"/>
        </w:numPr>
        <w:spacing w:line="480" w:lineRule="auto"/>
        <w:jc w:val="both"/>
        <w:rPr>
          <w:i/>
          <w:iCs/>
        </w:rPr>
      </w:pPr>
      <w:r w:rsidRPr="002E2A09">
        <w:rPr>
          <w:i/>
          <w:iCs/>
        </w:rPr>
        <w:lastRenderedPageBreak/>
        <w:t>The evidential burden of proving incompatibility lies on the requested person. (</w:t>
      </w:r>
      <w:proofErr w:type="spellStart"/>
      <w:r w:rsidRPr="002E2A09">
        <w:rPr>
          <w:i/>
          <w:iCs/>
        </w:rPr>
        <w:t>Rettinger</w:t>
      </w:r>
      <w:proofErr w:type="spellEnd"/>
      <w:r w:rsidRPr="002E2A09">
        <w:rPr>
          <w:i/>
          <w:iCs/>
        </w:rPr>
        <w:t xml:space="preserve"> and </w:t>
      </w:r>
      <w:proofErr w:type="spellStart"/>
      <w:r w:rsidRPr="002E2A09">
        <w:rPr>
          <w:i/>
          <w:iCs/>
        </w:rPr>
        <w:t>Vestartas</w:t>
      </w:r>
      <w:proofErr w:type="spellEnd"/>
      <w:r w:rsidRPr="002E2A09">
        <w:rPr>
          <w:i/>
          <w:iCs/>
        </w:rPr>
        <w:t xml:space="preserve">). </w:t>
      </w:r>
    </w:p>
    <w:p w14:paraId="5F74A2CB" w14:textId="77777777" w:rsidR="008D6D66" w:rsidRDefault="008D6D66" w:rsidP="008D6D66">
      <w:pPr>
        <w:pStyle w:val="ListParagraph"/>
        <w:numPr>
          <w:ilvl w:val="0"/>
          <w:numId w:val="2"/>
        </w:numPr>
        <w:spacing w:line="480" w:lineRule="auto"/>
        <w:jc w:val="both"/>
        <w:rPr>
          <w:i/>
          <w:iCs/>
        </w:rPr>
      </w:pPr>
      <w:r w:rsidRPr="002E2A09">
        <w:rPr>
          <w:i/>
          <w:iCs/>
        </w:rPr>
        <w:t>The assessment of the claimed impact of surrender on personal and family rights must be a rigorous one. (</w:t>
      </w:r>
      <w:proofErr w:type="spellStart"/>
      <w:r w:rsidRPr="002E2A09">
        <w:rPr>
          <w:i/>
          <w:iCs/>
        </w:rPr>
        <w:t>Rettinger</w:t>
      </w:r>
      <w:proofErr w:type="spellEnd"/>
      <w:r w:rsidRPr="002E2A09">
        <w:rPr>
          <w:i/>
          <w:iCs/>
        </w:rPr>
        <w:t xml:space="preserve"> and JAT (No. 2)). </w:t>
      </w:r>
    </w:p>
    <w:p w14:paraId="189633F8" w14:textId="77777777" w:rsidR="008D6D66" w:rsidRDefault="008D6D66" w:rsidP="008D6D66">
      <w:pPr>
        <w:pStyle w:val="ListParagraph"/>
        <w:numPr>
          <w:ilvl w:val="0"/>
          <w:numId w:val="2"/>
        </w:numPr>
        <w:spacing w:line="480" w:lineRule="auto"/>
        <w:jc w:val="both"/>
        <w:rPr>
          <w:i/>
          <w:iCs/>
        </w:rPr>
      </w:pPr>
      <w:r w:rsidRPr="002E2A09">
        <w:rPr>
          <w:i/>
          <w:iCs/>
        </w:rPr>
        <w:t>The evidence must be cogent and must reach the level of incompatibility (</w:t>
      </w:r>
      <w:proofErr w:type="spellStart"/>
      <w:r w:rsidRPr="002E2A09">
        <w:rPr>
          <w:i/>
          <w:iCs/>
        </w:rPr>
        <w:t>Vestartas</w:t>
      </w:r>
      <w:proofErr w:type="spellEnd"/>
      <w:r w:rsidRPr="002E2A09">
        <w:rPr>
          <w:i/>
          <w:iCs/>
        </w:rPr>
        <w:t xml:space="preserve">). </w:t>
      </w:r>
    </w:p>
    <w:p w14:paraId="55546BFD" w14:textId="77777777" w:rsidR="008D6D66" w:rsidRDefault="008D6D66" w:rsidP="008D6D66">
      <w:pPr>
        <w:pStyle w:val="ListParagraph"/>
        <w:numPr>
          <w:ilvl w:val="0"/>
          <w:numId w:val="2"/>
        </w:numPr>
        <w:spacing w:line="480" w:lineRule="auto"/>
        <w:jc w:val="both"/>
        <w:rPr>
          <w:i/>
          <w:iCs/>
        </w:rPr>
      </w:pPr>
      <w:r w:rsidRPr="002E2A09">
        <w:rPr>
          <w:i/>
          <w:iCs/>
        </w:rPr>
        <w:t xml:space="preserve">Exceptionality is not the test for incompatibility, but it will only be in a truly exceptional case that surrender will be found to be incompatible with the State’s obligations under Article 8 of the Convention. (JAT No. 2 and </w:t>
      </w:r>
      <w:proofErr w:type="spellStart"/>
      <w:r w:rsidRPr="002E2A09">
        <w:rPr>
          <w:i/>
          <w:iCs/>
        </w:rPr>
        <w:t>Vestartas</w:t>
      </w:r>
      <w:proofErr w:type="spellEnd"/>
      <w:r w:rsidRPr="002E2A09">
        <w:rPr>
          <w:i/>
          <w:iCs/>
        </w:rPr>
        <w:t xml:space="preserve">). </w:t>
      </w:r>
    </w:p>
    <w:p w14:paraId="22BF99E9" w14:textId="77777777" w:rsidR="008D6D66" w:rsidRDefault="008D6D66" w:rsidP="008D6D66">
      <w:pPr>
        <w:pStyle w:val="ListParagraph"/>
        <w:numPr>
          <w:ilvl w:val="0"/>
          <w:numId w:val="2"/>
        </w:numPr>
        <w:spacing w:line="480" w:lineRule="auto"/>
        <w:jc w:val="both"/>
        <w:rPr>
          <w:i/>
          <w:iCs/>
        </w:rPr>
      </w:pPr>
      <w:r w:rsidRPr="002E2A09">
        <w:rPr>
          <w:i/>
          <w:iCs/>
        </w:rPr>
        <w:t xml:space="preserve">For an </w:t>
      </w:r>
      <w:proofErr w:type="gramStart"/>
      <w:r w:rsidRPr="002E2A09">
        <w:rPr>
          <w:i/>
          <w:iCs/>
        </w:rPr>
        <w:t>Article</w:t>
      </w:r>
      <w:proofErr w:type="gramEnd"/>
      <w:r w:rsidRPr="002E2A09">
        <w:rPr>
          <w:i/>
          <w:iCs/>
        </w:rPr>
        <w:t xml:space="preserve"> 8 objection to succeed, there must be clear cogent evidence sufficient to rebut the presumption in s. 4A of the 2003 Act. (</w:t>
      </w:r>
      <w:proofErr w:type="spellStart"/>
      <w:r w:rsidRPr="002E2A09">
        <w:rPr>
          <w:i/>
          <w:iCs/>
        </w:rPr>
        <w:t>Vestartas</w:t>
      </w:r>
      <w:proofErr w:type="spellEnd"/>
      <w:r w:rsidRPr="002E2A09">
        <w:rPr>
          <w:i/>
          <w:iCs/>
        </w:rPr>
        <w:t xml:space="preserve">). </w:t>
      </w:r>
    </w:p>
    <w:p w14:paraId="2B8040AF" w14:textId="77777777" w:rsidR="008D6D66" w:rsidRDefault="008D6D66" w:rsidP="008D6D66">
      <w:pPr>
        <w:pStyle w:val="ListParagraph"/>
        <w:numPr>
          <w:ilvl w:val="0"/>
          <w:numId w:val="2"/>
        </w:numPr>
        <w:spacing w:line="480" w:lineRule="auto"/>
        <w:jc w:val="both"/>
        <w:rPr>
          <w:i/>
          <w:iCs/>
        </w:rPr>
      </w:pPr>
      <w:r w:rsidRPr="002E2A09">
        <w:rPr>
          <w:i/>
          <w:iCs/>
        </w:rPr>
        <w:t xml:space="preserve">No elaborate factual analysis or weighing of matters is necessary unless </w:t>
      </w:r>
      <w:proofErr w:type="gramStart"/>
      <w:r w:rsidRPr="002E2A09">
        <w:rPr>
          <w:i/>
          <w:iCs/>
        </w:rPr>
        <w:t>it is clear that the</w:t>
      </w:r>
      <w:proofErr w:type="gramEnd"/>
      <w:r w:rsidRPr="002E2A09">
        <w:rPr>
          <w:i/>
          <w:iCs/>
        </w:rPr>
        <w:t xml:space="preserve"> facts come close to a case which would be truly exceptional in nature thereby engaging the possibility that surrender may be incompatible with the State’s obligations under the Convention. (JAT (No.2)). </w:t>
      </w:r>
    </w:p>
    <w:p w14:paraId="723E4686" w14:textId="77777777" w:rsidR="008D6D66" w:rsidRDefault="008D6D66" w:rsidP="008D6D66">
      <w:pPr>
        <w:pStyle w:val="ListParagraph"/>
        <w:numPr>
          <w:ilvl w:val="0"/>
          <w:numId w:val="2"/>
        </w:numPr>
        <w:spacing w:line="480" w:lineRule="auto"/>
        <w:jc w:val="both"/>
        <w:rPr>
          <w:i/>
          <w:iCs/>
        </w:rPr>
      </w:pPr>
      <w:r w:rsidRPr="002E2A09">
        <w:rPr>
          <w:i/>
          <w:iCs/>
        </w:rPr>
        <w:t>The requirement that the circumstances must be shown to render the order for surrender incompatible with the State’s obligations under Article 8 necessitates that the incursion into the private and family rights referred to in Article 8(1) is such as to supervene the limitations on the right contained in Article 8(2), and over the significant public interest thresholds set by the 2003 Act itself. (</w:t>
      </w:r>
      <w:proofErr w:type="spellStart"/>
      <w:r w:rsidRPr="002E2A09">
        <w:rPr>
          <w:i/>
          <w:iCs/>
        </w:rPr>
        <w:t>Vestartas</w:t>
      </w:r>
      <w:proofErr w:type="spellEnd"/>
      <w:r w:rsidRPr="002E2A09">
        <w:rPr>
          <w:i/>
          <w:iCs/>
        </w:rPr>
        <w:t xml:space="preserve">). </w:t>
      </w:r>
    </w:p>
    <w:p w14:paraId="5A24716C" w14:textId="77777777" w:rsidR="008D6D66" w:rsidRPr="007F3489" w:rsidRDefault="008D6D66" w:rsidP="007F3489">
      <w:pPr>
        <w:pStyle w:val="ListParagraph"/>
        <w:numPr>
          <w:ilvl w:val="0"/>
          <w:numId w:val="2"/>
        </w:numPr>
        <w:spacing w:line="480" w:lineRule="auto"/>
        <w:jc w:val="both"/>
        <w:rPr>
          <w:i/>
          <w:iCs/>
        </w:rPr>
      </w:pPr>
      <w:r w:rsidRPr="002E2A09">
        <w:rPr>
          <w:i/>
          <w:iCs/>
        </w:rPr>
        <w:t xml:space="preserve">Where the facts, assessed as set out above, come close to being truly exceptional in nature thereby engaging the possibility that surrender might be incompatible with the State’s obligations, the Court will engage in a proportionality test of whether the high public interest in the prevention of disorder and crime (and the </w:t>
      </w:r>
      <w:r w:rsidRPr="002E2A09">
        <w:rPr>
          <w:i/>
          <w:iCs/>
        </w:rPr>
        <w:lastRenderedPageBreak/>
        <w:t>protection of the rights of others) is overridden by the personal and family circumstances (taken where appropriate with all the cumulative circumstances) of the requested person. That is a case-specific analysis which will be required in very few cases.”</w:t>
      </w:r>
    </w:p>
    <w:p w14:paraId="4320280E" w14:textId="77777777" w:rsidR="009D47BC" w:rsidRDefault="008D6D66" w:rsidP="00484306">
      <w:pPr>
        <w:pStyle w:val="ListParagraph"/>
        <w:numPr>
          <w:ilvl w:val="0"/>
          <w:numId w:val="1"/>
        </w:numPr>
        <w:spacing w:line="480" w:lineRule="auto"/>
        <w:ind w:left="0" w:firstLine="0"/>
      </w:pPr>
      <w:r>
        <w:t>In this case</w:t>
      </w:r>
      <w:r w:rsidR="007F3489">
        <w:t>,</w:t>
      </w:r>
      <w:r>
        <w:t xml:space="preserve"> </w:t>
      </w:r>
      <w:r w:rsidR="007F3489">
        <w:t>the delay</w:t>
      </w:r>
      <w:r>
        <w:t xml:space="preserve"> is </w:t>
      </w:r>
      <w:r w:rsidR="007F3489">
        <w:t xml:space="preserve">not </w:t>
      </w:r>
      <w:r>
        <w:t xml:space="preserve">so egregious </w:t>
      </w:r>
      <w:proofErr w:type="gramStart"/>
      <w:r>
        <w:t>so as to</w:t>
      </w:r>
      <w:proofErr w:type="gramEnd"/>
      <w:r>
        <w:t xml:space="preserve"> amount to an abuse of process.  The delay in the issuing of the warrant is of 6 years from the date of the domestic warrant to the date of the EAW.  This delay is caused by the respondent</w:t>
      </w:r>
      <w:r w:rsidR="007F3489">
        <w:t>.</w:t>
      </w:r>
      <w:r>
        <w:t xml:space="preserve"> </w:t>
      </w:r>
      <w:r w:rsidR="007F3489">
        <w:t>H</w:t>
      </w:r>
      <w:r>
        <w:t>e absconded immediately after the crime was committed and his whereabouts were not known.  Init</w:t>
      </w:r>
      <w:r w:rsidR="007F3489">
        <w:t>i</w:t>
      </w:r>
      <w:r>
        <w:t>all</w:t>
      </w:r>
      <w:r w:rsidR="00160289">
        <w:t>y</w:t>
      </w:r>
      <w:r w:rsidR="007F3489">
        <w:t>,</w:t>
      </w:r>
      <w:r>
        <w:t xml:space="preserve"> the German authorities sought the respondent in Germany and when the search for the respondent was unsuccessful in Germany the E</w:t>
      </w:r>
      <w:r w:rsidR="007F3489">
        <w:t xml:space="preserve">AW </w:t>
      </w:r>
      <w:r>
        <w:t xml:space="preserve">was issued. </w:t>
      </w:r>
    </w:p>
    <w:p w14:paraId="43AD8989" w14:textId="77777777" w:rsidR="003B2457" w:rsidRDefault="009D47BC" w:rsidP="00484306">
      <w:pPr>
        <w:pStyle w:val="ListParagraph"/>
        <w:numPr>
          <w:ilvl w:val="0"/>
          <w:numId w:val="1"/>
        </w:numPr>
        <w:spacing w:line="480" w:lineRule="auto"/>
        <w:ind w:left="0" w:firstLine="0"/>
      </w:pPr>
      <w:r>
        <w:t>In relation to his family and personal circumstances</w:t>
      </w:r>
      <w:r w:rsidR="007F3489">
        <w:t>,</w:t>
      </w:r>
      <w:r>
        <w:t xml:space="preserve"> </w:t>
      </w:r>
      <w:r w:rsidR="007F3489">
        <w:t>the respondent</w:t>
      </w:r>
      <w:r w:rsidR="008D6D66">
        <w:t xml:space="preserve"> avers to the fact that he has depression and ne</w:t>
      </w:r>
      <w:r w:rsidR="007F3489">
        <w:t>u</w:t>
      </w:r>
      <w:r w:rsidR="008D6D66">
        <w:t>r</w:t>
      </w:r>
      <w:r w:rsidR="007F3489">
        <w:t>o</w:t>
      </w:r>
      <w:r w:rsidR="008D6D66">
        <w:t xml:space="preserve">ses </w:t>
      </w:r>
      <w:r w:rsidR="003B2457">
        <w:t>and</w:t>
      </w:r>
      <w:r w:rsidR="008D6D66">
        <w:t xml:space="preserve"> provides documentation in support of </w:t>
      </w:r>
      <w:proofErr w:type="gramStart"/>
      <w:r w:rsidR="008D6D66">
        <w:t>same, and</w:t>
      </w:r>
      <w:proofErr w:type="gramEnd"/>
      <w:r w:rsidR="008D6D66">
        <w:t xml:space="preserve"> avers to the fact that his wife has schizophrenia </w:t>
      </w:r>
      <w:r w:rsidR="00F5574B">
        <w:t>and</w:t>
      </w:r>
      <w:r w:rsidR="008D6D66">
        <w:t xml:space="preserve"> ag</w:t>
      </w:r>
      <w:r w:rsidR="00160289">
        <w:t>a</w:t>
      </w:r>
      <w:r w:rsidR="008D6D66">
        <w:t xml:space="preserve">in provides documentation in support of same.  </w:t>
      </w:r>
      <w:r w:rsidR="003B2457">
        <w:t>The documentation that relates to the respondent confirms:</w:t>
      </w:r>
    </w:p>
    <w:p w14:paraId="73822E8C" w14:textId="77777777" w:rsidR="003B2457" w:rsidRDefault="003B2457" w:rsidP="003B2457">
      <w:pPr>
        <w:pStyle w:val="ListParagraph"/>
        <w:numPr>
          <w:ilvl w:val="0"/>
          <w:numId w:val="6"/>
        </w:numPr>
        <w:spacing w:line="480" w:lineRule="auto"/>
      </w:pPr>
      <w:r>
        <w:t xml:space="preserve">That he has a diagnosis of </w:t>
      </w:r>
      <w:r w:rsidR="007F3489">
        <w:t>a</w:t>
      </w:r>
      <w:r>
        <w:t>daptive di</w:t>
      </w:r>
      <w:r w:rsidR="007F3489">
        <w:t xml:space="preserve">sorders </w:t>
      </w:r>
      <w:r>
        <w:t>and specific personality disorders</w:t>
      </w:r>
      <w:r w:rsidR="0064115F">
        <w:t>.</w:t>
      </w:r>
    </w:p>
    <w:p w14:paraId="6440B2A2" w14:textId="77777777" w:rsidR="003B2457" w:rsidRDefault="003B2457" w:rsidP="003B2457">
      <w:pPr>
        <w:pStyle w:val="ListParagraph"/>
        <w:numPr>
          <w:ilvl w:val="0"/>
          <w:numId w:val="6"/>
        </w:numPr>
        <w:spacing w:line="480" w:lineRule="auto"/>
      </w:pPr>
      <w:r>
        <w:t>That he receives medication for these conditions</w:t>
      </w:r>
      <w:r w:rsidR="0064115F">
        <w:t>.</w:t>
      </w:r>
    </w:p>
    <w:p w14:paraId="2111E1C5" w14:textId="77777777" w:rsidR="003B2457" w:rsidRDefault="003B2457" w:rsidP="003B2457">
      <w:pPr>
        <w:pStyle w:val="ListParagraph"/>
        <w:numPr>
          <w:ilvl w:val="0"/>
          <w:numId w:val="6"/>
        </w:numPr>
        <w:spacing w:line="480" w:lineRule="auto"/>
      </w:pPr>
      <w:r>
        <w:t>That if</w:t>
      </w:r>
      <w:r w:rsidR="007E5CA6">
        <w:t xml:space="preserve"> he is</w:t>
      </w:r>
      <w:r>
        <w:t xml:space="preserve"> compl</w:t>
      </w:r>
      <w:r w:rsidR="007F3489">
        <w:t>ia</w:t>
      </w:r>
      <w:r>
        <w:t xml:space="preserve">nt </w:t>
      </w:r>
      <w:r w:rsidR="007E5CA6">
        <w:t xml:space="preserve">with his medication intake, </w:t>
      </w:r>
      <w:r>
        <w:t>he can continue and live a normal life notwithstanding these conditions</w:t>
      </w:r>
      <w:r w:rsidR="001A4C5C">
        <w:t xml:space="preserve">, </w:t>
      </w:r>
      <w:proofErr w:type="gramStart"/>
      <w:r w:rsidR="001A4C5C">
        <w:t>i.e.</w:t>
      </w:r>
      <w:proofErr w:type="gramEnd"/>
      <w:r w:rsidR="001A4C5C">
        <w:t xml:space="preserve"> work and have a normal family life</w:t>
      </w:r>
      <w:r w:rsidR="0064115F">
        <w:t>.</w:t>
      </w:r>
    </w:p>
    <w:p w14:paraId="460F1224" w14:textId="77777777" w:rsidR="001A4C5C" w:rsidRDefault="001A4C5C" w:rsidP="003B2457">
      <w:pPr>
        <w:pStyle w:val="ListParagraph"/>
        <w:numPr>
          <w:ilvl w:val="0"/>
          <w:numId w:val="6"/>
        </w:numPr>
        <w:spacing w:line="480" w:lineRule="auto"/>
      </w:pPr>
      <w:r>
        <w:t xml:space="preserve">That he has not sought or required any psychiatric or indeed medical assistance in this country for his conditions since he arrived here </w:t>
      </w:r>
      <w:r w:rsidR="007F3489">
        <w:t>1.5</w:t>
      </w:r>
      <w:r>
        <w:t xml:space="preserve"> years ago</w:t>
      </w:r>
      <w:r w:rsidR="008A2FA5">
        <w:t xml:space="preserve">, </w:t>
      </w:r>
      <w:r w:rsidR="007F3489">
        <w:t xml:space="preserve">that he </w:t>
      </w:r>
      <w:r w:rsidR="008A2FA5">
        <w:t>receive</w:t>
      </w:r>
      <w:r w:rsidR="007F3489">
        <w:t>s</w:t>
      </w:r>
      <w:r w:rsidR="008A2FA5">
        <w:t xml:space="preserve"> medicine and communicates </w:t>
      </w:r>
      <w:r w:rsidR="007F3489">
        <w:t xml:space="preserve">with </w:t>
      </w:r>
      <w:r w:rsidR="008A2FA5">
        <w:t>his doctor</w:t>
      </w:r>
      <w:r w:rsidR="0064115F">
        <w:t>.</w:t>
      </w:r>
    </w:p>
    <w:p w14:paraId="4B37C52C" w14:textId="77777777" w:rsidR="007F3489" w:rsidRDefault="001A4C5C" w:rsidP="006576FD">
      <w:pPr>
        <w:pStyle w:val="ListParagraph"/>
        <w:numPr>
          <w:ilvl w:val="0"/>
          <w:numId w:val="6"/>
        </w:numPr>
        <w:spacing w:line="480" w:lineRule="auto"/>
      </w:pPr>
      <w:r>
        <w:t>That his wife was diagnosed with schizophrenia in 2013, had three psychotic ep</w:t>
      </w:r>
      <w:r w:rsidR="007F3489">
        <w:t xml:space="preserve">isodes </w:t>
      </w:r>
      <w:proofErr w:type="gramStart"/>
      <w:r>
        <w:t>as a consequence</w:t>
      </w:r>
      <w:proofErr w:type="gramEnd"/>
      <w:r>
        <w:t xml:space="preserve"> and has been prescribed medication.</w:t>
      </w:r>
      <w:r w:rsidR="009D47BC">
        <w:t xml:space="preserve"> Her medical report is </w:t>
      </w:r>
      <w:r w:rsidR="006576FD">
        <w:t>of some anti</w:t>
      </w:r>
      <w:r w:rsidR="007F3489">
        <w:t>q</w:t>
      </w:r>
      <w:r w:rsidR="006576FD">
        <w:t>uity</w:t>
      </w:r>
      <w:r w:rsidR="009D47BC">
        <w:t xml:space="preserve"> now some </w:t>
      </w:r>
      <w:r w:rsidR="006576FD">
        <w:t>4</w:t>
      </w:r>
      <w:r w:rsidR="007F3489">
        <w:t xml:space="preserve"> </w:t>
      </w:r>
      <w:r w:rsidR="009D47BC">
        <w:t>years</w:t>
      </w:r>
      <w:r w:rsidR="007F3489">
        <w:t xml:space="preserve"> </w:t>
      </w:r>
      <w:r w:rsidR="009D47BC">
        <w:t xml:space="preserve">old. There is no medical evidence </w:t>
      </w:r>
      <w:r w:rsidR="009D47BC">
        <w:lastRenderedPageBreak/>
        <w:t xml:space="preserve">before the </w:t>
      </w:r>
      <w:r w:rsidR="007F3489">
        <w:t>C</w:t>
      </w:r>
      <w:r w:rsidR="009D47BC">
        <w:t>ourt that she requires daily care/management or supervision</w:t>
      </w:r>
      <w:r w:rsidR="006576FD">
        <w:t>. In fact</w:t>
      </w:r>
      <w:r w:rsidR="007F3489">
        <w:t xml:space="preserve">, she </w:t>
      </w:r>
      <w:r w:rsidR="006576FD">
        <w:t>work</w:t>
      </w:r>
      <w:r w:rsidR="007F3489">
        <w:t>s</w:t>
      </w:r>
      <w:r w:rsidR="006576FD">
        <w:t xml:space="preserve"> on a </w:t>
      </w:r>
      <w:proofErr w:type="gramStart"/>
      <w:r w:rsidR="006576FD">
        <w:t>full time</w:t>
      </w:r>
      <w:proofErr w:type="gramEnd"/>
      <w:r w:rsidR="006576FD">
        <w:t xml:space="preserve"> basis. There is nothing to suggest that the respondent’s surrender will prevent the respondent’s wife receiving the treatment that she requires.</w:t>
      </w:r>
    </w:p>
    <w:p w14:paraId="3593F783" w14:textId="77777777" w:rsidR="007F3489" w:rsidRDefault="006576FD" w:rsidP="007F3489">
      <w:pPr>
        <w:spacing w:line="480" w:lineRule="auto"/>
        <w:ind w:left="360"/>
      </w:pPr>
      <w:r>
        <w:t xml:space="preserve">The </w:t>
      </w:r>
      <w:r w:rsidR="007F3489">
        <w:t>C</w:t>
      </w:r>
      <w:r>
        <w:t xml:space="preserve">ourt does not have any evidence before it as to </w:t>
      </w:r>
      <w:r w:rsidR="001A4C5C">
        <w:t xml:space="preserve">why </w:t>
      </w:r>
      <w:r w:rsidR="008D6D66">
        <w:t>surrender should be prohibited</w:t>
      </w:r>
      <w:r w:rsidR="00F5574B">
        <w:t xml:space="preserve"> because of those mental health conditions</w:t>
      </w:r>
      <w:r w:rsidR="008D6D66">
        <w:t xml:space="preserve">. </w:t>
      </w:r>
    </w:p>
    <w:p w14:paraId="088B1DDB" w14:textId="77777777" w:rsidR="007F3489" w:rsidRDefault="001A4C5C" w:rsidP="007F3489">
      <w:pPr>
        <w:pStyle w:val="ListParagraph"/>
        <w:numPr>
          <w:ilvl w:val="0"/>
          <w:numId w:val="1"/>
        </w:numPr>
        <w:spacing w:line="480" w:lineRule="auto"/>
      </w:pPr>
      <w:r>
        <w:t xml:space="preserve">In applying the test set out in </w:t>
      </w:r>
      <w:r w:rsidRPr="003707D9">
        <w:rPr>
          <w:i/>
          <w:iCs/>
        </w:rPr>
        <w:t>D.E.</w:t>
      </w:r>
      <w:r>
        <w:t xml:space="preserve"> and in giving effect to the judgments of Supreme </w:t>
      </w:r>
    </w:p>
    <w:p w14:paraId="5C05160D" w14:textId="77777777" w:rsidR="008D6D66" w:rsidRDefault="001A4C5C" w:rsidP="007F3489">
      <w:pPr>
        <w:spacing w:line="480" w:lineRule="auto"/>
      </w:pPr>
      <w:r>
        <w:t xml:space="preserve">Court in </w:t>
      </w:r>
      <w:proofErr w:type="spellStart"/>
      <w:r w:rsidRPr="003707D9">
        <w:rPr>
          <w:i/>
          <w:iCs/>
        </w:rPr>
        <w:t>Vesta</w:t>
      </w:r>
      <w:r w:rsidR="007F3489" w:rsidRPr="003707D9">
        <w:rPr>
          <w:i/>
          <w:iCs/>
        </w:rPr>
        <w:t>rta</w:t>
      </w:r>
      <w:r w:rsidRPr="003707D9">
        <w:rPr>
          <w:i/>
          <w:iCs/>
        </w:rPr>
        <w:t>s</w:t>
      </w:r>
      <w:proofErr w:type="spellEnd"/>
      <w:r>
        <w:t xml:space="preserve"> this </w:t>
      </w:r>
      <w:r w:rsidR="007F3489">
        <w:t>Court</w:t>
      </w:r>
      <w:r>
        <w:t xml:space="preserve"> finds that </w:t>
      </w:r>
      <w:r w:rsidR="007F3489">
        <w:t>a</w:t>
      </w:r>
      <w:r w:rsidR="00F03B11">
        <w:t>l</w:t>
      </w:r>
      <w:r>
        <w:t>t</w:t>
      </w:r>
      <w:r w:rsidR="00F03B11">
        <w:t>h</w:t>
      </w:r>
      <w:r>
        <w:t xml:space="preserve">ough the </w:t>
      </w:r>
      <w:r w:rsidR="00A11C3F">
        <w:t>respondent</w:t>
      </w:r>
      <w:r w:rsidR="007F3489">
        <w:t>’</w:t>
      </w:r>
      <w:r w:rsidR="00A11C3F">
        <w:t>s personal an</w:t>
      </w:r>
      <w:r w:rsidR="00160289">
        <w:t>d</w:t>
      </w:r>
      <w:r w:rsidR="00A11C3F">
        <w:t xml:space="preserve"> family circumstance</w:t>
      </w:r>
      <w:r w:rsidR="007F3489">
        <w:t xml:space="preserve">s </w:t>
      </w:r>
      <w:r w:rsidR="00A11C3F">
        <w:t xml:space="preserve">are </w:t>
      </w:r>
      <w:r>
        <w:t>difficult</w:t>
      </w:r>
      <w:r w:rsidR="007F3489">
        <w:t>,</w:t>
      </w:r>
      <w:r>
        <w:t xml:space="preserve"> they </w:t>
      </w:r>
      <w:r w:rsidR="007F3489">
        <w:t xml:space="preserve">are </w:t>
      </w:r>
      <w:r w:rsidR="00A11C3F">
        <w:t xml:space="preserve">not beyond the norm.  </w:t>
      </w:r>
      <w:r w:rsidR="007F3489">
        <w:t>T</w:t>
      </w:r>
      <w:r w:rsidR="00A11C3F">
        <w:t xml:space="preserve">here is no cogent evidence before this </w:t>
      </w:r>
      <w:r w:rsidR="00160289">
        <w:t xml:space="preserve">Court </w:t>
      </w:r>
      <w:r w:rsidR="00A11C3F">
        <w:t xml:space="preserve">to rebut the presumption in Section 4A of the 2003 Act. I </w:t>
      </w:r>
      <w:r w:rsidR="008D6D66">
        <w:t>am satisfied that surrender of the respondent is not precluded by reason of Part 3 of the Act of 2003 or another provision of that Act.</w:t>
      </w:r>
    </w:p>
    <w:p w14:paraId="4A2BD31A" w14:textId="77777777" w:rsidR="00F5574B" w:rsidRDefault="006576FD" w:rsidP="00484306">
      <w:pPr>
        <w:pStyle w:val="ListParagraph"/>
        <w:numPr>
          <w:ilvl w:val="0"/>
          <w:numId w:val="1"/>
        </w:numPr>
        <w:spacing w:line="480" w:lineRule="auto"/>
        <w:ind w:left="0" w:firstLine="0"/>
      </w:pPr>
      <w:r>
        <w:t>As conceded by counsel for the respondent</w:t>
      </w:r>
      <w:r w:rsidR="007F3489">
        <w:t>,</w:t>
      </w:r>
      <w:r>
        <w:t xml:space="preserve"> the</w:t>
      </w:r>
      <w:r w:rsidR="00A11C3F">
        <w:t xml:space="preserve"> suggestion by the respondent that he was not in Germany at the time if the commission of the offence is without any merit</w:t>
      </w:r>
      <w:r>
        <w:t>.</w:t>
      </w:r>
    </w:p>
    <w:p w14:paraId="0E4E793F" w14:textId="77777777" w:rsidR="008D6D66" w:rsidRDefault="008D6D66" w:rsidP="00484306">
      <w:pPr>
        <w:pStyle w:val="ListParagraph"/>
        <w:numPr>
          <w:ilvl w:val="0"/>
          <w:numId w:val="1"/>
        </w:numPr>
        <w:spacing w:line="480" w:lineRule="auto"/>
        <w:ind w:left="0" w:firstLine="0"/>
      </w:pPr>
      <w:r>
        <w:t xml:space="preserve">It, therefore, follows that this Court will make an order pursuant to s. 16 of the Act of 2003 for the surrender of the respondent to </w:t>
      </w:r>
      <w:r w:rsidR="00F5574B">
        <w:t>the Federal Re</w:t>
      </w:r>
      <w:r w:rsidR="00E066CE">
        <w:t>p</w:t>
      </w:r>
      <w:r w:rsidR="00F5574B">
        <w:t xml:space="preserve">ublic of </w:t>
      </w:r>
      <w:r w:rsidR="00A11C3F">
        <w:t>Germany</w:t>
      </w:r>
      <w:r>
        <w:t>.</w:t>
      </w:r>
    </w:p>
    <w:sectPr w:rsidR="008D6D66" w:rsidSect="009E70E8">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935B3" w14:textId="77777777" w:rsidR="00940573" w:rsidRDefault="009B24D3">
      <w:r>
        <w:separator/>
      </w:r>
    </w:p>
  </w:endnote>
  <w:endnote w:type="continuationSeparator" w:id="0">
    <w:p w14:paraId="492EACAD" w14:textId="77777777" w:rsidR="00940573" w:rsidRDefault="009B2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0F78" w14:textId="77777777" w:rsidR="00940573" w:rsidRDefault="009B24D3">
      <w:r>
        <w:separator/>
      </w:r>
    </w:p>
  </w:footnote>
  <w:footnote w:type="continuationSeparator" w:id="0">
    <w:p w14:paraId="5A348679" w14:textId="77777777" w:rsidR="00940573" w:rsidRDefault="009B2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7A6732E8" w14:textId="77777777" w:rsidR="00D26BCB" w:rsidRDefault="00A11C3F">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14:paraId="6418DA2D" w14:textId="77777777" w:rsidR="00D26BCB" w:rsidRDefault="00F57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DE5"/>
    <w:multiLevelType w:val="hybridMultilevel"/>
    <w:tmpl w:val="15A2569A"/>
    <w:lvl w:ilvl="0" w:tplc="DD0CBF32">
      <w:numFmt w:val="bullet"/>
      <w:lvlText w:val="•"/>
      <w:lvlJc w:val="left"/>
      <w:pPr>
        <w:ind w:left="1338" w:hanging="216"/>
      </w:pPr>
      <w:rPr>
        <w:rFonts w:ascii="Arial" w:eastAsia="Arial" w:hAnsi="Arial" w:cs="Arial" w:hint="default"/>
        <w:w w:val="100"/>
      </w:rPr>
    </w:lvl>
    <w:lvl w:ilvl="1" w:tplc="550AE97E">
      <w:numFmt w:val="bullet"/>
      <w:lvlText w:val="•"/>
      <w:lvlJc w:val="left"/>
      <w:pPr>
        <w:ind w:left="1769" w:hanging="355"/>
      </w:pPr>
      <w:rPr>
        <w:rFonts w:ascii="Arial" w:eastAsia="Arial" w:hAnsi="Arial" w:cs="Arial" w:hint="default"/>
        <w:b w:val="0"/>
        <w:bCs w:val="0"/>
        <w:i w:val="0"/>
        <w:iCs w:val="0"/>
        <w:color w:val="4D4D4D"/>
        <w:w w:val="110"/>
        <w:sz w:val="19"/>
        <w:szCs w:val="19"/>
      </w:rPr>
    </w:lvl>
    <w:lvl w:ilvl="2" w:tplc="344217B2">
      <w:numFmt w:val="bullet"/>
      <w:lvlText w:val="•"/>
      <w:lvlJc w:val="left"/>
      <w:pPr>
        <w:ind w:left="2786" w:hanging="355"/>
      </w:pPr>
      <w:rPr>
        <w:rFonts w:hint="default"/>
      </w:rPr>
    </w:lvl>
    <w:lvl w:ilvl="3" w:tplc="45A05FB6">
      <w:numFmt w:val="bullet"/>
      <w:lvlText w:val="•"/>
      <w:lvlJc w:val="left"/>
      <w:pPr>
        <w:ind w:left="3813" w:hanging="355"/>
      </w:pPr>
      <w:rPr>
        <w:rFonts w:hint="default"/>
      </w:rPr>
    </w:lvl>
    <w:lvl w:ilvl="4" w:tplc="34FACFCE">
      <w:numFmt w:val="bullet"/>
      <w:lvlText w:val="•"/>
      <w:lvlJc w:val="left"/>
      <w:pPr>
        <w:ind w:left="4840" w:hanging="355"/>
      </w:pPr>
      <w:rPr>
        <w:rFonts w:hint="default"/>
      </w:rPr>
    </w:lvl>
    <w:lvl w:ilvl="5" w:tplc="BAF617B2">
      <w:numFmt w:val="bullet"/>
      <w:lvlText w:val="•"/>
      <w:lvlJc w:val="left"/>
      <w:pPr>
        <w:ind w:left="5866" w:hanging="355"/>
      </w:pPr>
      <w:rPr>
        <w:rFonts w:hint="default"/>
      </w:rPr>
    </w:lvl>
    <w:lvl w:ilvl="6" w:tplc="7E24B86A">
      <w:numFmt w:val="bullet"/>
      <w:lvlText w:val="•"/>
      <w:lvlJc w:val="left"/>
      <w:pPr>
        <w:ind w:left="6893" w:hanging="355"/>
      </w:pPr>
      <w:rPr>
        <w:rFonts w:hint="default"/>
      </w:rPr>
    </w:lvl>
    <w:lvl w:ilvl="7" w:tplc="2FD41F88">
      <w:numFmt w:val="bullet"/>
      <w:lvlText w:val="•"/>
      <w:lvlJc w:val="left"/>
      <w:pPr>
        <w:ind w:left="7920" w:hanging="355"/>
      </w:pPr>
      <w:rPr>
        <w:rFonts w:hint="default"/>
      </w:rPr>
    </w:lvl>
    <w:lvl w:ilvl="8" w:tplc="07EC4CAE">
      <w:numFmt w:val="bullet"/>
      <w:lvlText w:val="•"/>
      <w:lvlJc w:val="left"/>
      <w:pPr>
        <w:ind w:left="8946" w:hanging="355"/>
      </w:pPr>
      <w:rPr>
        <w:rFonts w:hint="default"/>
      </w:rPr>
    </w:lvl>
  </w:abstractNum>
  <w:abstractNum w:abstractNumId="1" w15:restartNumberingAfterBreak="0">
    <w:nsid w:val="012768A2"/>
    <w:multiLevelType w:val="hybridMultilevel"/>
    <w:tmpl w:val="C95208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D06B28"/>
    <w:multiLevelType w:val="hybridMultilevel"/>
    <w:tmpl w:val="3974753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2AB34941"/>
    <w:multiLevelType w:val="hybridMultilevel"/>
    <w:tmpl w:val="625489B0"/>
    <w:lvl w:ilvl="0" w:tplc="3DD8E1C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B31392C"/>
    <w:multiLevelType w:val="hybridMultilevel"/>
    <w:tmpl w:val="3CA4E7C6"/>
    <w:lvl w:ilvl="0" w:tplc="23EC5E04">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50F6355E"/>
    <w:multiLevelType w:val="hybridMultilevel"/>
    <w:tmpl w:val="541C4936"/>
    <w:lvl w:ilvl="0" w:tplc="05945D68">
      <w:start w:val="1"/>
      <w:numFmt w:val="decimal"/>
      <w:lvlText w:val="%1."/>
      <w:lvlJc w:val="left"/>
      <w:pPr>
        <w:ind w:left="360" w:hanging="360"/>
      </w:pPr>
      <w:rPr>
        <w:rFonts w:hint="default"/>
        <w:b/>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6BE55DC"/>
    <w:multiLevelType w:val="hybridMultilevel"/>
    <w:tmpl w:val="D336424A"/>
    <w:lvl w:ilvl="0" w:tplc="21E25F26">
      <w:start w:val="1"/>
      <w:numFmt w:val="decimal"/>
      <w:lvlText w:val="%1."/>
      <w:lvlJc w:val="left"/>
      <w:pPr>
        <w:ind w:left="737" w:hanging="737"/>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E029A"/>
    <w:multiLevelType w:val="hybridMultilevel"/>
    <w:tmpl w:val="35B4AC98"/>
    <w:lvl w:ilvl="0" w:tplc="BAE8CE06">
      <w:start w:val="1"/>
      <w:numFmt w:val="low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num w:numId="1">
    <w:abstractNumId w:val="6"/>
  </w:num>
  <w:num w:numId="2">
    <w:abstractNumId w:val="7"/>
  </w:num>
  <w:num w:numId="3">
    <w:abstractNumId w:val="5"/>
  </w:num>
  <w:num w:numId="4">
    <w:abstractNumId w:val="1"/>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66"/>
    <w:rsid w:val="00007D3F"/>
    <w:rsid w:val="00007E1B"/>
    <w:rsid w:val="00017B8C"/>
    <w:rsid w:val="000225E9"/>
    <w:rsid w:val="00037177"/>
    <w:rsid w:val="000A77F6"/>
    <w:rsid w:val="000D54CE"/>
    <w:rsid w:val="00132E4C"/>
    <w:rsid w:val="00160289"/>
    <w:rsid w:val="0017783D"/>
    <w:rsid w:val="001A4C5C"/>
    <w:rsid w:val="001C0A92"/>
    <w:rsid w:val="00205F61"/>
    <w:rsid w:val="002273E5"/>
    <w:rsid w:val="00256907"/>
    <w:rsid w:val="00270674"/>
    <w:rsid w:val="00273B0D"/>
    <w:rsid w:val="002842AF"/>
    <w:rsid w:val="00285FD0"/>
    <w:rsid w:val="00301032"/>
    <w:rsid w:val="003707D9"/>
    <w:rsid w:val="003B2457"/>
    <w:rsid w:val="003C38F3"/>
    <w:rsid w:val="0041010B"/>
    <w:rsid w:val="0042673F"/>
    <w:rsid w:val="00432A54"/>
    <w:rsid w:val="004473BC"/>
    <w:rsid w:val="00465369"/>
    <w:rsid w:val="00484306"/>
    <w:rsid w:val="004E6C74"/>
    <w:rsid w:val="0052383B"/>
    <w:rsid w:val="00532092"/>
    <w:rsid w:val="0056390C"/>
    <w:rsid w:val="005975FE"/>
    <w:rsid w:val="006203A8"/>
    <w:rsid w:val="00635BA9"/>
    <w:rsid w:val="0064115F"/>
    <w:rsid w:val="006576FD"/>
    <w:rsid w:val="00686C1C"/>
    <w:rsid w:val="0072775A"/>
    <w:rsid w:val="00793475"/>
    <w:rsid w:val="007E5CA6"/>
    <w:rsid w:val="007F3489"/>
    <w:rsid w:val="00812F8B"/>
    <w:rsid w:val="00851E34"/>
    <w:rsid w:val="00860BD9"/>
    <w:rsid w:val="008A2FA5"/>
    <w:rsid w:val="008D6D66"/>
    <w:rsid w:val="00912BD2"/>
    <w:rsid w:val="0091477E"/>
    <w:rsid w:val="00940573"/>
    <w:rsid w:val="009676D0"/>
    <w:rsid w:val="009A36AE"/>
    <w:rsid w:val="009B24D3"/>
    <w:rsid w:val="009D47BC"/>
    <w:rsid w:val="009E3316"/>
    <w:rsid w:val="00A11C3F"/>
    <w:rsid w:val="00B57A2A"/>
    <w:rsid w:val="00B74500"/>
    <w:rsid w:val="00BB3ECD"/>
    <w:rsid w:val="00BB431B"/>
    <w:rsid w:val="00BC3E84"/>
    <w:rsid w:val="00C07A1D"/>
    <w:rsid w:val="00CA74AD"/>
    <w:rsid w:val="00CE6903"/>
    <w:rsid w:val="00DA700F"/>
    <w:rsid w:val="00DB13AF"/>
    <w:rsid w:val="00E066CE"/>
    <w:rsid w:val="00E25E4A"/>
    <w:rsid w:val="00E334B9"/>
    <w:rsid w:val="00E90BC2"/>
    <w:rsid w:val="00EA1101"/>
    <w:rsid w:val="00EB29BC"/>
    <w:rsid w:val="00EE6D58"/>
    <w:rsid w:val="00F03B11"/>
    <w:rsid w:val="00F1010C"/>
    <w:rsid w:val="00F5574B"/>
    <w:rsid w:val="00F57CD1"/>
    <w:rsid w:val="00F66285"/>
    <w:rsid w:val="00FB57A0"/>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9DEE9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D66"/>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D66"/>
    <w:pPr>
      <w:tabs>
        <w:tab w:val="center" w:pos="4513"/>
        <w:tab w:val="right" w:pos="9026"/>
      </w:tabs>
    </w:pPr>
  </w:style>
  <w:style w:type="character" w:customStyle="1" w:styleId="HeaderChar">
    <w:name w:val="Header Char"/>
    <w:basedOn w:val="DefaultParagraphFont"/>
    <w:link w:val="Header"/>
    <w:uiPriority w:val="99"/>
    <w:rsid w:val="008D6D66"/>
    <w:rPr>
      <w:rFonts w:ascii="Times New Roman" w:eastAsia="Times New Roman" w:hAnsi="Times New Roman" w:cs="Times New Roman"/>
      <w:sz w:val="24"/>
      <w:szCs w:val="24"/>
      <w:lang w:eastAsia="en-IE"/>
    </w:rPr>
  </w:style>
  <w:style w:type="paragraph" w:styleId="ListParagraph">
    <w:name w:val="List Paragraph"/>
    <w:basedOn w:val="Normal"/>
    <w:uiPriority w:val="1"/>
    <w:qFormat/>
    <w:rsid w:val="008D6D66"/>
    <w:pPr>
      <w:ind w:left="720"/>
      <w:contextualSpacing/>
    </w:pPr>
  </w:style>
  <w:style w:type="paragraph" w:styleId="BodyText">
    <w:name w:val="Body Text"/>
    <w:basedOn w:val="Normal"/>
    <w:link w:val="BodyTextChar"/>
    <w:uiPriority w:val="1"/>
    <w:qFormat/>
    <w:rsid w:val="00812F8B"/>
    <w:pPr>
      <w:widowControl w:val="0"/>
      <w:autoSpaceDE w:val="0"/>
      <w:autoSpaceDN w:val="0"/>
    </w:pPr>
    <w:rPr>
      <w:rFonts w:ascii="Arial" w:eastAsia="Arial" w:hAnsi="Arial" w:cs="Arial"/>
      <w:sz w:val="19"/>
      <w:szCs w:val="19"/>
      <w:lang w:val="en-US" w:eastAsia="en-US"/>
    </w:rPr>
  </w:style>
  <w:style w:type="character" w:customStyle="1" w:styleId="BodyTextChar">
    <w:name w:val="Body Text Char"/>
    <w:basedOn w:val="DefaultParagraphFont"/>
    <w:link w:val="BodyText"/>
    <w:uiPriority w:val="1"/>
    <w:rsid w:val="00812F8B"/>
    <w:rPr>
      <w:rFonts w:ascii="Arial" w:eastAsia="Arial" w:hAnsi="Arial" w:cs="Arial"/>
      <w:sz w:val="19"/>
      <w:szCs w:val="19"/>
      <w:lang w:val="en-US"/>
    </w:rPr>
  </w:style>
  <w:style w:type="paragraph" w:styleId="BalloonText">
    <w:name w:val="Balloon Text"/>
    <w:basedOn w:val="Normal"/>
    <w:link w:val="BalloonTextChar"/>
    <w:uiPriority w:val="99"/>
    <w:semiHidden/>
    <w:unhideWhenUsed/>
    <w:rsid w:val="004843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306"/>
    <w:rPr>
      <w:rFonts w:ascii="Segoe UI" w:eastAsia="Times New Roman" w:hAnsi="Segoe UI" w:cs="Segoe UI"/>
      <w:sz w:val="18"/>
      <w:szCs w:val="18"/>
      <w:lang w:eastAsia="en-IE"/>
    </w:rPr>
  </w:style>
  <w:style w:type="paragraph" w:styleId="Footer">
    <w:name w:val="footer"/>
    <w:basedOn w:val="Normal"/>
    <w:link w:val="FooterChar"/>
    <w:uiPriority w:val="99"/>
    <w:unhideWhenUsed/>
    <w:rsid w:val="00F57CD1"/>
    <w:pPr>
      <w:tabs>
        <w:tab w:val="center" w:pos="4513"/>
        <w:tab w:val="right" w:pos="9026"/>
      </w:tabs>
    </w:pPr>
  </w:style>
  <w:style w:type="character" w:customStyle="1" w:styleId="FooterChar">
    <w:name w:val="Footer Char"/>
    <w:basedOn w:val="DefaultParagraphFont"/>
    <w:link w:val="Footer"/>
    <w:uiPriority w:val="99"/>
    <w:rsid w:val="00F57CD1"/>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BE26D-2947-4CF5-9852-44444C14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4478</Words>
  <Characters>25530</Characters>
  <Application>Microsoft Office Word</Application>
  <DocSecurity>0</DocSecurity>
  <Lines>212</Lines>
  <Paragraphs>59</Paragraphs>
  <ScaleCrop>false</ScaleCrop>
  <Company/>
  <LinksUpToDate>false</LinksUpToDate>
  <CharactersWithSpaces>29949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2022-06-01T15:05:00Z</dcterms:created>
  <dcterms:modified xsi:type="dcterms:W3CDTF">2022-06-01T15:05:00Z</dcterms:modified>
</cp:coreProperties>
</file>