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FB66F" w14:textId="77777777" w:rsidR="00DB4DD0" w:rsidRPr="00DB4DD0" w:rsidRDefault="00DB4DD0" w:rsidP="003B7D81">
      <w:pPr>
        <w:spacing w:line="360" w:lineRule="auto"/>
        <w:jc w:val="center"/>
        <w:rPr>
          <w:rFonts w:eastAsia="Calibri"/>
          <w:b/>
          <w:sz w:val="32"/>
          <w:szCs w:val="32"/>
          <w:lang w:eastAsia="en-US"/>
        </w:rPr>
      </w:pPr>
      <w:bookmarkStart w:id="0" w:name="_GoBack"/>
      <w:bookmarkEnd w:id="0"/>
      <w:r w:rsidRPr="00DB4DD0">
        <w:rPr>
          <w:rFonts w:eastAsia="Calibri"/>
          <w:b/>
          <w:sz w:val="32"/>
          <w:szCs w:val="32"/>
          <w:lang w:eastAsia="en-US"/>
        </w:rPr>
        <w:t>THE COURT OF APPEAL</w:t>
      </w:r>
    </w:p>
    <w:p w14:paraId="02467048" w14:textId="0ACD41EC" w:rsidR="00DB4DD0" w:rsidRPr="00882E6E" w:rsidRDefault="00DB4DD0" w:rsidP="00121251">
      <w:pPr>
        <w:spacing w:line="360" w:lineRule="auto"/>
        <w:rPr>
          <w:rFonts w:eastAsia="Calibri"/>
          <w:b/>
          <w:sz w:val="32"/>
          <w:szCs w:val="32"/>
          <w:lang w:eastAsia="en-US"/>
        </w:rPr>
      </w:pPr>
    </w:p>
    <w:p w14:paraId="634E3739" w14:textId="77777777" w:rsidR="00DB4DD0" w:rsidRPr="00DB4DD0" w:rsidRDefault="00DB4DD0" w:rsidP="00DB4DD0">
      <w:pPr>
        <w:spacing w:line="360" w:lineRule="auto"/>
        <w:jc w:val="right"/>
        <w:rPr>
          <w:rFonts w:eastAsia="Calibri"/>
          <w:b/>
          <w:szCs w:val="22"/>
          <w:lang w:eastAsia="en-US"/>
        </w:rPr>
      </w:pPr>
      <w:r w:rsidRPr="00DB4DD0">
        <w:rPr>
          <w:rFonts w:eastAsia="Calibri"/>
          <w:b/>
          <w:szCs w:val="22"/>
          <w:lang w:eastAsia="en-US"/>
        </w:rPr>
        <w:t xml:space="preserve">Record No. </w:t>
      </w:r>
      <w:r w:rsidR="009B2AD0">
        <w:rPr>
          <w:rFonts w:eastAsia="Calibri"/>
          <w:b/>
          <w:szCs w:val="22"/>
          <w:lang w:eastAsia="en-US"/>
        </w:rPr>
        <w:t>2020</w:t>
      </w:r>
      <w:r w:rsidR="009D3B13">
        <w:rPr>
          <w:rFonts w:eastAsia="Calibri"/>
          <w:b/>
          <w:szCs w:val="22"/>
          <w:lang w:eastAsia="en-US"/>
        </w:rPr>
        <w:t>/</w:t>
      </w:r>
      <w:r w:rsidR="009B2AD0">
        <w:rPr>
          <w:rFonts w:eastAsia="Calibri"/>
          <w:b/>
          <w:szCs w:val="22"/>
          <w:lang w:eastAsia="en-US"/>
        </w:rPr>
        <w:t>121</w:t>
      </w:r>
    </w:p>
    <w:p w14:paraId="4AA960F9" w14:textId="77777777" w:rsidR="00DB4DD0" w:rsidRPr="00DB4DD0" w:rsidRDefault="00DB4DD0" w:rsidP="00DB4DD0">
      <w:pPr>
        <w:spacing w:line="360" w:lineRule="auto"/>
        <w:jc w:val="right"/>
        <w:rPr>
          <w:rFonts w:eastAsia="Calibri"/>
          <w:b/>
          <w:szCs w:val="22"/>
          <w:lang w:eastAsia="en-US"/>
        </w:rPr>
      </w:pPr>
    </w:p>
    <w:p w14:paraId="5EFA0413" w14:textId="77777777" w:rsidR="002857A9" w:rsidRDefault="008262E7" w:rsidP="002857A9">
      <w:pPr>
        <w:spacing w:line="276" w:lineRule="auto"/>
        <w:jc w:val="both"/>
        <w:rPr>
          <w:rFonts w:eastAsia="Calibri"/>
          <w:b/>
          <w:szCs w:val="22"/>
          <w:lang w:eastAsia="en-US"/>
        </w:rPr>
      </w:pPr>
      <w:r>
        <w:rPr>
          <w:rFonts w:eastAsia="Calibri"/>
          <w:b/>
          <w:szCs w:val="22"/>
          <w:lang w:eastAsia="en-US"/>
        </w:rPr>
        <w:t>The President</w:t>
      </w:r>
    </w:p>
    <w:p w14:paraId="387B4204" w14:textId="77777777" w:rsidR="008262E7" w:rsidRDefault="008262E7" w:rsidP="002857A9">
      <w:pPr>
        <w:spacing w:line="276" w:lineRule="auto"/>
        <w:jc w:val="both"/>
        <w:rPr>
          <w:rFonts w:eastAsia="Calibri"/>
          <w:b/>
          <w:szCs w:val="22"/>
          <w:lang w:eastAsia="en-US"/>
        </w:rPr>
      </w:pPr>
      <w:r>
        <w:rPr>
          <w:rFonts w:eastAsia="Calibri"/>
          <w:b/>
          <w:szCs w:val="22"/>
          <w:lang w:eastAsia="en-US"/>
        </w:rPr>
        <w:t>Binchy J.</w:t>
      </w:r>
    </w:p>
    <w:p w14:paraId="6BA0699E" w14:textId="77777777" w:rsidR="002857A9" w:rsidRDefault="008262E7" w:rsidP="002857A9">
      <w:pPr>
        <w:spacing w:line="276" w:lineRule="auto"/>
        <w:jc w:val="both"/>
        <w:rPr>
          <w:rFonts w:eastAsia="Calibri"/>
          <w:b/>
          <w:szCs w:val="22"/>
          <w:lang w:eastAsia="en-US"/>
        </w:rPr>
      </w:pPr>
      <w:r>
        <w:rPr>
          <w:rFonts w:eastAsia="Calibri"/>
          <w:b/>
          <w:szCs w:val="22"/>
          <w:lang w:eastAsia="en-US"/>
        </w:rPr>
        <w:t>Pilkington J.</w:t>
      </w:r>
    </w:p>
    <w:p w14:paraId="0400CE42" w14:textId="77777777" w:rsidR="00DB4DD0" w:rsidRPr="00DB4DD0" w:rsidRDefault="00DB4DD0" w:rsidP="002857A9">
      <w:pPr>
        <w:spacing w:line="360" w:lineRule="auto"/>
        <w:rPr>
          <w:rFonts w:eastAsia="Calibri"/>
          <w:b/>
          <w:szCs w:val="22"/>
          <w:lang w:eastAsia="en-US"/>
        </w:rPr>
      </w:pPr>
    </w:p>
    <w:p w14:paraId="2DF57732" w14:textId="77777777" w:rsidR="00DB4DD0" w:rsidRPr="00DB4DD0" w:rsidRDefault="00DB4DD0" w:rsidP="00DB4DD0">
      <w:pPr>
        <w:spacing w:line="360" w:lineRule="auto"/>
        <w:jc w:val="both"/>
        <w:rPr>
          <w:rFonts w:eastAsia="Calibri"/>
          <w:b/>
          <w:szCs w:val="22"/>
          <w:lang w:eastAsia="en-US"/>
        </w:rPr>
      </w:pPr>
    </w:p>
    <w:p w14:paraId="3CEA7C00" w14:textId="77777777" w:rsidR="009D3B13" w:rsidRDefault="00DB4DD0" w:rsidP="00DB4DD0">
      <w:pPr>
        <w:spacing w:line="360" w:lineRule="auto"/>
        <w:rPr>
          <w:rFonts w:eastAsia="Calibri"/>
          <w:b/>
          <w:szCs w:val="22"/>
          <w:lang w:eastAsia="en-US"/>
        </w:rPr>
      </w:pPr>
      <w:r w:rsidRPr="00DB4DD0">
        <w:rPr>
          <w:rFonts w:eastAsia="Calibri"/>
          <w:b/>
          <w:szCs w:val="22"/>
          <w:lang w:eastAsia="en-US"/>
        </w:rPr>
        <w:t>BETWEEN/</w:t>
      </w:r>
    </w:p>
    <w:p w14:paraId="0AA3E6BE" w14:textId="77777777" w:rsidR="009D3B13" w:rsidRPr="00DB4DD0" w:rsidRDefault="009D3B13" w:rsidP="009D3B13">
      <w:pPr>
        <w:spacing w:line="360" w:lineRule="auto"/>
        <w:jc w:val="center"/>
        <w:rPr>
          <w:rFonts w:eastAsia="Calibri"/>
          <w:b/>
          <w:szCs w:val="22"/>
          <w:lang w:eastAsia="en-US"/>
        </w:rPr>
      </w:pPr>
      <w:r>
        <w:rPr>
          <w:rFonts w:eastAsia="Calibri"/>
          <w:b/>
          <w:szCs w:val="22"/>
          <w:lang w:eastAsia="en-US"/>
        </w:rPr>
        <w:t xml:space="preserve">DARREN FITZPATRICK </w:t>
      </w:r>
    </w:p>
    <w:p w14:paraId="4CD7B93A" w14:textId="77777777" w:rsidR="00DB4DD0" w:rsidRPr="00DB4DD0" w:rsidRDefault="00DB4DD0" w:rsidP="00DB4DD0">
      <w:pPr>
        <w:spacing w:line="360" w:lineRule="auto"/>
        <w:jc w:val="center"/>
        <w:rPr>
          <w:rFonts w:eastAsia="Calibri"/>
          <w:b/>
          <w:szCs w:val="22"/>
          <w:lang w:eastAsia="en-US"/>
        </w:rPr>
      </w:pPr>
    </w:p>
    <w:p w14:paraId="0AE9B460" w14:textId="77777777" w:rsidR="00DB4DD0" w:rsidRPr="00DB4DD0" w:rsidRDefault="009D3B13" w:rsidP="00DB4DD0">
      <w:pPr>
        <w:spacing w:line="360" w:lineRule="auto"/>
        <w:jc w:val="right"/>
        <w:rPr>
          <w:rFonts w:eastAsia="Calibri"/>
          <w:b/>
          <w:szCs w:val="22"/>
          <w:lang w:eastAsia="en-US"/>
        </w:rPr>
      </w:pPr>
      <w:r>
        <w:rPr>
          <w:rFonts w:eastAsia="Calibri"/>
          <w:b/>
          <w:szCs w:val="22"/>
          <w:lang w:eastAsia="en-US"/>
        </w:rPr>
        <w:t>PLAINTIFF</w:t>
      </w:r>
      <w:r w:rsidR="009F08C4">
        <w:rPr>
          <w:rFonts w:eastAsia="Calibri"/>
          <w:b/>
          <w:szCs w:val="22"/>
          <w:lang w:eastAsia="en-US"/>
        </w:rPr>
        <w:t>/</w:t>
      </w:r>
      <w:r w:rsidR="009B2AD0">
        <w:rPr>
          <w:rFonts w:eastAsia="Calibri"/>
          <w:b/>
          <w:szCs w:val="22"/>
          <w:lang w:eastAsia="en-US"/>
        </w:rPr>
        <w:t>RESPONDE</w:t>
      </w:r>
      <w:r>
        <w:rPr>
          <w:rFonts w:eastAsia="Calibri"/>
          <w:b/>
          <w:szCs w:val="22"/>
          <w:lang w:eastAsia="en-US"/>
        </w:rPr>
        <w:t>NT</w:t>
      </w:r>
    </w:p>
    <w:p w14:paraId="42B9733C" w14:textId="77777777" w:rsidR="00DB4DD0" w:rsidRPr="00DB4DD0" w:rsidRDefault="00DB4DD0" w:rsidP="00DB4DD0">
      <w:pPr>
        <w:spacing w:line="360" w:lineRule="auto"/>
        <w:jc w:val="center"/>
        <w:rPr>
          <w:rFonts w:eastAsia="Calibri"/>
          <w:b/>
          <w:szCs w:val="22"/>
          <w:lang w:eastAsia="en-US"/>
        </w:rPr>
      </w:pPr>
    </w:p>
    <w:p w14:paraId="5F868CA7" w14:textId="77777777" w:rsidR="00DB4DD0" w:rsidRPr="00DB4DD0" w:rsidRDefault="00DB4DD0" w:rsidP="00DB4DD0">
      <w:pPr>
        <w:spacing w:line="360" w:lineRule="auto"/>
        <w:jc w:val="center"/>
        <w:rPr>
          <w:rFonts w:eastAsia="Calibri"/>
          <w:b/>
          <w:szCs w:val="22"/>
          <w:lang w:eastAsia="en-US"/>
        </w:rPr>
      </w:pPr>
      <w:r w:rsidRPr="00DB4DD0">
        <w:rPr>
          <w:rFonts w:eastAsia="Calibri"/>
          <w:b/>
          <w:szCs w:val="22"/>
          <w:lang w:eastAsia="en-US"/>
        </w:rPr>
        <w:t>- AND -</w:t>
      </w:r>
    </w:p>
    <w:p w14:paraId="47CEC3ED" w14:textId="77777777" w:rsidR="00DB4DD0" w:rsidRPr="00DB4DD0" w:rsidRDefault="00DB4DD0" w:rsidP="00A30584">
      <w:pPr>
        <w:tabs>
          <w:tab w:val="left" w:pos="1390"/>
        </w:tabs>
        <w:spacing w:line="360" w:lineRule="auto"/>
        <w:rPr>
          <w:rFonts w:eastAsia="Calibri"/>
          <w:b/>
          <w:szCs w:val="22"/>
          <w:lang w:eastAsia="en-US"/>
        </w:rPr>
      </w:pPr>
    </w:p>
    <w:p w14:paraId="623F2C18" w14:textId="07606020" w:rsidR="00DB4DD0" w:rsidRDefault="009B2AD0" w:rsidP="00DB4DD0">
      <w:pPr>
        <w:spacing w:line="360" w:lineRule="auto"/>
        <w:jc w:val="center"/>
        <w:rPr>
          <w:rFonts w:eastAsia="Calibri"/>
          <w:b/>
          <w:szCs w:val="22"/>
          <w:lang w:eastAsia="en-US"/>
        </w:rPr>
      </w:pPr>
      <w:r>
        <w:rPr>
          <w:rFonts w:eastAsia="Calibri"/>
          <w:b/>
          <w:szCs w:val="22"/>
          <w:lang w:eastAsia="en-US"/>
        </w:rPr>
        <w:t>THE MINISTER</w:t>
      </w:r>
      <w:r w:rsidR="005076F1">
        <w:rPr>
          <w:rFonts w:eastAsia="Calibri"/>
          <w:b/>
          <w:szCs w:val="22"/>
          <w:lang w:eastAsia="en-US"/>
        </w:rPr>
        <w:t xml:space="preserve"> FOR JUSTICE</w:t>
      </w:r>
      <w:r>
        <w:rPr>
          <w:rFonts w:eastAsia="Calibri"/>
          <w:b/>
          <w:szCs w:val="22"/>
          <w:lang w:eastAsia="en-US"/>
        </w:rPr>
        <w:t xml:space="preserve"> EQUALITY AND LAW REFORM, THE COMMISSIONER OF AN GARDA S</w:t>
      </w:r>
      <w:r w:rsidR="005076F1">
        <w:rPr>
          <w:rFonts w:eastAsia="Calibri"/>
          <w:b/>
          <w:szCs w:val="22"/>
          <w:lang w:eastAsia="en-US"/>
        </w:rPr>
        <w:t>Í</w:t>
      </w:r>
      <w:r>
        <w:rPr>
          <w:rFonts w:eastAsia="Calibri"/>
          <w:b/>
          <w:szCs w:val="22"/>
          <w:lang w:eastAsia="en-US"/>
        </w:rPr>
        <w:t>OCHÁNA, IRELAND AND THE ATTORNEY GENERAL</w:t>
      </w:r>
    </w:p>
    <w:p w14:paraId="2C8B7C1F" w14:textId="77777777" w:rsidR="009B2AD0" w:rsidRDefault="009B2AD0" w:rsidP="00DB4DD0">
      <w:pPr>
        <w:spacing w:line="360" w:lineRule="auto"/>
        <w:jc w:val="center"/>
        <w:rPr>
          <w:rFonts w:eastAsia="Calibri"/>
          <w:b/>
          <w:szCs w:val="22"/>
          <w:lang w:eastAsia="en-US"/>
        </w:rPr>
      </w:pPr>
    </w:p>
    <w:p w14:paraId="7E257E36" w14:textId="77777777" w:rsidR="009B2AD0" w:rsidRPr="00DB4DD0" w:rsidRDefault="009B2AD0" w:rsidP="009B2AD0">
      <w:pPr>
        <w:spacing w:line="360" w:lineRule="auto"/>
        <w:jc w:val="right"/>
        <w:rPr>
          <w:rFonts w:eastAsia="Calibri"/>
          <w:b/>
          <w:szCs w:val="22"/>
          <w:lang w:eastAsia="en-US"/>
        </w:rPr>
      </w:pPr>
      <w:r>
        <w:rPr>
          <w:rFonts w:eastAsia="Calibri"/>
          <w:b/>
          <w:szCs w:val="22"/>
          <w:lang w:eastAsia="en-US"/>
        </w:rPr>
        <w:t>DEFENDANTS/APPELLANTS</w:t>
      </w:r>
    </w:p>
    <w:p w14:paraId="7F67CC5C" w14:textId="77777777" w:rsidR="00DB4DD0" w:rsidRPr="00DB4DD0" w:rsidRDefault="00DB4DD0" w:rsidP="00DB4DD0">
      <w:pPr>
        <w:spacing w:line="360" w:lineRule="auto"/>
        <w:jc w:val="center"/>
        <w:rPr>
          <w:rFonts w:eastAsia="Calibri"/>
          <w:b/>
          <w:szCs w:val="22"/>
          <w:lang w:eastAsia="en-US"/>
        </w:rPr>
      </w:pPr>
    </w:p>
    <w:p w14:paraId="4C17D13E" w14:textId="77777777" w:rsidR="00DB4DD0" w:rsidRPr="00DB4DD0" w:rsidRDefault="00DB4DD0" w:rsidP="00DB4DD0">
      <w:pPr>
        <w:spacing w:line="360" w:lineRule="auto"/>
        <w:jc w:val="both"/>
        <w:rPr>
          <w:rFonts w:eastAsia="Calibri"/>
          <w:szCs w:val="22"/>
          <w:lang w:eastAsia="en-US"/>
        </w:rPr>
      </w:pPr>
    </w:p>
    <w:p w14:paraId="48C3200C" w14:textId="54CD5BE4" w:rsidR="00081285" w:rsidRDefault="00166F9B" w:rsidP="00AE6AFF">
      <w:pPr>
        <w:widowControl w:val="0"/>
        <w:jc w:val="both"/>
        <w:rPr>
          <w:b/>
          <w:u w:val="single"/>
        </w:rPr>
      </w:pPr>
      <w:r>
        <w:rPr>
          <w:rFonts w:eastAsia="Calibri"/>
          <w:b/>
          <w:szCs w:val="22"/>
          <w:u w:val="single"/>
          <w:lang w:eastAsia="en-US"/>
        </w:rPr>
        <w:t xml:space="preserve">JUDGMENT of </w:t>
      </w:r>
      <w:r w:rsidR="00FD6B5E">
        <w:rPr>
          <w:rFonts w:eastAsia="Calibri"/>
          <w:b/>
          <w:szCs w:val="22"/>
          <w:u w:val="single"/>
          <w:lang w:eastAsia="en-US"/>
        </w:rPr>
        <w:t xml:space="preserve">the Court delivered on the </w:t>
      </w:r>
      <w:r w:rsidR="00AE6AFF">
        <w:rPr>
          <w:rFonts w:eastAsia="Calibri"/>
          <w:b/>
          <w:szCs w:val="22"/>
          <w:u w:val="single"/>
          <w:lang w:eastAsia="en-US"/>
        </w:rPr>
        <w:t>15</w:t>
      </w:r>
      <w:r w:rsidR="00AE6AFF" w:rsidRPr="00AE6AFF">
        <w:rPr>
          <w:rFonts w:eastAsia="Calibri"/>
          <w:b/>
          <w:szCs w:val="22"/>
          <w:u w:val="single"/>
          <w:vertAlign w:val="superscript"/>
          <w:lang w:eastAsia="en-US"/>
        </w:rPr>
        <w:t>th</w:t>
      </w:r>
      <w:r w:rsidR="00DB4DD0" w:rsidRPr="00DB4DD0">
        <w:rPr>
          <w:rFonts w:eastAsia="Calibri"/>
          <w:b/>
          <w:szCs w:val="22"/>
          <w:u w:val="single"/>
          <w:lang w:eastAsia="en-US"/>
        </w:rPr>
        <w:t xml:space="preserve"> day of </w:t>
      </w:r>
      <w:r w:rsidR="00BF6DA0">
        <w:rPr>
          <w:rFonts w:eastAsia="Calibri"/>
          <w:b/>
          <w:szCs w:val="22"/>
          <w:u w:val="single"/>
          <w:lang w:eastAsia="en-US"/>
        </w:rPr>
        <w:t>April</w:t>
      </w:r>
      <w:r w:rsidR="00DB4DD0" w:rsidRPr="00DB4DD0">
        <w:rPr>
          <w:rFonts w:eastAsia="Calibri"/>
          <w:b/>
          <w:szCs w:val="22"/>
          <w:u w:val="single"/>
          <w:lang w:eastAsia="en-US"/>
        </w:rPr>
        <w:t xml:space="preserve"> 202</w:t>
      </w:r>
      <w:r w:rsidR="0094088E">
        <w:rPr>
          <w:rFonts w:eastAsia="Calibri"/>
          <w:b/>
          <w:szCs w:val="22"/>
          <w:u w:val="single"/>
          <w:lang w:eastAsia="en-US"/>
        </w:rPr>
        <w:t>1</w:t>
      </w:r>
      <w:r w:rsidR="00FD6B5E">
        <w:rPr>
          <w:b/>
          <w:u w:val="single"/>
        </w:rPr>
        <w:t xml:space="preserve"> by Mr. Justice Binchy</w:t>
      </w:r>
    </w:p>
    <w:p w14:paraId="00B1551D" w14:textId="77777777" w:rsidR="00860894" w:rsidRDefault="00860894" w:rsidP="00DB4DD0">
      <w:pPr>
        <w:widowControl w:val="0"/>
        <w:rPr>
          <w:b/>
          <w:u w:val="single"/>
        </w:rPr>
      </w:pPr>
    </w:p>
    <w:p w14:paraId="59DF7CAA" w14:textId="6C49768E" w:rsidR="00DC7BC4" w:rsidRPr="00FF05B6" w:rsidRDefault="00DC7BC4"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This is an appeal from an order of Cross J. dated 16</w:t>
      </w:r>
      <w:r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March 2020,</w:t>
      </w:r>
      <w:r w:rsidR="00754811" w:rsidRPr="00FF05B6">
        <w:rPr>
          <w:rFonts w:ascii="Times New Roman" w:hAnsi="Times New Roman" w:cs="Times New Roman"/>
          <w:sz w:val="24"/>
          <w:szCs w:val="24"/>
        </w:rPr>
        <w:t xml:space="preserve"> </w:t>
      </w:r>
      <w:r w:rsidRPr="00FF05B6">
        <w:rPr>
          <w:rFonts w:ascii="Times New Roman" w:hAnsi="Times New Roman" w:cs="Times New Roman"/>
          <w:sz w:val="24"/>
          <w:szCs w:val="24"/>
        </w:rPr>
        <w:t>whereby he dismissed the application of the defendants/appellants to strike out the proceedings brought by the plaintiff/respondent on grounds of inordinate and inexcusable delay.</w:t>
      </w:r>
    </w:p>
    <w:p w14:paraId="2E1AEA77" w14:textId="3ED9877A" w:rsidR="00860894" w:rsidRPr="00FF05B6" w:rsidRDefault="00860894"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 xml:space="preserve">In these proceedings the </w:t>
      </w:r>
      <w:r w:rsidR="00AB4E12" w:rsidRPr="00FF05B6">
        <w:rPr>
          <w:rFonts w:ascii="Times New Roman" w:hAnsi="Times New Roman" w:cs="Times New Roman"/>
          <w:sz w:val="24"/>
          <w:szCs w:val="24"/>
        </w:rPr>
        <w:t xml:space="preserve">respondent </w:t>
      </w:r>
      <w:r w:rsidRPr="00FF05B6">
        <w:rPr>
          <w:rFonts w:ascii="Times New Roman" w:hAnsi="Times New Roman" w:cs="Times New Roman"/>
          <w:sz w:val="24"/>
          <w:szCs w:val="24"/>
        </w:rPr>
        <w:t xml:space="preserve">claims damages against the </w:t>
      </w:r>
      <w:r w:rsidR="00754811" w:rsidRPr="00FF05B6">
        <w:rPr>
          <w:rFonts w:ascii="Times New Roman" w:hAnsi="Times New Roman" w:cs="Times New Roman"/>
          <w:sz w:val="24"/>
          <w:szCs w:val="24"/>
        </w:rPr>
        <w:t>appellants</w:t>
      </w:r>
      <w:r w:rsidRPr="00FF05B6">
        <w:rPr>
          <w:rFonts w:ascii="Times New Roman" w:hAnsi="Times New Roman" w:cs="Times New Roman"/>
          <w:sz w:val="24"/>
          <w:szCs w:val="24"/>
        </w:rPr>
        <w:t xml:space="preserve"> for assault, battery, false imprisonment and breach of the </w:t>
      </w:r>
      <w:r w:rsidR="00AB4E12"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’s constitutional rights. </w:t>
      </w:r>
      <w:r w:rsidR="00FF27ED" w:rsidRPr="00FF05B6">
        <w:rPr>
          <w:rFonts w:ascii="Times New Roman" w:hAnsi="Times New Roman" w:cs="Times New Roman"/>
          <w:sz w:val="24"/>
          <w:szCs w:val="24"/>
        </w:rPr>
        <w:t>The incident the subject of the proceedings is alleged to have occurred on 15</w:t>
      </w:r>
      <w:r w:rsidR="00754811" w:rsidRPr="00FF05B6">
        <w:rPr>
          <w:rFonts w:ascii="Times New Roman" w:hAnsi="Times New Roman" w:cs="Times New Roman"/>
          <w:sz w:val="24"/>
          <w:szCs w:val="24"/>
          <w:vertAlign w:val="superscript"/>
        </w:rPr>
        <w:t>th</w:t>
      </w:r>
      <w:r w:rsidR="00FF27ED" w:rsidRPr="00FF05B6">
        <w:rPr>
          <w:rFonts w:ascii="Times New Roman" w:hAnsi="Times New Roman" w:cs="Times New Roman"/>
          <w:sz w:val="24"/>
          <w:szCs w:val="24"/>
        </w:rPr>
        <w:t xml:space="preserve"> January 2011, and</w:t>
      </w:r>
      <w:r w:rsidRPr="00FF05B6">
        <w:rPr>
          <w:rFonts w:ascii="Times New Roman" w:hAnsi="Times New Roman" w:cs="Times New Roman"/>
          <w:sz w:val="24"/>
          <w:szCs w:val="24"/>
        </w:rPr>
        <w:t xml:space="preserve"> proceedings were issued by plenary summons dated 10</w:t>
      </w:r>
      <w:r w:rsidR="00495A75"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August 2012</w:t>
      </w:r>
      <w:r w:rsidR="005105FF" w:rsidRPr="00FF05B6">
        <w:rPr>
          <w:rFonts w:ascii="Times New Roman" w:hAnsi="Times New Roman" w:cs="Times New Roman"/>
          <w:sz w:val="24"/>
          <w:szCs w:val="24"/>
        </w:rPr>
        <w:t xml:space="preserve">. While it is not stated </w:t>
      </w:r>
      <w:r w:rsidR="005105FF" w:rsidRPr="00FF05B6">
        <w:rPr>
          <w:rFonts w:ascii="Times New Roman" w:hAnsi="Times New Roman" w:cs="Times New Roman"/>
          <w:sz w:val="24"/>
          <w:szCs w:val="24"/>
        </w:rPr>
        <w:lastRenderedPageBreak/>
        <w:t>in the papers before the Court when this was served, the sta</w:t>
      </w:r>
      <w:r w:rsidR="00E0102F" w:rsidRPr="00FF05B6">
        <w:rPr>
          <w:rFonts w:ascii="Times New Roman" w:hAnsi="Times New Roman" w:cs="Times New Roman"/>
          <w:sz w:val="24"/>
          <w:szCs w:val="24"/>
        </w:rPr>
        <w:t>te</w:t>
      </w:r>
      <w:r w:rsidR="005105FF" w:rsidRPr="00FF05B6">
        <w:rPr>
          <w:rFonts w:ascii="Times New Roman" w:hAnsi="Times New Roman" w:cs="Times New Roman"/>
          <w:sz w:val="24"/>
          <w:szCs w:val="24"/>
        </w:rPr>
        <w:t>ment of claim is stated on its face to have been deliver</w:t>
      </w:r>
      <w:r w:rsidR="00E0102F" w:rsidRPr="00FF05B6">
        <w:rPr>
          <w:rFonts w:ascii="Times New Roman" w:hAnsi="Times New Roman" w:cs="Times New Roman"/>
          <w:sz w:val="24"/>
          <w:szCs w:val="24"/>
        </w:rPr>
        <w:t>e</w:t>
      </w:r>
      <w:r w:rsidR="005105FF" w:rsidRPr="00FF05B6">
        <w:rPr>
          <w:rFonts w:ascii="Times New Roman" w:hAnsi="Times New Roman" w:cs="Times New Roman"/>
          <w:sz w:val="24"/>
          <w:szCs w:val="24"/>
        </w:rPr>
        <w:t xml:space="preserve">d the following day, </w:t>
      </w:r>
      <w:r w:rsidR="00E0102F" w:rsidRPr="00FF05B6">
        <w:rPr>
          <w:rFonts w:ascii="Times New Roman" w:hAnsi="Times New Roman" w:cs="Times New Roman"/>
          <w:sz w:val="24"/>
          <w:szCs w:val="24"/>
        </w:rPr>
        <w:t>1</w:t>
      </w:r>
      <w:r w:rsidR="005105FF" w:rsidRPr="00FF05B6">
        <w:rPr>
          <w:rFonts w:ascii="Times New Roman" w:hAnsi="Times New Roman" w:cs="Times New Roman"/>
          <w:sz w:val="24"/>
          <w:szCs w:val="24"/>
        </w:rPr>
        <w:t>1</w:t>
      </w:r>
      <w:r w:rsidR="005105FF" w:rsidRPr="00FF05B6">
        <w:rPr>
          <w:rFonts w:ascii="Times New Roman" w:hAnsi="Times New Roman" w:cs="Times New Roman"/>
          <w:sz w:val="24"/>
          <w:szCs w:val="24"/>
          <w:vertAlign w:val="superscript"/>
        </w:rPr>
        <w:t>th</w:t>
      </w:r>
      <w:r w:rsidR="005105FF" w:rsidRPr="00FF05B6">
        <w:rPr>
          <w:rFonts w:ascii="Times New Roman" w:hAnsi="Times New Roman" w:cs="Times New Roman"/>
          <w:sz w:val="24"/>
          <w:szCs w:val="24"/>
        </w:rPr>
        <w:t xml:space="preserve"> August 2012</w:t>
      </w:r>
      <w:r w:rsidR="00E0102F" w:rsidRPr="00FF05B6">
        <w:rPr>
          <w:rFonts w:ascii="Times New Roman" w:hAnsi="Times New Roman" w:cs="Times New Roman"/>
          <w:sz w:val="24"/>
          <w:szCs w:val="24"/>
        </w:rPr>
        <w:t>, so it is reasonable to assume that that is the date of service of the plenary summons also.</w:t>
      </w:r>
      <w:r w:rsidRPr="00FF05B6">
        <w:rPr>
          <w:rFonts w:ascii="Times New Roman" w:hAnsi="Times New Roman" w:cs="Times New Roman"/>
          <w:sz w:val="24"/>
          <w:szCs w:val="24"/>
        </w:rPr>
        <w:t xml:space="preserve"> An appearance to the proceedings was entered on behalf of th</w:t>
      </w:r>
      <w:r w:rsidR="00AC14B3" w:rsidRPr="00FF05B6">
        <w:rPr>
          <w:rFonts w:ascii="Times New Roman" w:hAnsi="Times New Roman" w:cs="Times New Roman"/>
          <w:sz w:val="24"/>
          <w:szCs w:val="24"/>
        </w:rPr>
        <w:t xml:space="preserve">e </w:t>
      </w:r>
      <w:r w:rsidR="00AB4E12" w:rsidRPr="00FF05B6">
        <w:rPr>
          <w:rFonts w:ascii="Times New Roman" w:hAnsi="Times New Roman" w:cs="Times New Roman"/>
          <w:sz w:val="24"/>
          <w:szCs w:val="24"/>
        </w:rPr>
        <w:t>appell</w:t>
      </w:r>
      <w:r w:rsidR="00AC14B3" w:rsidRPr="00FF05B6">
        <w:rPr>
          <w:rFonts w:ascii="Times New Roman" w:hAnsi="Times New Roman" w:cs="Times New Roman"/>
          <w:sz w:val="24"/>
          <w:szCs w:val="24"/>
        </w:rPr>
        <w:t>ants on 28</w:t>
      </w:r>
      <w:r w:rsidR="00AC14B3" w:rsidRPr="00FF05B6">
        <w:rPr>
          <w:rFonts w:ascii="Times New Roman" w:hAnsi="Times New Roman" w:cs="Times New Roman"/>
          <w:sz w:val="24"/>
          <w:szCs w:val="24"/>
          <w:vertAlign w:val="superscript"/>
        </w:rPr>
        <w:t>th</w:t>
      </w:r>
      <w:r w:rsidR="00AC14B3" w:rsidRPr="00FF05B6">
        <w:rPr>
          <w:rFonts w:ascii="Times New Roman" w:hAnsi="Times New Roman" w:cs="Times New Roman"/>
          <w:sz w:val="24"/>
          <w:szCs w:val="24"/>
        </w:rPr>
        <w:t xml:space="preserve"> March 2013</w:t>
      </w:r>
      <w:r w:rsidRPr="00FF05B6">
        <w:rPr>
          <w:rFonts w:ascii="Times New Roman" w:hAnsi="Times New Roman" w:cs="Times New Roman"/>
          <w:sz w:val="24"/>
          <w:szCs w:val="24"/>
        </w:rPr>
        <w:t xml:space="preserve">. </w:t>
      </w:r>
      <w:r w:rsidR="00E0102F" w:rsidRPr="00FF05B6">
        <w:rPr>
          <w:rFonts w:ascii="Times New Roman" w:hAnsi="Times New Roman" w:cs="Times New Roman"/>
          <w:sz w:val="24"/>
          <w:szCs w:val="24"/>
        </w:rPr>
        <w:t xml:space="preserve">A defence was delivered on behalf of the </w:t>
      </w:r>
      <w:r w:rsidR="00AB4E12" w:rsidRPr="00FF05B6">
        <w:rPr>
          <w:rFonts w:ascii="Times New Roman" w:hAnsi="Times New Roman" w:cs="Times New Roman"/>
          <w:sz w:val="24"/>
          <w:szCs w:val="24"/>
        </w:rPr>
        <w:t>appell</w:t>
      </w:r>
      <w:r w:rsidR="00E0102F" w:rsidRPr="00FF05B6">
        <w:rPr>
          <w:rFonts w:ascii="Times New Roman" w:hAnsi="Times New Roman" w:cs="Times New Roman"/>
          <w:sz w:val="24"/>
          <w:szCs w:val="24"/>
        </w:rPr>
        <w:t>ants on 18</w:t>
      </w:r>
      <w:r w:rsidR="0037391A" w:rsidRPr="00FF05B6">
        <w:rPr>
          <w:rFonts w:ascii="Times New Roman" w:hAnsi="Times New Roman" w:cs="Times New Roman"/>
          <w:sz w:val="24"/>
          <w:szCs w:val="24"/>
          <w:vertAlign w:val="superscript"/>
        </w:rPr>
        <w:t>th</w:t>
      </w:r>
      <w:r w:rsidR="00E0102F" w:rsidRPr="00FF05B6">
        <w:rPr>
          <w:rFonts w:ascii="Times New Roman" w:hAnsi="Times New Roman" w:cs="Times New Roman"/>
          <w:sz w:val="24"/>
          <w:szCs w:val="24"/>
        </w:rPr>
        <w:t xml:space="preserve"> July 2013. </w:t>
      </w:r>
      <w:r w:rsidRPr="00FF05B6">
        <w:rPr>
          <w:rFonts w:ascii="Times New Roman" w:hAnsi="Times New Roman" w:cs="Times New Roman"/>
          <w:sz w:val="24"/>
          <w:szCs w:val="24"/>
        </w:rPr>
        <w:t>A</w:t>
      </w:r>
      <w:r w:rsidR="00AC14B3" w:rsidRPr="00FF05B6">
        <w:rPr>
          <w:rFonts w:ascii="Times New Roman" w:hAnsi="Times New Roman" w:cs="Times New Roman"/>
          <w:sz w:val="24"/>
          <w:szCs w:val="24"/>
        </w:rPr>
        <w:t xml:space="preserve"> notice</w:t>
      </w:r>
      <w:r w:rsidRPr="00FF05B6">
        <w:rPr>
          <w:rFonts w:ascii="Times New Roman" w:hAnsi="Times New Roman" w:cs="Times New Roman"/>
          <w:sz w:val="24"/>
          <w:szCs w:val="24"/>
        </w:rPr>
        <w:t xml:space="preserve"> for particulars dated 26</w:t>
      </w:r>
      <w:r w:rsidR="0037391A"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September 2013 was served and replies</w:t>
      </w:r>
      <w:r w:rsidR="00E0102F" w:rsidRPr="00FF05B6">
        <w:rPr>
          <w:rFonts w:ascii="Times New Roman" w:hAnsi="Times New Roman" w:cs="Times New Roman"/>
          <w:sz w:val="24"/>
          <w:szCs w:val="24"/>
        </w:rPr>
        <w:t xml:space="preserve"> thereto</w:t>
      </w:r>
      <w:r w:rsidRPr="00FF05B6">
        <w:rPr>
          <w:rFonts w:ascii="Times New Roman" w:hAnsi="Times New Roman" w:cs="Times New Roman"/>
          <w:sz w:val="24"/>
          <w:szCs w:val="24"/>
        </w:rPr>
        <w:t xml:space="preserve"> were delivered on 13</w:t>
      </w:r>
      <w:r w:rsidR="0037391A"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November 2013. </w:t>
      </w:r>
    </w:p>
    <w:p w14:paraId="59A1A229" w14:textId="6343EA2A" w:rsidR="00860894" w:rsidRPr="00FF05B6" w:rsidRDefault="00860894"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cs="Times New Roman"/>
          <w:sz w:val="24"/>
          <w:szCs w:val="24"/>
        </w:rPr>
        <w:t xml:space="preserve">The defence is a full defence denying each and every allegation of wrongdoing. However, it is accepted that the </w:t>
      </w:r>
      <w:r w:rsidR="0037391A"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 was arrested by a member of an Garda S</w:t>
      </w:r>
      <w:r w:rsidR="0037391A" w:rsidRPr="00FF05B6">
        <w:rPr>
          <w:rFonts w:ascii="Times New Roman" w:hAnsi="Times New Roman" w:cs="Times New Roman"/>
          <w:sz w:val="24"/>
          <w:szCs w:val="24"/>
        </w:rPr>
        <w:t>í</w:t>
      </w:r>
      <w:r w:rsidRPr="00FF05B6">
        <w:rPr>
          <w:rFonts w:ascii="Times New Roman" w:hAnsi="Times New Roman" w:cs="Times New Roman"/>
          <w:sz w:val="24"/>
          <w:szCs w:val="24"/>
        </w:rPr>
        <w:t>och</w:t>
      </w:r>
      <w:r w:rsidR="00A017C1" w:rsidRPr="00FF05B6">
        <w:rPr>
          <w:rFonts w:ascii="Times New Roman" w:hAnsi="Times New Roman" w:cs="Times New Roman"/>
          <w:sz w:val="24"/>
          <w:szCs w:val="24"/>
        </w:rPr>
        <w:t>á</w:t>
      </w:r>
      <w:r w:rsidRPr="00FF05B6">
        <w:rPr>
          <w:rFonts w:ascii="Times New Roman" w:hAnsi="Times New Roman" w:cs="Times New Roman"/>
          <w:sz w:val="24"/>
          <w:szCs w:val="24"/>
        </w:rPr>
        <w:t xml:space="preserve">na and that he was brought to Finglas Garda station where he was detained, placed in a cell and subsequently searched. It is pleaded that the </w:t>
      </w:r>
      <w:r w:rsidR="0037391A"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 was released after approximately 40 minutes</w:t>
      </w:r>
      <w:r w:rsidR="00FF27ED" w:rsidRPr="00FF05B6">
        <w:rPr>
          <w:rFonts w:ascii="Times New Roman" w:hAnsi="Times New Roman" w:cs="Times New Roman"/>
          <w:sz w:val="24"/>
          <w:szCs w:val="24"/>
        </w:rPr>
        <w:t xml:space="preserve">, </w:t>
      </w:r>
      <w:r w:rsidR="005614CB" w:rsidRPr="00FF05B6">
        <w:rPr>
          <w:rFonts w:ascii="Times New Roman" w:hAnsi="Times New Roman" w:cs="Times New Roman"/>
          <w:sz w:val="24"/>
          <w:szCs w:val="24"/>
        </w:rPr>
        <w:t xml:space="preserve">which in this respect is broadly consistent with the statement of claim in which it is stated at paragraph 4 that the </w:t>
      </w:r>
      <w:r w:rsidR="0037391A" w:rsidRPr="00FF05B6">
        <w:rPr>
          <w:rFonts w:ascii="Times New Roman" w:hAnsi="Times New Roman" w:cs="Times New Roman"/>
          <w:sz w:val="24"/>
          <w:szCs w:val="24"/>
        </w:rPr>
        <w:t>respondent</w:t>
      </w:r>
      <w:r w:rsidR="005614CB" w:rsidRPr="00FF05B6">
        <w:rPr>
          <w:rFonts w:ascii="Times New Roman" w:hAnsi="Times New Roman" w:cs="Times New Roman"/>
          <w:sz w:val="24"/>
          <w:szCs w:val="24"/>
        </w:rPr>
        <w:t xml:space="preserve"> was “put in a cell for about half an hour and later released</w:t>
      </w:r>
      <w:r w:rsidR="00725980" w:rsidRPr="00FF05B6">
        <w:rPr>
          <w:rFonts w:ascii="Times New Roman" w:hAnsi="Times New Roman" w:cs="Times New Roman"/>
          <w:sz w:val="24"/>
          <w:szCs w:val="24"/>
        </w:rPr>
        <w:t>.</w:t>
      </w:r>
      <w:r w:rsidR="005614CB" w:rsidRPr="00FF05B6">
        <w:rPr>
          <w:rFonts w:ascii="Times New Roman" w:hAnsi="Times New Roman" w:cs="Times New Roman"/>
          <w:sz w:val="24"/>
          <w:szCs w:val="24"/>
        </w:rPr>
        <w:t>”</w:t>
      </w:r>
    </w:p>
    <w:p w14:paraId="28D6D673" w14:textId="77777777" w:rsidR="00AC14B3" w:rsidRPr="00FF05B6" w:rsidRDefault="00860894"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 xml:space="preserve">At paragraph 13 of the defence it is pleaded as follows: </w:t>
      </w:r>
    </w:p>
    <w:p w14:paraId="54EDC9F3" w14:textId="2552B748" w:rsidR="00860894" w:rsidRPr="00FF05B6" w:rsidRDefault="00AC14B3" w:rsidP="00FF05B6">
      <w:pPr>
        <w:pStyle w:val="ListParagraph"/>
        <w:tabs>
          <w:tab w:val="left" w:pos="567"/>
        </w:tabs>
        <w:spacing w:line="480" w:lineRule="auto"/>
        <w:ind w:left="567"/>
        <w:rPr>
          <w:rFonts w:ascii="Times New Roman" w:hAnsi="Times New Roman" w:cs="Times New Roman"/>
          <w:sz w:val="24"/>
          <w:szCs w:val="24"/>
        </w:rPr>
      </w:pPr>
      <w:r w:rsidRPr="00FF05B6">
        <w:rPr>
          <w:rFonts w:ascii="Times New Roman" w:hAnsi="Times New Roman" w:cs="Times New Roman"/>
          <w:sz w:val="24"/>
          <w:szCs w:val="24"/>
        </w:rPr>
        <w:tab/>
      </w:r>
      <w:r w:rsidR="00860894" w:rsidRPr="00FF05B6">
        <w:rPr>
          <w:rFonts w:ascii="Times New Roman" w:hAnsi="Times New Roman" w:cs="Times New Roman"/>
          <w:sz w:val="24"/>
          <w:szCs w:val="24"/>
        </w:rPr>
        <w:t>“</w:t>
      </w:r>
      <w:r w:rsidR="00725980" w:rsidRPr="00FF05B6">
        <w:rPr>
          <w:rFonts w:ascii="Times New Roman" w:hAnsi="Times New Roman" w:cs="Times New Roman"/>
          <w:sz w:val="24"/>
          <w:szCs w:val="24"/>
        </w:rPr>
        <w:t>I</w:t>
      </w:r>
      <w:r w:rsidR="00860894" w:rsidRPr="00FF05B6">
        <w:rPr>
          <w:rFonts w:ascii="Times New Roman" w:hAnsi="Times New Roman" w:cs="Times New Roman"/>
          <w:sz w:val="24"/>
          <w:szCs w:val="24"/>
        </w:rPr>
        <w:t xml:space="preserve">t is further denied that </w:t>
      </w:r>
      <w:r w:rsidR="00725980" w:rsidRPr="00FF05B6">
        <w:rPr>
          <w:rFonts w:ascii="Times New Roman" w:hAnsi="Times New Roman" w:cs="Times New Roman"/>
          <w:sz w:val="24"/>
          <w:szCs w:val="24"/>
        </w:rPr>
        <w:t>eight</w:t>
      </w:r>
      <w:r w:rsidR="00860894" w:rsidRPr="00FF05B6">
        <w:rPr>
          <w:rFonts w:ascii="Times New Roman" w:hAnsi="Times New Roman" w:cs="Times New Roman"/>
          <w:sz w:val="24"/>
          <w:szCs w:val="24"/>
        </w:rPr>
        <w:t xml:space="preserve"> members of </w:t>
      </w:r>
      <w:r w:rsidR="00725980" w:rsidRPr="00FF05B6">
        <w:rPr>
          <w:rFonts w:ascii="Times New Roman" w:hAnsi="Times New Roman" w:cs="Times New Roman"/>
          <w:sz w:val="24"/>
          <w:szCs w:val="24"/>
        </w:rPr>
        <w:t>A</w:t>
      </w:r>
      <w:r w:rsidR="00860894" w:rsidRPr="00FF05B6">
        <w:rPr>
          <w:rFonts w:ascii="Times New Roman" w:hAnsi="Times New Roman" w:cs="Times New Roman"/>
          <w:sz w:val="24"/>
          <w:szCs w:val="24"/>
        </w:rPr>
        <w:t xml:space="preserve">n Garda Siochana were involved in his arrest, or that he was pushed to the ground in the course of his arrest. It is expressly pleaded that the </w:t>
      </w:r>
      <w:r w:rsidR="00725980" w:rsidRPr="00FF05B6">
        <w:rPr>
          <w:rFonts w:ascii="Times New Roman" w:hAnsi="Times New Roman" w:cs="Times New Roman"/>
          <w:sz w:val="24"/>
          <w:szCs w:val="24"/>
        </w:rPr>
        <w:t>P</w:t>
      </w:r>
      <w:r w:rsidR="00860894" w:rsidRPr="00FF05B6">
        <w:rPr>
          <w:rFonts w:ascii="Times New Roman" w:hAnsi="Times New Roman" w:cs="Times New Roman"/>
          <w:sz w:val="24"/>
          <w:szCs w:val="24"/>
        </w:rPr>
        <w:t xml:space="preserve">laintiff, in the course of resisting his arrest caused the arresting member and himself to fall over a low garden wall. The defendants, their servants and/or agents were unaware and were not made aware of the fact that the </w:t>
      </w:r>
      <w:r w:rsidR="00725980" w:rsidRPr="00FF05B6">
        <w:rPr>
          <w:rFonts w:ascii="Times New Roman" w:hAnsi="Times New Roman" w:cs="Times New Roman"/>
          <w:sz w:val="24"/>
          <w:szCs w:val="24"/>
        </w:rPr>
        <w:t>P</w:t>
      </w:r>
      <w:r w:rsidR="00860894" w:rsidRPr="00FF05B6">
        <w:rPr>
          <w:rFonts w:ascii="Times New Roman" w:hAnsi="Times New Roman" w:cs="Times New Roman"/>
          <w:sz w:val="24"/>
          <w:szCs w:val="24"/>
        </w:rPr>
        <w:t xml:space="preserve">laintiff had been injured, which is denied. It is denied that the </w:t>
      </w:r>
      <w:r w:rsidR="00725980" w:rsidRPr="00FF05B6">
        <w:rPr>
          <w:rFonts w:ascii="Times New Roman" w:hAnsi="Times New Roman" w:cs="Times New Roman"/>
          <w:sz w:val="24"/>
          <w:szCs w:val="24"/>
        </w:rPr>
        <w:t>P</w:t>
      </w:r>
      <w:r w:rsidR="00860894" w:rsidRPr="00FF05B6">
        <w:rPr>
          <w:rFonts w:ascii="Times New Roman" w:hAnsi="Times New Roman" w:cs="Times New Roman"/>
          <w:sz w:val="24"/>
          <w:szCs w:val="24"/>
        </w:rPr>
        <w:t>laintiff made any complaint whatsoever with regard to same.”</w:t>
      </w:r>
    </w:p>
    <w:p w14:paraId="416956C1" w14:textId="4F571B0F" w:rsidR="00860894" w:rsidRPr="00FF05B6" w:rsidRDefault="00FF27ED"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Following delivery of the defence,</w:t>
      </w:r>
      <w:r w:rsidR="009B3DA4" w:rsidRPr="00FF05B6">
        <w:rPr>
          <w:rFonts w:ascii="Times New Roman" w:hAnsi="Times New Roman" w:cs="Times New Roman"/>
          <w:sz w:val="24"/>
          <w:szCs w:val="24"/>
        </w:rPr>
        <w:t xml:space="preserve"> </w:t>
      </w:r>
      <w:r w:rsidRPr="00FF05B6">
        <w:rPr>
          <w:rFonts w:ascii="Times New Roman" w:hAnsi="Times New Roman" w:cs="Times New Roman"/>
          <w:sz w:val="24"/>
          <w:szCs w:val="24"/>
        </w:rPr>
        <w:t>t</w:t>
      </w:r>
      <w:r w:rsidR="00860894" w:rsidRPr="00FF05B6">
        <w:rPr>
          <w:rFonts w:ascii="Times New Roman" w:hAnsi="Times New Roman" w:cs="Times New Roman"/>
          <w:sz w:val="24"/>
          <w:szCs w:val="24"/>
        </w:rPr>
        <w:t xml:space="preserve">here were no further developments in the proceedings until the </w:t>
      </w:r>
      <w:r w:rsidR="009B3DA4" w:rsidRPr="00FF05B6">
        <w:rPr>
          <w:rFonts w:ascii="Times New Roman" w:hAnsi="Times New Roman" w:cs="Times New Roman"/>
          <w:sz w:val="24"/>
          <w:szCs w:val="24"/>
        </w:rPr>
        <w:t>respondent</w:t>
      </w:r>
      <w:r w:rsidRPr="00FF05B6">
        <w:rPr>
          <w:rFonts w:ascii="Times New Roman" w:hAnsi="Times New Roman" w:cs="Times New Roman"/>
          <w:sz w:val="24"/>
          <w:szCs w:val="24"/>
        </w:rPr>
        <w:t>,</w:t>
      </w:r>
      <w:r w:rsidR="00860894" w:rsidRPr="00FF05B6">
        <w:rPr>
          <w:rFonts w:ascii="Times New Roman" w:hAnsi="Times New Roman" w:cs="Times New Roman"/>
          <w:sz w:val="24"/>
          <w:szCs w:val="24"/>
        </w:rPr>
        <w:t xml:space="preserve"> through</w:t>
      </w:r>
      <w:r w:rsidRPr="00FF05B6">
        <w:rPr>
          <w:rFonts w:ascii="Times New Roman" w:hAnsi="Times New Roman" w:cs="Times New Roman"/>
          <w:sz w:val="24"/>
          <w:szCs w:val="24"/>
        </w:rPr>
        <w:t xml:space="preserve"> his </w:t>
      </w:r>
      <w:r w:rsidR="00860894" w:rsidRPr="00FF05B6">
        <w:rPr>
          <w:rFonts w:ascii="Times New Roman" w:hAnsi="Times New Roman" w:cs="Times New Roman"/>
          <w:sz w:val="24"/>
          <w:szCs w:val="24"/>
        </w:rPr>
        <w:t xml:space="preserve">solicitors, </w:t>
      </w:r>
      <w:r w:rsidRPr="00FF05B6">
        <w:rPr>
          <w:rFonts w:ascii="Times New Roman" w:hAnsi="Times New Roman" w:cs="Times New Roman"/>
          <w:sz w:val="24"/>
          <w:szCs w:val="24"/>
        </w:rPr>
        <w:t>served</w:t>
      </w:r>
      <w:r w:rsidR="00860894" w:rsidRPr="00FF05B6">
        <w:rPr>
          <w:rFonts w:ascii="Times New Roman" w:hAnsi="Times New Roman" w:cs="Times New Roman"/>
          <w:sz w:val="24"/>
          <w:szCs w:val="24"/>
        </w:rPr>
        <w:t xml:space="preserve"> a notice of intention to proceed on 7</w:t>
      </w:r>
      <w:r w:rsidR="009B3DA4" w:rsidRPr="00FF05B6">
        <w:rPr>
          <w:rFonts w:ascii="Times New Roman" w:hAnsi="Times New Roman" w:cs="Times New Roman"/>
          <w:sz w:val="24"/>
          <w:szCs w:val="24"/>
          <w:vertAlign w:val="superscript"/>
        </w:rPr>
        <w:t>th</w:t>
      </w:r>
      <w:r w:rsidR="00860894" w:rsidRPr="00FF05B6">
        <w:rPr>
          <w:rFonts w:ascii="Times New Roman" w:hAnsi="Times New Roman" w:cs="Times New Roman"/>
          <w:sz w:val="24"/>
          <w:szCs w:val="24"/>
        </w:rPr>
        <w:t xml:space="preserve"> June 2018. Thereafter, the</w:t>
      </w:r>
      <w:r w:rsidR="009B3DA4" w:rsidRPr="00FF05B6">
        <w:rPr>
          <w:rFonts w:ascii="Times New Roman" w:hAnsi="Times New Roman" w:cs="Times New Roman"/>
          <w:sz w:val="24"/>
          <w:szCs w:val="24"/>
        </w:rPr>
        <w:t xml:space="preserve"> appellants</w:t>
      </w:r>
      <w:r w:rsidR="005614CB" w:rsidRPr="00FF05B6">
        <w:rPr>
          <w:rFonts w:ascii="Times New Roman" w:hAnsi="Times New Roman" w:cs="Times New Roman"/>
          <w:sz w:val="24"/>
          <w:szCs w:val="24"/>
        </w:rPr>
        <w:t>,</w:t>
      </w:r>
      <w:r w:rsidR="00860894" w:rsidRPr="00FF05B6">
        <w:rPr>
          <w:rFonts w:ascii="Times New Roman" w:hAnsi="Times New Roman" w:cs="Times New Roman"/>
          <w:sz w:val="24"/>
          <w:szCs w:val="24"/>
        </w:rPr>
        <w:t xml:space="preserve"> </w:t>
      </w:r>
      <w:r w:rsidR="005614CB" w:rsidRPr="00FF05B6">
        <w:rPr>
          <w:rFonts w:ascii="Times New Roman" w:hAnsi="Times New Roman" w:cs="Times New Roman"/>
          <w:sz w:val="24"/>
          <w:szCs w:val="24"/>
        </w:rPr>
        <w:t>on 20</w:t>
      </w:r>
      <w:r w:rsidR="005614CB" w:rsidRPr="00FF05B6">
        <w:rPr>
          <w:rFonts w:ascii="Times New Roman" w:hAnsi="Times New Roman" w:cs="Times New Roman"/>
          <w:sz w:val="24"/>
          <w:szCs w:val="24"/>
          <w:vertAlign w:val="superscript"/>
        </w:rPr>
        <w:t>th</w:t>
      </w:r>
      <w:r w:rsidR="005614CB" w:rsidRPr="00FF05B6">
        <w:rPr>
          <w:rFonts w:ascii="Times New Roman" w:hAnsi="Times New Roman" w:cs="Times New Roman"/>
          <w:sz w:val="24"/>
          <w:szCs w:val="24"/>
        </w:rPr>
        <w:t xml:space="preserve"> July 2018,</w:t>
      </w:r>
      <w:r w:rsidR="00860894" w:rsidRPr="00FF05B6">
        <w:rPr>
          <w:rFonts w:ascii="Times New Roman" w:hAnsi="Times New Roman" w:cs="Times New Roman"/>
          <w:sz w:val="24"/>
          <w:szCs w:val="24"/>
        </w:rPr>
        <w:t xml:space="preserve"> caused the issue of a notice of motion seeking to have the </w:t>
      </w:r>
      <w:r w:rsidR="009B3DA4" w:rsidRPr="00FF05B6">
        <w:rPr>
          <w:rFonts w:ascii="Times New Roman" w:hAnsi="Times New Roman" w:cs="Times New Roman"/>
          <w:sz w:val="24"/>
          <w:szCs w:val="24"/>
        </w:rPr>
        <w:t>respondent</w:t>
      </w:r>
      <w:r w:rsidR="00860894" w:rsidRPr="00FF05B6">
        <w:rPr>
          <w:rFonts w:ascii="Times New Roman" w:hAnsi="Times New Roman" w:cs="Times New Roman"/>
          <w:sz w:val="24"/>
          <w:szCs w:val="24"/>
        </w:rPr>
        <w:t>’s cl</w:t>
      </w:r>
      <w:r w:rsidR="00AC14B3" w:rsidRPr="00FF05B6">
        <w:rPr>
          <w:rFonts w:ascii="Times New Roman" w:hAnsi="Times New Roman" w:cs="Times New Roman"/>
          <w:sz w:val="24"/>
          <w:szCs w:val="24"/>
        </w:rPr>
        <w:t xml:space="preserve">aim struck out pursuant to O.122, r.11 </w:t>
      </w:r>
      <w:r w:rsidR="00AC14B3" w:rsidRPr="00FF05B6">
        <w:rPr>
          <w:rFonts w:ascii="Times New Roman" w:hAnsi="Times New Roman" w:cs="Times New Roman"/>
          <w:sz w:val="24"/>
          <w:szCs w:val="24"/>
        </w:rPr>
        <w:lastRenderedPageBreak/>
        <w:t>of the R</w:t>
      </w:r>
      <w:r w:rsidR="00860894" w:rsidRPr="00FF05B6">
        <w:rPr>
          <w:rFonts w:ascii="Times New Roman" w:hAnsi="Times New Roman" w:cs="Times New Roman"/>
          <w:sz w:val="24"/>
          <w:szCs w:val="24"/>
        </w:rPr>
        <w:t>ules of the Superior Courts, for want of prosecution</w:t>
      </w:r>
      <w:r w:rsidRPr="00FF05B6">
        <w:rPr>
          <w:rFonts w:ascii="Times New Roman" w:hAnsi="Times New Roman" w:cs="Times New Roman"/>
          <w:sz w:val="24"/>
          <w:szCs w:val="24"/>
        </w:rPr>
        <w:t>.</w:t>
      </w:r>
      <w:r w:rsidR="00860894" w:rsidRPr="00FF05B6">
        <w:rPr>
          <w:rFonts w:ascii="Times New Roman" w:hAnsi="Times New Roman" w:cs="Times New Roman"/>
          <w:sz w:val="24"/>
          <w:szCs w:val="24"/>
        </w:rPr>
        <w:t xml:space="preserve"> </w:t>
      </w:r>
      <w:r w:rsidRPr="00FF05B6">
        <w:rPr>
          <w:rFonts w:ascii="Times New Roman" w:hAnsi="Times New Roman" w:cs="Times New Roman"/>
          <w:sz w:val="24"/>
          <w:szCs w:val="24"/>
        </w:rPr>
        <w:t>I</w:t>
      </w:r>
      <w:r w:rsidR="00860894" w:rsidRPr="00FF05B6">
        <w:rPr>
          <w:rFonts w:ascii="Times New Roman" w:hAnsi="Times New Roman" w:cs="Times New Roman"/>
          <w:sz w:val="24"/>
          <w:szCs w:val="24"/>
        </w:rPr>
        <w:t xml:space="preserve">n the alternative, the </w:t>
      </w:r>
      <w:r w:rsidR="009B3DA4" w:rsidRPr="00FF05B6">
        <w:rPr>
          <w:rFonts w:ascii="Times New Roman" w:hAnsi="Times New Roman" w:cs="Times New Roman"/>
          <w:sz w:val="24"/>
          <w:szCs w:val="24"/>
        </w:rPr>
        <w:t>appellants</w:t>
      </w:r>
      <w:r w:rsidR="00860894" w:rsidRPr="00FF05B6">
        <w:rPr>
          <w:rFonts w:ascii="Times New Roman" w:hAnsi="Times New Roman" w:cs="Times New Roman"/>
          <w:sz w:val="24"/>
          <w:szCs w:val="24"/>
        </w:rPr>
        <w:t xml:space="preserve"> sought an order </w:t>
      </w:r>
      <w:r w:rsidR="00371B63" w:rsidRPr="00FF05B6">
        <w:rPr>
          <w:rFonts w:ascii="Times New Roman" w:hAnsi="Times New Roman" w:cs="Times New Roman"/>
          <w:sz w:val="24"/>
          <w:szCs w:val="24"/>
        </w:rPr>
        <w:t>p</w:t>
      </w:r>
      <w:r w:rsidR="00DC7BC4" w:rsidRPr="00FF05B6">
        <w:rPr>
          <w:rFonts w:ascii="Times New Roman" w:hAnsi="Times New Roman" w:cs="Times New Roman"/>
          <w:sz w:val="24"/>
          <w:szCs w:val="24"/>
        </w:rPr>
        <w:t>ursuant to the inherent jurisdiction of the Court,</w:t>
      </w:r>
      <w:r w:rsidR="00AB4E12" w:rsidRPr="00FF05B6">
        <w:rPr>
          <w:rFonts w:ascii="Times New Roman" w:hAnsi="Times New Roman" w:cs="Times New Roman"/>
          <w:sz w:val="24"/>
          <w:szCs w:val="24"/>
        </w:rPr>
        <w:t xml:space="preserve"> </w:t>
      </w:r>
      <w:r w:rsidR="00860894" w:rsidRPr="00FF05B6">
        <w:rPr>
          <w:rFonts w:ascii="Times New Roman" w:hAnsi="Times New Roman" w:cs="Times New Roman"/>
          <w:sz w:val="24"/>
          <w:szCs w:val="24"/>
        </w:rPr>
        <w:t xml:space="preserve">striking out the </w:t>
      </w:r>
      <w:r w:rsidR="009B3DA4" w:rsidRPr="00FF05B6">
        <w:rPr>
          <w:rFonts w:ascii="Times New Roman" w:hAnsi="Times New Roman" w:cs="Times New Roman"/>
          <w:sz w:val="24"/>
          <w:szCs w:val="24"/>
        </w:rPr>
        <w:t>respondent</w:t>
      </w:r>
      <w:r w:rsidR="00860894" w:rsidRPr="00FF05B6">
        <w:rPr>
          <w:rFonts w:ascii="Times New Roman" w:hAnsi="Times New Roman" w:cs="Times New Roman"/>
          <w:sz w:val="24"/>
          <w:szCs w:val="24"/>
        </w:rPr>
        <w:t>’s claim on the basis of inordinate and inexcusable delay.</w:t>
      </w:r>
      <w:r w:rsidR="00DC7BC4" w:rsidRPr="00FF05B6">
        <w:rPr>
          <w:rFonts w:ascii="Times New Roman" w:hAnsi="Times New Roman" w:cs="Times New Roman"/>
          <w:sz w:val="24"/>
          <w:szCs w:val="24"/>
        </w:rPr>
        <w:t xml:space="preserve"> </w:t>
      </w:r>
    </w:p>
    <w:p w14:paraId="0131FE0A" w14:textId="6F771D25" w:rsidR="00860894" w:rsidRPr="00FF05B6" w:rsidRDefault="00860894"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On 19</w:t>
      </w:r>
      <w:r w:rsidR="009B3DA4"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September 2018 the </w:t>
      </w:r>
      <w:r w:rsidR="009B3DA4"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 caused the issue of a motion for discovery, seeking discovery of his custody record for 15</w:t>
      </w:r>
      <w:r w:rsidR="009B3DA4"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January 2011 and the statements made in relation to his arrest and detention </w:t>
      </w:r>
      <w:r w:rsidR="00FF27ED" w:rsidRPr="00FF05B6">
        <w:rPr>
          <w:rFonts w:ascii="Times New Roman" w:hAnsi="Times New Roman" w:cs="Times New Roman"/>
          <w:sz w:val="24"/>
          <w:szCs w:val="24"/>
        </w:rPr>
        <w:t xml:space="preserve">on </w:t>
      </w:r>
      <w:r w:rsidRPr="00FF05B6">
        <w:rPr>
          <w:rFonts w:ascii="Times New Roman" w:hAnsi="Times New Roman" w:cs="Times New Roman"/>
          <w:sz w:val="24"/>
          <w:szCs w:val="24"/>
        </w:rPr>
        <w:t xml:space="preserve">that date. Both motions came on for hearing before </w:t>
      </w:r>
      <w:r w:rsidR="00AC14B3" w:rsidRPr="00FF05B6">
        <w:rPr>
          <w:rFonts w:ascii="Times New Roman" w:hAnsi="Times New Roman" w:cs="Times New Roman"/>
          <w:sz w:val="24"/>
          <w:szCs w:val="24"/>
        </w:rPr>
        <w:t>C</w:t>
      </w:r>
      <w:r w:rsidRPr="00FF05B6">
        <w:rPr>
          <w:rFonts w:ascii="Times New Roman" w:hAnsi="Times New Roman" w:cs="Times New Roman"/>
          <w:sz w:val="24"/>
          <w:szCs w:val="24"/>
        </w:rPr>
        <w:t>ross J</w:t>
      </w:r>
      <w:r w:rsidR="00AC14B3" w:rsidRPr="00FF05B6">
        <w:rPr>
          <w:rFonts w:ascii="Times New Roman" w:hAnsi="Times New Roman" w:cs="Times New Roman"/>
          <w:sz w:val="24"/>
          <w:szCs w:val="24"/>
        </w:rPr>
        <w:t>.</w:t>
      </w:r>
      <w:r w:rsidRPr="00FF05B6">
        <w:rPr>
          <w:rFonts w:ascii="Times New Roman" w:hAnsi="Times New Roman" w:cs="Times New Roman"/>
          <w:sz w:val="24"/>
          <w:szCs w:val="24"/>
        </w:rPr>
        <w:t xml:space="preserve"> on 16</w:t>
      </w:r>
      <w:r w:rsidR="009B3DA4" w:rsidRPr="00FF05B6">
        <w:rPr>
          <w:rFonts w:ascii="Times New Roman" w:hAnsi="Times New Roman" w:cs="Times New Roman"/>
          <w:sz w:val="24"/>
          <w:szCs w:val="24"/>
          <w:vertAlign w:val="superscript"/>
        </w:rPr>
        <w:t>th</w:t>
      </w:r>
      <w:r w:rsidRPr="00FF05B6">
        <w:rPr>
          <w:rFonts w:ascii="Times New Roman" w:hAnsi="Times New Roman" w:cs="Times New Roman"/>
          <w:sz w:val="24"/>
          <w:szCs w:val="24"/>
        </w:rPr>
        <w:t xml:space="preserve"> March 2020. While the </w:t>
      </w:r>
      <w:r w:rsidR="009B3DA4"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 sought to have the motion for discovery dealt with first, Cross J</w:t>
      </w:r>
      <w:r w:rsidR="00AC14B3" w:rsidRPr="00FF05B6">
        <w:rPr>
          <w:rFonts w:ascii="Times New Roman" w:hAnsi="Times New Roman" w:cs="Times New Roman"/>
          <w:sz w:val="24"/>
          <w:szCs w:val="24"/>
        </w:rPr>
        <w:t>.</w:t>
      </w:r>
      <w:r w:rsidRPr="00FF05B6">
        <w:rPr>
          <w:rFonts w:ascii="Times New Roman" w:hAnsi="Times New Roman" w:cs="Times New Roman"/>
          <w:sz w:val="24"/>
          <w:szCs w:val="24"/>
        </w:rPr>
        <w:t xml:space="preserve"> acquiesced to the submissions of the </w:t>
      </w:r>
      <w:r w:rsidR="009B3DA4" w:rsidRPr="00FF05B6">
        <w:rPr>
          <w:rFonts w:ascii="Times New Roman" w:hAnsi="Times New Roman" w:cs="Times New Roman"/>
          <w:sz w:val="24"/>
          <w:szCs w:val="24"/>
        </w:rPr>
        <w:t>appellant</w:t>
      </w:r>
      <w:r w:rsidRPr="00FF05B6">
        <w:rPr>
          <w:rFonts w:ascii="Times New Roman" w:hAnsi="Times New Roman" w:cs="Times New Roman"/>
          <w:sz w:val="24"/>
          <w:szCs w:val="24"/>
        </w:rPr>
        <w:t>s that the motion to dismiss should be dealt with first, since it issued first in time.</w:t>
      </w:r>
    </w:p>
    <w:p w14:paraId="75EB6387" w14:textId="23C1F7D1" w:rsidR="00CB3D0D" w:rsidRPr="00FF05B6" w:rsidRDefault="00CB3D0D"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At the hearing before Cross J</w:t>
      </w:r>
      <w:r w:rsidR="00AC14B3" w:rsidRPr="00FF05B6">
        <w:rPr>
          <w:rFonts w:ascii="Times New Roman" w:hAnsi="Times New Roman" w:cs="Times New Roman"/>
          <w:sz w:val="24"/>
          <w:szCs w:val="24"/>
        </w:rPr>
        <w:t>.</w:t>
      </w:r>
      <w:r w:rsidRPr="00FF05B6">
        <w:rPr>
          <w:rFonts w:ascii="Times New Roman" w:hAnsi="Times New Roman" w:cs="Times New Roman"/>
          <w:sz w:val="24"/>
          <w:szCs w:val="24"/>
        </w:rPr>
        <w:t xml:space="preserve">, the </w:t>
      </w:r>
      <w:r w:rsidR="009B3DA4"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 accepted that there had been an inordinate delay in the prosecution of the proceedings. In his affidavit resisting the application however, he provided an excuse</w:t>
      </w:r>
      <w:r w:rsidR="00FF27ED" w:rsidRPr="00FF05B6">
        <w:rPr>
          <w:rFonts w:ascii="Times New Roman" w:hAnsi="Times New Roman" w:cs="Times New Roman"/>
          <w:sz w:val="24"/>
          <w:szCs w:val="24"/>
        </w:rPr>
        <w:t>,</w:t>
      </w:r>
      <w:r w:rsidR="007B49D6" w:rsidRPr="00FF05B6">
        <w:rPr>
          <w:rFonts w:ascii="Times New Roman" w:hAnsi="Times New Roman" w:cs="Times New Roman"/>
          <w:sz w:val="24"/>
          <w:szCs w:val="24"/>
        </w:rPr>
        <w:t xml:space="preserve"> </w:t>
      </w:r>
      <w:r w:rsidRPr="00FF05B6">
        <w:rPr>
          <w:rFonts w:ascii="Times New Roman" w:hAnsi="Times New Roman" w:cs="Times New Roman"/>
          <w:sz w:val="24"/>
          <w:szCs w:val="24"/>
        </w:rPr>
        <w:t>which was that at the time of the incident he was in a relationship with</w:t>
      </w:r>
      <w:r w:rsidR="00FF27ED" w:rsidRPr="00FF05B6">
        <w:rPr>
          <w:rFonts w:ascii="Times New Roman" w:hAnsi="Times New Roman" w:cs="Times New Roman"/>
          <w:sz w:val="24"/>
          <w:szCs w:val="24"/>
        </w:rPr>
        <w:t xml:space="preserve"> a woman who was</w:t>
      </w:r>
      <w:r w:rsidRPr="00FF05B6">
        <w:rPr>
          <w:rFonts w:ascii="Times New Roman" w:hAnsi="Times New Roman" w:cs="Times New Roman"/>
          <w:sz w:val="24"/>
          <w:szCs w:val="24"/>
        </w:rPr>
        <w:t xml:space="preserve"> an independent witness</w:t>
      </w:r>
      <w:r w:rsidR="00FF27ED" w:rsidRPr="00FF05B6">
        <w:rPr>
          <w:rFonts w:ascii="Times New Roman" w:hAnsi="Times New Roman" w:cs="Times New Roman"/>
          <w:sz w:val="24"/>
          <w:szCs w:val="24"/>
        </w:rPr>
        <w:t xml:space="preserve"> to the incident, but t</w:t>
      </w:r>
      <w:r w:rsidRPr="00FF05B6">
        <w:rPr>
          <w:rFonts w:ascii="Times New Roman" w:hAnsi="Times New Roman" w:cs="Times New Roman"/>
          <w:sz w:val="24"/>
          <w:szCs w:val="24"/>
        </w:rPr>
        <w:t xml:space="preserve">hat relationship broke down </w:t>
      </w:r>
      <w:r w:rsidR="00FF27ED" w:rsidRPr="00FF05B6">
        <w:rPr>
          <w:rFonts w:ascii="Times New Roman" w:hAnsi="Times New Roman" w:cs="Times New Roman"/>
          <w:sz w:val="24"/>
          <w:szCs w:val="24"/>
        </w:rPr>
        <w:t xml:space="preserve">soon afterwards, </w:t>
      </w:r>
      <w:r w:rsidRPr="00FF05B6">
        <w:rPr>
          <w:rFonts w:ascii="Times New Roman" w:hAnsi="Times New Roman" w:cs="Times New Roman"/>
          <w:sz w:val="24"/>
          <w:szCs w:val="24"/>
        </w:rPr>
        <w:t>and for some</w:t>
      </w:r>
      <w:r w:rsidR="00FF27ED" w:rsidRPr="00FF05B6">
        <w:rPr>
          <w:rFonts w:ascii="Times New Roman" w:hAnsi="Times New Roman" w:cs="Times New Roman"/>
          <w:sz w:val="24"/>
          <w:szCs w:val="24"/>
        </w:rPr>
        <w:t xml:space="preserve"> considerable</w:t>
      </w:r>
      <w:r w:rsidRPr="00FF05B6">
        <w:rPr>
          <w:rFonts w:ascii="Times New Roman" w:hAnsi="Times New Roman" w:cs="Times New Roman"/>
          <w:sz w:val="24"/>
          <w:szCs w:val="24"/>
        </w:rPr>
        <w:t xml:space="preserve"> time </w:t>
      </w:r>
      <w:r w:rsidR="00FF27ED" w:rsidRPr="00FF05B6">
        <w:rPr>
          <w:rFonts w:ascii="Times New Roman" w:hAnsi="Times New Roman" w:cs="Times New Roman"/>
          <w:sz w:val="24"/>
          <w:szCs w:val="24"/>
        </w:rPr>
        <w:t xml:space="preserve">thereafter </w:t>
      </w:r>
      <w:r w:rsidRPr="00FF05B6">
        <w:rPr>
          <w:rFonts w:ascii="Times New Roman" w:hAnsi="Times New Roman" w:cs="Times New Roman"/>
          <w:sz w:val="24"/>
          <w:szCs w:val="24"/>
        </w:rPr>
        <w:t xml:space="preserve">he had no contact </w:t>
      </w:r>
      <w:r w:rsidR="00FF27ED" w:rsidRPr="00FF05B6">
        <w:rPr>
          <w:rFonts w:ascii="Times New Roman" w:hAnsi="Times New Roman" w:cs="Times New Roman"/>
          <w:sz w:val="24"/>
          <w:szCs w:val="24"/>
        </w:rPr>
        <w:t xml:space="preserve">at all </w:t>
      </w:r>
      <w:r w:rsidRPr="00FF05B6">
        <w:rPr>
          <w:rFonts w:ascii="Times New Roman" w:hAnsi="Times New Roman" w:cs="Times New Roman"/>
          <w:sz w:val="24"/>
          <w:szCs w:val="24"/>
        </w:rPr>
        <w:t xml:space="preserve">with that </w:t>
      </w:r>
      <w:r w:rsidR="00FF27ED" w:rsidRPr="00FF05B6">
        <w:rPr>
          <w:rFonts w:ascii="Times New Roman" w:hAnsi="Times New Roman" w:cs="Times New Roman"/>
          <w:sz w:val="24"/>
          <w:szCs w:val="24"/>
        </w:rPr>
        <w:t>person</w:t>
      </w:r>
      <w:r w:rsidRPr="00FF05B6">
        <w:rPr>
          <w:rFonts w:ascii="Times New Roman" w:hAnsi="Times New Roman" w:cs="Times New Roman"/>
          <w:sz w:val="24"/>
          <w:szCs w:val="24"/>
        </w:rPr>
        <w:t xml:space="preserve">. He considered that he had no chance of succeeding with his case without the evidence that she would be able to give. However, he is now on speaking terms again with that person and she has confirmed that she will give evidence at the trial. The </w:t>
      </w:r>
      <w:r w:rsidR="007B49D6" w:rsidRPr="00FF05B6">
        <w:rPr>
          <w:rFonts w:ascii="Times New Roman" w:hAnsi="Times New Roman" w:cs="Times New Roman"/>
          <w:sz w:val="24"/>
          <w:szCs w:val="24"/>
        </w:rPr>
        <w:t>respondent</w:t>
      </w:r>
      <w:r w:rsidRPr="00FF05B6">
        <w:rPr>
          <w:rFonts w:ascii="Times New Roman" w:hAnsi="Times New Roman" w:cs="Times New Roman"/>
          <w:sz w:val="24"/>
          <w:szCs w:val="24"/>
        </w:rPr>
        <w:t xml:space="preserve"> also avers that he has been unemployed and did</w:t>
      </w:r>
      <w:r w:rsidR="007B49D6" w:rsidRPr="00FF05B6">
        <w:rPr>
          <w:rFonts w:ascii="Times New Roman" w:hAnsi="Times New Roman" w:cs="Times New Roman"/>
          <w:sz w:val="24"/>
          <w:szCs w:val="24"/>
        </w:rPr>
        <w:t xml:space="preserve"> not</w:t>
      </w:r>
      <w:r w:rsidRPr="00FF05B6">
        <w:rPr>
          <w:rFonts w:ascii="Times New Roman" w:hAnsi="Times New Roman" w:cs="Times New Roman"/>
          <w:sz w:val="24"/>
          <w:szCs w:val="24"/>
        </w:rPr>
        <w:t xml:space="preserve"> have sufficient means to fund the commencement of the trial and he further avers that an unspecified portion of the delay was caused by his legal team.</w:t>
      </w:r>
    </w:p>
    <w:p w14:paraId="62561E17" w14:textId="05F6D2E9" w:rsidR="00CB3D0D" w:rsidRPr="00FF05B6" w:rsidRDefault="00CB3D0D"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 xml:space="preserve">The </w:t>
      </w:r>
      <w:r w:rsidR="007B49D6" w:rsidRPr="00FF05B6">
        <w:rPr>
          <w:rFonts w:ascii="Times New Roman" w:hAnsi="Times New Roman" w:cs="Times New Roman"/>
          <w:sz w:val="24"/>
          <w:szCs w:val="24"/>
        </w:rPr>
        <w:t>respondent</w:t>
      </w:r>
      <w:r w:rsidRPr="00FF05B6">
        <w:rPr>
          <w:rFonts w:ascii="Times New Roman" w:hAnsi="Times New Roman" w:cs="Times New Roman"/>
          <w:sz w:val="24"/>
          <w:szCs w:val="24"/>
        </w:rPr>
        <w:t>’s affidavit was quite scant. He</w:t>
      </w:r>
      <w:r w:rsidR="00FF27ED" w:rsidRPr="00FF05B6">
        <w:rPr>
          <w:rFonts w:ascii="Times New Roman" w:hAnsi="Times New Roman" w:cs="Times New Roman"/>
          <w:sz w:val="24"/>
          <w:szCs w:val="24"/>
        </w:rPr>
        <w:t xml:space="preserve"> provides no details at all as regards </w:t>
      </w:r>
      <w:r w:rsidR="00CD0989" w:rsidRPr="00FF05B6">
        <w:rPr>
          <w:rFonts w:ascii="Times New Roman" w:hAnsi="Times New Roman" w:cs="Times New Roman"/>
          <w:sz w:val="24"/>
          <w:szCs w:val="24"/>
        </w:rPr>
        <w:t>the time the relationship referred to broke down, nor when contact resumed again. He</w:t>
      </w:r>
      <w:r w:rsidRPr="00FF05B6">
        <w:rPr>
          <w:rFonts w:ascii="Times New Roman" w:hAnsi="Times New Roman" w:cs="Times New Roman"/>
          <w:sz w:val="24"/>
          <w:szCs w:val="24"/>
        </w:rPr>
        <w:t xml:space="preserve"> did not claim that he was advised that he could not succeed with his case without the evidence of the independent witness</w:t>
      </w:r>
      <w:r w:rsidR="00CD0989" w:rsidRPr="00FF05B6">
        <w:rPr>
          <w:rFonts w:ascii="Times New Roman" w:hAnsi="Times New Roman" w:cs="Times New Roman"/>
          <w:sz w:val="24"/>
          <w:szCs w:val="24"/>
        </w:rPr>
        <w:t>, or that he</w:t>
      </w:r>
      <w:r w:rsidR="00DC7BC4" w:rsidRPr="00FF05B6">
        <w:rPr>
          <w:rFonts w:ascii="Times New Roman" w:hAnsi="Times New Roman" w:cs="Times New Roman"/>
          <w:sz w:val="24"/>
          <w:szCs w:val="24"/>
        </w:rPr>
        <w:t xml:space="preserve"> had </w:t>
      </w:r>
      <w:r w:rsidR="00CD0989" w:rsidRPr="00FF05B6">
        <w:rPr>
          <w:rFonts w:ascii="Times New Roman" w:hAnsi="Times New Roman" w:cs="Times New Roman"/>
          <w:sz w:val="24"/>
          <w:szCs w:val="24"/>
        </w:rPr>
        <w:t>ev</w:t>
      </w:r>
      <w:r w:rsidR="00CB361D" w:rsidRPr="00FF05B6">
        <w:rPr>
          <w:rFonts w:ascii="Times New Roman" w:hAnsi="Times New Roman" w:cs="Times New Roman"/>
          <w:sz w:val="24"/>
          <w:szCs w:val="24"/>
        </w:rPr>
        <w:t>e</w:t>
      </w:r>
      <w:r w:rsidR="00CD0989" w:rsidRPr="00FF05B6">
        <w:rPr>
          <w:rFonts w:ascii="Times New Roman" w:hAnsi="Times New Roman" w:cs="Times New Roman"/>
          <w:sz w:val="24"/>
          <w:szCs w:val="24"/>
        </w:rPr>
        <w:t>n discussed the matter with his solicitors.</w:t>
      </w:r>
      <w:r w:rsidRPr="00FF05B6">
        <w:rPr>
          <w:rFonts w:ascii="Times New Roman" w:hAnsi="Times New Roman" w:cs="Times New Roman"/>
          <w:sz w:val="24"/>
          <w:szCs w:val="24"/>
        </w:rPr>
        <w:t xml:space="preserve"> Nor did he provide any supporting affidavit from that witness.</w:t>
      </w:r>
    </w:p>
    <w:p w14:paraId="1CCD3AE3" w14:textId="7EF47C25" w:rsidR="008262E7" w:rsidRPr="00FF05B6" w:rsidRDefault="00CB3D0D"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eastAsia="Calibri" w:hAnsi="Times New Roman" w:cs="Times New Roman"/>
          <w:sz w:val="24"/>
          <w:szCs w:val="24"/>
        </w:rPr>
        <w:lastRenderedPageBreak/>
        <w:t xml:space="preserve">The affidavit sworn on behalf of the </w:t>
      </w:r>
      <w:r w:rsidR="007B49D6" w:rsidRPr="00FF05B6">
        <w:rPr>
          <w:rFonts w:ascii="Times New Roman" w:eastAsia="Calibri" w:hAnsi="Times New Roman" w:cs="Times New Roman"/>
          <w:sz w:val="24"/>
          <w:szCs w:val="24"/>
        </w:rPr>
        <w:t>appellants</w:t>
      </w:r>
      <w:r w:rsidRPr="00FF05B6">
        <w:rPr>
          <w:rFonts w:ascii="Times New Roman" w:eastAsia="Calibri" w:hAnsi="Times New Roman" w:cs="Times New Roman"/>
          <w:sz w:val="24"/>
          <w:szCs w:val="24"/>
        </w:rPr>
        <w:t xml:space="preserve"> grounding the motion is also light on deta</w:t>
      </w:r>
      <w:r w:rsidR="00AC14B3" w:rsidRPr="00FF05B6">
        <w:rPr>
          <w:rFonts w:ascii="Times New Roman" w:eastAsia="Calibri" w:hAnsi="Times New Roman" w:cs="Times New Roman"/>
          <w:sz w:val="24"/>
          <w:szCs w:val="24"/>
        </w:rPr>
        <w:t>il. It really does no more than</w:t>
      </w:r>
      <w:r w:rsidRPr="00FF05B6">
        <w:rPr>
          <w:rFonts w:ascii="Times New Roman" w:eastAsia="Calibri" w:hAnsi="Times New Roman" w:cs="Times New Roman"/>
          <w:sz w:val="24"/>
          <w:szCs w:val="24"/>
        </w:rPr>
        <w:t xml:space="preserve"> recite the progress of the pleadings and request the court for an order in the terms of the notice of motion. There is no reference to any prejudice likely to be suffered by the </w:t>
      </w:r>
      <w:r w:rsidR="007B49D6" w:rsidRPr="00FF05B6">
        <w:rPr>
          <w:rFonts w:ascii="Times New Roman" w:eastAsia="Calibri" w:hAnsi="Times New Roman" w:cs="Times New Roman"/>
          <w:sz w:val="24"/>
          <w:szCs w:val="24"/>
        </w:rPr>
        <w:t>appellant</w:t>
      </w:r>
      <w:r w:rsidRPr="00FF05B6">
        <w:rPr>
          <w:rFonts w:ascii="Times New Roman" w:eastAsia="Calibri" w:hAnsi="Times New Roman" w:cs="Times New Roman"/>
          <w:sz w:val="24"/>
          <w:szCs w:val="24"/>
        </w:rPr>
        <w:t xml:space="preserve">s in defending the proceedings. It is not claimed that any of the defence witnesses are not available. </w:t>
      </w:r>
      <w:r w:rsidR="004758A4" w:rsidRPr="00FF05B6">
        <w:rPr>
          <w:rFonts w:ascii="Times New Roman" w:eastAsia="Calibri" w:hAnsi="Times New Roman" w:cs="Times New Roman"/>
          <w:sz w:val="24"/>
          <w:szCs w:val="24"/>
        </w:rPr>
        <w:t xml:space="preserve">It is not claimed </w:t>
      </w:r>
      <w:r w:rsidRPr="00FF05B6">
        <w:rPr>
          <w:rFonts w:ascii="Times New Roman" w:eastAsia="Calibri" w:hAnsi="Times New Roman" w:cs="Times New Roman"/>
          <w:sz w:val="24"/>
          <w:szCs w:val="24"/>
        </w:rPr>
        <w:t xml:space="preserve">that no statements </w:t>
      </w:r>
      <w:r w:rsidR="004758A4" w:rsidRPr="00FF05B6">
        <w:rPr>
          <w:rFonts w:ascii="Times New Roman" w:eastAsia="Calibri" w:hAnsi="Times New Roman" w:cs="Times New Roman"/>
          <w:sz w:val="24"/>
          <w:szCs w:val="24"/>
        </w:rPr>
        <w:t>were made by any of the personnel involved in the arrest and detention of the respondent,</w:t>
      </w:r>
      <w:r w:rsidRPr="00FF05B6">
        <w:rPr>
          <w:rFonts w:ascii="Times New Roman" w:eastAsia="Calibri" w:hAnsi="Times New Roman" w:cs="Times New Roman"/>
          <w:sz w:val="24"/>
          <w:szCs w:val="24"/>
        </w:rPr>
        <w:t xml:space="preserve"> or that there are no records of the events giving rise to these proceedings.</w:t>
      </w:r>
    </w:p>
    <w:p w14:paraId="652D689A" w14:textId="644A37FF" w:rsidR="00CE07E5" w:rsidRPr="00FF05B6" w:rsidRDefault="00CE07E5" w:rsidP="00FF05B6">
      <w:pPr>
        <w:tabs>
          <w:tab w:val="left" w:pos="567"/>
        </w:tabs>
        <w:spacing w:line="480" w:lineRule="auto"/>
        <w:jc w:val="both"/>
        <w:rPr>
          <w:b/>
          <w:u w:val="single"/>
        </w:rPr>
      </w:pPr>
      <w:r w:rsidRPr="00FF05B6">
        <w:rPr>
          <w:b/>
          <w:u w:val="single"/>
        </w:rPr>
        <w:t>Decision of the High Court</w:t>
      </w:r>
    </w:p>
    <w:p w14:paraId="0858EAD6" w14:textId="1C0C2D8D" w:rsidR="008262E7" w:rsidRPr="00FF05B6" w:rsidRDefault="00CB3D0D"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eastAsia="Calibri" w:hAnsi="Times New Roman" w:cs="Times New Roman"/>
          <w:sz w:val="24"/>
          <w:szCs w:val="24"/>
        </w:rPr>
        <w:t>Cross J</w:t>
      </w:r>
      <w:r w:rsidR="00AC14B3" w:rsidRPr="00FF05B6">
        <w:rPr>
          <w:rFonts w:ascii="Times New Roman" w:eastAsia="Calibri" w:hAnsi="Times New Roman" w:cs="Times New Roman"/>
          <w:sz w:val="24"/>
          <w:szCs w:val="24"/>
        </w:rPr>
        <w:t>.</w:t>
      </w:r>
      <w:r w:rsidRPr="00FF05B6">
        <w:rPr>
          <w:rFonts w:ascii="Times New Roman" w:eastAsia="Calibri" w:hAnsi="Times New Roman" w:cs="Times New Roman"/>
          <w:sz w:val="24"/>
          <w:szCs w:val="24"/>
        </w:rPr>
        <w:t xml:space="preserve">, in an </w:t>
      </w:r>
      <w:r w:rsidRPr="00FF05B6">
        <w:rPr>
          <w:rFonts w:ascii="Times New Roman" w:eastAsia="Calibri" w:hAnsi="Times New Roman" w:cs="Times New Roman"/>
          <w:i/>
          <w:sz w:val="24"/>
          <w:szCs w:val="24"/>
        </w:rPr>
        <w:t>ex-tempore</w:t>
      </w:r>
      <w:r w:rsidRPr="00FF05B6">
        <w:rPr>
          <w:rFonts w:ascii="Times New Roman" w:eastAsia="Calibri" w:hAnsi="Times New Roman" w:cs="Times New Roman"/>
          <w:sz w:val="24"/>
          <w:szCs w:val="24"/>
        </w:rPr>
        <w:t xml:space="preserve"> decision, dealt first with the issue of delay, which, as I have said above, the respondent conceded was inordinate. Cross J. considered that the delay was also inexcusable. He held that any delay caused by legal advisers cannot be a good reason for failing to advance proceedings. Nor did he consider that the fact that the </w:t>
      </w:r>
      <w:r w:rsidR="002D46FD" w:rsidRPr="00FF05B6">
        <w:rPr>
          <w:rFonts w:ascii="Times New Roman" w:eastAsia="Calibri" w:hAnsi="Times New Roman" w:cs="Times New Roman"/>
          <w:sz w:val="24"/>
          <w:szCs w:val="24"/>
        </w:rPr>
        <w:t>respondent</w:t>
      </w:r>
      <w:r w:rsidRPr="00FF05B6">
        <w:rPr>
          <w:rFonts w:ascii="Times New Roman" w:eastAsia="Calibri" w:hAnsi="Times New Roman" w:cs="Times New Roman"/>
          <w:sz w:val="24"/>
          <w:szCs w:val="24"/>
        </w:rPr>
        <w:t xml:space="preserve"> thought he could not get on with his case without the independent witness could be an excuse. And finally, while noting the </w:t>
      </w:r>
      <w:r w:rsidR="002D46FD" w:rsidRPr="00FF05B6">
        <w:rPr>
          <w:rFonts w:ascii="Times New Roman" w:eastAsia="Calibri" w:hAnsi="Times New Roman" w:cs="Times New Roman"/>
          <w:sz w:val="24"/>
          <w:szCs w:val="24"/>
        </w:rPr>
        <w:t>respondent</w:t>
      </w:r>
      <w:r w:rsidRPr="00FF05B6">
        <w:rPr>
          <w:rFonts w:ascii="Times New Roman" w:eastAsia="Calibri" w:hAnsi="Times New Roman" w:cs="Times New Roman"/>
          <w:sz w:val="24"/>
          <w:szCs w:val="24"/>
        </w:rPr>
        <w:t>’s claim to be of insufficient means, he also noted the frequent practice in cases such as these whereby legal advisers deal with them on a “no foal</w:t>
      </w:r>
      <w:r w:rsidR="00830EA9" w:rsidRPr="00FF05B6">
        <w:rPr>
          <w:rFonts w:ascii="Times New Roman" w:eastAsia="Calibri" w:hAnsi="Times New Roman" w:cs="Times New Roman"/>
          <w:sz w:val="24"/>
          <w:szCs w:val="24"/>
        </w:rPr>
        <w:t>,</w:t>
      </w:r>
      <w:r w:rsidRPr="00FF05B6">
        <w:rPr>
          <w:rFonts w:ascii="Times New Roman" w:eastAsia="Calibri" w:hAnsi="Times New Roman" w:cs="Times New Roman"/>
          <w:sz w:val="24"/>
          <w:szCs w:val="24"/>
        </w:rPr>
        <w:t xml:space="preserve"> no fee” basis. For these reasons he considered the delay to be inexcusable</w:t>
      </w:r>
      <w:r w:rsidR="002D46FD" w:rsidRPr="00FF05B6">
        <w:rPr>
          <w:rFonts w:ascii="Times New Roman" w:eastAsia="Calibri" w:hAnsi="Times New Roman" w:cs="Times New Roman"/>
          <w:sz w:val="24"/>
          <w:szCs w:val="24"/>
        </w:rPr>
        <w:t>.</w:t>
      </w:r>
    </w:p>
    <w:p w14:paraId="5635DB73" w14:textId="7ACB7637" w:rsidR="00CB3D0D" w:rsidRPr="00FF05B6" w:rsidRDefault="00CB3D0D" w:rsidP="00FF05B6">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FF05B6">
        <w:rPr>
          <w:rFonts w:ascii="Times New Roman" w:hAnsi="Times New Roman" w:cs="Times New Roman"/>
          <w:sz w:val="24"/>
          <w:szCs w:val="24"/>
        </w:rPr>
        <w:t>Cross J</w:t>
      </w:r>
      <w:r w:rsidR="002D46FD" w:rsidRPr="00FF05B6">
        <w:rPr>
          <w:rFonts w:ascii="Times New Roman" w:hAnsi="Times New Roman" w:cs="Times New Roman"/>
          <w:sz w:val="24"/>
          <w:szCs w:val="24"/>
        </w:rPr>
        <w:t>.</w:t>
      </w:r>
      <w:r w:rsidRPr="00FF05B6">
        <w:rPr>
          <w:rFonts w:ascii="Times New Roman" w:hAnsi="Times New Roman" w:cs="Times New Roman"/>
          <w:sz w:val="24"/>
          <w:szCs w:val="24"/>
        </w:rPr>
        <w:t xml:space="preserve"> then went on to consider the third limb of the test in </w:t>
      </w:r>
      <w:r w:rsidRPr="00FF05B6">
        <w:rPr>
          <w:rFonts w:ascii="Times New Roman" w:hAnsi="Times New Roman" w:cs="Times New Roman"/>
          <w:i/>
          <w:sz w:val="24"/>
          <w:szCs w:val="24"/>
        </w:rPr>
        <w:t>Primor plc v</w:t>
      </w:r>
      <w:r w:rsidR="002D46FD" w:rsidRPr="00FF05B6">
        <w:rPr>
          <w:rFonts w:ascii="Times New Roman" w:hAnsi="Times New Roman" w:cs="Times New Roman"/>
          <w:i/>
          <w:sz w:val="24"/>
          <w:szCs w:val="24"/>
        </w:rPr>
        <w:t>.</w:t>
      </w:r>
      <w:r w:rsidRPr="00FF05B6">
        <w:rPr>
          <w:rFonts w:ascii="Times New Roman" w:hAnsi="Times New Roman" w:cs="Times New Roman"/>
          <w:i/>
          <w:sz w:val="24"/>
          <w:szCs w:val="24"/>
        </w:rPr>
        <w:t xml:space="preserve"> Stokes Kennedy Crowley</w:t>
      </w:r>
      <w:r w:rsidRPr="00FF05B6">
        <w:rPr>
          <w:rFonts w:ascii="Times New Roman" w:hAnsi="Times New Roman" w:cs="Times New Roman"/>
          <w:sz w:val="24"/>
          <w:szCs w:val="24"/>
        </w:rPr>
        <w:t xml:space="preserve"> [1996] 2</w:t>
      </w:r>
      <w:r w:rsidR="002D46FD" w:rsidRPr="00FF05B6">
        <w:rPr>
          <w:rFonts w:ascii="Times New Roman" w:hAnsi="Times New Roman" w:cs="Times New Roman"/>
          <w:sz w:val="24"/>
          <w:szCs w:val="24"/>
        </w:rPr>
        <w:t xml:space="preserve"> </w:t>
      </w:r>
      <w:r w:rsidRPr="00FF05B6">
        <w:rPr>
          <w:rFonts w:ascii="Times New Roman" w:hAnsi="Times New Roman" w:cs="Times New Roman"/>
          <w:sz w:val="24"/>
          <w:szCs w:val="24"/>
        </w:rPr>
        <w:t>IR 459, i.e.</w:t>
      </w:r>
      <w:r w:rsidR="004758A4" w:rsidRPr="00FF05B6">
        <w:rPr>
          <w:rFonts w:ascii="Times New Roman" w:hAnsi="Times New Roman" w:cs="Times New Roman"/>
          <w:sz w:val="24"/>
          <w:szCs w:val="24"/>
        </w:rPr>
        <w:t xml:space="preserve"> he considered</w:t>
      </w:r>
      <w:r w:rsidRPr="00FF05B6">
        <w:rPr>
          <w:rFonts w:ascii="Times New Roman" w:hAnsi="Times New Roman" w:cs="Times New Roman"/>
          <w:sz w:val="24"/>
          <w:szCs w:val="24"/>
        </w:rPr>
        <w:t xml:space="preserve"> where the balance of justice lay. Noting that he had been referred to a number of relevant authorities, he considered them to be of limited assistance to what he described as the “fundamental” matter which he was required to decide. He noted that the </w:t>
      </w:r>
      <w:r w:rsidR="00421DC2" w:rsidRPr="00FF05B6">
        <w:rPr>
          <w:rFonts w:ascii="Times New Roman" w:hAnsi="Times New Roman" w:cs="Times New Roman"/>
          <w:sz w:val="24"/>
          <w:szCs w:val="24"/>
        </w:rPr>
        <w:t>appellant</w:t>
      </w:r>
      <w:r w:rsidRPr="00FF05B6">
        <w:rPr>
          <w:rFonts w:ascii="Times New Roman" w:hAnsi="Times New Roman" w:cs="Times New Roman"/>
          <w:sz w:val="24"/>
          <w:szCs w:val="24"/>
        </w:rPr>
        <w:t xml:space="preserve">s had not argued that they were likely to suffer any specific prejudice if the trial proceeds, but rather relied upon general prejudice which is to be inferred from the passage of time, most particularly in a case such as this which will be tried almost exclusively on the basis of oral testimony. </w:t>
      </w:r>
    </w:p>
    <w:p w14:paraId="6B309E18" w14:textId="3C9EE474" w:rsidR="00CB3D0D" w:rsidRPr="00FF05B6" w:rsidRDefault="00CB3D0D" w:rsidP="00FF05B6">
      <w:pPr>
        <w:pStyle w:val="ListParagraph"/>
        <w:numPr>
          <w:ilvl w:val="0"/>
          <w:numId w:val="43"/>
        </w:numPr>
        <w:tabs>
          <w:tab w:val="left" w:pos="567"/>
        </w:tabs>
        <w:spacing w:line="480" w:lineRule="auto"/>
        <w:ind w:left="0" w:firstLine="0"/>
        <w:rPr>
          <w:rFonts w:eastAsia="Calibri"/>
          <w:sz w:val="24"/>
          <w:szCs w:val="24"/>
        </w:rPr>
      </w:pPr>
      <w:r w:rsidRPr="00FF05B6">
        <w:rPr>
          <w:rFonts w:ascii="Times New Roman" w:eastAsia="Calibri" w:hAnsi="Times New Roman" w:cs="Times New Roman"/>
          <w:sz w:val="24"/>
          <w:szCs w:val="24"/>
        </w:rPr>
        <w:lastRenderedPageBreak/>
        <w:t>Cross J</w:t>
      </w:r>
      <w:r w:rsidR="00CD0989" w:rsidRPr="00FF05B6">
        <w:rPr>
          <w:rFonts w:ascii="Times New Roman" w:eastAsia="Calibri" w:hAnsi="Times New Roman" w:cs="Times New Roman"/>
          <w:sz w:val="24"/>
          <w:szCs w:val="24"/>
        </w:rPr>
        <w:t>.</w:t>
      </w:r>
      <w:r w:rsidRPr="00FF05B6">
        <w:rPr>
          <w:rFonts w:ascii="Times New Roman" w:eastAsia="Calibri" w:hAnsi="Times New Roman" w:cs="Times New Roman"/>
          <w:sz w:val="24"/>
          <w:szCs w:val="24"/>
        </w:rPr>
        <w:t xml:space="preserve"> noted that the </w:t>
      </w:r>
      <w:r w:rsidR="00421DC2" w:rsidRPr="00FF05B6">
        <w:rPr>
          <w:rFonts w:ascii="Times New Roman" w:eastAsia="Calibri" w:hAnsi="Times New Roman" w:cs="Times New Roman"/>
          <w:sz w:val="24"/>
          <w:szCs w:val="24"/>
        </w:rPr>
        <w:t>respondent</w:t>
      </w:r>
      <w:r w:rsidRPr="00FF05B6">
        <w:rPr>
          <w:rFonts w:ascii="Times New Roman" w:eastAsia="Calibri" w:hAnsi="Times New Roman" w:cs="Times New Roman"/>
          <w:sz w:val="24"/>
          <w:szCs w:val="24"/>
        </w:rPr>
        <w:t xml:space="preserve"> had not made out any case that the </w:t>
      </w:r>
      <w:r w:rsidR="00070ADF" w:rsidRPr="00FF05B6">
        <w:rPr>
          <w:rFonts w:ascii="Times New Roman" w:eastAsia="Calibri" w:hAnsi="Times New Roman" w:cs="Times New Roman"/>
          <w:sz w:val="24"/>
          <w:szCs w:val="24"/>
        </w:rPr>
        <w:t>appellants</w:t>
      </w:r>
      <w:r w:rsidRPr="00FF05B6">
        <w:rPr>
          <w:rFonts w:ascii="Times New Roman" w:eastAsia="Calibri" w:hAnsi="Times New Roman" w:cs="Times New Roman"/>
          <w:sz w:val="24"/>
          <w:szCs w:val="24"/>
        </w:rPr>
        <w:t xml:space="preserve"> had acquiesced in the delay in not bringing forward the motion sooner. He considered that the </w:t>
      </w:r>
      <w:r w:rsidR="00070ADF" w:rsidRPr="00FF05B6">
        <w:rPr>
          <w:rFonts w:ascii="Times New Roman" w:eastAsia="Calibri" w:hAnsi="Times New Roman" w:cs="Times New Roman"/>
          <w:sz w:val="24"/>
          <w:szCs w:val="24"/>
        </w:rPr>
        <w:t>appellants</w:t>
      </w:r>
      <w:r w:rsidRPr="00FF05B6">
        <w:rPr>
          <w:rFonts w:ascii="Times New Roman" w:eastAsia="Calibri" w:hAnsi="Times New Roman" w:cs="Times New Roman"/>
          <w:sz w:val="24"/>
          <w:szCs w:val="24"/>
        </w:rPr>
        <w:t xml:space="preserve"> were justified in waiting as long as they did </w:t>
      </w:r>
      <w:r w:rsidR="00CD0989" w:rsidRPr="00FF05B6">
        <w:rPr>
          <w:rFonts w:ascii="Times New Roman" w:eastAsia="Calibri" w:hAnsi="Times New Roman" w:cs="Times New Roman"/>
          <w:sz w:val="24"/>
          <w:szCs w:val="24"/>
        </w:rPr>
        <w:t>in</w:t>
      </w:r>
      <w:r w:rsidRPr="00FF05B6">
        <w:rPr>
          <w:rFonts w:ascii="Times New Roman" w:eastAsia="Calibri" w:hAnsi="Times New Roman" w:cs="Times New Roman"/>
          <w:sz w:val="24"/>
          <w:szCs w:val="24"/>
        </w:rPr>
        <w:t xml:space="preserve"> bringing the application. However, it was also his opinion that the </w:t>
      </w:r>
      <w:r w:rsidR="00070ADF" w:rsidRPr="00FF05B6">
        <w:rPr>
          <w:rFonts w:ascii="Times New Roman" w:eastAsia="Calibri" w:hAnsi="Times New Roman" w:cs="Times New Roman"/>
          <w:sz w:val="24"/>
          <w:szCs w:val="24"/>
        </w:rPr>
        <w:t>appellant</w:t>
      </w:r>
      <w:r w:rsidR="00D85850">
        <w:rPr>
          <w:rFonts w:ascii="Times New Roman" w:eastAsia="Calibri" w:hAnsi="Times New Roman" w:cs="Times New Roman"/>
          <w:sz w:val="24"/>
          <w:szCs w:val="24"/>
        </w:rPr>
        <w:t>s</w:t>
      </w:r>
      <w:r w:rsidRPr="00FF05B6">
        <w:rPr>
          <w:rFonts w:ascii="Times New Roman" w:eastAsia="Calibri" w:hAnsi="Times New Roman" w:cs="Times New Roman"/>
          <w:sz w:val="24"/>
          <w:szCs w:val="24"/>
        </w:rPr>
        <w:t xml:space="preserve"> had failed to establish that the balance of justice requires the dismissal of the proceedings. He was of the opinion that the </w:t>
      </w:r>
      <w:r w:rsidR="00070ADF" w:rsidRPr="00FF05B6">
        <w:rPr>
          <w:rFonts w:ascii="Times New Roman" w:eastAsia="Calibri" w:hAnsi="Times New Roman" w:cs="Times New Roman"/>
          <w:sz w:val="24"/>
          <w:szCs w:val="24"/>
        </w:rPr>
        <w:t>appellants</w:t>
      </w:r>
      <w:r w:rsidRPr="00FF05B6">
        <w:rPr>
          <w:rFonts w:ascii="Times New Roman" w:eastAsia="Calibri" w:hAnsi="Times New Roman" w:cs="Times New Roman"/>
          <w:sz w:val="24"/>
          <w:szCs w:val="24"/>
        </w:rPr>
        <w:t xml:space="preserve"> would almost certainly have taken statements from all of the witnesses, and that if they had not done so they should have done so (after the issue of proceedings</w:t>
      </w:r>
      <w:r w:rsidR="00CD0989" w:rsidRPr="00FF05B6">
        <w:rPr>
          <w:rFonts w:ascii="Times New Roman" w:eastAsia="Calibri" w:hAnsi="Times New Roman" w:cs="Times New Roman"/>
          <w:sz w:val="24"/>
          <w:szCs w:val="24"/>
        </w:rPr>
        <w:t>,</w:t>
      </w:r>
      <w:r w:rsidRPr="00FF05B6">
        <w:rPr>
          <w:rFonts w:ascii="Times New Roman" w:eastAsia="Calibri" w:hAnsi="Times New Roman" w:cs="Times New Roman"/>
          <w:sz w:val="24"/>
          <w:szCs w:val="24"/>
        </w:rPr>
        <w:t xml:space="preserve"> at latest). He</w:t>
      </w:r>
      <w:r w:rsidR="00CD0989" w:rsidRPr="00FF05B6">
        <w:rPr>
          <w:rFonts w:ascii="Times New Roman" w:eastAsia="Calibri" w:hAnsi="Times New Roman" w:cs="Times New Roman"/>
          <w:sz w:val="24"/>
          <w:szCs w:val="24"/>
        </w:rPr>
        <w:t xml:space="preserve"> considered</w:t>
      </w:r>
      <w:r w:rsidRPr="00FF05B6">
        <w:rPr>
          <w:rFonts w:ascii="Times New Roman" w:eastAsia="Calibri" w:hAnsi="Times New Roman" w:cs="Times New Roman"/>
          <w:sz w:val="24"/>
          <w:szCs w:val="24"/>
        </w:rPr>
        <w:t xml:space="preserve"> that</w:t>
      </w:r>
      <w:r w:rsidR="00CD0989" w:rsidRPr="00FF05B6">
        <w:rPr>
          <w:rFonts w:ascii="Times New Roman" w:eastAsia="Calibri" w:hAnsi="Times New Roman" w:cs="Times New Roman"/>
          <w:sz w:val="24"/>
          <w:szCs w:val="24"/>
        </w:rPr>
        <w:t>,</w:t>
      </w:r>
      <w:r w:rsidRPr="00FF05B6">
        <w:rPr>
          <w:rFonts w:ascii="Times New Roman" w:eastAsia="Calibri" w:hAnsi="Times New Roman" w:cs="Times New Roman"/>
          <w:sz w:val="24"/>
          <w:szCs w:val="24"/>
        </w:rPr>
        <w:t xml:space="preserve"> if anything</w:t>
      </w:r>
      <w:r w:rsidR="00CD0989" w:rsidRPr="00FF05B6">
        <w:rPr>
          <w:rFonts w:ascii="Times New Roman" w:eastAsia="Calibri" w:hAnsi="Times New Roman" w:cs="Times New Roman"/>
          <w:sz w:val="24"/>
          <w:szCs w:val="24"/>
        </w:rPr>
        <w:t>,</w:t>
      </w:r>
      <w:r w:rsidRPr="00FF05B6">
        <w:rPr>
          <w:rFonts w:ascii="Times New Roman" w:eastAsia="Calibri" w:hAnsi="Times New Roman" w:cs="Times New Roman"/>
          <w:sz w:val="24"/>
          <w:szCs w:val="24"/>
        </w:rPr>
        <w:t xml:space="preserve"> the delay is likely to harm the </w:t>
      </w:r>
      <w:r w:rsidR="00070ADF" w:rsidRPr="00FF05B6">
        <w:rPr>
          <w:rFonts w:ascii="Times New Roman" w:eastAsia="Calibri" w:hAnsi="Times New Roman" w:cs="Times New Roman"/>
          <w:sz w:val="24"/>
          <w:szCs w:val="24"/>
        </w:rPr>
        <w:t>respondent</w:t>
      </w:r>
      <w:r w:rsidRPr="00FF05B6">
        <w:rPr>
          <w:rFonts w:ascii="Times New Roman" w:eastAsia="Calibri" w:hAnsi="Times New Roman" w:cs="Times New Roman"/>
          <w:sz w:val="24"/>
          <w:szCs w:val="24"/>
        </w:rPr>
        <w:t xml:space="preserve">’s case, not least because the </w:t>
      </w:r>
      <w:r w:rsidR="00070ADF" w:rsidRPr="00FF05B6">
        <w:rPr>
          <w:rFonts w:ascii="Times New Roman" w:eastAsia="Calibri" w:hAnsi="Times New Roman" w:cs="Times New Roman"/>
          <w:sz w:val="24"/>
          <w:szCs w:val="24"/>
        </w:rPr>
        <w:t>respondent</w:t>
      </w:r>
      <w:r w:rsidRPr="00FF05B6">
        <w:rPr>
          <w:rFonts w:ascii="Times New Roman" w:eastAsia="Calibri" w:hAnsi="Times New Roman" w:cs="Times New Roman"/>
          <w:sz w:val="24"/>
          <w:szCs w:val="24"/>
        </w:rPr>
        <w:t xml:space="preserve">’s witness is less likely to have made a contemporaneous statement. He therefore considered that the </w:t>
      </w:r>
      <w:r w:rsidR="00070ADF" w:rsidRPr="00FF05B6">
        <w:rPr>
          <w:rFonts w:ascii="Times New Roman" w:eastAsia="Calibri" w:hAnsi="Times New Roman" w:cs="Times New Roman"/>
          <w:sz w:val="24"/>
          <w:szCs w:val="24"/>
        </w:rPr>
        <w:t>appellants</w:t>
      </w:r>
      <w:r w:rsidRPr="00FF05B6">
        <w:rPr>
          <w:rFonts w:ascii="Times New Roman" w:eastAsia="Calibri" w:hAnsi="Times New Roman" w:cs="Times New Roman"/>
          <w:sz w:val="24"/>
          <w:szCs w:val="24"/>
        </w:rPr>
        <w:t xml:space="preserve"> will not be prejudiced if the case proceeds and he refused the reliefs sought.</w:t>
      </w:r>
      <w:r w:rsidR="00AB4E12" w:rsidRPr="00FF05B6">
        <w:rPr>
          <w:rFonts w:ascii="Times New Roman" w:eastAsia="Calibri" w:hAnsi="Times New Roman" w:cs="Times New Roman"/>
          <w:sz w:val="24"/>
          <w:szCs w:val="24"/>
        </w:rPr>
        <w:t xml:space="preserve"> He then went on to consider the respondent’s motion for discovery, and made an order</w:t>
      </w:r>
      <w:r w:rsidR="00CE07E5" w:rsidRPr="00FF05B6">
        <w:rPr>
          <w:rFonts w:ascii="Times New Roman" w:eastAsia="Calibri" w:hAnsi="Times New Roman" w:cs="Times New Roman"/>
          <w:sz w:val="24"/>
          <w:szCs w:val="24"/>
        </w:rPr>
        <w:t xml:space="preserve"> </w:t>
      </w:r>
      <w:r w:rsidR="00DA7AA9" w:rsidRPr="00FF05B6">
        <w:rPr>
          <w:rFonts w:ascii="Times New Roman" w:eastAsia="Calibri" w:hAnsi="Times New Roman" w:cs="Times New Roman"/>
          <w:sz w:val="24"/>
          <w:szCs w:val="24"/>
        </w:rPr>
        <w:t>for discovery</w:t>
      </w:r>
      <w:r w:rsidR="00CE07E5" w:rsidRPr="00FF05B6">
        <w:rPr>
          <w:rFonts w:ascii="Times New Roman" w:eastAsia="Calibri" w:hAnsi="Times New Roman" w:cs="Times New Roman"/>
          <w:sz w:val="24"/>
          <w:szCs w:val="24"/>
        </w:rPr>
        <w:t>,</w:t>
      </w:r>
      <w:r w:rsidR="00AB4E12" w:rsidRPr="00FF05B6">
        <w:rPr>
          <w:rFonts w:ascii="Times New Roman" w:eastAsia="Calibri" w:hAnsi="Times New Roman" w:cs="Times New Roman"/>
          <w:sz w:val="24"/>
          <w:szCs w:val="24"/>
        </w:rPr>
        <w:t xml:space="preserve"> subject to a stay, the precise duration of which is the subject of some disagreement between the parties, but which is now of academic interest, for reasons that will become apparent.</w:t>
      </w:r>
    </w:p>
    <w:p w14:paraId="65BDAE7C" w14:textId="779D18E7" w:rsidR="00926A50" w:rsidRPr="00FF05B6" w:rsidRDefault="005D0364" w:rsidP="00FF05B6">
      <w:pPr>
        <w:pStyle w:val="ListParagraph"/>
        <w:tabs>
          <w:tab w:val="left" w:pos="567"/>
        </w:tabs>
        <w:spacing w:line="480" w:lineRule="auto"/>
        <w:ind w:left="0"/>
        <w:rPr>
          <w:rFonts w:ascii="Times New Roman" w:hAnsi="Times New Roman"/>
          <w:b/>
          <w:sz w:val="24"/>
          <w:szCs w:val="24"/>
          <w:u w:val="single"/>
        </w:rPr>
      </w:pPr>
      <w:r w:rsidRPr="00FF05B6">
        <w:rPr>
          <w:rFonts w:ascii="Times New Roman" w:hAnsi="Times New Roman"/>
          <w:b/>
          <w:sz w:val="24"/>
          <w:szCs w:val="24"/>
          <w:u w:val="single"/>
        </w:rPr>
        <w:t>Argum</w:t>
      </w:r>
      <w:r w:rsidR="00926A50" w:rsidRPr="00FF05B6">
        <w:rPr>
          <w:rFonts w:ascii="Times New Roman" w:hAnsi="Times New Roman"/>
          <w:b/>
          <w:sz w:val="24"/>
          <w:szCs w:val="24"/>
          <w:u w:val="single"/>
        </w:rPr>
        <w:t xml:space="preserve">ents on Appeal </w:t>
      </w:r>
    </w:p>
    <w:p w14:paraId="25FD89AF" w14:textId="60D15837" w:rsidR="00AB4E12" w:rsidRPr="00FF05B6" w:rsidRDefault="00AB4E12" w:rsidP="00FF05B6">
      <w:pPr>
        <w:pStyle w:val="ListParagraph"/>
        <w:tabs>
          <w:tab w:val="left" w:pos="567"/>
        </w:tabs>
        <w:spacing w:line="480" w:lineRule="auto"/>
        <w:ind w:left="0"/>
        <w:rPr>
          <w:rFonts w:ascii="Times New Roman" w:hAnsi="Times New Roman"/>
          <w:b/>
          <w:sz w:val="24"/>
          <w:szCs w:val="24"/>
        </w:rPr>
      </w:pPr>
      <w:r w:rsidRPr="00FF05B6">
        <w:rPr>
          <w:rFonts w:ascii="Times New Roman" w:hAnsi="Times New Roman"/>
          <w:b/>
          <w:sz w:val="24"/>
          <w:szCs w:val="24"/>
        </w:rPr>
        <w:t>Inordinate and Inexcusable</w:t>
      </w:r>
      <w:r w:rsidR="00926A50" w:rsidRPr="00FF05B6">
        <w:rPr>
          <w:rFonts w:ascii="Times New Roman" w:hAnsi="Times New Roman"/>
          <w:b/>
          <w:sz w:val="24"/>
          <w:szCs w:val="24"/>
        </w:rPr>
        <w:t xml:space="preserve"> Delay</w:t>
      </w:r>
    </w:p>
    <w:p w14:paraId="660980EA" w14:textId="4579C6CE" w:rsidR="00CB3D0D" w:rsidRPr="00FF05B6" w:rsidRDefault="009B2AD0"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At the hearing of this appeal, counsel for the</w:t>
      </w:r>
      <w:r w:rsidR="00182ACD" w:rsidRPr="00FF05B6">
        <w:rPr>
          <w:rFonts w:ascii="Times New Roman" w:hAnsi="Times New Roman"/>
          <w:sz w:val="24"/>
          <w:szCs w:val="24"/>
        </w:rPr>
        <w:t xml:space="preserve"> respondent</w:t>
      </w:r>
      <w:r w:rsidRPr="00FF05B6">
        <w:rPr>
          <w:rFonts w:ascii="Times New Roman" w:hAnsi="Times New Roman"/>
          <w:sz w:val="24"/>
          <w:szCs w:val="24"/>
        </w:rPr>
        <w:t xml:space="preserve"> argued that the delay on the part of the </w:t>
      </w:r>
      <w:r w:rsidR="00482DE9" w:rsidRPr="00FF05B6">
        <w:rPr>
          <w:rFonts w:ascii="Times New Roman" w:hAnsi="Times New Roman"/>
          <w:sz w:val="24"/>
          <w:szCs w:val="24"/>
        </w:rPr>
        <w:t>respondent</w:t>
      </w:r>
      <w:r w:rsidRPr="00FF05B6">
        <w:rPr>
          <w:rFonts w:ascii="Times New Roman" w:hAnsi="Times New Roman"/>
          <w:sz w:val="24"/>
          <w:szCs w:val="24"/>
        </w:rPr>
        <w:t xml:space="preserve">, while inordinate, was “not inexcusable”.  In response to a specific question from the </w:t>
      </w:r>
      <w:r w:rsidR="00482DE9" w:rsidRPr="00FF05B6">
        <w:rPr>
          <w:rFonts w:ascii="Times New Roman" w:hAnsi="Times New Roman"/>
          <w:sz w:val="24"/>
          <w:szCs w:val="24"/>
        </w:rPr>
        <w:t>C</w:t>
      </w:r>
      <w:r w:rsidRPr="00FF05B6">
        <w:rPr>
          <w:rFonts w:ascii="Times New Roman" w:hAnsi="Times New Roman"/>
          <w:sz w:val="24"/>
          <w:szCs w:val="24"/>
        </w:rPr>
        <w:t xml:space="preserve">ourt, however, he did not go so far as to suggest that the delay was excusable.  He argued simply that the breakdown in the </w:t>
      </w:r>
      <w:r w:rsidR="00482DE9" w:rsidRPr="00FF05B6">
        <w:rPr>
          <w:rFonts w:ascii="Times New Roman" w:hAnsi="Times New Roman"/>
          <w:sz w:val="24"/>
          <w:szCs w:val="24"/>
        </w:rPr>
        <w:t>respondent</w:t>
      </w:r>
      <w:r w:rsidRPr="00FF05B6">
        <w:rPr>
          <w:rFonts w:ascii="Times New Roman" w:hAnsi="Times New Roman"/>
          <w:sz w:val="24"/>
          <w:szCs w:val="24"/>
        </w:rPr>
        <w:t xml:space="preserve">’s relationship with the only person who would give evidence on his behalf, coupled with his weak financial situation constituted “unpredictable hazards of life” that afflict the course of litigation, as referred to by Fennelly J. in </w:t>
      </w:r>
      <w:r w:rsidRPr="00FF05B6">
        <w:rPr>
          <w:rFonts w:ascii="Times New Roman" w:hAnsi="Times New Roman"/>
          <w:i/>
          <w:sz w:val="24"/>
          <w:szCs w:val="24"/>
        </w:rPr>
        <w:t xml:space="preserve">Anglo Irish Beef Processors Limited v. Montgomery </w:t>
      </w:r>
      <w:r w:rsidRPr="00FF05B6">
        <w:rPr>
          <w:rFonts w:ascii="Times New Roman" w:hAnsi="Times New Roman"/>
          <w:sz w:val="24"/>
          <w:szCs w:val="24"/>
        </w:rPr>
        <w:t xml:space="preserve">[2002] 3 IR </w:t>
      </w:r>
      <w:r w:rsidR="00AC14B3" w:rsidRPr="00FF05B6">
        <w:rPr>
          <w:rFonts w:ascii="Times New Roman" w:hAnsi="Times New Roman"/>
          <w:sz w:val="24"/>
          <w:szCs w:val="24"/>
        </w:rPr>
        <w:t>510 (</w:t>
      </w:r>
      <w:r w:rsidRPr="00FF05B6">
        <w:rPr>
          <w:rFonts w:ascii="Times New Roman" w:hAnsi="Times New Roman"/>
          <w:sz w:val="24"/>
          <w:szCs w:val="24"/>
        </w:rPr>
        <w:t>at p.518).</w:t>
      </w:r>
    </w:p>
    <w:p w14:paraId="15A37E7B" w14:textId="3BC78E92" w:rsidR="009B2AD0" w:rsidRPr="00FF05B6" w:rsidRDefault="009B2AD0"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lastRenderedPageBreak/>
        <w:t xml:space="preserve">Counsel did not press this argument very strongly, and I think rightly so.  I </w:t>
      </w:r>
      <w:r w:rsidR="00AC14B3" w:rsidRPr="00FF05B6">
        <w:rPr>
          <w:rFonts w:ascii="Times New Roman" w:hAnsi="Times New Roman"/>
          <w:sz w:val="24"/>
          <w:szCs w:val="24"/>
        </w:rPr>
        <w:t>consider</w:t>
      </w:r>
      <w:r w:rsidRPr="00FF05B6">
        <w:rPr>
          <w:rFonts w:ascii="Times New Roman" w:hAnsi="Times New Roman"/>
          <w:sz w:val="24"/>
          <w:szCs w:val="24"/>
        </w:rPr>
        <w:t xml:space="preserve"> that the trial </w:t>
      </w:r>
      <w:r w:rsidR="00AC14B3" w:rsidRPr="00FF05B6">
        <w:rPr>
          <w:rFonts w:ascii="Times New Roman" w:hAnsi="Times New Roman"/>
          <w:sz w:val="24"/>
          <w:szCs w:val="24"/>
        </w:rPr>
        <w:t>judge</w:t>
      </w:r>
      <w:r w:rsidRPr="00FF05B6">
        <w:rPr>
          <w:rFonts w:ascii="Times New Roman" w:hAnsi="Times New Roman"/>
          <w:sz w:val="24"/>
          <w:szCs w:val="24"/>
        </w:rPr>
        <w:t xml:space="preserve"> was correct in his determination that the delay on the part of the </w:t>
      </w:r>
      <w:r w:rsidR="00482DE9" w:rsidRPr="00FF05B6">
        <w:rPr>
          <w:rFonts w:ascii="Times New Roman" w:hAnsi="Times New Roman"/>
          <w:sz w:val="24"/>
          <w:szCs w:val="24"/>
        </w:rPr>
        <w:t>respondent</w:t>
      </w:r>
      <w:r w:rsidRPr="00FF05B6">
        <w:rPr>
          <w:rFonts w:ascii="Times New Roman" w:hAnsi="Times New Roman"/>
          <w:sz w:val="24"/>
          <w:szCs w:val="24"/>
        </w:rPr>
        <w:t xml:space="preserve"> has been inexcusable and that none of the excuse</w:t>
      </w:r>
      <w:r w:rsidR="00CD0989" w:rsidRPr="00FF05B6">
        <w:rPr>
          <w:rFonts w:ascii="Times New Roman" w:hAnsi="Times New Roman"/>
          <w:sz w:val="24"/>
          <w:szCs w:val="24"/>
        </w:rPr>
        <w:t>s</w:t>
      </w:r>
      <w:r w:rsidRPr="00FF05B6">
        <w:rPr>
          <w:rFonts w:ascii="Times New Roman" w:hAnsi="Times New Roman"/>
          <w:sz w:val="24"/>
          <w:szCs w:val="24"/>
        </w:rPr>
        <w:t xml:space="preserve"> tendered by the </w:t>
      </w:r>
      <w:r w:rsidR="00830EA9" w:rsidRPr="00FF05B6">
        <w:rPr>
          <w:rFonts w:ascii="Times New Roman" w:hAnsi="Times New Roman"/>
          <w:sz w:val="24"/>
          <w:szCs w:val="24"/>
        </w:rPr>
        <w:t>respondent</w:t>
      </w:r>
      <w:r w:rsidRPr="00FF05B6">
        <w:rPr>
          <w:rFonts w:ascii="Times New Roman" w:hAnsi="Times New Roman"/>
          <w:sz w:val="24"/>
          <w:szCs w:val="24"/>
        </w:rPr>
        <w:t>, taken individually or together are adequate to ex</w:t>
      </w:r>
      <w:r w:rsidR="00AC14B3" w:rsidRPr="00FF05B6">
        <w:rPr>
          <w:rFonts w:ascii="Times New Roman" w:hAnsi="Times New Roman"/>
          <w:sz w:val="24"/>
          <w:szCs w:val="24"/>
        </w:rPr>
        <w:t>c</w:t>
      </w:r>
      <w:r w:rsidRPr="00FF05B6">
        <w:rPr>
          <w:rFonts w:ascii="Times New Roman" w:hAnsi="Times New Roman"/>
          <w:sz w:val="24"/>
          <w:szCs w:val="24"/>
        </w:rPr>
        <w:t xml:space="preserve">use the delay.  Moreover, even if they were, the level of detail provided by the </w:t>
      </w:r>
      <w:r w:rsidR="00830EA9" w:rsidRPr="00FF05B6">
        <w:rPr>
          <w:rFonts w:ascii="Times New Roman" w:hAnsi="Times New Roman"/>
          <w:sz w:val="24"/>
          <w:szCs w:val="24"/>
        </w:rPr>
        <w:t>respondent</w:t>
      </w:r>
      <w:r w:rsidRPr="00FF05B6">
        <w:rPr>
          <w:rFonts w:ascii="Times New Roman" w:hAnsi="Times New Roman"/>
          <w:sz w:val="24"/>
          <w:szCs w:val="24"/>
        </w:rPr>
        <w:t xml:space="preserve"> in relation to each of these excuse</w:t>
      </w:r>
      <w:r w:rsidR="000E15BB" w:rsidRPr="00FF05B6">
        <w:rPr>
          <w:rFonts w:ascii="Times New Roman" w:hAnsi="Times New Roman"/>
          <w:sz w:val="24"/>
          <w:szCs w:val="24"/>
        </w:rPr>
        <w:t xml:space="preserve">s </w:t>
      </w:r>
      <w:r w:rsidRPr="00FF05B6">
        <w:rPr>
          <w:rFonts w:ascii="Times New Roman" w:hAnsi="Times New Roman"/>
          <w:sz w:val="24"/>
          <w:szCs w:val="24"/>
        </w:rPr>
        <w:t xml:space="preserve">is wholly inadequate to enable any proper </w:t>
      </w:r>
      <w:r w:rsidR="000E15BB" w:rsidRPr="00FF05B6">
        <w:rPr>
          <w:rFonts w:ascii="Times New Roman" w:hAnsi="Times New Roman"/>
          <w:sz w:val="24"/>
          <w:szCs w:val="24"/>
        </w:rPr>
        <w:t>evalu</w:t>
      </w:r>
      <w:r w:rsidRPr="00FF05B6">
        <w:rPr>
          <w:rFonts w:ascii="Times New Roman" w:hAnsi="Times New Roman"/>
          <w:sz w:val="24"/>
          <w:szCs w:val="24"/>
        </w:rPr>
        <w:t xml:space="preserve">ation of them, and goes no further than mere assertion.  </w:t>
      </w:r>
    </w:p>
    <w:p w14:paraId="3C37F69F" w14:textId="652D21CE" w:rsidR="009B2AD0" w:rsidRPr="00FF05B6" w:rsidRDefault="009B2AD0"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It is very unlikely that the unavailability of a witness who could be subpoenaed to give evidence, could excuse the </w:t>
      </w:r>
      <w:r w:rsidR="00830EA9" w:rsidRPr="00FF05B6">
        <w:rPr>
          <w:rFonts w:ascii="Times New Roman" w:hAnsi="Times New Roman"/>
          <w:sz w:val="24"/>
          <w:szCs w:val="24"/>
        </w:rPr>
        <w:t>respondent</w:t>
      </w:r>
      <w:r w:rsidRPr="00FF05B6">
        <w:rPr>
          <w:rFonts w:ascii="Times New Roman" w:hAnsi="Times New Roman"/>
          <w:sz w:val="24"/>
          <w:szCs w:val="24"/>
        </w:rPr>
        <w:t xml:space="preserve">’s failure to prosecute his claim.  Moreover, the </w:t>
      </w:r>
      <w:r w:rsidR="00830EA9" w:rsidRPr="00FF05B6">
        <w:rPr>
          <w:rFonts w:ascii="Times New Roman" w:hAnsi="Times New Roman"/>
          <w:sz w:val="24"/>
          <w:szCs w:val="24"/>
        </w:rPr>
        <w:t>respondent</w:t>
      </w:r>
      <w:r w:rsidRPr="00FF05B6">
        <w:rPr>
          <w:rFonts w:ascii="Times New Roman" w:hAnsi="Times New Roman"/>
          <w:sz w:val="24"/>
          <w:szCs w:val="24"/>
        </w:rPr>
        <w:t xml:space="preserve"> appears to have formed </w:t>
      </w:r>
      <w:r w:rsidR="000E15BB" w:rsidRPr="00FF05B6">
        <w:rPr>
          <w:rFonts w:ascii="Times New Roman" w:hAnsi="Times New Roman"/>
          <w:sz w:val="24"/>
          <w:szCs w:val="24"/>
        </w:rPr>
        <w:t xml:space="preserve">his own </w:t>
      </w:r>
      <w:r w:rsidRPr="00FF05B6">
        <w:rPr>
          <w:rFonts w:ascii="Times New Roman" w:hAnsi="Times New Roman"/>
          <w:sz w:val="24"/>
          <w:szCs w:val="24"/>
        </w:rPr>
        <w:t>conclusion</w:t>
      </w:r>
      <w:r w:rsidR="000E15BB" w:rsidRPr="00FF05B6">
        <w:rPr>
          <w:rFonts w:ascii="Times New Roman" w:hAnsi="Times New Roman"/>
          <w:sz w:val="24"/>
          <w:szCs w:val="24"/>
        </w:rPr>
        <w:t>s as to the implications for his case arising from the unavailability of this witness,</w:t>
      </w:r>
      <w:r w:rsidRPr="00FF05B6">
        <w:rPr>
          <w:rFonts w:ascii="Times New Roman" w:hAnsi="Times New Roman"/>
          <w:sz w:val="24"/>
          <w:szCs w:val="24"/>
        </w:rPr>
        <w:t xml:space="preserve"> or at least he does not make any averments that he discussed the matter with his solicitors and was acting on advice.  As is submitted by the appellants, the </w:t>
      </w:r>
      <w:r w:rsidR="00830EA9" w:rsidRPr="00FF05B6">
        <w:rPr>
          <w:rFonts w:ascii="Times New Roman" w:hAnsi="Times New Roman"/>
          <w:sz w:val="24"/>
          <w:szCs w:val="24"/>
        </w:rPr>
        <w:t>respondent</w:t>
      </w:r>
      <w:r w:rsidRPr="00FF05B6">
        <w:rPr>
          <w:rFonts w:ascii="Times New Roman" w:hAnsi="Times New Roman"/>
          <w:sz w:val="24"/>
          <w:szCs w:val="24"/>
        </w:rPr>
        <w:t xml:space="preserve"> </w:t>
      </w:r>
      <w:r w:rsidR="00680D56" w:rsidRPr="00FF05B6">
        <w:rPr>
          <w:rFonts w:ascii="Times New Roman" w:hAnsi="Times New Roman"/>
          <w:sz w:val="24"/>
          <w:szCs w:val="24"/>
        </w:rPr>
        <w:t xml:space="preserve">made a unilateral decision not to progress the proceedings.  </w:t>
      </w:r>
    </w:p>
    <w:p w14:paraId="49FD059B" w14:textId="427C679F" w:rsidR="00680D56" w:rsidRPr="00FF05B6" w:rsidRDefault="00680D56"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It is well settled that delay on the part of a litigant’s legal advis</w:t>
      </w:r>
      <w:r w:rsidR="00EE2899">
        <w:rPr>
          <w:rFonts w:ascii="Times New Roman" w:hAnsi="Times New Roman"/>
          <w:sz w:val="24"/>
          <w:szCs w:val="24"/>
        </w:rPr>
        <w:t>e</w:t>
      </w:r>
      <w:r w:rsidRPr="00FF05B6">
        <w:rPr>
          <w:rFonts w:ascii="Times New Roman" w:hAnsi="Times New Roman"/>
          <w:sz w:val="24"/>
          <w:szCs w:val="24"/>
        </w:rPr>
        <w:t xml:space="preserve">rs is no defence to a motion to dismiss proceedings on grounds of delay, and nothing more needs to be said in relation to that excuse.  In relation to the third excuse advanced i.e. lack of funds, the </w:t>
      </w:r>
      <w:r w:rsidR="00830EA9" w:rsidRPr="00FF05B6">
        <w:rPr>
          <w:rFonts w:ascii="Times New Roman" w:hAnsi="Times New Roman"/>
          <w:sz w:val="24"/>
          <w:szCs w:val="24"/>
        </w:rPr>
        <w:t>respondent</w:t>
      </w:r>
      <w:r w:rsidRPr="00FF05B6">
        <w:rPr>
          <w:rFonts w:ascii="Times New Roman" w:hAnsi="Times New Roman"/>
          <w:sz w:val="24"/>
          <w:szCs w:val="24"/>
        </w:rPr>
        <w:t xml:space="preserve"> provided no evidence as to his means</w:t>
      </w:r>
      <w:r w:rsidR="00180373" w:rsidRPr="00FF05B6">
        <w:rPr>
          <w:rFonts w:ascii="Times New Roman" w:hAnsi="Times New Roman"/>
          <w:sz w:val="24"/>
          <w:szCs w:val="24"/>
        </w:rPr>
        <w:t xml:space="preserve">, his arrangements with his solicitors as regards fees payable by him </w:t>
      </w:r>
      <w:r w:rsidRPr="00FF05B6">
        <w:rPr>
          <w:rFonts w:ascii="Times New Roman" w:hAnsi="Times New Roman"/>
          <w:sz w:val="24"/>
          <w:szCs w:val="24"/>
        </w:rPr>
        <w:t>or requests for payment from his solicitors</w:t>
      </w:r>
      <w:r w:rsidR="00180373" w:rsidRPr="00FF05B6">
        <w:rPr>
          <w:rFonts w:ascii="Times New Roman" w:hAnsi="Times New Roman"/>
          <w:sz w:val="24"/>
          <w:szCs w:val="24"/>
        </w:rPr>
        <w:t xml:space="preserve"> of fees due or as would be required</w:t>
      </w:r>
      <w:r w:rsidRPr="00FF05B6">
        <w:rPr>
          <w:rFonts w:ascii="Times New Roman" w:hAnsi="Times New Roman"/>
          <w:sz w:val="24"/>
          <w:szCs w:val="24"/>
        </w:rPr>
        <w:t xml:space="preserve"> in order to progress the litigation.  Cross J. took the view, not unreasonably, that in many cases of this kind, fee arrangements are structured</w:t>
      </w:r>
      <w:r w:rsidR="00CD0989" w:rsidRPr="00FF05B6">
        <w:rPr>
          <w:rFonts w:ascii="Times New Roman" w:hAnsi="Times New Roman"/>
          <w:sz w:val="24"/>
          <w:szCs w:val="24"/>
        </w:rPr>
        <w:t>,</w:t>
      </w:r>
      <w:r w:rsidRPr="00FF05B6">
        <w:rPr>
          <w:rFonts w:ascii="Times New Roman" w:hAnsi="Times New Roman"/>
          <w:sz w:val="24"/>
          <w:szCs w:val="24"/>
        </w:rPr>
        <w:t xml:space="preserve"> in old parlance</w:t>
      </w:r>
      <w:r w:rsidR="00CD0989" w:rsidRPr="00FF05B6">
        <w:rPr>
          <w:rFonts w:ascii="Times New Roman" w:hAnsi="Times New Roman"/>
          <w:sz w:val="24"/>
          <w:szCs w:val="24"/>
        </w:rPr>
        <w:t>,</w:t>
      </w:r>
      <w:r w:rsidR="00830EA9" w:rsidRPr="00FF05B6">
        <w:rPr>
          <w:rFonts w:ascii="Times New Roman" w:hAnsi="Times New Roman"/>
          <w:sz w:val="24"/>
          <w:szCs w:val="24"/>
        </w:rPr>
        <w:t xml:space="preserve"> </w:t>
      </w:r>
      <w:r w:rsidRPr="00FF05B6">
        <w:rPr>
          <w:rFonts w:ascii="Times New Roman" w:hAnsi="Times New Roman"/>
          <w:sz w:val="24"/>
          <w:szCs w:val="24"/>
        </w:rPr>
        <w:t>on a “</w:t>
      </w:r>
      <w:r w:rsidR="00AC14B3" w:rsidRPr="00FF05B6">
        <w:rPr>
          <w:rFonts w:ascii="Times New Roman" w:hAnsi="Times New Roman"/>
          <w:sz w:val="24"/>
          <w:szCs w:val="24"/>
        </w:rPr>
        <w:t>no foa</w:t>
      </w:r>
      <w:r w:rsidRPr="00FF05B6">
        <w:rPr>
          <w:rFonts w:ascii="Times New Roman" w:hAnsi="Times New Roman"/>
          <w:sz w:val="24"/>
          <w:szCs w:val="24"/>
        </w:rPr>
        <w:t xml:space="preserve">l, no fee” basis, which </w:t>
      </w:r>
      <w:r w:rsidR="00CD0989" w:rsidRPr="00FF05B6">
        <w:rPr>
          <w:rFonts w:ascii="Times New Roman" w:hAnsi="Times New Roman"/>
          <w:sz w:val="24"/>
          <w:szCs w:val="24"/>
        </w:rPr>
        <w:t xml:space="preserve">arrangements </w:t>
      </w:r>
      <w:r w:rsidRPr="00FF05B6">
        <w:rPr>
          <w:rFonts w:ascii="Times New Roman" w:hAnsi="Times New Roman"/>
          <w:sz w:val="24"/>
          <w:szCs w:val="24"/>
        </w:rPr>
        <w:t>are nowadays no doubt tailored</w:t>
      </w:r>
      <w:r w:rsidR="00CD0989" w:rsidRPr="00FF05B6">
        <w:rPr>
          <w:rFonts w:ascii="Times New Roman" w:hAnsi="Times New Roman"/>
          <w:sz w:val="24"/>
          <w:szCs w:val="24"/>
        </w:rPr>
        <w:t xml:space="preserve"> appropriately</w:t>
      </w:r>
      <w:r w:rsidRPr="00FF05B6">
        <w:rPr>
          <w:rFonts w:ascii="Times New Roman" w:hAnsi="Times New Roman"/>
          <w:sz w:val="24"/>
          <w:szCs w:val="24"/>
        </w:rPr>
        <w:t xml:space="preserve"> to meet the requirements of the Legal Services Regulation Act 2015.  </w:t>
      </w:r>
      <w:r w:rsidR="00180373" w:rsidRPr="00FF05B6">
        <w:rPr>
          <w:rFonts w:ascii="Times New Roman" w:hAnsi="Times New Roman"/>
          <w:sz w:val="24"/>
          <w:szCs w:val="24"/>
        </w:rPr>
        <w:t>For all these reasons, the trial judge was, in my opinion, correct in his conclusion that the delay in progressing the proceedings was both inordinate and inexcusable.</w:t>
      </w:r>
    </w:p>
    <w:p w14:paraId="3C319A5F" w14:textId="004955C9" w:rsidR="00180373" w:rsidRPr="00FF05B6" w:rsidRDefault="00180373" w:rsidP="00FF05B6">
      <w:pPr>
        <w:tabs>
          <w:tab w:val="left" w:pos="567"/>
        </w:tabs>
        <w:spacing w:line="480" w:lineRule="auto"/>
        <w:jc w:val="both"/>
        <w:rPr>
          <w:b/>
        </w:rPr>
      </w:pPr>
      <w:r w:rsidRPr="00FF05B6">
        <w:rPr>
          <w:b/>
        </w:rPr>
        <w:t>Balance of Justice</w:t>
      </w:r>
    </w:p>
    <w:p w14:paraId="0ACCEEF7" w14:textId="4217DFAE" w:rsidR="00680D56" w:rsidRPr="00FF05B6" w:rsidRDefault="00680D56"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lastRenderedPageBreak/>
        <w:t>Counsel for the appellant</w:t>
      </w:r>
      <w:r w:rsidR="00B10621" w:rsidRPr="00FF05B6">
        <w:rPr>
          <w:rFonts w:ascii="Times New Roman" w:hAnsi="Times New Roman"/>
          <w:sz w:val="24"/>
          <w:szCs w:val="24"/>
        </w:rPr>
        <w:t>s</w:t>
      </w:r>
      <w:r w:rsidRPr="00FF05B6">
        <w:rPr>
          <w:rFonts w:ascii="Times New Roman" w:hAnsi="Times New Roman"/>
          <w:sz w:val="24"/>
          <w:szCs w:val="24"/>
        </w:rPr>
        <w:t xml:space="preserve"> submits that the trial judge failed to assess properly the prejudice faced by the appellants as a result of the delay on the part of the </w:t>
      </w:r>
      <w:r w:rsidR="00F71D4C" w:rsidRPr="00FF05B6">
        <w:rPr>
          <w:rFonts w:ascii="Times New Roman" w:hAnsi="Times New Roman"/>
          <w:sz w:val="24"/>
          <w:szCs w:val="24"/>
        </w:rPr>
        <w:t>respondent</w:t>
      </w:r>
      <w:r w:rsidRPr="00FF05B6">
        <w:rPr>
          <w:rFonts w:ascii="Times New Roman" w:hAnsi="Times New Roman"/>
          <w:sz w:val="24"/>
          <w:szCs w:val="24"/>
        </w:rPr>
        <w:t xml:space="preserve"> in prosecuting these proceedings, being a delay of over four years</w:t>
      </w:r>
      <w:r w:rsidR="00CD0989" w:rsidRPr="00FF05B6">
        <w:rPr>
          <w:rFonts w:ascii="Times New Roman" w:hAnsi="Times New Roman"/>
          <w:sz w:val="24"/>
          <w:szCs w:val="24"/>
        </w:rPr>
        <w:t>,</w:t>
      </w:r>
      <w:r w:rsidR="00F71D4C" w:rsidRPr="00FF05B6">
        <w:rPr>
          <w:rFonts w:ascii="Times New Roman" w:hAnsi="Times New Roman"/>
          <w:sz w:val="24"/>
          <w:szCs w:val="24"/>
        </w:rPr>
        <w:t xml:space="preserve"> </w:t>
      </w:r>
      <w:r w:rsidRPr="00FF05B6">
        <w:rPr>
          <w:rFonts w:ascii="Times New Roman" w:hAnsi="Times New Roman"/>
          <w:sz w:val="24"/>
          <w:szCs w:val="24"/>
        </w:rPr>
        <w:t xml:space="preserve">resulting in the passage of a total of </w:t>
      </w:r>
      <w:r w:rsidR="008F5C29" w:rsidRPr="00FF05B6">
        <w:rPr>
          <w:rFonts w:ascii="Times New Roman" w:hAnsi="Times New Roman"/>
          <w:sz w:val="24"/>
          <w:szCs w:val="24"/>
        </w:rPr>
        <w:t xml:space="preserve">ten </w:t>
      </w:r>
      <w:r w:rsidRPr="00FF05B6">
        <w:rPr>
          <w:rFonts w:ascii="Times New Roman" w:hAnsi="Times New Roman"/>
          <w:sz w:val="24"/>
          <w:szCs w:val="24"/>
        </w:rPr>
        <w:t>years since the date of the incident the subject matter of the proceedings.  He argues that the respondent took a unilateral decision not to prosecute his case, and that that puts him in an even weaker situation than most other cases where the issue of delay arises by reason of</w:t>
      </w:r>
      <w:r w:rsidR="00180373" w:rsidRPr="00FF05B6">
        <w:rPr>
          <w:rFonts w:ascii="Times New Roman" w:hAnsi="Times New Roman"/>
          <w:sz w:val="24"/>
          <w:szCs w:val="24"/>
        </w:rPr>
        <w:t xml:space="preserve"> passive </w:t>
      </w:r>
      <w:r w:rsidRPr="00FF05B6">
        <w:rPr>
          <w:rFonts w:ascii="Times New Roman" w:hAnsi="Times New Roman"/>
          <w:sz w:val="24"/>
          <w:szCs w:val="24"/>
        </w:rPr>
        <w:t xml:space="preserve">inactivity.  In effect, counsel for the </w:t>
      </w:r>
      <w:r w:rsidR="002502F0" w:rsidRPr="00FF05B6">
        <w:rPr>
          <w:rFonts w:ascii="Times New Roman" w:hAnsi="Times New Roman"/>
          <w:sz w:val="24"/>
          <w:szCs w:val="24"/>
        </w:rPr>
        <w:t>appellants</w:t>
      </w:r>
      <w:r w:rsidRPr="00FF05B6">
        <w:rPr>
          <w:rFonts w:ascii="Times New Roman" w:hAnsi="Times New Roman"/>
          <w:sz w:val="24"/>
          <w:szCs w:val="24"/>
        </w:rPr>
        <w:t xml:space="preserve"> argues that the reason for the delay in this case is relevant, not just to the question of whether or not the delay is excusable, but also in the consideration of the balance of justice.  It is submitted that it is fundamentally wrong to ask a jury to make sense of and adjudicate upon conflicting testimony in relation to an alleged assault that took place on 15</w:t>
      </w:r>
      <w:r w:rsidR="002502F0" w:rsidRPr="00FF05B6">
        <w:rPr>
          <w:rFonts w:ascii="Times New Roman" w:hAnsi="Times New Roman"/>
          <w:sz w:val="24"/>
          <w:szCs w:val="24"/>
          <w:vertAlign w:val="superscript"/>
        </w:rPr>
        <w:t>th</w:t>
      </w:r>
      <w:r w:rsidRPr="00FF05B6">
        <w:rPr>
          <w:rFonts w:ascii="Times New Roman" w:hAnsi="Times New Roman"/>
          <w:sz w:val="24"/>
          <w:szCs w:val="24"/>
        </w:rPr>
        <w:t xml:space="preserve"> January 2011, in circumstances where the </w:t>
      </w:r>
      <w:r w:rsidR="002502F0" w:rsidRPr="00FF05B6">
        <w:rPr>
          <w:rFonts w:ascii="Times New Roman" w:hAnsi="Times New Roman"/>
          <w:sz w:val="24"/>
          <w:szCs w:val="24"/>
        </w:rPr>
        <w:t>respondent</w:t>
      </w:r>
      <w:r w:rsidRPr="00FF05B6">
        <w:rPr>
          <w:rFonts w:ascii="Times New Roman" w:hAnsi="Times New Roman"/>
          <w:sz w:val="24"/>
          <w:szCs w:val="24"/>
        </w:rPr>
        <w:t xml:space="preserve"> deliberately decided not to proceed to trial until after </w:t>
      </w:r>
      <w:r w:rsidR="00434648" w:rsidRPr="00FF05B6">
        <w:rPr>
          <w:rFonts w:ascii="Times New Roman" w:hAnsi="Times New Roman"/>
          <w:sz w:val="24"/>
          <w:szCs w:val="24"/>
        </w:rPr>
        <w:t xml:space="preserve">the </w:t>
      </w:r>
      <w:r w:rsidR="002502F0" w:rsidRPr="00FF05B6">
        <w:rPr>
          <w:rFonts w:ascii="Times New Roman" w:hAnsi="Times New Roman"/>
          <w:sz w:val="24"/>
          <w:szCs w:val="24"/>
        </w:rPr>
        <w:t>appellants</w:t>
      </w:r>
      <w:r w:rsidR="00434648" w:rsidRPr="00FF05B6">
        <w:rPr>
          <w:rFonts w:ascii="Times New Roman" w:hAnsi="Times New Roman"/>
          <w:sz w:val="24"/>
          <w:szCs w:val="24"/>
        </w:rPr>
        <w:t xml:space="preserve"> issued their motion to dismiss on 20</w:t>
      </w:r>
      <w:r w:rsidR="00D257E2" w:rsidRPr="00FF05B6">
        <w:rPr>
          <w:rFonts w:ascii="Times New Roman" w:hAnsi="Times New Roman"/>
          <w:sz w:val="24"/>
          <w:szCs w:val="24"/>
          <w:vertAlign w:val="superscript"/>
        </w:rPr>
        <w:t>th</w:t>
      </w:r>
      <w:r w:rsidR="00434648" w:rsidRPr="00FF05B6">
        <w:rPr>
          <w:rFonts w:ascii="Times New Roman" w:hAnsi="Times New Roman"/>
          <w:sz w:val="24"/>
          <w:szCs w:val="24"/>
        </w:rPr>
        <w:t xml:space="preserve"> July 2018.  </w:t>
      </w:r>
    </w:p>
    <w:p w14:paraId="72F84388" w14:textId="3026F805" w:rsidR="00434648" w:rsidRPr="00FF05B6" w:rsidRDefault="00434648"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The </w:t>
      </w:r>
      <w:r w:rsidR="00926A50" w:rsidRPr="00FF05B6">
        <w:rPr>
          <w:rFonts w:ascii="Times New Roman" w:hAnsi="Times New Roman"/>
          <w:sz w:val="24"/>
          <w:szCs w:val="24"/>
        </w:rPr>
        <w:t>appell</w:t>
      </w:r>
      <w:r w:rsidRPr="00FF05B6">
        <w:rPr>
          <w:rFonts w:ascii="Times New Roman" w:hAnsi="Times New Roman"/>
          <w:sz w:val="24"/>
          <w:szCs w:val="24"/>
        </w:rPr>
        <w:t xml:space="preserve">ants further argue that, having regard to the delay and the fact that it is now more than </w:t>
      </w:r>
      <w:r w:rsidR="00CB361D" w:rsidRPr="00FF05B6">
        <w:rPr>
          <w:rFonts w:ascii="Times New Roman" w:hAnsi="Times New Roman"/>
          <w:sz w:val="24"/>
          <w:szCs w:val="24"/>
        </w:rPr>
        <w:t>ten</w:t>
      </w:r>
      <w:r w:rsidRPr="00FF05B6">
        <w:rPr>
          <w:rFonts w:ascii="Times New Roman" w:hAnsi="Times New Roman"/>
          <w:sz w:val="24"/>
          <w:szCs w:val="24"/>
        </w:rPr>
        <w:t xml:space="preserve"> years since the date of the alleged inciden</w:t>
      </w:r>
      <w:r w:rsidR="00CD0989" w:rsidRPr="00FF05B6">
        <w:rPr>
          <w:rFonts w:ascii="Times New Roman" w:hAnsi="Times New Roman"/>
          <w:sz w:val="24"/>
          <w:szCs w:val="24"/>
        </w:rPr>
        <w:t>t</w:t>
      </w:r>
      <w:r w:rsidRPr="00FF05B6">
        <w:rPr>
          <w:rFonts w:ascii="Times New Roman" w:hAnsi="Times New Roman"/>
          <w:sz w:val="24"/>
          <w:szCs w:val="24"/>
        </w:rPr>
        <w:t xml:space="preserve">, there must be a strong inference of potential prejudice to the </w:t>
      </w:r>
      <w:r w:rsidR="00926A50" w:rsidRPr="00FF05B6">
        <w:rPr>
          <w:rFonts w:ascii="Times New Roman" w:hAnsi="Times New Roman"/>
          <w:sz w:val="24"/>
          <w:szCs w:val="24"/>
        </w:rPr>
        <w:t>appell</w:t>
      </w:r>
      <w:r w:rsidRPr="00FF05B6">
        <w:rPr>
          <w:rFonts w:ascii="Times New Roman" w:hAnsi="Times New Roman"/>
          <w:sz w:val="24"/>
          <w:szCs w:val="24"/>
        </w:rPr>
        <w:t xml:space="preserve">ants.  The </w:t>
      </w:r>
      <w:r w:rsidR="00926A50" w:rsidRPr="00FF05B6">
        <w:rPr>
          <w:rFonts w:ascii="Times New Roman" w:hAnsi="Times New Roman"/>
          <w:sz w:val="24"/>
          <w:szCs w:val="24"/>
        </w:rPr>
        <w:t>appell</w:t>
      </w:r>
      <w:r w:rsidRPr="00FF05B6">
        <w:rPr>
          <w:rFonts w:ascii="Times New Roman" w:hAnsi="Times New Roman"/>
          <w:sz w:val="24"/>
          <w:szCs w:val="24"/>
        </w:rPr>
        <w:t xml:space="preserve">ants rely on the decision of the High Court in </w:t>
      </w:r>
      <w:r w:rsidRPr="00FF05B6">
        <w:rPr>
          <w:rFonts w:ascii="Times New Roman" w:hAnsi="Times New Roman"/>
          <w:i/>
          <w:sz w:val="24"/>
          <w:szCs w:val="24"/>
        </w:rPr>
        <w:t xml:space="preserve">Carroll Shipping Limited v. Matthews Mulcahy </w:t>
      </w:r>
      <w:r w:rsidR="003F3A13" w:rsidRPr="00FF05B6">
        <w:rPr>
          <w:rFonts w:ascii="Times New Roman" w:hAnsi="Times New Roman"/>
          <w:i/>
          <w:sz w:val="24"/>
          <w:szCs w:val="24"/>
        </w:rPr>
        <w:t>&amp;</w:t>
      </w:r>
      <w:r w:rsidRPr="00FF05B6">
        <w:rPr>
          <w:rFonts w:ascii="Times New Roman" w:hAnsi="Times New Roman"/>
          <w:i/>
          <w:sz w:val="24"/>
          <w:szCs w:val="24"/>
        </w:rPr>
        <w:t xml:space="preserve"> Sutherland Limited </w:t>
      </w:r>
      <w:r w:rsidRPr="00FF05B6">
        <w:rPr>
          <w:rFonts w:ascii="Times New Roman" w:hAnsi="Times New Roman"/>
          <w:sz w:val="24"/>
          <w:szCs w:val="24"/>
        </w:rPr>
        <w:t>[1996] IEHC 46 in which the court held:</w:t>
      </w:r>
    </w:p>
    <w:p w14:paraId="3943B563" w14:textId="77777777" w:rsidR="00434648" w:rsidRPr="00FF05B6" w:rsidRDefault="00434648" w:rsidP="00FF05B6">
      <w:pPr>
        <w:pStyle w:val="ListParagraph"/>
        <w:tabs>
          <w:tab w:val="left" w:pos="567"/>
        </w:tabs>
        <w:spacing w:line="480" w:lineRule="auto"/>
        <w:ind w:left="567"/>
        <w:rPr>
          <w:rFonts w:ascii="Times New Roman" w:hAnsi="Times New Roman"/>
          <w:b/>
          <w:sz w:val="24"/>
          <w:szCs w:val="24"/>
          <w:u w:val="single"/>
        </w:rPr>
      </w:pPr>
      <w:r w:rsidRPr="00FF05B6">
        <w:rPr>
          <w:rFonts w:ascii="Times New Roman" w:hAnsi="Times New Roman"/>
          <w:sz w:val="24"/>
          <w:szCs w:val="24"/>
        </w:rPr>
        <w:tab/>
        <w:t>“Where in any trial the issues between the parties which fall to be decided by the Court can clearly be established by documentary evidence only, it may well be that delay, however inordinate or inexcusable, will not in fact prevent the holding of a fair and just trial. However, where matters are at issue which are not, or are not fully, covered by documentary evidence, there is a greater likelihood of prejudice resulting from delay.”</w:t>
      </w:r>
    </w:p>
    <w:p w14:paraId="75926FE7" w14:textId="0746F4E5" w:rsidR="00434648" w:rsidRPr="00FF05B6" w:rsidRDefault="00434648"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lastRenderedPageBreak/>
        <w:t xml:space="preserve">As to the kind of period which a court might consider fatal to the </w:t>
      </w:r>
      <w:r w:rsidR="004475B6" w:rsidRPr="00FF05B6">
        <w:rPr>
          <w:rFonts w:ascii="Times New Roman" w:hAnsi="Times New Roman"/>
          <w:sz w:val="24"/>
          <w:szCs w:val="24"/>
        </w:rPr>
        <w:t>respondent</w:t>
      </w:r>
      <w:r w:rsidRPr="00FF05B6">
        <w:rPr>
          <w:rFonts w:ascii="Times New Roman" w:hAnsi="Times New Roman"/>
          <w:sz w:val="24"/>
          <w:szCs w:val="24"/>
        </w:rPr>
        <w:t xml:space="preserve">’s case, counsel for the </w:t>
      </w:r>
      <w:r w:rsidR="004475B6" w:rsidRPr="00FF05B6">
        <w:rPr>
          <w:rFonts w:ascii="Times New Roman" w:hAnsi="Times New Roman"/>
          <w:sz w:val="24"/>
          <w:szCs w:val="24"/>
        </w:rPr>
        <w:t>appellant</w:t>
      </w:r>
      <w:r w:rsidR="00CD0989" w:rsidRPr="00FF05B6">
        <w:rPr>
          <w:rFonts w:ascii="Times New Roman" w:hAnsi="Times New Roman"/>
          <w:sz w:val="24"/>
          <w:szCs w:val="24"/>
        </w:rPr>
        <w:t>s</w:t>
      </w:r>
      <w:r w:rsidRPr="00FF05B6">
        <w:rPr>
          <w:rFonts w:ascii="Times New Roman" w:hAnsi="Times New Roman"/>
          <w:sz w:val="24"/>
          <w:szCs w:val="24"/>
        </w:rPr>
        <w:t xml:space="preserve"> referred to the decision of Clarke J. (as he then was) in </w:t>
      </w:r>
      <w:r w:rsidRPr="00FF05B6">
        <w:rPr>
          <w:rFonts w:ascii="Times New Roman" w:hAnsi="Times New Roman"/>
          <w:i/>
          <w:sz w:val="24"/>
          <w:szCs w:val="24"/>
        </w:rPr>
        <w:t xml:space="preserve">Rogers v. Michelin Tyre Plc and Michelin Pensions Trust (No.2) Limited </w:t>
      </w:r>
      <w:r w:rsidRPr="00FF05B6">
        <w:rPr>
          <w:rFonts w:ascii="Times New Roman" w:hAnsi="Times New Roman"/>
          <w:sz w:val="24"/>
          <w:szCs w:val="24"/>
        </w:rPr>
        <w:t xml:space="preserve">[2005] IEHC 294.  In his judgment, Clarke J. referred </w:t>
      </w:r>
      <w:r w:rsidR="00B80B79" w:rsidRPr="00FF05B6">
        <w:rPr>
          <w:rFonts w:ascii="Times New Roman" w:hAnsi="Times New Roman"/>
          <w:sz w:val="24"/>
          <w:szCs w:val="24"/>
        </w:rPr>
        <w:t xml:space="preserve">with approval </w:t>
      </w:r>
      <w:r w:rsidRPr="00FF05B6">
        <w:rPr>
          <w:rFonts w:ascii="Times New Roman" w:hAnsi="Times New Roman"/>
          <w:sz w:val="24"/>
          <w:szCs w:val="24"/>
        </w:rPr>
        <w:t xml:space="preserve">to observations made by Finlay Geoghegan J. in </w:t>
      </w:r>
      <w:r w:rsidRPr="00FF05B6">
        <w:rPr>
          <w:rFonts w:ascii="Times New Roman" w:hAnsi="Times New Roman"/>
          <w:i/>
          <w:sz w:val="24"/>
          <w:szCs w:val="24"/>
        </w:rPr>
        <w:t xml:space="preserve">Manning v. Benson and Hedges Limited </w:t>
      </w:r>
      <w:r w:rsidRPr="00FF05B6">
        <w:rPr>
          <w:rFonts w:ascii="Times New Roman" w:hAnsi="Times New Roman"/>
          <w:sz w:val="24"/>
          <w:szCs w:val="24"/>
        </w:rPr>
        <w:t>[2005] 1 ILRM 190 that; “delay</w:t>
      </w:r>
      <w:r w:rsidR="0025063B" w:rsidRPr="00FF05B6">
        <w:rPr>
          <w:rFonts w:ascii="Times New Roman" w:hAnsi="Times New Roman"/>
          <w:sz w:val="24"/>
          <w:szCs w:val="24"/>
        </w:rPr>
        <w:t xml:space="preserve">s of four </w:t>
      </w:r>
      <w:r w:rsidR="0002151B" w:rsidRPr="00FF05B6">
        <w:rPr>
          <w:rFonts w:ascii="Times New Roman" w:hAnsi="Times New Roman"/>
          <w:sz w:val="24"/>
          <w:szCs w:val="24"/>
        </w:rPr>
        <w:t>to</w:t>
      </w:r>
      <w:r w:rsidR="0025063B" w:rsidRPr="00FF05B6">
        <w:rPr>
          <w:rFonts w:ascii="Times New Roman" w:hAnsi="Times New Roman"/>
          <w:sz w:val="24"/>
          <w:szCs w:val="24"/>
        </w:rPr>
        <w:t xml:space="preserve"> five years as a matter of probability will reduce the potential of such persons to make meaningful assistance </w:t>
      </w:r>
      <w:r w:rsidR="0002151B" w:rsidRPr="00FF05B6">
        <w:rPr>
          <w:rFonts w:ascii="Times New Roman" w:hAnsi="Times New Roman"/>
          <w:sz w:val="24"/>
          <w:szCs w:val="24"/>
        </w:rPr>
        <w:t>or</w:t>
      </w:r>
      <w:r w:rsidR="0025063B" w:rsidRPr="00FF05B6">
        <w:rPr>
          <w:rFonts w:ascii="Times New Roman" w:hAnsi="Times New Roman"/>
          <w:sz w:val="24"/>
          <w:szCs w:val="24"/>
        </w:rPr>
        <w:t xml:space="preserve"> act as a witness</w:t>
      </w:r>
      <w:r w:rsidR="0002151B" w:rsidRPr="00FF05B6">
        <w:rPr>
          <w:rFonts w:ascii="Times New Roman" w:hAnsi="Times New Roman"/>
          <w:sz w:val="24"/>
          <w:szCs w:val="24"/>
        </w:rPr>
        <w:t>.</w:t>
      </w:r>
      <w:r w:rsidR="0025063B" w:rsidRPr="00FF05B6">
        <w:rPr>
          <w:rFonts w:ascii="Times New Roman" w:hAnsi="Times New Roman"/>
          <w:sz w:val="24"/>
          <w:szCs w:val="24"/>
        </w:rPr>
        <w:t>”</w:t>
      </w:r>
      <w:r w:rsidR="00B80B79" w:rsidRPr="00FF05B6">
        <w:rPr>
          <w:rFonts w:ascii="Times New Roman" w:hAnsi="Times New Roman"/>
          <w:sz w:val="24"/>
          <w:szCs w:val="24"/>
        </w:rPr>
        <w:t xml:space="preserve"> The appellants rely on</w:t>
      </w:r>
      <w:r w:rsidR="0025063B" w:rsidRPr="00FF05B6">
        <w:rPr>
          <w:rFonts w:ascii="Times New Roman" w:hAnsi="Times New Roman"/>
          <w:sz w:val="24"/>
          <w:szCs w:val="24"/>
        </w:rPr>
        <w:t xml:space="preserve"> the following passage from the decision of Clarke J. as regards the issue of general prejudice:</w:t>
      </w:r>
    </w:p>
    <w:p w14:paraId="0DDBE210" w14:textId="6DE1EE7F" w:rsidR="0025063B" w:rsidRPr="00FF05B6" w:rsidRDefault="0025063B" w:rsidP="00FF05B6">
      <w:pPr>
        <w:pStyle w:val="ListParagraph"/>
        <w:tabs>
          <w:tab w:val="left" w:pos="567"/>
        </w:tabs>
        <w:spacing w:line="480" w:lineRule="auto"/>
        <w:ind w:left="567"/>
        <w:rPr>
          <w:rFonts w:ascii="Times New Roman" w:hAnsi="Times New Roman"/>
          <w:sz w:val="24"/>
          <w:szCs w:val="24"/>
        </w:rPr>
      </w:pPr>
      <w:r w:rsidRPr="00FF05B6">
        <w:rPr>
          <w:rFonts w:ascii="Times New Roman" w:hAnsi="Times New Roman"/>
          <w:sz w:val="24"/>
          <w:szCs w:val="24"/>
        </w:rPr>
        <w:tab/>
        <w:t>“A defendant, in bringing an application such as the one now before the court, will be faced with a dilemma. The defendant is entitled to rely on what might reasonably be called general prejudice, that is to say the prejudice which could reasonably be expected to occur in any case of the type concerned and having regard to the delay involved. A defendant will also be entitled, if it wishes, to put before the court any special or additional prejudice. If it does so, it will necessarily have to draw the court</w:t>
      </w:r>
      <w:r w:rsidR="00CC323F" w:rsidRPr="00FF05B6">
        <w:rPr>
          <w:rFonts w:ascii="Times New Roman" w:hAnsi="Times New Roman"/>
          <w:sz w:val="24"/>
          <w:szCs w:val="24"/>
        </w:rPr>
        <w:t>’</w:t>
      </w:r>
      <w:r w:rsidRPr="00FF05B6">
        <w:rPr>
          <w:rFonts w:ascii="Times New Roman" w:hAnsi="Times New Roman"/>
          <w:sz w:val="24"/>
          <w:szCs w:val="24"/>
        </w:rPr>
        <w:t>s attention by means of evidence to a specific or additional prejudice</w:t>
      </w:r>
      <w:r w:rsidR="00CC323F" w:rsidRPr="00FF05B6">
        <w:rPr>
          <w:rFonts w:ascii="Times New Roman" w:hAnsi="Times New Roman"/>
          <w:sz w:val="24"/>
          <w:szCs w:val="24"/>
        </w:rPr>
        <w:t>.</w:t>
      </w:r>
      <w:r w:rsidRPr="00FF05B6">
        <w:rPr>
          <w:rFonts w:ascii="Times New Roman" w:hAnsi="Times New Roman"/>
          <w:sz w:val="24"/>
          <w:szCs w:val="24"/>
        </w:rPr>
        <w:t xml:space="preserve"> </w:t>
      </w:r>
      <w:r w:rsidR="00CC323F" w:rsidRPr="00FF05B6">
        <w:rPr>
          <w:rFonts w:ascii="Times New Roman" w:hAnsi="Times New Roman"/>
          <w:sz w:val="24"/>
          <w:szCs w:val="24"/>
        </w:rPr>
        <w:t>…</w:t>
      </w:r>
      <w:r w:rsidRPr="00FF05B6">
        <w:rPr>
          <w:rFonts w:ascii="Times New Roman" w:hAnsi="Times New Roman"/>
          <w:sz w:val="24"/>
          <w:szCs w:val="24"/>
        </w:rPr>
        <w:t xml:space="preserve"> However it would also be naïve to ignore the fact that by so doing the defendant will draw the plaintiff’s attention to the difficulty which the defendant would incur in properly defending the proceedings in the event that their application for a dismiss is unsuccessful. In those circumstances it seems to me that it is perfectly appropriate for a defendant (if it wishes) to rely simply on general prejudice.”</w:t>
      </w:r>
    </w:p>
    <w:p w14:paraId="477C3E14" w14:textId="3D88DA9D" w:rsidR="009B2AD0" w:rsidRPr="00FF05B6" w:rsidRDefault="0025063B"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In short, it is the contention of the </w:t>
      </w:r>
      <w:r w:rsidR="0059475E" w:rsidRPr="00FF05B6">
        <w:rPr>
          <w:rFonts w:ascii="Times New Roman" w:hAnsi="Times New Roman"/>
          <w:sz w:val="24"/>
          <w:szCs w:val="24"/>
        </w:rPr>
        <w:t>appell</w:t>
      </w:r>
      <w:r w:rsidRPr="00FF05B6">
        <w:rPr>
          <w:rFonts w:ascii="Times New Roman" w:hAnsi="Times New Roman"/>
          <w:sz w:val="24"/>
          <w:szCs w:val="24"/>
        </w:rPr>
        <w:t xml:space="preserve">ants that through his unilateral actions, the </w:t>
      </w:r>
      <w:r w:rsidR="00A23BD3" w:rsidRPr="00FF05B6">
        <w:rPr>
          <w:rFonts w:ascii="Times New Roman" w:hAnsi="Times New Roman"/>
          <w:sz w:val="24"/>
          <w:szCs w:val="24"/>
        </w:rPr>
        <w:t>respondent</w:t>
      </w:r>
      <w:r w:rsidRPr="00FF05B6">
        <w:rPr>
          <w:rFonts w:ascii="Times New Roman" w:hAnsi="Times New Roman"/>
          <w:sz w:val="24"/>
          <w:szCs w:val="24"/>
        </w:rPr>
        <w:t xml:space="preserve"> made a deliberate decision that had the consequence of causing a delay in excess of four years in the progress of these proceedings, and that it may reasonabl</w:t>
      </w:r>
      <w:r w:rsidR="00B80B79" w:rsidRPr="00FF05B6">
        <w:rPr>
          <w:rFonts w:ascii="Times New Roman" w:hAnsi="Times New Roman"/>
          <w:sz w:val="24"/>
          <w:szCs w:val="24"/>
        </w:rPr>
        <w:t>y</w:t>
      </w:r>
      <w:r w:rsidRPr="00FF05B6">
        <w:rPr>
          <w:rFonts w:ascii="Times New Roman" w:hAnsi="Times New Roman"/>
          <w:sz w:val="24"/>
          <w:szCs w:val="24"/>
        </w:rPr>
        <w:t xml:space="preserve"> be assumed that this delay will prejudice the </w:t>
      </w:r>
      <w:r w:rsidR="00A23BD3" w:rsidRPr="00FF05B6">
        <w:rPr>
          <w:rFonts w:ascii="Times New Roman" w:hAnsi="Times New Roman"/>
          <w:sz w:val="24"/>
          <w:szCs w:val="24"/>
        </w:rPr>
        <w:t>appellants</w:t>
      </w:r>
      <w:r w:rsidRPr="00FF05B6">
        <w:rPr>
          <w:rFonts w:ascii="Times New Roman" w:hAnsi="Times New Roman"/>
          <w:sz w:val="24"/>
          <w:szCs w:val="24"/>
        </w:rPr>
        <w:t xml:space="preserve"> in the conduct of their defence, owing to the passage of time and the impact of that on the recall of the </w:t>
      </w:r>
      <w:r w:rsidR="00A23BD3" w:rsidRPr="00FF05B6">
        <w:rPr>
          <w:rFonts w:ascii="Times New Roman" w:hAnsi="Times New Roman"/>
          <w:sz w:val="24"/>
          <w:szCs w:val="24"/>
        </w:rPr>
        <w:t>appellants</w:t>
      </w:r>
      <w:r w:rsidRPr="00FF05B6">
        <w:rPr>
          <w:rFonts w:ascii="Times New Roman" w:hAnsi="Times New Roman"/>
          <w:sz w:val="24"/>
          <w:szCs w:val="24"/>
        </w:rPr>
        <w:t xml:space="preserve">’ </w:t>
      </w:r>
      <w:r w:rsidR="00AC14B3" w:rsidRPr="00FF05B6">
        <w:rPr>
          <w:rFonts w:ascii="Times New Roman" w:hAnsi="Times New Roman"/>
          <w:sz w:val="24"/>
          <w:szCs w:val="24"/>
        </w:rPr>
        <w:t>witnesses</w:t>
      </w:r>
      <w:r w:rsidRPr="00FF05B6">
        <w:rPr>
          <w:rFonts w:ascii="Times New Roman" w:hAnsi="Times New Roman"/>
          <w:sz w:val="24"/>
          <w:szCs w:val="24"/>
        </w:rPr>
        <w:t>.  This</w:t>
      </w:r>
      <w:r w:rsidR="00B80B79" w:rsidRPr="00FF05B6">
        <w:rPr>
          <w:rFonts w:ascii="Times New Roman" w:hAnsi="Times New Roman"/>
          <w:sz w:val="24"/>
          <w:szCs w:val="24"/>
        </w:rPr>
        <w:t xml:space="preserve">, it is </w:t>
      </w:r>
      <w:r w:rsidR="00B80B79" w:rsidRPr="00FF05B6">
        <w:rPr>
          <w:rFonts w:ascii="Times New Roman" w:hAnsi="Times New Roman"/>
          <w:sz w:val="24"/>
          <w:szCs w:val="24"/>
        </w:rPr>
        <w:lastRenderedPageBreak/>
        <w:t>submitted,</w:t>
      </w:r>
      <w:r w:rsidRPr="00FF05B6">
        <w:rPr>
          <w:rFonts w:ascii="Times New Roman" w:hAnsi="Times New Roman"/>
          <w:sz w:val="24"/>
          <w:szCs w:val="24"/>
        </w:rPr>
        <w:t xml:space="preserve"> is a serious prejudice to the </w:t>
      </w:r>
      <w:r w:rsidR="00A23BD3" w:rsidRPr="00FF05B6">
        <w:rPr>
          <w:rFonts w:ascii="Times New Roman" w:hAnsi="Times New Roman"/>
          <w:sz w:val="24"/>
          <w:szCs w:val="24"/>
        </w:rPr>
        <w:t>appellants</w:t>
      </w:r>
      <w:r w:rsidRPr="00FF05B6">
        <w:rPr>
          <w:rFonts w:ascii="Times New Roman" w:hAnsi="Times New Roman"/>
          <w:sz w:val="24"/>
          <w:szCs w:val="24"/>
        </w:rPr>
        <w:t>, of a kind that makes it unfair to allow the action to proceed and tilts the balance of justice in favour of striking out the proceedings.</w:t>
      </w:r>
    </w:p>
    <w:p w14:paraId="04665CF0" w14:textId="1F1C770A" w:rsidR="0025063B" w:rsidRPr="00FF05B6" w:rsidRDefault="00B80B79"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cs="Times New Roman"/>
          <w:sz w:val="24"/>
          <w:szCs w:val="24"/>
        </w:rPr>
        <w:t xml:space="preserve">At this juncture, it is opportune to </w:t>
      </w:r>
      <w:r w:rsidR="008F5C29" w:rsidRPr="00FF05B6">
        <w:rPr>
          <w:rFonts w:ascii="Times New Roman" w:hAnsi="Times New Roman" w:cs="Times New Roman"/>
          <w:sz w:val="24"/>
          <w:szCs w:val="24"/>
        </w:rPr>
        <w:t>mention</w:t>
      </w:r>
      <w:r w:rsidRPr="00FF05B6">
        <w:rPr>
          <w:rFonts w:ascii="Times New Roman" w:hAnsi="Times New Roman" w:cs="Times New Roman"/>
          <w:sz w:val="24"/>
          <w:szCs w:val="24"/>
        </w:rPr>
        <w:t xml:space="preserve"> </w:t>
      </w:r>
      <w:r w:rsidR="0059475E" w:rsidRPr="00FF05B6">
        <w:rPr>
          <w:rFonts w:ascii="Times New Roman" w:hAnsi="Times New Roman" w:cs="Times New Roman"/>
          <w:sz w:val="24"/>
          <w:szCs w:val="24"/>
        </w:rPr>
        <w:t xml:space="preserve">again </w:t>
      </w:r>
      <w:r w:rsidRPr="00FF05B6">
        <w:rPr>
          <w:rFonts w:ascii="Times New Roman" w:hAnsi="Times New Roman" w:cs="Times New Roman"/>
          <w:sz w:val="24"/>
          <w:szCs w:val="24"/>
        </w:rPr>
        <w:t>the re</w:t>
      </w:r>
      <w:r w:rsidR="00361EFA" w:rsidRPr="00FF05B6">
        <w:rPr>
          <w:rFonts w:ascii="Times New Roman" w:hAnsi="Times New Roman" w:cs="Times New Roman"/>
          <w:sz w:val="24"/>
          <w:szCs w:val="24"/>
        </w:rPr>
        <w:t>sp</w:t>
      </w:r>
      <w:r w:rsidRPr="00FF05B6">
        <w:rPr>
          <w:rFonts w:ascii="Times New Roman" w:hAnsi="Times New Roman" w:cs="Times New Roman"/>
          <w:sz w:val="24"/>
          <w:szCs w:val="24"/>
        </w:rPr>
        <w:t>ondent’s motio</w:t>
      </w:r>
      <w:r w:rsidR="00361EFA" w:rsidRPr="00FF05B6">
        <w:rPr>
          <w:rFonts w:ascii="Times New Roman" w:hAnsi="Times New Roman" w:cs="Times New Roman"/>
          <w:sz w:val="24"/>
          <w:szCs w:val="24"/>
        </w:rPr>
        <w:t>n</w:t>
      </w:r>
      <w:r w:rsidRPr="00FF05B6">
        <w:rPr>
          <w:rFonts w:ascii="Times New Roman" w:hAnsi="Times New Roman" w:cs="Times New Roman"/>
          <w:sz w:val="24"/>
          <w:szCs w:val="24"/>
        </w:rPr>
        <w:t xml:space="preserve"> for discover</w:t>
      </w:r>
      <w:r w:rsidR="00561163" w:rsidRPr="00FF05B6">
        <w:rPr>
          <w:rFonts w:ascii="Times New Roman" w:hAnsi="Times New Roman" w:cs="Times New Roman"/>
          <w:sz w:val="24"/>
          <w:szCs w:val="24"/>
        </w:rPr>
        <w:t>y.</w:t>
      </w:r>
      <w:r w:rsidR="00B10621" w:rsidRPr="00FF05B6">
        <w:rPr>
          <w:rFonts w:ascii="Times New Roman" w:hAnsi="Times New Roman" w:cs="Times New Roman"/>
          <w:sz w:val="24"/>
          <w:szCs w:val="24"/>
        </w:rPr>
        <w:t xml:space="preserve"> </w:t>
      </w:r>
      <w:r w:rsidR="00561163" w:rsidRPr="00FF05B6">
        <w:rPr>
          <w:rFonts w:ascii="Times New Roman" w:hAnsi="Times New Roman" w:cs="Times New Roman"/>
          <w:sz w:val="24"/>
          <w:szCs w:val="24"/>
        </w:rPr>
        <w:t>T</w:t>
      </w:r>
      <w:r w:rsidRPr="00FF05B6">
        <w:rPr>
          <w:rFonts w:ascii="Times New Roman" w:hAnsi="Times New Roman" w:cs="Times New Roman"/>
          <w:sz w:val="24"/>
          <w:szCs w:val="24"/>
        </w:rPr>
        <w:t>here was some controversy as to whether</w:t>
      </w:r>
      <w:r w:rsidR="00561163" w:rsidRPr="00FF05B6">
        <w:rPr>
          <w:rFonts w:ascii="Times New Roman" w:hAnsi="Times New Roman" w:cs="Times New Roman"/>
          <w:sz w:val="24"/>
          <w:szCs w:val="24"/>
        </w:rPr>
        <w:t xml:space="preserve"> or not</w:t>
      </w:r>
      <w:r w:rsidRPr="00FF05B6">
        <w:rPr>
          <w:rFonts w:ascii="Times New Roman" w:hAnsi="Times New Roman" w:cs="Times New Roman"/>
          <w:sz w:val="24"/>
          <w:szCs w:val="24"/>
        </w:rPr>
        <w:t xml:space="preserve"> the order of Cross J</w:t>
      </w:r>
      <w:r w:rsidR="006D23BB" w:rsidRPr="00FF05B6">
        <w:rPr>
          <w:rFonts w:ascii="Times New Roman" w:hAnsi="Times New Roman" w:cs="Times New Roman"/>
          <w:sz w:val="24"/>
          <w:szCs w:val="24"/>
        </w:rPr>
        <w:t>.</w:t>
      </w:r>
      <w:r w:rsidRPr="00FF05B6">
        <w:rPr>
          <w:rFonts w:ascii="Times New Roman" w:hAnsi="Times New Roman" w:cs="Times New Roman"/>
          <w:sz w:val="24"/>
          <w:szCs w:val="24"/>
        </w:rPr>
        <w:t xml:space="preserve"> directing discovery had been stayed, but this controversy was</w:t>
      </w:r>
      <w:r w:rsidR="00A63D46" w:rsidRPr="00FF05B6">
        <w:rPr>
          <w:rFonts w:ascii="Times New Roman" w:hAnsi="Times New Roman" w:cs="Times New Roman"/>
          <w:sz w:val="24"/>
          <w:szCs w:val="24"/>
        </w:rPr>
        <w:t xml:space="preserve">, to some extent, </w:t>
      </w:r>
      <w:r w:rsidRPr="00FF05B6">
        <w:rPr>
          <w:rFonts w:ascii="Times New Roman" w:hAnsi="Times New Roman" w:cs="Times New Roman"/>
          <w:sz w:val="24"/>
          <w:szCs w:val="24"/>
        </w:rPr>
        <w:t xml:space="preserve">defused by the </w:t>
      </w:r>
      <w:r w:rsidR="006D23BB" w:rsidRPr="00FF05B6">
        <w:rPr>
          <w:rFonts w:ascii="Times New Roman" w:hAnsi="Times New Roman" w:cs="Times New Roman"/>
          <w:sz w:val="24"/>
          <w:szCs w:val="24"/>
        </w:rPr>
        <w:t>appellant</w:t>
      </w:r>
      <w:r w:rsidRPr="00FF05B6">
        <w:rPr>
          <w:rFonts w:ascii="Times New Roman" w:hAnsi="Times New Roman" w:cs="Times New Roman"/>
          <w:sz w:val="24"/>
          <w:szCs w:val="24"/>
        </w:rPr>
        <w:t xml:space="preserve">s </w:t>
      </w:r>
      <w:r w:rsidR="00361EFA" w:rsidRPr="00FF05B6">
        <w:rPr>
          <w:rFonts w:ascii="Times New Roman" w:hAnsi="Times New Roman" w:cs="Times New Roman"/>
          <w:sz w:val="24"/>
          <w:szCs w:val="24"/>
        </w:rPr>
        <w:t>ma</w:t>
      </w:r>
      <w:r w:rsidRPr="00FF05B6">
        <w:rPr>
          <w:rFonts w:ascii="Times New Roman" w:hAnsi="Times New Roman" w:cs="Times New Roman"/>
          <w:sz w:val="24"/>
          <w:szCs w:val="24"/>
        </w:rPr>
        <w:t>king discovery just prior to the hearing of this appeal. How</w:t>
      </w:r>
      <w:r w:rsidR="00361EFA" w:rsidRPr="00FF05B6">
        <w:rPr>
          <w:rFonts w:ascii="Times New Roman" w:hAnsi="Times New Roman" w:cs="Times New Roman"/>
          <w:sz w:val="24"/>
          <w:szCs w:val="24"/>
        </w:rPr>
        <w:t>e</w:t>
      </w:r>
      <w:r w:rsidRPr="00FF05B6">
        <w:rPr>
          <w:rFonts w:ascii="Times New Roman" w:hAnsi="Times New Roman" w:cs="Times New Roman"/>
          <w:sz w:val="24"/>
          <w:szCs w:val="24"/>
        </w:rPr>
        <w:t>ver, neither the affidavit of discovery nor the documents</w:t>
      </w:r>
      <w:r w:rsidR="00561163" w:rsidRPr="00FF05B6">
        <w:rPr>
          <w:rFonts w:ascii="Times New Roman" w:hAnsi="Times New Roman" w:cs="Times New Roman"/>
          <w:sz w:val="24"/>
          <w:szCs w:val="24"/>
        </w:rPr>
        <w:t xml:space="preserve"> scheduled thereto</w:t>
      </w:r>
      <w:r w:rsidRPr="00FF05B6">
        <w:rPr>
          <w:rFonts w:ascii="Times New Roman" w:hAnsi="Times New Roman" w:cs="Times New Roman"/>
          <w:sz w:val="24"/>
          <w:szCs w:val="24"/>
        </w:rPr>
        <w:t xml:space="preserve"> were available </w:t>
      </w:r>
      <w:r w:rsidR="005614CB" w:rsidRPr="00FF05B6">
        <w:rPr>
          <w:rFonts w:ascii="Times New Roman" w:hAnsi="Times New Roman" w:cs="Times New Roman"/>
          <w:sz w:val="24"/>
          <w:szCs w:val="24"/>
        </w:rPr>
        <w:t xml:space="preserve">to the Court </w:t>
      </w:r>
      <w:r w:rsidRPr="00FF05B6">
        <w:rPr>
          <w:rFonts w:ascii="Times New Roman" w:hAnsi="Times New Roman" w:cs="Times New Roman"/>
          <w:sz w:val="24"/>
          <w:szCs w:val="24"/>
        </w:rPr>
        <w:t>for the hearing of this appeal</w:t>
      </w:r>
      <w:r w:rsidR="00A63D46" w:rsidRPr="00FF05B6">
        <w:rPr>
          <w:rFonts w:ascii="Times New Roman" w:hAnsi="Times New Roman" w:cs="Times New Roman"/>
          <w:sz w:val="24"/>
          <w:szCs w:val="24"/>
        </w:rPr>
        <w:t>.</w:t>
      </w:r>
      <w:r w:rsidR="0025063B" w:rsidRPr="00FF05B6">
        <w:rPr>
          <w:rFonts w:ascii="Times New Roman" w:hAnsi="Times New Roman" w:cs="Times New Roman"/>
          <w:sz w:val="24"/>
          <w:szCs w:val="24"/>
        </w:rPr>
        <w:t xml:space="preserve"> </w:t>
      </w:r>
      <w:r w:rsidR="005614CB" w:rsidRPr="00FF05B6">
        <w:rPr>
          <w:rFonts w:ascii="Times New Roman" w:hAnsi="Times New Roman" w:cs="Times New Roman"/>
          <w:sz w:val="24"/>
          <w:szCs w:val="24"/>
        </w:rPr>
        <w:t xml:space="preserve">So far as the Court </w:t>
      </w:r>
      <w:r w:rsidR="00B10621" w:rsidRPr="00FF05B6">
        <w:rPr>
          <w:rFonts w:ascii="Times New Roman" w:hAnsi="Times New Roman" w:cs="Times New Roman"/>
          <w:sz w:val="24"/>
          <w:szCs w:val="24"/>
        </w:rPr>
        <w:t>understood the position at the time of the appeal hearing</w:t>
      </w:r>
      <w:r w:rsidR="005614CB" w:rsidRPr="00FF05B6">
        <w:rPr>
          <w:rFonts w:ascii="Times New Roman" w:hAnsi="Times New Roman" w:cs="Times New Roman"/>
          <w:sz w:val="24"/>
          <w:szCs w:val="24"/>
        </w:rPr>
        <w:t>, an unsworn</w:t>
      </w:r>
      <w:r w:rsidR="005614CB" w:rsidRPr="00FF05B6">
        <w:rPr>
          <w:rFonts w:ascii="Times New Roman" w:hAnsi="Times New Roman"/>
          <w:sz w:val="24"/>
          <w:szCs w:val="24"/>
        </w:rPr>
        <w:t xml:space="preserve"> affidavit of discovery </w:t>
      </w:r>
      <w:r w:rsidR="00B10621" w:rsidRPr="00FF05B6">
        <w:rPr>
          <w:rFonts w:ascii="Times New Roman" w:hAnsi="Times New Roman"/>
          <w:sz w:val="24"/>
          <w:szCs w:val="24"/>
        </w:rPr>
        <w:t xml:space="preserve">and the documents to be discovered </w:t>
      </w:r>
      <w:r w:rsidR="005614CB" w:rsidRPr="00FF05B6">
        <w:rPr>
          <w:rFonts w:ascii="Times New Roman" w:hAnsi="Times New Roman"/>
          <w:sz w:val="24"/>
          <w:szCs w:val="24"/>
        </w:rPr>
        <w:t>w</w:t>
      </w:r>
      <w:r w:rsidR="00B10621" w:rsidRPr="00FF05B6">
        <w:rPr>
          <w:rFonts w:ascii="Times New Roman" w:hAnsi="Times New Roman"/>
          <w:sz w:val="24"/>
          <w:szCs w:val="24"/>
        </w:rPr>
        <w:t>ere</w:t>
      </w:r>
      <w:r w:rsidR="005614CB" w:rsidRPr="00FF05B6">
        <w:rPr>
          <w:rFonts w:ascii="Times New Roman" w:hAnsi="Times New Roman"/>
          <w:sz w:val="24"/>
          <w:szCs w:val="24"/>
        </w:rPr>
        <w:t xml:space="preserve"> delivered to the solicitors for the respondent on the day of or</w:t>
      </w:r>
      <w:r w:rsidR="00D31294" w:rsidRPr="00FF05B6">
        <w:rPr>
          <w:rFonts w:ascii="Times New Roman" w:hAnsi="Times New Roman"/>
          <w:sz w:val="24"/>
          <w:szCs w:val="24"/>
        </w:rPr>
        <w:t xml:space="preserve"> the </w:t>
      </w:r>
      <w:r w:rsidR="005614CB" w:rsidRPr="00FF05B6">
        <w:rPr>
          <w:rFonts w:ascii="Times New Roman" w:hAnsi="Times New Roman"/>
          <w:sz w:val="24"/>
          <w:szCs w:val="24"/>
        </w:rPr>
        <w:t>day before the hearing of the appeal</w:t>
      </w:r>
      <w:r w:rsidR="00B10621" w:rsidRPr="00FF05B6">
        <w:rPr>
          <w:rFonts w:ascii="Times New Roman" w:hAnsi="Times New Roman"/>
          <w:sz w:val="24"/>
          <w:szCs w:val="24"/>
        </w:rPr>
        <w:t>.</w:t>
      </w:r>
      <w:r w:rsidR="005614CB" w:rsidRPr="00FF05B6">
        <w:rPr>
          <w:rFonts w:ascii="Times New Roman" w:hAnsi="Times New Roman"/>
          <w:sz w:val="24"/>
          <w:szCs w:val="24"/>
        </w:rPr>
        <w:t xml:space="preserve"> </w:t>
      </w:r>
      <w:r w:rsidR="00561163" w:rsidRPr="00FF05B6">
        <w:rPr>
          <w:rFonts w:ascii="Times New Roman" w:hAnsi="Times New Roman"/>
          <w:sz w:val="24"/>
          <w:szCs w:val="24"/>
        </w:rPr>
        <w:t xml:space="preserve"> </w:t>
      </w:r>
      <w:r w:rsidR="0025063B" w:rsidRPr="00FF05B6">
        <w:rPr>
          <w:rFonts w:ascii="Times New Roman" w:hAnsi="Times New Roman"/>
          <w:sz w:val="24"/>
          <w:szCs w:val="24"/>
        </w:rPr>
        <w:t xml:space="preserve">Counsel for the </w:t>
      </w:r>
      <w:r w:rsidR="00AC14B3" w:rsidRPr="00FF05B6">
        <w:rPr>
          <w:rFonts w:ascii="Times New Roman" w:hAnsi="Times New Roman"/>
          <w:sz w:val="24"/>
          <w:szCs w:val="24"/>
        </w:rPr>
        <w:t xml:space="preserve">respondent informed the </w:t>
      </w:r>
      <w:r w:rsidR="006D23BB" w:rsidRPr="00FF05B6">
        <w:rPr>
          <w:rFonts w:ascii="Times New Roman" w:hAnsi="Times New Roman"/>
          <w:sz w:val="24"/>
          <w:szCs w:val="24"/>
        </w:rPr>
        <w:t>C</w:t>
      </w:r>
      <w:r w:rsidR="00AC14B3" w:rsidRPr="00FF05B6">
        <w:rPr>
          <w:rFonts w:ascii="Times New Roman" w:hAnsi="Times New Roman"/>
          <w:sz w:val="24"/>
          <w:szCs w:val="24"/>
        </w:rPr>
        <w:t>ourt that this documentation demonstrate</w:t>
      </w:r>
      <w:r w:rsidR="00561163" w:rsidRPr="00FF05B6">
        <w:rPr>
          <w:rFonts w:ascii="Times New Roman" w:hAnsi="Times New Roman"/>
          <w:sz w:val="24"/>
          <w:szCs w:val="24"/>
        </w:rPr>
        <w:t>s</w:t>
      </w:r>
      <w:r w:rsidR="00AC14B3" w:rsidRPr="00FF05B6">
        <w:rPr>
          <w:rFonts w:ascii="Times New Roman" w:hAnsi="Times New Roman"/>
          <w:sz w:val="24"/>
          <w:szCs w:val="24"/>
        </w:rPr>
        <w:t xml:space="preserve"> that the </w:t>
      </w:r>
      <w:r w:rsidR="00561163" w:rsidRPr="00FF05B6">
        <w:rPr>
          <w:rFonts w:ascii="Times New Roman" w:hAnsi="Times New Roman"/>
          <w:sz w:val="24"/>
          <w:szCs w:val="24"/>
        </w:rPr>
        <w:t>respondent</w:t>
      </w:r>
      <w:r w:rsidR="00AC14B3" w:rsidRPr="00FF05B6">
        <w:rPr>
          <w:rFonts w:ascii="Times New Roman" w:hAnsi="Times New Roman"/>
          <w:sz w:val="24"/>
          <w:szCs w:val="24"/>
        </w:rPr>
        <w:t xml:space="preserve">’s arrest by the </w:t>
      </w:r>
      <w:r w:rsidR="006D23BB" w:rsidRPr="00FF05B6">
        <w:rPr>
          <w:rFonts w:ascii="Times New Roman" w:hAnsi="Times New Roman"/>
          <w:sz w:val="24"/>
          <w:szCs w:val="24"/>
        </w:rPr>
        <w:t>G</w:t>
      </w:r>
      <w:r w:rsidR="00AC14B3" w:rsidRPr="00FF05B6">
        <w:rPr>
          <w:rFonts w:ascii="Times New Roman" w:hAnsi="Times New Roman"/>
          <w:sz w:val="24"/>
          <w:szCs w:val="24"/>
        </w:rPr>
        <w:t xml:space="preserve">ardaí on the occasion of the alleged assault occurred by reason of mistaken identity, and the documentation indicates that the </w:t>
      </w:r>
      <w:r w:rsidR="00561163" w:rsidRPr="00FF05B6">
        <w:rPr>
          <w:rFonts w:ascii="Times New Roman" w:hAnsi="Times New Roman"/>
          <w:sz w:val="24"/>
          <w:szCs w:val="24"/>
        </w:rPr>
        <w:t xml:space="preserve">respondent </w:t>
      </w:r>
      <w:r w:rsidR="00AC14B3" w:rsidRPr="00FF05B6">
        <w:rPr>
          <w:rFonts w:ascii="Times New Roman" w:hAnsi="Times New Roman"/>
          <w:sz w:val="24"/>
          <w:szCs w:val="24"/>
        </w:rPr>
        <w:t xml:space="preserve">has a good case.  Counsel for the </w:t>
      </w:r>
      <w:r w:rsidR="00561163" w:rsidRPr="00FF05B6">
        <w:rPr>
          <w:rFonts w:ascii="Times New Roman" w:hAnsi="Times New Roman"/>
          <w:sz w:val="24"/>
          <w:szCs w:val="24"/>
        </w:rPr>
        <w:t>appell</w:t>
      </w:r>
      <w:r w:rsidR="00AC14B3" w:rsidRPr="00FF05B6">
        <w:rPr>
          <w:rFonts w:ascii="Times New Roman" w:hAnsi="Times New Roman"/>
          <w:sz w:val="24"/>
          <w:szCs w:val="24"/>
        </w:rPr>
        <w:t>ants argue</w:t>
      </w:r>
      <w:r w:rsidR="008F5C29" w:rsidRPr="00FF05B6">
        <w:rPr>
          <w:rFonts w:ascii="Times New Roman" w:hAnsi="Times New Roman"/>
          <w:sz w:val="24"/>
          <w:szCs w:val="24"/>
        </w:rPr>
        <w:t>d</w:t>
      </w:r>
      <w:r w:rsidR="00AC14B3" w:rsidRPr="00FF05B6">
        <w:rPr>
          <w:rFonts w:ascii="Times New Roman" w:hAnsi="Times New Roman"/>
          <w:sz w:val="24"/>
          <w:szCs w:val="24"/>
        </w:rPr>
        <w:t xml:space="preserve"> that it is no function of the </w:t>
      </w:r>
      <w:r w:rsidR="006D23BB" w:rsidRPr="00FF05B6">
        <w:rPr>
          <w:rFonts w:ascii="Times New Roman" w:hAnsi="Times New Roman"/>
          <w:sz w:val="24"/>
          <w:szCs w:val="24"/>
        </w:rPr>
        <w:t>C</w:t>
      </w:r>
      <w:r w:rsidR="00AC14B3" w:rsidRPr="00FF05B6">
        <w:rPr>
          <w:rFonts w:ascii="Times New Roman" w:hAnsi="Times New Roman"/>
          <w:sz w:val="24"/>
          <w:szCs w:val="24"/>
        </w:rPr>
        <w:t xml:space="preserve">ourt on an application such as this to engage in any assessment of the strengths or weaknesses of the </w:t>
      </w:r>
      <w:r w:rsidR="00561163" w:rsidRPr="00FF05B6">
        <w:rPr>
          <w:rFonts w:ascii="Times New Roman" w:hAnsi="Times New Roman"/>
          <w:sz w:val="24"/>
          <w:szCs w:val="24"/>
        </w:rPr>
        <w:t>respondent’s</w:t>
      </w:r>
      <w:r w:rsidR="00AC14B3" w:rsidRPr="00FF05B6">
        <w:rPr>
          <w:rFonts w:ascii="Times New Roman" w:hAnsi="Times New Roman"/>
          <w:sz w:val="24"/>
          <w:szCs w:val="24"/>
        </w:rPr>
        <w:t xml:space="preserve"> case.  The question for the </w:t>
      </w:r>
      <w:r w:rsidR="00F51539" w:rsidRPr="00FF05B6">
        <w:rPr>
          <w:rFonts w:ascii="Times New Roman" w:hAnsi="Times New Roman"/>
          <w:sz w:val="24"/>
          <w:szCs w:val="24"/>
        </w:rPr>
        <w:t>C</w:t>
      </w:r>
      <w:r w:rsidR="00AC14B3" w:rsidRPr="00FF05B6">
        <w:rPr>
          <w:rFonts w:ascii="Times New Roman" w:hAnsi="Times New Roman"/>
          <w:sz w:val="24"/>
          <w:szCs w:val="24"/>
        </w:rPr>
        <w:t xml:space="preserve">ourt remains the same where there has been a finding of inordinate and inexcusable delay – is it unfair to the </w:t>
      </w:r>
      <w:r w:rsidR="00F51539" w:rsidRPr="00FF05B6">
        <w:rPr>
          <w:rFonts w:ascii="Times New Roman" w:hAnsi="Times New Roman"/>
          <w:sz w:val="24"/>
          <w:szCs w:val="24"/>
        </w:rPr>
        <w:t>appellants</w:t>
      </w:r>
      <w:r w:rsidR="00AC14B3" w:rsidRPr="00FF05B6">
        <w:rPr>
          <w:rFonts w:ascii="Times New Roman" w:hAnsi="Times New Roman"/>
          <w:sz w:val="24"/>
          <w:szCs w:val="24"/>
        </w:rPr>
        <w:t xml:space="preserve"> to allow the action to proceed against them in circumstances where there has been an inexcusable an</w:t>
      </w:r>
      <w:r w:rsidR="00A87B1F" w:rsidRPr="00FF05B6">
        <w:rPr>
          <w:rFonts w:ascii="Times New Roman" w:hAnsi="Times New Roman"/>
          <w:sz w:val="24"/>
          <w:szCs w:val="24"/>
        </w:rPr>
        <w:t>d</w:t>
      </w:r>
      <w:r w:rsidR="00AC14B3" w:rsidRPr="00FF05B6">
        <w:rPr>
          <w:rFonts w:ascii="Times New Roman" w:hAnsi="Times New Roman"/>
          <w:sz w:val="24"/>
          <w:szCs w:val="24"/>
        </w:rPr>
        <w:t xml:space="preserve"> inordinate delay</w:t>
      </w:r>
      <w:r w:rsidR="00A87B1F" w:rsidRPr="00FF05B6">
        <w:rPr>
          <w:rFonts w:ascii="Times New Roman" w:hAnsi="Times New Roman"/>
          <w:sz w:val="24"/>
          <w:szCs w:val="24"/>
        </w:rPr>
        <w:t xml:space="preserve"> by reason of a unilateral decision taken by the respondent?</w:t>
      </w:r>
    </w:p>
    <w:p w14:paraId="355CC4CA" w14:textId="3FACFE8C" w:rsidR="00561163" w:rsidRPr="00FF05B6" w:rsidRDefault="00B10621"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Counsel for the respondent submitted</w:t>
      </w:r>
      <w:r w:rsidR="00CA7DAD" w:rsidRPr="00FF05B6">
        <w:rPr>
          <w:rFonts w:ascii="Times New Roman" w:hAnsi="Times New Roman"/>
          <w:sz w:val="24"/>
          <w:szCs w:val="24"/>
        </w:rPr>
        <w:t xml:space="preserve"> </w:t>
      </w:r>
      <w:r w:rsidR="00A87B1F" w:rsidRPr="00FF05B6">
        <w:rPr>
          <w:rFonts w:ascii="Times New Roman" w:hAnsi="Times New Roman"/>
          <w:sz w:val="24"/>
          <w:szCs w:val="24"/>
        </w:rPr>
        <w:t>that there is no prejudice occasioned to the</w:t>
      </w:r>
      <w:r w:rsidR="00561163" w:rsidRPr="00FF05B6">
        <w:rPr>
          <w:rFonts w:ascii="Times New Roman" w:hAnsi="Times New Roman"/>
          <w:sz w:val="24"/>
          <w:szCs w:val="24"/>
        </w:rPr>
        <w:t xml:space="preserve"> appell</w:t>
      </w:r>
      <w:r w:rsidR="00A87B1F" w:rsidRPr="00FF05B6">
        <w:rPr>
          <w:rFonts w:ascii="Times New Roman" w:hAnsi="Times New Roman"/>
          <w:sz w:val="24"/>
          <w:szCs w:val="24"/>
        </w:rPr>
        <w:t xml:space="preserve">ants by reason of the delay in circumstances where </w:t>
      </w:r>
      <w:r w:rsidR="00CA7DAD" w:rsidRPr="00FF05B6">
        <w:rPr>
          <w:rFonts w:ascii="Times New Roman" w:hAnsi="Times New Roman"/>
          <w:sz w:val="24"/>
          <w:szCs w:val="24"/>
        </w:rPr>
        <w:t>the documents discovered</w:t>
      </w:r>
      <w:r w:rsidR="00A87B1F" w:rsidRPr="00FF05B6">
        <w:rPr>
          <w:rFonts w:ascii="Times New Roman" w:hAnsi="Times New Roman"/>
          <w:sz w:val="24"/>
          <w:szCs w:val="24"/>
        </w:rPr>
        <w:t xml:space="preserve"> established</w:t>
      </w:r>
      <w:r w:rsidR="00561163" w:rsidRPr="00FF05B6">
        <w:rPr>
          <w:rFonts w:ascii="Times New Roman" w:hAnsi="Times New Roman"/>
          <w:sz w:val="24"/>
          <w:szCs w:val="24"/>
        </w:rPr>
        <w:t xml:space="preserve"> </w:t>
      </w:r>
      <w:r w:rsidR="00A87B1F" w:rsidRPr="00FF05B6">
        <w:rPr>
          <w:rFonts w:ascii="Times New Roman" w:hAnsi="Times New Roman"/>
          <w:sz w:val="24"/>
          <w:szCs w:val="24"/>
        </w:rPr>
        <w:t>that there are s</w:t>
      </w:r>
      <w:r w:rsidR="00CC3170" w:rsidRPr="00FF05B6">
        <w:rPr>
          <w:rFonts w:ascii="Times New Roman" w:hAnsi="Times New Roman"/>
          <w:sz w:val="24"/>
          <w:szCs w:val="24"/>
        </w:rPr>
        <w:t>even</w:t>
      </w:r>
      <w:r w:rsidR="00A87B1F" w:rsidRPr="00FF05B6">
        <w:rPr>
          <w:rFonts w:ascii="Times New Roman" w:hAnsi="Times New Roman"/>
          <w:sz w:val="24"/>
          <w:szCs w:val="24"/>
        </w:rPr>
        <w:t xml:space="preserve"> detailed statements, a custody record and a command and control printout relating to the incident complained of in these proceedings.  These provide a contemporaneous narrative of the incident, and it is not suggested that any of the </w:t>
      </w:r>
      <w:r w:rsidR="00561163" w:rsidRPr="00FF05B6">
        <w:rPr>
          <w:rFonts w:ascii="Times New Roman" w:hAnsi="Times New Roman"/>
          <w:sz w:val="24"/>
          <w:szCs w:val="24"/>
        </w:rPr>
        <w:t>appell</w:t>
      </w:r>
      <w:r w:rsidR="00A87B1F" w:rsidRPr="00FF05B6">
        <w:rPr>
          <w:rFonts w:ascii="Times New Roman" w:hAnsi="Times New Roman"/>
          <w:sz w:val="24"/>
          <w:szCs w:val="24"/>
        </w:rPr>
        <w:t>ants</w:t>
      </w:r>
      <w:r w:rsidR="00AA6B39" w:rsidRPr="00FF05B6">
        <w:rPr>
          <w:rFonts w:ascii="Times New Roman" w:hAnsi="Times New Roman"/>
          <w:sz w:val="24"/>
          <w:szCs w:val="24"/>
        </w:rPr>
        <w:t>’</w:t>
      </w:r>
      <w:r w:rsidR="00A87B1F" w:rsidRPr="00FF05B6">
        <w:rPr>
          <w:rFonts w:ascii="Times New Roman" w:hAnsi="Times New Roman"/>
          <w:sz w:val="24"/>
          <w:szCs w:val="24"/>
        </w:rPr>
        <w:t xml:space="preserve"> witnesses will not be available for trial.  From the documentation provided, it </w:t>
      </w:r>
      <w:r w:rsidR="00A87B1F" w:rsidRPr="00FF05B6">
        <w:rPr>
          <w:rFonts w:ascii="Times New Roman" w:hAnsi="Times New Roman"/>
          <w:sz w:val="24"/>
          <w:szCs w:val="24"/>
        </w:rPr>
        <w:lastRenderedPageBreak/>
        <w:t xml:space="preserve">appears that the </w:t>
      </w:r>
      <w:r w:rsidR="00561163" w:rsidRPr="00FF05B6">
        <w:rPr>
          <w:rFonts w:ascii="Times New Roman" w:hAnsi="Times New Roman"/>
          <w:sz w:val="24"/>
          <w:szCs w:val="24"/>
        </w:rPr>
        <w:t>appell</w:t>
      </w:r>
      <w:r w:rsidR="00A87B1F" w:rsidRPr="00FF05B6">
        <w:rPr>
          <w:rFonts w:ascii="Times New Roman" w:hAnsi="Times New Roman"/>
          <w:sz w:val="24"/>
          <w:szCs w:val="24"/>
        </w:rPr>
        <w:t>ant</w:t>
      </w:r>
      <w:r w:rsidR="00B80B79" w:rsidRPr="00FF05B6">
        <w:rPr>
          <w:rFonts w:ascii="Times New Roman" w:hAnsi="Times New Roman"/>
          <w:sz w:val="24"/>
          <w:szCs w:val="24"/>
        </w:rPr>
        <w:t>s</w:t>
      </w:r>
      <w:r w:rsidR="00A87B1F" w:rsidRPr="00FF05B6">
        <w:rPr>
          <w:rFonts w:ascii="Times New Roman" w:hAnsi="Times New Roman"/>
          <w:sz w:val="24"/>
          <w:szCs w:val="24"/>
        </w:rPr>
        <w:t xml:space="preserve"> may have eight witnesses.  In response to a question from the </w:t>
      </w:r>
      <w:r w:rsidR="00AA6B39" w:rsidRPr="00FF05B6">
        <w:rPr>
          <w:rFonts w:ascii="Times New Roman" w:hAnsi="Times New Roman"/>
          <w:sz w:val="24"/>
          <w:szCs w:val="24"/>
        </w:rPr>
        <w:t>C</w:t>
      </w:r>
      <w:r w:rsidR="00A87B1F" w:rsidRPr="00FF05B6">
        <w:rPr>
          <w:rFonts w:ascii="Times New Roman" w:hAnsi="Times New Roman"/>
          <w:sz w:val="24"/>
          <w:szCs w:val="24"/>
        </w:rPr>
        <w:t xml:space="preserve">ourt </w:t>
      </w:r>
      <w:r w:rsidR="00F638F9">
        <w:rPr>
          <w:rFonts w:ascii="Times New Roman" w:hAnsi="Times New Roman"/>
          <w:sz w:val="24"/>
          <w:szCs w:val="24"/>
        </w:rPr>
        <w:t>as to whether</w:t>
      </w:r>
      <w:r w:rsidR="00A87B1F" w:rsidRPr="00FF05B6">
        <w:rPr>
          <w:rFonts w:ascii="Times New Roman" w:hAnsi="Times New Roman"/>
          <w:sz w:val="24"/>
          <w:szCs w:val="24"/>
        </w:rPr>
        <w:t xml:space="preserve"> the delay puts justice on the hazard, counsel for the respondent said that there are a number of tools that will assist the jury in arriving at a conclusion, including </w:t>
      </w:r>
      <w:r w:rsidR="00B80B79" w:rsidRPr="00FF05B6">
        <w:rPr>
          <w:rFonts w:ascii="Times New Roman" w:hAnsi="Times New Roman"/>
          <w:sz w:val="24"/>
          <w:szCs w:val="24"/>
        </w:rPr>
        <w:t xml:space="preserve">the </w:t>
      </w:r>
      <w:r w:rsidR="00A87B1F" w:rsidRPr="00FF05B6">
        <w:rPr>
          <w:rFonts w:ascii="Times New Roman" w:hAnsi="Times New Roman"/>
          <w:sz w:val="24"/>
          <w:szCs w:val="24"/>
        </w:rPr>
        <w:t>detailed contemporaneous statements and oral testimony</w:t>
      </w:r>
      <w:r w:rsidR="00B80B79" w:rsidRPr="00FF05B6">
        <w:rPr>
          <w:rFonts w:ascii="Times New Roman" w:hAnsi="Times New Roman"/>
          <w:sz w:val="24"/>
          <w:szCs w:val="24"/>
        </w:rPr>
        <w:t xml:space="preserve"> of the </w:t>
      </w:r>
      <w:r w:rsidR="00561163" w:rsidRPr="00FF05B6">
        <w:rPr>
          <w:rFonts w:ascii="Times New Roman" w:hAnsi="Times New Roman"/>
          <w:sz w:val="24"/>
          <w:szCs w:val="24"/>
        </w:rPr>
        <w:t>appell</w:t>
      </w:r>
      <w:r w:rsidR="00B80B79" w:rsidRPr="00FF05B6">
        <w:rPr>
          <w:rFonts w:ascii="Times New Roman" w:hAnsi="Times New Roman"/>
          <w:sz w:val="24"/>
          <w:szCs w:val="24"/>
        </w:rPr>
        <w:t>ants</w:t>
      </w:r>
      <w:r w:rsidR="00AA6B39" w:rsidRPr="00FF05B6">
        <w:rPr>
          <w:rFonts w:ascii="Times New Roman" w:hAnsi="Times New Roman"/>
          <w:sz w:val="24"/>
          <w:szCs w:val="24"/>
        </w:rPr>
        <w:t>’</w:t>
      </w:r>
      <w:r w:rsidR="00B80B79" w:rsidRPr="00FF05B6">
        <w:rPr>
          <w:rFonts w:ascii="Times New Roman" w:hAnsi="Times New Roman"/>
          <w:sz w:val="24"/>
          <w:szCs w:val="24"/>
        </w:rPr>
        <w:t xml:space="preserve"> witnesses</w:t>
      </w:r>
      <w:r w:rsidR="00A87B1F" w:rsidRPr="00FF05B6">
        <w:rPr>
          <w:rFonts w:ascii="Times New Roman" w:hAnsi="Times New Roman"/>
          <w:sz w:val="24"/>
          <w:szCs w:val="24"/>
        </w:rPr>
        <w:t>.</w:t>
      </w:r>
    </w:p>
    <w:p w14:paraId="6608043B" w14:textId="53CFEBF9" w:rsidR="0025063B" w:rsidRPr="00FF05B6" w:rsidRDefault="00A87B1F"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Counsel for the respondent further submitted that the trial judge applied the correct test and therefore that this Court should accord the decision of the trial judge due deference and should be slow to intervene even if this Court is as well placed as the trial judge to arrive at a conclusion on the application.  It is clear that the trial judge applied the correct principles and asked himself the right questions and refused the application on the basis that he felt that </w:t>
      </w:r>
      <w:r w:rsidR="00FD6B5E" w:rsidRPr="00FF05B6">
        <w:rPr>
          <w:rFonts w:ascii="Times New Roman" w:hAnsi="Times New Roman"/>
          <w:sz w:val="24"/>
          <w:szCs w:val="24"/>
        </w:rPr>
        <w:t>it was al</w:t>
      </w:r>
      <w:r w:rsidRPr="00FF05B6">
        <w:rPr>
          <w:rFonts w:ascii="Times New Roman" w:hAnsi="Times New Roman"/>
          <w:sz w:val="24"/>
          <w:szCs w:val="24"/>
        </w:rPr>
        <w:t xml:space="preserve">most certain that the </w:t>
      </w:r>
      <w:r w:rsidR="00ED07FB" w:rsidRPr="00FF05B6">
        <w:rPr>
          <w:rFonts w:ascii="Times New Roman" w:hAnsi="Times New Roman"/>
          <w:sz w:val="24"/>
          <w:szCs w:val="24"/>
        </w:rPr>
        <w:t>appellants</w:t>
      </w:r>
      <w:r w:rsidRPr="00FF05B6">
        <w:rPr>
          <w:rFonts w:ascii="Times New Roman" w:hAnsi="Times New Roman"/>
          <w:sz w:val="24"/>
          <w:szCs w:val="24"/>
        </w:rPr>
        <w:t xml:space="preserve"> would have available to them contemporaneous statements and that if anything, the </w:t>
      </w:r>
      <w:r w:rsidR="00140197" w:rsidRPr="00FF05B6">
        <w:rPr>
          <w:rFonts w:ascii="Times New Roman" w:hAnsi="Times New Roman"/>
          <w:sz w:val="24"/>
          <w:szCs w:val="24"/>
        </w:rPr>
        <w:t>respondent</w:t>
      </w:r>
      <w:r w:rsidRPr="00FF05B6">
        <w:rPr>
          <w:rFonts w:ascii="Times New Roman" w:hAnsi="Times New Roman"/>
          <w:sz w:val="24"/>
          <w:szCs w:val="24"/>
        </w:rPr>
        <w:t xml:space="preserve">’s case would be weakened by reason of the delay in circumstances where the </w:t>
      </w:r>
      <w:r w:rsidR="00140197" w:rsidRPr="00FF05B6">
        <w:rPr>
          <w:rFonts w:ascii="Times New Roman" w:hAnsi="Times New Roman"/>
          <w:sz w:val="24"/>
          <w:szCs w:val="24"/>
        </w:rPr>
        <w:t>respondent</w:t>
      </w:r>
      <w:r w:rsidRPr="00FF05B6">
        <w:rPr>
          <w:rFonts w:ascii="Times New Roman" w:hAnsi="Times New Roman"/>
          <w:sz w:val="24"/>
          <w:szCs w:val="24"/>
        </w:rPr>
        <w:t xml:space="preserve"> was not likely to have the benefit of contemporaneous statements.  Subsequent events i.e. the making of discovery have proven the trial judge correct.  In short, the trial judge applied the correct test and correctly concluded that the </w:t>
      </w:r>
      <w:r w:rsidR="00BC07A9" w:rsidRPr="00FF05B6">
        <w:rPr>
          <w:rFonts w:ascii="Times New Roman" w:hAnsi="Times New Roman"/>
          <w:sz w:val="24"/>
          <w:szCs w:val="24"/>
        </w:rPr>
        <w:t>appellants</w:t>
      </w:r>
      <w:r w:rsidRPr="00FF05B6">
        <w:rPr>
          <w:rFonts w:ascii="Times New Roman" w:hAnsi="Times New Roman"/>
          <w:sz w:val="24"/>
          <w:szCs w:val="24"/>
        </w:rPr>
        <w:t xml:space="preserve"> are not prejudiced by reason of the delay and this Court should not interfere with the conclusions of the trial judge.  </w:t>
      </w:r>
    </w:p>
    <w:p w14:paraId="423CE24C" w14:textId="1A153EDD" w:rsidR="0090187F" w:rsidRDefault="00FF2D65" w:rsidP="0090187F">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Since the respondent was placing reliance on the documents discovered by the appellant</w:t>
      </w:r>
      <w:r w:rsidR="00D85850">
        <w:rPr>
          <w:rFonts w:ascii="Times New Roman" w:hAnsi="Times New Roman"/>
          <w:sz w:val="24"/>
          <w:szCs w:val="24"/>
        </w:rPr>
        <w:t>s</w:t>
      </w:r>
      <w:r w:rsidRPr="00FF05B6">
        <w:rPr>
          <w:rFonts w:ascii="Times New Roman" w:hAnsi="Times New Roman"/>
          <w:sz w:val="24"/>
          <w:szCs w:val="24"/>
        </w:rPr>
        <w:t>, and since these documents were not available to the Court for the hearing of the appeal, the Court directed that the affidavit of discovery and documents discovered should be made available to the Court after the hearing, and gave the parties liberty to make such supplementary written submissions as they considered appropriate in relation thereto.  The Court subsequently received the affidavit of discovery sworn on behalf of the appellant</w:t>
      </w:r>
      <w:r w:rsidR="00D85850">
        <w:rPr>
          <w:rFonts w:ascii="Times New Roman" w:hAnsi="Times New Roman"/>
          <w:sz w:val="24"/>
          <w:szCs w:val="24"/>
        </w:rPr>
        <w:t>s</w:t>
      </w:r>
      <w:r w:rsidRPr="00FF05B6">
        <w:rPr>
          <w:rFonts w:ascii="Times New Roman" w:hAnsi="Times New Roman"/>
          <w:sz w:val="24"/>
          <w:szCs w:val="24"/>
        </w:rPr>
        <w:t xml:space="preserve"> by </w:t>
      </w:r>
      <w:r w:rsidR="00B10621" w:rsidRPr="00FF05B6">
        <w:rPr>
          <w:rFonts w:ascii="Times New Roman" w:hAnsi="Times New Roman"/>
          <w:sz w:val="24"/>
          <w:szCs w:val="24"/>
        </w:rPr>
        <w:t>I</w:t>
      </w:r>
      <w:r w:rsidRPr="00FF05B6">
        <w:rPr>
          <w:rFonts w:ascii="Times New Roman" w:hAnsi="Times New Roman"/>
          <w:sz w:val="24"/>
          <w:szCs w:val="24"/>
        </w:rPr>
        <w:t>nspect</w:t>
      </w:r>
      <w:r w:rsidR="00B10621" w:rsidRPr="00FF05B6">
        <w:rPr>
          <w:rFonts w:ascii="Times New Roman" w:hAnsi="Times New Roman"/>
          <w:sz w:val="24"/>
          <w:szCs w:val="24"/>
        </w:rPr>
        <w:t>or</w:t>
      </w:r>
      <w:r w:rsidRPr="00FF05B6">
        <w:rPr>
          <w:rFonts w:ascii="Times New Roman" w:hAnsi="Times New Roman"/>
          <w:sz w:val="24"/>
          <w:szCs w:val="24"/>
        </w:rPr>
        <w:t xml:space="preserve"> Bronagh O’Reilly on 20</w:t>
      </w:r>
      <w:r w:rsidRPr="00FF05B6">
        <w:rPr>
          <w:rFonts w:ascii="Times New Roman" w:hAnsi="Times New Roman"/>
          <w:sz w:val="24"/>
          <w:szCs w:val="24"/>
          <w:vertAlign w:val="superscript"/>
        </w:rPr>
        <w:t>th</w:t>
      </w:r>
      <w:r w:rsidRPr="00FF05B6">
        <w:rPr>
          <w:rFonts w:ascii="Times New Roman" w:hAnsi="Times New Roman"/>
          <w:sz w:val="24"/>
          <w:szCs w:val="24"/>
        </w:rPr>
        <w:t xml:space="preserve"> November 2020, together with the documentation referred to therein.  </w:t>
      </w:r>
      <w:r w:rsidR="00C818CA" w:rsidRPr="00FF05B6">
        <w:rPr>
          <w:rFonts w:ascii="Times New Roman" w:hAnsi="Times New Roman"/>
          <w:sz w:val="24"/>
          <w:szCs w:val="24"/>
        </w:rPr>
        <w:t>Nine</w:t>
      </w:r>
      <w:r w:rsidRPr="00FF05B6">
        <w:rPr>
          <w:rFonts w:ascii="Times New Roman" w:hAnsi="Times New Roman"/>
          <w:sz w:val="24"/>
          <w:szCs w:val="24"/>
        </w:rPr>
        <w:t xml:space="preserve"> documents were discovered, s</w:t>
      </w:r>
      <w:r w:rsidR="00C818CA" w:rsidRPr="00FF05B6">
        <w:rPr>
          <w:rFonts w:ascii="Times New Roman" w:hAnsi="Times New Roman"/>
          <w:sz w:val="24"/>
          <w:szCs w:val="24"/>
        </w:rPr>
        <w:t>even</w:t>
      </w:r>
      <w:r w:rsidRPr="00FF05B6">
        <w:rPr>
          <w:rFonts w:ascii="Times New Roman" w:hAnsi="Times New Roman"/>
          <w:sz w:val="24"/>
          <w:szCs w:val="24"/>
        </w:rPr>
        <w:t xml:space="preserve"> of which were statements made by various members of an Garda S</w:t>
      </w:r>
      <w:r w:rsidR="00E3728A" w:rsidRPr="00FF05B6">
        <w:rPr>
          <w:rFonts w:ascii="Times New Roman" w:hAnsi="Times New Roman"/>
          <w:sz w:val="24"/>
          <w:szCs w:val="24"/>
        </w:rPr>
        <w:t>í</w:t>
      </w:r>
      <w:r w:rsidRPr="00FF05B6">
        <w:rPr>
          <w:rFonts w:ascii="Times New Roman" w:hAnsi="Times New Roman"/>
          <w:sz w:val="24"/>
          <w:szCs w:val="24"/>
        </w:rPr>
        <w:t xml:space="preserve">ochána, addressing the arrest and detention of the </w:t>
      </w:r>
      <w:r w:rsidRPr="00FF05B6">
        <w:rPr>
          <w:rFonts w:ascii="Times New Roman" w:hAnsi="Times New Roman"/>
          <w:sz w:val="24"/>
          <w:szCs w:val="24"/>
        </w:rPr>
        <w:lastRenderedPageBreak/>
        <w:t xml:space="preserve">respondent in custody, the other two documents being the custody record and the </w:t>
      </w:r>
      <w:r w:rsidR="00E3728A" w:rsidRPr="00FF05B6">
        <w:rPr>
          <w:rFonts w:ascii="Times New Roman" w:hAnsi="Times New Roman"/>
          <w:sz w:val="24"/>
          <w:szCs w:val="24"/>
        </w:rPr>
        <w:t>G</w:t>
      </w:r>
      <w:r w:rsidRPr="00FF05B6">
        <w:rPr>
          <w:rFonts w:ascii="Times New Roman" w:hAnsi="Times New Roman"/>
          <w:sz w:val="24"/>
          <w:szCs w:val="24"/>
        </w:rPr>
        <w:t xml:space="preserve">arda command and control printout.  The statements were all made in the first quarter of 2013 and so were obviously generated in response to these proceedings.  </w:t>
      </w:r>
      <w:r w:rsidR="00BD4582">
        <w:rPr>
          <w:rFonts w:ascii="Times New Roman" w:hAnsi="Times New Roman"/>
          <w:sz w:val="24"/>
          <w:szCs w:val="24"/>
        </w:rPr>
        <w:t>While it</w:t>
      </w:r>
      <w:r w:rsidRPr="00FF05B6">
        <w:rPr>
          <w:rFonts w:ascii="Times New Roman" w:hAnsi="Times New Roman"/>
          <w:sz w:val="24"/>
          <w:szCs w:val="24"/>
        </w:rPr>
        <w:t xml:space="preserve"> is unnecessary for the Court</w:t>
      </w:r>
      <w:r w:rsidR="003C0632" w:rsidRPr="00FF05B6">
        <w:rPr>
          <w:rFonts w:ascii="Times New Roman" w:hAnsi="Times New Roman"/>
          <w:sz w:val="24"/>
          <w:szCs w:val="24"/>
        </w:rPr>
        <w:t xml:space="preserve"> to conduct any detailed analysi</w:t>
      </w:r>
      <w:r w:rsidRPr="00FF05B6">
        <w:rPr>
          <w:rFonts w:ascii="Times New Roman" w:hAnsi="Times New Roman"/>
          <w:sz w:val="24"/>
          <w:szCs w:val="24"/>
        </w:rPr>
        <w:t xml:space="preserve">s of </w:t>
      </w:r>
      <w:r w:rsidR="00BD4582">
        <w:rPr>
          <w:rFonts w:ascii="Times New Roman" w:hAnsi="Times New Roman"/>
          <w:sz w:val="24"/>
          <w:szCs w:val="24"/>
        </w:rPr>
        <w:t xml:space="preserve">all of </w:t>
      </w:r>
      <w:r w:rsidRPr="00FF05B6">
        <w:rPr>
          <w:rFonts w:ascii="Times New Roman" w:hAnsi="Times New Roman"/>
          <w:sz w:val="24"/>
          <w:szCs w:val="24"/>
        </w:rPr>
        <w:t xml:space="preserve">the statements, </w:t>
      </w:r>
      <w:r w:rsidR="00BD4582">
        <w:rPr>
          <w:rFonts w:ascii="Times New Roman" w:hAnsi="Times New Roman"/>
          <w:sz w:val="24"/>
          <w:szCs w:val="24"/>
        </w:rPr>
        <w:t>it is helpful to quote from the statement of the Garda who initiated the arrest,</w:t>
      </w:r>
      <w:r w:rsidR="00B07A29">
        <w:rPr>
          <w:rFonts w:ascii="Times New Roman" w:hAnsi="Times New Roman"/>
          <w:sz w:val="24"/>
          <w:szCs w:val="24"/>
        </w:rPr>
        <w:t xml:space="preserve"> </w:t>
      </w:r>
      <w:r w:rsidR="00BD4582">
        <w:rPr>
          <w:rFonts w:ascii="Times New Roman" w:hAnsi="Times New Roman"/>
          <w:sz w:val="24"/>
          <w:szCs w:val="24"/>
        </w:rPr>
        <w:t>i.e. Garda Gary Brennan. Having set out the background that Garda</w:t>
      </w:r>
      <w:r w:rsidR="0090187F">
        <w:rPr>
          <w:rFonts w:ascii="Times New Roman" w:hAnsi="Times New Roman"/>
          <w:sz w:val="24"/>
          <w:szCs w:val="24"/>
        </w:rPr>
        <w:t>í</w:t>
      </w:r>
      <w:r w:rsidR="00BD4582">
        <w:rPr>
          <w:rFonts w:ascii="Times New Roman" w:hAnsi="Times New Roman"/>
          <w:sz w:val="24"/>
          <w:szCs w:val="24"/>
        </w:rPr>
        <w:t xml:space="preserve"> were on the lookout for a suspect who had carried out an armed robbery a short while previously, Garda Brennan goes on to say how he observed a person (the respondent) matching the description of that suspect, and states</w:t>
      </w:r>
      <w:r w:rsidR="0090187F">
        <w:rPr>
          <w:rFonts w:ascii="Times New Roman" w:hAnsi="Times New Roman"/>
          <w:sz w:val="24"/>
          <w:szCs w:val="24"/>
        </w:rPr>
        <w:t>:</w:t>
      </w:r>
    </w:p>
    <w:p w14:paraId="0487C7E9" w14:textId="598F5107" w:rsidR="00A13BE7" w:rsidRDefault="00A13BE7" w:rsidP="00A13BE7">
      <w:pPr>
        <w:pStyle w:val="ListParagraph"/>
        <w:tabs>
          <w:tab w:val="left" w:pos="567"/>
        </w:tabs>
        <w:spacing w:line="480" w:lineRule="auto"/>
        <w:ind w:left="567"/>
        <w:rPr>
          <w:rFonts w:ascii="Times New Roman" w:hAnsi="Times New Roman"/>
          <w:sz w:val="24"/>
          <w:szCs w:val="24"/>
        </w:rPr>
      </w:pPr>
      <w:r>
        <w:rPr>
          <w:rFonts w:ascii="Times New Roman" w:hAnsi="Times New Roman"/>
          <w:sz w:val="24"/>
          <w:szCs w:val="24"/>
        </w:rPr>
        <w:tab/>
      </w:r>
      <w:r w:rsidR="00BD4582" w:rsidRPr="0090187F">
        <w:rPr>
          <w:rFonts w:ascii="Times New Roman" w:hAnsi="Times New Roman"/>
          <w:sz w:val="24"/>
          <w:szCs w:val="24"/>
        </w:rPr>
        <w:t>“At the time I believed this male was in possession of a handgun used in the robbery</w:t>
      </w:r>
      <w:r w:rsidR="0090187F" w:rsidRPr="0090187F">
        <w:rPr>
          <w:rFonts w:ascii="Times New Roman" w:hAnsi="Times New Roman"/>
          <w:sz w:val="24"/>
          <w:szCs w:val="24"/>
        </w:rPr>
        <w:t>. I identified myself as a member of an Garda Síochána and on approaching him I attempted to restrain his arms. The male</w:t>
      </w:r>
      <w:r w:rsidR="0090187F">
        <w:rPr>
          <w:rFonts w:ascii="Times New Roman" w:hAnsi="Times New Roman"/>
          <w:sz w:val="24"/>
          <w:szCs w:val="24"/>
        </w:rPr>
        <w:t xml:space="preserve"> </w:t>
      </w:r>
      <w:r w:rsidR="0090187F" w:rsidRPr="0090187F">
        <w:rPr>
          <w:rFonts w:ascii="Times New Roman" w:hAnsi="Times New Roman"/>
          <w:sz w:val="24"/>
          <w:szCs w:val="24"/>
        </w:rPr>
        <w:t xml:space="preserve">resisted and during the struggle </w:t>
      </w:r>
      <w:r w:rsidR="0090187F">
        <w:rPr>
          <w:rFonts w:ascii="Times New Roman" w:hAnsi="Times New Roman"/>
          <w:sz w:val="24"/>
          <w:szCs w:val="24"/>
        </w:rPr>
        <w:t>that</w:t>
      </w:r>
      <w:r w:rsidR="0090187F" w:rsidRPr="0090187F">
        <w:rPr>
          <w:rFonts w:ascii="Times New Roman" w:hAnsi="Times New Roman"/>
          <w:sz w:val="24"/>
          <w:szCs w:val="24"/>
        </w:rPr>
        <w:t xml:space="preserve"> took place the </w:t>
      </w:r>
      <w:r w:rsidR="0090187F">
        <w:rPr>
          <w:rFonts w:ascii="Times New Roman" w:hAnsi="Times New Roman"/>
          <w:sz w:val="24"/>
          <w:szCs w:val="24"/>
        </w:rPr>
        <w:t>two</w:t>
      </w:r>
      <w:r w:rsidR="0090187F" w:rsidRPr="0090187F">
        <w:rPr>
          <w:rFonts w:ascii="Times New Roman" w:hAnsi="Times New Roman"/>
          <w:sz w:val="24"/>
          <w:szCs w:val="24"/>
        </w:rPr>
        <w:t xml:space="preserve"> of us fell over a low garden wall to the ground. Detective Garda Eamon Ryan came to my assistance. The suspect, identified as Darren Fitzpatrick was handcuffed and arrested for the purpose of a search and subsequently conveyed to Finglas Garda station. Mr Fitzpatrick was fully searched at the station by Garda Ronan O’Reilly and then placed in a cell. No saliva swabs were taken from him at any time while he was detained at Finglas Garda station. I then made a number of enquiries and as a result ruled out Mr Fitzpatrick as a suspect for the robbery. Mr Fitzpatrick was released immediately. At the time of his release Mr Fitzpatrick made no complaint. At the time of his arrest he did not appear to suffer any injury and during the course of his detention he made no request to be attended by Dr which had been offered to him when the custody record was being filled out.”</w:t>
      </w:r>
    </w:p>
    <w:p w14:paraId="5BE08EF9" w14:textId="1ED4FFEA" w:rsidR="00FF2D65" w:rsidRPr="0090187F" w:rsidRDefault="0090187F" w:rsidP="0090187F">
      <w:pPr>
        <w:pStyle w:val="ListParagraph"/>
        <w:tabs>
          <w:tab w:val="left" w:pos="567"/>
        </w:tabs>
        <w:spacing w:line="480" w:lineRule="auto"/>
        <w:ind w:left="0"/>
        <w:rPr>
          <w:rFonts w:ascii="Times New Roman" w:hAnsi="Times New Roman"/>
          <w:b/>
          <w:sz w:val="24"/>
          <w:szCs w:val="24"/>
          <w:u w:val="single"/>
        </w:rPr>
      </w:pPr>
      <w:r w:rsidRPr="0090187F">
        <w:rPr>
          <w:rFonts w:ascii="Times New Roman" w:hAnsi="Times New Roman"/>
          <w:sz w:val="24"/>
          <w:szCs w:val="24"/>
        </w:rPr>
        <w:t xml:space="preserve">Garda Brennan then goes on to address a number of matters arising out of the statement of claim, which he denies occurred. For example he denies that </w:t>
      </w:r>
      <w:r>
        <w:rPr>
          <w:rFonts w:ascii="Times New Roman" w:hAnsi="Times New Roman"/>
          <w:sz w:val="24"/>
          <w:szCs w:val="24"/>
        </w:rPr>
        <w:t>eight</w:t>
      </w:r>
      <w:r w:rsidRPr="0090187F">
        <w:rPr>
          <w:rFonts w:ascii="Times New Roman" w:hAnsi="Times New Roman"/>
          <w:sz w:val="24"/>
          <w:szCs w:val="24"/>
        </w:rPr>
        <w:t xml:space="preserve"> members of the </w:t>
      </w:r>
      <w:r w:rsidR="00F328BB">
        <w:rPr>
          <w:rFonts w:ascii="Times New Roman" w:hAnsi="Times New Roman"/>
          <w:sz w:val="24"/>
          <w:szCs w:val="24"/>
        </w:rPr>
        <w:t>G</w:t>
      </w:r>
      <w:r w:rsidRPr="0090187F">
        <w:rPr>
          <w:rFonts w:ascii="Times New Roman" w:hAnsi="Times New Roman"/>
          <w:sz w:val="24"/>
          <w:szCs w:val="24"/>
        </w:rPr>
        <w:t>arda</w:t>
      </w:r>
      <w:r w:rsidR="00F328BB">
        <w:rPr>
          <w:rFonts w:ascii="Times New Roman" w:hAnsi="Times New Roman"/>
          <w:sz w:val="24"/>
          <w:szCs w:val="24"/>
        </w:rPr>
        <w:t>í</w:t>
      </w:r>
      <w:r w:rsidRPr="0090187F">
        <w:rPr>
          <w:rFonts w:ascii="Times New Roman" w:hAnsi="Times New Roman"/>
          <w:sz w:val="24"/>
          <w:szCs w:val="24"/>
        </w:rPr>
        <w:t xml:space="preserve"> jumped from a patrol car and pushed the </w:t>
      </w:r>
      <w:r w:rsidR="00F328BB">
        <w:rPr>
          <w:rFonts w:ascii="Times New Roman" w:hAnsi="Times New Roman"/>
          <w:sz w:val="24"/>
          <w:szCs w:val="24"/>
        </w:rPr>
        <w:t>respondent</w:t>
      </w:r>
      <w:r w:rsidRPr="0090187F">
        <w:rPr>
          <w:rFonts w:ascii="Times New Roman" w:hAnsi="Times New Roman"/>
          <w:sz w:val="24"/>
          <w:szCs w:val="24"/>
        </w:rPr>
        <w:t xml:space="preserve"> to the ground in the course of the arrest. </w:t>
      </w:r>
      <w:r w:rsidRPr="0090187F">
        <w:rPr>
          <w:rFonts w:ascii="Times New Roman" w:hAnsi="Times New Roman"/>
          <w:sz w:val="24"/>
          <w:szCs w:val="24"/>
        </w:rPr>
        <w:lastRenderedPageBreak/>
        <w:t xml:space="preserve">He denies the </w:t>
      </w:r>
      <w:r w:rsidR="00C12D2B">
        <w:rPr>
          <w:rFonts w:ascii="Times New Roman" w:hAnsi="Times New Roman"/>
          <w:sz w:val="24"/>
          <w:szCs w:val="24"/>
        </w:rPr>
        <w:t>respondent</w:t>
      </w:r>
      <w:r w:rsidRPr="0090187F">
        <w:rPr>
          <w:rFonts w:ascii="Times New Roman" w:hAnsi="Times New Roman"/>
          <w:sz w:val="24"/>
          <w:szCs w:val="24"/>
        </w:rPr>
        <w:t xml:space="preserve"> was strip-searched, as alleged or that saliva swabs were taken from him, as alleged. He denies the </w:t>
      </w:r>
      <w:r w:rsidR="00C12D2B">
        <w:rPr>
          <w:rFonts w:ascii="Times New Roman" w:hAnsi="Times New Roman"/>
          <w:sz w:val="24"/>
          <w:szCs w:val="24"/>
        </w:rPr>
        <w:t>respondent</w:t>
      </w:r>
      <w:r w:rsidRPr="0090187F">
        <w:rPr>
          <w:rFonts w:ascii="Times New Roman" w:hAnsi="Times New Roman"/>
          <w:sz w:val="24"/>
          <w:szCs w:val="24"/>
        </w:rPr>
        <w:t xml:space="preserve"> was subjected to any degree of serious assault or battery. </w:t>
      </w:r>
      <w:r>
        <w:rPr>
          <w:rFonts w:ascii="Times New Roman" w:hAnsi="Times New Roman"/>
          <w:sz w:val="24"/>
          <w:szCs w:val="24"/>
        </w:rPr>
        <w:t xml:space="preserve">It is clear from a review of the pleadings that these will be the main issues of controversy at the trial of the action, and the appellants have the benefit of this and other statements addressing these issues. </w:t>
      </w:r>
    </w:p>
    <w:p w14:paraId="5C97293E" w14:textId="40E1E9F7" w:rsidR="0025063B" w:rsidRPr="00FF05B6" w:rsidRDefault="00FF2D65"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In their supplementary written submissions, the appellants in the first instance protest that the respondent insisted that the appellants should make discovery at all pending the determination of this appeal, in circumstances where the appellants maintain that Cross J. placed a stay on the order for discovery pending the </w:t>
      </w:r>
      <w:r w:rsidR="00B10621" w:rsidRPr="00FF05B6">
        <w:rPr>
          <w:rFonts w:ascii="Times New Roman" w:hAnsi="Times New Roman"/>
          <w:sz w:val="24"/>
          <w:szCs w:val="24"/>
        </w:rPr>
        <w:t>same</w:t>
      </w:r>
      <w:r w:rsidRPr="00FF05B6">
        <w:rPr>
          <w:rFonts w:ascii="Times New Roman" w:hAnsi="Times New Roman"/>
          <w:sz w:val="24"/>
          <w:szCs w:val="24"/>
        </w:rPr>
        <w:t>.  There is clearly no need to enter into any consideration of this objection in circumstances where the appellants raised no issue regarding the accuracy of the perfected order for discovery until the hearing of this appeal, and instead chose to make discovery in the terms ordered by Cross J.</w:t>
      </w:r>
    </w:p>
    <w:p w14:paraId="5D114C43" w14:textId="1A55C029" w:rsidR="00FF2D65" w:rsidRPr="00FF05B6" w:rsidRDefault="00A61BF6"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More substantively, the appellants submit that while the fact that the appellants have in their possession statements made by members of an Garda S</w:t>
      </w:r>
      <w:r w:rsidR="00AB668D" w:rsidRPr="00FF05B6">
        <w:rPr>
          <w:rFonts w:ascii="Times New Roman" w:hAnsi="Times New Roman"/>
          <w:sz w:val="24"/>
          <w:szCs w:val="24"/>
        </w:rPr>
        <w:t>í</w:t>
      </w:r>
      <w:r w:rsidRPr="00FF05B6">
        <w:rPr>
          <w:rFonts w:ascii="Times New Roman" w:hAnsi="Times New Roman"/>
          <w:sz w:val="24"/>
          <w:szCs w:val="24"/>
        </w:rPr>
        <w:t xml:space="preserve">ochána relating to the events giving rise to the proceedings bears out the supposition of the trial judge to this effect, the fact of there being such records does not sufficiently mitigate the consequences of the delay of the </w:t>
      </w:r>
      <w:r w:rsidR="00AB668D" w:rsidRPr="00FF05B6">
        <w:rPr>
          <w:rFonts w:ascii="Times New Roman" w:hAnsi="Times New Roman"/>
          <w:sz w:val="24"/>
          <w:szCs w:val="24"/>
        </w:rPr>
        <w:t>respondent</w:t>
      </w:r>
      <w:r w:rsidRPr="00FF05B6">
        <w:rPr>
          <w:rFonts w:ascii="Times New Roman" w:hAnsi="Times New Roman"/>
          <w:sz w:val="24"/>
          <w:szCs w:val="24"/>
        </w:rPr>
        <w:t xml:space="preserve"> and the prejudice caused to the appellants by that delay.  The existence of these documents does not put the case in the same category of, for example, a commercial case the outcome of which turns primarily on the construction of written documents, such as was the case in </w:t>
      </w:r>
      <w:r w:rsidRPr="00FF05B6">
        <w:rPr>
          <w:rFonts w:ascii="Times New Roman" w:hAnsi="Times New Roman"/>
          <w:i/>
          <w:sz w:val="24"/>
          <w:szCs w:val="24"/>
        </w:rPr>
        <w:t xml:space="preserve">Carroll Shipping Limited v. Matthews Mulcahy </w:t>
      </w:r>
      <w:r w:rsidR="0087672E" w:rsidRPr="00FF05B6">
        <w:rPr>
          <w:rFonts w:ascii="Times New Roman" w:hAnsi="Times New Roman"/>
          <w:i/>
          <w:sz w:val="24"/>
          <w:szCs w:val="24"/>
        </w:rPr>
        <w:t>&amp;</w:t>
      </w:r>
      <w:r w:rsidRPr="00FF05B6">
        <w:rPr>
          <w:rFonts w:ascii="Times New Roman" w:hAnsi="Times New Roman"/>
          <w:i/>
          <w:sz w:val="24"/>
          <w:szCs w:val="24"/>
        </w:rPr>
        <w:t xml:space="preserve"> Sutherland Limited </w:t>
      </w:r>
      <w:r w:rsidRPr="00FF05B6">
        <w:rPr>
          <w:rFonts w:ascii="Times New Roman" w:hAnsi="Times New Roman"/>
          <w:sz w:val="24"/>
          <w:szCs w:val="24"/>
        </w:rPr>
        <w:t>[</w:t>
      </w:r>
      <w:r w:rsidR="00A86FD0" w:rsidRPr="00FF05B6">
        <w:rPr>
          <w:rFonts w:ascii="Times New Roman" w:hAnsi="Times New Roman"/>
          <w:sz w:val="24"/>
          <w:szCs w:val="24"/>
        </w:rPr>
        <w:t>1996]</w:t>
      </w:r>
      <w:r w:rsidR="00413CB5" w:rsidRPr="00FF05B6">
        <w:rPr>
          <w:rFonts w:ascii="Times New Roman" w:hAnsi="Times New Roman"/>
          <w:sz w:val="24"/>
          <w:szCs w:val="24"/>
        </w:rPr>
        <w:t xml:space="preserve"> </w:t>
      </w:r>
      <w:r w:rsidR="00A86FD0" w:rsidRPr="00FF05B6">
        <w:rPr>
          <w:rFonts w:ascii="Times New Roman" w:hAnsi="Times New Roman"/>
          <w:sz w:val="24"/>
          <w:szCs w:val="24"/>
        </w:rPr>
        <w:t>IEHC 46.</w:t>
      </w:r>
      <w:r w:rsidRPr="00FF05B6">
        <w:rPr>
          <w:rFonts w:ascii="Times New Roman" w:hAnsi="Times New Roman"/>
          <w:sz w:val="24"/>
          <w:szCs w:val="24"/>
        </w:rPr>
        <w:t xml:space="preserve">  These proceedings will, for the most part, </w:t>
      </w:r>
      <w:r w:rsidR="00684C19" w:rsidRPr="00FF05B6">
        <w:rPr>
          <w:rFonts w:ascii="Times New Roman" w:hAnsi="Times New Roman"/>
          <w:sz w:val="24"/>
          <w:szCs w:val="24"/>
        </w:rPr>
        <w:t>revolve</w:t>
      </w:r>
      <w:r w:rsidRPr="00FF05B6">
        <w:rPr>
          <w:rFonts w:ascii="Times New Roman" w:hAnsi="Times New Roman"/>
          <w:sz w:val="24"/>
          <w:szCs w:val="24"/>
        </w:rPr>
        <w:t xml:space="preserve"> around the oral testimony of the </w:t>
      </w:r>
      <w:r w:rsidR="00684C19" w:rsidRPr="00FF05B6">
        <w:rPr>
          <w:rFonts w:ascii="Times New Roman" w:hAnsi="Times New Roman"/>
          <w:sz w:val="24"/>
          <w:szCs w:val="24"/>
        </w:rPr>
        <w:t>witnesses</w:t>
      </w:r>
      <w:r w:rsidRPr="00FF05B6">
        <w:rPr>
          <w:rFonts w:ascii="Times New Roman" w:hAnsi="Times New Roman"/>
          <w:sz w:val="24"/>
          <w:szCs w:val="24"/>
        </w:rPr>
        <w:t xml:space="preserve">, and it is submitted that the dangers of prejudice arising from the delay are particularly acute in a case involving allegations of assault and false imprisonment.  The documentation available to the appellants will be of limited assistance in their defence to the </w:t>
      </w:r>
      <w:r w:rsidR="00684C19" w:rsidRPr="00FF05B6">
        <w:rPr>
          <w:rFonts w:ascii="Times New Roman" w:hAnsi="Times New Roman"/>
          <w:sz w:val="24"/>
          <w:szCs w:val="24"/>
        </w:rPr>
        <w:t>proceedings</w:t>
      </w:r>
      <w:r w:rsidRPr="00FF05B6">
        <w:rPr>
          <w:rFonts w:ascii="Times New Roman" w:hAnsi="Times New Roman"/>
          <w:sz w:val="24"/>
          <w:szCs w:val="24"/>
        </w:rPr>
        <w:t xml:space="preserve">. </w:t>
      </w:r>
    </w:p>
    <w:p w14:paraId="0C96574A" w14:textId="7B9FA113" w:rsidR="00A61BF6" w:rsidRPr="00FF05B6" w:rsidRDefault="00A61BF6"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lastRenderedPageBreak/>
        <w:t xml:space="preserve">In his supplementary submissions, </w:t>
      </w:r>
      <w:r w:rsidR="00684C19" w:rsidRPr="00FF05B6">
        <w:rPr>
          <w:rFonts w:ascii="Times New Roman" w:hAnsi="Times New Roman"/>
          <w:sz w:val="24"/>
          <w:szCs w:val="24"/>
        </w:rPr>
        <w:t>counsel</w:t>
      </w:r>
      <w:r w:rsidRPr="00FF05B6">
        <w:rPr>
          <w:rFonts w:ascii="Times New Roman" w:hAnsi="Times New Roman"/>
          <w:sz w:val="24"/>
          <w:szCs w:val="24"/>
        </w:rPr>
        <w:t xml:space="preserve"> for the respondent argues that the documents discovered lend support to the decision of the trial judge.  The likelihood that the </w:t>
      </w:r>
      <w:r w:rsidR="00684C19" w:rsidRPr="00FF05B6">
        <w:rPr>
          <w:rFonts w:ascii="Times New Roman" w:hAnsi="Times New Roman"/>
          <w:sz w:val="24"/>
          <w:szCs w:val="24"/>
        </w:rPr>
        <w:t>appellants</w:t>
      </w:r>
      <w:r w:rsidRPr="00FF05B6">
        <w:rPr>
          <w:rFonts w:ascii="Times New Roman" w:hAnsi="Times New Roman"/>
          <w:sz w:val="24"/>
          <w:szCs w:val="24"/>
        </w:rPr>
        <w:t xml:space="preserve"> would have such statements in their possession was central to his decision to dismiss the application.  </w:t>
      </w:r>
    </w:p>
    <w:p w14:paraId="4FBCB308" w14:textId="61393396" w:rsidR="00A61BF6" w:rsidRPr="00FF05B6" w:rsidRDefault="00A61BF6"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As to the submission </w:t>
      </w:r>
      <w:r w:rsidR="00684C19" w:rsidRPr="00FF05B6">
        <w:rPr>
          <w:rFonts w:ascii="Times New Roman" w:hAnsi="Times New Roman"/>
          <w:sz w:val="24"/>
          <w:szCs w:val="24"/>
        </w:rPr>
        <w:t>that these documents will be of limited assistance only to the appellants, and are not sufficient to offset the prejudice caused to the appellants by the delay, the respondent submits that, when read together, the documents provided give a detailed account of the entire incident from arrest through to the release of the respondent, all of which occurred in the space of approximately an hour.  There are seven statements from six members of an Garda S</w:t>
      </w:r>
      <w:r w:rsidR="001E0A4A" w:rsidRPr="00FF05B6">
        <w:rPr>
          <w:rFonts w:ascii="Times New Roman" w:hAnsi="Times New Roman"/>
          <w:sz w:val="24"/>
          <w:szCs w:val="24"/>
        </w:rPr>
        <w:t>í</w:t>
      </w:r>
      <w:r w:rsidR="00684C19" w:rsidRPr="00FF05B6">
        <w:rPr>
          <w:rFonts w:ascii="Times New Roman" w:hAnsi="Times New Roman"/>
          <w:sz w:val="24"/>
          <w:szCs w:val="24"/>
        </w:rPr>
        <w:t xml:space="preserve">ochána, four relating to the arrest of the respondent, and three relating to his time in custody, supplemented by the </w:t>
      </w:r>
      <w:r w:rsidR="001E0A4A" w:rsidRPr="00FF05B6">
        <w:rPr>
          <w:rFonts w:ascii="Times New Roman" w:hAnsi="Times New Roman"/>
          <w:sz w:val="24"/>
          <w:szCs w:val="24"/>
        </w:rPr>
        <w:t>G</w:t>
      </w:r>
      <w:r w:rsidR="00684C19" w:rsidRPr="00FF05B6">
        <w:rPr>
          <w:rFonts w:ascii="Times New Roman" w:hAnsi="Times New Roman"/>
          <w:sz w:val="24"/>
          <w:szCs w:val="24"/>
        </w:rPr>
        <w:t xml:space="preserve">arda custody record and </w:t>
      </w:r>
      <w:r w:rsidR="001E0A4A" w:rsidRPr="00FF05B6">
        <w:rPr>
          <w:rFonts w:ascii="Times New Roman" w:hAnsi="Times New Roman"/>
          <w:sz w:val="24"/>
          <w:szCs w:val="24"/>
        </w:rPr>
        <w:t>G</w:t>
      </w:r>
      <w:r w:rsidR="00684C19" w:rsidRPr="00FF05B6">
        <w:rPr>
          <w:rFonts w:ascii="Times New Roman" w:hAnsi="Times New Roman"/>
          <w:sz w:val="24"/>
          <w:szCs w:val="24"/>
        </w:rPr>
        <w:t xml:space="preserve">arda command and control printout.  It is submitted that while the trial judge did not conclude that the statements could be a panacea to the prejudice caused by delay, rather they are a factor to be taken into account in weighing up where the balance of justice lies in the application.  It is submitted on behalf of the respondent that if it had transpired that there were no </w:t>
      </w:r>
      <w:r w:rsidR="001E0A4A" w:rsidRPr="00FF05B6">
        <w:rPr>
          <w:rFonts w:ascii="Times New Roman" w:hAnsi="Times New Roman"/>
          <w:sz w:val="24"/>
          <w:szCs w:val="24"/>
        </w:rPr>
        <w:t>G</w:t>
      </w:r>
      <w:r w:rsidR="00684C19" w:rsidRPr="00FF05B6">
        <w:rPr>
          <w:rFonts w:ascii="Times New Roman" w:hAnsi="Times New Roman"/>
          <w:sz w:val="24"/>
          <w:szCs w:val="24"/>
        </w:rPr>
        <w:t>arda statements, or that such statements as there might be were of limited probative value, the appellant</w:t>
      </w:r>
      <w:r w:rsidR="00D85850">
        <w:rPr>
          <w:rFonts w:ascii="Times New Roman" w:hAnsi="Times New Roman"/>
          <w:sz w:val="24"/>
          <w:szCs w:val="24"/>
        </w:rPr>
        <w:t>s</w:t>
      </w:r>
      <w:r w:rsidR="00684C19" w:rsidRPr="00FF05B6">
        <w:rPr>
          <w:rFonts w:ascii="Times New Roman" w:hAnsi="Times New Roman"/>
          <w:sz w:val="24"/>
          <w:szCs w:val="24"/>
        </w:rPr>
        <w:t xml:space="preserve"> might have a strong argument that the trial judge erred in holding that the balance of justice lay in favour of dismissing the application.  However, it is submitted that the documents vindicate the decision of the trial judge.  It is submitted further that they demonstrate that the respondent has a strong case, and that he was the victim of a serious injustice in the course of which he sustained an injury.  </w:t>
      </w:r>
    </w:p>
    <w:p w14:paraId="1B036EB1" w14:textId="334D7D67" w:rsidR="00684C19" w:rsidRPr="00FF05B6" w:rsidRDefault="00684C19" w:rsidP="00FF05B6">
      <w:pPr>
        <w:pStyle w:val="ListParagraph"/>
        <w:tabs>
          <w:tab w:val="left" w:pos="567"/>
        </w:tabs>
        <w:spacing w:line="480" w:lineRule="auto"/>
        <w:ind w:left="0"/>
        <w:rPr>
          <w:rFonts w:ascii="Times New Roman" w:hAnsi="Times New Roman"/>
          <w:b/>
          <w:sz w:val="24"/>
          <w:szCs w:val="24"/>
          <w:u w:val="single"/>
        </w:rPr>
      </w:pPr>
      <w:r w:rsidRPr="00FF05B6">
        <w:rPr>
          <w:rFonts w:ascii="Times New Roman" w:hAnsi="Times New Roman"/>
          <w:b/>
          <w:sz w:val="24"/>
          <w:szCs w:val="24"/>
          <w:u w:val="single"/>
        </w:rPr>
        <w:t>Conclusion</w:t>
      </w:r>
    </w:p>
    <w:p w14:paraId="7CF29D11" w14:textId="1FEBFBF9" w:rsidR="000A6279" w:rsidRPr="000A6279" w:rsidRDefault="00684C19"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It is not disputed that there has been an inordinate delay on the part of the respondent in prosecuting these proceedings.  Nor was it seriously disputed that </w:t>
      </w:r>
      <w:r w:rsidR="00740D80" w:rsidRPr="00FF05B6">
        <w:rPr>
          <w:rFonts w:ascii="Times New Roman" w:hAnsi="Times New Roman"/>
          <w:sz w:val="24"/>
          <w:szCs w:val="24"/>
        </w:rPr>
        <w:t>the delay is inexcusable.  The delay was, as the appellant</w:t>
      </w:r>
      <w:r w:rsidR="00D85850">
        <w:rPr>
          <w:rFonts w:ascii="Times New Roman" w:hAnsi="Times New Roman"/>
          <w:sz w:val="24"/>
          <w:szCs w:val="24"/>
        </w:rPr>
        <w:t>s</w:t>
      </w:r>
      <w:r w:rsidR="00740D80" w:rsidRPr="00FF05B6">
        <w:rPr>
          <w:rFonts w:ascii="Times New Roman" w:hAnsi="Times New Roman"/>
          <w:sz w:val="24"/>
          <w:szCs w:val="24"/>
        </w:rPr>
        <w:t xml:space="preserve"> submit, the result of a unilateral decision taken by the </w:t>
      </w:r>
      <w:r w:rsidR="00740D80" w:rsidRPr="00FF05B6">
        <w:rPr>
          <w:rFonts w:ascii="Times New Roman" w:hAnsi="Times New Roman"/>
          <w:sz w:val="24"/>
          <w:szCs w:val="24"/>
        </w:rPr>
        <w:lastRenderedPageBreak/>
        <w:t>respondent, and is a delay of the order of four years.  While the appellants do not contend that they will suffer any specific prejudice in the defence of the proceedings as a result of this delay, they claim that in proceedings such as these, wh</w:t>
      </w:r>
      <w:r w:rsidR="009271F3">
        <w:rPr>
          <w:rFonts w:ascii="Times New Roman" w:hAnsi="Times New Roman"/>
          <w:sz w:val="24"/>
          <w:szCs w:val="24"/>
        </w:rPr>
        <w:t>ich include allegations of assault</w:t>
      </w:r>
      <w:r w:rsidR="000A6279">
        <w:rPr>
          <w:rFonts w:ascii="Times New Roman" w:hAnsi="Times New Roman"/>
          <w:sz w:val="24"/>
          <w:szCs w:val="24"/>
        </w:rPr>
        <w:t xml:space="preserve"> and false imprisonment</w:t>
      </w:r>
      <w:r w:rsidR="009271F3">
        <w:rPr>
          <w:rFonts w:ascii="Times New Roman" w:hAnsi="Times New Roman"/>
          <w:sz w:val="24"/>
          <w:szCs w:val="24"/>
        </w:rPr>
        <w:t>, and</w:t>
      </w:r>
      <w:r w:rsidR="00740D80" w:rsidRPr="00FF05B6">
        <w:rPr>
          <w:rFonts w:ascii="Times New Roman" w:hAnsi="Times New Roman"/>
          <w:sz w:val="24"/>
          <w:szCs w:val="24"/>
        </w:rPr>
        <w:t xml:space="preserve"> the outcome</w:t>
      </w:r>
      <w:r w:rsidR="009271F3">
        <w:rPr>
          <w:rFonts w:ascii="Times New Roman" w:hAnsi="Times New Roman"/>
          <w:sz w:val="24"/>
          <w:szCs w:val="24"/>
        </w:rPr>
        <w:t xml:space="preserve"> of which</w:t>
      </w:r>
      <w:r w:rsidR="00740D80" w:rsidRPr="00FF05B6">
        <w:rPr>
          <w:rFonts w:ascii="Times New Roman" w:hAnsi="Times New Roman"/>
          <w:sz w:val="24"/>
          <w:szCs w:val="24"/>
        </w:rPr>
        <w:t xml:space="preserve"> will be determined on the basis of the oral testimony of the witnesses, the appellants will inevitably suffer a general prejudice in their defence of the proceedings, such as to justify their dismissal, on the balance of justice.</w:t>
      </w:r>
    </w:p>
    <w:p w14:paraId="2E161940" w14:textId="4320BC58" w:rsidR="0025063B" w:rsidRPr="00FF05B6" w:rsidRDefault="00740D80"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The appellants further submit that, while the decision of the trial judge on an application such as this is one within his discretion, and with which this Court should not li</w:t>
      </w:r>
      <w:r w:rsidR="007C50A6" w:rsidRPr="00FF05B6">
        <w:rPr>
          <w:rFonts w:ascii="Times New Roman" w:hAnsi="Times New Roman"/>
          <w:sz w:val="24"/>
          <w:szCs w:val="24"/>
        </w:rPr>
        <w:t>ght</w:t>
      </w:r>
      <w:r w:rsidRPr="00FF05B6">
        <w:rPr>
          <w:rFonts w:ascii="Times New Roman" w:hAnsi="Times New Roman"/>
          <w:sz w:val="24"/>
          <w:szCs w:val="24"/>
        </w:rPr>
        <w:t>ly interfere, nonetheless the Court has jurisdiction to do so and should do so in this case.  The appellant</w:t>
      </w:r>
      <w:r w:rsidR="00D85850">
        <w:rPr>
          <w:rFonts w:ascii="Times New Roman" w:hAnsi="Times New Roman"/>
          <w:sz w:val="24"/>
          <w:szCs w:val="24"/>
        </w:rPr>
        <w:t>s</w:t>
      </w:r>
      <w:r w:rsidRPr="00FF05B6">
        <w:rPr>
          <w:rFonts w:ascii="Times New Roman" w:hAnsi="Times New Roman"/>
          <w:sz w:val="24"/>
          <w:szCs w:val="24"/>
        </w:rPr>
        <w:t xml:space="preserve"> rel</w:t>
      </w:r>
      <w:r w:rsidR="00D85850">
        <w:rPr>
          <w:rFonts w:ascii="Times New Roman" w:hAnsi="Times New Roman"/>
          <w:sz w:val="24"/>
          <w:szCs w:val="24"/>
        </w:rPr>
        <w:t>y</w:t>
      </w:r>
      <w:r w:rsidRPr="00FF05B6">
        <w:rPr>
          <w:rFonts w:ascii="Times New Roman" w:hAnsi="Times New Roman"/>
          <w:sz w:val="24"/>
          <w:szCs w:val="24"/>
        </w:rPr>
        <w:t xml:space="preserve"> in this regard upon the decision of Irvine J. (as she then was), when in this Court, in </w:t>
      </w:r>
      <w:r w:rsidRPr="00FF05B6">
        <w:rPr>
          <w:rFonts w:ascii="Times New Roman" w:hAnsi="Times New Roman"/>
          <w:i/>
          <w:sz w:val="24"/>
          <w:szCs w:val="24"/>
        </w:rPr>
        <w:t xml:space="preserve">Collins v. Minister for Justice, Equality and Law Reform </w:t>
      </w:r>
      <w:r w:rsidR="001E0A4A" w:rsidRPr="00FF05B6">
        <w:rPr>
          <w:rFonts w:ascii="Times New Roman" w:hAnsi="Times New Roman"/>
          <w:i/>
          <w:sz w:val="24"/>
          <w:szCs w:val="24"/>
        </w:rPr>
        <w:t xml:space="preserve">and ors. </w:t>
      </w:r>
      <w:r w:rsidRPr="00FF05B6">
        <w:rPr>
          <w:rFonts w:ascii="Times New Roman" w:hAnsi="Times New Roman"/>
          <w:sz w:val="24"/>
          <w:szCs w:val="24"/>
        </w:rPr>
        <w:t>[2015] IECA 27 she stated, at para. 79:</w:t>
      </w:r>
    </w:p>
    <w:p w14:paraId="354FE006" w14:textId="495D40F2" w:rsidR="00740D80" w:rsidRPr="00FF05B6" w:rsidRDefault="00740D80" w:rsidP="00FF05B6">
      <w:pPr>
        <w:pStyle w:val="ListParagraph"/>
        <w:tabs>
          <w:tab w:val="left" w:pos="567"/>
        </w:tabs>
        <w:spacing w:line="480" w:lineRule="auto"/>
        <w:ind w:left="567"/>
        <w:rPr>
          <w:rFonts w:ascii="Times New Roman" w:hAnsi="Times New Roman"/>
          <w:b/>
          <w:sz w:val="24"/>
          <w:szCs w:val="24"/>
          <w:u w:val="single"/>
        </w:rPr>
      </w:pPr>
      <w:r w:rsidRPr="00FF05B6">
        <w:rPr>
          <w:rFonts w:ascii="Times New Roman" w:hAnsi="Times New Roman"/>
          <w:sz w:val="24"/>
          <w:szCs w:val="24"/>
        </w:rPr>
        <w:tab/>
        <w:t>“</w:t>
      </w:r>
      <w:r w:rsidR="002C42B9" w:rsidRPr="00FF05B6">
        <w:rPr>
          <w:rFonts w:ascii="Times New Roman" w:hAnsi="Times New Roman"/>
          <w:sz w:val="24"/>
          <w:szCs w:val="24"/>
        </w:rPr>
        <w:t>[</w:t>
      </w:r>
      <w:r w:rsidRPr="00FF05B6">
        <w:rPr>
          <w:rFonts w:ascii="Times New Roman" w:hAnsi="Times New Roman"/>
          <w:sz w:val="24"/>
          <w:szCs w:val="24"/>
        </w:rPr>
        <w:t>T</w:t>
      </w:r>
      <w:r w:rsidR="002C42B9" w:rsidRPr="00FF05B6">
        <w:rPr>
          <w:rFonts w:ascii="Times New Roman" w:hAnsi="Times New Roman"/>
          <w:sz w:val="24"/>
          <w:szCs w:val="24"/>
        </w:rPr>
        <w:t>]</w:t>
      </w:r>
      <w:r w:rsidRPr="00FF05B6">
        <w:rPr>
          <w:rFonts w:ascii="Times New Roman" w:hAnsi="Times New Roman"/>
          <w:sz w:val="24"/>
          <w:szCs w:val="24"/>
        </w:rPr>
        <w:t xml:space="preserve">herefore, we consider that the true position is that set out by MacMenamin J. in </w:t>
      </w:r>
      <w:r w:rsidRPr="00FF05B6">
        <w:rPr>
          <w:rFonts w:ascii="Times New Roman" w:hAnsi="Times New Roman"/>
          <w:i/>
          <w:sz w:val="24"/>
          <w:szCs w:val="24"/>
        </w:rPr>
        <w:t>Lismore Homes</w:t>
      </w:r>
      <w:r w:rsidRPr="00FF05B6">
        <w:rPr>
          <w:rFonts w:ascii="Times New Roman" w:hAnsi="Times New Roman"/>
          <w:sz w:val="24"/>
          <w:szCs w:val="24"/>
        </w:rPr>
        <w:t>, namely, that while the Court of Appeal (or</w:t>
      </w:r>
      <w:r w:rsidR="00EF78B6" w:rsidRPr="00FF05B6">
        <w:rPr>
          <w:rFonts w:ascii="Times New Roman" w:hAnsi="Times New Roman"/>
          <w:sz w:val="24"/>
          <w:szCs w:val="24"/>
        </w:rPr>
        <w:t>,</w:t>
      </w:r>
      <w:r w:rsidRPr="00FF05B6">
        <w:rPr>
          <w:rFonts w:ascii="Times New Roman" w:hAnsi="Times New Roman"/>
          <w:sz w:val="24"/>
          <w:szCs w:val="24"/>
        </w:rPr>
        <w:t xml:space="preserve"> as the case may be, the Supreme Court) will pay great weight to the views of the trial judge, the ultimate decision is one for the appellate court, untrammelled by any </w:t>
      </w:r>
      <w:r w:rsidRPr="00FF05B6">
        <w:rPr>
          <w:rFonts w:ascii="Times New Roman" w:hAnsi="Times New Roman"/>
          <w:i/>
          <w:sz w:val="24"/>
          <w:szCs w:val="24"/>
        </w:rPr>
        <w:t>a priori</w:t>
      </w:r>
      <w:r w:rsidRPr="00FF05B6">
        <w:rPr>
          <w:rFonts w:ascii="Times New Roman" w:hAnsi="Times New Roman"/>
          <w:sz w:val="24"/>
          <w:szCs w:val="24"/>
        </w:rPr>
        <w:t xml:space="preserve"> rule that would restrict the scope of that appeal by permitting th</w:t>
      </w:r>
      <w:r w:rsidR="00EF78B6" w:rsidRPr="00FF05B6">
        <w:rPr>
          <w:rFonts w:ascii="Times New Roman" w:hAnsi="Times New Roman"/>
          <w:sz w:val="24"/>
          <w:szCs w:val="24"/>
        </w:rPr>
        <w:t>at</w:t>
      </w:r>
      <w:r w:rsidRPr="00FF05B6">
        <w:rPr>
          <w:rFonts w:ascii="Times New Roman" w:hAnsi="Times New Roman"/>
          <w:sz w:val="24"/>
          <w:szCs w:val="24"/>
        </w:rPr>
        <w:t xml:space="preserve"> court to interfere with the decision of the High Court only in those cases where an error of principle was disclosed.”</w:t>
      </w:r>
    </w:p>
    <w:p w14:paraId="20D36B0B" w14:textId="6639EAF6" w:rsidR="009B2AD0" w:rsidRPr="00FF05B6" w:rsidRDefault="00740D80"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On the other hand, the respondent submits that any prejudice that the appellants might suffer by reason of the delay is mitigated sufficiently by the statements made by all of the members of an Garda S</w:t>
      </w:r>
      <w:r w:rsidR="00EB3040" w:rsidRPr="00FF05B6">
        <w:rPr>
          <w:rFonts w:ascii="Times New Roman" w:hAnsi="Times New Roman"/>
          <w:sz w:val="24"/>
          <w:szCs w:val="24"/>
        </w:rPr>
        <w:t>í</w:t>
      </w:r>
      <w:r w:rsidRPr="00FF05B6">
        <w:rPr>
          <w:rFonts w:ascii="Times New Roman" w:hAnsi="Times New Roman"/>
          <w:sz w:val="24"/>
          <w:szCs w:val="24"/>
        </w:rPr>
        <w:t xml:space="preserve">ochána involved in the arrest and detention of the respondent, together with the other </w:t>
      </w:r>
      <w:r w:rsidR="00EB3040" w:rsidRPr="00FF05B6">
        <w:rPr>
          <w:rFonts w:ascii="Times New Roman" w:hAnsi="Times New Roman"/>
          <w:sz w:val="24"/>
          <w:szCs w:val="24"/>
        </w:rPr>
        <w:t>G</w:t>
      </w:r>
      <w:r w:rsidRPr="00FF05B6">
        <w:rPr>
          <w:rFonts w:ascii="Times New Roman" w:hAnsi="Times New Roman"/>
          <w:sz w:val="24"/>
          <w:szCs w:val="24"/>
        </w:rPr>
        <w:t>arda records in the possession of the appellants.  The trial judge applied the correct test, and having done so, his conclusions are supported by the records of the appellants.</w:t>
      </w:r>
    </w:p>
    <w:p w14:paraId="5440B90E" w14:textId="053762B7" w:rsidR="00740D80" w:rsidRPr="00FF05B6" w:rsidRDefault="00740D80"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lastRenderedPageBreak/>
        <w:t>The appellants are correct in their submission that this is not a case which will be determined by reference to written records.  That is not, however, the relevance of the written records that are available in these proceedings</w:t>
      </w:r>
      <w:r w:rsidR="00E430EE" w:rsidRPr="00FF05B6">
        <w:rPr>
          <w:rFonts w:ascii="Times New Roman" w:hAnsi="Times New Roman"/>
          <w:sz w:val="24"/>
          <w:szCs w:val="24"/>
        </w:rPr>
        <w:t>.  Their relevance is that they will serve to refresh the memories of the members of an Garda S</w:t>
      </w:r>
      <w:r w:rsidR="00EB3040" w:rsidRPr="00FF05B6">
        <w:rPr>
          <w:rFonts w:ascii="Times New Roman" w:hAnsi="Times New Roman"/>
          <w:sz w:val="24"/>
          <w:szCs w:val="24"/>
        </w:rPr>
        <w:t>í</w:t>
      </w:r>
      <w:r w:rsidR="00E430EE" w:rsidRPr="00FF05B6">
        <w:rPr>
          <w:rFonts w:ascii="Times New Roman" w:hAnsi="Times New Roman"/>
          <w:sz w:val="24"/>
          <w:szCs w:val="24"/>
        </w:rPr>
        <w:t xml:space="preserve">ochána who were involved in the events giving rise to these proceedings.  The key events i.e. the arrest and detention of the respondent are admitted by the appellants in the defence filed on their behalf.  That is a significant factor in the Court’s consideration of the matter. </w:t>
      </w:r>
      <w:r w:rsidR="00BD1636">
        <w:rPr>
          <w:rFonts w:ascii="Times New Roman" w:hAnsi="Times New Roman"/>
          <w:sz w:val="24"/>
          <w:szCs w:val="24"/>
        </w:rPr>
        <w:t>Although there is a dispute of some significance as regards exactly what occurred,</w:t>
      </w:r>
      <w:r w:rsidR="00E430EE" w:rsidRPr="00FF05B6">
        <w:rPr>
          <w:rFonts w:ascii="Times New Roman" w:hAnsi="Times New Roman"/>
          <w:sz w:val="24"/>
          <w:szCs w:val="24"/>
        </w:rPr>
        <w:t xml:space="preserve"> </w:t>
      </w:r>
      <w:r w:rsidR="00BD1636">
        <w:rPr>
          <w:rFonts w:ascii="Times New Roman" w:hAnsi="Times New Roman"/>
          <w:sz w:val="24"/>
          <w:szCs w:val="24"/>
        </w:rPr>
        <w:t>t</w:t>
      </w:r>
      <w:r w:rsidR="00E430EE" w:rsidRPr="00FF05B6">
        <w:rPr>
          <w:rFonts w:ascii="Times New Roman" w:hAnsi="Times New Roman"/>
          <w:sz w:val="24"/>
          <w:szCs w:val="24"/>
        </w:rPr>
        <w:t xml:space="preserve">he events themselves are uncomplicated.  </w:t>
      </w:r>
    </w:p>
    <w:p w14:paraId="0BE1A5B2" w14:textId="0C8A0B63" w:rsidR="00B85144" w:rsidRPr="00BD1636" w:rsidRDefault="00E430EE"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It is not in dispute that the trial judge applied the correct test and so really the only question to be addressed by this Court on this appeal is whether or not in doing so he came to a conclusion</w:t>
      </w:r>
      <w:r w:rsidR="000A6279">
        <w:rPr>
          <w:rFonts w:ascii="Times New Roman" w:hAnsi="Times New Roman"/>
          <w:sz w:val="24"/>
          <w:szCs w:val="24"/>
        </w:rPr>
        <w:t xml:space="preserve">, as regards the balance of justice, </w:t>
      </w:r>
      <w:r w:rsidRPr="00FF05B6">
        <w:rPr>
          <w:rFonts w:ascii="Times New Roman" w:hAnsi="Times New Roman"/>
          <w:sz w:val="24"/>
          <w:szCs w:val="24"/>
        </w:rPr>
        <w:t>that was so unreasonable</w:t>
      </w:r>
      <w:r w:rsidR="000A6279">
        <w:rPr>
          <w:rFonts w:ascii="Times New Roman" w:hAnsi="Times New Roman"/>
          <w:sz w:val="24"/>
          <w:szCs w:val="24"/>
        </w:rPr>
        <w:t>, in the particular circumstances of the case, that it is likely to give rise to an injustice</w:t>
      </w:r>
      <w:r w:rsidRPr="00FF05B6">
        <w:rPr>
          <w:rFonts w:ascii="Times New Roman" w:hAnsi="Times New Roman"/>
          <w:sz w:val="24"/>
          <w:szCs w:val="24"/>
        </w:rPr>
        <w:t xml:space="preserve"> </w:t>
      </w:r>
      <w:r w:rsidR="00B85144">
        <w:rPr>
          <w:rFonts w:ascii="Times New Roman" w:hAnsi="Times New Roman"/>
          <w:sz w:val="24"/>
          <w:szCs w:val="24"/>
        </w:rPr>
        <w:t>and</w:t>
      </w:r>
      <w:r w:rsidRPr="00FF05B6">
        <w:rPr>
          <w:rFonts w:ascii="Times New Roman" w:hAnsi="Times New Roman"/>
          <w:sz w:val="24"/>
          <w:szCs w:val="24"/>
        </w:rPr>
        <w:t xml:space="preserve"> should be set aside</w:t>
      </w:r>
      <w:r w:rsidR="00B85144">
        <w:rPr>
          <w:rFonts w:ascii="Times New Roman" w:hAnsi="Times New Roman"/>
          <w:sz w:val="24"/>
          <w:szCs w:val="24"/>
        </w:rPr>
        <w:t xml:space="preserve"> for that reason</w:t>
      </w:r>
      <w:r w:rsidRPr="00FF05B6">
        <w:rPr>
          <w:rFonts w:ascii="Times New Roman" w:hAnsi="Times New Roman"/>
          <w:sz w:val="24"/>
          <w:szCs w:val="24"/>
        </w:rPr>
        <w:t xml:space="preserve">.  </w:t>
      </w:r>
      <w:r w:rsidR="00B85144">
        <w:rPr>
          <w:rFonts w:ascii="Times New Roman" w:hAnsi="Times New Roman"/>
          <w:sz w:val="24"/>
          <w:szCs w:val="24"/>
        </w:rPr>
        <w:t>In making his decision, the trial judge had regard to the likelihood -</w:t>
      </w:r>
      <w:r w:rsidR="00A621D0">
        <w:rPr>
          <w:rFonts w:ascii="Times New Roman" w:hAnsi="Times New Roman"/>
          <w:sz w:val="24"/>
          <w:szCs w:val="24"/>
        </w:rPr>
        <w:t xml:space="preserve"> </w:t>
      </w:r>
      <w:r w:rsidR="00B85144">
        <w:rPr>
          <w:rFonts w:ascii="Times New Roman" w:hAnsi="Times New Roman"/>
          <w:sz w:val="24"/>
          <w:szCs w:val="24"/>
        </w:rPr>
        <w:t>later proven to be correct</w:t>
      </w:r>
      <w:r w:rsidR="00A621D0">
        <w:rPr>
          <w:rFonts w:ascii="Times New Roman" w:hAnsi="Times New Roman"/>
          <w:sz w:val="24"/>
          <w:szCs w:val="24"/>
        </w:rPr>
        <w:t xml:space="preserve"> </w:t>
      </w:r>
      <w:r w:rsidR="00B85144">
        <w:rPr>
          <w:rFonts w:ascii="Times New Roman" w:hAnsi="Times New Roman"/>
          <w:sz w:val="24"/>
          <w:szCs w:val="24"/>
        </w:rPr>
        <w:t>-</w:t>
      </w:r>
      <w:r w:rsidR="00A621D0">
        <w:rPr>
          <w:rFonts w:ascii="Times New Roman" w:hAnsi="Times New Roman"/>
          <w:sz w:val="24"/>
          <w:szCs w:val="24"/>
        </w:rPr>
        <w:t xml:space="preserve"> </w:t>
      </w:r>
      <w:r w:rsidR="00B85144">
        <w:rPr>
          <w:rFonts w:ascii="Times New Roman" w:hAnsi="Times New Roman"/>
          <w:sz w:val="24"/>
          <w:szCs w:val="24"/>
        </w:rPr>
        <w:t>that the appellants would have contemporaneous statements and/or contemporaneous records that would assist them in the defence of the proceedings. This was a perfectly reasonable assumption. The Garda</w:t>
      </w:r>
      <w:r w:rsidR="00A621D0">
        <w:rPr>
          <w:rFonts w:ascii="Times New Roman" w:hAnsi="Times New Roman"/>
          <w:sz w:val="24"/>
          <w:szCs w:val="24"/>
        </w:rPr>
        <w:t>í</w:t>
      </w:r>
      <w:r w:rsidR="00B85144">
        <w:rPr>
          <w:rFonts w:ascii="Times New Roman" w:hAnsi="Times New Roman"/>
          <w:sz w:val="24"/>
          <w:szCs w:val="24"/>
        </w:rPr>
        <w:t xml:space="preserve"> are required to maintain records relating to the arrest and detention of a</w:t>
      </w:r>
      <w:r w:rsidR="00D063AF">
        <w:rPr>
          <w:rFonts w:ascii="Times New Roman" w:hAnsi="Times New Roman"/>
          <w:sz w:val="24"/>
          <w:szCs w:val="24"/>
        </w:rPr>
        <w:t>ny person</w:t>
      </w:r>
      <w:r w:rsidR="00B85144">
        <w:rPr>
          <w:rFonts w:ascii="Times New Roman" w:hAnsi="Times New Roman"/>
          <w:sz w:val="24"/>
          <w:szCs w:val="24"/>
        </w:rPr>
        <w:t xml:space="preserve">. </w:t>
      </w:r>
      <w:r w:rsidR="00BD1636">
        <w:rPr>
          <w:rFonts w:ascii="Times New Roman" w:hAnsi="Times New Roman"/>
          <w:sz w:val="24"/>
          <w:szCs w:val="24"/>
        </w:rPr>
        <w:t>While the witness statements of the various Gardaí involved were clearly prepared in response to these proceedings, nonetheless they were able to provide those statements, possibly with the assistance of their own notes, in early 2013.</w:t>
      </w:r>
    </w:p>
    <w:p w14:paraId="428BDC28" w14:textId="4D9854B5" w:rsidR="00BD1636" w:rsidRPr="00BD1636" w:rsidRDefault="00BD1636" w:rsidP="00FF05B6">
      <w:pPr>
        <w:pStyle w:val="ListParagraph"/>
        <w:numPr>
          <w:ilvl w:val="0"/>
          <w:numId w:val="43"/>
        </w:numPr>
        <w:tabs>
          <w:tab w:val="left" w:pos="567"/>
        </w:tabs>
        <w:spacing w:line="480" w:lineRule="auto"/>
        <w:ind w:left="0" w:firstLine="0"/>
        <w:rPr>
          <w:rFonts w:ascii="Times New Roman" w:hAnsi="Times New Roman"/>
          <w:sz w:val="24"/>
          <w:szCs w:val="24"/>
        </w:rPr>
      </w:pPr>
      <w:r w:rsidRPr="00BD1636">
        <w:rPr>
          <w:rFonts w:ascii="Times New Roman" w:hAnsi="Times New Roman"/>
          <w:sz w:val="24"/>
          <w:szCs w:val="24"/>
        </w:rPr>
        <w:t>While counsel f</w:t>
      </w:r>
      <w:r>
        <w:rPr>
          <w:rFonts w:ascii="Times New Roman" w:hAnsi="Times New Roman"/>
          <w:sz w:val="24"/>
          <w:szCs w:val="24"/>
        </w:rPr>
        <w:t xml:space="preserve">or the appellants places great emphasis on the nature of these proceedings and the difficulty that witnesses will have in recalling the events surrounding an alleged assault so long after the event, it can hardly be doubted that in a case where the </w:t>
      </w:r>
      <w:r w:rsidR="0098348C">
        <w:rPr>
          <w:rFonts w:ascii="Times New Roman" w:hAnsi="Times New Roman"/>
          <w:sz w:val="24"/>
          <w:szCs w:val="24"/>
        </w:rPr>
        <w:t>appellants</w:t>
      </w:r>
      <w:r>
        <w:rPr>
          <w:rFonts w:ascii="Times New Roman" w:hAnsi="Times New Roman"/>
          <w:sz w:val="24"/>
          <w:szCs w:val="24"/>
        </w:rPr>
        <w:t xml:space="preserve"> ha</w:t>
      </w:r>
      <w:r w:rsidR="004D4F91">
        <w:rPr>
          <w:rFonts w:ascii="Times New Roman" w:hAnsi="Times New Roman"/>
          <w:sz w:val="24"/>
          <w:szCs w:val="24"/>
        </w:rPr>
        <w:t>ve</w:t>
      </w:r>
      <w:r>
        <w:rPr>
          <w:rFonts w:ascii="Times New Roman" w:hAnsi="Times New Roman"/>
          <w:sz w:val="24"/>
          <w:szCs w:val="24"/>
        </w:rPr>
        <w:t xml:space="preserve"> available to them the benefit of such statements and other information that the general prejudice that might otherwise be presumed to flow from such delay is greatly </w:t>
      </w:r>
      <w:r>
        <w:rPr>
          <w:rFonts w:ascii="Times New Roman" w:hAnsi="Times New Roman"/>
          <w:sz w:val="24"/>
          <w:szCs w:val="24"/>
        </w:rPr>
        <w:lastRenderedPageBreak/>
        <w:t xml:space="preserve">mitigated. So those authorities relied upon by the appellants as regards the impact of delays of </w:t>
      </w:r>
      <w:r w:rsidR="00585B62">
        <w:rPr>
          <w:rFonts w:ascii="Times New Roman" w:hAnsi="Times New Roman"/>
          <w:sz w:val="24"/>
          <w:szCs w:val="24"/>
        </w:rPr>
        <w:t>four</w:t>
      </w:r>
      <w:r>
        <w:rPr>
          <w:rFonts w:ascii="Times New Roman" w:hAnsi="Times New Roman"/>
          <w:sz w:val="24"/>
          <w:szCs w:val="24"/>
        </w:rPr>
        <w:t xml:space="preserve"> to </w:t>
      </w:r>
      <w:r w:rsidR="00585B62">
        <w:rPr>
          <w:rFonts w:ascii="Times New Roman" w:hAnsi="Times New Roman"/>
          <w:sz w:val="24"/>
          <w:szCs w:val="24"/>
        </w:rPr>
        <w:t>five</w:t>
      </w:r>
      <w:r>
        <w:rPr>
          <w:rFonts w:ascii="Times New Roman" w:hAnsi="Times New Roman"/>
          <w:sz w:val="24"/>
          <w:szCs w:val="24"/>
        </w:rPr>
        <w:t xml:space="preserve"> years need to be considered in the light of the availability of such documentation.</w:t>
      </w:r>
      <w:r w:rsidR="004D4F91">
        <w:rPr>
          <w:rFonts w:ascii="Times New Roman" w:hAnsi="Times New Roman"/>
          <w:sz w:val="24"/>
          <w:szCs w:val="24"/>
        </w:rPr>
        <w:t xml:space="preserve"> In such circumstances as these, the question the </w:t>
      </w:r>
      <w:r w:rsidR="009A6A4B">
        <w:rPr>
          <w:rFonts w:ascii="Times New Roman" w:hAnsi="Times New Roman"/>
          <w:sz w:val="24"/>
          <w:szCs w:val="24"/>
        </w:rPr>
        <w:t>C</w:t>
      </w:r>
      <w:r w:rsidR="004D4F91">
        <w:rPr>
          <w:rFonts w:ascii="Times New Roman" w:hAnsi="Times New Roman"/>
          <w:sz w:val="24"/>
          <w:szCs w:val="24"/>
        </w:rPr>
        <w:t xml:space="preserve">ourt must ask itself in considering the balance of justice is where the greater injustice lies i.e. in the dismissal of an action in which some of the basic facts have been admitted in the pleadings (i.e. the arrest and detention of the respondent), or in permitting the continuation of the proceedings after such a long period of time, even though the </w:t>
      </w:r>
      <w:r w:rsidR="009A6A4B">
        <w:rPr>
          <w:rFonts w:ascii="Times New Roman" w:hAnsi="Times New Roman"/>
          <w:sz w:val="24"/>
          <w:szCs w:val="24"/>
        </w:rPr>
        <w:t>appellant</w:t>
      </w:r>
      <w:r w:rsidR="004D4F91">
        <w:rPr>
          <w:rFonts w:ascii="Times New Roman" w:hAnsi="Times New Roman"/>
          <w:sz w:val="24"/>
          <w:szCs w:val="24"/>
        </w:rPr>
        <w:t>s in the proceedings have available to them detailed statements and other information, and have admitted certain key facts in the pleadings (though to be very clear, no tort has been admitted). Put this way, I consider that it is clear that the greater injustice is likely to result from the dismissal of the proceedings, and that the trial judge was correct in the manner in which he exercised his discretion.</w:t>
      </w:r>
    </w:p>
    <w:p w14:paraId="29230E48" w14:textId="773FB640" w:rsidR="00E430EE" w:rsidRPr="00FF05B6" w:rsidRDefault="00E430EE"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I might add that even if th</w:t>
      </w:r>
      <w:r w:rsidR="00CD1234">
        <w:rPr>
          <w:rFonts w:ascii="Times New Roman" w:hAnsi="Times New Roman"/>
          <w:sz w:val="24"/>
          <w:szCs w:val="24"/>
        </w:rPr>
        <w:t xml:space="preserve">is </w:t>
      </w:r>
      <w:r w:rsidR="0098348C">
        <w:rPr>
          <w:rFonts w:ascii="Times New Roman" w:hAnsi="Times New Roman"/>
          <w:sz w:val="24"/>
          <w:szCs w:val="24"/>
        </w:rPr>
        <w:t>C</w:t>
      </w:r>
      <w:r w:rsidR="00CD1234">
        <w:rPr>
          <w:rFonts w:ascii="Times New Roman" w:hAnsi="Times New Roman"/>
          <w:sz w:val="24"/>
          <w:szCs w:val="24"/>
        </w:rPr>
        <w:t xml:space="preserve">ourt had not had the benefit of the discovery made by the appellants, it is very likely that </w:t>
      </w:r>
      <w:r w:rsidR="003043C3">
        <w:rPr>
          <w:rFonts w:ascii="Times New Roman" w:hAnsi="Times New Roman"/>
          <w:sz w:val="24"/>
          <w:szCs w:val="24"/>
        </w:rPr>
        <w:t>I would have reached the same conclusion</w:t>
      </w:r>
      <w:r w:rsidR="004D4F91">
        <w:rPr>
          <w:rFonts w:ascii="Times New Roman" w:hAnsi="Times New Roman"/>
          <w:sz w:val="24"/>
          <w:szCs w:val="24"/>
        </w:rPr>
        <w:t>. That said, however, it should not be presumed by reason of this decision that, in any case in which there is a likelihood that statements may be available</w:t>
      </w:r>
      <w:r w:rsidR="002111AE">
        <w:rPr>
          <w:rFonts w:ascii="Times New Roman" w:hAnsi="Times New Roman"/>
          <w:sz w:val="24"/>
          <w:szCs w:val="24"/>
        </w:rPr>
        <w:t>,</w:t>
      </w:r>
      <w:r w:rsidR="00021DD5">
        <w:rPr>
          <w:rFonts w:ascii="Times New Roman" w:hAnsi="Times New Roman"/>
          <w:sz w:val="24"/>
          <w:szCs w:val="24"/>
        </w:rPr>
        <w:t xml:space="preserve"> such statements will, in effect, always tilt the balance of justice test in favour of a delaying plaintiff. As I said above, the factual matrix surrounding these proceedings is uncomplicated and the fact that the arrest and detention of the respondent is admitted in the pleadings is of some considerable significance in the context of this application. It remains the case that in such applications, the </w:t>
      </w:r>
      <w:r w:rsidR="009A6A4B">
        <w:rPr>
          <w:rFonts w:ascii="Times New Roman" w:hAnsi="Times New Roman"/>
          <w:sz w:val="24"/>
          <w:szCs w:val="24"/>
        </w:rPr>
        <w:t>c</w:t>
      </w:r>
      <w:r w:rsidR="00021DD5">
        <w:rPr>
          <w:rFonts w:ascii="Times New Roman" w:hAnsi="Times New Roman"/>
          <w:sz w:val="24"/>
          <w:szCs w:val="24"/>
        </w:rPr>
        <w:t>ourt must conduct a rigorous assessment as to where the balance of justice lies notwithstanding the availability, or likely availability of statements of witnesses in the hands of the defendant</w:t>
      </w:r>
      <w:r w:rsidR="004D4F91">
        <w:rPr>
          <w:rFonts w:ascii="Times New Roman" w:hAnsi="Times New Roman"/>
          <w:sz w:val="24"/>
          <w:szCs w:val="24"/>
        </w:rPr>
        <w:t xml:space="preserve"> </w:t>
      </w:r>
      <w:r w:rsidR="00021DD5">
        <w:rPr>
          <w:rFonts w:ascii="Times New Roman" w:hAnsi="Times New Roman"/>
          <w:sz w:val="24"/>
          <w:szCs w:val="24"/>
        </w:rPr>
        <w:t xml:space="preserve">relating to the events giving rise to the proceedings.  </w:t>
      </w:r>
    </w:p>
    <w:p w14:paraId="243CFBA4" w14:textId="18B06102" w:rsidR="00E430EE" w:rsidRPr="00FF05B6" w:rsidRDefault="00E430EE"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 xml:space="preserve">As the respondent has been entirely successful in the appeal, my provisional view is that he is entitled to his costs both in this Court and the High Court. </w:t>
      </w:r>
      <w:r w:rsidR="005D5995" w:rsidRPr="00FF05B6">
        <w:rPr>
          <w:rFonts w:ascii="Times New Roman" w:hAnsi="Times New Roman"/>
          <w:sz w:val="24"/>
          <w:szCs w:val="24"/>
        </w:rPr>
        <w:t xml:space="preserve">However, I also consider it appropriate to place a stay on the execution of that order pending the determination of the </w:t>
      </w:r>
      <w:r w:rsidR="005D5995" w:rsidRPr="00FF05B6">
        <w:rPr>
          <w:rFonts w:ascii="Times New Roman" w:hAnsi="Times New Roman"/>
          <w:sz w:val="24"/>
          <w:szCs w:val="24"/>
        </w:rPr>
        <w:lastRenderedPageBreak/>
        <w:t>proceedings.</w:t>
      </w:r>
      <w:r w:rsidRPr="00FF05B6">
        <w:rPr>
          <w:rFonts w:ascii="Times New Roman" w:hAnsi="Times New Roman"/>
          <w:sz w:val="24"/>
          <w:szCs w:val="24"/>
        </w:rPr>
        <w:t xml:space="preserve"> If the appellants wish to contend for an alternative form of order, they will have liberty to apply to the Court of Appeal Office within fourteen days for a brief supplemental hearing on the issue of costs</w:t>
      </w:r>
      <w:r w:rsidR="00ED4DC4" w:rsidRPr="00FF05B6">
        <w:rPr>
          <w:rFonts w:ascii="Times New Roman" w:hAnsi="Times New Roman"/>
          <w:sz w:val="24"/>
          <w:szCs w:val="24"/>
        </w:rPr>
        <w:t xml:space="preserve">.  If such hearing is requested and results in an order in the terms already proposed by the </w:t>
      </w:r>
      <w:r w:rsidR="004F3995" w:rsidRPr="00FF05B6">
        <w:rPr>
          <w:rFonts w:ascii="Times New Roman" w:hAnsi="Times New Roman"/>
          <w:sz w:val="24"/>
          <w:szCs w:val="24"/>
        </w:rPr>
        <w:t>C</w:t>
      </w:r>
      <w:r w:rsidR="00ED4DC4" w:rsidRPr="00FF05B6">
        <w:rPr>
          <w:rFonts w:ascii="Times New Roman" w:hAnsi="Times New Roman"/>
          <w:sz w:val="24"/>
          <w:szCs w:val="24"/>
        </w:rPr>
        <w:t>ourt, the appellants may be liable for the additional costs of such hearing.  In default of receipt of such application, an order in the terms I have proposed will be made.</w:t>
      </w:r>
    </w:p>
    <w:p w14:paraId="2D68B8DA" w14:textId="6B44E4B9" w:rsidR="008262E7" w:rsidRPr="00FF05B6" w:rsidRDefault="00ED4DC4" w:rsidP="00FF05B6">
      <w:pPr>
        <w:pStyle w:val="ListParagraph"/>
        <w:numPr>
          <w:ilvl w:val="0"/>
          <w:numId w:val="43"/>
        </w:numPr>
        <w:tabs>
          <w:tab w:val="left" w:pos="567"/>
        </w:tabs>
        <w:spacing w:line="480" w:lineRule="auto"/>
        <w:ind w:left="0" w:firstLine="0"/>
        <w:rPr>
          <w:rFonts w:ascii="Times New Roman" w:hAnsi="Times New Roman"/>
          <w:b/>
          <w:sz w:val="24"/>
          <w:szCs w:val="24"/>
          <w:u w:val="single"/>
        </w:rPr>
      </w:pPr>
      <w:r w:rsidRPr="00FF05B6">
        <w:rPr>
          <w:rFonts w:ascii="Times New Roman" w:hAnsi="Times New Roman"/>
          <w:sz w:val="24"/>
          <w:szCs w:val="24"/>
        </w:rPr>
        <w:t>Since this judgment is being delivered electronically, Birmingham P. and Pilkington J. have indicated their agreement to the same.</w:t>
      </w:r>
    </w:p>
    <w:sectPr w:rsidR="008262E7" w:rsidRPr="00FF05B6" w:rsidSect="00081285">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5F688" w14:textId="77777777" w:rsidR="00372012" w:rsidRDefault="00372012">
      <w:r>
        <w:separator/>
      </w:r>
    </w:p>
  </w:endnote>
  <w:endnote w:type="continuationSeparator" w:id="0">
    <w:p w14:paraId="7631DAA9" w14:textId="77777777" w:rsidR="00372012" w:rsidRDefault="0037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D6526" w14:textId="77777777" w:rsidR="00D157C3" w:rsidRDefault="00D15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CFE94" w14:textId="77777777" w:rsidR="00D157C3" w:rsidRDefault="00D15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D5C31" w14:textId="77777777" w:rsidR="00D157C3" w:rsidRDefault="00D15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B8E25" w14:textId="77777777" w:rsidR="00372012" w:rsidRDefault="00372012">
      <w:r>
        <w:separator/>
      </w:r>
    </w:p>
  </w:footnote>
  <w:footnote w:type="continuationSeparator" w:id="0">
    <w:p w14:paraId="5C9FA672" w14:textId="77777777" w:rsidR="00372012" w:rsidRDefault="0037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ED09" w14:textId="77777777" w:rsidR="00081285" w:rsidRDefault="000812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1D077339" w14:textId="77777777" w:rsidR="00081285" w:rsidRDefault="00081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7E5C9" w14:textId="26B904A7" w:rsidR="00081285" w:rsidRDefault="000812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57C3">
      <w:rPr>
        <w:rStyle w:val="PageNumber"/>
        <w:noProof/>
      </w:rPr>
      <w:t>- 4 -</w:t>
    </w:r>
    <w:r>
      <w:rPr>
        <w:rStyle w:val="PageNumber"/>
      </w:rPr>
      <w:fldChar w:fldCharType="end"/>
    </w:r>
  </w:p>
  <w:p w14:paraId="5F7721FD" w14:textId="77777777" w:rsidR="00081285" w:rsidRDefault="00081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E6817" w14:textId="77777777" w:rsidR="00081285" w:rsidRDefault="00EC53B6">
    <w:pPr>
      <w:pStyle w:val="Header"/>
      <w:jc w:val="center"/>
    </w:pPr>
    <w:r w:rsidRPr="00BB5679">
      <w:rPr>
        <w:noProof/>
      </w:rPr>
      <w:drawing>
        <wp:inline distT="0" distB="0" distL="0" distR="0" wp14:anchorId="5F01D480" wp14:editId="64420E83">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F9D"/>
    <w:multiLevelType w:val="multilevel"/>
    <w:tmpl w:val="6DB43412"/>
    <w:lvl w:ilvl="0">
      <w:start w:val="2"/>
      <w:numFmt w:val="decimal"/>
      <w:lvlText w:val="(%1)"/>
      <w:lvlJc w:val="left"/>
      <w:pPr>
        <w:tabs>
          <w:tab w:val="num" w:pos="1134"/>
        </w:tabs>
        <w:ind w:left="567"/>
      </w:pPr>
      <w:rPr>
        <w:rFonts w:cs="Times New Roman" w:hint="default"/>
        <w:b w:val="0"/>
        <w:i w:val="0"/>
        <w:sz w:val="24"/>
      </w:rPr>
    </w:lvl>
    <w:lvl w:ilvl="1">
      <w:start w:val="2"/>
      <w:numFmt w:val="lowerLetter"/>
      <w:lvlText w:val="(%2)"/>
      <w:lvlJc w:val="left"/>
      <w:pPr>
        <w:tabs>
          <w:tab w:val="num" w:pos="1701"/>
        </w:tabs>
        <w:ind w:left="1701" w:hanging="567"/>
      </w:pPr>
      <w:rPr>
        <w:rFonts w:cs="Times New Roman" w:hint="default"/>
        <w:b w:val="0"/>
        <w:i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25E70AA"/>
    <w:multiLevelType w:val="multilevel"/>
    <w:tmpl w:val="DC3EDA22"/>
    <w:lvl w:ilvl="0">
      <w:start w:val="1"/>
      <w:numFmt w:val="decimal"/>
      <w:lvlText w:val="%1."/>
      <w:lvlJc w:val="left"/>
      <w:pPr>
        <w:tabs>
          <w:tab w:val="num" w:pos="720"/>
        </w:tabs>
        <w:ind w:left="720" w:hanging="720"/>
      </w:pPr>
      <w:rPr>
        <w:rFonts w:cs="Times New Roman" w:hint="default"/>
        <w:b/>
      </w:rPr>
    </w:lvl>
    <w:lvl w:ilvl="1">
      <w:start w:val="3"/>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2" w15:restartNumberingAfterBreak="0">
    <w:nsid w:val="042935ED"/>
    <w:multiLevelType w:val="hybridMultilevel"/>
    <w:tmpl w:val="0E34361C"/>
    <w:lvl w:ilvl="0" w:tplc="04090011">
      <w:start w:val="1"/>
      <w:numFmt w:val="decimal"/>
      <w:lvlText w:val="%1)"/>
      <w:lvlJc w:val="left"/>
      <w:pPr>
        <w:ind w:left="1283" w:hanging="360"/>
      </w:pPr>
    </w:lvl>
    <w:lvl w:ilvl="1" w:tplc="04090019" w:tentative="1">
      <w:start w:val="1"/>
      <w:numFmt w:val="lowerLetter"/>
      <w:lvlText w:val="%2."/>
      <w:lvlJc w:val="left"/>
      <w:pPr>
        <w:ind w:left="2003" w:hanging="360"/>
      </w:pPr>
    </w:lvl>
    <w:lvl w:ilvl="2" w:tplc="0409001B" w:tentative="1">
      <w:start w:val="1"/>
      <w:numFmt w:val="lowerRoman"/>
      <w:lvlText w:val="%3."/>
      <w:lvlJc w:val="right"/>
      <w:pPr>
        <w:ind w:left="2723" w:hanging="180"/>
      </w:pPr>
    </w:lvl>
    <w:lvl w:ilvl="3" w:tplc="0409000F" w:tentative="1">
      <w:start w:val="1"/>
      <w:numFmt w:val="decimal"/>
      <w:lvlText w:val="%4."/>
      <w:lvlJc w:val="left"/>
      <w:pPr>
        <w:ind w:left="3443" w:hanging="360"/>
      </w:pPr>
    </w:lvl>
    <w:lvl w:ilvl="4" w:tplc="04090019" w:tentative="1">
      <w:start w:val="1"/>
      <w:numFmt w:val="lowerLetter"/>
      <w:lvlText w:val="%5."/>
      <w:lvlJc w:val="left"/>
      <w:pPr>
        <w:ind w:left="4163" w:hanging="360"/>
      </w:pPr>
    </w:lvl>
    <w:lvl w:ilvl="5" w:tplc="0409001B" w:tentative="1">
      <w:start w:val="1"/>
      <w:numFmt w:val="lowerRoman"/>
      <w:lvlText w:val="%6."/>
      <w:lvlJc w:val="right"/>
      <w:pPr>
        <w:ind w:left="4883" w:hanging="180"/>
      </w:pPr>
    </w:lvl>
    <w:lvl w:ilvl="6" w:tplc="0409000F" w:tentative="1">
      <w:start w:val="1"/>
      <w:numFmt w:val="decimal"/>
      <w:lvlText w:val="%7."/>
      <w:lvlJc w:val="left"/>
      <w:pPr>
        <w:ind w:left="5603" w:hanging="360"/>
      </w:pPr>
    </w:lvl>
    <w:lvl w:ilvl="7" w:tplc="04090019" w:tentative="1">
      <w:start w:val="1"/>
      <w:numFmt w:val="lowerLetter"/>
      <w:lvlText w:val="%8."/>
      <w:lvlJc w:val="left"/>
      <w:pPr>
        <w:ind w:left="6323" w:hanging="360"/>
      </w:pPr>
    </w:lvl>
    <w:lvl w:ilvl="8" w:tplc="0409001B" w:tentative="1">
      <w:start w:val="1"/>
      <w:numFmt w:val="lowerRoman"/>
      <w:lvlText w:val="%9."/>
      <w:lvlJc w:val="right"/>
      <w:pPr>
        <w:ind w:left="7043" w:hanging="180"/>
      </w:pPr>
    </w:lvl>
  </w:abstractNum>
  <w:abstractNum w:abstractNumId="3" w15:restartNumberingAfterBreak="0">
    <w:nsid w:val="08E32F3D"/>
    <w:multiLevelType w:val="hybridMultilevel"/>
    <w:tmpl w:val="C58E5930"/>
    <w:lvl w:ilvl="0" w:tplc="5336C326">
      <w:start w:val="1"/>
      <w:numFmt w:val="lowerLetter"/>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534427"/>
    <w:multiLevelType w:val="hybridMultilevel"/>
    <w:tmpl w:val="BC3A9980"/>
    <w:lvl w:ilvl="0" w:tplc="029212FC">
      <w:start w:val="1"/>
      <w:numFmt w:val="decimal"/>
      <w:lvlText w:val="%1."/>
      <w:lvlJc w:val="left"/>
      <w:pPr>
        <w:tabs>
          <w:tab w:val="num" w:pos="567"/>
        </w:tabs>
      </w:pPr>
      <w:rPr>
        <w:rFonts w:cs="Times New Roman" w:hint="default"/>
        <w:b/>
        <w:i w:val="0"/>
      </w:rPr>
    </w:lvl>
    <w:lvl w:ilvl="1" w:tplc="0BBA43B6">
      <w:start w:val="1"/>
      <w:numFmt w:val="lowerRoman"/>
      <w:lvlText w:val="(%2)"/>
      <w:lvlJc w:val="left"/>
      <w:pPr>
        <w:tabs>
          <w:tab w:val="num" w:pos="1134"/>
        </w:tabs>
        <w:ind w:left="1134" w:hanging="567"/>
      </w:pPr>
      <w:rPr>
        <w:rFonts w:cs="Times New Roman" w:hint="default"/>
        <w:b w:val="0"/>
        <w:i w:val="0"/>
        <w:sz w:val="24"/>
      </w:rPr>
    </w:lvl>
    <w:lvl w:ilvl="2" w:tplc="AF8AE4AC">
      <w:start w:val="1"/>
      <w:numFmt w:val="bullet"/>
      <w:lvlText w:val=""/>
      <w:lvlJc w:val="left"/>
      <w:pPr>
        <w:tabs>
          <w:tab w:val="num" w:pos="1134"/>
        </w:tabs>
        <w:ind w:left="1134" w:hanging="567"/>
      </w:pPr>
      <w:rPr>
        <w:rFonts w:ascii="Symbol" w:hAnsi="Symbol" w:hint="default"/>
        <w:b/>
        <w:i w:val="0"/>
      </w:rPr>
    </w:lvl>
    <w:lvl w:ilvl="3" w:tplc="0EA4179E">
      <w:start w:val="1"/>
      <w:numFmt w:val="decimal"/>
      <w:lvlText w:val="(%4)"/>
      <w:lvlJc w:val="left"/>
      <w:pPr>
        <w:tabs>
          <w:tab w:val="num" w:pos="1134"/>
        </w:tabs>
        <w:ind w:left="1134" w:hanging="567"/>
      </w:pPr>
      <w:rPr>
        <w:rFonts w:cs="Times New Roman" w:hint="default"/>
        <w:b w:val="0"/>
        <w:i/>
        <w:sz w:val="24"/>
      </w:rPr>
    </w:lvl>
    <w:lvl w:ilvl="4" w:tplc="1CA2CF2E">
      <w:start w:val="1"/>
      <w:numFmt w:val="lowerLetter"/>
      <w:lvlText w:val="(%5)"/>
      <w:lvlJc w:val="left"/>
      <w:pPr>
        <w:tabs>
          <w:tab w:val="num" w:pos="1134"/>
        </w:tabs>
        <w:ind w:left="1134" w:hanging="567"/>
      </w:pPr>
      <w:rPr>
        <w:rFonts w:cs="Times New Roman" w:hint="default"/>
        <w:b w:val="0"/>
        <w:i/>
        <w:sz w:val="24"/>
      </w:rPr>
    </w:lvl>
    <w:lvl w:ilvl="5" w:tplc="1809001B" w:tentative="1">
      <w:start w:val="1"/>
      <w:numFmt w:val="lowerRoman"/>
      <w:lvlText w:val="%6."/>
      <w:lvlJc w:val="right"/>
      <w:pPr>
        <w:tabs>
          <w:tab w:val="num" w:pos="4320"/>
        </w:tabs>
        <w:ind w:left="4320" w:hanging="180"/>
      </w:pPr>
      <w:rPr>
        <w:rFonts w:cs="Times New Roman"/>
      </w:rPr>
    </w:lvl>
    <w:lvl w:ilvl="6" w:tplc="1809000F" w:tentative="1">
      <w:start w:val="1"/>
      <w:numFmt w:val="decimal"/>
      <w:lvlText w:val="%7."/>
      <w:lvlJc w:val="left"/>
      <w:pPr>
        <w:tabs>
          <w:tab w:val="num" w:pos="5040"/>
        </w:tabs>
        <w:ind w:left="5040" w:hanging="360"/>
      </w:pPr>
      <w:rPr>
        <w:rFonts w:cs="Times New Roman"/>
      </w:rPr>
    </w:lvl>
    <w:lvl w:ilvl="7" w:tplc="18090019" w:tentative="1">
      <w:start w:val="1"/>
      <w:numFmt w:val="lowerLetter"/>
      <w:lvlText w:val="%8."/>
      <w:lvlJc w:val="left"/>
      <w:pPr>
        <w:tabs>
          <w:tab w:val="num" w:pos="5760"/>
        </w:tabs>
        <w:ind w:left="5760" w:hanging="360"/>
      </w:pPr>
      <w:rPr>
        <w:rFonts w:cs="Times New Roman"/>
      </w:rPr>
    </w:lvl>
    <w:lvl w:ilvl="8" w:tplc="1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C763512"/>
    <w:multiLevelType w:val="hybridMultilevel"/>
    <w:tmpl w:val="68B8B96C"/>
    <w:lvl w:ilvl="0" w:tplc="18168CAC">
      <w:start w:val="1"/>
      <w:numFmt w:val="bullet"/>
      <w:lvlText w:val=""/>
      <w:lvlJc w:val="left"/>
      <w:pPr>
        <w:tabs>
          <w:tab w:val="num" w:pos="1134"/>
        </w:tabs>
        <w:ind w:left="1134" w:hanging="567"/>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8C0E45"/>
    <w:multiLevelType w:val="multilevel"/>
    <w:tmpl w:val="CC349BC6"/>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0EE33DDF"/>
    <w:multiLevelType w:val="multilevel"/>
    <w:tmpl w:val="36969D26"/>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0F893E53"/>
    <w:multiLevelType w:val="multilevel"/>
    <w:tmpl w:val="C3DEB10E"/>
    <w:lvl w:ilvl="0">
      <w:start w:val="1"/>
      <w:numFmt w:val="lowerRoman"/>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161016FC"/>
    <w:multiLevelType w:val="multilevel"/>
    <w:tmpl w:val="40C66EA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16514736"/>
    <w:multiLevelType w:val="hybridMultilevel"/>
    <w:tmpl w:val="AA3E8EDA"/>
    <w:lvl w:ilvl="0" w:tplc="A2AE5AFA">
      <w:start w:val="1"/>
      <w:numFmt w:val="decimal"/>
      <w:lvlText w:val="%1."/>
      <w:lvlJc w:val="left"/>
      <w:pPr>
        <w:tabs>
          <w:tab w:val="num" w:pos="720"/>
        </w:tabs>
        <w:ind w:left="720" w:hanging="720"/>
      </w:pPr>
      <w:rPr>
        <w:rFonts w:cs="Times New Roman" w:hint="default"/>
        <w:b/>
        <w:sz w:val="24"/>
        <w:szCs w:val="24"/>
      </w:rPr>
    </w:lvl>
    <w:lvl w:ilvl="1" w:tplc="91724F8E">
      <w:numFmt w:val="none"/>
      <w:lvlText w:val=""/>
      <w:lvlJc w:val="left"/>
      <w:pPr>
        <w:tabs>
          <w:tab w:val="num" w:pos="360"/>
        </w:tabs>
      </w:pPr>
      <w:rPr>
        <w:rFonts w:cs="Times New Roman"/>
      </w:rPr>
    </w:lvl>
    <w:lvl w:ilvl="2" w:tplc="88607052">
      <w:numFmt w:val="none"/>
      <w:lvlText w:val=""/>
      <w:lvlJc w:val="left"/>
      <w:pPr>
        <w:tabs>
          <w:tab w:val="num" w:pos="360"/>
        </w:tabs>
      </w:pPr>
      <w:rPr>
        <w:rFonts w:cs="Times New Roman"/>
      </w:rPr>
    </w:lvl>
    <w:lvl w:ilvl="3" w:tplc="6C3CCF6A">
      <w:numFmt w:val="none"/>
      <w:lvlText w:val=""/>
      <w:lvlJc w:val="left"/>
      <w:pPr>
        <w:tabs>
          <w:tab w:val="num" w:pos="360"/>
        </w:tabs>
      </w:pPr>
      <w:rPr>
        <w:rFonts w:cs="Times New Roman"/>
      </w:rPr>
    </w:lvl>
    <w:lvl w:ilvl="4" w:tplc="8ED61410">
      <w:numFmt w:val="none"/>
      <w:lvlText w:val=""/>
      <w:lvlJc w:val="left"/>
      <w:pPr>
        <w:tabs>
          <w:tab w:val="num" w:pos="360"/>
        </w:tabs>
      </w:pPr>
      <w:rPr>
        <w:rFonts w:cs="Times New Roman"/>
      </w:rPr>
    </w:lvl>
    <w:lvl w:ilvl="5" w:tplc="290E7BEA">
      <w:numFmt w:val="none"/>
      <w:lvlText w:val=""/>
      <w:lvlJc w:val="left"/>
      <w:pPr>
        <w:tabs>
          <w:tab w:val="num" w:pos="360"/>
        </w:tabs>
      </w:pPr>
      <w:rPr>
        <w:rFonts w:cs="Times New Roman"/>
      </w:rPr>
    </w:lvl>
    <w:lvl w:ilvl="6" w:tplc="2E32BFA8">
      <w:numFmt w:val="none"/>
      <w:lvlText w:val=""/>
      <w:lvlJc w:val="left"/>
      <w:pPr>
        <w:tabs>
          <w:tab w:val="num" w:pos="360"/>
        </w:tabs>
      </w:pPr>
      <w:rPr>
        <w:rFonts w:cs="Times New Roman"/>
      </w:rPr>
    </w:lvl>
    <w:lvl w:ilvl="7" w:tplc="1480D654">
      <w:numFmt w:val="none"/>
      <w:lvlText w:val=""/>
      <w:lvlJc w:val="left"/>
      <w:pPr>
        <w:tabs>
          <w:tab w:val="num" w:pos="360"/>
        </w:tabs>
      </w:pPr>
      <w:rPr>
        <w:rFonts w:cs="Times New Roman"/>
      </w:rPr>
    </w:lvl>
    <w:lvl w:ilvl="8" w:tplc="E0EE90C6">
      <w:numFmt w:val="none"/>
      <w:lvlText w:val=""/>
      <w:lvlJc w:val="left"/>
      <w:pPr>
        <w:tabs>
          <w:tab w:val="num" w:pos="360"/>
        </w:tabs>
      </w:pPr>
      <w:rPr>
        <w:rFonts w:cs="Times New Roman"/>
      </w:rPr>
    </w:lvl>
  </w:abstractNum>
  <w:abstractNum w:abstractNumId="11" w15:restartNumberingAfterBreak="0">
    <w:nsid w:val="16700118"/>
    <w:multiLevelType w:val="multilevel"/>
    <w:tmpl w:val="1F706D78"/>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i w:val="0"/>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7803C84"/>
    <w:multiLevelType w:val="multilevel"/>
    <w:tmpl w:val="5E16E784"/>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C064430"/>
    <w:multiLevelType w:val="hybridMultilevel"/>
    <w:tmpl w:val="F446B584"/>
    <w:lvl w:ilvl="0" w:tplc="E5F23800">
      <w:start w:val="1"/>
      <w:numFmt w:val="lowerRoman"/>
      <w:lvlText w:val="(%1)"/>
      <w:lvlJc w:val="left"/>
      <w:pPr>
        <w:tabs>
          <w:tab w:val="num" w:pos="1134"/>
        </w:tabs>
        <w:ind w:left="1134" w:hanging="567"/>
      </w:pPr>
      <w:rPr>
        <w:rFonts w:cs="Times New Roman" w:hint="default"/>
        <w:b w:val="0"/>
      </w:rPr>
    </w:lvl>
    <w:lvl w:ilvl="1" w:tplc="51FA362E">
      <w:start w:val="1"/>
      <w:numFmt w:val="bullet"/>
      <w:lvlText w:val=""/>
      <w:lvlJc w:val="left"/>
      <w:pPr>
        <w:tabs>
          <w:tab w:val="num" w:pos="1134"/>
        </w:tabs>
        <w:ind w:left="1134" w:hanging="567"/>
      </w:pPr>
      <w:rPr>
        <w:rFonts w:ascii="Symbol" w:hAnsi="Symbol" w:hint="default"/>
        <w:b/>
        <w:i w:val="0"/>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482E47"/>
    <w:multiLevelType w:val="hybridMultilevel"/>
    <w:tmpl w:val="39A25932"/>
    <w:lvl w:ilvl="0" w:tplc="CC2A224C">
      <w:start w:val="2"/>
      <w:numFmt w:val="decimal"/>
      <w:lvlText w:val="(%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69F6BB5"/>
    <w:multiLevelType w:val="hybridMultilevel"/>
    <w:tmpl w:val="882450DA"/>
    <w:lvl w:ilvl="0" w:tplc="0AB2CF5C">
      <w:start w:val="1"/>
      <w:numFmt w:val="decimal"/>
      <w:lvlText w:val="%1."/>
      <w:lvlJc w:val="left"/>
      <w:pPr>
        <w:tabs>
          <w:tab w:val="num" w:pos="720"/>
        </w:tabs>
        <w:ind w:left="720" w:hanging="720"/>
      </w:pPr>
      <w:rPr>
        <w:rFonts w:cs="Times New Roman" w:hint="default"/>
        <w:b/>
        <w:sz w:val="24"/>
        <w:szCs w:val="24"/>
      </w:rPr>
    </w:lvl>
    <w:lvl w:ilvl="1" w:tplc="9568368A">
      <w:numFmt w:val="none"/>
      <w:lvlText w:val=""/>
      <w:lvlJc w:val="left"/>
      <w:pPr>
        <w:tabs>
          <w:tab w:val="num" w:pos="360"/>
        </w:tabs>
      </w:pPr>
      <w:rPr>
        <w:rFonts w:cs="Times New Roman"/>
      </w:rPr>
    </w:lvl>
    <w:lvl w:ilvl="2" w:tplc="AB22C470">
      <w:numFmt w:val="none"/>
      <w:lvlText w:val=""/>
      <w:lvlJc w:val="left"/>
      <w:pPr>
        <w:tabs>
          <w:tab w:val="num" w:pos="360"/>
        </w:tabs>
      </w:pPr>
      <w:rPr>
        <w:rFonts w:cs="Times New Roman"/>
      </w:rPr>
    </w:lvl>
    <w:lvl w:ilvl="3" w:tplc="08090001">
      <w:start w:val="1"/>
      <w:numFmt w:val="bullet"/>
      <w:lvlText w:val=""/>
      <w:lvlJc w:val="left"/>
      <w:pPr>
        <w:tabs>
          <w:tab w:val="num" w:pos="360"/>
        </w:tabs>
        <w:ind w:left="360" w:hanging="360"/>
      </w:pPr>
      <w:rPr>
        <w:rFonts w:ascii="Symbol" w:hAnsi="Symbol" w:hint="default"/>
        <w:b/>
        <w:sz w:val="24"/>
      </w:rPr>
    </w:lvl>
    <w:lvl w:ilvl="4" w:tplc="978EC4A4">
      <w:numFmt w:val="none"/>
      <w:lvlText w:val=""/>
      <w:lvlJc w:val="left"/>
      <w:pPr>
        <w:tabs>
          <w:tab w:val="num" w:pos="360"/>
        </w:tabs>
      </w:pPr>
      <w:rPr>
        <w:rFonts w:cs="Times New Roman"/>
      </w:rPr>
    </w:lvl>
    <w:lvl w:ilvl="5" w:tplc="724648A0">
      <w:numFmt w:val="none"/>
      <w:lvlText w:val=""/>
      <w:lvlJc w:val="left"/>
      <w:pPr>
        <w:tabs>
          <w:tab w:val="num" w:pos="360"/>
        </w:tabs>
      </w:pPr>
      <w:rPr>
        <w:rFonts w:cs="Times New Roman"/>
      </w:rPr>
    </w:lvl>
    <w:lvl w:ilvl="6" w:tplc="7618D150">
      <w:numFmt w:val="none"/>
      <w:lvlText w:val=""/>
      <w:lvlJc w:val="left"/>
      <w:pPr>
        <w:tabs>
          <w:tab w:val="num" w:pos="360"/>
        </w:tabs>
      </w:pPr>
      <w:rPr>
        <w:rFonts w:cs="Times New Roman"/>
      </w:rPr>
    </w:lvl>
    <w:lvl w:ilvl="7" w:tplc="97FABB32">
      <w:numFmt w:val="none"/>
      <w:lvlText w:val=""/>
      <w:lvlJc w:val="left"/>
      <w:pPr>
        <w:tabs>
          <w:tab w:val="num" w:pos="360"/>
        </w:tabs>
      </w:pPr>
      <w:rPr>
        <w:rFonts w:cs="Times New Roman"/>
      </w:rPr>
    </w:lvl>
    <w:lvl w:ilvl="8" w:tplc="1DA48E56">
      <w:numFmt w:val="none"/>
      <w:lvlText w:val=""/>
      <w:lvlJc w:val="left"/>
      <w:pPr>
        <w:tabs>
          <w:tab w:val="num" w:pos="360"/>
        </w:tabs>
      </w:pPr>
      <w:rPr>
        <w:rFonts w:cs="Times New Roman"/>
      </w:rPr>
    </w:lvl>
  </w:abstractNum>
  <w:abstractNum w:abstractNumId="16" w15:restartNumberingAfterBreak="0">
    <w:nsid w:val="27AF0F03"/>
    <w:multiLevelType w:val="hybridMultilevel"/>
    <w:tmpl w:val="FA505EC2"/>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8CB3365"/>
    <w:multiLevelType w:val="hybridMultilevel"/>
    <w:tmpl w:val="15F4739E"/>
    <w:lvl w:ilvl="0" w:tplc="5DF86588">
      <w:start w:val="2"/>
      <w:numFmt w:val="decimal"/>
      <w:lvlText w:val="(%1)"/>
      <w:lvlJc w:val="left"/>
      <w:pPr>
        <w:tabs>
          <w:tab w:val="num" w:pos="1134"/>
        </w:tabs>
        <w:ind w:left="567"/>
      </w:pPr>
      <w:rPr>
        <w:rFonts w:cs="Times New Roman" w:hint="default"/>
        <w:b w:val="0"/>
        <w:i w:val="0"/>
        <w:sz w:val="24"/>
      </w:rPr>
    </w:lvl>
    <w:lvl w:ilvl="1" w:tplc="72E081CC">
      <w:start w:val="1"/>
      <w:numFmt w:val="lowerLetter"/>
      <w:lvlText w:val="(%2)"/>
      <w:lvlJc w:val="left"/>
      <w:pPr>
        <w:tabs>
          <w:tab w:val="num" w:pos="1701"/>
        </w:tabs>
        <w:ind w:left="1701"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95F4CFF"/>
    <w:multiLevelType w:val="multilevel"/>
    <w:tmpl w:val="198C8668"/>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800"/>
        </w:tabs>
        <w:ind w:left="1800" w:hanging="720"/>
      </w:pPr>
      <w:rPr>
        <w:rFonts w:cs="Times New Roman" w:hint="default"/>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2C254033"/>
    <w:multiLevelType w:val="hybridMultilevel"/>
    <w:tmpl w:val="E78A1D92"/>
    <w:lvl w:ilvl="0" w:tplc="73F893E4">
      <w:start w:val="1"/>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1302AE1"/>
    <w:multiLevelType w:val="hybridMultilevel"/>
    <w:tmpl w:val="59F6C9C2"/>
    <w:lvl w:ilvl="0" w:tplc="F76ECC16">
      <w:start w:val="1"/>
      <w:numFmt w:val="decimal"/>
      <w:lvlText w:val="(%1)"/>
      <w:lvlJc w:val="left"/>
      <w:pPr>
        <w:tabs>
          <w:tab w:val="num" w:pos="567"/>
        </w:tabs>
        <w:ind w:left="567"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1E55DAD"/>
    <w:multiLevelType w:val="hybridMultilevel"/>
    <w:tmpl w:val="177EB49C"/>
    <w:lvl w:ilvl="0" w:tplc="41BACA0A">
      <w:start w:val="1"/>
      <w:numFmt w:val="lowerRoman"/>
      <w:lvlText w:val="(%1)"/>
      <w:lvlJc w:val="left"/>
      <w:pPr>
        <w:tabs>
          <w:tab w:val="num" w:pos="1134"/>
        </w:tabs>
        <w:ind w:left="1134" w:hanging="567"/>
      </w:pPr>
      <w:rPr>
        <w:rFonts w:cs="Times New Roman" w:hint="default"/>
        <w:b w:val="0"/>
        <w:i/>
        <w:sz w:val="24"/>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4FD7C75"/>
    <w:multiLevelType w:val="multilevel"/>
    <w:tmpl w:val="B94E6112"/>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51C3394"/>
    <w:multiLevelType w:val="multilevel"/>
    <w:tmpl w:val="59F6C9C2"/>
    <w:lvl w:ilvl="0">
      <w:start w:val="1"/>
      <w:numFmt w:val="decimal"/>
      <w:lvlText w:val="(%1)"/>
      <w:lvlJc w:val="left"/>
      <w:pPr>
        <w:tabs>
          <w:tab w:val="num" w:pos="567"/>
        </w:tabs>
        <w:ind w:left="567"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36A5272D"/>
    <w:multiLevelType w:val="hybridMultilevel"/>
    <w:tmpl w:val="4D58988E"/>
    <w:lvl w:ilvl="0" w:tplc="526A33EE">
      <w:start w:val="5"/>
      <w:numFmt w:val="decimal"/>
      <w:lvlText w:val="(%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C111015"/>
    <w:multiLevelType w:val="hybridMultilevel"/>
    <w:tmpl w:val="4E325AF4"/>
    <w:lvl w:ilvl="0" w:tplc="47888526">
      <w:start w:val="1"/>
      <w:numFmt w:val="lowerRoman"/>
      <w:lvlText w:val="(%1)"/>
      <w:lvlJc w:val="right"/>
      <w:pPr>
        <w:tabs>
          <w:tab w:val="num" w:pos="1134"/>
        </w:tabs>
        <w:ind w:left="1134" w:hanging="567"/>
      </w:pPr>
      <w:rPr>
        <w:rFonts w:cs="Times New Roman" w:hint="default"/>
        <w:b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A81F0C"/>
    <w:multiLevelType w:val="hybridMultilevel"/>
    <w:tmpl w:val="80A02012"/>
    <w:lvl w:ilvl="0" w:tplc="9F5E82F6">
      <w:start w:val="1"/>
      <w:numFmt w:val="decimal"/>
      <w:lvlText w:val="&quot;4(%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1C264D3"/>
    <w:multiLevelType w:val="hybridMultilevel"/>
    <w:tmpl w:val="C9680F16"/>
    <w:lvl w:ilvl="0" w:tplc="D6948CD8">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D856F8"/>
    <w:multiLevelType w:val="multilevel"/>
    <w:tmpl w:val="962C9BDE"/>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15:restartNumberingAfterBreak="0">
    <w:nsid w:val="45256054"/>
    <w:multiLevelType w:val="hybridMultilevel"/>
    <w:tmpl w:val="686C5D36"/>
    <w:lvl w:ilvl="0" w:tplc="565ED3EC">
      <w:start w:val="1"/>
      <w:numFmt w:val="lowerRoman"/>
      <w:lvlText w:val="(%1)"/>
      <w:lvlJc w:val="left"/>
      <w:pPr>
        <w:tabs>
          <w:tab w:val="num" w:pos="1134"/>
        </w:tabs>
        <w:ind w:left="1134" w:hanging="567"/>
      </w:pPr>
      <w:rPr>
        <w:rFonts w:cs="Times New Roman" w:hint="default"/>
        <w:b w:val="0"/>
        <w:i w:val="0"/>
        <w:color w:val="auto"/>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5592767"/>
    <w:multiLevelType w:val="multilevel"/>
    <w:tmpl w:val="CF9E843E"/>
    <w:lvl w:ilvl="0">
      <w:start w:val="2"/>
      <w:numFmt w:val="decimal"/>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5B16BE5"/>
    <w:multiLevelType w:val="multilevel"/>
    <w:tmpl w:val="9D1EF8DC"/>
    <w:lvl w:ilvl="0">
      <w:start w:val="1"/>
      <w:numFmt w:val="decimal"/>
      <w:lvlText w:val="%1."/>
      <w:lvlJc w:val="left"/>
      <w:pPr>
        <w:tabs>
          <w:tab w:val="num" w:pos="709"/>
        </w:tabs>
      </w:pPr>
      <w:rPr>
        <w:rFonts w:cs="Times New Roman" w:hint="default"/>
        <w:b/>
        <w:i w:val="0"/>
      </w:rPr>
    </w:lvl>
    <w:lvl w:ilvl="1">
      <w:start w:val="1"/>
      <w:numFmt w:val="lowerRoman"/>
      <w:lvlText w:val="(%2)"/>
      <w:lvlJc w:val="left"/>
      <w:pPr>
        <w:tabs>
          <w:tab w:val="num" w:pos="1800"/>
        </w:tabs>
        <w:ind w:left="1800" w:hanging="720"/>
      </w:pPr>
      <w:rPr>
        <w:rFonts w:cs="Times New Roman" w:hint="default"/>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4DD52AEE"/>
    <w:multiLevelType w:val="hybridMultilevel"/>
    <w:tmpl w:val="3F0629B2"/>
    <w:lvl w:ilvl="0" w:tplc="405696F4">
      <w:start w:val="2"/>
      <w:numFmt w:val="decimal"/>
      <w:lvlText w:val="(%1)"/>
      <w:lvlJc w:val="left"/>
      <w:pPr>
        <w:tabs>
          <w:tab w:val="num" w:pos="1134"/>
        </w:tabs>
        <w:ind w:left="1134" w:hanging="567"/>
      </w:pPr>
      <w:rPr>
        <w:rFonts w:cs="Times New Roman" w:hint="default"/>
        <w:b w:val="0"/>
        <w:i/>
        <w:sz w:val="24"/>
      </w:rPr>
    </w:lvl>
    <w:lvl w:ilvl="1" w:tplc="139C8F46">
      <w:start w:val="1"/>
      <w:numFmt w:val="lowerRoman"/>
      <w:lvlText w:val="(%2)"/>
      <w:lvlJc w:val="left"/>
      <w:pPr>
        <w:tabs>
          <w:tab w:val="num" w:pos="1800"/>
        </w:tabs>
        <w:ind w:left="1800" w:hanging="72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0A938A8"/>
    <w:multiLevelType w:val="hybridMultilevel"/>
    <w:tmpl w:val="A55406FA"/>
    <w:lvl w:ilvl="0" w:tplc="25489384">
      <w:start w:val="1"/>
      <w:numFmt w:val="decimal"/>
      <w:lvlText w:val="%1."/>
      <w:lvlJc w:val="left"/>
      <w:pPr>
        <w:tabs>
          <w:tab w:val="num" w:pos="567"/>
        </w:tabs>
      </w:pPr>
      <w:rPr>
        <w:rFonts w:cs="Times New Roman" w:hint="default"/>
        <w:b/>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41C786B"/>
    <w:multiLevelType w:val="hybridMultilevel"/>
    <w:tmpl w:val="D3E6DD34"/>
    <w:lvl w:ilvl="0" w:tplc="98F477F4">
      <w:start w:val="1"/>
      <w:numFmt w:val="decimal"/>
      <w:lvlText w:val="%1."/>
      <w:lvlJc w:val="left"/>
      <w:pPr>
        <w:tabs>
          <w:tab w:val="num" w:pos="709"/>
        </w:tabs>
      </w:pPr>
      <w:rPr>
        <w:rFonts w:cs="Times New Roman" w:hint="default"/>
        <w:b/>
        <w:i w:val="0"/>
      </w:rPr>
    </w:lvl>
    <w:lvl w:ilvl="1" w:tplc="18090019" w:tentative="1">
      <w:start w:val="1"/>
      <w:numFmt w:val="lowerLetter"/>
      <w:lvlText w:val="%2."/>
      <w:lvlJc w:val="left"/>
      <w:pPr>
        <w:tabs>
          <w:tab w:val="num" w:pos="1440"/>
        </w:tabs>
        <w:ind w:left="1440" w:hanging="360"/>
      </w:pPr>
      <w:rPr>
        <w:rFonts w:cs="Times New Roman"/>
      </w:rPr>
    </w:lvl>
    <w:lvl w:ilvl="2" w:tplc="1809001B" w:tentative="1">
      <w:start w:val="1"/>
      <w:numFmt w:val="lowerRoman"/>
      <w:lvlText w:val="%3."/>
      <w:lvlJc w:val="right"/>
      <w:pPr>
        <w:tabs>
          <w:tab w:val="num" w:pos="2160"/>
        </w:tabs>
        <w:ind w:left="2160" w:hanging="180"/>
      </w:pPr>
      <w:rPr>
        <w:rFonts w:cs="Times New Roman"/>
      </w:rPr>
    </w:lvl>
    <w:lvl w:ilvl="3" w:tplc="1809000F" w:tentative="1">
      <w:start w:val="1"/>
      <w:numFmt w:val="decimal"/>
      <w:lvlText w:val="%4."/>
      <w:lvlJc w:val="left"/>
      <w:pPr>
        <w:tabs>
          <w:tab w:val="num" w:pos="2880"/>
        </w:tabs>
        <w:ind w:left="2880" w:hanging="360"/>
      </w:pPr>
      <w:rPr>
        <w:rFonts w:cs="Times New Roman"/>
      </w:rPr>
    </w:lvl>
    <w:lvl w:ilvl="4" w:tplc="18090019" w:tentative="1">
      <w:start w:val="1"/>
      <w:numFmt w:val="lowerLetter"/>
      <w:lvlText w:val="%5."/>
      <w:lvlJc w:val="left"/>
      <w:pPr>
        <w:tabs>
          <w:tab w:val="num" w:pos="3600"/>
        </w:tabs>
        <w:ind w:left="3600" w:hanging="360"/>
      </w:pPr>
      <w:rPr>
        <w:rFonts w:cs="Times New Roman"/>
      </w:rPr>
    </w:lvl>
    <w:lvl w:ilvl="5" w:tplc="1809001B" w:tentative="1">
      <w:start w:val="1"/>
      <w:numFmt w:val="lowerRoman"/>
      <w:lvlText w:val="%6."/>
      <w:lvlJc w:val="right"/>
      <w:pPr>
        <w:tabs>
          <w:tab w:val="num" w:pos="4320"/>
        </w:tabs>
        <w:ind w:left="4320" w:hanging="180"/>
      </w:pPr>
      <w:rPr>
        <w:rFonts w:cs="Times New Roman"/>
      </w:rPr>
    </w:lvl>
    <w:lvl w:ilvl="6" w:tplc="1809000F" w:tentative="1">
      <w:start w:val="1"/>
      <w:numFmt w:val="decimal"/>
      <w:lvlText w:val="%7."/>
      <w:lvlJc w:val="left"/>
      <w:pPr>
        <w:tabs>
          <w:tab w:val="num" w:pos="5040"/>
        </w:tabs>
        <w:ind w:left="5040" w:hanging="360"/>
      </w:pPr>
      <w:rPr>
        <w:rFonts w:cs="Times New Roman"/>
      </w:rPr>
    </w:lvl>
    <w:lvl w:ilvl="7" w:tplc="18090019" w:tentative="1">
      <w:start w:val="1"/>
      <w:numFmt w:val="lowerLetter"/>
      <w:lvlText w:val="%8."/>
      <w:lvlJc w:val="left"/>
      <w:pPr>
        <w:tabs>
          <w:tab w:val="num" w:pos="5760"/>
        </w:tabs>
        <w:ind w:left="5760" w:hanging="360"/>
      </w:pPr>
      <w:rPr>
        <w:rFonts w:cs="Times New Roman"/>
      </w:rPr>
    </w:lvl>
    <w:lvl w:ilvl="8" w:tplc="18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4823E92"/>
    <w:multiLevelType w:val="multilevel"/>
    <w:tmpl w:val="4E325AF4"/>
    <w:lvl w:ilvl="0">
      <w:start w:val="1"/>
      <w:numFmt w:val="lowerRoman"/>
      <w:lvlText w:val="(%1)"/>
      <w:lvlJc w:val="right"/>
      <w:pPr>
        <w:tabs>
          <w:tab w:val="num" w:pos="1134"/>
        </w:tabs>
        <w:ind w:left="1134" w:hanging="567"/>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69F5B6F"/>
    <w:multiLevelType w:val="hybridMultilevel"/>
    <w:tmpl w:val="1806E71E"/>
    <w:lvl w:ilvl="0" w:tplc="04090011">
      <w:start w:val="1"/>
      <w:numFmt w:val="decimal"/>
      <w:lvlText w:val="%1)"/>
      <w:lvlJc w:val="left"/>
      <w:pPr>
        <w:ind w:left="1283" w:hanging="360"/>
      </w:pPr>
    </w:lvl>
    <w:lvl w:ilvl="1" w:tplc="04090019" w:tentative="1">
      <w:start w:val="1"/>
      <w:numFmt w:val="lowerLetter"/>
      <w:lvlText w:val="%2."/>
      <w:lvlJc w:val="left"/>
      <w:pPr>
        <w:ind w:left="2003" w:hanging="360"/>
      </w:pPr>
    </w:lvl>
    <w:lvl w:ilvl="2" w:tplc="0409001B" w:tentative="1">
      <w:start w:val="1"/>
      <w:numFmt w:val="lowerRoman"/>
      <w:lvlText w:val="%3."/>
      <w:lvlJc w:val="right"/>
      <w:pPr>
        <w:ind w:left="2723" w:hanging="180"/>
      </w:pPr>
    </w:lvl>
    <w:lvl w:ilvl="3" w:tplc="0409000F" w:tentative="1">
      <w:start w:val="1"/>
      <w:numFmt w:val="decimal"/>
      <w:lvlText w:val="%4."/>
      <w:lvlJc w:val="left"/>
      <w:pPr>
        <w:ind w:left="3443" w:hanging="360"/>
      </w:pPr>
    </w:lvl>
    <w:lvl w:ilvl="4" w:tplc="04090019" w:tentative="1">
      <w:start w:val="1"/>
      <w:numFmt w:val="lowerLetter"/>
      <w:lvlText w:val="%5."/>
      <w:lvlJc w:val="left"/>
      <w:pPr>
        <w:ind w:left="4163" w:hanging="360"/>
      </w:pPr>
    </w:lvl>
    <w:lvl w:ilvl="5" w:tplc="0409001B" w:tentative="1">
      <w:start w:val="1"/>
      <w:numFmt w:val="lowerRoman"/>
      <w:lvlText w:val="%6."/>
      <w:lvlJc w:val="right"/>
      <w:pPr>
        <w:ind w:left="4883" w:hanging="180"/>
      </w:pPr>
    </w:lvl>
    <w:lvl w:ilvl="6" w:tplc="0409000F" w:tentative="1">
      <w:start w:val="1"/>
      <w:numFmt w:val="decimal"/>
      <w:lvlText w:val="%7."/>
      <w:lvlJc w:val="left"/>
      <w:pPr>
        <w:ind w:left="5603" w:hanging="360"/>
      </w:pPr>
    </w:lvl>
    <w:lvl w:ilvl="7" w:tplc="04090019" w:tentative="1">
      <w:start w:val="1"/>
      <w:numFmt w:val="lowerLetter"/>
      <w:lvlText w:val="%8."/>
      <w:lvlJc w:val="left"/>
      <w:pPr>
        <w:ind w:left="6323" w:hanging="360"/>
      </w:pPr>
    </w:lvl>
    <w:lvl w:ilvl="8" w:tplc="0409001B" w:tentative="1">
      <w:start w:val="1"/>
      <w:numFmt w:val="lowerRoman"/>
      <w:lvlText w:val="%9."/>
      <w:lvlJc w:val="right"/>
      <w:pPr>
        <w:ind w:left="7043" w:hanging="180"/>
      </w:pPr>
    </w:lvl>
  </w:abstractNum>
  <w:abstractNum w:abstractNumId="37" w15:restartNumberingAfterBreak="0">
    <w:nsid w:val="5882455B"/>
    <w:multiLevelType w:val="hybridMultilevel"/>
    <w:tmpl w:val="FE58FBF6"/>
    <w:lvl w:ilvl="0" w:tplc="AC165268">
      <w:start w:val="1"/>
      <w:numFmt w:val="lowerRoman"/>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5DC6374F"/>
    <w:multiLevelType w:val="hybridMultilevel"/>
    <w:tmpl w:val="CF9E843E"/>
    <w:lvl w:ilvl="0" w:tplc="68FE5F88">
      <w:start w:val="2"/>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08A56EC"/>
    <w:multiLevelType w:val="hybridMultilevel"/>
    <w:tmpl w:val="C3DEB10E"/>
    <w:lvl w:ilvl="0" w:tplc="731C654E">
      <w:start w:val="1"/>
      <w:numFmt w:val="lowerRoman"/>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6727941"/>
    <w:multiLevelType w:val="hybridMultilevel"/>
    <w:tmpl w:val="2988A76A"/>
    <w:lvl w:ilvl="0" w:tplc="46B26C80">
      <w:start w:val="1"/>
      <w:numFmt w:val="lowerLetter"/>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1DB3F65"/>
    <w:multiLevelType w:val="hybridMultilevel"/>
    <w:tmpl w:val="8188E61C"/>
    <w:lvl w:ilvl="0" w:tplc="FCE2063E">
      <w:start w:val="1"/>
      <w:numFmt w:val="lowerRoman"/>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3AB4777"/>
    <w:multiLevelType w:val="hybridMultilevel"/>
    <w:tmpl w:val="E4AACD26"/>
    <w:lvl w:ilvl="0" w:tplc="C862E69C">
      <w:start w:val="1"/>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5865D06"/>
    <w:multiLevelType w:val="multilevel"/>
    <w:tmpl w:val="C58E5930"/>
    <w:lvl w:ilvl="0">
      <w:start w:val="1"/>
      <w:numFmt w:val="lowerLetter"/>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7BC16796"/>
    <w:multiLevelType w:val="hybridMultilevel"/>
    <w:tmpl w:val="718C70FE"/>
    <w:lvl w:ilvl="0" w:tplc="041AA52C">
      <w:start w:val="1"/>
      <w:numFmt w:val="bullet"/>
      <w:lvlText w:val=""/>
      <w:lvlJc w:val="left"/>
      <w:pPr>
        <w:tabs>
          <w:tab w:val="num" w:pos="1134"/>
        </w:tabs>
        <w:ind w:left="1134"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5"/>
  </w:num>
  <w:num w:numId="4">
    <w:abstractNumId w:val="28"/>
  </w:num>
  <w:num w:numId="5">
    <w:abstractNumId w:val="9"/>
  </w:num>
  <w:num w:numId="6">
    <w:abstractNumId w:val="34"/>
  </w:num>
  <w:num w:numId="7">
    <w:abstractNumId w:val="4"/>
  </w:num>
  <w:num w:numId="8">
    <w:abstractNumId w:val="27"/>
  </w:num>
  <w:num w:numId="9">
    <w:abstractNumId w:val="31"/>
  </w:num>
  <w:num w:numId="10">
    <w:abstractNumId w:val="18"/>
  </w:num>
  <w:num w:numId="11">
    <w:abstractNumId w:val="11"/>
  </w:num>
  <w:num w:numId="12">
    <w:abstractNumId w:val="12"/>
  </w:num>
  <w:num w:numId="13">
    <w:abstractNumId w:val="6"/>
  </w:num>
  <w:num w:numId="14">
    <w:abstractNumId w:val="7"/>
  </w:num>
  <w:num w:numId="15">
    <w:abstractNumId w:val="22"/>
  </w:num>
  <w:num w:numId="16">
    <w:abstractNumId w:val="33"/>
  </w:num>
  <w:num w:numId="17">
    <w:abstractNumId w:val="3"/>
  </w:num>
  <w:num w:numId="18">
    <w:abstractNumId w:val="26"/>
  </w:num>
  <w:num w:numId="19">
    <w:abstractNumId w:val="14"/>
  </w:num>
  <w:num w:numId="20">
    <w:abstractNumId w:val="24"/>
  </w:num>
  <w:num w:numId="21">
    <w:abstractNumId w:val="43"/>
  </w:num>
  <w:num w:numId="22">
    <w:abstractNumId w:val="40"/>
  </w:num>
  <w:num w:numId="23">
    <w:abstractNumId w:val="39"/>
  </w:num>
  <w:num w:numId="24">
    <w:abstractNumId w:val="8"/>
  </w:num>
  <w:num w:numId="25">
    <w:abstractNumId w:val="20"/>
  </w:num>
  <w:num w:numId="26">
    <w:abstractNumId w:val="23"/>
  </w:num>
  <w:num w:numId="27">
    <w:abstractNumId w:val="42"/>
  </w:num>
  <w:num w:numId="28">
    <w:abstractNumId w:val="37"/>
  </w:num>
  <w:num w:numId="29">
    <w:abstractNumId w:val="29"/>
  </w:num>
  <w:num w:numId="30">
    <w:abstractNumId w:val="44"/>
  </w:num>
  <w:num w:numId="31">
    <w:abstractNumId w:val="41"/>
  </w:num>
  <w:num w:numId="32">
    <w:abstractNumId w:val="25"/>
  </w:num>
  <w:num w:numId="33">
    <w:abstractNumId w:val="35"/>
  </w:num>
  <w:num w:numId="34">
    <w:abstractNumId w:val="13"/>
  </w:num>
  <w:num w:numId="35">
    <w:abstractNumId w:val="5"/>
  </w:num>
  <w:num w:numId="36">
    <w:abstractNumId w:val="17"/>
  </w:num>
  <w:num w:numId="37">
    <w:abstractNumId w:val="38"/>
  </w:num>
  <w:num w:numId="38">
    <w:abstractNumId w:val="19"/>
  </w:num>
  <w:num w:numId="39">
    <w:abstractNumId w:val="0"/>
  </w:num>
  <w:num w:numId="40">
    <w:abstractNumId w:val="30"/>
  </w:num>
  <w:num w:numId="41">
    <w:abstractNumId w:val="32"/>
  </w:num>
  <w:num w:numId="42">
    <w:abstractNumId w:val="21"/>
  </w:num>
  <w:num w:numId="43">
    <w:abstractNumId w:val="16"/>
  </w:num>
  <w:num w:numId="44">
    <w:abstractNumId w:val="3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5BCB57B-3C76-4EFC-8069-05A92972BD85}"/>
    <w:docVar w:name="dgnword-eventsink" w:val="2939797167488"/>
  </w:docVars>
  <w:rsids>
    <w:rsidRoot w:val="00593EAE"/>
    <w:rsid w:val="000159C0"/>
    <w:rsid w:val="0002151B"/>
    <w:rsid w:val="00021DD5"/>
    <w:rsid w:val="00025246"/>
    <w:rsid w:val="00035C62"/>
    <w:rsid w:val="0004086D"/>
    <w:rsid w:val="000466F7"/>
    <w:rsid w:val="00047808"/>
    <w:rsid w:val="00047F7D"/>
    <w:rsid w:val="00060F12"/>
    <w:rsid w:val="00070ADF"/>
    <w:rsid w:val="00073E1E"/>
    <w:rsid w:val="00077701"/>
    <w:rsid w:val="00081285"/>
    <w:rsid w:val="000A3514"/>
    <w:rsid w:val="000A5CCE"/>
    <w:rsid w:val="000A6279"/>
    <w:rsid w:val="000B5284"/>
    <w:rsid w:val="000B6DC0"/>
    <w:rsid w:val="000C758F"/>
    <w:rsid w:val="000D5B29"/>
    <w:rsid w:val="000D7C3B"/>
    <w:rsid w:val="000E15BB"/>
    <w:rsid w:val="000F1347"/>
    <w:rsid w:val="000F1C5F"/>
    <w:rsid w:val="000F34BD"/>
    <w:rsid w:val="0010295F"/>
    <w:rsid w:val="00104B4D"/>
    <w:rsid w:val="001063AF"/>
    <w:rsid w:val="0010788F"/>
    <w:rsid w:val="00117016"/>
    <w:rsid w:val="00121251"/>
    <w:rsid w:val="00124C29"/>
    <w:rsid w:val="00126862"/>
    <w:rsid w:val="00133E9A"/>
    <w:rsid w:val="00140197"/>
    <w:rsid w:val="001420F9"/>
    <w:rsid w:val="00156934"/>
    <w:rsid w:val="00160B83"/>
    <w:rsid w:val="00161FEC"/>
    <w:rsid w:val="00166F9B"/>
    <w:rsid w:val="001716D2"/>
    <w:rsid w:val="001756F7"/>
    <w:rsid w:val="00180373"/>
    <w:rsid w:val="001817B8"/>
    <w:rsid w:val="00182817"/>
    <w:rsid w:val="00182ACD"/>
    <w:rsid w:val="00183295"/>
    <w:rsid w:val="00187263"/>
    <w:rsid w:val="00195897"/>
    <w:rsid w:val="001A396E"/>
    <w:rsid w:val="001C10D0"/>
    <w:rsid w:val="001C2BA0"/>
    <w:rsid w:val="001D17D7"/>
    <w:rsid w:val="001E0A4A"/>
    <w:rsid w:val="001E25D8"/>
    <w:rsid w:val="001E2850"/>
    <w:rsid w:val="001E4AAF"/>
    <w:rsid w:val="001F0338"/>
    <w:rsid w:val="001F3B55"/>
    <w:rsid w:val="001F46E0"/>
    <w:rsid w:val="00202BC6"/>
    <w:rsid w:val="00205E2C"/>
    <w:rsid w:val="002102B2"/>
    <w:rsid w:val="002111AE"/>
    <w:rsid w:val="0024169B"/>
    <w:rsid w:val="002502F0"/>
    <w:rsid w:val="0025063B"/>
    <w:rsid w:val="002506DD"/>
    <w:rsid w:val="002549C7"/>
    <w:rsid w:val="00262E0F"/>
    <w:rsid w:val="0026400B"/>
    <w:rsid w:val="002741D4"/>
    <w:rsid w:val="002778B8"/>
    <w:rsid w:val="00284EB5"/>
    <w:rsid w:val="002857A9"/>
    <w:rsid w:val="00286777"/>
    <w:rsid w:val="00287BF6"/>
    <w:rsid w:val="00292A5F"/>
    <w:rsid w:val="00296918"/>
    <w:rsid w:val="002A2CBC"/>
    <w:rsid w:val="002A6B44"/>
    <w:rsid w:val="002B0E05"/>
    <w:rsid w:val="002B4A11"/>
    <w:rsid w:val="002B4E63"/>
    <w:rsid w:val="002B71DE"/>
    <w:rsid w:val="002C14B8"/>
    <w:rsid w:val="002C15AF"/>
    <w:rsid w:val="002C42B9"/>
    <w:rsid w:val="002D0691"/>
    <w:rsid w:val="002D270B"/>
    <w:rsid w:val="002D46FD"/>
    <w:rsid w:val="002D548D"/>
    <w:rsid w:val="002D5653"/>
    <w:rsid w:val="002E32FF"/>
    <w:rsid w:val="002E54EE"/>
    <w:rsid w:val="002F6A7A"/>
    <w:rsid w:val="003043C3"/>
    <w:rsid w:val="00304792"/>
    <w:rsid w:val="00305348"/>
    <w:rsid w:val="0031585F"/>
    <w:rsid w:val="00316D7D"/>
    <w:rsid w:val="00321226"/>
    <w:rsid w:val="00322185"/>
    <w:rsid w:val="003239CE"/>
    <w:rsid w:val="00323EF3"/>
    <w:rsid w:val="003261F8"/>
    <w:rsid w:val="003337A7"/>
    <w:rsid w:val="003413BA"/>
    <w:rsid w:val="00343076"/>
    <w:rsid w:val="00355FCB"/>
    <w:rsid w:val="00357BDF"/>
    <w:rsid w:val="003607BE"/>
    <w:rsid w:val="003612EE"/>
    <w:rsid w:val="003617DB"/>
    <w:rsid w:val="00361EFA"/>
    <w:rsid w:val="003626C3"/>
    <w:rsid w:val="00365B1B"/>
    <w:rsid w:val="00371B63"/>
    <w:rsid w:val="00372012"/>
    <w:rsid w:val="0037391A"/>
    <w:rsid w:val="003A277F"/>
    <w:rsid w:val="003A682B"/>
    <w:rsid w:val="003B19C8"/>
    <w:rsid w:val="003B7D81"/>
    <w:rsid w:val="003C0632"/>
    <w:rsid w:val="003C09FF"/>
    <w:rsid w:val="003C1E2B"/>
    <w:rsid w:val="003D15FC"/>
    <w:rsid w:val="003D4AED"/>
    <w:rsid w:val="003E7674"/>
    <w:rsid w:val="003F3A13"/>
    <w:rsid w:val="00413CB5"/>
    <w:rsid w:val="00415F71"/>
    <w:rsid w:val="00416247"/>
    <w:rsid w:val="00421DC2"/>
    <w:rsid w:val="00423328"/>
    <w:rsid w:val="004241C1"/>
    <w:rsid w:val="00424C6E"/>
    <w:rsid w:val="004320A0"/>
    <w:rsid w:val="00434648"/>
    <w:rsid w:val="004355A8"/>
    <w:rsid w:val="004437D5"/>
    <w:rsid w:val="004475B6"/>
    <w:rsid w:val="00452FA7"/>
    <w:rsid w:val="00453EED"/>
    <w:rsid w:val="00457B07"/>
    <w:rsid w:val="00460821"/>
    <w:rsid w:val="00465836"/>
    <w:rsid w:val="004664AC"/>
    <w:rsid w:val="00472481"/>
    <w:rsid w:val="004758A4"/>
    <w:rsid w:val="00482DE9"/>
    <w:rsid w:val="00494A09"/>
    <w:rsid w:val="00495A75"/>
    <w:rsid w:val="0049604F"/>
    <w:rsid w:val="004968CA"/>
    <w:rsid w:val="004A68C1"/>
    <w:rsid w:val="004B6A19"/>
    <w:rsid w:val="004C37F4"/>
    <w:rsid w:val="004C6EB4"/>
    <w:rsid w:val="004C7B30"/>
    <w:rsid w:val="004D008F"/>
    <w:rsid w:val="004D3FA4"/>
    <w:rsid w:val="004D4F91"/>
    <w:rsid w:val="004E6F57"/>
    <w:rsid w:val="004F0C48"/>
    <w:rsid w:val="004F37C7"/>
    <w:rsid w:val="004F3995"/>
    <w:rsid w:val="00501A93"/>
    <w:rsid w:val="0050735E"/>
    <w:rsid w:val="005076F1"/>
    <w:rsid w:val="005105FF"/>
    <w:rsid w:val="00511D9A"/>
    <w:rsid w:val="00515884"/>
    <w:rsid w:val="00525CFE"/>
    <w:rsid w:val="00531E94"/>
    <w:rsid w:val="005340E9"/>
    <w:rsid w:val="005363D5"/>
    <w:rsid w:val="005433B1"/>
    <w:rsid w:val="005502CA"/>
    <w:rsid w:val="005532C8"/>
    <w:rsid w:val="005557E1"/>
    <w:rsid w:val="00561163"/>
    <w:rsid w:val="005614CB"/>
    <w:rsid w:val="00563002"/>
    <w:rsid w:val="005749C9"/>
    <w:rsid w:val="00585B62"/>
    <w:rsid w:val="00585F9F"/>
    <w:rsid w:val="00593EAE"/>
    <w:rsid w:val="0059475E"/>
    <w:rsid w:val="0059587C"/>
    <w:rsid w:val="005A30A2"/>
    <w:rsid w:val="005B4470"/>
    <w:rsid w:val="005B6004"/>
    <w:rsid w:val="005B60A2"/>
    <w:rsid w:val="005D0364"/>
    <w:rsid w:val="005D0BF5"/>
    <w:rsid w:val="005D4A91"/>
    <w:rsid w:val="005D5995"/>
    <w:rsid w:val="005D6420"/>
    <w:rsid w:val="005E085D"/>
    <w:rsid w:val="005F08D3"/>
    <w:rsid w:val="0060750F"/>
    <w:rsid w:val="0061767A"/>
    <w:rsid w:val="006300C8"/>
    <w:rsid w:val="006375F4"/>
    <w:rsid w:val="0064333C"/>
    <w:rsid w:val="00643667"/>
    <w:rsid w:val="00645FFE"/>
    <w:rsid w:val="0066132B"/>
    <w:rsid w:val="00662241"/>
    <w:rsid w:val="00664DD8"/>
    <w:rsid w:val="00666664"/>
    <w:rsid w:val="00674098"/>
    <w:rsid w:val="00680D56"/>
    <w:rsid w:val="00682C00"/>
    <w:rsid w:val="00684C19"/>
    <w:rsid w:val="00693292"/>
    <w:rsid w:val="00693CA0"/>
    <w:rsid w:val="006A34CC"/>
    <w:rsid w:val="006A4A55"/>
    <w:rsid w:val="006A761E"/>
    <w:rsid w:val="006B0743"/>
    <w:rsid w:val="006B0B76"/>
    <w:rsid w:val="006B7FFE"/>
    <w:rsid w:val="006C2D14"/>
    <w:rsid w:val="006C525C"/>
    <w:rsid w:val="006D23BB"/>
    <w:rsid w:val="006D444D"/>
    <w:rsid w:val="006E6DBB"/>
    <w:rsid w:val="00704553"/>
    <w:rsid w:val="007124E8"/>
    <w:rsid w:val="00724AE1"/>
    <w:rsid w:val="00725980"/>
    <w:rsid w:val="007262AE"/>
    <w:rsid w:val="0074097D"/>
    <w:rsid w:val="00740D80"/>
    <w:rsid w:val="00742EA0"/>
    <w:rsid w:val="00747240"/>
    <w:rsid w:val="00747EBA"/>
    <w:rsid w:val="00754811"/>
    <w:rsid w:val="00757187"/>
    <w:rsid w:val="00760B43"/>
    <w:rsid w:val="0076357A"/>
    <w:rsid w:val="00771A86"/>
    <w:rsid w:val="007809A4"/>
    <w:rsid w:val="00787A8B"/>
    <w:rsid w:val="007960BA"/>
    <w:rsid w:val="007B00D6"/>
    <w:rsid w:val="007B2FDB"/>
    <w:rsid w:val="007B49D6"/>
    <w:rsid w:val="007B5A59"/>
    <w:rsid w:val="007B5F32"/>
    <w:rsid w:val="007C0026"/>
    <w:rsid w:val="007C46A7"/>
    <w:rsid w:val="007C50A6"/>
    <w:rsid w:val="007C5588"/>
    <w:rsid w:val="007D4C37"/>
    <w:rsid w:val="007E4567"/>
    <w:rsid w:val="007E50A7"/>
    <w:rsid w:val="008044F6"/>
    <w:rsid w:val="00805F50"/>
    <w:rsid w:val="00806902"/>
    <w:rsid w:val="00813383"/>
    <w:rsid w:val="0081646F"/>
    <w:rsid w:val="00825B3C"/>
    <w:rsid w:val="008262E7"/>
    <w:rsid w:val="00830EA9"/>
    <w:rsid w:val="00831DDD"/>
    <w:rsid w:val="00835836"/>
    <w:rsid w:val="008409D3"/>
    <w:rsid w:val="008429E1"/>
    <w:rsid w:val="00842BF2"/>
    <w:rsid w:val="00844D50"/>
    <w:rsid w:val="00852597"/>
    <w:rsid w:val="00853D4F"/>
    <w:rsid w:val="00853F20"/>
    <w:rsid w:val="00856852"/>
    <w:rsid w:val="00860894"/>
    <w:rsid w:val="00862D1C"/>
    <w:rsid w:val="00866F30"/>
    <w:rsid w:val="00872944"/>
    <w:rsid w:val="00875D75"/>
    <w:rsid w:val="0087672E"/>
    <w:rsid w:val="008768B0"/>
    <w:rsid w:val="00882E6E"/>
    <w:rsid w:val="00883915"/>
    <w:rsid w:val="008855FB"/>
    <w:rsid w:val="008A4540"/>
    <w:rsid w:val="008A55CF"/>
    <w:rsid w:val="008A7DBC"/>
    <w:rsid w:val="008B1423"/>
    <w:rsid w:val="008B55E7"/>
    <w:rsid w:val="008C0879"/>
    <w:rsid w:val="008D58BB"/>
    <w:rsid w:val="008D5D2E"/>
    <w:rsid w:val="008F1322"/>
    <w:rsid w:val="008F1444"/>
    <w:rsid w:val="008F28EC"/>
    <w:rsid w:val="008F5C29"/>
    <w:rsid w:val="008F7174"/>
    <w:rsid w:val="0090187F"/>
    <w:rsid w:val="0092221D"/>
    <w:rsid w:val="009226C3"/>
    <w:rsid w:val="009235D8"/>
    <w:rsid w:val="00926A50"/>
    <w:rsid w:val="009271F3"/>
    <w:rsid w:val="009272E3"/>
    <w:rsid w:val="00935FF4"/>
    <w:rsid w:val="009365D0"/>
    <w:rsid w:val="0094088E"/>
    <w:rsid w:val="0094767B"/>
    <w:rsid w:val="009738ED"/>
    <w:rsid w:val="0098348C"/>
    <w:rsid w:val="00985BB7"/>
    <w:rsid w:val="009862B4"/>
    <w:rsid w:val="009A6A4B"/>
    <w:rsid w:val="009A6AE6"/>
    <w:rsid w:val="009B2AD0"/>
    <w:rsid w:val="009B3252"/>
    <w:rsid w:val="009B3DA4"/>
    <w:rsid w:val="009C7582"/>
    <w:rsid w:val="009D3B13"/>
    <w:rsid w:val="009D3C0A"/>
    <w:rsid w:val="009D6087"/>
    <w:rsid w:val="009E648C"/>
    <w:rsid w:val="009F08C4"/>
    <w:rsid w:val="009F21D1"/>
    <w:rsid w:val="00A017C1"/>
    <w:rsid w:val="00A02515"/>
    <w:rsid w:val="00A104D4"/>
    <w:rsid w:val="00A13BE7"/>
    <w:rsid w:val="00A17AC1"/>
    <w:rsid w:val="00A23BD3"/>
    <w:rsid w:val="00A259C3"/>
    <w:rsid w:val="00A27F9F"/>
    <w:rsid w:val="00A30584"/>
    <w:rsid w:val="00A357AC"/>
    <w:rsid w:val="00A4182D"/>
    <w:rsid w:val="00A5219A"/>
    <w:rsid w:val="00A6134A"/>
    <w:rsid w:val="00A61BF6"/>
    <w:rsid w:val="00A621D0"/>
    <w:rsid w:val="00A63D46"/>
    <w:rsid w:val="00A7669F"/>
    <w:rsid w:val="00A76D89"/>
    <w:rsid w:val="00A83836"/>
    <w:rsid w:val="00A8498E"/>
    <w:rsid w:val="00A86FD0"/>
    <w:rsid w:val="00A87B1F"/>
    <w:rsid w:val="00A9363D"/>
    <w:rsid w:val="00A94EB4"/>
    <w:rsid w:val="00AA6B39"/>
    <w:rsid w:val="00AA777D"/>
    <w:rsid w:val="00AB4E12"/>
    <w:rsid w:val="00AB668D"/>
    <w:rsid w:val="00AC14B3"/>
    <w:rsid w:val="00AD5B13"/>
    <w:rsid w:val="00AD6F4E"/>
    <w:rsid w:val="00AE6AFF"/>
    <w:rsid w:val="00AE79E7"/>
    <w:rsid w:val="00AF2343"/>
    <w:rsid w:val="00AF788C"/>
    <w:rsid w:val="00B02183"/>
    <w:rsid w:val="00B05269"/>
    <w:rsid w:val="00B07A29"/>
    <w:rsid w:val="00B10621"/>
    <w:rsid w:val="00B13EF7"/>
    <w:rsid w:val="00B23BC1"/>
    <w:rsid w:val="00B2419B"/>
    <w:rsid w:val="00B26B23"/>
    <w:rsid w:val="00B418DE"/>
    <w:rsid w:val="00B44BB2"/>
    <w:rsid w:val="00B50314"/>
    <w:rsid w:val="00B57C98"/>
    <w:rsid w:val="00B629F5"/>
    <w:rsid w:val="00B80B79"/>
    <w:rsid w:val="00B813B4"/>
    <w:rsid w:val="00B85144"/>
    <w:rsid w:val="00B8548F"/>
    <w:rsid w:val="00B9553F"/>
    <w:rsid w:val="00BA7A08"/>
    <w:rsid w:val="00BB170B"/>
    <w:rsid w:val="00BB389F"/>
    <w:rsid w:val="00BB5679"/>
    <w:rsid w:val="00BC07A9"/>
    <w:rsid w:val="00BC6BD5"/>
    <w:rsid w:val="00BC75FD"/>
    <w:rsid w:val="00BD1636"/>
    <w:rsid w:val="00BD1E15"/>
    <w:rsid w:val="00BD4582"/>
    <w:rsid w:val="00BD6670"/>
    <w:rsid w:val="00BE7B3B"/>
    <w:rsid w:val="00BF35AC"/>
    <w:rsid w:val="00BF6DA0"/>
    <w:rsid w:val="00BF7195"/>
    <w:rsid w:val="00C015CC"/>
    <w:rsid w:val="00C05B77"/>
    <w:rsid w:val="00C07DBC"/>
    <w:rsid w:val="00C12D2B"/>
    <w:rsid w:val="00C17F6E"/>
    <w:rsid w:val="00C22817"/>
    <w:rsid w:val="00C30EAF"/>
    <w:rsid w:val="00C322B0"/>
    <w:rsid w:val="00C32C9F"/>
    <w:rsid w:val="00C3771D"/>
    <w:rsid w:val="00C4087A"/>
    <w:rsid w:val="00C461A3"/>
    <w:rsid w:val="00C541FE"/>
    <w:rsid w:val="00C563E0"/>
    <w:rsid w:val="00C57E72"/>
    <w:rsid w:val="00C6392B"/>
    <w:rsid w:val="00C74245"/>
    <w:rsid w:val="00C7463E"/>
    <w:rsid w:val="00C7548E"/>
    <w:rsid w:val="00C77E4E"/>
    <w:rsid w:val="00C81519"/>
    <w:rsid w:val="00C818CA"/>
    <w:rsid w:val="00C8257F"/>
    <w:rsid w:val="00CA07D8"/>
    <w:rsid w:val="00CA1C91"/>
    <w:rsid w:val="00CA7DAD"/>
    <w:rsid w:val="00CB2FE6"/>
    <w:rsid w:val="00CB361D"/>
    <w:rsid w:val="00CB3D0D"/>
    <w:rsid w:val="00CC3170"/>
    <w:rsid w:val="00CC323F"/>
    <w:rsid w:val="00CD0989"/>
    <w:rsid w:val="00CD1234"/>
    <w:rsid w:val="00CE07E5"/>
    <w:rsid w:val="00CE2539"/>
    <w:rsid w:val="00CF6C6B"/>
    <w:rsid w:val="00D01F41"/>
    <w:rsid w:val="00D04B9E"/>
    <w:rsid w:val="00D063AF"/>
    <w:rsid w:val="00D07A18"/>
    <w:rsid w:val="00D1185E"/>
    <w:rsid w:val="00D157C3"/>
    <w:rsid w:val="00D219EB"/>
    <w:rsid w:val="00D23F70"/>
    <w:rsid w:val="00D24ACC"/>
    <w:rsid w:val="00D24FAA"/>
    <w:rsid w:val="00D257E2"/>
    <w:rsid w:val="00D31294"/>
    <w:rsid w:val="00D45A5E"/>
    <w:rsid w:val="00D55699"/>
    <w:rsid w:val="00D66DE8"/>
    <w:rsid w:val="00D7425D"/>
    <w:rsid w:val="00D823A1"/>
    <w:rsid w:val="00D85850"/>
    <w:rsid w:val="00D90224"/>
    <w:rsid w:val="00D9782F"/>
    <w:rsid w:val="00D9783D"/>
    <w:rsid w:val="00DA2D18"/>
    <w:rsid w:val="00DA7AA9"/>
    <w:rsid w:val="00DB46FA"/>
    <w:rsid w:val="00DB4DD0"/>
    <w:rsid w:val="00DC7BC4"/>
    <w:rsid w:val="00DD1C4A"/>
    <w:rsid w:val="00DD3CEA"/>
    <w:rsid w:val="00DE37CF"/>
    <w:rsid w:val="00DE5455"/>
    <w:rsid w:val="00E0102F"/>
    <w:rsid w:val="00E16FAE"/>
    <w:rsid w:val="00E249E4"/>
    <w:rsid w:val="00E309C8"/>
    <w:rsid w:val="00E352D4"/>
    <w:rsid w:val="00E3728A"/>
    <w:rsid w:val="00E3771E"/>
    <w:rsid w:val="00E430EE"/>
    <w:rsid w:val="00E45620"/>
    <w:rsid w:val="00E64611"/>
    <w:rsid w:val="00E66CB8"/>
    <w:rsid w:val="00E805F9"/>
    <w:rsid w:val="00E95B2E"/>
    <w:rsid w:val="00EA43F9"/>
    <w:rsid w:val="00EB3040"/>
    <w:rsid w:val="00EC27EB"/>
    <w:rsid w:val="00EC53B6"/>
    <w:rsid w:val="00ED07FB"/>
    <w:rsid w:val="00ED3455"/>
    <w:rsid w:val="00ED39B9"/>
    <w:rsid w:val="00ED3DBC"/>
    <w:rsid w:val="00ED4DC4"/>
    <w:rsid w:val="00ED64E8"/>
    <w:rsid w:val="00EE06A5"/>
    <w:rsid w:val="00EE1627"/>
    <w:rsid w:val="00EE2899"/>
    <w:rsid w:val="00EF57A5"/>
    <w:rsid w:val="00EF66EA"/>
    <w:rsid w:val="00EF6734"/>
    <w:rsid w:val="00EF78B6"/>
    <w:rsid w:val="00F0018A"/>
    <w:rsid w:val="00F023C0"/>
    <w:rsid w:val="00F218DC"/>
    <w:rsid w:val="00F22B08"/>
    <w:rsid w:val="00F328BB"/>
    <w:rsid w:val="00F336E7"/>
    <w:rsid w:val="00F43436"/>
    <w:rsid w:val="00F51539"/>
    <w:rsid w:val="00F5157E"/>
    <w:rsid w:val="00F526DD"/>
    <w:rsid w:val="00F53CEC"/>
    <w:rsid w:val="00F63318"/>
    <w:rsid w:val="00F638F9"/>
    <w:rsid w:val="00F67EF1"/>
    <w:rsid w:val="00F71D4C"/>
    <w:rsid w:val="00F93ACC"/>
    <w:rsid w:val="00F93BAB"/>
    <w:rsid w:val="00F951AB"/>
    <w:rsid w:val="00FA3F8D"/>
    <w:rsid w:val="00FC0E78"/>
    <w:rsid w:val="00FD2953"/>
    <w:rsid w:val="00FD4FBB"/>
    <w:rsid w:val="00FD6B5E"/>
    <w:rsid w:val="00FE225E"/>
    <w:rsid w:val="00FE41CE"/>
    <w:rsid w:val="00FE54C0"/>
    <w:rsid w:val="00FE75B5"/>
    <w:rsid w:val="00FE7A41"/>
    <w:rsid w:val="00FF05B6"/>
    <w:rsid w:val="00FF27ED"/>
    <w:rsid w:val="00FF2D65"/>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AF7703"/>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DE6A-1F7D-425C-AD2D-58FF449F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ECD4D090</Template>
  <TotalTime>0</TotalTime>
  <Pages>17</Pages>
  <Words>5671</Words>
  <Characters>27572</Characters>
  <Application>Microsoft Office Word</Application>
  <DocSecurity>0</DocSecurity>
  <Lines>229</Lines>
  <Paragraphs>66</Paragraphs>
  <ScaleCrop>false</ScaleCrop>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2021-07-13T14:14:00Z</dcterms:created>
  <dcterms:modified xsi:type="dcterms:W3CDTF">2021-07-13T14:14:00Z</dcterms:modified>
</cp:coreProperties>
</file>