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DC4A8" w14:textId="77777777" w:rsidR="003F7820" w:rsidRPr="00696921" w:rsidRDefault="003F7820" w:rsidP="003F7820">
      <w:pPr>
        <w:widowControl w:val="0"/>
        <w:autoSpaceDE w:val="0"/>
        <w:autoSpaceDN w:val="0"/>
        <w:adjustRightInd w:val="0"/>
        <w:spacing w:line="480" w:lineRule="auto"/>
        <w:ind w:hanging="5"/>
        <w:jc w:val="center"/>
        <w:rPr>
          <w:b/>
          <w:bCs/>
          <w:color w:val="000000" w:themeColor="text1"/>
          <w:sz w:val="28"/>
          <w:szCs w:val="28"/>
        </w:rPr>
      </w:pPr>
      <w:bookmarkStart w:id="0" w:name="_GoBack"/>
      <w:bookmarkEnd w:id="0"/>
      <w:r w:rsidRPr="00696921">
        <w:rPr>
          <w:b/>
          <w:bCs/>
          <w:color w:val="000000" w:themeColor="text1"/>
          <w:sz w:val="28"/>
          <w:szCs w:val="28"/>
        </w:rPr>
        <w:t>THE COURT OF APPEAL</w:t>
      </w:r>
    </w:p>
    <w:p w14:paraId="632E425C" w14:textId="0A9A9227" w:rsidR="003F7820" w:rsidRPr="00696921" w:rsidRDefault="003F7820" w:rsidP="003F7820">
      <w:pPr>
        <w:widowControl w:val="0"/>
        <w:autoSpaceDE w:val="0"/>
        <w:autoSpaceDN w:val="0"/>
        <w:adjustRightInd w:val="0"/>
        <w:spacing w:line="480" w:lineRule="auto"/>
        <w:ind w:left="714" w:hanging="357"/>
        <w:jc w:val="right"/>
        <w:rPr>
          <w:b/>
          <w:bCs/>
          <w:color w:val="000000" w:themeColor="text1"/>
        </w:rPr>
      </w:pPr>
      <w:r w:rsidRPr="00696921">
        <w:rPr>
          <w:b/>
          <w:bCs/>
          <w:color w:val="000000" w:themeColor="text1"/>
        </w:rPr>
        <w:t>Record No 202</w:t>
      </w:r>
      <w:r w:rsidR="009007E7" w:rsidRPr="00696921">
        <w:rPr>
          <w:b/>
          <w:bCs/>
          <w:color w:val="000000" w:themeColor="text1"/>
        </w:rPr>
        <w:t>1</w:t>
      </w:r>
      <w:r w:rsidRPr="00696921">
        <w:rPr>
          <w:b/>
          <w:bCs/>
          <w:color w:val="000000" w:themeColor="text1"/>
        </w:rPr>
        <w:t>/</w:t>
      </w:r>
      <w:r w:rsidR="009007E7" w:rsidRPr="00696921">
        <w:rPr>
          <w:b/>
          <w:bCs/>
          <w:color w:val="000000" w:themeColor="text1"/>
        </w:rPr>
        <w:t>8</w:t>
      </w:r>
    </w:p>
    <w:p w14:paraId="66E59CAF" w14:textId="14043858" w:rsidR="00F35F1B" w:rsidRPr="00696921" w:rsidRDefault="00F35F1B" w:rsidP="003F7820">
      <w:pPr>
        <w:widowControl w:val="0"/>
        <w:autoSpaceDE w:val="0"/>
        <w:autoSpaceDN w:val="0"/>
        <w:adjustRightInd w:val="0"/>
        <w:spacing w:line="480" w:lineRule="auto"/>
        <w:ind w:left="714" w:hanging="357"/>
        <w:jc w:val="right"/>
        <w:rPr>
          <w:b/>
          <w:bCs/>
          <w:color w:val="000000" w:themeColor="text1"/>
        </w:rPr>
      </w:pPr>
      <w:r w:rsidRPr="00696921">
        <w:rPr>
          <w:b/>
          <w:bCs/>
          <w:color w:val="000000" w:themeColor="text1"/>
        </w:rPr>
        <w:t>Neutral Citation: [2021] IECA 210</w:t>
      </w:r>
    </w:p>
    <w:p w14:paraId="00B4C1C1" w14:textId="77777777" w:rsidR="003F7820" w:rsidRPr="00696921" w:rsidRDefault="003F7820" w:rsidP="003F7820">
      <w:pPr>
        <w:widowControl w:val="0"/>
        <w:autoSpaceDE w:val="0"/>
        <w:autoSpaceDN w:val="0"/>
        <w:adjustRightInd w:val="0"/>
        <w:spacing w:line="480" w:lineRule="auto"/>
        <w:ind w:left="714" w:hanging="357"/>
        <w:rPr>
          <w:b/>
          <w:bCs/>
          <w:color w:val="000000" w:themeColor="text1"/>
        </w:rPr>
      </w:pPr>
      <w:r w:rsidRPr="00696921">
        <w:rPr>
          <w:b/>
          <w:bCs/>
          <w:color w:val="000000" w:themeColor="text1"/>
        </w:rPr>
        <w:t>Birmingham P</w:t>
      </w:r>
    </w:p>
    <w:p w14:paraId="3179C608" w14:textId="77777777" w:rsidR="003F7820" w:rsidRPr="00696921" w:rsidRDefault="003F7820" w:rsidP="003F7820">
      <w:pPr>
        <w:widowControl w:val="0"/>
        <w:autoSpaceDE w:val="0"/>
        <w:autoSpaceDN w:val="0"/>
        <w:adjustRightInd w:val="0"/>
        <w:spacing w:line="480" w:lineRule="auto"/>
        <w:ind w:left="714" w:hanging="357"/>
        <w:rPr>
          <w:b/>
          <w:bCs/>
          <w:color w:val="000000" w:themeColor="text1"/>
        </w:rPr>
      </w:pPr>
      <w:r w:rsidRPr="00696921">
        <w:rPr>
          <w:b/>
          <w:bCs/>
          <w:color w:val="000000" w:themeColor="text1"/>
        </w:rPr>
        <w:t>Edwards J</w:t>
      </w:r>
    </w:p>
    <w:p w14:paraId="27AEEE3C" w14:textId="77777777" w:rsidR="003F7820" w:rsidRPr="00696921" w:rsidRDefault="003F7820" w:rsidP="003F7820">
      <w:pPr>
        <w:widowControl w:val="0"/>
        <w:autoSpaceDE w:val="0"/>
        <w:autoSpaceDN w:val="0"/>
        <w:adjustRightInd w:val="0"/>
        <w:spacing w:line="480" w:lineRule="auto"/>
        <w:ind w:left="714" w:hanging="357"/>
        <w:rPr>
          <w:b/>
          <w:bCs/>
          <w:color w:val="000000" w:themeColor="text1"/>
        </w:rPr>
      </w:pPr>
      <w:r w:rsidRPr="00696921">
        <w:rPr>
          <w:b/>
          <w:bCs/>
          <w:color w:val="000000" w:themeColor="text1"/>
        </w:rPr>
        <w:t>Collins J</w:t>
      </w:r>
    </w:p>
    <w:p w14:paraId="7CF64427" w14:textId="77777777" w:rsidR="003F7820" w:rsidRPr="00696921" w:rsidRDefault="003F7820" w:rsidP="003F7820">
      <w:pPr>
        <w:widowControl w:val="0"/>
        <w:autoSpaceDE w:val="0"/>
        <w:autoSpaceDN w:val="0"/>
        <w:adjustRightInd w:val="0"/>
        <w:spacing w:line="480" w:lineRule="auto"/>
        <w:ind w:left="714" w:hanging="357"/>
        <w:jc w:val="right"/>
        <w:rPr>
          <w:b/>
          <w:bCs/>
          <w:color w:val="000000" w:themeColor="text1"/>
        </w:rPr>
      </w:pPr>
    </w:p>
    <w:p w14:paraId="0EA19840" w14:textId="77777777" w:rsidR="003F7820" w:rsidRPr="00696921" w:rsidRDefault="003F7820" w:rsidP="003F7820">
      <w:pPr>
        <w:widowControl w:val="0"/>
        <w:autoSpaceDE w:val="0"/>
        <w:autoSpaceDN w:val="0"/>
        <w:adjustRightInd w:val="0"/>
        <w:spacing w:line="480" w:lineRule="auto"/>
        <w:ind w:left="714" w:hanging="357"/>
        <w:jc w:val="center"/>
        <w:rPr>
          <w:b/>
          <w:bCs/>
          <w:color w:val="000000" w:themeColor="text1"/>
        </w:rPr>
      </w:pPr>
      <w:r w:rsidRPr="00696921">
        <w:rPr>
          <w:b/>
          <w:bCs/>
          <w:color w:val="000000" w:themeColor="text1"/>
        </w:rPr>
        <w:t>IN THE MATTER OF THE EUROPEAN ARREST WARRANT ACT 2003</w:t>
      </w:r>
    </w:p>
    <w:p w14:paraId="685A85B9" w14:textId="77777777" w:rsidR="003F7820" w:rsidRPr="00696921" w:rsidRDefault="003F7820" w:rsidP="003F7820">
      <w:pPr>
        <w:widowControl w:val="0"/>
        <w:autoSpaceDE w:val="0"/>
        <w:autoSpaceDN w:val="0"/>
        <w:adjustRightInd w:val="0"/>
        <w:spacing w:line="480" w:lineRule="auto"/>
        <w:ind w:left="714" w:hanging="357"/>
        <w:jc w:val="center"/>
        <w:rPr>
          <w:b/>
          <w:bCs/>
          <w:color w:val="000000" w:themeColor="text1"/>
        </w:rPr>
      </w:pPr>
      <w:r w:rsidRPr="00696921">
        <w:rPr>
          <w:b/>
          <w:bCs/>
          <w:color w:val="000000" w:themeColor="text1"/>
        </w:rPr>
        <w:t>(AS AMENDED)</w:t>
      </w:r>
    </w:p>
    <w:p w14:paraId="73C8E611" w14:textId="77777777" w:rsidR="003F7820" w:rsidRPr="00696921" w:rsidRDefault="003F7820" w:rsidP="003F7820">
      <w:pPr>
        <w:widowControl w:val="0"/>
        <w:autoSpaceDE w:val="0"/>
        <w:autoSpaceDN w:val="0"/>
        <w:adjustRightInd w:val="0"/>
        <w:spacing w:line="480" w:lineRule="auto"/>
        <w:ind w:left="714" w:hanging="357"/>
        <w:rPr>
          <w:b/>
          <w:bCs/>
          <w:color w:val="000000" w:themeColor="text1"/>
        </w:rPr>
      </w:pPr>
    </w:p>
    <w:p w14:paraId="7D2F0E89" w14:textId="77777777" w:rsidR="003F7820" w:rsidRPr="00696921" w:rsidRDefault="003F7820" w:rsidP="003F7820">
      <w:pPr>
        <w:widowControl w:val="0"/>
        <w:autoSpaceDE w:val="0"/>
        <w:autoSpaceDN w:val="0"/>
        <w:adjustRightInd w:val="0"/>
        <w:spacing w:line="480" w:lineRule="auto"/>
        <w:ind w:left="714" w:hanging="357"/>
        <w:rPr>
          <w:b/>
          <w:bCs/>
          <w:caps/>
          <w:color w:val="000000" w:themeColor="text1"/>
        </w:rPr>
      </w:pPr>
      <w:r w:rsidRPr="00696921">
        <w:rPr>
          <w:b/>
          <w:bCs/>
          <w:caps/>
          <w:color w:val="000000" w:themeColor="text1"/>
        </w:rPr>
        <w:t>Between</w:t>
      </w:r>
    </w:p>
    <w:p w14:paraId="114DA16C" w14:textId="77777777" w:rsidR="003F7820" w:rsidRPr="00696921" w:rsidRDefault="003F7820" w:rsidP="003F7820">
      <w:pPr>
        <w:widowControl w:val="0"/>
        <w:autoSpaceDE w:val="0"/>
        <w:autoSpaceDN w:val="0"/>
        <w:adjustRightInd w:val="0"/>
        <w:spacing w:line="480" w:lineRule="auto"/>
        <w:ind w:left="714" w:hanging="357"/>
        <w:rPr>
          <w:b/>
          <w:bCs/>
          <w:color w:val="000000" w:themeColor="text1"/>
        </w:rPr>
      </w:pPr>
    </w:p>
    <w:p w14:paraId="6A366541" w14:textId="77777777" w:rsidR="003F7820" w:rsidRPr="00696921" w:rsidRDefault="003F7820" w:rsidP="003F7820">
      <w:pPr>
        <w:widowControl w:val="0"/>
        <w:autoSpaceDE w:val="0"/>
        <w:autoSpaceDN w:val="0"/>
        <w:adjustRightInd w:val="0"/>
        <w:spacing w:line="480" w:lineRule="auto"/>
        <w:ind w:left="714" w:hanging="357"/>
        <w:jc w:val="center"/>
        <w:rPr>
          <w:b/>
          <w:bCs/>
          <w:color w:val="000000" w:themeColor="text1"/>
        </w:rPr>
      </w:pPr>
      <w:r w:rsidRPr="00696921">
        <w:rPr>
          <w:b/>
          <w:bCs/>
          <w:color w:val="000000" w:themeColor="text1"/>
        </w:rPr>
        <w:t xml:space="preserve">THE MINISTER FOR JUSTICE AND EQUALITY </w:t>
      </w:r>
    </w:p>
    <w:p w14:paraId="43D75138" w14:textId="77777777" w:rsidR="003F7820" w:rsidRPr="00696921" w:rsidRDefault="003F7820" w:rsidP="003F7820">
      <w:pPr>
        <w:widowControl w:val="0"/>
        <w:autoSpaceDE w:val="0"/>
        <w:autoSpaceDN w:val="0"/>
        <w:adjustRightInd w:val="0"/>
        <w:spacing w:line="480" w:lineRule="auto"/>
        <w:ind w:left="714" w:hanging="357"/>
        <w:jc w:val="right"/>
        <w:rPr>
          <w:bCs/>
          <w:i/>
          <w:color w:val="000000" w:themeColor="text1"/>
        </w:rPr>
      </w:pPr>
      <w:r w:rsidRPr="00696921">
        <w:rPr>
          <w:b/>
          <w:bCs/>
          <w:color w:val="000000" w:themeColor="text1"/>
        </w:rPr>
        <w:tab/>
      </w:r>
      <w:r w:rsidRPr="00696921">
        <w:rPr>
          <w:b/>
          <w:bCs/>
          <w:color w:val="000000" w:themeColor="text1"/>
        </w:rPr>
        <w:tab/>
      </w:r>
      <w:r w:rsidRPr="00696921">
        <w:rPr>
          <w:bCs/>
          <w:i/>
          <w:color w:val="000000" w:themeColor="text1"/>
        </w:rPr>
        <w:t>Applicant/Respondent</w:t>
      </w:r>
    </w:p>
    <w:p w14:paraId="3653ACAF" w14:textId="77777777" w:rsidR="003F7820" w:rsidRPr="00696921" w:rsidRDefault="003F7820" w:rsidP="003F7820">
      <w:pPr>
        <w:widowControl w:val="0"/>
        <w:autoSpaceDE w:val="0"/>
        <w:autoSpaceDN w:val="0"/>
        <w:adjustRightInd w:val="0"/>
        <w:spacing w:line="480" w:lineRule="auto"/>
        <w:ind w:left="714" w:hanging="357"/>
        <w:rPr>
          <w:b/>
          <w:bCs/>
          <w:color w:val="000000" w:themeColor="text1"/>
        </w:rPr>
      </w:pPr>
      <w:r w:rsidRPr="00696921">
        <w:rPr>
          <w:b/>
          <w:bCs/>
          <w:color w:val="000000" w:themeColor="text1"/>
        </w:rPr>
        <w:t>AND</w:t>
      </w:r>
    </w:p>
    <w:p w14:paraId="43147929" w14:textId="77777777" w:rsidR="003F7820" w:rsidRPr="00696921" w:rsidRDefault="003F7820" w:rsidP="003F7820">
      <w:pPr>
        <w:widowControl w:val="0"/>
        <w:autoSpaceDE w:val="0"/>
        <w:autoSpaceDN w:val="0"/>
        <w:adjustRightInd w:val="0"/>
        <w:spacing w:line="480" w:lineRule="auto"/>
        <w:ind w:left="714" w:hanging="357"/>
        <w:jc w:val="right"/>
        <w:rPr>
          <w:b/>
          <w:bCs/>
          <w:color w:val="000000" w:themeColor="text1"/>
        </w:rPr>
      </w:pPr>
    </w:p>
    <w:p w14:paraId="0378ED98" w14:textId="77777777" w:rsidR="003F7820" w:rsidRPr="00696921" w:rsidRDefault="00A63007" w:rsidP="003F7820">
      <w:pPr>
        <w:widowControl w:val="0"/>
        <w:autoSpaceDE w:val="0"/>
        <w:autoSpaceDN w:val="0"/>
        <w:adjustRightInd w:val="0"/>
        <w:spacing w:line="480" w:lineRule="auto"/>
        <w:ind w:left="714" w:hanging="357"/>
        <w:jc w:val="center"/>
        <w:rPr>
          <w:b/>
          <w:bCs/>
          <w:color w:val="000000" w:themeColor="text1"/>
        </w:rPr>
      </w:pPr>
      <w:r w:rsidRPr="00696921">
        <w:rPr>
          <w:b/>
          <w:bCs/>
          <w:color w:val="000000" w:themeColor="text1"/>
        </w:rPr>
        <w:t>ZSOLT SIKLÓSI</w:t>
      </w:r>
    </w:p>
    <w:p w14:paraId="513F8F93" w14:textId="77777777" w:rsidR="003F7820" w:rsidRPr="00696921" w:rsidRDefault="003F7820" w:rsidP="003F7820">
      <w:pPr>
        <w:widowControl w:val="0"/>
        <w:autoSpaceDE w:val="0"/>
        <w:autoSpaceDN w:val="0"/>
        <w:adjustRightInd w:val="0"/>
        <w:spacing w:line="480" w:lineRule="auto"/>
        <w:ind w:left="714" w:hanging="357"/>
        <w:jc w:val="right"/>
        <w:rPr>
          <w:bCs/>
          <w:i/>
          <w:color w:val="000000" w:themeColor="text1"/>
        </w:rPr>
      </w:pPr>
      <w:r w:rsidRPr="00696921">
        <w:rPr>
          <w:bCs/>
          <w:i/>
          <w:color w:val="000000" w:themeColor="text1"/>
        </w:rPr>
        <w:t>Respondent/Appellant</w:t>
      </w:r>
    </w:p>
    <w:p w14:paraId="0E73CC74" w14:textId="77777777" w:rsidR="003F7820" w:rsidRPr="00696921" w:rsidRDefault="003F7820" w:rsidP="003F7820">
      <w:pPr>
        <w:widowControl w:val="0"/>
        <w:autoSpaceDE w:val="0"/>
        <w:autoSpaceDN w:val="0"/>
        <w:adjustRightInd w:val="0"/>
        <w:spacing w:line="480" w:lineRule="auto"/>
        <w:ind w:left="714" w:hanging="357"/>
        <w:jc w:val="center"/>
        <w:rPr>
          <w:b/>
          <w:bCs/>
          <w:color w:val="000000" w:themeColor="text1"/>
          <w:u w:val="single" w:color="000000"/>
        </w:rPr>
      </w:pPr>
    </w:p>
    <w:p w14:paraId="0B772DA6" w14:textId="77777777" w:rsidR="003F7820" w:rsidRPr="00696921" w:rsidRDefault="003F7820" w:rsidP="003F7820">
      <w:pPr>
        <w:widowControl w:val="0"/>
        <w:autoSpaceDE w:val="0"/>
        <w:autoSpaceDN w:val="0"/>
        <w:adjustRightInd w:val="0"/>
        <w:spacing w:line="480" w:lineRule="auto"/>
        <w:ind w:left="714" w:hanging="357"/>
        <w:jc w:val="center"/>
        <w:rPr>
          <w:b/>
          <w:bCs/>
          <w:color w:val="000000" w:themeColor="text1"/>
          <w:u w:val="single" w:color="000000"/>
        </w:rPr>
      </w:pPr>
    </w:p>
    <w:p w14:paraId="761EF2EC" w14:textId="77777777" w:rsidR="003F7820" w:rsidRPr="00696921" w:rsidRDefault="003F7820" w:rsidP="003F7820">
      <w:pPr>
        <w:widowControl w:val="0"/>
        <w:autoSpaceDE w:val="0"/>
        <w:autoSpaceDN w:val="0"/>
        <w:adjustRightInd w:val="0"/>
        <w:spacing w:line="480" w:lineRule="auto"/>
        <w:ind w:left="714" w:hanging="357"/>
        <w:jc w:val="center"/>
        <w:rPr>
          <w:b/>
          <w:bCs/>
          <w:color w:val="000000" w:themeColor="text1"/>
          <w:u w:val="single" w:color="000000"/>
        </w:rPr>
      </w:pPr>
    </w:p>
    <w:p w14:paraId="1C5A3BBA" w14:textId="3CBCCCFF" w:rsidR="00A63007" w:rsidRPr="00696921" w:rsidRDefault="003F7820" w:rsidP="003F7820">
      <w:pPr>
        <w:widowControl w:val="0"/>
        <w:autoSpaceDE w:val="0"/>
        <w:autoSpaceDN w:val="0"/>
        <w:adjustRightInd w:val="0"/>
        <w:spacing w:line="480" w:lineRule="auto"/>
        <w:ind w:left="714" w:hanging="572"/>
        <w:rPr>
          <w:b/>
          <w:bCs/>
          <w:color w:val="000000" w:themeColor="text1"/>
          <w:u w:val="single" w:color="000000"/>
        </w:rPr>
      </w:pPr>
      <w:r w:rsidRPr="00696921">
        <w:rPr>
          <w:b/>
          <w:bCs/>
          <w:color w:val="000000" w:themeColor="text1"/>
          <w:u w:val="single" w:color="000000"/>
        </w:rPr>
        <w:t xml:space="preserve">JUDGMENT of  the Court delivered by Mr Justice Maurice Collins on </w:t>
      </w:r>
      <w:r w:rsidR="003B5BBD" w:rsidRPr="00696921">
        <w:rPr>
          <w:b/>
          <w:bCs/>
          <w:color w:val="000000" w:themeColor="text1"/>
          <w:u w:val="single" w:color="000000"/>
        </w:rPr>
        <w:t>21</w:t>
      </w:r>
      <w:r w:rsidRPr="00696921">
        <w:rPr>
          <w:b/>
          <w:bCs/>
          <w:color w:val="000000" w:themeColor="text1"/>
          <w:u w:val="single" w:color="000000"/>
        </w:rPr>
        <w:t xml:space="preserve"> </w:t>
      </w:r>
      <w:r w:rsidR="00537B9F" w:rsidRPr="00696921">
        <w:rPr>
          <w:b/>
          <w:bCs/>
          <w:color w:val="000000" w:themeColor="text1"/>
          <w:u w:val="single" w:color="000000"/>
        </w:rPr>
        <w:t>July</w:t>
      </w:r>
      <w:r w:rsidRPr="00696921">
        <w:rPr>
          <w:b/>
          <w:bCs/>
          <w:color w:val="000000" w:themeColor="text1"/>
          <w:u w:val="single" w:color="000000"/>
        </w:rPr>
        <w:t xml:space="preserve"> 2021</w:t>
      </w:r>
    </w:p>
    <w:p w14:paraId="4CB208F0" w14:textId="77777777" w:rsidR="00A63007" w:rsidRPr="00696921" w:rsidRDefault="00A63007" w:rsidP="003F7820">
      <w:pPr>
        <w:widowControl w:val="0"/>
        <w:autoSpaceDE w:val="0"/>
        <w:autoSpaceDN w:val="0"/>
        <w:adjustRightInd w:val="0"/>
        <w:spacing w:line="480" w:lineRule="auto"/>
        <w:ind w:left="714" w:hanging="572"/>
        <w:rPr>
          <w:b/>
          <w:bCs/>
          <w:color w:val="000000" w:themeColor="text1"/>
          <w:u w:val="single" w:color="000000"/>
        </w:rPr>
      </w:pPr>
    </w:p>
    <w:p w14:paraId="5D5D123C" w14:textId="1C7F2D33" w:rsidR="00A63007" w:rsidRPr="00696921" w:rsidRDefault="00A63007" w:rsidP="00F807DA">
      <w:pPr>
        <w:spacing w:after="160" w:line="259" w:lineRule="auto"/>
        <w:jc w:val="center"/>
        <w:rPr>
          <w:b/>
          <w:bCs/>
          <w:color w:val="000000" w:themeColor="text1"/>
        </w:rPr>
      </w:pPr>
      <w:r w:rsidRPr="00696921">
        <w:rPr>
          <w:b/>
          <w:bCs/>
          <w:color w:val="000000" w:themeColor="text1"/>
          <w:u w:val="single" w:color="000000"/>
        </w:rPr>
        <w:br w:type="page"/>
      </w:r>
      <w:r w:rsidR="00A060C8" w:rsidRPr="00696921">
        <w:rPr>
          <w:b/>
          <w:bCs/>
          <w:color w:val="000000" w:themeColor="text1"/>
        </w:rPr>
        <w:lastRenderedPageBreak/>
        <w:t>PRELIMINARY</w:t>
      </w:r>
    </w:p>
    <w:p w14:paraId="05A23936" w14:textId="77777777" w:rsidR="00690684" w:rsidRPr="00696921" w:rsidRDefault="00690684" w:rsidP="00A63007">
      <w:pPr>
        <w:widowControl w:val="0"/>
        <w:autoSpaceDE w:val="0"/>
        <w:autoSpaceDN w:val="0"/>
        <w:adjustRightInd w:val="0"/>
        <w:spacing w:line="480" w:lineRule="auto"/>
        <w:ind w:left="714" w:hanging="572"/>
        <w:jc w:val="center"/>
        <w:rPr>
          <w:b/>
          <w:bCs/>
          <w:color w:val="000000" w:themeColor="text1"/>
        </w:rPr>
      </w:pPr>
    </w:p>
    <w:p w14:paraId="5691787D" w14:textId="77777777" w:rsidR="00A05199" w:rsidRPr="00696921" w:rsidRDefault="00A05199">
      <w:pPr>
        <w:rPr>
          <w:color w:val="000000" w:themeColor="text1"/>
        </w:rPr>
      </w:pPr>
    </w:p>
    <w:p w14:paraId="25C83472" w14:textId="288FF111" w:rsidR="004853C4" w:rsidRPr="00696921" w:rsidRDefault="005C261C" w:rsidP="00A63007">
      <w:pPr>
        <w:pStyle w:val="ListParagraph"/>
        <w:numPr>
          <w:ilvl w:val="0"/>
          <w:numId w:val="1"/>
        </w:numPr>
        <w:spacing w:line="480" w:lineRule="auto"/>
        <w:ind w:hanging="720"/>
        <w:jc w:val="both"/>
        <w:rPr>
          <w:color w:val="000000" w:themeColor="text1"/>
        </w:rPr>
      </w:pPr>
      <w:r w:rsidRPr="00696921">
        <w:rPr>
          <w:color w:val="000000" w:themeColor="text1"/>
        </w:rPr>
        <w:t>Th</w:t>
      </w:r>
      <w:r w:rsidR="00690684" w:rsidRPr="00696921">
        <w:rPr>
          <w:color w:val="000000" w:themeColor="text1"/>
        </w:rPr>
        <w:t xml:space="preserve">e issues in this appeal overlap to a significant degree with the issues arising in another appeal in which this Court gives judgment today, </w:t>
      </w:r>
      <w:r w:rsidR="00690684" w:rsidRPr="00696921">
        <w:rPr>
          <w:i/>
          <w:color w:val="000000" w:themeColor="text1"/>
        </w:rPr>
        <w:t xml:space="preserve">Minister for Justice and Equality v Szamota </w:t>
      </w:r>
      <w:r w:rsidR="00690684" w:rsidRPr="00696921">
        <w:rPr>
          <w:color w:val="000000" w:themeColor="text1"/>
        </w:rPr>
        <w:t xml:space="preserve">[2021] IECA </w:t>
      </w:r>
      <w:r w:rsidR="00F807DA" w:rsidRPr="00696921">
        <w:rPr>
          <w:color w:val="000000" w:themeColor="text1"/>
        </w:rPr>
        <w:t>209</w:t>
      </w:r>
      <w:r w:rsidR="00690684" w:rsidRPr="00696921">
        <w:rPr>
          <w:color w:val="000000" w:themeColor="text1"/>
        </w:rPr>
        <w:t xml:space="preserve">. This judgment should be read with the Court’s judgment in </w:t>
      </w:r>
      <w:r w:rsidR="00690684" w:rsidRPr="00696921">
        <w:rPr>
          <w:i/>
          <w:color w:val="000000" w:themeColor="text1"/>
        </w:rPr>
        <w:t>Szamota</w:t>
      </w:r>
      <w:r w:rsidR="00690684" w:rsidRPr="00696921">
        <w:rPr>
          <w:color w:val="000000" w:themeColor="text1"/>
        </w:rPr>
        <w:t xml:space="preserve">.  </w:t>
      </w:r>
    </w:p>
    <w:p w14:paraId="5EEEFFF7" w14:textId="77777777" w:rsidR="00690684" w:rsidRPr="00696921" w:rsidRDefault="00690684" w:rsidP="00690684">
      <w:pPr>
        <w:pStyle w:val="ListParagraph"/>
        <w:spacing w:line="480" w:lineRule="auto"/>
        <w:jc w:val="both"/>
        <w:rPr>
          <w:color w:val="000000" w:themeColor="text1"/>
        </w:rPr>
      </w:pPr>
    </w:p>
    <w:p w14:paraId="2CB527E3" w14:textId="4B15737B" w:rsidR="00690684" w:rsidRPr="00696921" w:rsidRDefault="00690684" w:rsidP="00A63007">
      <w:pPr>
        <w:pStyle w:val="ListParagraph"/>
        <w:numPr>
          <w:ilvl w:val="0"/>
          <w:numId w:val="1"/>
        </w:numPr>
        <w:spacing w:line="480" w:lineRule="auto"/>
        <w:ind w:hanging="720"/>
        <w:jc w:val="both"/>
        <w:rPr>
          <w:color w:val="000000" w:themeColor="text1"/>
        </w:rPr>
      </w:pPr>
      <w:r w:rsidRPr="00696921">
        <w:rPr>
          <w:color w:val="000000" w:themeColor="text1"/>
        </w:rPr>
        <w:t xml:space="preserve">In </w:t>
      </w:r>
      <w:r w:rsidRPr="00696921">
        <w:rPr>
          <w:i/>
          <w:color w:val="000000" w:themeColor="text1"/>
        </w:rPr>
        <w:t>Szamota</w:t>
      </w:r>
      <w:r w:rsidRPr="00696921">
        <w:rPr>
          <w:color w:val="000000" w:themeColor="text1"/>
        </w:rPr>
        <w:t xml:space="preserve">, the Court </w:t>
      </w:r>
      <w:r w:rsidR="0029173F" w:rsidRPr="00696921">
        <w:rPr>
          <w:color w:val="000000" w:themeColor="text1"/>
        </w:rPr>
        <w:t xml:space="preserve">has </w:t>
      </w:r>
      <w:r w:rsidRPr="00696921">
        <w:rPr>
          <w:color w:val="000000" w:themeColor="text1"/>
        </w:rPr>
        <w:t>concluded that</w:t>
      </w:r>
      <w:r w:rsidR="0027158D" w:rsidRPr="00696921">
        <w:rPr>
          <w:color w:val="000000" w:themeColor="text1"/>
        </w:rPr>
        <w:t>, having regard to the importance and complexity of</w:t>
      </w:r>
      <w:r w:rsidRPr="00696921">
        <w:rPr>
          <w:color w:val="000000" w:themeColor="text1"/>
        </w:rPr>
        <w:t xml:space="preserve"> the </w:t>
      </w:r>
      <w:r w:rsidR="0027158D" w:rsidRPr="00696921">
        <w:rPr>
          <w:color w:val="000000" w:themeColor="text1"/>
        </w:rPr>
        <w:t xml:space="preserve">questions raised by the </w:t>
      </w:r>
      <w:r w:rsidRPr="00696921">
        <w:rPr>
          <w:color w:val="000000" w:themeColor="text1"/>
        </w:rPr>
        <w:t xml:space="preserve">points of law </w:t>
      </w:r>
      <w:r w:rsidR="0029173F" w:rsidRPr="00696921">
        <w:rPr>
          <w:color w:val="000000" w:themeColor="text1"/>
        </w:rPr>
        <w:t>certified by</w:t>
      </w:r>
      <w:r w:rsidR="0027158D" w:rsidRPr="00696921">
        <w:rPr>
          <w:color w:val="000000" w:themeColor="text1"/>
        </w:rPr>
        <w:t xml:space="preserve"> </w:t>
      </w:r>
      <w:r w:rsidRPr="00696921">
        <w:rPr>
          <w:color w:val="000000" w:themeColor="text1"/>
        </w:rPr>
        <w:t xml:space="preserve">the High Court </w:t>
      </w:r>
      <w:r w:rsidR="0027158D" w:rsidRPr="00696921">
        <w:rPr>
          <w:color w:val="000000" w:themeColor="text1"/>
        </w:rPr>
        <w:t xml:space="preserve"> </w:t>
      </w:r>
      <w:r w:rsidRPr="00696921">
        <w:rPr>
          <w:color w:val="000000" w:themeColor="text1"/>
        </w:rPr>
        <w:t>pursuant to section 16(11) of the European Arrest Warrant Act 2003 (as amended)</w:t>
      </w:r>
      <w:r w:rsidRPr="00696921">
        <w:rPr>
          <w:i/>
          <w:color w:val="000000" w:themeColor="text1"/>
        </w:rPr>
        <w:t xml:space="preserve"> </w:t>
      </w:r>
      <w:r w:rsidRPr="00696921">
        <w:rPr>
          <w:color w:val="000000" w:themeColor="text1"/>
        </w:rPr>
        <w:t>(</w:t>
      </w:r>
      <w:r w:rsidRPr="00696921">
        <w:rPr>
          <w:i/>
          <w:color w:val="000000" w:themeColor="text1"/>
        </w:rPr>
        <w:t>“the 2003 Act”</w:t>
      </w:r>
      <w:r w:rsidRPr="00696921">
        <w:rPr>
          <w:color w:val="000000" w:themeColor="text1"/>
        </w:rPr>
        <w:t>)</w:t>
      </w:r>
      <w:r w:rsidR="0027158D" w:rsidRPr="00696921">
        <w:rPr>
          <w:i/>
          <w:color w:val="000000" w:themeColor="text1"/>
        </w:rPr>
        <w:t xml:space="preserve">, </w:t>
      </w:r>
      <w:r w:rsidR="0027158D" w:rsidRPr="00696921">
        <w:rPr>
          <w:color w:val="000000" w:themeColor="text1"/>
        </w:rPr>
        <w:t xml:space="preserve">it </w:t>
      </w:r>
      <w:r w:rsidR="0029173F" w:rsidRPr="00696921">
        <w:rPr>
          <w:color w:val="000000" w:themeColor="text1"/>
        </w:rPr>
        <w:t>is</w:t>
      </w:r>
      <w:r w:rsidR="0027158D" w:rsidRPr="00696921">
        <w:rPr>
          <w:color w:val="000000" w:themeColor="text1"/>
        </w:rPr>
        <w:t xml:space="preserve"> appropriate to exercise this Court’s power to make a reference to the Court of Justice of the European Union (CJEU) pursuant to Article 267 of the Treaty on the Functioning of the European Union.</w:t>
      </w:r>
      <w:r w:rsidRPr="00696921">
        <w:rPr>
          <w:i/>
          <w:color w:val="000000" w:themeColor="text1"/>
        </w:rPr>
        <w:t xml:space="preserve"> </w:t>
      </w:r>
      <w:r w:rsidRPr="00696921">
        <w:rPr>
          <w:color w:val="000000" w:themeColor="text1"/>
        </w:rPr>
        <w:t xml:space="preserve"> </w:t>
      </w:r>
    </w:p>
    <w:p w14:paraId="0C90B583" w14:textId="77777777" w:rsidR="004853C4" w:rsidRPr="00696921" w:rsidRDefault="004853C4" w:rsidP="004853C4">
      <w:pPr>
        <w:pStyle w:val="ListParagraph"/>
        <w:spacing w:line="480" w:lineRule="auto"/>
        <w:jc w:val="both"/>
        <w:rPr>
          <w:color w:val="000000" w:themeColor="text1"/>
        </w:rPr>
      </w:pPr>
    </w:p>
    <w:p w14:paraId="1DAB64E4" w14:textId="56E7B632" w:rsidR="0027158D" w:rsidRPr="00696921" w:rsidRDefault="0027158D" w:rsidP="00A63007">
      <w:pPr>
        <w:pStyle w:val="ListParagraph"/>
        <w:numPr>
          <w:ilvl w:val="0"/>
          <w:numId w:val="1"/>
        </w:numPr>
        <w:spacing w:line="480" w:lineRule="auto"/>
        <w:ind w:hanging="720"/>
        <w:jc w:val="both"/>
        <w:rPr>
          <w:color w:val="000000" w:themeColor="text1"/>
        </w:rPr>
      </w:pPr>
      <w:r w:rsidRPr="00696921">
        <w:rPr>
          <w:color w:val="000000" w:themeColor="text1"/>
        </w:rPr>
        <w:t>Materially identical points of law were certified by the High Court in these proceedings</w:t>
      </w:r>
      <w:r w:rsidR="00D8478F" w:rsidRPr="00696921">
        <w:rPr>
          <w:color w:val="000000" w:themeColor="text1"/>
        </w:rPr>
        <w:t xml:space="preserve"> </w:t>
      </w:r>
      <w:r w:rsidRPr="00696921">
        <w:rPr>
          <w:color w:val="000000" w:themeColor="text1"/>
        </w:rPr>
        <w:t>and in the circumstances the Court also considers it appropriate to make a reference to the CJEU.</w:t>
      </w:r>
      <w:r w:rsidR="00D8478F" w:rsidRPr="00696921">
        <w:rPr>
          <w:color w:val="000000" w:themeColor="text1"/>
        </w:rPr>
        <w:t xml:space="preserve"> The questions which the Court proposes to refer are set out at the conclusion of this judgment. </w:t>
      </w:r>
    </w:p>
    <w:p w14:paraId="16F272A0" w14:textId="77777777" w:rsidR="0027158D" w:rsidRPr="00696921" w:rsidRDefault="0027158D" w:rsidP="0027158D">
      <w:pPr>
        <w:pStyle w:val="ListParagraph"/>
        <w:spacing w:line="480" w:lineRule="auto"/>
        <w:jc w:val="both"/>
        <w:rPr>
          <w:color w:val="000000" w:themeColor="text1"/>
        </w:rPr>
      </w:pPr>
    </w:p>
    <w:p w14:paraId="5E711680" w14:textId="1A0A522A" w:rsidR="00962A88" w:rsidRPr="00696921" w:rsidRDefault="0027158D" w:rsidP="00A63007">
      <w:pPr>
        <w:pStyle w:val="ListParagraph"/>
        <w:numPr>
          <w:ilvl w:val="0"/>
          <w:numId w:val="1"/>
        </w:numPr>
        <w:spacing w:line="480" w:lineRule="auto"/>
        <w:ind w:hanging="720"/>
        <w:jc w:val="both"/>
        <w:rPr>
          <w:color w:val="000000" w:themeColor="text1"/>
        </w:rPr>
      </w:pPr>
      <w:r w:rsidRPr="00696921">
        <w:rPr>
          <w:color w:val="000000" w:themeColor="text1"/>
        </w:rPr>
        <w:t xml:space="preserve">Other grounds of appeal, falling outside the scope of the certified points of law, were also advanced on Mr </w:t>
      </w:r>
      <w:proofErr w:type="spellStart"/>
      <w:r w:rsidR="009007E7" w:rsidRPr="00696921">
        <w:rPr>
          <w:color w:val="000000" w:themeColor="text1"/>
        </w:rPr>
        <w:t>Siklósi</w:t>
      </w:r>
      <w:r w:rsidRPr="00696921">
        <w:rPr>
          <w:color w:val="000000" w:themeColor="text1"/>
        </w:rPr>
        <w:t>’s</w:t>
      </w:r>
      <w:proofErr w:type="spellEnd"/>
      <w:r w:rsidRPr="00696921">
        <w:rPr>
          <w:color w:val="000000" w:themeColor="text1"/>
        </w:rPr>
        <w:t xml:space="preserve"> behalf. These grounds are addressed in this judgment and</w:t>
      </w:r>
      <w:r w:rsidR="00962A88" w:rsidRPr="00696921">
        <w:rPr>
          <w:color w:val="000000" w:themeColor="text1"/>
        </w:rPr>
        <w:t>, f</w:t>
      </w:r>
      <w:r w:rsidRPr="00696921">
        <w:rPr>
          <w:color w:val="000000" w:themeColor="text1"/>
        </w:rPr>
        <w:t xml:space="preserve">or the reasons which </w:t>
      </w:r>
      <w:r w:rsidR="00962A88" w:rsidRPr="00696921">
        <w:rPr>
          <w:color w:val="000000" w:themeColor="text1"/>
        </w:rPr>
        <w:t xml:space="preserve">will be set out, </w:t>
      </w:r>
      <w:r w:rsidRPr="00696921">
        <w:rPr>
          <w:color w:val="000000" w:themeColor="text1"/>
        </w:rPr>
        <w:t xml:space="preserve">I would reject Mr </w:t>
      </w:r>
      <w:proofErr w:type="spellStart"/>
      <w:r w:rsidR="009007E7" w:rsidRPr="00696921">
        <w:rPr>
          <w:color w:val="000000" w:themeColor="text1"/>
        </w:rPr>
        <w:t>Siklósi</w:t>
      </w:r>
      <w:r w:rsidRPr="00696921">
        <w:rPr>
          <w:color w:val="000000" w:themeColor="text1"/>
        </w:rPr>
        <w:t>’s</w:t>
      </w:r>
      <w:proofErr w:type="spellEnd"/>
      <w:r w:rsidRPr="00696921">
        <w:rPr>
          <w:color w:val="000000" w:themeColor="text1"/>
        </w:rPr>
        <w:t xml:space="preserve"> appeal on th</w:t>
      </w:r>
      <w:r w:rsidR="00962A88" w:rsidRPr="00696921">
        <w:rPr>
          <w:color w:val="000000" w:themeColor="text1"/>
        </w:rPr>
        <w:t xml:space="preserve">ose grounds. </w:t>
      </w:r>
    </w:p>
    <w:p w14:paraId="4562445D" w14:textId="77777777" w:rsidR="00962A88" w:rsidRPr="00696921" w:rsidRDefault="00962A88" w:rsidP="00962A88">
      <w:pPr>
        <w:pStyle w:val="ListParagraph"/>
        <w:spacing w:line="480" w:lineRule="auto"/>
        <w:jc w:val="both"/>
        <w:rPr>
          <w:color w:val="000000" w:themeColor="text1"/>
        </w:rPr>
      </w:pPr>
    </w:p>
    <w:p w14:paraId="71A16492" w14:textId="2962C853" w:rsidR="00962A88" w:rsidRPr="00696921" w:rsidRDefault="0027158D" w:rsidP="00A60B60">
      <w:pPr>
        <w:pStyle w:val="ListParagraph"/>
        <w:numPr>
          <w:ilvl w:val="0"/>
          <w:numId w:val="1"/>
        </w:numPr>
        <w:spacing w:line="480" w:lineRule="auto"/>
        <w:ind w:hanging="720"/>
        <w:jc w:val="both"/>
        <w:rPr>
          <w:color w:val="000000" w:themeColor="text1"/>
        </w:rPr>
      </w:pPr>
      <w:r w:rsidRPr="00696921">
        <w:rPr>
          <w:color w:val="000000" w:themeColor="text1"/>
        </w:rPr>
        <w:lastRenderedPageBreak/>
        <w:t xml:space="preserve"> </w:t>
      </w:r>
      <w:r w:rsidR="00962A88" w:rsidRPr="00696921">
        <w:rPr>
          <w:color w:val="000000" w:themeColor="text1"/>
        </w:rPr>
        <w:t>In the circumstances, th</w:t>
      </w:r>
      <w:r w:rsidR="00D8478F" w:rsidRPr="00696921">
        <w:rPr>
          <w:color w:val="000000" w:themeColor="text1"/>
        </w:rPr>
        <w:t>is</w:t>
      </w:r>
      <w:r w:rsidR="00962A88" w:rsidRPr="00696921">
        <w:rPr>
          <w:color w:val="000000" w:themeColor="text1"/>
        </w:rPr>
        <w:t xml:space="preserve"> appeal will be </w:t>
      </w:r>
      <w:r w:rsidR="00D8478F" w:rsidRPr="00696921">
        <w:rPr>
          <w:color w:val="000000" w:themeColor="text1"/>
        </w:rPr>
        <w:t xml:space="preserve">stayed </w:t>
      </w:r>
      <w:r w:rsidR="00962A88" w:rsidRPr="00696921">
        <w:rPr>
          <w:color w:val="000000" w:themeColor="text1"/>
        </w:rPr>
        <w:t xml:space="preserve">pending the </w:t>
      </w:r>
      <w:r w:rsidR="00D8478F" w:rsidRPr="00696921">
        <w:rPr>
          <w:color w:val="000000" w:themeColor="text1"/>
        </w:rPr>
        <w:t xml:space="preserve">CJEU’s ruling on the questions to be referred. </w:t>
      </w:r>
    </w:p>
    <w:p w14:paraId="277AF484" w14:textId="330331A4" w:rsidR="00D8478F" w:rsidRPr="00696921" w:rsidRDefault="003F15EA" w:rsidP="003F15EA">
      <w:pPr>
        <w:spacing w:after="160" w:line="259" w:lineRule="auto"/>
        <w:rPr>
          <w:color w:val="000000" w:themeColor="text1"/>
        </w:rPr>
      </w:pPr>
      <w:r w:rsidRPr="00696921">
        <w:rPr>
          <w:color w:val="000000" w:themeColor="text1"/>
        </w:rPr>
        <w:br w:type="page"/>
      </w:r>
    </w:p>
    <w:p w14:paraId="54C0995D" w14:textId="314EF27B" w:rsidR="00D8478F" w:rsidRPr="00696921" w:rsidRDefault="008431CB" w:rsidP="00D8478F">
      <w:pPr>
        <w:pStyle w:val="ListParagraph"/>
        <w:spacing w:line="480" w:lineRule="auto"/>
        <w:ind w:left="0"/>
        <w:jc w:val="center"/>
        <w:rPr>
          <w:b/>
          <w:color w:val="000000" w:themeColor="text1"/>
        </w:rPr>
      </w:pPr>
      <w:r w:rsidRPr="00696921">
        <w:rPr>
          <w:b/>
          <w:color w:val="000000" w:themeColor="text1"/>
        </w:rPr>
        <w:t>FACTS</w:t>
      </w:r>
    </w:p>
    <w:p w14:paraId="227716A5" w14:textId="77777777" w:rsidR="00D8478F" w:rsidRPr="00696921" w:rsidRDefault="00D8478F" w:rsidP="00D8478F">
      <w:pPr>
        <w:pStyle w:val="ListParagraph"/>
        <w:spacing w:line="480" w:lineRule="auto"/>
        <w:jc w:val="both"/>
        <w:rPr>
          <w:color w:val="000000" w:themeColor="text1"/>
        </w:rPr>
      </w:pPr>
    </w:p>
    <w:p w14:paraId="269009A1" w14:textId="18FEC36B" w:rsidR="00A63007" w:rsidRPr="00696921" w:rsidRDefault="00A63007" w:rsidP="00A63007">
      <w:pPr>
        <w:pStyle w:val="ListParagraph"/>
        <w:numPr>
          <w:ilvl w:val="0"/>
          <w:numId w:val="1"/>
        </w:numPr>
        <w:spacing w:line="480" w:lineRule="auto"/>
        <w:ind w:hanging="720"/>
        <w:jc w:val="both"/>
        <w:rPr>
          <w:color w:val="000000" w:themeColor="text1"/>
        </w:rPr>
      </w:pPr>
      <w:r w:rsidRPr="00696921">
        <w:rPr>
          <w:color w:val="000000" w:themeColor="text1"/>
        </w:rPr>
        <w:t xml:space="preserve">The Appellant, Mr </w:t>
      </w:r>
      <w:bookmarkStart w:id="1" w:name="_Hlk74727799"/>
      <w:r w:rsidRPr="00696921">
        <w:rPr>
          <w:color w:val="000000" w:themeColor="text1"/>
        </w:rPr>
        <w:t>Siklósi</w:t>
      </w:r>
      <w:bookmarkEnd w:id="1"/>
      <w:r w:rsidRPr="00696921">
        <w:rPr>
          <w:color w:val="000000" w:themeColor="text1"/>
        </w:rPr>
        <w:t xml:space="preserve">, appeals from an Order made by the High Court (Binchy J) on 18 December 2020 directing his surrender to Hungary on foot of a European Arrest Warrant </w:t>
      </w:r>
      <w:r w:rsidR="0011102C" w:rsidRPr="00696921">
        <w:rPr>
          <w:color w:val="000000" w:themeColor="text1"/>
        </w:rPr>
        <w:t xml:space="preserve">issued by the </w:t>
      </w:r>
      <w:bookmarkStart w:id="2" w:name="_Hlk74736412"/>
      <w:r w:rsidR="0011102C" w:rsidRPr="00696921">
        <w:rPr>
          <w:color w:val="000000" w:themeColor="text1"/>
        </w:rPr>
        <w:t xml:space="preserve">Tarabánya </w:t>
      </w:r>
      <w:bookmarkEnd w:id="2"/>
      <w:r w:rsidR="0011102C" w:rsidRPr="00696921">
        <w:rPr>
          <w:color w:val="000000" w:themeColor="text1"/>
        </w:rPr>
        <w:t xml:space="preserve">Court of Appeal on </w:t>
      </w:r>
      <w:r w:rsidRPr="00696921">
        <w:rPr>
          <w:color w:val="000000" w:themeColor="text1"/>
        </w:rPr>
        <w:t>27 July 2017</w:t>
      </w:r>
      <w:r w:rsidR="00E5394B" w:rsidRPr="00696921">
        <w:rPr>
          <w:color w:val="000000" w:themeColor="text1"/>
        </w:rPr>
        <w:t xml:space="preserve"> (“</w:t>
      </w:r>
      <w:r w:rsidR="00E5394B" w:rsidRPr="00696921">
        <w:rPr>
          <w:i/>
          <w:color w:val="000000" w:themeColor="text1"/>
        </w:rPr>
        <w:t>the EAW</w:t>
      </w:r>
      <w:r w:rsidR="00E5394B" w:rsidRPr="00696921">
        <w:rPr>
          <w:color w:val="000000" w:themeColor="text1"/>
        </w:rPr>
        <w:t>”)</w:t>
      </w:r>
      <w:r w:rsidRPr="00696921">
        <w:rPr>
          <w:color w:val="000000" w:themeColor="text1"/>
        </w:rPr>
        <w:t xml:space="preserve">. That Order </w:t>
      </w:r>
      <w:r w:rsidR="00B44F02" w:rsidRPr="00696921">
        <w:rPr>
          <w:color w:val="000000" w:themeColor="text1"/>
        </w:rPr>
        <w:t>was made consequent o</w:t>
      </w:r>
      <w:r w:rsidRPr="00696921">
        <w:rPr>
          <w:color w:val="000000" w:themeColor="text1"/>
        </w:rPr>
        <w:t>n the Judgment of the High Court given on 15 December 2020.</w:t>
      </w:r>
    </w:p>
    <w:p w14:paraId="7ECE3150" w14:textId="77777777" w:rsidR="00A63007" w:rsidRPr="00696921" w:rsidRDefault="00A63007" w:rsidP="00A63007">
      <w:pPr>
        <w:pStyle w:val="ListParagraph"/>
        <w:spacing w:line="480" w:lineRule="auto"/>
        <w:jc w:val="both"/>
        <w:rPr>
          <w:color w:val="000000" w:themeColor="text1"/>
        </w:rPr>
      </w:pPr>
    </w:p>
    <w:p w14:paraId="4746C35F" w14:textId="6ACF963E" w:rsidR="00A63007" w:rsidRPr="00696921" w:rsidRDefault="00A63007" w:rsidP="00A63007">
      <w:pPr>
        <w:pStyle w:val="ListParagraph"/>
        <w:numPr>
          <w:ilvl w:val="0"/>
          <w:numId w:val="1"/>
        </w:numPr>
        <w:spacing w:line="480" w:lineRule="auto"/>
        <w:ind w:hanging="720"/>
        <w:jc w:val="both"/>
        <w:rPr>
          <w:color w:val="000000" w:themeColor="text1"/>
        </w:rPr>
      </w:pPr>
      <w:r w:rsidRPr="00696921">
        <w:rPr>
          <w:color w:val="000000" w:themeColor="text1"/>
        </w:rPr>
        <w:t>The relevant facts are set out</w:t>
      </w:r>
      <w:r w:rsidR="00E5394B" w:rsidRPr="00696921">
        <w:rPr>
          <w:color w:val="000000" w:themeColor="text1"/>
        </w:rPr>
        <w:t xml:space="preserve"> </w:t>
      </w:r>
      <w:r w:rsidRPr="00696921">
        <w:rPr>
          <w:color w:val="000000" w:themeColor="text1"/>
        </w:rPr>
        <w:t>in th</w:t>
      </w:r>
      <w:r w:rsidR="00B44F02" w:rsidRPr="00696921">
        <w:rPr>
          <w:color w:val="000000" w:themeColor="text1"/>
        </w:rPr>
        <w:t xml:space="preserve">at </w:t>
      </w:r>
      <w:r w:rsidR="00EC1CE4" w:rsidRPr="00696921">
        <w:rPr>
          <w:color w:val="000000" w:themeColor="text1"/>
        </w:rPr>
        <w:t xml:space="preserve">Judgment. Briefly, </w:t>
      </w:r>
      <w:r w:rsidR="008431CB" w:rsidRPr="00696921">
        <w:rPr>
          <w:color w:val="000000" w:themeColor="text1"/>
        </w:rPr>
        <w:t>Hungary</w:t>
      </w:r>
      <w:r w:rsidR="00EC1CE4" w:rsidRPr="00696921">
        <w:rPr>
          <w:color w:val="000000" w:themeColor="text1"/>
        </w:rPr>
        <w:t xml:space="preserve"> </w:t>
      </w:r>
      <w:r w:rsidR="00E5394B" w:rsidRPr="00696921">
        <w:rPr>
          <w:color w:val="000000" w:themeColor="text1"/>
        </w:rPr>
        <w:t>seeks</w:t>
      </w:r>
      <w:r w:rsidR="00EC1CE4" w:rsidRPr="00696921">
        <w:rPr>
          <w:color w:val="000000" w:themeColor="text1"/>
        </w:rPr>
        <w:t xml:space="preserve"> the surrender of Mr </w:t>
      </w:r>
      <w:r w:rsidR="00B8674E" w:rsidRPr="00696921">
        <w:rPr>
          <w:color w:val="000000" w:themeColor="text1"/>
        </w:rPr>
        <w:t xml:space="preserve">Siklósi </w:t>
      </w:r>
      <w:r w:rsidR="00EC1CE4" w:rsidRPr="00696921">
        <w:rPr>
          <w:color w:val="000000" w:themeColor="text1"/>
        </w:rPr>
        <w:t xml:space="preserve">for the purpose of </w:t>
      </w:r>
      <w:r w:rsidR="00E5394B" w:rsidRPr="00696921">
        <w:rPr>
          <w:color w:val="000000" w:themeColor="text1"/>
        </w:rPr>
        <w:t>hi</w:t>
      </w:r>
      <w:r w:rsidR="008431CB" w:rsidRPr="00696921">
        <w:rPr>
          <w:color w:val="000000" w:themeColor="text1"/>
        </w:rPr>
        <w:t>s</w:t>
      </w:r>
      <w:r w:rsidR="00E5394B" w:rsidRPr="00696921">
        <w:rPr>
          <w:color w:val="000000" w:themeColor="text1"/>
        </w:rPr>
        <w:t xml:space="preserve"> </w:t>
      </w:r>
      <w:r w:rsidR="00EC1CE4" w:rsidRPr="00696921">
        <w:rPr>
          <w:color w:val="000000" w:themeColor="text1"/>
        </w:rPr>
        <w:t xml:space="preserve">serving </w:t>
      </w:r>
      <w:r w:rsidR="008C3DD0" w:rsidRPr="00696921">
        <w:rPr>
          <w:color w:val="000000" w:themeColor="text1"/>
        </w:rPr>
        <w:t xml:space="preserve">the </w:t>
      </w:r>
      <w:r w:rsidR="000B29BF" w:rsidRPr="00696921">
        <w:rPr>
          <w:color w:val="000000" w:themeColor="text1"/>
        </w:rPr>
        <w:t xml:space="preserve">remaining 11 months of a </w:t>
      </w:r>
      <w:r w:rsidR="00EC1CE4" w:rsidRPr="00696921">
        <w:rPr>
          <w:color w:val="000000" w:themeColor="text1"/>
        </w:rPr>
        <w:t xml:space="preserve">one year term of imprisonment imposed on him following his conviction for four offences arising from incidents of domestic violence directed at his former spouse, his child and mother-in-law, including assaulting his former spouse and false imprisonment of her and their child. </w:t>
      </w:r>
      <w:r w:rsidR="00A060C8" w:rsidRPr="00696921">
        <w:rPr>
          <w:color w:val="000000" w:themeColor="text1"/>
        </w:rPr>
        <w:t>These offences were committed in August 2005 and</w:t>
      </w:r>
      <w:r w:rsidR="007D727B" w:rsidRPr="00696921">
        <w:rPr>
          <w:color w:val="000000" w:themeColor="text1"/>
        </w:rPr>
        <w:t xml:space="preserve"> </w:t>
      </w:r>
      <w:r w:rsidR="00A060C8" w:rsidRPr="00696921">
        <w:rPr>
          <w:color w:val="000000" w:themeColor="text1"/>
        </w:rPr>
        <w:t>I shall refer to them as the “</w:t>
      </w:r>
      <w:r w:rsidR="00A060C8" w:rsidRPr="00696921">
        <w:rPr>
          <w:i/>
          <w:color w:val="000000" w:themeColor="text1"/>
        </w:rPr>
        <w:t xml:space="preserve">2005 </w:t>
      </w:r>
      <w:r w:rsidR="004853C4" w:rsidRPr="00696921">
        <w:rPr>
          <w:i/>
          <w:color w:val="000000" w:themeColor="text1"/>
        </w:rPr>
        <w:t>O</w:t>
      </w:r>
      <w:r w:rsidR="00A060C8" w:rsidRPr="00696921">
        <w:rPr>
          <w:i/>
          <w:color w:val="000000" w:themeColor="text1"/>
        </w:rPr>
        <w:t>ffences</w:t>
      </w:r>
      <w:r w:rsidR="00A060C8" w:rsidRPr="00696921">
        <w:rPr>
          <w:color w:val="000000" w:themeColor="text1"/>
        </w:rPr>
        <w:t xml:space="preserve">”. </w:t>
      </w:r>
    </w:p>
    <w:p w14:paraId="00C1F05A" w14:textId="77777777" w:rsidR="00EC1CE4" w:rsidRPr="00696921" w:rsidRDefault="00EC1CE4" w:rsidP="00EC1CE4">
      <w:pPr>
        <w:pStyle w:val="ListParagraph"/>
        <w:spacing w:line="480" w:lineRule="auto"/>
        <w:jc w:val="both"/>
        <w:rPr>
          <w:color w:val="000000" w:themeColor="text1"/>
        </w:rPr>
      </w:pPr>
    </w:p>
    <w:p w14:paraId="2B2E6232" w14:textId="38C3C8E1" w:rsidR="001E36C5" w:rsidRPr="00696921" w:rsidRDefault="00E5394B" w:rsidP="00A63007">
      <w:pPr>
        <w:pStyle w:val="ListParagraph"/>
        <w:numPr>
          <w:ilvl w:val="0"/>
          <w:numId w:val="1"/>
        </w:numPr>
        <w:spacing w:line="480" w:lineRule="auto"/>
        <w:ind w:hanging="720"/>
        <w:jc w:val="both"/>
        <w:rPr>
          <w:color w:val="000000" w:themeColor="text1"/>
        </w:rPr>
      </w:pPr>
      <w:r w:rsidRPr="00696921">
        <w:rPr>
          <w:color w:val="000000" w:themeColor="text1"/>
        </w:rPr>
        <w:t>S</w:t>
      </w:r>
      <w:r w:rsidR="0011102C" w:rsidRPr="00696921">
        <w:rPr>
          <w:color w:val="000000" w:themeColor="text1"/>
        </w:rPr>
        <w:t>ection (b) of the</w:t>
      </w:r>
      <w:r w:rsidR="00EC1CE4" w:rsidRPr="00696921">
        <w:rPr>
          <w:color w:val="000000" w:themeColor="text1"/>
        </w:rPr>
        <w:t xml:space="preserve"> EAW </w:t>
      </w:r>
      <w:r w:rsidRPr="00696921">
        <w:rPr>
          <w:color w:val="000000" w:themeColor="text1"/>
        </w:rPr>
        <w:t xml:space="preserve">identifies </w:t>
      </w:r>
      <w:r w:rsidR="00EC1CE4" w:rsidRPr="00696921">
        <w:rPr>
          <w:color w:val="000000" w:themeColor="text1"/>
        </w:rPr>
        <w:t xml:space="preserve">the </w:t>
      </w:r>
      <w:r w:rsidR="00B8674E" w:rsidRPr="00696921">
        <w:rPr>
          <w:color w:val="000000" w:themeColor="text1"/>
        </w:rPr>
        <w:t xml:space="preserve">relevant </w:t>
      </w:r>
      <w:r w:rsidR="00EC1CE4" w:rsidRPr="00696921">
        <w:rPr>
          <w:color w:val="000000" w:themeColor="text1"/>
        </w:rPr>
        <w:t xml:space="preserve">enforceable judgments </w:t>
      </w:r>
      <w:r w:rsidR="0011102C" w:rsidRPr="00696921">
        <w:rPr>
          <w:color w:val="000000" w:themeColor="text1"/>
        </w:rPr>
        <w:t xml:space="preserve">as </w:t>
      </w:r>
      <w:r w:rsidR="00EC1CE4" w:rsidRPr="00696921">
        <w:rPr>
          <w:color w:val="000000" w:themeColor="text1"/>
        </w:rPr>
        <w:t>a judgment of Encsi Mun</w:t>
      </w:r>
      <w:r w:rsidR="00B8674E" w:rsidRPr="00696921">
        <w:rPr>
          <w:color w:val="000000" w:themeColor="text1"/>
        </w:rPr>
        <w:t>i</w:t>
      </w:r>
      <w:r w:rsidR="00EC1CE4" w:rsidRPr="00696921">
        <w:rPr>
          <w:color w:val="000000" w:themeColor="text1"/>
        </w:rPr>
        <w:t xml:space="preserve">cipal Court (as the court of first instance) of 10 October 2006 and </w:t>
      </w:r>
      <w:r w:rsidR="00B8674E" w:rsidRPr="00696921">
        <w:rPr>
          <w:color w:val="000000" w:themeColor="text1"/>
        </w:rPr>
        <w:t>a judgment of the</w:t>
      </w:r>
      <w:bookmarkStart w:id="3" w:name="_Hlk74730419"/>
      <w:r w:rsidR="00B8674E" w:rsidRPr="00696921">
        <w:rPr>
          <w:color w:val="000000" w:themeColor="text1"/>
        </w:rPr>
        <w:t xml:space="preserve"> Borsod-Abaúj Zemplén Court </w:t>
      </w:r>
      <w:bookmarkEnd w:id="3"/>
      <w:r w:rsidR="00B8674E" w:rsidRPr="00696921">
        <w:rPr>
          <w:color w:val="000000" w:themeColor="text1"/>
        </w:rPr>
        <w:t>(as the court of second instance) of 19 April 2007</w:t>
      </w:r>
      <w:r w:rsidR="0011102C" w:rsidRPr="00696921">
        <w:rPr>
          <w:color w:val="000000" w:themeColor="text1"/>
        </w:rPr>
        <w:t xml:space="preserve">. Section (d) of the EAW </w:t>
      </w:r>
      <w:r w:rsidR="00B8674E" w:rsidRPr="00696921">
        <w:rPr>
          <w:color w:val="000000" w:themeColor="text1"/>
        </w:rPr>
        <w:t>indicate</w:t>
      </w:r>
      <w:r w:rsidRPr="00696921">
        <w:rPr>
          <w:color w:val="000000" w:themeColor="text1"/>
        </w:rPr>
        <w:t>s</w:t>
      </w:r>
      <w:r w:rsidR="00B8674E" w:rsidRPr="00696921">
        <w:rPr>
          <w:color w:val="000000" w:themeColor="text1"/>
        </w:rPr>
        <w:t xml:space="preserve"> that Mr Siklósi </w:t>
      </w:r>
      <w:r w:rsidR="00B8674E" w:rsidRPr="00696921">
        <w:rPr>
          <w:i/>
          <w:color w:val="000000" w:themeColor="text1"/>
        </w:rPr>
        <w:t>“had appeared in person at the trial resulting in the decision</w:t>
      </w:r>
      <w:r w:rsidR="00B8674E" w:rsidRPr="00696921">
        <w:rPr>
          <w:color w:val="000000" w:themeColor="text1"/>
        </w:rPr>
        <w:t xml:space="preserve">”. </w:t>
      </w:r>
      <w:r w:rsidR="008431CB" w:rsidRPr="00696921">
        <w:rPr>
          <w:color w:val="000000" w:themeColor="text1"/>
        </w:rPr>
        <w:t xml:space="preserve">As will become apparent, while Mr </w:t>
      </w:r>
      <w:r w:rsidR="009007E7" w:rsidRPr="00696921">
        <w:rPr>
          <w:color w:val="000000" w:themeColor="text1"/>
        </w:rPr>
        <w:t>Siklósi</w:t>
      </w:r>
      <w:r w:rsidR="008431CB" w:rsidRPr="00696921">
        <w:rPr>
          <w:color w:val="000000" w:themeColor="text1"/>
        </w:rPr>
        <w:t xml:space="preserve"> was present at the proceedings before the Encsi Municipal Court, he was not present at the  Borsod-Abaúj Zemplén Court but he was represented by his chosen defence counsel. </w:t>
      </w:r>
    </w:p>
    <w:p w14:paraId="2D79E62B" w14:textId="77777777" w:rsidR="001E36C5" w:rsidRPr="00696921" w:rsidRDefault="001E36C5" w:rsidP="001E36C5">
      <w:pPr>
        <w:pStyle w:val="ListParagraph"/>
        <w:spacing w:line="480" w:lineRule="auto"/>
        <w:jc w:val="both"/>
        <w:rPr>
          <w:color w:val="000000" w:themeColor="text1"/>
        </w:rPr>
      </w:pPr>
    </w:p>
    <w:p w14:paraId="387FC1F9" w14:textId="7C992569" w:rsidR="00EC1CE4" w:rsidRPr="00696921" w:rsidRDefault="008431CB" w:rsidP="00A63007">
      <w:pPr>
        <w:pStyle w:val="ListParagraph"/>
        <w:numPr>
          <w:ilvl w:val="0"/>
          <w:numId w:val="1"/>
        </w:numPr>
        <w:spacing w:line="480" w:lineRule="auto"/>
        <w:ind w:hanging="720"/>
        <w:jc w:val="both"/>
        <w:rPr>
          <w:color w:val="000000" w:themeColor="text1"/>
        </w:rPr>
      </w:pPr>
      <w:r w:rsidRPr="00696921">
        <w:rPr>
          <w:color w:val="000000" w:themeColor="text1"/>
        </w:rPr>
        <w:t>S</w:t>
      </w:r>
      <w:r w:rsidR="0011102C" w:rsidRPr="00696921">
        <w:rPr>
          <w:color w:val="000000" w:themeColor="text1"/>
        </w:rPr>
        <w:t xml:space="preserve">ection (f) of </w:t>
      </w:r>
      <w:r w:rsidR="00B8674E" w:rsidRPr="00696921">
        <w:rPr>
          <w:color w:val="000000" w:themeColor="text1"/>
        </w:rPr>
        <w:t>the EAW refer</w:t>
      </w:r>
      <w:r w:rsidRPr="00696921">
        <w:rPr>
          <w:color w:val="000000" w:themeColor="text1"/>
        </w:rPr>
        <w:t>s</w:t>
      </w:r>
      <w:r w:rsidR="00B8674E" w:rsidRPr="00696921">
        <w:rPr>
          <w:color w:val="000000" w:themeColor="text1"/>
        </w:rPr>
        <w:t xml:space="preserve"> to a later decision of the Encsi Municipal Court (of 13 December 2011) and a judgment of the Miskol</w:t>
      </w:r>
      <w:r w:rsidR="003D54BA" w:rsidRPr="00696921">
        <w:rPr>
          <w:color w:val="000000" w:themeColor="text1"/>
        </w:rPr>
        <w:t>c</w:t>
      </w:r>
      <w:r w:rsidR="00B8674E" w:rsidRPr="00696921">
        <w:rPr>
          <w:color w:val="000000" w:themeColor="text1"/>
        </w:rPr>
        <w:t xml:space="preserve"> Court of Appeal as a court of </w:t>
      </w:r>
      <w:r w:rsidR="003D54BA" w:rsidRPr="00696921">
        <w:rPr>
          <w:color w:val="000000" w:themeColor="text1"/>
        </w:rPr>
        <w:t>second</w:t>
      </w:r>
      <w:r w:rsidR="00B8674E" w:rsidRPr="00696921">
        <w:rPr>
          <w:color w:val="000000" w:themeColor="text1"/>
        </w:rPr>
        <w:t xml:space="preserve"> instance which, it </w:t>
      </w:r>
      <w:r w:rsidR="00E5394B" w:rsidRPr="00696921">
        <w:rPr>
          <w:color w:val="000000" w:themeColor="text1"/>
        </w:rPr>
        <w:t>is</w:t>
      </w:r>
      <w:r w:rsidR="00B8674E" w:rsidRPr="00696921">
        <w:rPr>
          <w:color w:val="000000" w:themeColor="text1"/>
        </w:rPr>
        <w:t xml:space="preserve"> said, bec</w:t>
      </w:r>
      <w:r w:rsidR="00E5394B" w:rsidRPr="00696921">
        <w:rPr>
          <w:color w:val="000000" w:themeColor="text1"/>
        </w:rPr>
        <w:t>a</w:t>
      </w:r>
      <w:r w:rsidR="00B8674E" w:rsidRPr="00696921">
        <w:rPr>
          <w:color w:val="000000" w:themeColor="text1"/>
        </w:rPr>
        <w:t xml:space="preserve">me final on 12 June 2012 and it </w:t>
      </w:r>
      <w:r w:rsidR="00E5394B" w:rsidRPr="00696921">
        <w:rPr>
          <w:color w:val="000000" w:themeColor="text1"/>
        </w:rPr>
        <w:t>is</w:t>
      </w:r>
      <w:r w:rsidR="00B8674E" w:rsidRPr="00696921">
        <w:rPr>
          <w:color w:val="000000" w:themeColor="text1"/>
        </w:rPr>
        <w:t xml:space="preserve"> stated that an earlier EAW had </w:t>
      </w:r>
      <w:r w:rsidR="00E5394B" w:rsidRPr="00696921">
        <w:rPr>
          <w:color w:val="000000" w:themeColor="text1"/>
        </w:rPr>
        <w:t xml:space="preserve">been </w:t>
      </w:r>
      <w:r w:rsidR="00B8674E" w:rsidRPr="00696921">
        <w:rPr>
          <w:color w:val="000000" w:themeColor="text1"/>
        </w:rPr>
        <w:t xml:space="preserve">withdrawn as a retrial had been ordered. </w:t>
      </w:r>
      <w:r w:rsidR="001E36C5" w:rsidRPr="00696921">
        <w:rPr>
          <w:color w:val="000000" w:themeColor="text1"/>
        </w:rPr>
        <w:t>The EAW then states that r</w:t>
      </w:r>
      <w:r w:rsidR="00B8674E" w:rsidRPr="00696921">
        <w:rPr>
          <w:color w:val="000000" w:themeColor="text1"/>
        </w:rPr>
        <w:t>etrial had subsequently been denied and the EAW then refers to further judgments of the Encsi Municipal Court (of 24 October 2016) and of the Miskol</w:t>
      </w:r>
      <w:r w:rsidR="003D54BA" w:rsidRPr="00696921">
        <w:rPr>
          <w:color w:val="000000" w:themeColor="text1"/>
        </w:rPr>
        <w:t>c</w:t>
      </w:r>
      <w:r w:rsidR="00B8674E" w:rsidRPr="00696921">
        <w:rPr>
          <w:color w:val="000000" w:themeColor="text1"/>
        </w:rPr>
        <w:t xml:space="preserve"> Court of Appeal (which became final on 29 March 2017). At that point (so the EAW recite</w:t>
      </w:r>
      <w:r w:rsidR="00E5394B" w:rsidRPr="00696921">
        <w:rPr>
          <w:color w:val="000000" w:themeColor="text1"/>
        </w:rPr>
        <w:t>s</w:t>
      </w:r>
      <w:r w:rsidR="00B8674E" w:rsidRPr="00696921">
        <w:rPr>
          <w:color w:val="000000" w:themeColor="text1"/>
        </w:rPr>
        <w:t xml:space="preserve">) </w:t>
      </w:r>
      <w:r w:rsidR="00B8674E" w:rsidRPr="00696921">
        <w:rPr>
          <w:i/>
          <w:color w:val="000000" w:themeColor="text1"/>
        </w:rPr>
        <w:t>“the sentence became enforceable again”.</w:t>
      </w:r>
      <w:r w:rsidR="003D54BA" w:rsidRPr="00696921">
        <w:rPr>
          <w:i/>
          <w:color w:val="000000" w:themeColor="text1"/>
        </w:rPr>
        <w:t xml:space="preserve"> </w:t>
      </w:r>
      <w:r w:rsidR="003D54BA" w:rsidRPr="00696921">
        <w:rPr>
          <w:color w:val="000000" w:themeColor="text1"/>
        </w:rPr>
        <w:t xml:space="preserve">The EAW </w:t>
      </w:r>
      <w:r w:rsidR="00E5394B" w:rsidRPr="00696921">
        <w:rPr>
          <w:color w:val="000000" w:themeColor="text1"/>
        </w:rPr>
        <w:t>does</w:t>
      </w:r>
      <w:r w:rsidR="003D54BA" w:rsidRPr="00696921">
        <w:rPr>
          <w:color w:val="000000" w:themeColor="text1"/>
        </w:rPr>
        <w:t xml:space="preserve"> not </w:t>
      </w:r>
      <w:r w:rsidRPr="00696921">
        <w:rPr>
          <w:color w:val="000000" w:themeColor="text1"/>
        </w:rPr>
        <w:t xml:space="preserve">give any information about the subject-matter of those </w:t>
      </w:r>
      <w:r w:rsidR="00E5394B" w:rsidRPr="00696921">
        <w:rPr>
          <w:color w:val="000000" w:themeColor="text1"/>
        </w:rPr>
        <w:t xml:space="preserve">later </w:t>
      </w:r>
      <w:r w:rsidR="003D54BA" w:rsidRPr="00696921">
        <w:rPr>
          <w:color w:val="000000" w:themeColor="text1"/>
        </w:rPr>
        <w:t>judgments</w:t>
      </w:r>
      <w:r w:rsidRPr="00696921">
        <w:rPr>
          <w:color w:val="000000" w:themeColor="text1"/>
        </w:rPr>
        <w:t>.</w:t>
      </w:r>
    </w:p>
    <w:p w14:paraId="18412E16" w14:textId="77777777" w:rsidR="0011102C" w:rsidRPr="00696921" w:rsidRDefault="0011102C" w:rsidP="0011102C">
      <w:pPr>
        <w:pStyle w:val="ListParagraph"/>
        <w:spacing w:line="480" w:lineRule="auto"/>
        <w:jc w:val="both"/>
        <w:rPr>
          <w:color w:val="000000" w:themeColor="text1"/>
        </w:rPr>
      </w:pPr>
    </w:p>
    <w:p w14:paraId="1791BBD7" w14:textId="49FE2499" w:rsidR="00B8674E" w:rsidRPr="00696921" w:rsidRDefault="00501F25" w:rsidP="00A63007">
      <w:pPr>
        <w:pStyle w:val="ListParagraph"/>
        <w:numPr>
          <w:ilvl w:val="0"/>
          <w:numId w:val="1"/>
        </w:numPr>
        <w:spacing w:line="480" w:lineRule="auto"/>
        <w:ind w:hanging="720"/>
        <w:jc w:val="both"/>
        <w:rPr>
          <w:color w:val="000000" w:themeColor="text1"/>
        </w:rPr>
      </w:pPr>
      <w:r w:rsidRPr="00696921">
        <w:rPr>
          <w:color w:val="000000" w:themeColor="text1"/>
        </w:rPr>
        <w:t xml:space="preserve">Unsurprisingly, </w:t>
      </w:r>
      <w:r w:rsidR="0011102C" w:rsidRPr="00696921">
        <w:rPr>
          <w:color w:val="000000" w:themeColor="text1"/>
        </w:rPr>
        <w:t xml:space="preserve">the terms of the EAW prompted a request for further information and that further information in turn prompted a further request for information and so on. Ultimately, </w:t>
      </w:r>
      <w:r w:rsidR="0011102C" w:rsidRPr="00696921">
        <w:rPr>
          <w:i/>
          <w:color w:val="000000" w:themeColor="text1"/>
          <w:u w:val="single"/>
        </w:rPr>
        <w:t>seven</w:t>
      </w:r>
      <w:r w:rsidR="0011102C" w:rsidRPr="00696921">
        <w:rPr>
          <w:color w:val="000000" w:themeColor="text1"/>
        </w:rPr>
        <w:t xml:space="preserve"> requests for further information were made and replied to. The picture that emerges from the further information</w:t>
      </w:r>
      <w:r w:rsidR="00537B9F" w:rsidRPr="00696921">
        <w:rPr>
          <w:color w:val="000000" w:themeColor="text1"/>
        </w:rPr>
        <w:t xml:space="preserve"> </w:t>
      </w:r>
      <w:r w:rsidR="008431CB" w:rsidRPr="00696921">
        <w:rPr>
          <w:color w:val="000000" w:themeColor="text1"/>
        </w:rPr>
        <w:t xml:space="preserve">may </w:t>
      </w:r>
      <w:r w:rsidR="00537B9F" w:rsidRPr="00696921">
        <w:rPr>
          <w:color w:val="000000" w:themeColor="text1"/>
        </w:rPr>
        <w:t xml:space="preserve">be summarised as </w:t>
      </w:r>
      <w:r w:rsidR="00E5394B" w:rsidRPr="00696921">
        <w:rPr>
          <w:color w:val="000000" w:themeColor="text1"/>
        </w:rPr>
        <w:t>follows:</w:t>
      </w:r>
    </w:p>
    <w:p w14:paraId="4CDFE346" w14:textId="77777777" w:rsidR="0011102C" w:rsidRPr="00696921" w:rsidRDefault="0011102C" w:rsidP="0011102C">
      <w:pPr>
        <w:pStyle w:val="ListParagraph"/>
        <w:spacing w:line="480" w:lineRule="auto"/>
        <w:jc w:val="both"/>
        <w:rPr>
          <w:color w:val="000000" w:themeColor="text1"/>
        </w:rPr>
      </w:pPr>
    </w:p>
    <w:p w14:paraId="441EC8CD" w14:textId="77777777" w:rsidR="00A060C8" w:rsidRPr="00696921" w:rsidRDefault="00E5394B" w:rsidP="00A060C8">
      <w:pPr>
        <w:pStyle w:val="ListParagraph"/>
        <w:numPr>
          <w:ilvl w:val="0"/>
          <w:numId w:val="2"/>
        </w:numPr>
        <w:spacing w:line="480" w:lineRule="auto"/>
        <w:jc w:val="both"/>
        <w:rPr>
          <w:color w:val="000000" w:themeColor="text1"/>
        </w:rPr>
      </w:pPr>
      <w:r w:rsidRPr="00696921">
        <w:rPr>
          <w:color w:val="000000" w:themeColor="text1"/>
        </w:rPr>
        <w:t xml:space="preserve">On 10 </w:t>
      </w:r>
      <w:r w:rsidR="00A060C8" w:rsidRPr="00696921">
        <w:rPr>
          <w:color w:val="000000" w:themeColor="text1"/>
        </w:rPr>
        <w:t xml:space="preserve">October 2006, the Appellant </w:t>
      </w:r>
      <w:r w:rsidR="000B29BF" w:rsidRPr="00696921">
        <w:rPr>
          <w:color w:val="000000" w:themeColor="text1"/>
        </w:rPr>
        <w:t>was</w:t>
      </w:r>
      <w:r w:rsidR="00A060C8" w:rsidRPr="00696921">
        <w:rPr>
          <w:color w:val="000000" w:themeColor="text1"/>
        </w:rPr>
        <w:t xml:space="preserve"> convicted of the 2005 </w:t>
      </w:r>
      <w:r w:rsidR="004853C4" w:rsidRPr="00696921">
        <w:rPr>
          <w:color w:val="000000" w:themeColor="text1"/>
        </w:rPr>
        <w:t>O</w:t>
      </w:r>
      <w:r w:rsidR="00A060C8" w:rsidRPr="00696921">
        <w:rPr>
          <w:color w:val="000000" w:themeColor="text1"/>
        </w:rPr>
        <w:t xml:space="preserve">ffences by the Encsi Municipal Court, following a trial held on 23 May 2006 and 10 October 2006. The Appellant was present </w:t>
      </w:r>
      <w:r w:rsidR="008C3DD0" w:rsidRPr="00696921">
        <w:rPr>
          <w:color w:val="000000" w:themeColor="text1"/>
        </w:rPr>
        <w:t>at this trial.</w:t>
      </w:r>
      <w:r w:rsidR="000B29BF" w:rsidRPr="00696921">
        <w:rPr>
          <w:color w:val="000000" w:themeColor="text1"/>
        </w:rPr>
        <w:t xml:space="preserve"> </w:t>
      </w:r>
    </w:p>
    <w:p w14:paraId="6C0A282D" w14:textId="77777777" w:rsidR="000B29BF" w:rsidRPr="00696921" w:rsidRDefault="000B29BF" w:rsidP="000B29BF">
      <w:pPr>
        <w:pStyle w:val="ListParagraph"/>
        <w:spacing w:line="480" w:lineRule="auto"/>
        <w:ind w:left="1440"/>
        <w:jc w:val="both"/>
        <w:rPr>
          <w:color w:val="000000" w:themeColor="text1"/>
        </w:rPr>
      </w:pPr>
    </w:p>
    <w:p w14:paraId="5CB44008" w14:textId="77777777" w:rsidR="00A060C8" w:rsidRPr="00696921" w:rsidRDefault="00451156" w:rsidP="0011102C">
      <w:pPr>
        <w:pStyle w:val="ListParagraph"/>
        <w:numPr>
          <w:ilvl w:val="0"/>
          <w:numId w:val="2"/>
        </w:numPr>
        <w:spacing w:line="480" w:lineRule="auto"/>
        <w:jc w:val="both"/>
        <w:rPr>
          <w:color w:val="000000" w:themeColor="text1"/>
        </w:rPr>
      </w:pPr>
      <w:bookmarkStart w:id="4" w:name="_Hlk76400096"/>
      <w:r w:rsidRPr="00696921">
        <w:rPr>
          <w:color w:val="000000" w:themeColor="text1"/>
        </w:rPr>
        <w:t>On 19</w:t>
      </w:r>
      <w:r w:rsidR="00A060C8" w:rsidRPr="00696921">
        <w:rPr>
          <w:color w:val="000000" w:themeColor="text1"/>
        </w:rPr>
        <w:t xml:space="preserve"> April 2007, the Appellant was convicted</w:t>
      </w:r>
      <w:r w:rsidR="0013350A" w:rsidRPr="00696921">
        <w:rPr>
          <w:color w:val="000000" w:themeColor="text1"/>
        </w:rPr>
        <w:t xml:space="preserve"> at second instance</w:t>
      </w:r>
      <w:r w:rsidR="00A060C8" w:rsidRPr="00696921">
        <w:rPr>
          <w:color w:val="000000" w:themeColor="text1"/>
        </w:rPr>
        <w:t xml:space="preserve"> of the 2005 </w:t>
      </w:r>
      <w:r w:rsidR="004853C4" w:rsidRPr="00696921">
        <w:rPr>
          <w:color w:val="000000" w:themeColor="text1"/>
        </w:rPr>
        <w:t>O</w:t>
      </w:r>
      <w:r w:rsidR="00A060C8" w:rsidRPr="00696921">
        <w:rPr>
          <w:color w:val="000000" w:themeColor="text1"/>
        </w:rPr>
        <w:t xml:space="preserve">ffences by the </w:t>
      </w:r>
      <w:r w:rsidR="0013350A" w:rsidRPr="00696921">
        <w:rPr>
          <w:color w:val="000000" w:themeColor="text1"/>
        </w:rPr>
        <w:t xml:space="preserve">County Court of </w:t>
      </w:r>
      <w:r w:rsidR="00A060C8" w:rsidRPr="00696921">
        <w:rPr>
          <w:color w:val="000000" w:themeColor="text1"/>
        </w:rPr>
        <w:t xml:space="preserve">Borsod-Abaúj Zemplén. </w:t>
      </w:r>
      <w:bookmarkEnd w:id="4"/>
      <w:r w:rsidR="00A060C8" w:rsidRPr="00696921">
        <w:rPr>
          <w:color w:val="000000" w:themeColor="text1"/>
        </w:rPr>
        <w:t xml:space="preserve">The Appellant </w:t>
      </w:r>
      <w:r w:rsidR="008C3DD0" w:rsidRPr="00696921">
        <w:rPr>
          <w:color w:val="000000" w:themeColor="text1"/>
        </w:rPr>
        <w:t xml:space="preserve">was duly summoned to appear at this hearing. While he did not appear personally, </w:t>
      </w:r>
      <w:r w:rsidR="00A060C8" w:rsidRPr="00696921">
        <w:rPr>
          <w:color w:val="000000" w:themeColor="text1"/>
        </w:rPr>
        <w:t>he was represented by his</w:t>
      </w:r>
      <w:r w:rsidR="008C3DD0" w:rsidRPr="00696921">
        <w:rPr>
          <w:color w:val="000000" w:themeColor="text1"/>
        </w:rPr>
        <w:t xml:space="preserve"> chosen</w:t>
      </w:r>
      <w:r w:rsidR="00A060C8" w:rsidRPr="00696921">
        <w:rPr>
          <w:color w:val="000000" w:themeColor="text1"/>
        </w:rPr>
        <w:t xml:space="preserve"> defence counsel. </w:t>
      </w:r>
    </w:p>
    <w:p w14:paraId="0A094C26" w14:textId="77777777" w:rsidR="008C3DD0" w:rsidRPr="00696921" w:rsidRDefault="008C3DD0" w:rsidP="008C3DD0">
      <w:pPr>
        <w:pStyle w:val="ListParagraph"/>
        <w:spacing w:line="480" w:lineRule="auto"/>
        <w:ind w:left="1440"/>
        <w:jc w:val="both"/>
        <w:rPr>
          <w:color w:val="000000" w:themeColor="text1"/>
        </w:rPr>
      </w:pPr>
    </w:p>
    <w:p w14:paraId="21BB0E18" w14:textId="456A6CD0" w:rsidR="008C3DD0" w:rsidRPr="00696921" w:rsidRDefault="008C3DD0" w:rsidP="0011102C">
      <w:pPr>
        <w:pStyle w:val="ListParagraph"/>
        <w:numPr>
          <w:ilvl w:val="0"/>
          <w:numId w:val="2"/>
        </w:numPr>
        <w:spacing w:line="480" w:lineRule="auto"/>
        <w:jc w:val="both"/>
        <w:rPr>
          <w:color w:val="000000" w:themeColor="text1"/>
        </w:rPr>
      </w:pPr>
      <w:r w:rsidRPr="00696921">
        <w:rPr>
          <w:color w:val="000000" w:themeColor="text1"/>
        </w:rPr>
        <w:t xml:space="preserve">As a result of </w:t>
      </w:r>
      <w:r w:rsidR="0013350A" w:rsidRPr="00696921">
        <w:rPr>
          <w:color w:val="000000" w:themeColor="text1"/>
        </w:rPr>
        <w:t>these c</w:t>
      </w:r>
      <w:r w:rsidRPr="00696921">
        <w:rPr>
          <w:color w:val="000000" w:themeColor="text1"/>
        </w:rPr>
        <w:t xml:space="preserve">onvictions, the Appellant was sentenced to </w:t>
      </w:r>
      <w:r w:rsidR="0013350A" w:rsidRPr="00696921">
        <w:rPr>
          <w:color w:val="000000" w:themeColor="text1"/>
        </w:rPr>
        <w:t xml:space="preserve">one year’s imprisonment. </w:t>
      </w:r>
      <w:r w:rsidR="008A755A" w:rsidRPr="00696921">
        <w:rPr>
          <w:color w:val="000000" w:themeColor="text1"/>
        </w:rPr>
        <w:t>However, e</w:t>
      </w:r>
      <w:r w:rsidR="0013350A" w:rsidRPr="00696921">
        <w:rPr>
          <w:color w:val="000000" w:themeColor="text1"/>
        </w:rPr>
        <w:t>xecution of that sentence was suspended for a</w:t>
      </w:r>
      <w:r w:rsidR="00E5394B" w:rsidRPr="00696921">
        <w:rPr>
          <w:color w:val="000000" w:themeColor="text1"/>
        </w:rPr>
        <w:t xml:space="preserve"> two</w:t>
      </w:r>
      <w:r w:rsidR="0013350A" w:rsidRPr="00696921">
        <w:rPr>
          <w:color w:val="000000" w:themeColor="text1"/>
        </w:rPr>
        <w:t xml:space="preserve"> year probation period which was due to expire in April 2009.</w:t>
      </w:r>
      <w:r w:rsidR="000B29BF" w:rsidRPr="00696921">
        <w:rPr>
          <w:color w:val="000000" w:themeColor="text1"/>
        </w:rPr>
        <w:t xml:space="preserve"> </w:t>
      </w:r>
    </w:p>
    <w:p w14:paraId="1EDD43CD" w14:textId="77777777" w:rsidR="008A755A" w:rsidRPr="00696921" w:rsidRDefault="008A755A" w:rsidP="008A755A">
      <w:pPr>
        <w:pStyle w:val="ListParagraph"/>
        <w:spacing w:line="480" w:lineRule="auto"/>
        <w:ind w:left="1440"/>
        <w:jc w:val="both"/>
        <w:rPr>
          <w:color w:val="000000" w:themeColor="text1"/>
        </w:rPr>
      </w:pPr>
    </w:p>
    <w:p w14:paraId="196150EE" w14:textId="43995BA5" w:rsidR="008A755A" w:rsidRPr="00696921" w:rsidRDefault="008A755A" w:rsidP="0011102C">
      <w:pPr>
        <w:pStyle w:val="ListParagraph"/>
        <w:numPr>
          <w:ilvl w:val="0"/>
          <w:numId w:val="2"/>
        </w:numPr>
        <w:spacing w:line="480" w:lineRule="auto"/>
        <w:jc w:val="both"/>
        <w:rPr>
          <w:color w:val="000000" w:themeColor="text1"/>
        </w:rPr>
      </w:pPr>
      <w:r w:rsidRPr="00696921">
        <w:rPr>
          <w:color w:val="000000" w:themeColor="text1"/>
        </w:rPr>
        <w:t xml:space="preserve">The Appellant had spent a month in custody in April/May 2006, leaving a </w:t>
      </w:r>
      <w:r w:rsidR="00DC31C5" w:rsidRPr="00696921">
        <w:rPr>
          <w:color w:val="000000" w:themeColor="text1"/>
        </w:rPr>
        <w:t xml:space="preserve">maximum of </w:t>
      </w:r>
      <w:r w:rsidRPr="00696921">
        <w:rPr>
          <w:color w:val="000000" w:themeColor="text1"/>
        </w:rPr>
        <w:t>11 months to be served</w:t>
      </w:r>
      <w:r w:rsidR="00DC31C5" w:rsidRPr="00696921">
        <w:rPr>
          <w:color w:val="000000" w:themeColor="text1"/>
        </w:rPr>
        <w:t xml:space="preserve"> (that balance </w:t>
      </w:r>
      <w:r w:rsidR="009803AA" w:rsidRPr="00696921">
        <w:rPr>
          <w:color w:val="000000" w:themeColor="text1"/>
        </w:rPr>
        <w:t xml:space="preserve">being suspended as </w:t>
      </w:r>
      <w:r w:rsidR="00AD4B66" w:rsidRPr="00696921">
        <w:rPr>
          <w:color w:val="000000" w:themeColor="text1"/>
        </w:rPr>
        <w:t xml:space="preserve">per </w:t>
      </w:r>
      <w:r w:rsidR="009803AA" w:rsidRPr="00696921">
        <w:rPr>
          <w:color w:val="000000" w:themeColor="text1"/>
        </w:rPr>
        <w:t>above)</w:t>
      </w:r>
      <w:r w:rsidR="00AD4B66" w:rsidRPr="00696921">
        <w:rPr>
          <w:color w:val="000000" w:themeColor="text1"/>
        </w:rPr>
        <w:t>.</w:t>
      </w:r>
    </w:p>
    <w:p w14:paraId="201882B7" w14:textId="77777777" w:rsidR="0013350A" w:rsidRPr="00696921" w:rsidRDefault="0013350A" w:rsidP="0013350A">
      <w:pPr>
        <w:pStyle w:val="ListParagraph"/>
        <w:spacing w:line="480" w:lineRule="auto"/>
        <w:ind w:left="1440"/>
        <w:jc w:val="both"/>
        <w:rPr>
          <w:color w:val="000000" w:themeColor="text1"/>
        </w:rPr>
      </w:pPr>
    </w:p>
    <w:p w14:paraId="675B71B5" w14:textId="3E113ED5" w:rsidR="0013350A" w:rsidRPr="00696921" w:rsidRDefault="0013350A" w:rsidP="0011102C">
      <w:pPr>
        <w:pStyle w:val="ListParagraph"/>
        <w:numPr>
          <w:ilvl w:val="0"/>
          <w:numId w:val="2"/>
        </w:numPr>
        <w:spacing w:line="480" w:lineRule="auto"/>
        <w:jc w:val="both"/>
        <w:rPr>
          <w:color w:val="000000" w:themeColor="text1"/>
        </w:rPr>
      </w:pPr>
      <w:r w:rsidRPr="00696921">
        <w:rPr>
          <w:color w:val="000000" w:themeColor="text1"/>
        </w:rPr>
        <w:t>In December 2010, the Appellant was convicted at first instance by the Encsi Municipal Court of an offence of failing to pay child support</w:t>
      </w:r>
      <w:r w:rsidR="00275515" w:rsidRPr="00696921">
        <w:rPr>
          <w:color w:val="000000" w:themeColor="text1"/>
        </w:rPr>
        <w:t>. I shall refer to that offence</w:t>
      </w:r>
      <w:r w:rsidR="00AD4B66" w:rsidRPr="00696921">
        <w:rPr>
          <w:color w:val="000000" w:themeColor="text1"/>
        </w:rPr>
        <w:t xml:space="preserve"> (which is</w:t>
      </w:r>
      <w:r w:rsidR="00456F6C" w:rsidRPr="00696921">
        <w:rPr>
          <w:color w:val="000000" w:themeColor="text1"/>
        </w:rPr>
        <w:t xml:space="preserve"> </w:t>
      </w:r>
      <w:r w:rsidR="00AD4B66" w:rsidRPr="00696921">
        <w:rPr>
          <w:color w:val="000000" w:themeColor="text1"/>
        </w:rPr>
        <w:t>said to have been</w:t>
      </w:r>
      <w:r w:rsidR="00275515" w:rsidRPr="00696921">
        <w:rPr>
          <w:color w:val="000000" w:themeColor="text1"/>
        </w:rPr>
        <w:t xml:space="preserve"> committed in 2008</w:t>
      </w:r>
      <w:r w:rsidR="00AD4B66" w:rsidRPr="00696921">
        <w:rPr>
          <w:color w:val="000000" w:themeColor="text1"/>
        </w:rPr>
        <w:t>)</w:t>
      </w:r>
      <w:r w:rsidR="00275515" w:rsidRPr="00696921">
        <w:rPr>
          <w:color w:val="000000" w:themeColor="text1"/>
        </w:rPr>
        <w:t xml:space="preserve"> as the “</w:t>
      </w:r>
      <w:r w:rsidR="004853C4" w:rsidRPr="00696921">
        <w:rPr>
          <w:i/>
          <w:color w:val="000000" w:themeColor="text1"/>
        </w:rPr>
        <w:t>C</w:t>
      </w:r>
      <w:r w:rsidR="00275515" w:rsidRPr="00696921">
        <w:rPr>
          <w:i/>
          <w:color w:val="000000" w:themeColor="text1"/>
        </w:rPr>
        <w:t xml:space="preserve">hild </w:t>
      </w:r>
      <w:r w:rsidR="004853C4" w:rsidRPr="00696921">
        <w:rPr>
          <w:i/>
          <w:color w:val="000000" w:themeColor="text1"/>
        </w:rPr>
        <w:t>S</w:t>
      </w:r>
      <w:r w:rsidR="00275515" w:rsidRPr="00696921">
        <w:rPr>
          <w:i/>
          <w:color w:val="000000" w:themeColor="text1"/>
        </w:rPr>
        <w:t xml:space="preserve">upport </w:t>
      </w:r>
      <w:r w:rsidR="004853C4" w:rsidRPr="00696921">
        <w:rPr>
          <w:i/>
          <w:color w:val="000000" w:themeColor="text1"/>
        </w:rPr>
        <w:t>O</w:t>
      </w:r>
      <w:r w:rsidR="00275515" w:rsidRPr="00696921">
        <w:rPr>
          <w:i/>
          <w:color w:val="000000" w:themeColor="text1"/>
        </w:rPr>
        <w:t>ffence</w:t>
      </w:r>
      <w:r w:rsidR="00275515" w:rsidRPr="00696921">
        <w:rPr>
          <w:color w:val="000000" w:themeColor="text1"/>
        </w:rPr>
        <w:t xml:space="preserve">”. The Appellant was present at the hearings held on 15 November and 13 December 2010 but was not present when the Court gave its decision on 16 December 2010. The </w:t>
      </w:r>
      <w:bookmarkStart w:id="5" w:name="_Hlk74734056"/>
      <w:r w:rsidR="00275515" w:rsidRPr="00696921">
        <w:rPr>
          <w:color w:val="000000" w:themeColor="text1"/>
        </w:rPr>
        <w:t xml:space="preserve">Encsi Municipal Court </w:t>
      </w:r>
      <w:bookmarkEnd w:id="5"/>
      <w:r w:rsidR="00275515" w:rsidRPr="00696921">
        <w:rPr>
          <w:color w:val="000000" w:themeColor="text1"/>
        </w:rPr>
        <w:t>imposed a fine on the Appellant.</w:t>
      </w:r>
      <w:r w:rsidR="00AD4B66" w:rsidRPr="00696921">
        <w:rPr>
          <w:color w:val="000000" w:themeColor="text1"/>
        </w:rPr>
        <w:t xml:space="preserve"> It did not make any order </w:t>
      </w:r>
      <w:r w:rsidR="00C137F9" w:rsidRPr="00696921">
        <w:rPr>
          <w:color w:val="000000" w:themeColor="text1"/>
        </w:rPr>
        <w:t>in respect of the sentence imposed on the Appellant for the 2005 Offences.</w:t>
      </w:r>
    </w:p>
    <w:p w14:paraId="3A2614AE" w14:textId="77777777" w:rsidR="00275515" w:rsidRPr="00696921" w:rsidRDefault="00275515" w:rsidP="00275515">
      <w:pPr>
        <w:pStyle w:val="ListParagraph"/>
        <w:spacing w:line="480" w:lineRule="auto"/>
        <w:ind w:left="1440"/>
        <w:jc w:val="both"/>
        <w:rPr>
          <w:color w:val="000000" w:themeColor="text1"/>
        </w:rPr>
      </w:pPr>
    </w:p>
    <w:p w14:paraId="61F42E93" w14:textId="35CED8A6" w:rsidR="00275515" w:rsidRPr="00696921" w:rsidRDefault="00C137F9" w:rsidP="0011102C">
      <w:pPr>
        <w:pStyle w:val="ListParagraph"/>
        <w:numPr>
          <w:ilvl w:val="0"/>
          <w:numId w:val="2"/>
        </w:numPr>
        <w:spacing w:line="480" w:lineRule="auto"/>
        <w:jc w:val="both"/>
        <w:rPr>
          <w:color w:val="000000" w:themeColor="text1"/>
        </w:rPr>
      </w:pPr>
      <w:r w:rsidRPr="00696921">
        <w:rPr>
          <w:color w:val="000000" w:themeColor="text1"/>
        </w:rPr>
        <w:t>T</w:t>
      </w:r>
      <w:r w:rsidR="00414EC2" w:rsidRPr="00696921">
        <w:rPr>
          <w:color w:val="000000" w:themeColor="text1"/>
        </w:rPr>
        <w:t>he decision of the Encsi Municipal Court was appealed</w:t>
      </w:r>
      <w:r w:rsidR="00456F6C" w:rsidRPr="00696921">
        <w:rPr>
          <w:color w:val="000000" w:themeColor="text1"/>
        </w:rPr>
        <w:t>,</w:t>
      </w:r>
      <w:r w:rsidR="00414EC2" w:rsidRPr="00696921">
        <w:rPr>
          <w:color w:val="000000" w:themeColor="text1"/>
        </w:rPr>
        <w:t xml:space="preserve"> though it is </w:t>
      </w:r>
      <w:r w:rsidRPr="00696921">
        <w:rPr>
          <w:color w:val="000000" w:themeColor="text1"/>
        </w:rPr>
        <w:t xml:space="preserve">unclear </w:t>
      </w:r>
      <w:r w:rsidR="00414EC2" w:rsidRPr="00696921">
        <w:rPr>
          <w:color w:val="000000" w:themeColor="text1"/>
        </w:rPr>
        <w:t xml:space="preserve"> </w:t>
      </w:r>
      <w:r w:rsidRPr="00696921">
        <w:rPr>
          <w:color w:val="000000" w:themeColor="text1"/>
        </w:rPr>
        <w:t xml:space="preserve">whether that appeal was brought by Mr </w:t>
      </w:r>
      <w:r w:rsidR="009007E7" w:rsidRPr="00696921">
        <w:rPr>
          <w:color w:val="000000" w:themeColor="text1"/>
        </w:rPr>
        <w:t>Siklósi</w:t>
      </w:r>
      <w:r w:rsidRPr="00696921">
        <w:rPr>
          <w:color w:val="000000" w:themeColor="text1"/>
        </w:rPr>
        <w:t xml:space="preserve"> or by the prosecuting authorities</w:t>
      </w:r>
      <w:r w:rsidR="00414EC2" w:rsidRPr="00696921">
        <w:rPr>
          <w:color w:val="000000" w:themeColor="text1"/>
        </w:rPr>
        <w:t>. In any event, i</w:t>
      </w:r>
      <w:r w:rsidR="00275515" w:rsidRPr="00696921">
        <w:rPr>
          <w:color w:val="000000" w:themeColor="text1"/>
        </w:rPr>
        <w:t>n June 2012, the Miskolc Court of Appeal varied the sentence and in lieu of a fine sentenced the Appellant to 5 months imprisonment, banned h</w:t>
      </w:r>
      <w:r w:rsidR="000B29BF" w:rsidRPr="00696921">
        <w:rPr>
          <w:color w:val="000000" w:themeColor="text1"/>
        </w:rPr>
        <w:t>i</w:t>
      </w:r>
      <w:r w:rsidR="00275515" w:rsidRPr="00696921">
        <w:rPr>
          <w:color w:val="000000" w:themeColor="text1"/>
        </w:rPr>
        <w:t xml:space="preserve">m from public affairs for 1 year </w:t>
      </w:r>
      <w:r w:rsidR="00275515" w:rsidRPr="00696921">
        <w:rPr>
          <w:i/>
          <w:color w:val="000000" w:themeColor="text1"/>
        </w:rPr>
        <w:t>and</w:t>
      </w:r>
      <w:r w:rsidR="00275515" w:rsidRPr="00696921">
        <w:rPr>
          <w:color w:val="000000" w:themeColor="text1"/>
        </w:rPr>
        <w:t xml:space="preserve"> ordered the enforcement of the sentence imposed on him for the 2005 </w:t>
      </w:r>
      <w:r w:rsidR="004853C4" w:rsidRPr="00696921">
        <w:rPr>
          <w:color w:val="000000" w:themeColor="text1"/>
        </w:rPr>
        <w:t>O</w:t>
      </w:r>
      <w:r w:rsidR="00275515" w:rsidRPr="00696921">
        <w:rPr>
          <w:color w:val="000000" w:themeColor="text1"/>
        </w:rPr>
        <w:t>ffences</w:t>
      </w:r>
      <w:r w:rsidRPr="00696921">
        <w:rPr>
          <w:color w:val="000000" w:themeColor="text1"/>
        </w:rPr>
        <w:t xml:space="preserve">. </w:t>
      </w:r>
      <w:r w:rsidR="00275515" w:rsidRPr="00696921">
        <w:rPr>
          <w:color w:val="000000" w:themeColor="text1"/>
        </w:rPr>
        <w:t xml:space="preserve">The Appellant was </w:t>
      </w:r>
      <w:r w:rsidR="00E96D44" w:rsidRPr="00696921">
        <w:rPr>
          <w:color w:val="000000" w:themeColor="text1"/>
        </w:rPr>
        <w:t xml:space="preserve">summoned to attend </w:t>
      </w:r>
      <w:r w:rsidR="00275515" w:rsidRPr="00696921">
        <w:rPr>
          <w:color w:val="000000" w:themeColor="text1"/>
        </w:rPr>
        <w:t>the hearing before the Miskolc Court of Appeal</w:t>
      </w:r>
      <w:r w:rsidR="00E96D44" w:rsidRPr="00696921">
        <w:rPr>
          <w:color w:val="000000" w:themeColor="text1"/>
        </w:rPr>
        <w:t xml:space="preserve"> but the summons was not collected. That was considered due service under Hungarian law. The Appellant was not present at the hearing but the Court appointed a defence attorney who attended at the trial and subsequently filed a motion for a re-trial and submitted an appeal for clemency on the Appellant’s behalf.</w:t>
      </w:r>
    </w:p>
    <w:p w14:paraId="374F1185" w14:textId="6F5FEDCF" w:rsidR="00C137F9" w:rsidRPr="00696921" w:rsidRDefault="00C137F9" w:rsidP="00C137F9">
      <w:pPr>
        <w:pStyle w:val="ListParagraph"/>
        <w:spacing w:line="480" w:lineRule="auto"/>
        <w:ind w:left="1440"/>
        <w:jc w:val="both"/>
        <w:rPr>
          <w:color w:val="000000" w:themeColor="text1"/>
        </w:rPr>
      </w:pPr>
    </w:p>
    <w:p w14:paraId="4E331DE0" w14:textId="5B5A34B1" w:rsidR="00C137F9" w:rsidRPr="00696921" w:rsidRDefault="0025475E" w:rsidP="0025475E">
      <w:pPr>
        <w:pStyle w:val="ListParagraph"/>
        <w:numPr>
          <w:ilvl w:val="0"/>
          <w:numId w:val="2"/>
        </w:numPr>
        <w:spacing w:line="480" w:lineRule="auto"/>
        <w:jc w:val="both"/>
        <w:rPr>
          <w:color w:val="000000" w:themeColor="text1"/>
        </w:rPr>
      </w:pPr>
      <w:r w:rsidRPr="00696921">
        <w:rPr>
          <w:color w:val="000000" w:themeColor="text1"/>
        </w:rPr>
        <w:t xml:space="preserve">The information available to the </w:t>
      </w:r>
      <w:r w:rsidR="00C137F9" w:rsidRPr="00696921">
        <w:rPr>
          <w:color w:val="000000" w:themeColor="text1"/>
        </w:rPr>
        <w:t xml:space="preserve">Court does not disclose the exact legal basis for the enforcement order made by the Miskolc Court of Appeal and, in particular, whether that order was mandatory or discretionary. Given that the </w:t>
      </w:r>
      <w:bookmarkStart w:id="6" w:name="_Hlk76469296"/>
      <w:r w:rsidR="00C137F9" w:rsidRPr="00696921">
        <w:rPr>
          <w:color w:val="000000" w:themeColor="text1"/>
        </w:rPr>
        <w:t xml:space="preserve">Encsi Municipal Court </w:t>
      </w:r>
      <w:bookmarkEnd w:id="6"/>
      <w:r w:rsidR="00C137F9" w:rsidRPr="00696921">
        <w:rPr>
          <w:color w:val="000000" w:themeColor="text1"/>
        </w:rPr>
        <w:t xml:space="preserve">(the court of first instance) did not make such an order, it would appear </w:t>
      </w:r>
      <w:r w:rsidRPr="00696921">
        <w:rPr>
          <w:color w:val="000000" w:themeColor="text1"/>
        </w:rPr>
        <w:t xml:space="preserve">not </w:t>
      </w:r>
      <w:r w:rsidR="00C137F9" w:rsidRPr="00696921">
        <w:rPr>
          <w:color w:val="000000" w:themeColor="text1"/>
        </w:rPr>
        <w:t>to be the case that the Appellant’s conviction for the Child Support Offence, of itself,</w:t>
      </w:r>
      <w:r w:rsidRPr="00696921">
        <w:rPr>
          <w:color w:val="000000" w:themeColor="text1"/>
        </w:rPr>
        <w:t xml:space="preserve"> was sufficient to</w:t>
      </w:r>
      <w:r w:rsidR="00C137F9" w:rsidRPr="00696921">
        <w:rPr>
          <w:color w:val="000000" w:themeColor="text1"/>
        </w:rPr>
        <w:t xml:space="preserve"> trigger</w:t>
      </w:r>
      <w:r w:rsidRPr="00696921">
        <w:rPr>
          <w:color w:val="000000" w:themeColor="text1"/>
        </w:rPr>
        <w:t xml:space="preserve"> </w:t>
      </w:r>
      <w:r w:rsidR="00C137F9" w:rsidRPr="00696921">
        <w:rPr>
          <w:color w:val="000000" w:themeColor="text1"/>
        </w:rPr>
        <w:t xml:space="preserve">the enforcement of the suspended sentence. It may be that </w:t>
      </w:r>
      <w:r w:rsidRPr="00696921">
        <w:rPr>
          <w:color w:val="000000" w:themeColor="text1"/>
        </w:rPr>
        <w:t xml:space="preserve">enforcement was mandated when </w:t>
      </w:r>
      <w:r w:rsidR="00C137F9" w:rsidRPr="00696921">
        <w:rPr>
          <w:color w:val="000000" w:themeColor="text1"/>
        </w:rPr>
        <w:t xml:space="preserve">a sentence of imprisonment was imposed on the Appellant for the subsequent offence or it may be that the order was a discretionary one and </w:t>
      </w:r>
      <w:bookmarkStart w:id="7" w:name="_Hlk76469351"/>
      <w:r w:rsidR="00C137F9" w:rsidRPr="00696921">
        <w:rPr>
          <w:color w:val="000000" w:themeColor="text1"/>
        </w:rPr>
        <w:t xml:space="preserve">that the Miskolc Court of Appeal </w:t>
      </w:r>
      <w:bookmarkEnd w:id="7"/>
      <w:r w:rsidR="00C137F9" w:rsidRPr="00696921">
        <w:rPr>
          <w:color w:val="000000" w:themeColor="text1"/>
        </w:rPr>
        <w:t>simply exercised its discretion differently to the E</w:t>
      </w:r>
      <w:r w:rsidR="0085309D" w:rsidRPr="00696921">
        <w:rPr>
          <w:color w:val="000000" w:themeColor="text1"/>
        </w:rPr>
        <w:t>ncsi</w:t>
      </w:r>
      <w:r w:rsidR="00C137F9" w:rsidRPr="00696921">
        <w:rPr>
          <w:color w:val="000000" w:themeColor="text1"/>
        </w:rPr>
        <w:t xml:space="preserve"> Municipal Court. It is also unclear whether it was open to the Miskolc Court of Appeal to order the enforcement of part only of the suspended sentence.</w:t>
      </w:r>
      <w:r w:rsidR="0085309D" w:rsidRPr="00696921">
        <w:rPr>
          <w:color w:val="000000" w:themeColor="text1"/>
        </w:rPr>
        <w:t xml:space="preserve"> In light of the view taken </w:t>
      </w:r>
      <w:r w:rsidRPr="00696921">
        <w:rPr>
          <w:color w:val="000000" w:themeColor="text1"/>
        </w:rPr>
        <w:t xml:space="preserve">by him </w:t>
      </w:r>
      <w:r w:rsidR="0085309D" w:rsidRPr="00696921">
        <w:rPr>
          <w:color w:val="000000" w:themeColor="text1"/>
        </w:rPr>
        <w:t>as to the effect of the decision of the CJEU in Case C-571 PP</w:t>
      </w:r>
      <w:r w:rsidR="00F50A3F" w:rsidRPr="00696921">
        <w:rPr>
          <w:color w:val="000000" w:themeColor="text1"/>
        </w:rPr>
        <w:t>U</w:t>
      </w:r>
      <w:r w:rsidR="0085309D" w:rsidRPr="00696921">
        <w:rPr>
          <w:color w:val="000000" w:themeColor="text1"/>
        </w:rPr>
        <w:t xml:space="preserve"> </w:t>
      </w:r>
      <w:r w:rsidR="0085309D" w:rsidRPr="00696921">
        <w:rPr>
          <w:i/>
          <w:color w:val="000000" w:themeColor="text1"/>
        </w:rPr>
        <w:t xml:space="preserve">Samet Ardic, </w:t>
      </w:r>
      <w:r w:rsidRPr="00696921">
        <w:rPr>
          <w:color w:val="000000" w:themeColor="text1"/>
        </w:rPr>
        <w:t xml:space="preserve">the Judge clearly did not think it necessary to pursue these issues. </w:t>
      </w:r>
    </w:p>
    <w:p w14:paraId="6FABB5A9" w14:textId="77777777" w:rsidR="00E96D44" w:rsidRPr="00696921" w:rsidRDefault="00E96D44" w:rsidP="00E96D44">
      <w:pPr>
        <w:pStyle w:val="ListParagraph"/>
        <w:spacing w:line="480" w:lineRule="auto"/>
        <w:ind w:left="1440"/>
        <w:jc w:val="both"/>
        <w:rPr>
          <w:color w:val="000000" w:themeColor="text1"/>
        </w:rPr>
      </w:pPr>
    </w:p>
    <w:p w14:paraId="296502B1" w14:textId="77777777" w:rsidR="00E96D44" w:rsidRPr="00696921" w:rsidRDefault="00E96D44" w:rsidP="0011102C">
      <w:pPr>
        <w:pStyle w:val="ListParagraph"/>
        <w:numPr>
          <w:ilvl w:val="0"/>
          <w:numId w:val="2"/>
        </w:numPr>
        <w:spacing w:line="480" w:lineRule="auto"/>
        <w:jc w:val="both"/>
        <w:rPr>
          <w:color w:val="000000" w:themeColor="text1"/>
        </w:rPr>
      </w:pPr>
      <w:r w:rsidRPr="00696921">
        <w:rPr>
          <w:color w:val="000000" w:themeColor="text1"/>
        </w:rPr>
        <w:t xml:space="preserve">In September 2012 a European Arrest Warrant was issued by Hungary seeking the Appellant’s surrender for the purpose of serving the sentences imposed on him in respect of both the 2005 </w:t>
      </w:r>
      <w:r w:rsidR="004853C4" w:rsidRPr="00696921">
        <w:rPr>
          <w:color w:val="000000" w:themeColor="text1"/>
        </w:rPr>
        <w:t>O</w:t>
      </w:r>
      <w:r w:rsidRPr="00696921">
        <w:rPr>
          <w:color w:val="000000" w:themeColor="text1"/>
        </w:rPr>
        <w:t xml:space="preserve">ffences and the </w:t>
      </w:r>
      <w:r w:rsidR="004853C4" w:rsidRPr="00696921">
        <w:rPr>
          <w:color w:val="000000" w:themeColor="text1"/>
        </w:rPr>
        <w:t>C</w:t>
      </w:r>
      <w:r w:rsidRPr="00696921">
        <w:rPr>
          <w:color w:val="000000" w:themeColor="text1"/>
        </w:rPr>
        <w:t xml:space="preserve">hild </w:t>
      </w:r>
      <w:r w:rsidR="004853C4" w:rsidRPr="00696921">
        <w:rPr>
          <w:color w:val="000000" w:themeColor="text1"/>
        </w:rPr>
        <w:t>S</w:t>
      </w:r>
      <w:r w:rsidRPr="00696921">
        <w:rPr>
          <w:color w:val="000000" w:themeColor="text1"/>
        </w:rPr>
        <w:t xml:space="preserve">upport </w:t>
      </w:r>
      <w:r w:rsidR="004853C4" w:rsidRPr="00696921">
        <w:rPr>
          <w:color w:val="000000" w:themeColor="text1"/>
        </w:rPr>
        <w:t>O</w:t>
      </w:r>
      <w:r w:rsidRPr="00696921">
        <w:rPr>
          <w:color w:val="000000" w:themeColor="text1"/>
        </w:rPr>
        <w:t xml:space="preserve">ffence. </w:t>
      </w:r>
    </w:p>
    <w:p w14:paraId="2325022A" w14:textId="77777777" w:rsidR="00E96D44" w:rsidRPr="00696921" w:rsidRDefault="00E96D44" w:rsidP="00E96D44">
      <w:pPr>
        <w:pStyle w:val="ListParagraph"/>
        <w:spacing w:line="480" w:lineRule="auto"/>
        <w:ind w:left="1440"/>
        <w:jc w:val="both"/>
        <w:rPr>
          <w:color w:val="000000" w:themeColor="text1"/>
        </w:rPr>
      </w:pPr>
    </w:p>
    <w:p w14:paraId="5DD0D222" w14:textId="6351AEFB" w:rsidR="00E96D44" w:rsidRPr="00696921" w:rsidRDefault="00E96D44" w:rsidP="0011102C">
      <w:pPr>
        <w:pStyle w:val="ListParagraph"/>
        <w:numPr>
          <w:ilvl w:val="0"/>
          <w:numId w:val="2"/>
        </w:numPr>
        <w:spacing w:line="480" w:lineRule="auto"/>
        <w:jc w:val="both"/>
        <w:rPr>
          <w:color w:val="000000" w:themeColor="text1"/>
        </w:rPr>
      </w:pPr>
      <w:r w:rsidRPr="00696921">
        <w:rPr>
          <w:color w:val="000000" w:themeColor="text1"/>
        </w:rPr>
        <w:t xml:space="preserve"> The Appellant opposed his surrender and, for the reasons set out in the judgment of the High Court (Donnelly J) of 19 May 2015 (</w:t>
      </w:r>
      <w:r w:rsidRPr="00696921">
        <w:rPr>
          <w:i/>
          <w:color w:val="000000" w:themeColor="text1"/>
        </w:rPr>
        <w:t>sub nom Minister for Justice and Equality v AB</w:t>
      </w:r>
      <w:r w:rsidRPr="00696921">
        <w:rPr>
          <w:color w:val="000000" w:themeColor="text1"/>
        </w:rPr>
        <w:t xml:space="preserve"> [2015] IEHC 338), the High Court refused to order his surrender. Surrender was refused in respect of the </w:t>
      </w:r>
      <w:r w:rsidR="004853C4" w:rsidRPr="00696921">
        <w:rPr>
          <w:color w:val="000000" w:themeColor="text1"/>
        </w:rPr>
        <w:t>C</w:t>
      </w:r>
      <w:r w:rsidRPr="00696921">
        <w:rPr>
          <w:color w:val="000000" w:themeColor="text1"/>
        </w:rPr>
        <w:t xml:space="preserve">hild </w:t>
      </w:r>
      <w:r w:rsidR="005A1B86" w:rsidRPr="00696921">
        <w:rPr>
          <w:color w:val="000000" w:themeColor="text1"/>
        </w:rPr>
        <w:t>Support</w:t>
      </w:r>
      <w:r w:rsidRPr="00696921">
        <w:rPr>
          <w:color w:val="000000" w:themeColor="text1"/>
        </w:rPr>
        <w:t xml:space="preserve"> </w:t>
      </w:r>
      <w:r w:rsidR="004853C4" w:rsidRPr="00696921">
        <w:rPr>
          <w:color w:val="000000" w:themeColor="text1"/>
        </w:rPr>
        <w:t>O</w:t>
      </w:r>
      <w:r w:rsidRPr="00696921">
        <w:rPr>
          <w:color w:val="000000" w:themeColor="text1"/>
        </w:rPr>
        <w:t xml:space="preserve">ffence on the basis of lack of correspondence. As regards the 2005 </w:t>
      </w:r>
      <w:r w:rsidR="004853C4" w:rsidRPr="00696921">
        <w:rPr>
          <w:color w:val="000000" w:themeColor="text1"/>
        </w:rPr>
        <w:t>O</w:t>
      </w:r>
      <w:r w:rsidRPr="00696921">
        <w:rPr>
          <w:color w:val="000000" w:themeColor="text1"/>
        </w:rPr>
        <w:t xml:space="preserve">ffences, it appeared to the High Court that, while the EAW sought the Appellant’s surrender for the purpose of enforcing </w:t>
      </w:r>
      <w:r w:rsidR="00A360E8" w:rsidRPr="00696921">
        <w:rPr>
          <w:color w:val="000000" w:themeColor="text1"/>
        </w:rPr>
        <w:t xml:space="preserve">his sentence, he was in fact being sought for the purposes of prosecution, in circumstances where it appeared </w:t>
      </w:r>
      <w:r w:rsidR="0025475E" w:rsidRPr="00696921">
        <w:rPr>
          <w:color w:val="000000" w:themeColor="text1"/>
        </w:rPr>
        <w:t xml:space="preserve">to the court </w:t>
      </w:r>
      <w:r w:rsidR="00A360E8" w:rsidRPr="00696921">
        <w:rPr>
          <w:color w:val="000000" w:themeColor="text1"/>
        </w:rPr>
        <w:t xml:space="preserve">that it had been accepted that the Appellant was to be retried in the event that he was surrendered. In those circumstances, Donnelly J held, there was a fundamental defect in the EAW in that it did not </w:t>
      </w:r>
      <w:r w:rsidR="004853C4" w:rsidRPr="00696921">
        <w:rPr>
          <w:color w:val="000000" w:themeColor="text1"/>
        </w:rPr>
        <w:t xml:space="preserve">accurately </w:t>
      </w:r>
      <w:r w:rsidR="00A360E8" w:rsidRPr="00696921">
        <w:rPr>
          <w:color w:val="000000" w:themeColor="text1"/>
        </w:rPr>
        <w:t xml:space="preserve">reflect the purpose for which the surrender of the Appellant was actually being sought. </w:t>
      </w:r>
    </w:p>
    <w:p w14:paraId="2F1A4A21" w14:textId="77777777" w:rsidR="00B054CC" w:rsidRPr="00696921" w:rsidRDefault="00B054CC" w:rsidP="00B054CC">
      <w:pPr>
        <w:pStyle w:val="ListParagraph"/>
        <w:spacing w:line="480" w:lineRule="auto"/>
        <w:ind w:left="1440"/>
        <w:jc w:val="both"/>
        <w:rPr>
          <w:color w:val="000000" w:themeColor="text1"/>
        </w:rPr>
      </w:pPr>
    </w:p>
    <w:p w14:paraId="1E9A9D6C" w14:textId="2338EA04" w:rsidR="00B054CC" w:rsidRPr="00696921" w:rsidRDefault="00B054CC" w:rsidP="0011102C">
      <w:pPr>
        <w:pStyle w:val="ListParagraph"/>
        <w:numPr>
          <w:ilvl w:val="0"/>
          <w:numId w:val="2"/>
        </w:numPr>
        <w:spacing w:line="480" w:lineRule="auto"/>
        <w:jc w:val="both"/>
        <w:rPr>
          <w:color w:val="000000" w:themeColor="text1"/>
        </w:rPr>
      </w:pPr>
      <w:r w:rsidRPr="00696921">
        <w:rPr>
          <w:color w:val="000000" w:themeColor="text1"/>
        </w:rPr>
        <w:t xml:space="preserve">On 28 October 2015, the Miskolc Court of Appeal directed that the </w:t>
      </w:r>
      <w:bookmarkStart w:id="8" w:name="_Hlk74734115"/>
      <w:r w:rsidRPr="00696921">
        <w:rPr>
          <w:color w:val="000000" w:themeColor="text1"/>
        </w:rPr>
        <w:t xml:space="preserve">Encsi Municipal Court consider </w:t>
      </w:r>
      <w:bookmarkEnd w:id="8"/>
      <w:r w:rsidRPr="00696921">
        <w:rPr>
          <w:color w:val="000000" w:themeColor="text1"/>
        </w:rPr>
        <w:t>whether a retrial should be ordered in relation to the 2005 offences. The procedure seeking a retrial had been initiated by the Appellant but he was not present at the hearing before the Miskolc Court of Appeal.</w:t>
      </w:r>
    </w:p>
    <w:p w14:paraId="2C95EC03" w14:textId="77777777" w:rsidR="00B054CC" w:rsidRPr="00696921" w:rsidRDefault="00B054CC" w:rsidP="00B054CC">
      <w:pPr>
        <w:pStyle w:val="ListParagraph"/>
        <w:spacing w:line="480" w:lineRule="auto"/>
        <w:ind w:left="1440"/>
        <w:jc w:val="both"/>
        <w:rPr>
          <w:color w:val="000000" w:themeColor="text1"/>
        </w:rPr>
      </w:pPr>
    </w:p>
    <w:p w14:paraId="0E8BF646" w14:textId="57CE6921" w:rsidR="00B054CC" w:rsidRPr="00696921" w:rsidRDefault="00B054CC" w:rsidP="0011102C">
      <w:pPr>
        <w:pStyle w:val="ListParagraph"/>
        <w:numPr>
          <w:ilvl w:val="0"/>
          <w:numId w:val="2"/>
        </w:numPr>
        <w:spacing w:line="480" w:lineRule="auto"/>
        <w:jc w:val="both"/>
        <w:rPr>
          <w:color w:val="000000" w:themeColor="text1"/>
        </w:rPr>
      </w:pPr>
      <w:r w:rsidRPr="00696921">
        <w:rPr>
          <w:color w:val="000000" w:themeColor="text1"/>
        </w:rPr>
        <w:t xml:space="preserve">On 24 October 2016, the </w:t>
      </w:r>
      <w:bookmarkStart w:id="9" w:name="_Hlk74734180"/>
      <w:r w:rsidRPr="00696921">
        <w:rPr>
          <w:color w:val="000000" w:themeColor="text1"/>
        </w:rPr>
        <w:t xml:space="preserve">Encsi Municipal Court </w:t>
      </w:r>
      <w:bookmarkEnd w:id="9"/>
      <w:r w:rsidRPr="00696921">
        <w:rPr>
          <w:color w:val="000000" w:themeColor="text1"/>
        </w:rPr>
        <w:t>rejected the application for a retrial</w:t>
      </w:r>
      <w:r w:rsidR="00BE027A" w:rsidRPr="00696921">
        <w:rPr>
          <w:color w:val="000000" w:themeColor="text1"/>
        </w:rPr>
        <w:t xml:space="preserve"> for the 2005 offences</w:t>
      </w:r>
      <w:r w:rsidRPr="00696921">
        <w:rPr>
          <w:color w:val="000000" w:themeColor="text1"/>
        </w:rPr>
        <w:t xml:space="preserve">. </w:t>
      </w:r>
      <w:bookmarkStart w:id="10" w:name="_Hlk74734489"/>
      <w:r w:rsidRPr="00696921">
        <w:rPr>
          <w:color w:val="000000" w:themeColor="text1"/>
        </w:rPr>
        <w:t>The Appellant did not appear before the Encsi Municipal Court but he was represented by a defence counsel appointed by him.</w:t>
      </w:r>
      <w:bookmarkEnd w:id="10"/>
    </w:p>
    <w:p w14:paraId="2A73A456" w14:textId="77777777" w:rsidR="00B054CC" w:rsidRPr="00696921" w:rsidRDefault="00B054CC" w:rsidP="00B054CC">
      <w:pPr>
        <w:pStyle w:val="ListParagraph"/>
        <w:spacing w:line="480" w:lineRule="auto"/>
        <w:ind w:left="1440"/>
        <w:jc w:val="both"/>
        <w:rPr>
          <w:color w:val="000000" w:themeColor="text1"/>
        </w:rPr>
      </w:pPr>
    </w:p>
    <w:p w14:paraId="317446F8" w14:textId="77777777" w:rsidR="00414EC2" w:rsidRPr="00696921" w:rsidRDefault="00414EC2" w:rsidP="0011102C">
      <w:pPr>
        <w:pStyle w:val="ListParagraph"/>
        <w:numPr>
          <w:ilvl w:val="0"/>
          <w:numId w:val="2"/>
        </w:numPr>
        <w:spacing w:line="480" w:lineRule="auto"/>
        <w:jc w:val="both"/>
        <w:rPr>
          <w:color w:val="000000" w:themeColor="text1"/>
        </w:rPr>
      </w:pPr>
      <w:r w:rsidRPr="00696921">
        <w:rPr>
          <w:color w:val="000000" w:themeColor="text1"/>
        </w:rPr>
        <w:t xml:space="preserve">The Appellant appealed the decision of the Encsi Municipal Court. That appeal was heard by </w:t>
      </w:r>
      <w:r w:rsidR="00B054CC" w:rsidRPr="00696921">
        <w:rPr>
          <w:color w:val="000000" w:themeColor="text1"/>
        </w:rPr>
        <w:t xml:space="preserve">the Miskolc Court of Appeal </w:t>
      </w:r>
      <w:r w:rsidRPr="00696921">
        <w:rPr>
          <w:color w:val="000000" w:themeColor="text1"/>
        </w:rPr>
        <w:t xml:space="preserve">on 20 March 2017. The Appellant did not appear but he was represented by a defence counsel appointed by him. The proceedings were adjourned to 29 March 2017 when the Court of Appeal announced its decision to dismiss the motion for a retrial. </w:t>
      </w:r>
    </w:p>
    <w:p w14:paraId="54D355C2" w14:textId="77777777" w:rsidR="00414EC2" w:rsidRPr="00696921" w:rsidRDefault="00414EC2" w:rsidP="00414EC2">
      <w:pPr>
        <w:pStyle w:val="ListParagraph"/>
        <w:spacing w:line="480" w:lineRule="auto"/>
        <w:ind w:left="1440"/>
        <w:jc w:val="both"/>
        <w:rPr>
          <w:color w:val="000000" w:themeColor="text1"/>
        </w:rPr>
      </w:pPr>
    </w:p>
    <w:p w14:paraId="4A8DE01F" w14:textId="2EA442B8" w:rsidR="00B054CC" w:rsidRPr="00696921" w:rsidRDefault="00414EC2" w:rsidP="0011102C">
      <w:pPr>
        <w:pStyle w:val="ListParagraph"/>
        <w:numPr>
          <w:ilvl w:val="0"/>
          <w:numId w:val="2"/>
        </w:numPr>
        <w:spacing w:line="480" w:lineRule="auto"/>
        <w:jc w:val="both"/>
        <w:rPr>
          <w:color w:val="000000" w:themeColor="text1"/>
        </w:rPr>
      </w:pPr>
      <w:r w:rsidRPr="00696921">
        <w:rPr>
          <w:color w:val="000000" w:themeColor="text1"/>
        </w:rPr>
        <w:t>As a result of that decision</w:t>
      </w:r>
      <w:r w:rsidR="0025475E" w:rsidRPr="00696921">
        <w:rPr>
          <w:color w:val="000000" w:themeColor="text1"/>
        </w:rPr>
        <w:t xml:space="preserve">, </w:t>
      </w:r>
      <w:r w:rsidRPr="00696921">
        <w:rPr>
          <w:color w:val="000000" w:themeColor="text1"/>
        </w:rPr>
        <w:t xml:space="preserve">the sentence of imprisonment imposed on the Appellant following his conviction for the 2005 </w:t>
      </w:r>
      <w:r w:rsidR="004853C4" w:rsidRPr="00696921">
        <w:rPr>
          <w:color w:val="000000" w:themeColor="text1"/>
        </w:rPr>
        <w:t>O</w:t>
      </w:r>
      <w:r w:rsidRPr="00696921">
        <w:rPr>
          <w:color w:val="000000" w:themeColor="text1"/>
        </w:rPr>
        <w:t>ffences</w:t>
      </w:r>
      <w:r w:rsidR="0025475E" w:rsidRPr="00696921">
        <w:rPr>
          <w:color w:val="000000" w:themeColor="text1"/>
        </w:rPr>
        <w:t xml:space="preserve"> –</w:t>
      </w:r>
      <w:r w:rsidRPr="00696921">
        <w:rPr>
          <w:color w:val="000000" w:themeColor="text1"/>
        </w:rPr>
        <w:t xml:space="preserve"> </w:t>
      </w:r>
      <w:r w:rsidR="0025475E" w:rsidRPr="00696921">
        <w:rPr>
          <w:color w:val="000000" w:themeColor="text1"/>
        </w:rPr>
        <w:t>which had been ordered to be</w:t>
      </w:r>
      <w:r w:rsidRPr="00696921">
        <w:rPr>
          <w:color w:val="000000" w:themeColor="text1"/>
        </w:rPr>
        <w:t xml:space="preserve"> enforce</w:t>
      </w:r>
      <w:r w:rsidR="0025475E" w:rsidRPr="00696921">
        <w:rPr>
          <w:color w:val="000000" w:themeColor="text1"/>
        </w:rPr>
        <w:t xml:space="preserve">d </w:t>
      </w:r>
      <w:r w:rsidRPr="00696921">
        <w:rPr>
          <w:color w:val="000000" w:themeColor="text1"/>
        </w:rPr>
        <w:t>by the Miskolc Court of Appeal in June 2012</w:t>
      </w:r>
      <w:r w:rsidR="0025475E" w:rsidRPr="00696921">
        <w:rPr>
          <w:color w:val="000000" w:themeColor="text1"/>
        </w:rPr>
        <w:t xml:space="preserve"> </w:t>
      </w:r>
      <w:r w:rsidR="002C7A8E" w:rsidRPr="00696921">
        <w:rPr>
          <w:color w:val="000000" w:themeColor="text1"/>
        </w:rPr>
        <w:t xml:space="preserve">– </w:t>
      </w:r>
      <w:r w:rsidRPr="00696921">
        <w:rPr>
          <w:color w:val="000000" w:themeColor="text1"/>
        </w:rPr>
        <w:t>was again enforceable as a matter of Hungarian law.</w:t>
      </w:r>
    </w:p>
    <w:p w14:paraId="367B9AB5" w14:textId="77777777" w:rsidR="0025475E" w:rsidRPr="00696921" w:rsidRDefault="0025475E" w:rsidP="0025475E">
      <w:pPr>
        <w:pStyle w:val="ListParagraph"/>
        <w:spacing w:line="480" w:lineRule="auto"/>
        <w:ind w:left="1440"/>
        <w:jc w:val="both"/>
        <w:rPr>
          <w:color w:val="000000" w:themeColor="text1"/>
        </w:rPr>
      </w:pPr>
    </w:p>
    <w:p w14:paraId="5466591C" w14:textId="7F7E1341" w:rsidR="0025475E" w:rsidRPr="00696921" w:rsidRDefault="0025475E" w:rsidP="0011102C">
      <w:pPr>
        <w:pStyle w:val="ListParagraph"/>
        <w:numPr>
          <w:ilvl w:val="0"/>
          <w:numId w:val="2"/>
        </w:numPr>
        <w:spacing w:line="480" w:lineRule="auto"/>
        <w:jc w:val="both"/>
        <w:rPr>
          <w:color w:val="000000" w:themeColor="text1"/>
        </w:rPr>
      </w:pPr>
      <w:r w:rsidRPr="00696921">
        <w:rPr>
          <w:color w:val="000000" w:themeColor="text1"/>
        </w:rPr>
        <w:t xml:space="preserve">The EAW at issue in these proceedings then issued on 27 July 2017. </w:t>
      </w:r>
    </w:p>
    <w:p w14:paraId="3FDBEDA3" w14:textId="77777777" w:rsidR="008C1575" w:rsidRPr="00696921" w:rsidRDefault="008C1575" w:rsidP="008C1575">
      <w:pPr>
        <w:pStyle w:val="ListParagraph"/>
        <w:spacing w:line="480" w:lineRule="auto"/>
        <w:ind w:left="1440"/>
        <w:jc w:val="both"/>
        <w:rPr>
          <w:color w:val="000000" w:themeColor="text1"/>
        </w:rPr>
      </w:pPr>
    </w:p>
    <w:p w14:paraId="73386106" w14:textId="7AAEDD39" w:rsidR="008C1575" w:rsidRPr="00696921" w:rsidRDefault="008C1575" w:rsidP="0011102C">
      <w:pPr>
        <w:pStyle w:val="ListParagraph"/>
        <w:numPr>
          <w:ilvl w:val="0"/>
          <w:numId w:val="2"/>
        </w:numPr>
        <w:spacing w:line="480" w:lineRule="auto"/>
        <w:jc w:val="both"/>
        <w:rPr>
          <w:color w:val="000000" w:themeColor="text1"/>
        </w:rPr>
      </w:pPr>
      <w:r w:rsidRPr="00696921">
        <w:rPr>
          <w:color w:val="000000" w:themeColor="text1"/>
        </w:rPr>
        <w:t xml:space="preserve">Finally, on 2 July 2020 (made final on 4 August 2020) the Penal Enforcement Unit of the </w:t>
      </w:r>
      <w:bookmarkStart w:id="11" w:name="_Hlk74736890"/>
      <w:r w:rsidRPr="00696921">
        <w:rPr>
          <w:color w:val="000000" w:themeColor="text1"/>
        </w:rPr>
        <w:t xml:space="preserve">Regional Court of Tarabánya </w:t>
      </w:r>
      <w:bookmarkEnd w:id="11"/>
      <w:r w:rsidRPr="00696921">
        <w:rPr>
          <w:color w:val="000000" w:themeColor="text1"/>
        </w:rPr>
        <w:t xml:space="preserve">determined that enforcement of the five month prison sentence imposed on the Appellant </w:t>
      </w:r>
      <w:r w:rsidR="0025475E" w:rsidRPr="00696921">
        <w:rPr>
          <w:color w:val="000000" w:themeColor="text1"/>
        </w:rPr>
        <w:t xml:space="preserve">for the Child Support Offence </w:t>
      </w:r>
      <w:r w:rsidRPr="00696921">
        <w:rPr>
          <w:color w:val="000000" w:themeColor="text1"/>
        </w:rPr>
        <w:t xml:space="preserve">was no longer possible as a result of the expiry of the applicable limitation period. </w:t>
      </w:r>
      <w:r w:rsidR="003D54BA" w:rsidRPr="00696921">
        <w:rPr>
          <w:color w:val="000000" w:themeColor="text1"/>
        </w:rPr>
        <w:t xml:space="preserve">According to the Regional Court of Tarabánya (and this is not disputed), the unenforceability of this sentence does not affect the order made by the Miskolc Court of Appeal in June 2012 and does not impact on the EAW. </w:t>
      </w:r>
    </w:p>
    <w:p w14:paraId="54EF2913" w14:textId="77777777" w:rsidR="00A360E8" w:rsidRPr="00696921" w:rsidRDefault="00A360E8" w:rsidP="00A360E8">
      <w:pPr>
        <w:pStyle w:val="ListParagraph"/>
        <w:spacing w:line="480" w:lineRule="auto"/>
        <w:ind w:left="1440"/>
        <w:jc w:val="both"/>
        <w:rPr>
          <w:color w:val="000000" w:themeColor="text1"/>
        </w:rPr>
      </w:pPr>
    </w:p>
    <w:p w14:paraId="7607AE84" w14:textId="5A080C25" w:rsidR="00B8674E" w:rsidRPr="00696921" w:rsidRDefault="000B29BF" w:rsidP="00B8674E">
      <w:pPr>
        <w:pStyle w:val="ListParagraph"/>
        <w:numPr>
          <w:ilvl w:val="0"/>
          <w:numId w:val="1"/>
        </w:numPr>
        <w:spacing w:line="480" w:lineRule="auto"/>
        <w:ind w:hanging="720"/>
        <w:jc w:val="both"/>
        <w:rPr>
          <w:color w:val="000000" w:themeColor="text1"/>
        </w:rPr>
      </w:pPr>
      <w:r w:rsidRPr="00696921">
        <w:rPr>
          <w:color w:val="000000" w:themeColor="text1"/>
        </w:rPr>
        <w:t xml:space="preserve">In his Judgment, Binchy J observed – with conspicuous understatement – that </w:t>
      </w:r>
      <w:r w:rsidR="00B130C2" w:rsidRPr="00696921">
        <w:rPr>
          <w:color w:val="000000" w:themeColor="text1"/>
        </w:rPr>
        <w:t>the number of requests for further information here was “</w:t>
      </w:r>
      <w:r w:rsidR="00B130C2" w:rsidRPr="00696921">
        <w:rPr>
          <w:i/>
          <w:color w:val="000000" w:themeColor="text1"/>
        </w:rPr>
        <w:t>far from ideal</w:t>
      </w:r>
      <w:r w:rsidR="00B130C2" w:rsidRPr="00696921">
        <w:rPr>
          <w:color w:val="000000" w:themeColor="text1"/>
        </w:rPr>
        <w:t xml:space="preserve">”, noting correctly that </w:t>
      </w:r>
      <w:r w:rsidR="00B130C2" w:rsidRPr="00696921">
        <w:rPr>
          <w:i/>
          <w:color w:val="000000" w:themeColor="text1"/>
        </w:rPr>
        <w:t>“one led to the need for another</w:t>
      </w:r>
      <w:r w:rsidR="00B130C2" w:rsidRPr="00696921">
        <w:rPr>
          <w:color w:val="000000" w:themeColor="text1"/>
        </w:rPr>
        <w:t xml:space="preserve">” (at para 33). Of course, allowances must be made for language differences and the requirement for requests and responses to be translated and the risk that meaning may be lost in translation. Even making </w:t>
      </w:r>
      <w:r w:rsidR="00537B9F" w:rsidRPr="00696921">
        <w:rPr>
          <w:color w:val="000000" w:themeColor="text1"/>
        </w:rPr>
        <w:t xml:space="preserve">every </w:t>
      </w:r>
      <w:r w:rsidR="00B130C2" w:rsidRPr="00696921">
        <w:rPr>
          <w:color w:val="000000" w:themeColor="text1"/>
        </w:rPr>
        <w:t xml:space="preserve">such allowance, however, a prolonged cycle of request and response such as occurred here ought not to be necessary. If </w:t>
      </w:r>
      <w:r w:rsidR="008C1575" w:rsidRPr="00696921">
        <w:rPr>
          <w:color w:val="000000" w:themeColor="text1"/>
        </w:rPr>
        <w:t xml:space="preserve">comprehensive and </w:t>
      </w:r>
      <w:r w:rsidR="00B130C2" w:rsidRPr="00696921">
        <w:rPr>
          <w:color w:val="000000" w:themeColor="text1"/>
        </w:rPr>
        <w:t xml:space="preserve">accurate information had been </w:t>
      </w:r>
      <w:r w:rsidR="008C1575" w:rsidRPr="00696921">
        <w:rPr>
          <w:color w:val="000000" w:themeColor="text1"/>
        </w:rPr>
        <w:t>set out</w:t>
      </w:r>
      <w:r w:rsidR="00B130C2" w:rsidRPr="00696921">
        <w:rPr>
          <w:color w:val="000000" w:themeColor="text1"/>
        </w:rPr>
        <w:t xml:space="preserve"> in the EAW in the first instance, </w:t>
      </w:r>
      <w:r w:rsidR="008C1575" w:rsidRPr="00696921">
        <w:rPr>
          <w:color w:val="000000" w:themeColor="text1"/>
        </w:rPr>
        <w:t>significant confusion and delay could have been avoided.</w:t>
      </w:r>
      <w:r w:rsidR="001E36C5" w:rsidRPr="00696921">
        <w:rPr>
          <w:color w:val="000000" w:themeColor="text1"/>
        </w:rPr>
        <w:t xml:space="preserve"> That would also have been the case</w:t>
      </w:r>
      <w:r w:rsidR="00F807DA" w:rsidRPr="00696921">
        <w:rPr>
          <w:color w:val="000000" w:themeColor="text1"/>
        </w:rPr>
        <w:t xml:space="preserve"> had </w:t>
      </w:r>
      <w:r w:rsidR="001E36C5" w:rsidRPr="00696921">
        <w:rPr>
          <w:color w:val="000000" w:themeColor="text1"/>
        </w:rPr>
        <w:t>the very clear and specific requests for information made by the High Court been addressed</w:t>
      </w:r>
      <w:r w:rsidR="00F807DA" w:rsidRPr="00696921">
        <w:rPr>
          <w:color w:val="000000" w:themeColor="text1"/>
        </w:rPr>
        <w:t xml:space="preserve"> properly</w:t>
      </w:r>
      <w:r w:rsidR="001E36C5" w:rsidRPr="00696921">
        <w:rPr>
          <w:color w:val="000000" w:themeColor="text1"/>
        </w:rPr>
        <w:t>.</w:t>
      </w:r>
    </w:p>
    <w:p w14:paraId="1FBEFE62" w14:textId="77777777" w:rsidR="001E36C5" w:rsidRPr="00696921" w:rsidRDefault="001E36C5">
      <w:pPr>
        <w:spacing w:after="160" w:line="259" w:lineRule="auto"/>
        <w:rPr>
          <w:b/>
          <w:color w:val="000000" w:themeColor="text1"/>
        </w:rPr>
      </w:pPr>
      <w:r w:rsidRPr="00696921">
        <w:rPr>
          <w:b/>
          <w:color w:val="000000" w:themeColor="text1"/>
        </w:rPr>
        <w:br w:type="page"/>
      </w:r>
    </w:p>
    <w:p w14:paraId="7D31B5F6" w14:textId="77777777" w:rsidR="00537B9F" w:rsidRPr="00696921" w:rsidRDefault="00537B9F" w:rsidP="00537B9F">
      <w:pPr>
        <w:pStyle w:val="ListParagraph"/>
        <w:spacing w:line="480" w:lineRule="auto"/>
        <w:ind w:left="0"/>
        <w:jc w:val="center"/>
        <w:rPr>
          <w:b/>
          <w:color w:val="000000" w:themeColor="text1"/>
        </w:rPr>
      </w:pPr>
      <w:r w:rsidRPr="00696921">
        <w:rPr>
          <w:b/>
          <w:color w:val="000000" w:themeColor="text1"/>
        </w:rPr>
        <w:t>HIGH COURT HEARING AND DECISION</w:t>
      </w:r>
    </w:p>
    <w:p w14:paraId="771E9FB1" w14:textId="77777777" w:rsidR="00537B9F" w:rsidRPr="00696921" w:rsidRDefault="00537B9F" w:rsidP="00537B9F">
      <w:pPr>
        <w:pStyle w:val="ListParagraph"/>
        <w:spacing w:line="480" w:lineRule="auto"/>
        <w:ind w:left="0"/>
        <w:jc w:val="center"/>
        <w:rPr>
          <w:b/>
          <w:color w:val="000000" w:themeColor="text1"/>
        </w:rPr>
      </w:pPr>
    </w:p>
    <w:p w14:paraId="6CE136EB" w14:textId="6EA04D34" w:rsidR="00412758" w:rsidRPr="00696921" w:rsidRDefault="00537B9F" w:rsidP="00B8674E">
      <w:pPr>
        <w:pStyle w:val="ListParagraph"/>
        <w:numPr>
          <w:ilvl w:val="0"/>
          <w:numId w:val="1"/>
        </w:numPr>
        <w:spacing w:line="480" w:lineRule="auto"/>
        <w:ind w:hanging="720"/>
        <w:jc w:val="both"/>
        <w:rPr>
          <w:color w:val="000000" w:themeColor="text1"/>
        </w:rPr>
      </w:pPr>
      <w:r w:rsidRPr="00696921">
        <w:rPr>
          <w:color w:val="000000" w:themeColor="text1"/>
        </w:rPr>
        <w:t xml:space="preserve">Mr </w:t>
      </w:r>
      <w:r w:rsidR="009007E7" w:rsidRPr="00696921">
        <w:rPr>
          <w:color w:val="000000" w:themeColor="text1"/>
        </w:rPr>
        <w:t>Siklósi</w:t>
      </w:r>
      <w:r w:rsidRPr="00696921">
        <w:rPr>
          <w:color w:val="000000" w:themeColor="text1"/>
        </w:rPr>
        <w:t xml:space="preserve"> </w:t>
      </w:r>
      <w:r w:rsidR="00EE2651" w:rsidRPr="00696921">
        <w:rPr>
          <w:color w:val="000000" w:themeColor="text1"/>
        </w:rPr>
        <w:t>objected to</w:t>
      </w:r>
      <w:r w:rsidR="008D6376" w:rsidRPr="00696921">
        <w:rPr>
          <w:color w:val="000000" w:themeColor="text1"/>
        </w:rPr>
        <w:t xml:space="preserve"> his surrender on a </w:t>
      </w:r>
      <w:r w:rsidR="00CF31B9" w:rsidRPr="00696921">
        <w:rPr>
          <w:color w:val="000000" w:themeColor="text1"/>
        </w:rPr>
        <w:t>range</w:t>
      </w:r>
      <w:r w:rsidR="008D6376" w:rsidRPr="00696921">
        <w:rPr>
          <w:color w:val="000000" w:themeColor="text1"/>
        </w:rPr>
        <w:t xml:space="preserve"> of grounds. </w:t>
      </w:r>
    </w:p>
    <w:p w14:paraId="1704CBB0" w14:textId="77777777" w:rsidR="00412758" w:rsidRPr="00696921" w:rsidRDefault="00412758" w:rsidP="00412758">
      <w:pPr>
        <w:pStyle w:val="ListParagraph"/>
        <w:spacing w:line="480" w:lineRule="auto"/>
        <w:jc w:val="both"/>
        <w:rPr>
          <w:color w:val="000000" w:themeColor="text1"/>
        </w:rPr>
      </w:pPr>
    </w:p>
    <w:p w14:paraId="2E06CB39" w14:textId="1EE756E5" w:rsidR="00412758" w:rsidRPr="00696921" w:rsidRDefault="001F3149" w:rsidP="00EE2651">
      <w:pPr>
        <w:pStyle w:val="ListParagraph"/>
        <w:numPr>
          <w:ilvl w:val="0"/>
          <w:numId w:val="1"/>
        </w:numPr>
        <w:spacing w:line="480" w:lineRule="auto"/>
        <w:ind w:hanging="720"/>
        <w:jc w:val="both"/>
        <w:rPr>
          <w:color w:val="000000" w:themeColor="text1"/>
        </w:rPr>
      </w:pPr>
      <w:r w:rsidRPr="00696921">
        <w:rPr>
          <w:color w:val="000000" w:themeColor="text1"/>
        </w:rPr>
        <w:t xml:space="preserve">A number of these grounds relied on the fact that Mr </w:t>
      </w:r>
      <w:proofErr w:type="spellStart"/>
      <w:r w:rsidR="009007E7" w:rsidRPr="00696921">
        <w:rPr>
          <w:color w:val="000000" w:themeColor="text1"/>
        </w:rPr>
        <w:t>Siklósi</w:t>
      </w:r>
      <w:r w:rsidRPr="00696921">
        <w:rPr>
          <w:color w:val="000000" w:themeColor="text1"/>
        </w:rPr>
        <w:t>’s</w:t>
      </w:r>
      <w:proofErr w:type="spellEnd"/>
      <w:r w:rsidRPr="00696921">
        <w:rPr>
          <w:color w:val="000000" w:themeColor="text1"/>
        </w:rPr>
        <w:t xml:space="preserve"> surrender was sought to serve a sentence of imprisonment that had become enforceable by reason </w:t>
      </w:r>
      <w:r w:rsidR="00EE2651" w:rsidRPr="00696921">
        <w:rPr>
          <w:color w:val="000000" w:themeColor="text1"/>
        </w:rPr>
        <w:t xml:space="preserve">only </w:t>
      </w:r>
      <w:r w:rsidRPr="00696921">
        <w:rPr>
          <w:color w:val="000000" w:themeColor="text1"/>
        </w:rPr>
        <w:t>of</w:t>
      </w:r>
      <w:r w:rsidR="00EE2651" w:rsidRPr="00696921">
        <w:rPr>
          <w:color w:val="000000" w:themeColor="text1"/>
        </w:rPr>
        <w:t xml:space="preserve"> an order made </w:t>
      </w:r>
      <w:r w:rsidR="00EE2651" w:rsidRPr="00696921">
        <w:rPr>
          <w:i/>
          <w:color w:val="000000" w:themeColor="text1"/>
        </w:rPr>
        <w:t>in absentia</w:t>
      </w:r>
      <w:r w:rsidR="00EE2651" w:rsidRPr="00696921">
        <w:rPr>
          <w:color w:val="000000" w:themeColor="text1"/>
        </w:rPr>
        <w:t xml:space="preserve"> by the Miskolc Court of Appeal, following his trial and conviction in </w:t>
      </w:r>
      <w:r w:rsidR="00EE2651" w:rsidRPr="00696921">
        <w:rPr>
          <w:i/>
          <w:color w:val="000000" w:themeColor="text1"/>
        </w:rPr>
        <w:t>absentia</w:t>
      </w:r>
      <w:r w:rsidR="00EE2651" w:rsidRPr="00696921">
        <w:rPr>
          <w:color w:val="000000" w:themeColor="text1"/>
        </w:rPr>
        <w:t xml:space="preserve"> in respect of the Child Support Offence. It was said that in these circumstances the </w:t>
      </w:r>
      <w:r w:rsidR="004853C4" w:rsidRPr="00696921">
        <w:rPr>
          <w:color w:val="000000" w:themeColor="text1"/>
        </w:rPr>
        <w:t xml:space="preserve">surrender </w:t>
      </w:r>
      <w:r w:rsidR="00EE2651" w:rsidRPr="00696921">
        <w:rPr>
          <w:color w:val="000000" w:themeColor="text1"/>
        </w:rPr>
        <w:t xml:space="preserve">of Mr </w:t>
      </w:r>
      <w:r w:rsidR="009007E7" w:rsidRPr="00696921">
        <w:rPr>
          <w:color w:val="000000" w:themeColor="text1"/>
        </w:rPr>
        <w:t>Siklósi</w:t>
      </w:r>
      <w:r w:rsidR="00EE2651" w:rsidRPr="00696921">
        <w:rPr>
          <w:color w:val="000000" w:themeColor="text1"/>
        </w:rPr>
        <w:t xml:space="preserve"> </w:t>
      </w:r>
      <w:r w:rsidR="004853C4" w:rsidRPr="00696921">
        <w:rPr>
          <w:color w:val="000000" w:themeColor="text1"/>
        </w:rPr>
        <w:t xml:space="preserve">would violate Article 4a of </w:t>
      </w:r>
      <w:r w:rsidR="00412758" w:rsidRPr="00696921">
        <w:rPr>
          <w:bCs/>
          <w:color w:val="000000" w:themeColor="text1"/>
        </w:rPr>
        <w:t>Council Framework Decision 2002/584/JHA of 13 June 2002 on the European Arrest Warrant and the Surrender Procedures between Member States (“</w:t>
      </w:r>
      <w:r w:rsidR="00412758" w:rsidRPr="00696921">
        <w:rPr>
          <w:bCs/>
          <w:i/>
          <w:color w:val="000000" w:themeColor="text1"/>
        </w:rPr>
        <w:t>the Framework Decision</w:t>
      </w:r>
      <w:r w:rsidR="00412758" w:rsidRPr="00696921">
        <w:rPr>
          <w:bCs/>
          <w:color w:val="000000" w:themeColor="text1"/>
        </w:rPr>
        <w:t xml:space="preserve">”) . </w:t>
      </w:r>
      <w:r w:rsidR="00412758" w:rsidRPr="00696921">
        <w:rPr>
          <w:color w:val="000000" w:themeColor="text1"/>
        </w:rPr>
        <w:t xml:space="preserve">Article 4a </w:t>
      </w:r>
      <w:r w:rsidR="0025475E" w:rsidRPr="00696921">
        <w:rPr>
          <w:color w:val="000000" w:themeColor="text1"/>
        </w:rPr>
        <w:t>of the Fr</w:t>
      </w:r>
      <w:r w:rsidRPr="00696921">
        <w:rPr>
          <w:color w:val="000000" w:themeColor="text1"/>
        </w:rPr>
        <w:t>amework Decision (</w:t>
      </w:r>
      <w:r w:rsidR="00412758" w:rsidRPr="00696921">
        <w:rPr>
          <w:color w:val="000000" w:themeColor="text1"/>
        </w:rPr>
        <w:t xml:space="preserve">inserted by Council </w:t>
      </w:r>
      <w:bookmarkStart w:id="12" w:name="_Hlk73855399"/>
      <w:r w:rsidR="00412758" w:rsidRPr="00696921">
        <w:rPr>
          <w:color w:val="000000" w:themeColor="text1"/>
        </w:rPr>
        <w:t xml:space="preserve">Framework Decision 2009/299/JHA </w:t>
      </w:r>
      <w:bookmarkEnd w:id="12"/>
      <w:r w:rsidR="00412758" w:rsidRPr="00696921">
        <w:rPr>
          <w:color w:val="000000" w:themeColor="text1"/>
        </w:rPr>
        <w:t>of 26 February 2009</w:t>
      </w:r>
      <w:r w:rsidRPr="00696921">
        <w:rPr>
          <w:color w:val="000000" w:themeColor="text1"/>
        </w:rPr>
        <w:t xml:space="preserve">) and </w:t>
      </w:r>
      <w:r w:rsidR="00412758" w:rsidRPr="00696921">
        <w:rPr>
          <w:color w:val="000000" w:themeColor="text1"/>
        </w:rPr>
        <w:t>S</w:t>
      </w:r>
      <w:r w:rsidR="00412758" w:rsidRPr="00696921">
        <w:rPr>
          <w:bCs/>
          <w:color w:val="000000" w:themeColor="text1"/>
        </w:rPr>
        <w:t xml:space="preserve">ection 45 of </w:t>
      </w:r>
      <w:r w:rsidR="00412758" w:rsidRPr="00696921">
        <w:rPr>
          <w:color w:val="000000" w:themeColor="text1"/>
        </w:rPr>
        <w:t>the European Arrest Warrant Act 2003 (as amended) (“</w:t>
      </w:r>
      <w:r w:rsidR="00412758" w:rsidRPr="00696921">
        <w:rPr>
          <w:i/>
          <w:color w:val="000000" w:themeColor="text1"/>
        </w:rPr>
        <w:t>the 2013 Act</w:t>
      </w:r>
      <w:r w:rsidR="00412758" w:rsidRPr="00696921">
        <w:rPr>
          <w:color w:val="000000" w:themeColor="text1"/>
        </w:rPr>
        <w:t xml:space="preserve">”) </w:t>
      </w:r>
      <w:r w:rsidRPr="00696921">
        <w:rPr>
          <w:color w:val="000000" w:themeColor="text1"/>
        </w:rPr>
        <w:t xml:space="preserve">which gives </w:t>
      </w:r>
      <w:r w:rsidR="00412758" w:rsidRPr="00696921">
        <w:rPr>
          <w:color w:val="000000" w:themeColor="text1"/>
        </w:rPr>
        <w:t xml:space="preserve">effect to </w:t>
      </w:r>
      <w:r w:rsidRPr="00696921">
        <w:rPr>
          <w:color w:val="000000" w:themeColor="text1"/>
        </w:rPr>
        <w:t xml:space="preserve">it </w:t>
      </w:r>
      <w:r w:rsidR="00412758" w:rsidRPr="00696921">
        <w:rPr>
          <w:color w:val="000000" w:themeColor="text1"/>
        </w:rPr>
        <w:t>in Irish law</w:t>
      </w:r>
      <w:r w:rsidRPr="00696921">
        <w:rPr>
          <w:color w:val="000000" w:themeColor="text1"/>
        </w:rPr>
        <w:t xml:space="preserve"> are discussed in detail in the Court’s judgment in </w:t>
      </w:r>
      <w:r w:rsidRPr="00696921">
        <w:rPr>
          <w:i/>
          <w:color w:val="000000" w:themeColor="text1"/>
        </w:rPr>
        <w:t>Szamota</w:t>
      </w:r>
      <w:r w:rsidR="00412758" w:rsidRPr="00696921">
        <w:rPr>
          <w:color w:val="000000" w:themeColor="text1"/>
        </w:rPr>
        <w:t xml:space="preserve">. </w:t>
      </w:r>
      <w:r w:rsidR="00EE2651" w:rsidRPr="00696921">
        <w:rPr>
          <w:color w:val="000000" w:themeColor="text1"/>
        </w:rPr>
        <w:t>It was also said that the Appellant’s surrender would be in breach of section 37 of the 2003 Act. While it appears from the Judgment that this point was not pressed, it does form the basis of one of the points of law subsequently certified by the Judge and was debated fully before this Court on appeal.</w:t>
      </w:r>
      <w:r w:rsidR="00107103" w:rsidRPr="00696921">
        <w:rPr>
          <w:color w:val="000000" w:themeColor="text1"/>
        </w:rPr>
        <w:t xml:space="preserve"> </w:t>
      </w:r>
      <w:r w:rsidR="00CF31B9" w:rsidRPr="00696921">
        <w:rPr>
          <w:color w:val="000000" w:themeColor="text1"/>
        </w:rPr>
        <w:t xml:space="preserve">Section 37 is also discussed in the Court’s judgment in </w:t>
      </w:r>
      <w:r w:rsidR="00CF31B9" w:rsidRPr="00696921">
        <w:rPr>
          <w:i/>
          <w:color w:val="000000" w:themeColor="text1"/>
        </w:rPr>
        <w:t>Szamota</w:t>
      </w:r>
      <w:r w:rsidR="00CF31B9" w:rsidRPr="00696921">
        <w:rPr>
          <w:color w:val="000000" w:themeColor="text1"/>
        </w:rPr>
        <w:t xml:space="preserve">. </w:t>
      </w:r>
      <w:r w:rsidR="00107103" w:rsidRPr="00696921">
        <w:rPr>
          <w:color w:val="000000" w:themeColor="text1"/>
        </w:rPr>
        <w:t>A</w:t>
      </w:r>
      <w:r w:rsidR="00412758" w:rsidRPr="00696921">
        <w:rPr>
          <w:color w:val="000000" w:themeColor="text1"/>
        </w:rPr>
        <w:t xml:space="preserve"> </w:t>
      </w:r>
      <w:r w:rsidR="00EE2651" w:rsidRPr="00696921">
        <w:rPr>
          <w:color w:val="000000" w:themeColor="text1"/>
        </w:rPr>
        <w:t>further</w:t>
      </w:r>
      <w:r w:rsidR="00412758" w:rsidRPr="00696921">
        <w:rPr>
          <w:color w:val="000000" w:themeColor="text1"/>
        </w:rPr>
        <w:t xml:space="preserve"> (and related) objection relied on the fact that th</w:t>
      </w:r>
      <w:r w:rsidR="00EE2651" w:rsidRPr="00696921">
        <w:rPr>
          <w:color w:val="000000" w:themeColor="text1"/>
        </w:rPr>
        <w:t xml:space="preserve">e </w:t>
      </w:r>
      <w:r w:rsidR="00EE2651" w:rsidRPr="00696921">
        <w:rPr>
          <w:i/>
          <w:color w:val="000000" w:themeColor="text1"/>
        </w:rPr>
        <w:t>“</w:t>
      </w:r>
      <w:r w:rsidR="00412758" w:rsidRPr="00696921">
        <w:rPr>
          <w:i/>
          <w:color w:val="000000" w:themeColor="text1"/>
        </w:rPr>
        <w:t>triggering conviction</w:t>
      </w:r>
      <w:r w:rsidR="00EE2651" w:rsidRPr="00696921">
        <w:rPr>
          <w:color w:val="000000" w:themeColor="text1"/>
        </w:rPr>
        <w:t>”</w:t>
      </w:r>
      <w:r w:rsidR="00412758" w:rsidRPr="00696921">
        <w:rPr>
          <w:color w:val="000000" w:themeColor="text1"/>
        </w:rPr>
        <w:t xml:space="preserve"> </w:t>
      </w:r>
      <w:r w:rsidR="00EE2651" w:rsidRPr="00696921">
        <w:rPr>
          <w:color w:val="000000" w:themeColor="text1"/>
        </w:rPr>
        <w:t xml:space="preserve">here </w:t>
      </w:r>
      <w:r w:rsidR="00412758" w:rsidRPr="00696921">
        <w:rPr>
          <w:color w:val="000000" w:themeColor="text1"/>
        </w:rPr>
        <w:t xml:space="preserve">was in respect of an offence for which Mr </w:t>
      </w:r>
      <w:proofErr w:type="spellStart"/>
      <w:r w:rsidR="009007E7" w:rsidRPr="00696921">
        <w:rPr>
          <w:color w:val="000000" w:themeColor="text1"/>
        </w:rPr>
        <w:t>Siklósi</w:t>
      </w:r>
      <w:r w:rsidR="00412758" w:rsidRPr="00696921">
        <w:rPr>
          <w:color w:val="000000" w:themeColor="text1"/>
        </w:rPr>
        <w:t>’s</w:t>
      </w:r>
      <w:proofErr w:type="spellEnd"/>
      <w:r w:rsidR="00412758" w:rsidRPr="00696921">
        <w:rPr>
          <w:color w:val="000000" w:themeColor="text1"/>
        </w:rPr>
        <w:t xml:space="preserve"> surrender had previously been requested but refused</w:t>
      </w:r>
      <w:r w:rsidR="00EE2651" w:rsidRPr="00696921">
        <w:rPr>
          <w:color w:val="000000" w:themeColor="text1"/>
        </w:rPr>
        <w:t xml:space="preserve"> on the basis of absence </w:t>
      </w:r>
      <w:r w:rsidR="001253C8" w:rsidRPr="00696921">
        <w:rPr>
          <w:color w:val="000000" w:themeColor="text1"/>
        </w:rPr>
        <w:t xml:space="preserve">of correspondence. </w:t>
      </w:r>
    </w:p>
    <w:p w14:paraId="55AF0A98" w14:textId="77777777" w:rsidR="007F67E5" w:rsidRPr="00696921" w:rsidRDefault="007F67E5" w:rsidP="007F67E5">
      <w:pPr>
        <w:pStyle w:val="ListParagraph"/>
        <w:spacing w:line="480" w:lineRule="auto"/>
        <w:jc w:val="both"/>
        <w:rPr>
          <w:color w:val="000000" w:themeColor="text1"/>
        </w:rPr>
      </w:pPr>
    </w:p>
    <w:p w14:paraId="37364E99" w14:textId="5FCCCBEC" w:rsidR="007F67E5" w:rsidRPr="00696921" w:rsidRDefault="00810592" w:rsidP="004623C3">
      <w:pPr>
        <w:pStyle w:val="ListParagraph"/>
        <w:numPr>
          <w:ilvl w:val="0"/>
          <w:numId w:val="1"/>
        </w:numPr>
        <w:spacing w:line="480" w:lineRule="auto"/>
        <w:ind w:hanging="720"/>
        <w:jc w:val="both"/>
        <w:rPr>
          <w:color w:val="000000" w:themeColor="text1"/>
        </w:rPr>
      </w:pPr>
      <w:r w:rsidRPr="00696921">
        <w:rPr>
          <w:color w:val="000000" w:themeColor="text1"/>
        </w:rPr>
        <w:t>Each</w:t>
      </w:r>
      <w:r w:rsidR="007F67E5" w:rsidRPr="00696921">
        <w:rPr>
          <w:color w:val="000000" w:themeColor="text1"/>
        </w:rPr>
        <w:t xml:space="preserve"> of these objections were rejected</w:t>
      </w:r>
      <w:r w:rsidR="001253C8" w:rsidRPr="00696921">
        <w:rPr>
          <w:color w:val="000000" w:themeColor="text1"/>
        </w:rPr>
        <w:t xml:space="preserve">, the </w:t>
      </w:r>
      <w:r w:rsidR="007F67E5" w:rsidRPr="00696921">
        <w:rPr>
          <w:color w:val="000000" w:themeColor="text1"/>
        </w:rPr>
        <w:t>Judge t</w:t>
      </w:r>
      <w:r w:rsidR="001253C8" w:rsidRPr="00696921">
        <w:rPr>
          <w:color w:val="000000" w:themeColor="text1"/>
        </w:rPr>
        <w:t xml:space="preserve">aking </w:t>
      </w:r>
      <w:r w:rsidR="007F67E5" w:rsidRPr="00696921">
        <w:rPr>
          <w:color w:val="000000" w:themeColor="text1"/>
        </w:rPr>
        <w:t>the v</w:t>
      </w:r>
      <w:r w:rsidRPr="00696921">
        <w:rPr>
          <w:color w:val="000000" w:themeColor="text1"/>
        </w:rPr>
        <w:t xml:space="preserve">iew that the </w:t>
      </w:r>
      <w:r w:rsidR="001253C8" w:rsidRPr="00696921">
        <w:rPr>
          <w:color w:val="000000" w:themeColor="text1"/>
        </w:rPr>
        <w:t xml:space="preserve">objections were completely </w:t>
      </w:r>
      <w:r w:rsidRPr="00696921">
        <w:rPr>
          <w:color w:val="000000" w:themeColor="text1"/>
        </w:rPr>
        <w:t xml:space="preserve">answered by the decision </w:t>
      </w:r>
      <w:r w:rsidR="001253C8" w:rsidRPr="00696921">
        <w:rPr>
          <w:color w:val="000000" w:themeColor="text1"/>
        </w:rPr>
        <w:t xml:space="preserve">in </w:t>
      </w:r>
      <w:r w:rsidR="001253C8" w:rsidRPr="00696921">
        <w:rPr>
          <w:i/>
          <w:color w:val="000000" w:themeColor="text1"/>
        </w:rPr>
        <w:t>Ardic</w:t>
      </w:r>
      <w:r w:rsidR="001253C8" w:rsidRPr="00696921">
        <w:rPr>
          <w:color w:val="000000" w:themeColor="text1"/>
        </w:rPr>
        <w:t>. He</w:t>
      </w:r>
      <w:r w:rsidR="00451156" w:rsidRPr="00696921">
        <w:rPr>
          <w:color w:val="000000" w:themeColor="text1"/>
        </w:rPr>
        <w:t xml:space="preserve"> explained that he had considered </w:t>
      </w:r>
      <w:r w:rsidR="001253C8" w:rsidRPr="00696921">
        <w:rPr>
          <w:color w:val="000000" w:themeColor="text1"/>
        </w:rPr>
        <w:t xml:space="preserve">similar </w:t>
      </w:r>
      <w:r w:rsidR="00451156" w:rsidRPr="00696921">
        <w:rPr>
          <w:color w:val="000000" w:themeColor="text1"/>
        </w:rPr>
        <w:t>objection</w:t>
      </w:r>
      <w:r w:rsidR="001253C8" w:rsidRPr="00696921">
        <w:rPr>
          <w:color w:val="000000" w:themeColor="text1"/>
        </w:rPr>
        <w:t>s</w:t>
      </w:r>
      <w:r w:rsidR="00451156" w:rsidRPr="00696921">
        <w:rPr>
          <w:color w:val="000000" w:themeColor="text1"/>
        </w:rPr>
        <w:t xml:space="preserve"> in </w:t>
      </w:r>
      <w:r w:rsidR="00451156" w:rsidRPr="00696921">
        <w:rPr>
          <w:i/>
          <w:color w:val="000000" w:themeColor="text1"/>
        </w:rPr>
        <w:t>Minister for Justice and Equality v Szamota</w:t>
      </w:r>
      <w:r w:rsidR="00451156" w:rsidRPr="00696921">
        <w:rPr>
          <w:color w:val="000000" w:themeColor="text1"/>
        </w:rPr>
        <w:t xml:space="preserve"> [2020] IEHC 606 and had concluded that, for the reasons identified by the Court of Justice in </w:t>
      </w:r>
      <w:r w:rsidR="00451156" w:rsidRPr="00696921">
        <w:rPr>
          <w:i/>
          <w:color w:val="000000" w:themeColor="text1"/>
        </w:rPr>
        <w:t>Ardic</w:t>
      </w:r>
      <w:r w:rsidR="00451156" w:rsidRPr="00696921">
        <w:rPr>
          <w:color w:val="000000" w:themeColor="text1"/>
        </w:rPr>
        <w:t xml:space="preserve">, the High Court was not bound to inquire into the circumstances in which the suspension of a sentence was revoked. Such proceedings </w:t>
      </w:r>
      <w:r w:rsidR="001253C8" w:rsidRPr="00696921">
        <w:rPr>
          <w:color w:val="000000" w:themeColor="text1"/>
        </w:rPr>
        <w:t>were</w:t>
      </w:r>
      <w:r w:rsidR="00451156" w:rsidRPr="00696921">
        <w:rPr>
          <w:color w:val="000000" w:themeColor="text1"/>
        </w:rPr>
        <w:t xml:space="preserve"> not “</w:t>
      </w:r>
      <w:r w:rsidR="00451156" w:rsidRPr="00696921">
        <w:rPr>
          <w:i/>
          <w:color w:val="000000" w:themeColor="text1"/>
        </w:rPr>
        <w:t>the trial resulting in the decision</w:t>
      </w:r>
      <w:r w:rsidR="00451156" w:rsidRPr="00696921">
        <w:rPr>
          <w:color w:val="000000" w:themeColor="text1"/>
        </w:rPr>
        <w:t>” for the purpose of Article 4a/section 45; the trial for that purpose was the trial before the County Court of Borsod-Abaúj Zemplén resulting in the decision of 19 April 2007</w:t>
      </w:r>
      <w:r w:rsidR="004623C3" w:rsidRPr="00696921">
        <w:rPr>
          <w:color w:val="000000" w:themeColor="text1"/>
        </w:rPr>
        <w:t xml:space="preserve">. The </w:t>
      </w:r>
      <w:r w:rsidR="00451156" w:rsidRPr="00696921">
        <w:rPr>
          <w:color w:val="000000" w:themeColor="text1"/>
        </w:rPr>
        <w:t xml:space="preserve"> </w:t>
      </w:r>
      <w:r w:rsidR="004623C3" w:rsidRPr="00696921">
        <w:rPr>
          <w:color w:val="000000" w:themeColor="text1"/>
        </w:rPr>
        <w:t xml:space="preserve">requirements of Article 4a/section 45 had been fully met as regards that decision </w:t>
      </w:r>
      <w:r w:rsidR="00451156" w:rsidRPr="00696921">
        <w:rPr>
          <w:color w:val="000000" w:themeColor="text1"/>
        </w:rPr>
        <w:t>(</w:t>
      </w:r>
      <w:r w:rsidR="004623C3" w:rsidRPr="00696921">
        <w:rPr>
          <w:color w:val="000000" w:themeColor="text1"/>
        </w:rPr>
        <w:t xml:space="preserve">Judgment, </w:t>
      </w:r>
      <w:r w:rsidR="00451156" w:rsidRPr="00696921">
        <w:rPr>
          <w:color w:val="000000" w:themeColor="text1"/>
        </w:rPr>
        <w:t xml:space="preserve">para 26). </w:t>
      </w:r>
      <w:r w:rsidR="001253C8" w:rsidRPr="00696921">
        <w:rPr>
          <w:color w:val="000000" w:themeColor="text1"/>
        </w:rPr>
        <w:t xml:space="preserve">In light of </w:t>
      </w:r>
      <w:r w:rsidR="001253C8" w:rsidRPr="00696921">
        <w:rPr>
          <w:i/>
          <w:color w:val="000000" w:themeColor="text1"/>
        </w:rPr>
        <w:t>Ardic</w:t>
      </w:r>
      <w:r w:rsidR="001253C8" w:rsidRPr="00696921">
        <w:rPr>
          <w:color w:val="000000" w:themeColor="text1"/>
        </w:rPr>
        <w:t xml:space="preserve">, it was </w:t>
      </w:r>
      <w:r w:rsidR="00107103" w:rsidRPr="00696921">
        <w:rPr>
          <w:i/>
          <w:color w:val="000000" w:themeColor="text1"/>
        </w:rPr>
        <w:t>nihil ad rem</w:t>
      </w:r>
      <w:r w:rsidR="001253C8" w:rsidRPr="00696921">
        <w:rPr>
          <w:color w:val="000000" w:themeColor="text1"/>
        </w:rPr>
        <w:t xml:space="preserve"> </w:t>
      </w:r>
      <w:r w:rsidR="00107103" w:rsidRPr="00696921">
        <w:rPr>
          <w:color w:val="000000" w:themeColor="text1"/>
        </w:rPr>
        <w:t xml:space="preserve"> that the matter that had triggered the revocation of the suspension of sentence was not an offence in Irish law: it could be viewed </w:t>
      </w:r>
      <w:r w:rsidR="00107103" w:rsidRPr="00696921">
        <w:rPr>
          <w:i/>
          <w:color w:val="000000" w:themeColor="text1"/>
        </w:rPr>
        <w:t>“simply as a violation of the conditions under which the sentence was suspended”</w:t>
      </w:r>
      <w:r w:rsidR="00107103" w:rsidRPr="00696921">
        <w:rPr>
          <w:color w:val="000000" w:themeColor="text1"/>
        </w:rPr>
        <w:t xml:space="preserve"> (Judgment, para 27).</w:t>
      </w:r>
    </w:p>
    <w:p w14:paraId="39721435" w14:textId="77777777" w:rsidR="00107103" w:rsidRPr="00696921" w:rsidRDefault="00107103" w:rsidP="00107103">
      <w:pPr>
        <w:pStyle w:val="ListParagraph"/>
        <w:spacing w:line="480" w:lineRule="auto"/>
        <w:jc w:val="both"/>
        <w:rPr>
          <w:color w:val="000000" w:themeColor="text1"/>
        </w:rPr>
      </w:pPr>
    </w:p>
    <w:p w14:paraId="687DF9D0" w14:textId="00E2DAE2" w:rsidR="00107103" w:rsidRPr="00696921" w:rsidRDefault="001253C8" w:rsidP="004623C3">
      <w:pPr>
        <w:pStyle w:val="ListParagraph"/>
        <w:numPr>
          <w:ilvl w:val="0"/>
          <w:numId w:val="1"/>
        </w:numPr>
        <w:spacing w:line="480" w:lineRule="auto"/>
        <w:ind w:hanging="720"/>
        <w:jc w:val="both"/>
        <w:rPr>
          <w:color w:val="000000" w:themeColor="text1"/>
        </w:rPr>
      </w:pPr>
      <w:r w:rsidRPr="00696921">
        <w:rPr>
          <w:color w:val="000000" w:themeColor="text1"/>
        </w:rPr>
        <w:t xml:space="preserve">A number of other </w:t>
      </w:r>
      <w:r w:rsidR="00107103" w:rsidRPr="00696921">
        <w:rPr>
          <w:color w:val="000000" w:themeColor="text1"/>
        </w:rPr>
        <w:t>objection</w:t>
      </w:r>
      <w:r w:rsidRPr="00696921">
        <w:rPr>
          <w:color w:val="000000" w:themeColor="text1"/>
        </w:rPr>
        <w:t>s</w:t>
      </w:r>
      <w:r w:rsidR="00107103" w:rsidRPr="00696921">
        <w:rPr>
          <w:color w:val="000000" w:themeColor="text1"/>
        </w:rPr>
        <w:t xml:space="preserve"> to surrender w</w:t>
      </w:r>
      <w:r w:rsidRPr="00696921">
        <w:rPr>
          <w:color w:val="000000" w:themeColor="text1"/>
        </w:rPr>
        <w:t xml:space="preserve">ere made which the Judge considered and </w:t>
      </w:r>
      <w:r w:rsidR="00696921" w:rsidRPr="00696921">
        <w:rPr>
          <w:color w:val="000000" w:themeColor="text1"/>
        </w:rPr>
        <w:t xml:space="preserve">also </w:t>
      </w:r>
      <w:r w:rsidRPr="00696921">
        <w:rPr>
          <w:color w:val="000000" w:themeColor="text1"/>
        </w:rPr>
        <w:t>rejected. One was that</w:t>
      </w:r>
      <w:r w:rsidR="00107103" w:rsidRPr="00696921">
        <w:rPr>
          <w:color w:val="000000" w:themeColor="text1"/>
        </w:rPr>
        <w:t xml:space="preserve"> the surrender of Mr </w:t>
      </w:r>
      <w:r w:rsidR="009007E7" w:rsidRPr="00696921">
        <w:rPr>
          <w:color w:val="000000" w:themeColor="text1"/>
        </w:rPr>
        <w:t>Siklósi</w:t>
      </w:r>
      <w:r w:rsidR="00107103" w:rsidRPr="00696921">
        <w:rPr>
          <w:color w:val="000000" w:themeColor="text1"/>
        </w:rPr>
        <w:t xml:space="preserve"> would be an abuse of process having regard to the previous decision of the High Court (Donnelly J) to refuse his surrender in respect of the same offences. The Judge rejected that objection. He was satisfied that the issue of a second EAW in respect of the same offences was not in itself an abuse of process. He surmised that there may have been a degree of </w:t>
      </w:r>
      <w:r w:rsidR="003310D7" w:rsidRPr="00696921">
        <w:rPr>
          <w:color w:val="000000" w:themeColor="text1"/>
        </w:rPr>
        <w:t>confusion leading to the previous refusal – Donnelly J had been under the impression that a retrial had been ordered when in fact the conviction was being reviewed and ultimately that review had not resulted in a ret</w:t>
      </w:r>
      <w:r w:rsidR="001E36C5" w:rsidRPr="00696921">
        <w:rPr>
          <w:color w:val="000000" w:themeColor="text1"/>
        </w:rPr>
        <w:t>rial</w:t>
      </w:r>
      <w:r w:rsidR="003310D7" w:rsidRPr="00696921">
        <w:rPr>
          <w:color w:val="000000" w:themeColor="text1"/>
        </w:rPr>
        <w:t xml:space="preserve"> being directed. It followed that Mr </w:t>
      </w:r>
      <w:r w:rsidR="009007E7" w:rsidRPr="00696921">
        <w:rPr>
          <w:color w:val="000000" w:themeColor="text1"/>
        </w:rPr>
        <w:t>Siklósi</w:t>
      </w:r>
      <w:r w:rsidR="003310D7" w:rsidRPr="00696921">
        <w:rPr>
          <w:color w:val="000000" w:themeColor="text1"/>
        </w:rPr>
        <w:t xml:space="preserve"> was requi</w:t>
      </w:r>
      <w:r w:rsidR="001E36C5" w:rsidRPr="00696921">
        <w:rPr>
          <w:color w:val="000000" w:themeColor="text1"/>
        </w:rPr>
        <w:t>r</w:t>
      </w:r>
      <w:r w:rsidR="003310D7" w:rsidRPr="00696921">
        <w:rPr>
          <w:color w:val="000000" w:themeColor="text1"/>
        </w:rPr>
        <w:t>ed to serve the sentence that had been imposed on him and his surrender for that purpose would not amount to an abuse of process (Judgment, paras 28 and 29). The Judge also rejected an argument that the IJA’s failure to provide any information (when advancing the EAW) regarding the previous unsuccessful application for surrender was an abuse</w:t>
      </w:r>
      <w:r w:rsidR="001E36C5" w:rsidRPr="00696921">
        <w:rPr>
          <w:color w:val="000000" w:themeColor="text1"/>
        </w:rPr>
        <w:t>.</w:t>
      </w:r>
      <w:r w:rsidR="003310D7" w:rsidRPr="00696921">
        <w:rPr>
          <w:color w:val="000000" w:themeColor="text1"/>
        </w:rPr>
        <w:t xml:space="preserve"> The decision of Donnelly J had been sufficiently brought to the notice of the High Court and was not in any event a bar to surrender in light of changed circumstances (Judgement, para 30).</w:t>
      </w:r>
    </w:p>
    <w:p w14:paraId="43E5821F" w14:textId="77777777" w:rsidR="003310D7" w:rsidRPr="00696921" w:rsidRDefault="003310D7" w:rsidP="003310D7">
      <w:pPr>
        <w:pStyle w:val="ListParagraph"/>
        <w:spacing w:line="480" w:lineRule="auto"/>
        <w:jc w:val="both"/>
        <w:rPr>
          <w:color w:val="000000" w:themeColor="text1"/>
        </w:rPr>
      </w:pPr>
    </w:p>
    <w:p w14:paraId="56BDA5C5" w14:textId="562E4D87" w:rsidR="003310D7" w:rsidRPr="00696921" w:rsidRDefault="00B55A00" w:rsidP="00C83A2C">
      <w:pPr>
        <w:pStyle w:val="ListParagraph"/>
        <w:numPr>
          <w:ilvl w:val="0"/>
          <w:numId w:val="1"/>
        </w:numPr>
        <w:spacing w:line="480" w:lineRule="auto"/>
        <w:ind w:hanging="720"/>
        <w:jc w:val="both"/>
        <w:rPr>
          <w:color w:val="000000" w:themeColor="text1"/>
        </w:rPr>
      </w:pPr>
      <w:r w:rsidRPr="00696921">
        <w:rPr>
          <w:color w:val="000000" w:themeColor="text1"/>
        </w:rPr>
        <w:t xml:space="preserve">A further objection was </w:t>
      </w:r>
      <w:r w:rsidR="003310D7" w:rsidRPr="00696921">
        <w:rPr>
          <w:color w:val="000000" w:themeColor="text1"/>
        </w:rPr>
        <w:t>that the lapse of time since the 2005 Offences had occurred, taken together with the other factors</w:t>
      </w:r>
      <w:r w:rsidR="004B1EE7" w:rsidRPr="00696921">
        <w:rPr>
          <w:color w:val="000000" w:themeColor="text1"/>
        </w:rPr>
        <w:t xml:space="preserve"> just</w:t>
      </w:r>
      <w:r w:rsidR="003310D7" w:rsidRPr="00696921">
        <w:rPr>
          <w:color w:val="000000" w:themeColor="text1"/>
        </w:rPr>
        <w:t xml:space="preserve"> referred to, </w:t>
      </w:r>
      <w:r w:rsidR="00C83A2C" w:rsidRPr="00696921">
        <w:rPr>
          <w:color w:val="000000" w:themeColor="text1"/>
        </w:rPr>
        <w:t xml:space="preserve">meant that surrender would be </w:t>
      </w:r>
      <w:r w:rsidR="003310D7" w:rsidRPr="00696921">
        <w:rPr>
          <w:color w:val="000000" w:themeColor="text1"/>
        </w:rPr>
        <w:t>an abuse</w:t>
      </w:r>
      <w:r w:rsidR="00C83A2C" w:rsidRPr="00696921">
        <w:rPr>
          <w:color w:val="000000" w:themeColor="text1"/>
        </w:rPr>
        <w:t xml:space="preserve"> of process. Rejecting that argument, the Judge distinguished the decision of the Supreme Court in </w:t>
      </w:r>
      <w:r w:rsidR="00C83A2C" w:rsidRPr="00696921">
        <w:rPr>
          <w:i/>
          <w:color w:val="000000" w:themeColor="text1"/>
        </w:rPr>
        <w:t>Minister for Equality and Law Reform v JAT (No 2</w:t>
      </w:r>
      <w:r w:rsidR="00C83A2C" w:rsidRPr="00696921">
        <w:rPr>
          <w:color w:val="000000" w:themeColor="text1"/>
        </w:rPr>
        <w:t>) [2016] IESC 17</w:t>
      </w:r>
      <w:r w:rsidR="00D96427" w:rsidRPr="00696921">
        <w:rPr>
          <w:color w:val="000000" w:themeColor="text1"/>
        </w:rPr>
        <w:t>,</w:t>
      </w:r>
      <w:r w:rsidR="00C83A2C" w:rsidRPr="00696921">
        <w:rPr>
          <w:color w:val="000000" w:themeColor="text1"/>
        </w:rPr>
        <w:t xml:space="preserve"> [2016] 2 ILRM 262) (Judgment, para 31). That decision is considered further below. </w:t>
      </w:r>
    </w:p>
    <w:p w14:paraId="448D4D7C" w14:textId="77777777" w:rsidR="00C83A2C" w:rsidRPr="00696921" w:rsidRDefault="00C83A2C" w:rsidP="00C83A2C">
      <w:pPr>
        <w:pStyle w:val="ListParagraph"/>
        <w:spacing w:line="480" w:lineRule="auto"/>
        <w:jc w:val="both"/>
        <w:rPr>
          <w:color w:val="000000" w:themeColor="text1"/>
        </w:rPr>
      </w:pPr>
    </w:p>
    <w:p w14:paraId="7BE25C7E" w14:textId="77777777" w:rsidR="00C83A2C" w:rsidRPr="00696921" w:rsidRDefault="00C83A2C" w:rsidP="00C83A2C">
      <w:pPr>
        <w:pStyle w:val="ListParagraph"/>
        <w:numPr>
          <w:ilvl w:val="0"/>
          <w:numId w:val="1"/>
        </w:numPr>
        <w:spacing w:line="480" w:lineRule="auto"/>
        <w:ind w:hanging="720"/>
        <w:jc w:val="both"/>
        <w:rPr>
          <w:color w:val="000000" w:themeColor="text1"/>
        </w:rPr>
      </w:pPr>
      <w:r w:rsidRPr="00696921">
        <w:rPr>
          <w:color w:val="000000" w:themeColor="text1"/>
        </w:rPr>
        <w:t xml:space="preserve">Next, it was argued that the EAW was insufficient and did not comply with section 11 of the 2003 Act and a related argument was advanced that surrender should be dismissed on grounds of lack of clarity, by analogy with the decision of the Supreme Court in </w:t>
      </w:r>
      <w:r w:rsidRPr="00696921">
        <w:rPr>
          <w:i/>
          <w:color w:val="000000" w:themeColor="text1"/>
        </w:rPr>
        <w:t>Minister for Justice and Equality v Herman</w:t>
      </w:r>
      <w:r w:rsidRPr="00696921">
        <w:rPr>
          <w:color w:val="000000" w:themeColor="text1"/>
        </w:rPr>
        <w:t xml:space="preserve"> [2015] IESC 49. These arguments were rejected by the Judge on the basis that, whatever the position initially, there was sufficient clarity as to all matters necessary to determine the application for surrender (Judgment, paras 32 – 34). </w:t>
      </w:r>
    </w:p>
    <w:p w14:paraId="360354CC" w14:textId="77777777" w:rsidR="00C83A2C" w:rsidRPr="00696921" w:rsidRDefault="00C83A2C" w:rsidP="00C83A2C">
      <w:pPr>
        <w:pStyle w:val="ListParagraph"/>
        <w:spacing w:line="480" w:lineRule="auto"/>
        <w:jc w:val="both"/>
        <w:rPr>
          <w:color w:val="000000" w:themeColor="text1"/>
        </w:rPr>
      </w:pPr>
    </w:p>
    <w:p w14:paraId="38D8D5E0" w14:textId="25852DDD" w:rsidR="00C83A2C" w:rsidRPr="00696921" w:rsidRDefault="00C83A2C" w:rsidP="00C83A2C">
      <w:pPr>
        <w:pStyle w:val="ListParagraph"/>
        <w:numPr>
          <w:ilvl w:val="0"/>
          <w:numId w:val="1"/>
        </w:numPr>
        <w:spacing w:line="480" w:lineRule="auto"/>
        <w:ind w:hanging="720"/>
        <w:jc w:val="both"/>
        <w:rPr>
          <w:color w:val="000000" w:themeColor="text1"/>
        </w:rPr>
      </w:pPr>
      <w:r w:rsidRPr="00696921">
        <w:rPr>
          <w:color w:val="000000" w:themeColor="text1"/>
        </w:rPr>
        <w:t xml:space="preserve">Finally, the Judge rejected an objection by reference to the </w:t>
      </w:r>
      <w:r w:rsidR="00BF55F9" w:rsidRPr="00696921">
        <w:rPr>
          <w:color w:val="000000" w:themeColor="text1"/>
        </w:rPr>
        <w:t>civil rights position in Hungary on the basis that the evidence before the Court was not capable of sustaining any such objection (Judgment, para 35).</w:t>
      </w:r>
      <w:r w:rsidR="003F15EA" w:rsidRPr="00696921">
        <w:rPr>
          <w:color w:val="000000" w:themeColor="text1"/>
        </w:rPr>
        <w:t xml:space="preserve"> This objection was not pursued on appeal and no more will be said about it. </w:t>
      </w:r>
    </w:p>
    <w:p w14:paraId="7191BBF4" w14:textId="77777777" w:rsidR="00BF55F9" w:rsidRPr="00696921" w:rsidRDefault="001E36C5" w:rsidP="005A1B86">
      <w:pPr>
        <w:spacing w:after="160" w:line="259" w:lineRule="auto"/>
        <w:rPr>
          <w:color w:val="000000" w:themeColor="text1"/>
        </w:rPr>
      </w:pPr>
      <w:r w:rsidRPr="00696921">
        <w:rPr>
          <w:color w:val="000000" w:themeColor="text1"/>
        </w:rPr>
        <w:br w:type="page"/>
      </w:r>
    </w:p>
    <w:p w14:paraId="7EE467B6" w14:textId="77777777" w:rsidR="00BF55F9" w:rsidRPr="00696921" w:rsidRDefault="00BF55F9" w:rsidP="00BF55F9">
      <w:pPr>
        <w:pStyle w:val="ListParagraph"/>
        <w:spacing w:line="480" w:lineRule="auto"/>
        <w:ind w:left="0"/>
        <w:jc w:val="center"/>
        <w:rPr>
          <w:b/>
          <w:color w:val="000000" w:themeColor="text1"/>
        </w:rPr>
      </w:pPr>
      <w:r w:rsidRPr="00696921">
        <w:rPr>
          <w:b/>
          <w:color w:val="000000" w:themeColor="text1"/>
        </w:rPr>
        <w:t>APPEAL</w:t>
      </w:r>
    </w:p>
    <w:p w14:paraId="1B6BBCDC" w14:textId="77777777" w:rsidR="00BF55F9" w:rsidRPr="00696921" w:rsidRDefault="00BF55F9" w:rsidP="00BF55F9">
      <w:pPr>
        <w:pStyle w:val="ListParagraph"/>
        <w:spacing w:line="480" w:lineRule="auto"/>
        <w:jc w:val="both"/>
        <w:rPr>
          <w:color w:val="000000" w:themeColor="text1"/>
        </w:rPr>
      </w:pPr>
    </w:p>
    <w:p w14:paraId="0F39149F" w14:textId="77777777" w:rsidR="005A1B86" w:rsidRPr="00696921" w:rsidRDefault="005A1B86" w:rsidP="00BF55F9">
      <w:pPr>
        <w:pStyle w:val="ListParagraph"/>
        <w:spacing w:line="480" w:lineRule="auto"/>
        <w:jc w:val="both"/>
        <w:rPr>
          <w:b/>
          <w:i/>
          <w:color w:val="000000" w:themeColor="text1"/>
        </w:rPr>
      </w:pPr>
      <w:r w:rsidRPr="00696921">
        <w:rPr>
          <w:b/>
          <w:i/>
          <w:color w:val="000000" w:themeColor="text1"/>
        </w:rPr>
        <w:t xml:space="preserve">The Certified Points of Law </w:t>
      </w:r>
    </w:p>
    <w:p w14:paraId="1BD8E34B" w14:textId="77777777" w:rsidR="005A1B86" w:rsidRPr="00696921" w:rsidRDefault="005A1B86" w:rsidP="00BF55F9">
      <w:pPr>
        <w:pStyle w:val="ListParagraph"/>
        <w:spacing w:line="480" w:lineRule="auto"/>
        <w:jc w:val="both"/>
        <w:rPr>
          <w:color w:val="000000" w:themeColor="text1"/>
        </w:rPr>
      </w:pPr>
    </w:p>
    <w:p w14:paraId="6A946B51" w14:textId="162F8B8A" w:rsidR="00BF55F9" w:rsidRPr="00696921" w:rsidRDefault="00BF55F9" w:rsidP="00C83A2C">
      <w:pPr>
        <w:pStyle w:val="ListParagraph"/>
        <w:numPr>
          <w:ilvl w:val="0"/>
          <w:numId w:val="1"/>
        </w:numPr>
        <w:spacing w:line="480" w:lineRule="auto"/>
        <w:ind w:hanging="720"/>
        <w:jc w:val="both"/>
        <w:rPr>
          <w:color w:val="000000" w:themeColor="text1"/>
        </w:rPr>
      </w:pPr>
      <w:r w:rsidRPr="00696921">
        <w:rPr>
          <w:color w:val="000000" w:themeColor="text1"/>
        </w:rPr>
        <w:t xml:space="preserve">Subsequently, </w:t>
      </w:r>
      <w:r w:rsidR="00C91D91" w:rsidRPr="00696921">
        <w:rPr>
          <w:color w:val="000000" w:themeColor="text1"/>
        </w:rPr>
        <w:t>Binchy J w</w:t>
      </w:r>
      <w:r w:rsidRPr="00696921">
        <w:rPr>
          <w:color w:val="000000" w:themeColor="text1"/>
        </w:rPr>
        <w:t xml:space="preserve">as persuaded to give a certificate pursuant to section 16(11) of the 2003 Act permitting Mr </w:t>
      </w:r>
      <w:r w:rsidR="009007E7" w:rsidRPr="00696921">
        <w:rPr>
          <w:color w:val="000000" w:themeColor="text1"/>
        </w:rPr>
        <w:t>Siklósi</w:t>
      </w:r>
      <w:r w:rsidRPr="00696921">
        <w:rPr>
          <w:color w:val="000000" w:themeColor="text1"/>
        </w:rPr>
        <w:t xml:space="preserve"> to pursue an appeal to this Court. </w:t>
      </w:r>
      <w:r w:rsidR="009A374F" w:rsidRPr="00696921">
        <w:rPr>
          <w:color w:val="000000" w:themeColor="text1"/>
        </w:rPr>
        <w:t>The following t</w:t>
      </w:r>
      <w:r w:rsidRPr="00696921">
        <w:rPr>
          <w:color w:val="000000" w:themeColor="text1"/>
        </w:rPr>
        <w:t>hree points of law of exceptional public interest are identified in the High Court</w:t>
      </w:r>
      <w:r w:rsidR="009A374F" w:rsidRPr="00696921">
        <w:rPr>
          <w:color w:val="000000" w:themeColor="text1"/>
        </w:rPr>
        <w:t>’s</w:t>
      </w:r>
      <w:r w:rsidRPr="00696921">
        <w:rPr>
          <w:color w:val="000000" w:themeColor="text1"/>
        </w:rPr>
        <w:t xml:space="preserve"> Order of 18 December 2020</w:t>
      </w:r>
      <w:r w:rsidR="001253C8" w:rsidRPr="00696921">
        <w:rPr>
          <w:color w:val="000000" w:themeColor="text1"/>
        </w:rPr>
        <w:t>:</w:t>
      </w:r>
    </w:p>
    <w:p w14:paraId="5AE5EFAB" w14:textId="77777777" w:rsidR="00BF55F9" w:rsidRPr="00696921" w:rsidRDefault="00BF55F9" w:rsidP="00BF55F9">
      <w:pPr>
        <w:pStyle w:val="ListParagraph"/>
        <w:spacing w:line="480" w:lineRule="auto"/>
        <w:jc w:val="both"/>
        <w:rPr>
          <w:color w:val="000000" w:themeColor="text1"/>
        </w:rPr>
      </w:pPr>
    </w:p>
    <w:p w14:paraId="42286CE1" w14:textId="77777777" w:rsidR="00BF55F9" w:rsidRPr="00696921" w:rsidRDefault="00BF55F9" w:rsidP="00BF55F9">
      <w:pPr>
        <w:pStyle w:val="ListParagraph"/>
        <w:spacing w:line="480" w:lineRule="auto"/>
        <w:ind w:left="1418"/>
        <w:jc w:val="both"/>
        <w:rPr>
          <w:i/>
          <w:color w:val="000000" w:themeColor="text1"/>
        </w:rPr>
      </w:pPr>
      <w:r w:rsidRPr="00696921">
        <w:rPr>
          <w:i/>
          <w:color w:val="000000" w:themeColor="text1"/>
        </w:rPr>
        <w:t>“1. If the requested person has been found guilty in final proceedings conducted in his absence but in the presence of his lawyer and has had imposed on him a custodial sentence, the execution of which has been suspended subject to certain conditions, do either the</w:t>
      </w:r>
    </w:p>
    <w:p w14:paraId="23E5D3F3" w14:textId="77777777" w:rsidR="00BF55F9" w:rsidRPr="00696921" w:rsidRDefault="00BF55F9" w:rsidP="00BF55F9">
      <w:pPr>
        <w:pStyle w:val="ListParagraph"/>
        <w:spacing w:line="480" w:lineRule="auto"/>
        <w:ind w:left="1418"/>
        <w:jc w:val="both"/>
        <w:rPr>
          <w:i/>
          <w:color w:val="000000" w:themeColor="text1"/>
        </w:rPr>
      </w:pPr>
    </w:p>
    <w:p w14:paraId="4300CD72" w14:textId="77777777" w:rsidR="00BF55F9" w:rsidRPr="00696921" w:rsidRDefault="00BF55F9" w:rsidP="00BF55F9">
      <w:pPr>
        <w:pStyle w:val="ListParagraph"/>
        <w:spacing w:line="480" w:lineRule="auto"/>
        <w:ind w:left="1418"/>
        <w:jc w:val="both"/>
        <w:rPr>
          <w:i/>
          <w:color w:val="000000" w:themeColor="text1"/>
        </w:rPr>
      </w:pPr>
      <w:r w:rsidRPr="00696921">
        <w:rPr>
          <w:i/>
          <w:color w:val="000000" w:themeColor="text1"/>
        </w:rPr>
        <w:t>(a) subsequent revocation proceedings, conducted in absentia, in which the court, in the absence of the requested person, orders that suspension to be revoked on the ground of being convicted of another  second” offence in absentia,</w:t>
      </w:r>
    </w:p>
    <w:p w14:paraId="10D662C9" w14:textId="77777777" w:rsidR="00BF55F9" w:rsidRPr="00696921" w:rsidRDefault="00BF55F9" w:rsidP="00BF55F9">
      <w:pPr>
        <w:pStyle w:val="ListParagraph"/>
        <w:spacing w:line="480" w:lineRule="auto"/>
        <w:ind w:left="1418"/>
        <w:jc w:val="both"/>
        <w:rPr>
          <w:i/>
          <w:color w:val="000000" w:themeColor="text1"/>
        </w:rPr>
      </w:pPr>
      <w:r w:rsidRPr="00696921">
        <w:rPr>
          <w:i/>
          <w:color w:val="000000" w:themeColor="text1"/>
        </w:rPr>
        <w:t xml:space="preserve"> or </w:t>
      </w:r>
    </w:p>
    <w:p w14:paraId="0B9880BB" w14:textId="77777777" w:rsidR="00BF55F9" w:rsidRPr="00696921" w:rsidRDefault="00BF55F9" w:rsidP="00BF55F9">
      <w:pPr>
        <w:pStyle w:val="ListParagraph"/>
        <w:spacing w:line="480" w:lineRule="auto"/>
        <w:ind w:left="1418"/>
        <w:jc w:val="both"/>
        <w:rPr>
          <w:i/>
          <w:color w:val="000000" w:themeColor="text1"/>
        </w:rPr>
      </w:pPr>
      <w:r w:rsidRPr="00696921">
        <w:rPr>
          <w:i/>
          <w:color w:val="000000" w:themeColor="text1"/>
        </w:rPr>
        <w:t xml:space="preserve">(b) the trial for the second offence </w:t>
      </w:r>
    </w:p>
    <w:p w14:paraId="748F32E3" w14:textId="77777777" w:rsidR="00BF55F9" w:rsidRPr="00696921" w:rsidRDefault="00BF55F9" w:rsidP="00BF55F9">
      <w:pPr>
        <w:pStyle w:val="ListParagraph"/>
        <w:spacing w:line="480" w:lineRule="auto"/>
        <w:ind w:left="1418"/>
        <w:jc w:val="both"/>
        <w:rPr>
          <w:i/>
          <w:color w:val="000000" w:themeColor="text1"/>
        </w:rPr>
      </w:pPr>
    </w:p>
    <w:p w14:paraId="34A02E12" w14:textId="77777777" w:rsidR="00BF55F9" w:rsidRPr="00696921" w:rsidRDefault="00BF55F9" w:rsidP="00BF55F9">
      <w:pPr>
        <w:pStyle w:val="ListParagraph"/>
        <w:spacing w:line="480" w:lineRule="auto"/>
        <w:ind w:left="1418"/>
        <w:jc w:val="both"/>
        <w:rPr>
          <w:i/>
          <w:color w:val="000000" w:themeColor="text1"/>
        </w:rPr>
      </w:pPr>
      <w:r w:rsidRPr="00696921">
        <w:rPr>
          <w:i/>
          <w:color w:val="000000" w:themeColor="text1"/>
        </w:rPr>
        <w:t>constitute a ‘trial resulting in the decision’ as referred to in Article 4a of Framework Decision [2002.584]</w:t>
      </w:r>
    </w:p>
    <w:p w14:paraId="001428E8" w14:textId="77777777" w:rsidR="00BF55F9" w:rsidRPr="00696921" w:rsidRDefault="00BF55F9" w:rsidP="00BF55F9">
      <w:pPr>
        <w:pStyle w:val="ListParagraph"/>
        <w:spacing w:line="480" w:lineRule="auto"/>
        <w:ind w:left="1418"/>
        <w:jc w:val="both"/>
        <w:rPr>
          <w:i/>
          <w:color w:val="000000" w:themeColor="text1"/>
        </w:rPr>
      </w:pPr>
    </w:p>
    <w:p w14:paraId="207200E2" w14:textId="77777777" w:rsidR="00BF55F9" w:rsidRPr="00696921" w:rsidRDefault="00BF55F9" w:rsidP="00BF55F9">
      <w:pPr>
        <w:pStyle w:val="ListParagraph"/>
        <w:spacing w:line="480" w:lineRule="auto"/>
        <w:ind w:left="1418"/>
        <w:jc w:val="both"/>
        <w:rPr>
          <w:i/>
          <w:color w:val="000000" w:themeColor="text1"/>
        </w:rPr>
      </w:pPr>
      <w:r w:rsidRPr="00696921">
        <w:rPr>
          <w:i/>
          <w:color w:val="000000" w:themeColor="text1"/>
        </w:rPr>
        <w:t>2 Where the surrender of a person is being sought for service of a sentence of imprisonment which was previously suspended, and the revocation of suspension was based solely on a conviction for a second offence, is the executing authority obliged to inquire as to whether there was a violation of fair trial rights in obtaining the conviction for the second offence, when deciding whether the surrender is prohibited by section 37 of the European Arrest Warrant Act 2003, in circumstances where the conviction for the second offence is not subject to an automatic right of appeal in the issuing state?</w:t>
      </w:r>
    </w:p>
    <w:p w14:paraId="5098A536" w14:textId="77777777" w:rsidR="00BF55F9" w:rsidRPr="00696921" w:rsidRDefault="00BF55F9" w:rsidP="00BF55F9">
      <w:pPr>
        <w:pStyle w:val="ListParagraph"/>
        <w:spacing w:line="480" w:lineRule="auto"/>
        <w:ind w:left="1418"/>
        <w:jc w:val="both"/>
        <w:rPr>
          <w:i/>
          <w:color w:val="000000" w:themeColor="text1"/>
        </w:rPr>
      </w:pPr>
    </w:p>
    <w:p w14:paraId="0B06D832" w14:textId="77777777" w:rsidR="00BF55F9" w:rsidRPr="00696921" w:rsidRDefault="00BF55F9" w:rsidP="00BF55F9">
      <w:pPr>
        <w:pStyle w:val="ListParagraph"/>
        <w:spacing w:line="480" w:lineRule="auto"/>
        <w:ind w:left="1418"/>
        <w:jc w:val="both"/>
        <w:rPr>
          <w:i/>
          <w:color w:val="000000" w:themeColor="text1"/>
        </w:rPr>
      </w:pPr>
      <w:r w:rsidRPr="00696921">
        <w:rPr>
          <w:i/>
          <w:color w:val="000000" w:themeColor="text1"/>
        </w:rPr>
        <w:t xml:space="preserve">3 Is it </w:t>
      </w:r>
      <w:proofErr w:type="spellStart"/>
      <w:r w:rsidRPr="00696921">
        <w:rPr>
          <w:i/>
          <w:color w:val="000000" w:themeColor="text1"/>
        </w:rPr>
        <w:t>acte</w:t>
      </w:r>
      <w:proofErr w:type="spellEnd"/>
      <w:r w:rsidRPr="00696921">
        <w:rPr>
          <w:i/>
          <w:color w:val="000000" w:themeColor="text1"/>
        </w:rPr>
        <w:t xml:space="preserve"> </w:t>
      </w:r>
      <w:proofErr w:type="spellStart"/>
      <w:r w:rsidRPr="00696921">
        <w:rPr>
          <w:i/>
          <w:color w:val="000000" w:themeColor="text1"/>
        </w:rPr>
        <w:t>clair</w:t>
      </w:r>
      <w:proofErr w:type="spellEnd"/>
      <w:r w:rsidRPr="00696921">
        <w:rPr>
          <w:i/>
          <w:color w:val="000000" w:themeColor="text1"/>
        </w:rPr>
        <w:t xml:space="preserve"> whether the decision in [Ardic] applies to the revocation hearing of the 16</w:t>
      </w:r>
      <w:r w:rsidRPr="00696921">
        <w:rPr>
          <w:i/>
          <w:color w:val="000000" w:themeColor="text1"/>
          <w:vertAlign w:val="superscript"/>
        </w:rPr>
        <w:t>th</w:t>
      </w:r>
      <w:r w:rsidRPr="00696921">
        <w:rPr>
          <w:i/>
          <w:color w:val="000000" w:themeColor="text1"/>
        </w:rPr>
        <w:t xml:space="preserve"> May 2017 in circumstances where the revocation of the suspension of sentence, was due to a conviction imposed in absentia?”</w:t>
      </w:r>
    </w:p>
    <w:p w14:paraId="20A0A5E5" w14:textId="77777777" w:rsidR="00BF55F9" w:rsidRPr="00696921" w:rsidRDefault="00BF55F9" w:rsidP="00BF55F9">
      <w:pPr>
        <w:pStyle w:val="ListParagraph"/>
        <w:spacing w:line="480" w:lineRule="auto"/>
        <w:jc w:val="both"/>
        <w:rPr>
          <w:color w:val="000000" w:themeColor="text1"/>
        </w:rPr>
      </w:pPr>
    </w:p>
    <w:p w14:paraId="4E0910B7" w14:textId="77777777" w:rsidR="00BF55F9" w:rsidRPr="00696921" w:rsidRDefault="00BF55F9" w:rsidP="009A374F">
      <w:pPr>
        <w:pStyle w:val="ListParagraph"/>
        <w:spacing w:line="480" w:lineRule="auto"/>
        <w:jc w:val="both"/>
        <w:rPr>
          <w:i/>
          <w:color w:val="000000" w:themeColor="text1"/>
        </w:rPr>
      </w:pPr>
      <w:r w:rsidRPr="00696921">
        <w:rPr>
          <w:color w:val="000000" w:themeColor="text1"/>
        </w:rPr>
        <w:t xml:space="preserve">These </w:t>
      </w:r>
      <w:r w:rsidR="00C91D91" w:rsidRPr="00696921">
        <w:rPr>
          <w:color w:val="000000" w:themeColor="text1"/>
        </w:rPr>
        <w:t>certified points</w:t>
      </w:r>
      <w:r w:rsidR="009A374F" w:rsidRPr="00696921">
        <w:rPr>
          <w:color w:val="000000" w:themeColor="text1"/>
        </w:rPr>
        <w:t xml:space="preserve"> of law</w:t>
      </w:r>
      <w:r w:rsidRPr="00696921">
        <w:rPr>
          <w:color w:val="000000" w:themeColor="text1"/>
        </w:rPr>
        <w:t xml:space="preserve"> are materially identical to the </w:t>
      </w:r>
      <w:r w:rsidR="009A374F" w:rsidRPr="00696921">
        <w:rPr>
          <w:color w:val="000000" w:themeColor="text1"/>
        </w:rPr>
        <w:t>points</w:t>
      </w:r>
      <w:r w:rsidRPr="00696921">
        <w:rPr>
          <w:color w:val="000000" w:themeColor="text1"/>
        </w:rPr>
        <w:t xml:space="preserve"> certified in </w:t>
      </w:r>
      <w:r w:rsidR="009A374F" w:rsidRPr="00696921">
        <w:rPr>
          <w:i/>
          <w:color w:val="000000" w:themeColor="text1"/>
        </w:rPr>
        <w:t>Szamota.</w:t>
      </w:r>
    </w:p>
    <w:p w14:paraId="4CD3241B" w14:textId="77777777" w:rsidR="009A374F" w:rsidRPr="00696921" w:rsidRDefault="009A374F" w:rsidP="009A374F">
      <w:pPr>
        <w:pStyle w:val="ListParagraph"/>
        <w:spacing w:line="480" w:lineRule="auto"/>
        <w:jc w:val="both"/>
        <w:rPr>
          <w:color w:val="000000" w:themeColor="text1"/>
        </w:rPr>
      </w:pPr>
    </w:p>
    <w:p w14:paraId="65AF3A3F" w14:textId="5F4CC6F8" w:rsidR="00E02DEF" w:rsidRPr="00696921" w:rsidRDefault="006B1145" w:rsidP="009A374F">
      <w:pPr>
        <w:pStyle w:val="ListParagraph"/>
        <w:numPr>
          <w:ilvl w:val="0"/>
          <w:numId w:val="1"/>
        </w:numPr>
        <w:spacing w:line="480" w:lineRule="auto"/>
        <w:ind w:hanging="720"/>
        <w:jc w:val="both"/>
        <w:rPr>
          <w:color w:val="000000" w:themeColor="text1"/>
        </w:rPr>
      </w:pPr>
      <w:r w:rsidRPr="00696921">
        <w:rPr>
          <w:color w:val="000000" w:themeColor="text1"/>
        </w:rPr>
        <w:t>In addition to the parties’ written submissions, t</w:t>
      </w:r>
      <w:r w:rsidR="00C91D91" w:rsidRPr="00696921">
        <w:rPr>
          <w:color w:val="000000" w:themeColor="text1"/>
        </w:rPr>
        <w:t xml:space="preserve">he Court heard </w:t>
      </w:r>
      <w:r w:rsidRPr="00696921">
        <w:rPr>
          <w:color w:val="000000" w:themeColor="text1"/>
        </w:rPr>
        <w:t xml:space="preserve">detailed </w:t>
      </w:r>
      <w:r w:rsidR="00C91D91" w:rsidRPr="00696921">
        <w:rPr>
          <w:color w:val="000000" w:themeColor="text1"/>
        </w:rPr>
        <w:t>argument from counsel for both parties directed to these points</w:t>
      </w:r>
      <w:r w:rsidRPr="00696921">
        <w:rPr>
          <w:color w:val="000000" w:themeColor="text1"/>
        </w:rPr>
        <w:t xml:space="preserve">. </w:t>
      </w:r>
      <w:r w:rsidR="00C91D91" w:rsidRPr="00696921">
        <w:rPr>
          <w:color w:val="000000" w:themeColor="text1"/>
        </w:rPr>
        <w:t xml:space="preserve">Subsequent to the hearing of this appeal, the Court heard the appeal in </w:t>
      </w:r>
      <w:r w:rsidR="00C91D91" w:rsidRPr="00696921">
        <w:rPr>
          <w:i/>
          <w:color w:val="000000" w:themeColor="text1"/>
        </w:rPr>
        <w:t>Szamota</w:t>
      </w:r>
      <w:r w:rsidR="00C91D91" w:rsidRPr="00696921">
        <w:rPr>
          <w:color w:val="000000" w:themeColor="text1"/>
        </w:rPr>
        <w:t xml:space="preserve"> and heard further arguments addressed to th</w:t>
      </w:r>
      <w:r w:rsidRPr="00696921">
        <w:rPr>
          <w:color w:val="000000" w:themeColor="text1"/>
        </w:rPr>
        <w:t xml:space="preserve">ose </w:t>
      </w:r>
      <w:r w:rsidR="00C91D91" w:rsidRPr="00696921">
        <w:rPr>
          <w:color w:val="000000" w:themeColor="text1"/>
        </w:rPr>
        <w:t>points</w:t>
      </w:r>
      <w:r w:rsidR="00E02DEF" w:rsidRPr="00696921">
        <w:rPr>
          <w:color w:val="000000" w:themeColor="text1"/>
        </w:rPr>
        <w:t xml:space="preserve">. </w:t>
      </w:r>
      <w:r w:rsidR="00C91D91" w:rsidRPr="00696921">
        <w:rPr>
          <w:color w:val="000000" w:themeColor="text1"/>
        </w:rPr>
        <w:t xml:space="preserve"> Unsurprisingly, there was a significant degree of overlap between the submissions made in the</w:t>
      </w:r>
      <w:r w:rsidRPr="00696921">
        <w:rPr>
          <w:color w:val="000000" w:themeColor="text1"/>
        </w:rPr>
        <w:t xml:space="preserve"> two appeals. </w:t>
      </w:r>
    </w:p>
    <w:p w14:paraId="407825A2" w14:textId="77777777" w:rsidR="00E02DEF" w:rsidRPr="00696921" w:rsidRDefault="00E02DEF" w:rsidP="00E02DEF">
      <w:pPr>
        <w:pStyle w:val="ListParagraph"/>
        <w:spacing w:line="480" w:lineRule="auto"/>
        <w:jc w:val="both"/>
        <w:rPr>
          <w:color w:val="000000" w:themeColor="text1"/>
        </w:rPr>
      </w:pPr>
    </w:p>
    <w:p w14:paraId="5B1D01AA" w14:textId="18E08951" w:rsidR="009A374F" w:rsidRPr="00696921" w:rsidRDefault="006B1145" w:rsidP="009A374F">
      <w:pPr>
        <w:pStyle w:val="ListParagraph"/>
        <w:numPr>
          <w:ilvl w:val="0"/>
          <w:numId w:val="1"/>
        </w:numPr>
        <w:spacing w:line="480" w:lineRule="auto"/>
        <w:ind w:hanging="720"/>
        <w:jc w:val="both"/>
        <w:rPr>
          <w:color w:val="000000" w:themeColor="text1"/>
        </w:rPr>
      </w:pPr>
      <w:r w:rsidRPr="00696921">
        <w:rPr>
          <w:color w:val="000000" w:themeColor="text1"/>
        </w:rPr>
        <w:t>The fundamental point made by</w:t>
      </w:r>
      <w:r w:rsidR="00E02DEF" w:rsidRPr="00696921">
        <w:rPr>
          <w:color w:val="000000" w:themeColor="text1"/>
        </w:rPr>
        <w:t xml:space="preserve"> Counsel for the Appellant, Mr </w:t>
      </w:r>
      <w:r w:rsidR="001D0134" w:rsidRPr="00696921">
        <w:rPr>
          <w:color w:val="000000" w:themeColor="text1"/>
        </w:rPr>
        <w:t xml:space="preserve">Paul </w:t>
      </w:r>
      <w:r w:rsidR="00E02DEF" w:rsidRPr="00696921">
        <w:rPr>
          <w:color w:val="000000" w:themeColor="text1"/>
        </w:rPr>
        <w:t>Carroll SC,</w:t>
      </w:r>
      <w:r w:rsidRPr="00696921">
        <w:rPr>
          <w:color w:val="000000" w:themeColor="text1"/>
        </w:rPr>
        <w:t xml:space="preserve"> was that there was a “</w:t>
      </w:r>
      <w:r w:rsidRPr="00696921">
        <w:rPr>
          <w:i/>
          <w:color w:val="000000" w:themeColor="text1"/>
        </w:rPr>
        <w:t>qualitative difference</w:t>
      </w:r>
      <w:r w:rsidRPr="00696921">
        <w:rPr>
          <w:color w:val="000000" w:themeColor="text1"/>
        </w:rPr>
        <w:t xml:space="preserve">” </w:t>
      </w:r>
      <w:r w:rsidR="00867381" w:rsidRPr="00696921">
        <w:rPr>
          <w:color w:val="000000" w:themeColor="text1"/>
        </w:rPr>
        <w:t xml:space="preserve">between the position considered by the CJEU in </w:t>
      </w:r>
      <w:r w:rsidR="00867381" w:rsidRPr="00696921">
        <w:rPr>
          <w:i/>
          <w:color w:val="000000" w:themeColor="text1"/>
        </w:rPr>
        <w:t>Ardic</w:t>
      </w:r>
      <w:r w:rsidR="00867381" w:rsidRPr="00696921">
        <w:rPr>
          <w:color w:val="000000" w:themeColor="text1"/>
        </w:rPr>
        <w:t xml:space="preserve"> and the position where (as here) a suspended sentence was activated </w:t>
      </w:r>
      <w:r w:rsidR="00E02DEF" w:rsidRPr="00696921">
        <w:rPr>
          <w:color w:val="000000" w:themeColor="text1"/>
        </w:rPr>
        <w:t>as a result of a</w:t>
      </w:r>
      <w:r w:rsidR="00867381" w:rsidRPr="00696921">
        <w:rPr>
          <w:color w:val="000000" w:themeColor="text1"/>
        </w:rPr>
        <w:t xml:space="preserve"> further criminal conviction. Where that further conviction followed from a trial conducted </w:t>
      </w:r>
      <w:r w:rsidR="00867381" w:rsidRPr="00696921">
        <w:rPr>
          <w:i/>
          <w:color w:val="000000" w:themeColor="text1"/>
        </w:rPr>
        <w:t xml:space="preserve">in absentia, </w:t>
      </w:r>
      <w:r w:rsidR="00867381" w:rsidRPr="00696921">
        <w:rPr>
          <w:color w:val="000000" w:themeColor="text1"/>
        </w:rPr>
        <w:t xml:space="preserve">Article 6 of the European Convention on Human Rights (ECHR) was clearly engaged and, at least in the absence of any evidence of waiver (and, the Appellant </w:t>
      </w:r>
      <w:r w:rsidR="004C0FCD" w:rsidRPr="00696921">
        <w:rPr>
          <w:color w:val="000000" w:themeColor="text1"/>
        </w:rPr>
        <w:t>said</w:t>
      </w:r>
      <w:r w:rsidR="00867381" w:rsidRPr="00696921">
        <w:rPr>
          <w:color w:val="000000" w:themeColor="text1"/>
        </w:rPr>
        <w:t xml:space="preserve">, there was no </w:t>
      </w:r>
      <w:r w:rsidR="00E02DEF" w:rsidRPr="00696921">
        <w:rPr>
          <w:color w:val="000000" w:themeColor="text1"/>
        </w:rPr>
        <w:t xml:space="preserve">evidence of </w:t>
      </w:r>
      <w:r w:rsidR="004C0FCD" w:rsidRPr="00696921">
        <w:rPr>
          <w:color w:val="000000" w:themeColor="text1"/>
        </w:rPr>
        <w:t>waiver</w:t>
      </w:r>
      <w:r w:rsidR="00867381" w:rsidRPr="00696921">
        <w:rPr>
          <w:color w:val="000000" w:themeColor="text1"/>
        </w:rPr>
        <w:t xml:space="preserve"> here) it would be a breach of </w:t>
      </w:r>
      <w:r w:rsidR="00237743" w:rsidRPr="00696921">
        <w:rPr>
          <w:color w:val="000000" w:themeColor="text1"/>
        </w:rPr>
        <w:t xml:space="preserve">Article 6 (and therefore of </w:t>
      </w:r>
      <w:r w:rsidR="00867381" w:rsidRPr="00696921">
        <w:rPr>
          <w:color w:val="000000" w:themeColor="text1"/>
        </w:rPr>
        <w:t>section 37 of the 2003 Act</w:t>
      </w:r>
      <w:r w:rsidR="00237743" w:rsidRPr="00696921">
        <w:rPr>
          <w:color w:val="000000" w:themeColor="text1"/>
        </w:rPr>
        <w:t>)</w:t>
      </w:r>
      <w:r w:rsidR="00867381" w:rsidRPr="00696921">
        <w:rPr>
          <w:color w:val="000000" w:themeColor="text1"/>
        </w:rPr>
        <w:t xml:space="preserve"> to surrender the person concerned </w:t>
      </w:r>
      <w:r w:rsidR="00237743" w:rsidRPr="00696921">
        <w:rPr>
          <w:color w:val="000000" w:themeColor="text1"/>
        </w:rPr>
        <w:t xml:space="preserve">in such circumstances. </w:t>
      </w:r>
      <w:r w:rsidR="00E5332F" w:rsidRPr="00696921">
        <w:rPr>
          <w:bCs/>
          <w:color w:val="000000" w:themeColor="text1"/>
        </w:rPr>
        <w:t>Articles 47 and 48 of the Charter of Fundamental Rights of the European Union (“</w:t>
      </w:r>
      <w:r w:rsidR="00E5332F" w:rsidRPr="00696921">
        <w:rPr>
          <w:bCs/>
          <w:i/>
          <w:color w:val="000000" w:themeColor="text1"/>
        </w:rPr>
        <w:t>the Charter</w:t>
      </w:r>
      <w:r w:rsidR="00E5332F" w:rsidRPr="00696921">
        <w:rPr>
          <w:bCs/>
          <w:color w:val="000000" w:themeColor="text1"/>
        </w:rPr>
        <w:t>”) were also relied on by the Appellant in this context. T</w:t>
      </w:r>
      <w:r w:rsidR="00237743" w:rsidRPr="00696921">
        <w:rPr>
          <w:color w:val="000000" w:themeColor="text1"/>
        </w:rPr>
        <w:t xml:space="preserve">he Appellant cited </w:t>
      </w:r>
      <w:r w:rsidR="00237743" w:rsidRPr="00696921">
        <w:rPr>
          <w:i/>
          <w:color w:val="000000" w:themeColor="text1"/>
        </w:rPr>
        <w:t>Othman v UK</w:t>
      </w:r>
      <w:r w:rsidR="00237743" w:rsidRPr="00696921">
        <w:rPr>
          <w:color w:val="000000" w:themeColor="text1"/>
        </w:rPr>
        <w:t xml:space="preserve"> (2012) EHRR 4389 as authority for the proposition that a “</w:t>
      </w:r>
      <w:r w:rsidR="00237743" w:rsidRPr="00696921">
        <w:rPr>
          <w:i/>
          <w:color w:val="000000" w:themeColor="text1"/>
        </w:rPr>
        <w:t>flagrant denial of justice</w:t>
      </w:r>
      <w:r w:rsidR="00237743" w:rsidRPr="00696921">
        <w:rPr>
          <w:color w:val="000000" w:themeColor="text1"/>
        </w:rPr>
        <w:t xml:space="preserve">” would occur if he was surrendered and thus, exceptionally,  surrender could be refused on that basis. </w:t>
      </w:r>
      <w:r w:rsidR="004C0FCD" w:rsidRPr="00696921">
        <w:rPr>
          <w:color w:val="000000" w:themeColor="text1"/>
        </w:rPr>
        <w:t>As regards Article 4a, the Appellant stressed that the distinction between a measure that constitutes a “</w:t>
      </w:r>
      <w:r w:rsidR="004C0FCD" w:rsidRPr="00696921">
        <w:rPr>
          <w:i/>
          <w:color w:val="000000" w:themeColor="text1"/>
        </w:rPr>
        <w:t>penalty</w:t>
      </w:r>
      <w:r w:rsidR="004C0FCD" w:rsidRPr="00696921">
        <w:rPr>
          <w:color w:val="000000" w:themeColor="text1"/>
        </w:rPr>
        <w:t>” and a measure that concerns “</w:t>
      </w:r>
      <w:r w:rsidR="004C0FCD" w:rsidRPr="00696921">
        <w:rPr>
          <w:i/>
          <w:color w:val="000000" w:themeColor="text1"/>
        </w:rPr>
        <w:t>the execution or enforcement of a penalty”</w:t>
      </w:r>
      <w:r w:rsidR="004C0FCD" w:rsidRPr="00696921">
        <w:rPr>
          <w:color w:val="000000" w:themeColor="text1"/>
        </w:rPr>
        <w:t xml:space="preserve"> </w:t>
      </w:r>
      <w:r w:rsidR="004B1EE7" w:rsidRPr="00696921">
        <w:rPr>
          <w:color w:val="000000" w:themeColor="text1"/>
        </w:rPr>
        <w:t>is</w:t>
      </w:r>
      <w:r w:rsidR="004C0FCD" w:rsidRPr="00696921">
        <w:rPr>
          <w:color w:val="000000" w:themeColor="text1"/>
        </w:rPr>
        <w:t xml:space="preserve"> not always clear (citing Advocate General </w:t>
      </w:r>
      <w:proofErr w:type="spellStart"/>
      <w:r w:rsidR="004C0FCD" w:rsidRPr="00696921">
        <w:rPr>
          <w:color w:val="000000" w:themeColor="text1"/>
        </w:rPr>
        <w:t>Bobek’s</w:t>
      </w:r>
      <w:proofErr w:type="spellEnd"/>
      <w:r w:rsidR="004C0FCD" w:rsidRPr="00696921">
        <w:rPr>
          <w:color w:val="000000" w:themeColor="text1"/>
        </w:rPr>
        <w:t xml:space="preserve"> Opinion  in </w:t>
      </w:r>
      <w:proofErr w:type="spellStart"/>
      <w:r w:rsidR="004C0FCD" w:rsidRPr="00696921">
        <w:rPr>
          <w:i/>
          <w:color w:val="000000" w:themeColor="text1"/>
        </w:rPr>
        <w:t>Ardic</w:t>
      </w:r>
      <w:proofErr w:type="spellEnd"/>
      <w:r w:rsidR="004B5B80" w:rsidRPr="00696921">
        <w:rPr>
          <w:i/>
          <w:color w:val="000000" w:themeColor="text1"/>
        </w:rPr>
        <w:t xml:space="preserve">, </w:t>
      </w:r>
      <w:r w:rsidR="004B5B80" w:rsidRPr="00696921">
        <w:rPr>
          <w:color w:val="000000" w:themeColor="text1"/>
        </w:rPr>
        <w:t>at para 45</w:t>
      </w:r>
      <w:r w:rsidR="004C0FCD" w:rsidRPr="00696921">
        <w:rPr>
          <w:color w:val="000000" w:themeColor="text1"/>
        </w:rPr>
        <w:t>).  Here, it was submitted, the order made by the Miskolc Court of Appeal in June 2012, which (</w:t>
      </w:r>
      <w:r w:rsidR="004C0FCD" w:rsidRPr="00696921">
        <w:rPr>
          <w:i/>
          <w:color w:val="000000" w:themeColor="text1"/>
        </w:rPr>
        <w:t>inter alia</w:t>
      </w:r>
      <w:r w:rsidR="004C0FCD" w:rsidRPr="00696921">
        <w:rPr>
          <w:color w:val="000000" w:themeColor="text1"/>
        </w:rPr>
        <w:t xml:space="preserve">)  ordered the enforcement of the sentence imposed on the Appellant for the 2005 Offences was properly to be regarded as a penalty </w:t>
      </w:r>
      <w:r w:rsidR="004B5B80" w:rsidRPr="00696921">
        <w:rPr>
          <w:color w:val="000000" w:themeColor="text1"/>
        </w:rPr>
        <w:t xml:space="preserve">imposed </w:t>
      </w:r>
      <w:r w:rsidR="002C24D5" w:rsidRPr="00696921">
        <w:rPr>
          <w:color w:val="000000" w:themeColor="text1"/>
        </w:rPr>
        <w:t xml:space="preserve">on </w:t>
      </w:r>
      <w:r w:rsidR="004B5B80" w:rsidRPr="00696921">
        <w:rPr>
          <w:color w:val="000000" w:themeColor="text1"/>
        </w:rPr>
        <w:t xml:space="preserve">him and it </w:t>
      </w:r>
      <w:r w:rsidR="002C24D5" w:rsidRPr="00696921">
        <w:rPr>
          <w:color w:val="000000" w:themeColor="text1"/>
        </w:rPr>
        <w:t>followed (</w:t>
      </w:r>
      <w:r w:rsidR="004B1EE7" w:rsidRPr="00696921">
        <w:rPr>
          <w:color w:val="000000" w:themeColor="text1"/>
        </w:rPr>
        <w:t xml:space="preserve">so </w:t>
      </w:r>
      <w:r w:rsidR="002C24D5" w:rsidRPr="00696921">
        <w:rPr>
          <w:color w:val="000000" w:themeColor="text1"/>
        </w:rPr>
        <w:t>it was said) that the</w:t>
      </w:r>
      <w:r w:rsidR="004B5B80" w:rsidRPr="00696921">
        <w:rPr>
          <w:color w:val="000000" w:themeColor="text1"/>
        </w:rPr>
        <w:t xml:space="preserve"> proceedings before that court were properly to be regarded as an essential element of the “</w:t>
      </w:r>
      <w:r w:rsidR="004B5B80" w:rsidRPr="00696921">
        <w:rPr>
          <w:i/>
          <w:color w:val="000000" w:themeColor="text1"/>
        </w:rPr>
        <w:t>trial resulting in the decision</w:t>
      </w:r>
      <w:r w:rsidR="004B5B80" w:rsidRPr="00696921">
        <w:rPr>
          <w:color w:val="000000" w:themeColor="text1"/>
        </w:rPr>
        <w:t xml:space="preserve">” for the purposes of Article 4a. </w:t>
      </w:r>
      <w:r w:rsidR="00E02DEF" w:rsidRPr="00696921">
        <w:rPr>
          <w:color w:val="000000" w:themeColor="text1"/>
        </w:rPr>
        <w:t>Counse</w:t>
      </w:r>
      <w:r w:rsidR="00A616E8" w:rsidRPr="00696921">
        <w:rPr>
          <w:color w:val="000000" w:themeColor="text1"/>
        </w:rPr>
        <w:t>l</w:t>
      </w:r>
      <w:r w:rsidR="00E02DEF" w:rsidRPr="00696921">
        <w:rPr>
          <w:color w:val="000000" w:themeColor="text1"/>
        </w:rPr>
        <w:t xml:space="preserve"> </w:t>
      </w:r>
      <w:r w:rsidR="004868CC" w:rsidRPr="00696921">
        <w:rPr>
          <w:color w:val="000000" w:themeColor="text1"/>
        </w:rPr>
        <w:t xml:space="preserve">submitted that, in the circumstances, </w:t>
      </w:r>
      <w:r w:rsidR="00A616E8" w:rsidRPr="00696921">
        <w:rPr>
          <w:color w:val="000000" w:themeColor="text1"/>
        </w:rPr>
        <w:t xml:space="preserve">a reference to </w:t>
      </w:r>
      <w:r w:rsidR="004868CC" w:rsidRPr="00696921">
        <w:rPr>
          <w:color w:val="000000" w:themeColor="text1"/>
        </w:rPr>
        <w:t>the CJEU</w:t>
      </w:r>
      <w:r w:rsidR="00A616E8" w:rsidRPr="00696921">
        <w:rPr>
          <w:color w:val="000000" w:themeColor="text1"/>
        </w:rPr>
        <w:t xml:space="preserve"> was appropriate.</w:t>
      </w:r>
    </w:p>
    <w:p w14:paraId="02D5B925" w14:textId="77777777" w:rsidR="004B5B80" w:rsidRPr="00696921" w:rsidRDefault="004B5B80" w:rsidP="004B5B80">
      <w:pPr>
        <w:pStyle w:val="ListParagraph"/>
        <w:spacing w:line="480" w:lineRule="auto"/>
        <w:jc w:val="both"/>
        <w:rPr>
          <w:color w:val="000000" w:themeColor="text1"/>
        </w:rPr>
      </w:pPr>
    </w:p>
    <w:p w14:paraId="5C2C6082" w14:textId="446BF067" w:rsidR="004B5B80" w:rsidRPr="00696921" w:rsidRDefault="004B1EE7" w:rsidP="009A374F">
      <w:pPr>
        <w:pStyle w:val="ListParagraph"/>
        <w:numPr>
          <w:ilvl w:val="0"/>
          <w:numId w:val="1"/>
        </w:numPr>
        <w:spacing w:line="480" w:lineRule="auto"/>
        <w:ind w:hanging="720"/>
        <w:jc w:val="both"/>
        <w:rPr>
          <w:color w:val="000000" w:themeColor="text1"/>
        </w:rPr>
      </w:pPr>
      <w:r w:rsidRPr="00696921">
        <w:rPr>
          <w:color w:val="000000" w:themeColor="text1"/>
        </w:rPr>
        <w:t xml:space="preserve">Counsel for the Minister </w:t>
      </w:r>
      <w:r w:rsidR="004B5B80" w:rsidRPr="00696921">
        <w:rPr>
          <w:color w:val="000000" w:themeColor="text1"/>
        </w:rPr>
        <w:t>Mr</w:t>
      </w:r>
      <w:r w:rsidR="001D0134" w:rsidRPr="00696921">
        <w:rPr>
          <w:color w:val="000000" w:themeColor="text1"/>
        </w:rPr>
        <w:t xml:space="preserve"> Ronan</w:t>
      </w:r>
      <w:r w:rsidR="004B5B80" w:rsidRPr="00696921">
        <w:rPr>
          <w:color w:val="000000" w:themeColor="text1"/>
        </w:rPr>
        <w:t xml:space="preserve"> Kennedy</w:t>
      </w:r>
      <w:r w:rsidRPr="00696921">
        <w:rPr>
          <w:color w:val="000000" w:themeColor="text1"/>
        </w:rPr>
        <w:t xml:space="preserve"> SC (who also appeared for the Minister in </w:t>
      </w:r>
      <w:r w:rsidRPr="00696921">
        <w:rPr>
          <w:i/>
          <w:color w:val="000000" w:themeColor="text1"/>
        </w:rPr>
        <w:t>Szamota</w:t>
      </w:r>
      <w:r w:rsidRPr="00696921">
        <w:rPr>
          <w:color w:val="000000" w:themeColor="text1"/>
        </w:rPr>
        <w:t xml:space="preserve">) </w:t>
      </w:r>
      <w:r w:rsidR="001D0134" w:rsidRPr="00696921">
        <w:rPr>
          <w:color w:val="000000" w:themeColor="text1"/>
        </w:rPr>
        <w:t>steadfastly</w:t>
      </w:r>
      <w:r w:rsidR="004B5B80" w:rsidRPr="00696921">
        <w:rPr>
          <w:color w:val="000000" w:themeColor="text1"/>
        </w:rPr>
        <w:t xml:space="preserve"> maintained that none of these arguments availed the Appellant having regard to </w:t>
      </w:r>
      <w:r w:rsidR="004868CC" w:rsidRPr="00696921">
        <w:rPr>
          <w:color w:val="000000" w:themeColor="text1"/>
        </w:rPr>
        <w:t xml:space="preserve">the CJEU’s decision in </w:t>
      </w:r>
      <w:r w:rsidR="004B5B80" w:rsidRPr="00696921">
        <w:rPr>
          <w:i/>
          <w:color w:val="000000" w:themeColor="text1"/>
        </w:rPr>
        <w:t>Ardic</w:t>
      </w:r>
      <w:r w:rsidR="004B5B80" w:rsidRPr="00696921">
        <w:rPr>
          <w:color w:val="000000" w:themeColor="text1"/>
        </w:rPr>
        <w:t xml:space="preserve">. </w:t>
      </w:r>
      <w:r w:rsidR="004868CC" w:rsidRPr="00696921">
        <w:rPr>
          <w:color w:val="000000" w:themeColor="text1"/>
        </w:rPr>
        <w:t xml:space="preserve">In light of that decision, no useful purpose would be served by a reference. </w:t>
      </w:r>
      <w:r w:rsidR="002C24D5" w:rsidRPr="00696921">
        <w:rPr>
          <w:color w:val="000000" w:themeColor="text1"/>
        </w:rPr>
        <w:t xml:space="preserve">He fairly accepted that, if the </w:t>
      </w:r>
      <w:bookmarkStart w:id="13" w:name="_Hlk76741113"/>
      <w:r w:rsidR="002C24D5" w:rsidRPr="00696921">
        <w:rPr>
          <w:color w:val="000000" w:themeColor="text1"/>
        </w:rPr>
        <w:t xml:space="preserve">proceedings before the Miskolc Court of Appeal </w:t>
      </w:r>
      <w:r w:rsidRPr="00696921">
        <w:rPr>
          <w:color w:val="000000" w:themeColor="text1"/>
        </w:rPr>
        <w:t xml:space="preserve">that resulted in the enforcement order of June 2012 </w:t>
      </w:r>
      <w:bookmarkEnd w:id="13"/>
      <w:r w:rsidR="002C24D5" w:rsidRPr="00696921">
        <w:rPr>
          <w:color w:val="000000" w:themeColor="text1"/>
        </w:rPr>
        <w:t>were to be regarded as the “</w:t>
      </w:r>
      <w:r w:rsidR="002C24D5" w:rsidRPr="00696921">
        <w:rPr>
          <w:i/>
          <w:color w:val="000000" w:themeColor="text1"/>
        </w:rPr>
        <w:t>trial resulting in the decision</w:t>
      </w:r>
      <w:r w:rsidR="002C24D5" w:rsidRPr="00696921">
        <w:rPr>
          <w:color w:val="000000" w:themeColor="text1"/>
        </w:rPr>
        <w:t xml:space="preserve">”, the evidence before the Court did not demonstrate that any of the conditions in Article 4a(1) were satisfied </w:t>
      </w:r>
      <w:r w:rsidRPr="00696921">
        <w:rPr>
          <w:color w:val="000000" w:themeColor="text1"/>
        </w:rPr>
        <w:t>though he</w:t>
      </w:r>
      <w:r w:rsidR="002C24D5" w:rsidRPr="00696921">
        <w:rPr>
          <w:color w:val="000000" w:themeColor="text1"/>
        </w:rPr>
        <w:t xml:space="preserve"> left open the possibility of arguing that there had</w:t>
      </w:r>
      <w:r w:rsidR="001D0134" w:rsidRPr="00696921">
        <w:rPr>
          <w:color w:val="000000" w:themeColor="text1"/>
        </w:rPr>
        <w:t xml:space="preserve"> nonetheless</w:t>
      </w:r>
      <w:r w:rsidR="002C24D5" w:rsidRPr="00696921">
        <w:rPr>
          <w:color w:val="000000" w:themeColor="text1"/>
        </w:rPr>
        <w:t xml:space="preserve"> been an effective waiver of the Appellant’s right to be present at the proceedings. </w:t>
      </w:r>
      <w:r w:rsidR="00F70D2C" w:rsidRPr="00696921">
        <w:rPr>
          <w:color w:val="000000" w:themeColor="text1"/>
        </w:rPr>
        <w:t xml:space="preserve">As regards the section 37 argument made by the Appellant, the Minister’s position here (as in </w:t>
      </w:r>
      <w:r w:rsidR="00F70D2C" w:rsidRPr="00696921">
        <w:rPr>
          <w:i/>
          <w:color w:val="000000" w:themeColor="text1"/>
        </w:rPr>
        <w:t>Szamota</w:t>
      </w:r>
      <w:r w:rsidR="00F70D2C" w:rsidRPr="00696921">
        <w:rPr>
          <w:color w:val="000000" w:themeColor="text1"/>
        </w:rPr>
        <w:t xml:space="preserve">) was that the threshold for a refusal of surrender under section 37 was a very high one and the Appellant had failed to </w:t>
      </w:r>
      <w:r w:rsidRPr="00696921">
        <w:rPr>
          <w:color w:val="000000" w:themeColor="text1"/>
        </w:rPr>
        <w:t xml:space="preserve">discharge </w:t>
      </w:r>
      <w:r w:rsidR="00F70D2C" w:rsidRPr="00696921">
        <w:rPr>
          <w:color w:val="000000" w:themeColor="text1"/>
        </w:rPr>
        <w:t xml:space="preserve">the burden </w:t>
      </w:r>
      <w:r w:rsidRPr="00696921">
        <w:rPr>
          <w:color w:val="000000" w:themeColor="text1"/>
        </w:rPr>
        <w:t>on him in that respect</w:t>
      </w:r>
      <w:r w:rsidR="00F70D2C" w:rsidRPr="00696921">
        <w:rPr>
          <w:color w:val="000000" w:themeColor="text1"/>
        </w:rPr>
        <w:t>.</w:t>
      </w:r>
    </w:p>
    <w:p w14:paraId="06AABC49" w14:textId="77777777" w:rsidR="007D727B" w:rsidRPr="00696921" w:rsidRDefault="007D727B" w:rsidP="007D727B">
      <w:pPr>
        <w:pStyle w:val="ListParagraph"/>
        <w:spacing w:line="480" w:lineRule="auto"/>
        <w:jc w:val="both"/>
        <w:rPr>
          <w:color w:val="000000" w:themeColor="text1"/>
        </w:rPr>
      </w:pPr>
    </w:p>
    <w:p w14:paraId="0A3470AE" w14:textId="33CEED7A" w:rsidR="007D727B" w:rsidRPr="00696921" w:rsidRDefault="007D727B" w:rsidP="007D727B">
      <w:pPr>
        <w:pStyle w:val="ListParagraph"/>
        <w:numPr>
          <w:ilvl w:val="0"/>
          <w:numId w:val="1"/>
        </w:numPr>
        <w:spacing w:line="480" w:lineRule="auto"/>
        <w:ind w:hanging="720"/>
        <w:jc w:val="both"/>
        <w:rPr>
          <w:color w:val="000000" w:themeColor="text1"/>
        </w:rPr>
      </w:pPr>
      <w:r w:rsidRPr="00696921">
        <w:rPr>
          <w:color w:val="000000" w:themeColor="text1"/>
        </w:rPr>
        <w:t xml:space="preserve">For the purposes of this appeal, it appears to me that the Court is entitled to </w:t>
      </w:r>
      <w:r w:rsidR="003B5BBD" w:rsidRPr="00696921">
        <w:rPr>
          <w:color w:val="000000" w:themeColor="text1"/>
        </w:rPr>
        <w:t>reach</w:t>
      </w:r>
      <w:r w:rsidRPr="00696921">
        <w:rPr>
          <w:color w:val="000000" w:themeColor="text1"/>
        </w:rPr>
        <w:t xml:space="preserve"> a provisional view that the proceedings before the Miskolc Court of Appeal that resulted in his conviction for the Child Welfare Offence, his sentencing for that offence and the making of the enforcement order, which took in the absence of the Appellant, did not comply with Article 6 ECHR. Similarly, the Court is in my view entitled to proceed on the basis of a provisional view that, if the </w:t>
      </w:r>
      <w:r w:rsidR="00C729C3" w:rsidRPr="00696921">
        <w:rPr>
          <w:color w:val="000000" w:themeColor="text1"/>
        </w:rPr>
        <w:t>proceedings before the Miskolc Court of Appeal</w:t>
      </w:r>
      <w:r w:rsidRPr="00696921">
        <w:rPr>
          <w:color w:val="000000" w:themeColor="text1"/>
        </w:rPr>
        <w:t xml:space="preserve"> </w:t>
      </w:r>
      <w:r w:rsidR="00C729C3" w:rsidRPr="00696921">
        <w:rPr>
          <w:color w:val="000000" w:themeColor="text1"/>
        </w:rPr>
        <w:t xml:space="preserve">are </w:t>
      </w:r>
      <w:r w:rsidRPr="00696921">
        <w:rPr>
          <w:color w:val="000000" w:themeColor="text1"/>
        </w:rPr>
        <w:t>properly to be regarded as “</w:t>
      </w:r>
      <w:r w:rsidRPr="00696921">
        <w:rPr>
          <w:i/>
          <w:color w:val="000000" w:themeColor="text1"/>
        </w:rPr>
        <w:t xml:space="preserve">the trial resulting in the decision” </w:t>
      </w:r>
      <w:r w:rsidRPr="00696921">
        <w:rPr>
          <w:color w:val="000000" w:themeColor="text1"/>
        </w:rPr>
        <w:t xml:space="preserve">for the purposes of surrender here, the requirements of Article 4a/section 45 </w:t>
      </w:r>
      <w:r w:rsidR="003B5BBD" w:rsidRPr="00696921">
        <w:rPr>
          <w:color w:val="000000" w:themeColor="text1"/>
        </w:rPr>
        <w:t>w</w:t>
      </w:r>
      <w:r w:rsidRPr="00696921">
        <w:rPr>
          <w:color w:val="000000" w:themeColor="text1"/>
        </w:rPr>
        <w:t xml:space="preserve">ould not be satisfied. The real issue on the appeal is whether, as a matter of principle, such matters are relevant to the surrender decision at all. If determined to be relevant, further inquiry </w:t>
      </w:r>
      <w:r w:rsidR="003B5BBD" w:rsidRPr="00696921">
        <w:rPr>
          <w:color w:val="000000" w:themeColor="text1"/>
        </w:rPr>
        <w:t>may</w:t>
      </w:r>
      <w:r w:rsidRPr="00696921">
        <w:rPr>
          <w:color w:val="000000" w:themeColor="text1"/>
        </w:rPr>
        <w:t xml:space="preserve"> then be necessary before making a definitive assessment as to whether surrender should actually be refused on the facts.</w:t>
      </w:r>
    </w:p>
    <w:p w14:paraId="19896AF9" w14:textId="7685168A" w:rsidR="000F2E57" w:rsidRPr="00696921" w:rsidRDefault="000F2E57">
      <w:pPr>
        <w:spacing w:after="160" w:line="259" w:lineRule="auto"/>
        <w:rPr>
          <w:color w:val="000000" w:themeColor="text1"/>
        </w:rPr>
      </w:pPr>
      <w:r w:rsidRPr="00696921">
        <w:rPr>
          <w:color w:val="000000" w:themeColor="text1"/>
        </w:rPr>
        <w:br w:type="page"/>
      </w:r>
    </w:p>
    <w:p w14:paraId="47D9966B" w14:textId="5F3032A9" w:rsidR="005A1B86" w:rsidRPr="00696921" w:rsidRDefault="003B5BBD" w:rsidP="005A1B86">
      <w:pPr>
        <w:pStyle w:val="ListParagraph"/>
        <w:spacing w:line="480" w:lineRule="auto"/>
        <w:jc w:val="both"/>
        <w:rPr>
          <w:b/>
          <w:i/>
          <w:color w:val="000000" w:themeColor="text1"/>
        </w:rPr>
      </w:pPr>
      <w:r w:rsidRPr="00696921">
        <w:rPr>
          <w:b/>
          <w:i/>
          <w:color w:val="000000" w:themeColor="text1"/>
        </w:rPr>
        <w:t xml:space="preserve">The </w:t>
      </w:r>
      <w:r w:rsidR="005A1B86" w:rsidRPr="00696921">
        <w:rPr>
          <w:b/>
          <w:i/>
          <w:color w:val="000000" w:themeColor="text1"/>
        </w:rPr>
        <w:t>Non-Certified Grounds</w:t>
      </w:r>
    </w:p>
    <w:p w14:paraId="016C570C" w14:textId="77777777" w:rsidR="005A1B86" w:rsidRPr="00696921" w:rsidRDefault="005A1B86" w:rsidP="005A1B86">
      <w:pPr>
        <w:pStyle w:val="ListParagraph"/>
        <w:spacing w:line="480" w:lineRule="auto"/>
        <w:jc w:val="both"/>
        <w:rPr>
          <w:color w:val="000000" w:themeColor="text1"/>
        </w:rPr>
      </w:pPr>
    </w:p>
    <w:p w14:paraId="34542879" w14:textId="09691485" w:rsidR="00033C03" w:rsidRPr="00696921" w:rsidRDefault="005A1B86" w:rsidP="00033C03">
      <w:pPr>
        <w:pStyle w:val="ListParagraph"/>
        <w:numPr>
          <w:ilvl w:val="0"/>
          <w:numId w:val="1"/>
        </w:numPr>
        <w:spacing w:line="480" w:lineRule="auto"/>
        <w:ind w:hanging="720"/>
        <w:jc w:val="both"/>
        <w:rPr>
          <w:color w:val="000000" w:themeColor="text1"/>
        </w:rPr>
      </w:pPr>
      <w:r w:rsidRPr="00696921">
        <w:rPr>
          <w:color w:val="000000" w:themeColor="text1"/>
        </w:rPr>
        <w:t xml:space="preserve">As well as pursuing the certified points, the </w:t>
      </w:r>
      <w:r w:rsidR="00F70D2C" w:rsidRPr="00696921">
        <w:rPr>
          <w:color w:val="000000" w:themeColor="text1"/>
        </w:rPr>
        <w:t xml:space="preserve">Appellant also sought to agitate </w:t>
      </w:r>
      <w:r w:rsidR="009E436D" w:rsidRPr="00696921">
        <w:rPr>
          <w:color w:val="000000" w:themeColor="text1"/>
        </w:rPr>
        <w:t xml:space="preserve">the </w:t>
      </w:r>
      <w:r w:rsidR="00F70D2C" w:rsidRPr="00696921">
        <w:rPr>
          <w:color w:val="000000" w:themeColor="text1"/>
        </w:rPr>
        <w:t xml:space="preserve">grounds relating to issue estoppel, abuse of process and lack of clarity. </w:t>
      </w:r>
      <w:r w:rsidR="004B1EE7" w:rsidRPr="00696921">
        <w:rPr>
          <w:color w:val="000000" w:themeColor="text1"/>
        </w:rPr>
        <w:t>In her written submissions,</w:t>
      </w:r>
      <w:r w:rsidR="00F70D2C" w:rsidRPr="00696921">
        <w:rPr>
          <w:color w:val="000000" w:themeColor="text1"/>
        </w:rPr>
        <w:t xml:space="preserve"> the Minister suggested that this was “</w:t>
      </w:r>
      <w:r w:rsidR="00F70D2C" w:rsidRPr="00696921">
        <w:rPr>
          <w:i/>
          <w:color w:val="000000" w:themeColor="text1"/>
        </w:rPr>
        <w:t>in blatant disregard</w:t>
      </w:r>
      <w:r w:rsidR="00F70D2C" w:rsidRPr="00696921">
        <w:rPr>
          <w:color w:val="000000" w:themeColor="text1"/>
        </w:rPr>
        <w:t xml:space="preserve">” of section 16(11) of the 2003 Act </w:t>
      </w:r>
      <w:r w:rsidR="001E701B" w:rsidRPr="00696921">
        <w:rPr>
          <w:color w:val="000000" w:themeColor="text1"/>
        </w:rPr>
        <w:t xml:space="preserve">and </w:t>
      </w:r>
      <w:r w:rsidR="004B1EE7" w:rsidRPr="00696921">
        <w:rPr>
          <w:color w:val="000000" w:themeColor="text1"/>
        </w:rPr>
        <w:t>submitted that</w:t>
      </w:r>
      <w:r w:rsidR="001E701B" w:rsidRPr="00696921">
        <w:rPr>
          <w:color w:val="000000" w:themeColor="text1"/>
        </w:rPr>
        <w:t xml:space="preserve"> the Appellant should be “</w:t>
      </w:r>
      <w:r w:rsidR="001E701B" w:rsidRPr="00696921">
        <w:rPr>
          <w:i/>
          <w:color w:val="000000" w:themeColor="text1"/>
        </w:rPr>
        <w:t>prevented</w:t>
      </w:r>
      <w:r w:rsidR="001E701B" w:rsidRPr="00696921">
        <w:rPr>
          <w:color w:val="000000" w:themeColor="text1"/>
        </w:rPr>
        <w:t>” from purs</w:t>
      </w:r>
      <w:r w:rsidR="004B1EE7" w:rsidRPr="00696921">
        <w:rPr>
          <w:color w:val="000000" w:themeColor="text1"/>
        </w:rPr>
        <w:t xml:space="preserve">uing </w:t>
      </w:r>
      <w:r w:rsidR="001E701B" w:rsidRPr="00696921">
        <w:rPr>
          <w:color w:val="000000" w:themeColor="text1"/>
        </w:rPr>
        <w:t>these additional grounds</w:t>
      </w:r>
      <w:r w:rsidR="004B1EE7" w:rsidRPr="00696921">
        <w:rPr>
          <w:color w:val="000000" w:themeColor="text1"/>
        </w:rPr>
        <w:t>. S</w:t>
      </w:r>
      <w:r w:rsidR="004868CC" w:rsidRPr="00696921">
        <w:rPr>
          <w:color w:val="000000" w:themeColor="text1"/>
        </w:rPr>
        <w:t>ensibly</w:t>
      </w:r>
      <w:r w:rsidR="004B1EE7" w:rsidRPr="00696921">
        <w:rPr>
          <w:color w:val="000000" w:themeColor="text1"/>
        </w:rPr>
        <w:t>,</w:t>
      </w:r>
      <w:r w:rsidR="004868CC" w:rsidRPr="00696921">
        <w:rPr>
          <w:color w:val="000000" w:themeColor="text1"/>
        </w:rPr>
        <w:t xml:space="preserve"> </w:t>
      </w:r>
      <w:r w:rsidR="001E701B" w:rsidRPr="00696921">
        <w:rPr>
          <w:color w:val="000000" w:themeColor="text1"/>
        </w:rPr>
        <w:t xml:space="preserve">that </w:t>
      </w:r>
      <w:r w:rsidR="00F70D2C" w:rsidRPr="00696921">
        <w:rPr>
          <w:color w:val="000000" w:themeColor="text1"/>
        </w:rPr>
        <w:t xml:space="preserve">objection </w:t>
      </w:r>
      <w:r w:rsidR="001E701B" w:rsidRPr="00696921">
        <w:rPr>
          <w:color w:val="000000" w:themeColor="text1"/>
        </w:rPr>
        <w:t>was not pressed</w:t>
      </w:r>
      <w:r w:rsidR="004B1EE7" w:rsidRPr="00696921">
        <w:rPr>
          <w:color w:val="000000" w:themeColor="text1"/>
        </w:rPr>
        <w:t xml:space="preserve"> at the hearing of the appeal</w:t>
      </w:r>
      <w:r w:rsidR="00033C03" w:rsidRPr="00696921">
        <w:rPr>
          <w:color w:val="000000" w:themeColor="text1"/>
        </w:rPr>
        <w:t xml:space="preserve">. There is a </w:t>
      </w:r>
      <w:r w:rsidR="001E701B" w:rsidRPr="00696921">
        <w:rPr>
          <w:color w:val="000000" w:themeColor="text1"/>
        </w:rPr>
        <w:t xml:space="preserve">consistent </w:t>
      </w:r>
      <w:r w:rsidR="00033C03" w:rsidRPr="00696921">
        <w:rPr>
          <w:color w:val="000000" w:themeColor="text1"/>
        </w:rPr>
        <w:t xml:space="preserve">line of authority </w:t>
      </w:r>
      <w:r w:rsidR="004B1EE7" w:rsidRPr="00696921">
        <w:rPr>
          <w:color w:val="000000" w:themeColor="text1"/>
        </w:rPr>
        <w:t>–</w:t>
      </w:r>
      <w:r w:rsidR="00033C03" w:rsidRPr="00696921">
        <w:rPr>
          <w:color w:val="000000" w:themeColor="text1"/>
        </w:rPr>
        <w:t xml:space="preserve"> </w:t>
      </w:r>
      <w:r w:rsidR="004B1EE7" w:rsidRPr="00696921">
        <w:rPr>
          <w:color w:val="000000" w:themeColor="text1"/>
        </w:rPr>
        <w:t xml:space="preserve">going </w:t>
      </w:r>
      <w:r w:rsidR="001D0134" w:rsidRPr="00696921">
        <w:rPr>
          <w:color w:val="000000" w:themeColor="text1"/>
        </w:rPr>
        <w:t xml:space="preserve">back </w:t>
      </w:r>
      <w:r w:rsidR="004B1EE7" w:rsidRPr="00696921">
        <w:rPr>
          <w:color w:val="000000" w:themeColor="text1"/>
        </w:rPr>
        <w:t>to</w:t>
      </w:r>
      <w:r w:rsidR="00033C03" w:rsidRPr="00696921">
        <w:rPr>
          <w:color w:val="000000" w:themeColor="text1"/>
        </w:rPr>
        <w:t xml:space="preserve"> </w:t>
      </w:r>
      <w:r w:rsidR="00033C03" w:rsidRPr="00696921">
        <w:rPr>
          <w:rStyle w:val="Emphasis"/>
          <w:rFonts w:ascii="Arial" w:hAnsi="Arial" w:cs="Arial"/>
          <w:color w:val="000000" w:themeColor="text1"/>
          <w:sz w:val="19"/>
          <w:szCs w:val="19"/>
          <w:shd w:val="clear" w:color="auto" w:fill="FFFFFF"/>
        </w:rPr>
        <w:t> </w:t>
      </w:r>
      <w:r w:rsidR="00033C03" w:rsidRPr="00696921">
        <w:rPr>
          <w:rStyle w:val="Emphasis"/>
          <w:i w:val="0"/>
          <w:color w:val="000000" w:themeColor="text1"/>
          <w:shd w:val="clear" w:color="auto" w:fill="FFFFFF"/>
        </w:rPr>
        <w:t xml:space="preserve">the </w:t>
      </w:r>
      <w:r w:rsidR="004B1EE7" w:rsidRPr="00696921">
        <w:rPr>
          <w:rStyle w:val="Emphasis"/>
          <w:i w:val="0"/>
          <w:color w:val="000000" w:themeColor="text1"/>
          <w:shd w:val="clear" w:color="auto" w:fill="FFFFFF"/>
        </w:rPr>
        <w:t xml:space="preserve">Supreme Court’s </w:t>
      </w:r>
      <w:r w:rsidR="00033C03" w:rsidRPr="00696921">
        <w:rPr>
          <w:rStyle w:val="Emphasis"/>
          <w:i w:val="0"/>
          <w:color w:val="000000" w:themeColor="text1"/>
          <w:shd w:val="clear" w:color="auto" w:fill="FFFFFF"/>
        </w:rPr>
        <w:t xml:space="preserve">decision </w:t>
      </w:r>
      <w:r w:rsidR="004B1EE7" w:rsidRPr="00696921">
        <w:rPr>
          <w:rStyle w:val="Emphasis"/>
          <w:i w:val="0"/>
          <w:color w:val="000000" w:themeColor="text1"/>
          <w:shd w:val="clear" w:color="auto" w:fill="FFFFFF"/>
        </w:rPr>
        <w:t>i</w:t>
      </w:r>
      <w:r w:rsidR="00033C03" w:rsidRPr="00696921">
        <w:rPr>
          <w:rStyle w:val="Emphasis"/>
          <w:i w:val="0"/>
          <w:color w:val="000000" w:themeColor="text1"/>
          <w:shd w:val="clear" w:color="auto" w:fill="FFFFFF"/>
        </w:rPr>
        <w:t>n</w:t>
      </w:r>
      <w:r w:rsidR="00033C03" w:rsidRPr="00696921">
        <w:rPr>
          <w:rStyle w:val="Emphasis"/>
          <w:color w:val="000000" w:themeColor="text1"/>
          <w:shd w:val="clear" w:color="auto" w:fill="FFFFFF"/>
        </w:rPr>
        <w:t xml:space="preserve"> People (Attorney General) v  Giles </w:t>
      </w:r>
      <w:r w:rsidR="00033C03" w:rsidRPr="00696921">
        <w:rPr>
          <w:rStyle w:val="Emphasis"/>
          <w:i w:val="0"/>
          <w:color w:val="000000" w:themeColor="text1"/>
          <w:shd w:val="clear" w:color="auto" w:fill="FFFFFF"/>
        </w:rPr>
        <w:t xml:space="preserve">[1974] IR 422 </w:t>
      </w:r>
      <w:r w:rsidR="00157F6D" w:rsidRPr="00696921">
        <w:rPr>
          <w:color w:val="000000" w:themeColor="text1"/>
        </w:rPr>
        <w:t xml:space="preserve">– </w:t>
      </w:r>
      <w:r w:rsidR="009E436D" w:rsidRPr="00696921">
        <w:rPr>
          <w:color w:val="000000" w:themeColor="text1"/>
        </w:rPr>
        <w:t xml:space="preserve">to the effect that the </w:t>
      </w:r>
      <w:r w:rsidR="00033C03" w:rsidRPr="00696921">
        <w:rPr>
          <w:color w:val="000000" w:themeColor="text1"/>
        </w:rPr>
        <w:t xml:space="preserve">statutory </w:t>
      </w:r>
      <w:r w:rsidR="009E436D" w:rsidRPr="00696921">
        <w:rPr>
          <w:color w:val="000000" w:themeColor="text1"/>
        </w:rPr>
        <w:t xml:space="preserve">formula employed </w:t>
      </w:r>
      <w:r w:rsidR="00033C03" w:rsidRPr="00696921">
        <w:rPr>
          <w:color w:val="000000" w:themeColor="text1"/>
        </w:rPr>
        <w:t>in</w:t>
      </w:r>
      <w:r w:rsidR="009E436D" w:rsidRPr="00696921">
        <w:rPr>
          <w:color w:val="000000" w:themeColor="text1"/>
        </w:rPr>
        <w:t xml:space="preserve"> section 16(11) does not </w:t>
      </w:r>
      <w:r w:rsidR="00033C03" w:rsidRPr="00696921">
        <w:rPr>
          <w:color w:val="000000" w:themeColor="text1"/>
        </w:rPr>
        <w:t>preclude</w:t>
      </w:r>
      <w:r w:rsidR="009E436D" w:rsidRPr="00696921">
        <w:rPr>
          <w:color w:val="000000" w:themeColor="text1"/>
        </w:rPr>
        <w:t xml:space="preserve"> additional grounds being pursued </w:t>
      </w:r>
      <w:r w:rsidR="00696921">
        <w:rPr>
          <w:color w:val="000000" w:themeColor="text1"/>
        </w:rPr>
        <w:t>once</w:t>
      </w:r>
      <w:r w:rsidR="004868CC" w:rsidRPr="00696921">
        <w:rPr>
          <w:color w:val="000000" w:themeColor="text1"/>
        </w:rPr>
        <w:t xml:space="preserve"> a</w:t>
      </w:r>
      <w:r w:rsidR="009E436D" w:rsidRPr="00696921">
        <w:rPr>
          <w:color w:val="000000" w:themeColor="text1"/>
        </w:rPr>
        <w:t xml:space="preserve"> certificate </w:t>
      </w:r>
      <w:r w:rsidR="004868CC" w:rsidRPr="00696921">
        <w:rPr>
          <w:color w:val="000000" w:themeColor="text1"/>
        </w:rPr>
        <w:t>has been</w:t>
      </w:r>
      <w:r w:rsidR="009E436D" w:rsidRPr="00696921">
        <w:rPr>
          <w:color w:val="000000" w:themeColor="text1"/>
        </w:rPr>
        <w:t xml:space="preserve"> granted</w:t>
      </w:r>
      <w:r w:rsidR="00033C03" w:rsidRPr="00696921">
        <w:rPr>
          <w:color w:val="000000" w:themeColor="text1"/>
        </w:rPr>
        <w:t>. Section 16(11)</w:t>
      </w:r>
      <w:r w:rsidR="004868CC" w:rsidRPr="00696921">
        <w:rPr>
          <w:color w:val="000000" w:themeColor="text1"/>
        </w:rPr>
        <w:t xml:space="preserve"> </w:t>
      </w:r>
      <w:r w:rsidR="00033C03" w:rsidRPr="00696921">
        <w:rPr>
          <w:color w:val="000000" w:themeColor="text1"/>
        </w:rPr>
        <w:t xml:space="preserve">itself was considered by the Supreme Court in </w:t>
      </w:r>
      <w:r w:rsidR="00033C03" w:rsidRPr="00696921">
        <w:rPr>
          <w:i/>
          <w:iCs/>
          <w:color w:val="000000" w:themeColor="text1"/>
          <w:lang w:eastAsia="en-IE"/>
        </w:rPr>
        <w:t>Minister for Justice v Connolly</w:t>
      </w:r>
      <w:r w:rsidR="00033C03" w:rsidRPr="00696921">
        <w:rPr>
          <w:color w:val="000000" w:themeColor="text1"/>
          <w:lang w:eastAsia="en-IE"/>
        </w:rPr>
        <w:t xml:space="preserve"> [2014] IESC 34, [2014] 1 IR 720 and it is clear from the judgment of Hardiman J (with which the other members of the court agreed) that </w:t>
      </w:r>
      <w:r w:rsidR="00033C03" w:rsidRPr="00696921">
        <w:rPr>
          <w:i/>
          <w:color w:val="000000" w:themeColor="text1"/>
          <w:lang w:eastAsia="en-IE"/>
        </w:rPr>
        <w:t>“</w:t>
      </w:r>
      <w:r w:rsidR="00033C03" w:rsidRPr="00696921">
        <w:rPr>
          <w:i/>
          <w:color w:val="000000" w:themeColor="text1"/>
          <w:shd w:val="clear" w:color="auto" w:fill="FFFFFF"/>
        </w:rPr>
        <w:t>it is open to this court in the present appeal to consider any point which arises, and not simply the particular [points] which [were] certified.”</w:t>
      </w:r>
    </w:p>
    <w:p w14:paraId="1BA17DE1" w14:textId="77777777" w:rsidR="00033C03" w:rsidRPr="00696921" w:rsidRDefault="00033C03" w:rsidP="00033C03">
      <w:pPr>
        <w:pStyle w:val="ListParagraph"/>
        <w:spacing w:line="480" w:lineRule="auto"/>
        <w:jc w:val="both"/>
        <w:rPr>
          <w:color w:val="000000" w:themeColor="text1"/>
        </w:rPr>
      </w:pPr>
    </w:p>
    <w:p w14:paraId="1D66F080" w14:textId="7C248C67" w:rsidR="00033C03" w:rsidRPr="00696921" w:rsidRDefault="00033C03" w:rsidP="00033C03">
      <w:pPr>
        <w:pStyle w:val="ListParagraph"/>
        <w:numPr>
          <w:ilvl w:val="0"/>
          <w:numId w:val="1"/>
        </w:numPr>
        <w:spacing w:line="480" w:lineRule="auto"/>
        <w:ind w:hanging="720"/>
        <w:jc w:val="both"/>
        <w:rPr>
          <w:color w:val="000000" w:themeColor="text1"/>
        </w:rPr>
      </w:pPr>
      <w:r w:rsidRPr="00696921">
        <w:rPr>
          <w:color w:val="000000" w:themeColor="text1"/>
        </w:rPr>
        <w:t>On the</w:t>
      </w:r>
      <w:r w:rsidR="004B1EE7" w:rsidRPr="00696921">
        <w:rPr>
          <w:color w:val="000000" w:themeColor="text1"/>
        </w:rPr>
        <w:t xml:space="preserve"> non-certified </w:t>
      </w:r>
      <w:r w:rsidRPr="00696921">
        <w:rPr>
          <w:color w:val="000000" w:themeColor="text1"/>
        </w:rPr>
        <w:t xml:space="preserve">grounds the parties largely </w:t>
      </w:r>
      <w:r w:rsidR="004B1EE7" w:rsidRPr="00696921">
        <w:rPr>
          <w:color w:val="000000" w:themeColor="text1"/>
        </w:rPr>
        <w:t>rehearsed</w:t>
      </w:r>
      <w:r w:rsidRPr="00696921">
        <w:rPr>
          <w:color w:val="000000" w:themeColor="text1"/>
        </w:rPr>
        <w:t xml:space="preserve"> their respective arguments before the High Court. Mr Carroll laid some emphasis </w:t>
      </w:r>
      <w:r w:rsidR="00A57F71" w:rsidRPr="00696921">
        <w:rPr>
          <w:color w:val="000000" w:themeColor="text1"/>
        </w:rPr>
        <w:t xml:space="preserve">on the recent decision of this Court in </w:t>
      </w:r>
      <w:r w:rsidR="00840C83" w:rsidRPr="00696921">
        <w:rPr>
          <w:i/>
          <w:color w:val="000000" w:themeColor="text1"/>
        </w:rPr>
        <w:t>Minister for Justice and Equality v Leopold</w:t>
      </w:r>
      <w:r w:rsidR="00840C83" w:rsidRPr="00696921">
        <w:rPr>
          <w:color w:val="000000" w:themeColor="text1"/>
        </w:rPr>
        <w:t xml:space="preserve"> </w:t>
      </w:r>
      <w:r w:rsidR="004B1EE7" w:rsidRPr="00696921">
        <w:rPr>
          <w:color w:val="000000" w:themeColor="text1"/>
        </w:rPr>
        <w:t>(</w:t>
      </w:r>
      <w:r w:rsidR="003B5BBD" w:rsidRPr="00696921">
        <w:rPr>
          <w:i/>
          <w:color w:val="000000" w:themeColor="text1"/>
        </w:rPr>
        <w:t>E</w:t>
      </w:r>
      <w:r w:rsidR="004B1EE7" w:rsidRPr="00696921">
        <w:rPr>
          <w:i/>
          <w:color w:val="000000" w:themeColor="text1"/>
        </w:rPr>
        <w:t>x tempore</w:t>
      </w:r>
      <w:r w:rsidR="004B1EE7" w:rsidRPr="00696921">
        <w:rPr>
          <w:color w:val="000000" w:themeColor="text1"/>
        </w:rPr>
        <w:t xml:space="preserve">, 22 January 2021) in support of the </w:t>
      </w:r>
      <w:r w:rsidR="00BD3D6E" w:rsidRPr="00696921">
        <w:rPr>
          <w:color w:val="000000" w:themeColor="text1"/>
        </w:rPr>
        <w:t xml:space="preserve">issue estoppel point. </w:t>
      </w:r>
      <w:r w:rsidR="004B1EE7" w:rsidRPr="00696921">
        <w:rPr>
          <w:color w:val="000000" w:themeColor="text1"/>
        </w:rPr>
        <w:t xml:space="preserve"> </w:t>
      </w:r>
    </w:p>
    <w:p w14:paraId="112532D6" w14:textId="76E45A17" w:rsidR="000F2E57" w:rsidRPr="00696921" w:rsidRDefault="000F2E57">
      <w:pPr>
        <w:spacing w:after="160" w:line="259" w:lineRule="auto"/>
        <w:rPr>
          <w:color w:val="000000" w:themeColor="text1"/>
        </w:rPr>
      </w:pPr>
      <w:r w:rsidRPr="00696921">
        <w:rPr>
          <w:color w:val="000000" w:themeColor="text1"/>
        </w:rPr>
        <w:br w:type="page"/>
      </w:r>
    </w:p>
    <w:p w14:paraId="316122E9" w14:textId="77777777" w:rsidR="004868CC" w:rsidRPr="00696921" w:rsidRDefault="004868CC" w:rsidP="004868CC">
      <w:pPr>
        <w:pStyle w:val="ListParagraph"/>
        <w:spacing w:line="480" w:lineRule="auto"/>
        <w:jc w:val="both"/>
        <w:rPr>
          <w:color w:val="000000" w:themeColor="text1"/>
        </w:rPr>
      </w:pPr>
    </w:p>
    <w:p w14:paraId="5B1BECC8" w14:textId="77777777" w:rsidR="004868CC" w:rsidRPr="00696921" w:rsidRDefault="004868CC" w:rsidP="004868CC">
      <w:pPr>
        <w:pStyle w:val="ListParagraph"/>
        <w:spacing w:line="480" w:lineRule="auto"/>
        <w:ind w:left="0"/>
        <w:jc w:val="center"/>
        <w:rPr>
          <w:b/>
          <w:color w:val="000000" w:themeColor="text1"/>
        </w:rPr>
      </w:pPr>
      <w:r w:rsidRPr="00696921">
        <w:rPr>
          <w:b/>
          <w:color w:val="000000" w:themeColor="text1"/>
        </w:rPr>
        <w:t>DECISION</w:t>
      </w:r>
    </w:p>
    <w:p w14:paraId="59579D38" w14:textId="77777777" w:rsidR="004868CC" w:rsidRPr="00696921" w:rsidRDefault="004868CC" w:rsidP="004868CC">
      <w:pPr>
        <w:pStyle w:val="ListParagraph"/>
        <w:spacing w:line="480" w:lineRule="auto"/>
        <w:ind w:left="0"/>
        <w:jc w:val="center"/>
        <w:rPr>
          <w:b/>
          <w:color w:val="000000" w:themeColor="text1"/>
        </w:rPr>
      </w:pPr>
    </w:p>
    <w:p w14:paraId="1137465D" w14:textId="77777777" w:rsidR="004868CC" w:rsidRPr="00696921" w:rsidRDefault="004868CC" w:rsidP="004868CC">
      <w:pPr>
        <w:pStyle w:val="ListParagraph"/>
        <w:spacing w:line="480" w:lineRule="auto"/>
        <w:ind w:left="0"/>
        <w:jc w:val="both"/>
        <w:rPr>
          <w:b/>
          <w:i/>
          <w:color w:val="000000" w:themeColor="text1"/>
        </w:rPr>
      </w:pPr>
      <w:r w:rsidRPr="00696921">
        <w:rPr>
          <w:b/>
          <w:color w:val="000000" w:themeColor="text1"/>
        </w:rPr>
        <w:tab/>
      </w:r>
      <w:r w:rsidRPr="00696921">
        <w:rPr>
          <w:b/>
          <w:i/>
          <w:color w:val="000000" w:themeColor="text1"/>
        </w:rPr>
        <w:t>The Certified Points</w:t>
      </w:r>
    </w:p>
    <w:p w14:paraId="1093092C" w14:textId="77777777" w:rsidR="004868CC" w:rsidRPr="00696921" w:rsidRDefault="004868CC" w:rsidP="004868CC">
      <w:pPr>
        <w:pStyle w:val="ListParagraph"/>
        <w:spacing w:line="480" w:lineRule="auto"/>
        <w:ind w:left="0"/>
        <w:jc w:val="both"/>
        <w:rPr>
          <w:b/>
          <w:i/>
          <w:color w:val="000000" w:themeColor="text1"/>
        </w:rPr>
      </w:pPr>
    </w:p>
    <w:p w14:paraId="73D396FA" w14:textId="43C423DE" w:rsidR="007774EE" w:rsidRPr="00696921" w:rsidRDefault="004868CC" w:rsidP="00033C03">
      <w:pPr>
        <w:pStyle w:val="ListParagraph"/>
        <w:numPr>
          <w:ilvl w:val="0"/>
          <w:numId w:val="1"/>
        </w:numPr>
        <w:spacing w:line="480" w:lineRule="auto"/>
        <w:ind w:hanging="720"/>
        <w:jc w:val="both"/>
        <w:rPr>
          <w:color w:val="000000" w:themeColor="text1"/>
        </w:rPr>
      </w:pPr>
      <w:r w:rsidRPr="00696921">
        <w:rPr>
          <w:color w:val="000000" w:themeColor="text1"/>
        </w:rPr>
        <w:t xml:space="preserve">For the reasons </w:t>
      </w:r>
      <w:r w:rsidR="004B1EE7" w:rsidRPr="00696921">
        <w:rPr>
          <w:color w:val="000000" w:themeColor="text1"/>
        </w:rPr>
        <w:t xml:space="preserve">that I have </w:t>
      </w:r>
      <w:r w:rsidRPr="00696921">
        <w:rPr>
          <w:color w:val="000000" w:themeColor="text1"/>
        </w:rPr>
        <w:t xml:space="preserve">set out in </w:t>
      </w:r>
      <w:r w:rsidR="00BD3D6E" w:rsidRPr="00696921">
        <w:rPr>
          <w:color w:val="000000" w:themeColor="text1"/>
        </w:rPr>
        <w:t xml:space="preserve">the </w:t>
      </w:r>
      <w:r w:rsidRPr="00696921">
        <w:rPr>
          <w:color w:val="000000" w:themeColor="text1"/>
        </w:rPr>
        <w:t xml:space="preserve">judgment </w:t>
      </w:r>
      <w:r w:rsidR="00BD3D6E" w:rsidRPr="00696921">
        <w:rPr>
          <w:color w:val="000000" w:themeColor="text1"/>
        </w:rPr>
        <w:t>which I have given t</w:t>
      </w:r>
      <w:r w:rsidRPr="00696921">
        <w:rPr>
          <w:color w:val="000000" w:themeColor="text1"/>
        </w:rPr>
        <w:t xml:space="preserve">oday in </w:t>
      </w:r>
      <w:r w:rsidRPr="00696921">
        <w:rPr>
          <w:i/>
          <w:color w:val="000000" w:themeColor="text1"/>
        </w:rPr>
        <w:t xml:space="preserve">Szamota, </w:t>
      </w:r>
      <w:r w:rsidRPr="00696921">
        <w:rPr>
          <w:color w:val="000000" w:themeColor="text1"/>
        </w:rPr>
        <w:t xml:space="preserve">I </w:t>
      </w:r>
      <w:r w:rsidR="00192FFD" w:rsidRPr="00696921">
        <w:rPr>
          <w:color w:val="000000" w:themeColor="text1"/>
        </w:rPr>
        <w:t>consider</w:t>
      </w:r>
      <w:r w:rsidRPr="00696921">
        <w:rPr>
          <w:color w:val="000000" w:themeColor="text1"/>
        </w:rPr>
        <w:t xml:space="preserve"> that the questions raised by the certified points are such that a decision on those questions from the CJEU is necessary to enable this Court to give judgment on those points and that it is therefore appropriate to</w:t>
      </w:r>
      <w:r w:rsidR="007774EE" w:rsidRPr="00696921">
        <w:rPr>
          <w:color w:val="000000" w:themeColor="text1"/>
        </w:rPr>
        <w:t xml:space="preserve"> exercise this Court’s power to</w:t>
      </w:r>
      <w:r w:rsidRPr="00696921">
        <w:rPr>
          <w:color w:val="000000" w:themeColor="text1"/>
        </w:rPr>
        <w:t xml:space="preserve"> </w:t>
      </w:r>
      <w:r w:rsidR="007774EE" w:rsidRPr="00696921">
        <w:rPr>
          <w:color w:val="000000" w:themeColor="text1"/>
        </w:rPr>
        <w:t xml:space="preserve">make a reference to the Court of Justice under Article 267 TFEU. </w:t>
      </w:r>
    </w:p>
    <w:p w14:paraId="1753E54A" w14:textId="77777777" w:rsidR="007774EE" w:rsidRPr="00696921" w:rsidRDefault="007774EE" w:rsidP="007774EE">
      <w:pPr>
        <w:pStyle w:val="ListParagraph"/>
        <w:spacing w:line="480" w:lineRule="auto"/>
        <w:jc w:val="both"/>
        <w:rPr>
          <w:color w:val="000000" w:themeColor="text1"/>
        </w:rPr>
      </w:pPr>
    </w:p>
    <w:p w14:paraId="08901417" w14:textId="649672F1" w:rsidR="004868CC" w:rsidRPr="00696921" w:rsidRDefault="007774EE" w:rsidP="00033C03">
      <w:pPr>
        <w:pStyle w:val="ListParagraph"/>
        <w:numPr>
          <w:ilvl w:val="0"/>
          <w:numId w:val="1"/>
        </w:numPr>
        <w:spacing w:line="480" w:lineRule="auto"/>
        <w:ind w:hanging="720"/>
        <w:jc w:val="both"/>
        <w:rPr>
          <w:color w:val="000000" w:themeColor="text1"/>
        </w:rPr>
      </w:pPr>
      <w:r w:rsidRPr="00696921">
        <w:rPr>
          <w:color w:val="000000" w:themeColor="text1"/>
        </w:rPr>
        <w:t xml:space="preserve">The Court has had the benefit of submissions from the parties as to the form of questions to be referred in the event that the Court concluded that such a reference was appropriate. </w:t>
      </w:r>
      <w:r w:rsidR="004B1EE7" w:rsidRPr="00696921">
        <w:rPr>
          <w:color w:val="000000" w:themeColor="text1"/>
        </w:rPr>
        <w:t xml:space="preserve">The Court has </w:t>
      </w:r>
      <w:r w:rsidRPr="00696921">
        <w:rPr>
          <w:color w:val="000000" w:themeColor="text1"/>
        </w:rPr>
        <w:t xml:space="preserve">had regard to those submissions in formulating the draft questions set out at the end of this judgment. A draft </w:t>
      </w:r>
      <w:r w:rsidR="00411CEF" w:rsidRPr="00696921">
        <w:rPr>
          <w:color w:val="000000" w:themeColor="text1"/>
        </w:rPr>
        <w:t>O</w:t>
      </w:r>
      <w:r w:rsidRPr="00696921">
        <w:rPr>
          <w:color w:val="000000" w:themeColor="text1"/>
        </w:rPr>
        <w:t xml:space="preserve">rder for </w:t>
      </w:r>
      <w:r w:rsidR="00411CEF" w:rsidRPr="00696921">
        <w:rPr>
          <w:color w:val="000000" w:themeColor="text1"/>
        </w:rPr>
        <w:t>R</w:t>
      </w:r>
      <w:r w:rsidRPr="00696921">
        <w:rPr>
          <w:color w:val="000000" w:themeColor="text1"/>
        </w:rPr>
        <w:t xml:space="preserve">eference is </w:t>
      </w:r>
      <w:r w:rsidR="00411CEF" w:rsidRPr="00696921">
        <w:rPr>
          <w:color w:val="000000" w:themeColor="text1"/>
        </w:rPr>
        <w:t xml:space="preserve">being provided to the parties along with </w:t>
      </w:r>
      <w:r w:rsidRPr="00696921">
        <w:rPr>
          <w:color w:val="000000" w:themeColor="text1"/>
        </w:rPr>
        <w:t xml:space="preserve">this judgment and the parties will have a further </w:t>
      </w:r>
      <w:r w:rsidRPr="00696921">
        <w:rPr>
          <w:color w:val="000000" w:themeColor="text1"/>
          <w:u w:val="single"/>
        </w:rPr>
        <w:t>brief</w:t>
      </w:r>
      <w:r w:rsidRPr="00696921">
        <w:rPr>
          <w:color w:val="000000" w:themeColor="text1"/>
        </w:rPr>
        <w:t xml:space="preserve"> opportunity to make observations on that order (including the questions).</w:t>
      </w:r>
    </w:p>
    <w:p w14:paraId="08F1C880" w14:textId="77777777" w:rsidR="00E5332F" w:rsidRPr="00696921" w:rsidRDefault="00E5332F" w:rsidP="00E5332F">
      <w:pPr>
        <w:pStyle w:val="ListParagraph"/>
        <w:spacing w:line="480" w:lineRule="auto"/>
        <w:jc w:val="both"/>
        <w:rPr>
          <w:color w:val="000000" w:themeColor="text1"/>
        </w:rPr>
      </w:pPr>
    </w:p>
    <w:p w14:paraId="7025B0DE" w14:textId="331B0DA8" w:rsidR="00E5332F" w:rsidRPr="00696921" w:rsidRDefault="00E5332F" w:rsidP="00033C03">
      <w:pPr>
        <w:pStyle w:val="ListParagraph"/>
        <w:numPr>
          <w:ilvl w:val="0"/>
          <w:numId w:val="1"/>
        </w:numPr>
        <w:spacing w:line="480" w:lineRule="auto"/>
        <w:ind w:hanging="720"/>
        <w:jc w:val="both"/>
        <w:rPr>
          <w:color w:val="000000" w:themeColor="text1"/>
        </w:rPr>
      </w:pPr>
      <w:r w:rsidRPr="00696921">
        <w:rPr>
          <w:color w:val="000000" w:themeColor="text1"/>
        </w:rPr>
        <w:t>As already noted, the Appellant also relied on the fact that the “</w:t>
      </w:r>
      <w:r w:rsidRPr="00696921">
        <w:rPr>
          <w:i/>
          <w:color w:val="000000" w:themeColor="text1"/>
        </w:rPr>
        <w:t>triggering conviction”</w:t>
      </w:r>
      <w:r w:rsidRPr="00696921">
        <w:rPr>
          <w:color w:val="000000" w:themeColor="text1"/>
        </w:rPr>
        <w:t xml:space="preserve"> here was in respect of an offence – the Second Offence – </w:t>
      </w:r>
      <w:r w:rsidR="00410E58" w:rsidRPr="00696921">
        <w:rPr>
          <w:color w:val="000000" w:themeColor="text1"/>
        </w:rPr>
        <w:t>that</w:t>
      </w:r>
      <w:r w:rsidRPr="00696921">
        <w:rPr>
          <w:color w:val="000000" w:themeColor="text1"/>
        </w:rPr>
        <w:t xml:space="preserve"> is not an offence in Irish law (and in respect of which the surrender of the Appellant had previously been refused by the High Court (Donnelly J) on that basis). I agree with the Judge that this is </w:t>
      </w:r>
      <w:r w:rsidRPr="00696921">
        <w:rPr>
          <w:i/>
          <w:color w:val="000000" w:themeColor="text1"/>
        </w:rPr>
        <w:t>nihil ad rem.</w:t>
      </w:r>
      <w:r w:rsidR="00410E58" w:rsidRPr="00696921">
        <w:rPr>
          <w:i/>
          <w:color w:val="000000" w:themeColor="text1"/>
        </w:rPr>
        <w:t xml:space="preserve"> </w:t>
      </w:r>
      <w:r w:rsidR="00410E58" w:rsidRPr="00696921">
        <w:rPr>
          <w:color w:val="000000" w:themeColor="text1"/>
        </w:rPr>
        <w:t xml:space="preserve">In certain circumstances, the Framework Decision permits </w:t>
      </w:r>
      <w:r w:rsidR="005F2E2A" w:rsidRPr="00696921">
        <w:rPr>
          <w:color w:val="000000" w:themeColor="text1"/>
        </w:rPr>
        <w:t xml:space="preserve">(though does not require) </w:t>
      </w:r>
      <w:r w:rsidR="00410E58" w:rsidRPr="00696921">
        <w:rPr>
          <w:color w:val="000000" w:themeColor="text1"/>
        </w:rPr>
        <w:t xml:space="preserve">Member States to refuse surrender on the basis that the offence set out in the EAW </w:t>
      </w:r>
      <w:r w:rsidR="00B93D62" w:rsidRPr="00696921">
        <w:rPr>
          <w:color w:val="000000" w:themeColor="text1"/>
        </w:rPr>
        <w:t xml:space="preserve">is not an offence in the </w:t>
      </w:r>
      <w:r w:rsidR="005F2E2A" w:rsidRPr="00696921">
        <w:rPr>
          <w:color w:val="000000" w:themeColor="text1"/>
        </w:rPr>
        <w:t>executing</w:t>
      </w:r>
      <w:r w:rsidR="00B93D62" w:rsidRPr="00696921">
        <w:rPr>
          <w:color w:val="000000" w:themeColor="text1"/>
        </w:rPr>
        <w:t xml:space="preserve"> State (Article 4(1)). In respect of other offences, these give rise to surrender </w:t>
      </w:r>
      <w:r w:rsidR="00B93D62" w:rsidRPr="00696921">
        <w:rPr>
          <w:i/>
          <w:color w:val="000000" w:themeColor="text1"/>
        </w:rPr>
        <w:t>“</w:t>
      </w:r>
      <w:r w:rsidR="00B93D62" w:rsidRPr="00696921">
        <w:rPr>
          <w:i/>
          <w:color w:val="000000" w:themeColor="text1"/>
          <w:shd w:val="clear" w:color="auto" w:fill="FFFFFF"/>
        </w:rPr>
        <w:t>without verification of the double criminality of the act</w:t>
      </w:r>
      <w:r w:rsidR="00B93D62" w:rsidRPr="00696921">
        <w:rPr>
          <w:i/>
          <w:color w:val="000000" w:themeColor="text1"/>
        </w:rPr>
        <w:t>”</w:t>
      </w:r>
      <w:r w:rsidR="00B93D62" w:rsidRPr="00696921">
        <w:rPr>
          <w:color w:val="000000" w:themeColor="text1"/>
        </w:rPr>
        <w:t xml:space="preserve"> (Article 2(2)). In each case, the court of the </w:t>
      </w:r>
      <w:r w:rsidR="005F2E2A" w:rsidRPr="00696921">
        <w:rPr>
          <w:color w:val="000000" w:themeColor="text1"/>
        </w:rPr>
        <w:t>executing</w:t>
      </w:r>
      <w:r w:rsidR="00B93D62" w:rsidRPr="00696921">
        <w:rPr>
          <w:color w:val="000000" w:themeColor="text1"/>
        </w:rPr>
        <w:t xml:space="preserve"> State is concerned only with the offence(s) set out in the EAW. There is nothing in the Framework Decision – whether in Article 4a(1) or elsewhere – that entitles the courts of </w:t>
      </w:r>
      <w:r w:rsidR="005F2E2A" w:rsidRPr="00696921">
        <w:rPr>
          <w:color w:val="000000" w:themeColor="text1"/>
        </w:rPr>
        <w:t>the</w:t>
      </w:r>
      <w:r w:rsidR="00B93D62" w:rsidRPr="00696921">
        <w:rPr>
          <w:color w:val="000000" w:themeColor="text1"/>
        </w:rPr>
        <w:t xml:space="preserve"> </w:t>
      </w:r>
      <w:r w:rsidR="005F2E2A" w:rsidRPr="00696921">
        <w:rPr>
          <w:color w:val="000000" w:themeColor="text1"/>
        </w:rPr>
        <w:t>executing</w:t>
      </w:r>
      <w:r w:rsidR="00B93D62" w:rsidRPr="00696921">
        <w:rPr>
          <w:color w:val="000000" w:themeColor="text1"/>
        </w:rPr>
        <w:t xml:space="preserve"> State to impose any broader requirement for  correspondence/dual criminality. Nor is there is any basis for doing so in Article 6 ECHR. </w:t>
      </w:r>
      <w:r w:rsidR="005F2E2A" w:rsidRPr="00696921">
        <w:rPr>
          <w:color w:val="000000" w:themeColor="text1"/>
        </w:rPr>
        <w:t xml:space="preserve">Article 6 ECHR does not require Contracting States to have identical criminal codes. </w:t>
      </w:r>
      <w:r w:rsidR="00B93D62" w:rsidRPr="00696921">
        <w:rPr>
          <w:color w:val="000000" w:themeColor="text1"/>
        </w:rPr>
        <w:t xml:space="preserve">The only Article 6 issue arising here is that the Appellant was convicted for the Second Offence </w:t>
      </w:r>
      <w:r w:rsidR="00B93D62" w:rsidRPr="00696921">
        <w:rPr>
          <w:i/>
          <w:color w:val="000000" w:themeColor="text1"/>
        </w:rPr>
        <w:t xml:space="preserve">in absentia. </w:t>
      </w:r>
      <w:r w:rsidR="00B93D62" w:rsidRPr="00696921">
        <w:rPr>
          <w:color w:val="000000" w:themeColor="text1"/>
        </w:rPr>
        <w:t xml:space="preserve">If he had been present for his trial (or it was demonstrated that he had effectively waived his right to be present), there would be no basis for any Article 6 objection to surrender. </w:t>
      </w:r>
    </w:p>
    <w:p w14:paraId="2FE7BF59" w14:textId="77777777" w:rsidR="005F2E2A" w:rsidRPr="00696921" w:rsidRDefault="005F2E2A" w:rsidP="005F2E2A">
      <w:pPr>
        <w:pStyle w:val="ListParagraph"/>
        <w:spacing w:line="480" w:lineRule="auto"/>
        <w:jc w:val="both"/>
        <w:rPr>
          <w:color w:val="000000" w:themeColor="text1"/>
        </w:rPr>
      </w:pPr>
    </w:p>
    <w:p w14:paraId="18BA033E" w14:textId="716037F6" w:rsidR="005F2E2A" w:rsidRPr="00696921" w:rsidRDefault="005F2E2A" w:rsidP="00033C03">
      <w:pPr>
        <w:pStyle w:val="ListParagraph"/>
        <w:numPr>
          <w:ilvl w:val="0"/>
          <w:numId w:val="1"/>
        </w:numPr>
        <w:spacing w:line="480" w:lineRule="auto"/>
        <w:ind w:hanging="720"/>
        <w:jc w:val="both"/>
        <w:rPr>
          <w:color w:val="000000" w:themeColor="text1"/>
        </w:rPr>
      </w:pPr>
      <w:r w:rsidRPr="00696921">
        <w:rPr>
          <w:color w:val="000000" w:themeColor="text1"/>
        </w:rPr>
        <w:t>It follows that I would reject this ground  of objection, which explains why no reference to it is made in the draft order for reference or the proposed questions to be referred.</w:t>
      </w:r>
    </w:p>
    <w:p w14:paraId="4AA0CC03" w14:textId="77777777" w:rsidR="00BD3D6E" w:rsidRPr="00696921" w:rsidRDefault="00BD3D6E" w:rsidP="00BD3D6E">
      <w:pPr>
        <w:pStyle w:val="ListParagraph"/>
        <w:spacing w:line="480" w:lineRule="auto"/>
        <w:jc w:val="both"/>
        <w:rPr>
          <w:color w:val="000000" w:themeColor="text1"/>
        </w:rPr>
      </w:pPr>
    </w:p>
    <w:p w14:paraId="3A906750" w14:textId="142F0E07" w:rsidR="006E1F46" w:rsidRPr="00696921" w:rsidRDefault="006E1F46" w:rsidP="006E1F46">
      <w:pPr>
        <w:spacing w:line="480" w:lineRule="auto"/>
        <w:jc w:val="both"/>
        <w:rPr>
          <w:b/>
          <w:i/>
          <w:color w:val="000000" w:themeColor="text1"/>
        </w:rPr>
      </w:pPr>
      <w:r w:rsidRPr="00696921">
        <w:rPr>
          <w:b/>
          <w:i/>
          <w:color w:val="000000" w:themeColor="text1"/>
        </w:rPr>
        <w:tab/>
        <w:t>The Non-</w:t>
      </w:r>
      <w:r w:rsidR="003B5BBD" w:rsidRPr="00696921">
        <w:rPr>
          <w:b/>
          <w:i/>
          <w:color w:val="000000" w:themeColor="text1"/>
        </w:rPr>
        <w:t>C</w:t>
      </w:r>
      <w:r w:rsidRPr="00696921">
        <w:rPr>
          <w:b/>
          <w:i/>
          <w:color w:val="000000" w:themeColor="text1"/>
        </w:rPr>
        <w:t>ertified grounds</w:t>
      </w:r>
    </w:p>
    <w:p w14:paraId="50D82893" w14:textId="77777777" w:rsidR="006E1F46" w:rsidRPr="00696921" w:rsidRDefault="006E1F46" w:rsidP="006E1F46">
      <w:pPr>
        <w:spacing w:line="480" w:lineRule="auto"/>
        <w:jc w:val="both"/>
        <w:rPr>
          <w:b/>
          <w:color w:val="000000" w:themeColor="text1"/>
        </w:rPr>
      </w:pPr>
    </w:p>
    <w:p w14:paraId="0F99784E" w14:textId="38E0384E" w:rsidR="006E1F46" w:rsidRPr="00696921" w:rsidRDefault="00BD3D6E" w:rsidP="006E1F46">
      <w:pPr>
        <w:pStyle w:val="ListParagraph"/>
        <w:numPr>
          <w:ilvl w:val="0"/>
          <w:numId w:val="1"/>
        </w:numPr>
        <w:spacing w:line="480" w:lineRule="auto"/>
        <w:ind w:hanging="720"/>
        <w:jc w:val="both"/>
        <w:rPr>
          <w:color w:val="000000" w:themeColor="text1"/>
        </w:rPr>
      </w:pPr>
      <w:r w:rsidRPr="00696921">
        <w:rPr>
          <w:color w:val="000000" w:themeColor="text1"/>
        </w:rPr>
        <w:t>Notwithstanding the fact the Court is making a reference, t</w:t>
      </w:r>
      <w:r w:rsidR="006E1F46" w:rsidRPr="00696921">
        <w:rPr>
          <w:color w:val="000000" w:themeColor="text1"/>
        </w:rPr>
        <w:t xml:space="preserve">here is no reason why the non-certified grounds should not be determined at this stage. </w:t>
      </w:r>
    </w:p>
    <w:p w14:paraId="0DA90734" w14:textId="77777777" w:rsidR="006E1F46" w:rsidRPr="00696921" w:rsidRDefault="006E1F46" w:rsidP="006E1F46">
      <w:pPr>
        <w:pStyle w:val="ListParagraph"/>
        <w:spacing w:line="480" w:lineRule="auto"/>
        <w:jc w:val="both"/>
        <w:rPr>
          <w:color w:val="000000" w:themeColor="text1"/>
        </w:rPr>
      </w:pPr>
    </w:p>
    <w:p w14:paraId="28861894" w14:textId="229A6118" w:rsidR="000A26B7" w:rsidRPr="00696921" w:rsidRDefault="005C20DC" w:rsidP="000A26B7">
      <w:pPr>
        <w:pStyle w:val="ListParagraph"/>
        <w:numPr>
          <w:ilvl w:val="0"/>
          <w:numId w:val="1"/>
        </w:numPr>
        <w:spacing w:line="480" w:lineRule="auto"/>
        <w:ind w:hanging="720"/>
        <w:jc w:val="both"/>
        <w:rPr>
          <w:color w:val="000000" w:themeColor="text1"/>
        </w:rPr>
      </w:pPr>
      <w:r w:rsidRPr="00696921">
        <w:rPr>
          <w:color w:val="000000" w:themeColor="text1"/>
        </w:rPr>
        <w:t>In the first place, I am not persuaded that the doctrine of issue estoppel is any assistance to the Appellant here. As Mr Kennedy observed in argument, the Appellant has not identified any issue of fact or law</w:t>
      </w:r>
      <w:r w:rsidR="00FD1038" w:rsidRPr="00696921">
        <w:rPr>
          <w:color w:val="000000" w:themeColor="text1"/>
        </w:rPr>
        <w:t xml:space="preserve"> </w:t>
      </w:r>
      <w:r w:rsidR="00696921">
        <w:rPr>
          <w:color w:val="000000" w:themeColor="text1"/>
        </w:rPr>
        <w:t>that</w:t>
      </w:r>
      <w:r w:rsidRPr="00696921">
        <w:rPr>
          <w:color w:val="000000" w:themeColor="text1"/>
        </w:rPr>
        <w:t xml:space="preserve"> was determined by Donnelly J which </w:t>
      </w:r>
      <w:r w:rsidR="00BD3D6E" w:rsidRPr="00696921">
        <w:rPr>
          <w:color w:val="000000" w:themeColor="text1"/>
        </w:rPr>
        <w:t xml:space="preserve">is capable of </w:t>
      </w:r>
      <w:r w:rsidRPr="00696921">
        <w:rPr>
          <w:color w:val="000000" w:themeColor="text1"/>
        </w:rPr>
        <w:t>present</w:t>
      </w:r>
      <w:r w:rsidR="00BD3D6E" w:rsidRPr="00696921">
        <w:rPr>
          <w:color w:val="000000" w:themeColor="text1"/>
        </w:rPr>
        <w:t>ing</w:t>
      </w:r>
      <w:r w:rsidRPr="00696921">
        <w:rPr>
          <w:color w:val="000000" w:themeColor="text1"/>
        </w:rPr>
        <w:t xml:space="preserve"> a barrier to surrender here. The position is quite different to </w:t>
      </w:r>
      <w:r w:rsidR="00BD3D6E" w:rsidRPr="00696921">
        <w:rPr>
          <w:color w:val="000000" w:themeColor="text1"/>
        </w:rPr>
        <w:t>that</w:t>
      </w:r>
      <w:r w:rsidRPr="00696921">
        <w:rPr>
          <w:color w:val="000000" w:themeColor="text1"/>
        </w:rPr>
        <w:t xml:space="preserve"> in </w:t>
      </w:r>
      <w:r w:rsidRPr="00696921">
        <w:rPr>
          <w:i/>
          <w:color w:val="000000" w:themeColor="text1"/>
        </w:rPr>
        <w:t>Leopold</w:t>
      </w:r>
      <w:r w:rsidRPr="00696921">
        <w:rPr>
          <w:color w:val="000000" w:themeColor="text1"/>
        </w:rPr>
        <w:t xml:space="preserve"> where there was an earlier determination that certain of the offences for which Mr Leopold’s surrender was</w:t>
      </w:r>
      <w:r w:rsidR="00FD1038" w:rsidRPr="00696921">
        <w:rPr>
          <w:color w:val="000000" w:themeColor="text1"/>
        </w:rPr>
        <w:t xml:space="preserve"> again</w:t>
      </w:r>
      <w:r w:rsidRPr="00696921">
        <w:rPr>
          <w:color w:val="000000" w:themeColor="text1"/>
        </w:rPr>
        <w:t xml:space="preserve"> sought </w:t>
      </w:r>
      <w:r w:rsidR="00FD1038" w:rsidRPr="00696921">
        <w:rPr>
          <w:color w:val="000000" w:themeColor="text1"/>
        </w:rPr>
        <w:t xml:space="preserve">did not correspond to any offences in Irish law. That determination had not been appealed by the Minister. In the absence of correspondence, surrender could not be ordered so the application of the doctrine of issue estoppel was fatal to the application for surrender in respect of those offences. No equivalent finding was made by Donnelly J here. </w:t>
      </w:r>
      <w:r w:rsidR="00BD3D6E" w:rsidRPr="00696921">
        <w:rPr>
          <w:color w:val="000000" w:themeColor="text1"/>
        </w:rPr>
        <w:t xml:space="preserve">On the basis of </w:t>
      </w:r>
      <w:r w:rsidR="00FD1038" w:rsidRPr="00696921">
        <w:rPr>
          <w:color w:val="000000" w:themeColor="text1"/>
        </w:rPr>
        <w:t xml:space="preserve">the evidence </w:t>
      </w:r>
      <w:r w:rsidR="00BD3D6E" w:rsidRPr="00696921">
        <w:rPr>
          <w:color w:val="000000" w:themeColor="text1"/>
        </w:rPr>
        <w:t>before her</w:t>
      </w:r>
      <w:r w:rsidR="00FD1038" w:rsidRPr="00696921">
        <w:rPr>
          <w:color w:val="000000" w:themeColor="text1"/>
        </w:rPr>
        <w:t xml:space="preserve"> and the terms of </w:t>
      </w:r>
      <w:r w:rsidR="00BD3D6E" w:rsidRPr="00696921">
        <w:rPr>
          <w:color w:val="000000" w:themeColor="text1"/>
        </w:rPr>
        <w:t xml:space="preserve">a different </w:t>
      </w:r>
      <w:r w:rsidR="00FD1038" w:rsidRPr="00696921">
        <w:rPr>
          <w:color w:val="000000" w:themeColor="text1"/>
        </w:rPr>
        <w:t>EAW</w:t>
      </w:r>
      <w:r w:rsidR="00BD3D6E" w:rsidRPr="00696921">
        <w:rPr>
          <w:color w:val="000000" w:themeColor="text1"/>
        </w:rPr>
        <w:t>, she determined</w:t>
      </w:r>
      <w:r w:rsidR="00FD1038" w:rsidRPr="00696921">
        <w:rPr>
          <w:color w:val="000000" w:themeColor="text1"/>
        </w:rPr>
        <w:t xml:space="preserve"> that there appeared to be a mismatch between the purpose stated in the EAW (service of a sentence) and </w:t>
      </w:r>
      <w:r w:rsidR="00BD3D6E" w:rsidRPr="00696921">
        <w:rPr>
          <w:color w:val="000000" w:themeColor="text1"/>
        </w:rPr>
        <w:t>what the</w:t>
      </w:r>
      <w:r w:rsidR="00FD1038" w:rsidRPr="00696921">
        <w:rPr>
          <w:color w:val="000000" w:themeColor="text1"/>
        </w:rPr>
        <w:t xml:space="preserve"> evidence </w:t>
      </w:r>
      <w:r w:rsidR="00BD3D6E" w:rsidRPr="00696921">
        <w:rPr>
          <w:color w:val="000000" w:themeColor="text1"/>
        </w:rPr>
        <w:t xml:space="preserve">disclosed as what </w:t>
      </w:r>
      <w:r w:rsidR="00FD1038" w:rsidRPr="00696921">
        <w:rPr>
          <w:color w:val="000000" w:themeColor="text1"/>
        </w:rPr>
        <w:t xml:space="preserve">was to happen in the event that surrender was ordered (retrial). Her </w:t>
      </w:r>
      <w:r w:rsidR="000A26B7" w:rsidRPr="00696921">
        <w:rPr>
          <w:color w:val="000000" w:themeColor="text1"/>
        </w:rPr>
        <w:t>conclusion, based on the material before her, that the Appellant was facing a retrial is not a finding capable of binding the courts dealing with a later EAW, supported by different evidence which makes it clear that no retrial ha</w:t>
      </w:r>
      <w:r w:rsidR="00BD3D6E" w:rsidRPr="00696921">
        <w:rPr>
          <w:color w:val="000000" w:themeColor="text1"/>
        </w:rPr>
        <w:t>s</w:t>
      </w:r>
      <w:r w:rsidR="000A26B7" w:rsidRPr="00696921">
        <w:rPr>
          <w:color w:val="000000" w:themeColor="text1"/>
        </w:rPr>
        <w:t xml:space="preserve"> in fact been directed at any stage</w:t>
      </w:r>
      <w:r w:rsidR="00BD3D6E" w:rsidRPr="00696921">
        <w:rPr>
          <w:color w:val="000000" w:themeColor="text1"/>
        </w:rPr>
        <w:t xml:space="preserve"> and that the purpose for which Mr </w:t>
      </w:r>
      <w:proofErr w:type="spellStart"/>
      <w:r w:rsidR="009007E7" w:rsidRPr="00696921">
        <w:rPr>
          <w:color w:val="000000" w:themeColor="text1"/>
        </w:rPr>
        <w:t>Siklósi</w:t>
      </w:r>
      <w:r w:rsidR="00BD3D6E" w:rsidRPr="00696921">
        <w:rPr>
          <w:color w:val="000000" w:themeColor="text1"/>
        </w:rPr>
        <w:t>’s</w:t>
      </w:r>
      <w:proofErr w:type="spellEnd"/>
      <w:r w:rsidR="00BD3D6E" w:rsidRPr="00696921">
        <w:rPr>
          <w:color w:val="000000" w:themeColor="text1"/>
        </w:rPr>
        <w:t xml:space="preserve"> surrender is sought is indeed the service of a sentence of imprisonment.</w:t>
      </w:r>
    </w:p>
    <w:p w14:paraId="3B69B291" w14:textId="77777777" w:rsidR="000A26B7" w:rsidRPr="00696921" w:rsidRDefault="000A26B7" w:rsidP="000A26B7">
      <w:pPr>
        <w:pStyle w:val="ListParagraph"/>
        <w:spacing w:line="480" w:lineRule="auto"/>
        <w:jc w:val="both"/>
        <w:rPr>
          <w:color w:val="000000" w:themeColor="text1"/>
        </w:rPr>
      </w:pPr>
    </w:p>
    <w:p w14:paraId="60F4457B" w14:textId="6991EA6B" w:rsidR="000A26B7" w:rsidRPr="00696921" w:rsidRDefault="000A26B7" w:rsidP="000A26B7">
      <w:pPr>
        <w:pStyle w:val="ListParagraph"/>
        <w:numPr>
          <w:ilvl w:val="0"/>
          <w:numId w:val="1"/>
        </w:numPr>
        <w:spacing w:line="480" w:lineRule="auto"/>
        <w:ind w:hanging="720"/>
        <w:jc w:val="both"/>
        <w:rPr>
          <w:color w:val="000000" w:themeColor="text1"/>
        </w:rPr>
      </w:pPr>
      <w:r w:rsidRPr="00696921">
        <w:rPr>
          <w:color w:val="000000" w:themeColor="text1"/>
        </w:rPr>
        <w:t>As part of the issue estoppel ground, the Appellant also argue</w:t>
      </w:r>
      <w:r w:rsidR="00BD3D6E" w:rsidRPr="00696921">
        <w:rPr>
          <w:color w:val="000000" w:themeColor="text1"/>
        </w:rPr>
        <w:t>d</w:t>
      </w:r>
      <w:r w:rsidRPr="00696921">
        <w:rPr>
          <w:color w:val="000000" w:themeColor="text1"/>
        </w:rPr>
        <w:t xml:space="preserve"> that the </w:t>
      </w:r>
      <w:r w:rsidRPr="00696921">
        <w:rPr>
          <w:i/>
          <w:color w:val="000000" w:themeColor="text1"/>
        </w:rPr>
        <w:t>outcome</w:t>
      </w:r>
      <w:r w:rsidRPr="00696921">
        <w:rPr>
          <w:color w:val="000000" w:themeColor="text1"/>
        </w:rPr>
        <w:t xml:space="preserve"> of the earlier proceedings – namely the refusal by the High Court to direct the Appellant’s surrender</w:t>
      </w:r>
      <w:r w:rsidR="004B2E93" w:rsidRPr="00696921">
        <w:rPr>
          <w:color w:val="000000" w:themeColor="text1"/>
        </w:rPr>
        <w:t xml:space="preserve"> </w:t>
      </w:r>
      <w:r w:rsidRPr="00696921">
        <w:rPr>
          <w:color w:val="000000" w:themeColor="text1"/>
        </w:rPr>
        <w:t xml:space="preserve">– in itself precluded the making of an order for surrender in these  proceedings. That is clearly not so. </w:t>
      </w:r>
      <w:r w:rsidRPr="00696921">
        <w:rPr>
          <w:i/>
          <w:color w:val="000000" w:themeColor="text1"/>
        </w:rPr>
        <w:t>Res judicata</w:t>
      </w:r>
      <w:r w:rsidRPr="00696921">
        <w:rPr>
          <w:color w:val="000000" w:themeColor="text1"/>
        </w:rPr>
        <w:t xml:space="preserve"> has no application in this context: see the decision</w:t>
      </w:r>
      <w:r w:rsidR="004A2D28" w:rsidRPr="00696921">
        <w:rPr>
          <w:color w:val="000000" w:themeColor="text1"/>
        </w:rPr>
        <w:t>s</w:t>
      </w:r>
      <w:r w:rsidRPr="00696921">
        <w:rPr>
          <w:color w:val="000000" w:themeColor="text1"/>
        </w:rPr>
        <w:t xml:space="preserve"> of the Supreme Court of </w:t>
      </w:r>
      <w:r w:rsidRPr="00696921">
        <w:rPr>
          <w:i/>
          <w:color w:val="000000" w:themeColor="text1"/>
        </w:rPr>
        <w:t>Minister for Justice v Tobin</w:t>
      </w:r>
      <w:r w:rsidRPr="00696921">
        <w:rPr>
          <w:color w:val="000000" w:themeColor="text1"/>
        </w:rPr>
        <w:t xml:space="preserve">  </w:t>
      </w:r>
      <w:r w:rsidRPr="00696921">
        <w:rPr>
          <w:color w:val="000000" w:themeColor="text1"/>
          <w:lang w:eastAsia="en-IE"/>
        </w:rPr>
        <w:t>[2012] IESC 37, [2012] 4 IR 147</w:t>
      </w:r>
      <w:r w:rsidR="004A2D28" w:rsidRPr="00696921">
        <w:rPr>
          <w:color w:val="000000" w:themeColor="text1"/>
          <w:lang w:eastAsia="en-IE"/>
        </w:rPr>
        <w:t xml:space="preserve"> and </w:t>
      </w:r>
      <w:r w:rsidR="004A2D28" w:rsidRPr="00696921">
        <w:rPr>
          <w:i/>
          <w:color w:val="000000" w:themeColor="text1"/>
          <w:lang w:eastAsia="en-IE"/>
        </w:rPr>
        <w:t>JAT (No 2)</w:t>
      </w:r>
      <w:r w:rsidR="004A2D28" w:rsidRPr="00696921">
        <w:rPr>
          <w:color w:val="000000" w:themeColor="text1"/>
          <w:lang w:eastAsia="en-IE"/>
        </w:rPr>
        <w:t xml:space="preserve">, </w:t>
      </w:r>
      <w:r w:rsidRPr="00696921">
        <w:rPr>
          <w:color w:val="000000" w:themeColor="text1"/>
          <w:lang w:eastAsia="en-IE"/>
        </w:rPr>
        <w:t xml:space="preserve">as well as the </w:t>
      </w:r>
      <w:r w:rsidR="00B62381" w:rsidRPr="00696921">
        <w:rPr>
          <w:color w:val="000000" w:themeColor="text1"/>
          <w:lang w:eastAsia="en-IE"/>
        </w:rPr>
        <w:t xml:space="preserve">decision of the CJEU in Case C-268/17 </w:t>
      </w:r>
      <w:r w:rsidR="00B62381" w:rsidRPr="00696921">
        <w:rPr>
          <w:i/>
          <w:color w:val="000000" w:themeColor="text1"/>
          <w:lang w:eastAsia="en-IE"/>
        </w:rPr>
        <w:t>AY</w:t>
      </w:r>
      <w:r w:rsidR="00B62381" w:rsidRPr="00696921">
        <w:rPr>
          <w:color w:val="000000" w:themeColor="text1"/>
          <w:lang w:eastAsia="en-IE"/>
        </w:rPr>
        <w:t xml:space="preserve">, which was considered in </w:t>
      </w:r>
      <w:r w:rsidR="00B62381" w:rsidRPr="00696921">
        <w:rPr>
          <w:i/>
          <w:color w:val="000000" w:themeColor="text1"/>
          <w:lang w:eastAsia="en-IE"/>
        </w:rPr>
        <w:t xml:space="preserve">Leopold. </w:t>
      </w:r>
      <w:r w:rsidR="00B62381" w:rsidRPr="00696921">
        <w:rPr>
          <w:color w:val="000000" w:themeColor="text1"/>
          <w:lang w:eastAsia="en-IE"/>
        </w:rPr>
        <w:t xml:space="preserve">The fact that there were previous surrender proceedings which were unsuccessful may, of course, be relevant to the abuse of process ground </w:t>
      </w:r>
      <w:r w:rsidR="00BD3D6E" w:rsidRPr="00696921">
        <w:rPr>
          <w:color w:val="000000" w:themeColor="text1"/>
          <w:lang w:eastAsia="en-IE"/>
        </w:rPr>
        <w:t>but it does not, of itself, preclude surrender here.</w:t>
      </w:r>
    </w:p>
    <w:p w14:paraId="7350AA94" w14:textId="77777777" w:rsidR="004A2D28" w:rsidRPr="00696921" w:rsidRDefault="004A2D28" w:rsidP="004A2D28">
      <w:pPr>
        <w:pStyle w:val="ListParagraph"/>
        <w:spacing w:line="480" w:lineRule="auto"/>
        <w:jc w:val="both"/>
        <w:rPr>
          <w:color w:val="000000" w:themeColor="text1"/>
        </w:rPr>
      </w:pPr>
    </w:p>
    <w:p w14:paraId="36687E20" w14:textId="61641314" w:rsidR="00FF6B05" w:rsidRPr="00696921" w:rsidRDefault="004A2D28" w:rsidP="000A26B7">
      <w:pPr>
        <w:pStyle w:val="ListParagraph"/>
        <w:numPr>
          <w:ilvl w:val="0"/>
          <w:numId w:val="1"/>
        </w:numPr>
        <w:spacing w:line="480" w:lineRule="auto"/>
        <w:ind w:hanging="720"/>
        <w:jc w:val="both"/>
        <w:rPr>
          <w:color w:val="000000" w:themeColor="text1"/>
        </w:rPr>
      </w:pPr>
      <w:r w:rsidRPr="00696921">
        <w:rPr>
          <w:color w:val="000000" w:themeColor="text1"/>
        </w:rPr>
        <w:t xml:space="preserve">The Appellant cites </w:t>
      </w:r>
      <w:r w:rsidRPr="00696921">
        <w:rPr>
          <w:i/>
          <w:color w:val="000000" w:themeColor="text1"/>
        </w:rPr>
        <w:t>JAT (No 2</w:t>
      </w:r>
      <w:r w:rsidRPr="00696921">
        <w:rPr>
          <w:color w:val="000000" w:themeColor="text1"/>
        </w:rPr>
        <w:t xml:space="preserve">) </w:t>
      </w:r>
      <w:r w:rsidR="002C42D8" w:rsidRPr="00696921">
        <w:rPr>
          <w:color w:val="000000" w:themeColor="text1"/>
        </w:rPr>
        <w:t>as</w:t>
      </w:r>
      <w:r w:rsidRPr="00696921">
        <w:rPr>
          <w:color w:val="000000" w:themeColor="text1"/>
        </w:rPr>
        <w:t xml:space="preserve"> support </w:t>
      </w:r>
      <w:r w:rsidR="002C42D8" w:rsidRPr="00696921">
        <w:rPr>
          <w:color w:val="000000" w:themeColor="text1"/>
        </w:rPr>
        <w:t>for</w:t>
      </w:r>
      <w:r w:rsidRPr="00696921">
        <w:rPr>
          <w:color w:val="000000" w:themeColor="text1"/>
        </w:rPr>
        <w:t xml:space="preserve"> the abuse of process </w:t>
      </w:r>
      <w:r w:rsidR="00BD3D6E" w:rsidRPr="00696921">
        <w:rPr>
          <w:color w:val="000000" w:themeColor="text1"/>
        </w:rPr>
        <w:t>argument</w:t>
      </w:r>
      <w:r w:rsidRPr="00696921">
        <w:rPr>
          <w:color w:val="000000" w:themeColor="text1"/>
        </w:rPr>
        <w:t xml:space="preserve">. It is suggested that, in all the circumstances, including the failure of the IJA to provide full information initially about the </w:t>
      </w:r>
      <w:r w:rsidR="00BD3D6E" w:rsidRPr="00696921">
        <w:rPr>
          <w:color w:val="000000" w:themeColor="text1"/>
        </w:rPr>
        <w:t>earlier</w:t>
      </w:r>
      <w:r w:rsidRPr="00696921">
        <w:rPr>
          <w:color w:val="000000" w:themeColor="text1"/>
        </w:rPr>
        <w:t xml:space="preserve"> proceedings, the retrial issue and the circumstances in which the suspended sentence had been activated, as well as the fact </w:t>
      </w:r>
      <w:r w:rsidR="00BD3D6E" w:rsidRPr="00696921">
        <w:rPr>
          <w:color w:val="000000" w:themeColor="text1"/>
        </w:rPr>
        <w:t xml:space="preserve">of the </w:t>
      </w:r>
      <w:r w:rsidRPr="00696921">
        <w:rPr>
          <w:color w:val="000000" w:themeColor="text1"/>
        </w:rPr>
        <w:t>previous proceedings</w:t>
      </w:r>
      <w:r w:rsidR="00BD3D6E" w:rsidRPr="00696921">
        <w:rPr>
          <w:color w:val="000000" w:themeColor="text1"/>
        </w:rPr>
        <w:t xml:space="preserve"> and their outcome</w:t>
      </w:r>
      <w:r w:rsidRPr="00696921">
        <w:rPr>
          <w:color w:val="000000" w:themeColor="text1"/>
        </w:rPr>
        <w:t>, “</w:t>
      </w:r>
      <w:r w:rsidRPr="00696921">
        <w:rPr>
          <w:i/>
          <w:color w:val="000000" w:themeColor="text1"/>
        </w:rPr>
        <w:t>the cumulative result .. is that surrender would not alone be disproportionate but the request is oppressive”</w:t>
      </w:r>
      <w:r w:rsidRPr="00696921">
        <w:rPr>
          <w:color w:val="000000" w:themeColor="text1"/>
        </w:rPr>
        <w:t xml:space="preserve"> and, when considered in conjunction  with the “</w:t>
      </w:r>
      <w:r w:rsidRPr="00696921">
        <w:rPr>
          <w:i/>
          <w:color w:val="000000" w:themeColor="text1"/>
        </w:rPr>
        <w:t>sheer lapse of time</w:t>
      </w:r>
      <w:r w:rsidRPr="00696921">
        <w:rPr>
          <w:color w:val="000000" w:themeColor="text1"/>
        </w:rPr>
        <w:t xml:space="preserve">”,  </w:t>
      </w:r>
      <w:r w:rsidR="00FF6B05" w:rsidRPr="00696921">
        <w:rPr>
          <w:color w:val="000000" w:themeColor="text1"/>
        </w:rPr>
        <w:t xml:space="preserve">there was an abuse of process </w:t>
      </w:r>
      <w:r w:rsidR="00BD3D6E" w:rsidRPr="00696921">
        <w:rPr>
          <w:color w:val="000000" w:themeColor="text1"/>
        </w:rPr>
        <w:t xml:space="preserve">mandating the </w:t>
      </w:r>
      <w:r w:rsidR="00FF6B05" w:rsidRPr="00696921">
        <w:rPr>
          <w:color w:val="000000" w:themeColor="text1"/>
        </w:rPr>
        <w:t>refusal of surrender.</w:t>
      </w:r>
    </w:p>
    <w:p w14:paraId="6E97F715" w14:textId="77777777" w:rsidR="00FF6B05" w:rsidRPr="00696921" w:rsidRDefault="00FF6B05" w:rsidP="00FF6B05">
      <w:pPr>
        <w:pStyle w:val="ListParagraph"/>
        <w:spacing w:line="480" w:lineRule="auto"/>
        <w:jc w:val="both"/>
        <w:rPr>
          <w:color w:val="000000" w:themeColor="text1"/>
        </w:rPr>
      </w:pPr>
    </w:p>
    <w:p w14:paraId="49475D2F" w14:textId="37AAF2D3" w:rsidR="00FF6B05" w:rsidRPr="00696921" w:rsidRDefault="004A2D28" w:rsidP="002C42D8">
      <w:pPr>
        <w:pStyle w:val="ListParagraph"/>
        <w:widowControl w:val="0"/>
        <w:numPr>
          <w:ilvl w:val="0"/>
          <w:numId w:val="1"/>
        </w:numPr>
        <w:autoSpaceDE w:val="0"/>
        <w:autoSpaceDN w:val="0"/>
        <w:adjustRightInd w:val="0"/>
        <w:spacing w:line="480" w:lineRule="auto"/>
        <w:ind w:hanging="578"/>
        <w:jc w:val="both"/>
        <w:rPr>
          <w:color w:val="000000" w:themeColor="text1"/>
        </w:rPr>
      </w:pPr>
      <w:r w:rsidRPr="00696921">
        <w:rPr>
          <w:color w:val="000000" w:themeColor="text1"/>
        </w:rPr>
        <w:t xml:space="preserve"> </w:t>
      </w:r>
      <w:r w:rsidR="00FF6B05" w:rsidRPr="00696921">
        <w:rPr>
          <w:color w:val="000000" w:themeColor="text1"/>
        </w:rPr>
        <w:t xml:space="preserve">I do not agree. Having regard to the fundamental principles of mutual trust and confidence that underpin the EAW regime and the emphasis </w:t>
      </w:r>
      <w:r w:rsidR="002C42D8" w:rsidRPr="00696921">
        <w:rPr>
          <w:color w:val="000000" w:themeColor="text1"/>
        </w:rPr>
        <w:t xml:space="preserve">repeatedly placed </w:t>
      </w:r>
      <w:r w:rsidR="00FF6B05" w:rsidRPr="00696921">
        <w:rPr>
          <w:color w:val="000000" w:themeColor="text1"/>
        </w:rPr>
        <w:t>by the CJE</w:t>
      </w:r>
      <w:r w:rsidR="002C42D8" w:rsidRPr="00696921">
        <w:rPr>
          <w:color w:val="000000" w:themeColor="text1"/>
        </w:rPr>
        <w:t>U</w:t>
      </w:r>
      <w:r w:rsidR="00FF6B05" w:rsidRPr="00696921">
        <w:rPr>
          <w:color w:val="000000" w:themeColor="text1"/>
        </w:rPr>
        <w:t xml:space="preserve"> </w:t>
      </w:r>
      <w:r w:rsidR="002C42D8" w:rsidRPr="00696921">
        <w:rPr>
          <w:color w:val="000000" w:themeColor="text1"/>
        </w:rPr>
        <w:t>in its jurisprudence on the principle that</w:t>
      </w:r>
      <w:r w:rsidR="00FF6B05" w:rsidRPr="00696921">
        <w:rPr>
          <w:color w:val="000000" w:themeColor="text1"/>
        </w:rPr>
        <w:t xml:space="preserve"> </w:t>
      </w:r>
      <w:r w:rsidR="00FF6B05" w:rsidRPr="00696921">
        <w:rPr>
          <w:i/>
          <w:color w:val="000000" w:themeColor="text1"/>
        </w:rPr>
        <w:t xml:space="preserve">“the execution of the European arrest warrant constitutes the rule, the refusal to execute is intended to be an exception which must be interpreted strictly” </w:t>
      </w:r>
      <w:r w:rsidR="00FF6B05" w:rsidRPr="00696921">
        <w:rPr>
          <w:color w:val="000000" w:themeColor="text1"/>
        </w:rPr>
        <w:t>(</w:t>
      </w:r>
      <w:r w:rsidR="00FF6B05" w:rsidRPr="00696921">
        <w:rPr>
          <w:i/>
          <w:color w:val="000000" w:themeColor="text1"/>
        </w:rPr>
        <w:t>Tupikas</w:t>
      </w:r>
      <w:r w:rsidR="00745452" w:rsidRPr="00696921">
        <w:rPr>
          <w:i/>
          <w:color w:val="000000" w:themeColor="text1"/>
        </w:rPr>
        <w:t xml:space="preserve"> </w:t>
      </w:r>
      <w:r w:rsidR="00745452" w:rsidRPr="00696921">
        <w:rPr>
          <w:iCs/>
          <w:color w:val="000000" w:themeColor="text1"/>
        </w:rPr>
        <w:t>Case</w:t>
      </w:r>
      <w:r w:rsidR="00745452" w:rsidRPr="00696921">
        <w:rPr>
          <w:color w:val="000000" w:themeColor="text1"/>
        </w:rPr>
        <w:t xml:space="preserve"> C-270/17</w:t>
      </w:r>
      <w:r w:rsidR="00FF6B05" w:rsidRPr="00696921">
        <w:rPr>
          <w:color w:val="000000" w:themeColor="text1"/>
        </w:rPr>
        <w:t>,</w:t>
      </w:r>
      <w:r w:rsidR="002C42D8" w:rsidRPr="00696921">
        <w:rPr>
          <w:color w:val="000000" w:themeColor="text1"/>
        </w:rPr>
        <w:t xml:space="preserve"> para 50), the threshold is a high one. That is particularly so given that abuse of process is not a ground for refusal listed in the Framework Directive. A refusal of surrender on a ground not listed requires </w:t>
      </w:r>
      <w:r w:rsidR="002C42D8" w:rsidRPr="00696921">
        <w:rPr>
          <w:i/>
          <w:color w:val="000000" w:themeColor="text1"/>
        </w:rPr>
        <w:t>“exceptional circumstances</w:t>
      </w:r>
      <w:r w:rsidR="002C42D8" w:rsidRPr="00696921">
        <w:rPr>
          <w:color w:val="000000" w:themeColor="text1"/>
        </w:rPr>
        <w:t>” (</w:t>
      </w:r>
      <w:r w:rsidR="002C42D8" w:rsidRPr="00696921">
        <w:rPr>
          <w:i/>
          <w:color w:val="000000" w:themeColor="text1"/>
        </w:rPr>
        <w:t>ibid</w:t>
      </w:r>
      <w:r w:rsidR="002C42D8" w:rsidRPr="00696921">
        <w:rPr>
          <w:color w:val="000000" w:themeColor="text1"/>
        </w:rPr>
        <w:t xml:space="preserve">). </w:t>
      </w:r>
      <w:r w:rsidR="00FF6B05" w:rsidRPr="00696921">
        <w:rPr>
          <w:color w:val="000000" w:themeColor="text1"/>
        </w:rPr>
        <w:t xml:space="preserve"> </w:t>
      </w:r>
    </w:p>
    <w:p w14:paraId="77F6DE6D" w14:textId="77777777" w:rsidR="00D20319" w:rsidRPr="00696921" w:rsidRDefault="00D20319" w:rsidP="00D20319">
      <w:pPr>
        <w:pStyle w:val="ListParagraph"/>
        <w:widowControl w:val="0"/>
        <w:autoSpaceDE w:val="0"/>
        <w:autoSpaceDN w:val="0"/>
        <w:adjustRightInd w:val="0"/>
        <w:spacing w:line="480" w:lineRule="auto"/>
        <w:jc w:val="both"/>
        <w:rPr>
          <w:color w:val="000000" w:themeColor="text1"/>
        </w:rPr>
      </w:pPr>
    </w:p>
    <w:p w14:paraId="7D8F1E3C" w14:textId="57DA88AB" w:rsidR="00522AD3" w:rsidRPr="00696921" w:rsidRDefault="00D20319" w:rsidP="002C42D8">
      <w:pPr>
        <w:pStyle w:val="ListParagraph"/>
        <w:widowControl w:val="0"/>
        <w:numPr>
          <w:ilvl w:val="0"/>
          <w:numId w:val="1"/>
        </w:numPr>
        <w:autoSpaceDE w:val="0"/>
        <w:autoSpaceDN w:val="0"/>
        <w:adjustRightInd w:val="0"/>
        <w:spacing w:line="480" w:lineRule="auto"/>
        <w:ind w:hanging="578"/>
        <w:jc w:val="both"/>
        <w:rPr>
          <w:color w:val="000000" w:themeColor="text1"/>
        </w:rPr>
      </w:pPr>
      <w:r w:rsidRPr="00696921">
        <w:rPr>
          <w:color w:val="000000" w:themeColor="text1"/>
        </w:rPr>
        <w:t xml:space="preserve">The circumstances here are </w:t>
      </w:r>
      <w:r w:rsidR="00522AD3" w:rsidRPr="00696921">
        <w:rPr>
          <w:color w:val="000000" w:themeColor="text1"/>
        </w:rPr>
        <w:t>remote</w:t>
      </w:r>
      <w:r w:rsidRPr="00696921">
        <w:rPr>
          <w:color w:val="000000" w:themeColor="text1"/>
        </w:rPr>
        <w:t xml:space="preserve"> from the circumstances held to </w:t>
      </w:r>
      <w:r w:rsidR="00522AD3" w:rsidRPr="00696921">
        <w:rPr>
          <w:color w:val="000000" w:themeColor="text1"/>
        </w:rPr>
        <w:t>justify</w:t>
      </w:r>
      <w:r w:rsidRPr="00696921">
        <w:rPr>
          <w:color w:val="000000" w:themeColor="text1"/>
        </w:rPr>
        <w:t xml:space="preserve"> the refusal of surrender in </w:t>
      </w:r>
      <w:r w:rsidRPr="00696921">
        <w:rPr>
          <w:i/>
          <w:color w:val="000000" w:themeColor="text1"/>
        </w:rPr>
        <w:t>JAT (No 2).</w:t>
      </w:r>
      <w:r w:rsidRPr="00696921">
        <w:rPr>
          <w:color w:val="000000" w:themeColor="text1"/>
        </w:rPr>
        <w:t xml:space="preserve"> </w:t>
      </w:r>
      <w:r w:rsidRPr="00696921">
        <w:rPr>
          <w:i/>
          <w:color w:val="000000" w:themeColor="text1"/>
        </w:rPr>
        <w:t>JAT (No 2)</w:t>
      </w:r>
      <w:r w:rsidRPr="00696921">
        <w:rPr>
          <w:color w:val="000000" w:themeColor="text1"/>
        </w:rPr>
        <w:t xml:space="preserve"> was “</w:t>
      </w:r>
      <w:r w:rsidRPr="00696921">
        <w:rPr>
          <w:i/>
          <w:color w:val="000000" w:themeColor="text1"/>
        </w:rPr>
        <w:t>a rare, and indeed exceptional case”</w:t>
      </w:r>
      <w:r w:rsidRPr="00696921">
        <w:rPr>
          <w:color w:val="000000" w:themeColor="text1"/>
        </w:rPr>
        <w:t xml:space="preserve"> (per O’ Donnell J</w:t>
      </w:r>
      <w:r w:rsidR="00522AD3" w:rsidRPr="00696921">
        <w:rPr>
          <w:color w:val="000000" w:themeColor="text1"/>
        </w:rPr>
        <w:t>)</w:t>
      </w:r>
      <w:r w:rsidRPr="00696921">
        <w:rPr>
          <w:color w:val="000000" w:themeColor="text1"/>
        </w:rPr>
        <w:t>. The impact of surrender on the appellant’s son, who had particular medical needs, was a significant factor which has no parallel here.</w:t>
      </w:r>
      <w:r w:rsidR="00A616E8" w:rsidRPr="00696921">
        <w:rPr>
          <w:color w:val="000000" w:themeColor="text1"/>
        </w:rPr>
        <w:t xml:space="preserve"> The appellant himself also had medical issues. Again, it is not suggested that there is any parallel here.</w:t>
      </w:r>
      <w:r w:rsidR="00D41685" w:rsidRPr="00696921">
        <w:rPr>
          <w:color w:val="000000" w:themeColor="text1"/>
        </w:rPr>
        <w:t xml:space="preserve"> </w:t>
      </w:r>
      <w:r w:rsidR="002F49F7" w:rsidRPr="00696921">
        <w:rPr>
          <w:color w:val="000000" w:themeColor="text1"/>
        </w:rPr>
        <w:t>I</w:t>
      </w:r>
      <w:r w:rsidR="00522AD3" w:rsidRPr="00696921">
        <w:rPr>
          <w:color w:val="000000" w:themeColor="text1"/>
        </w:rPr>
        <w:t>n fact, i</w:t>
      </w:r>
      <w:r w:rsidR="002F49F7" w:rsidRPr="00696921">
        <w:rPr>
          <w:color w:val="000000" w:themeColor="text1"/>
        </w:rPr>
        <w:t xml:space="preserve">t is </w:t>
      </w:r>
      <w:r w:rsidR="00D41685" w:rsidRPr="00696921">
        <w:rPr>
          <w:color w:val="000000" w:themeColor="text1"/>
        </w:rPr>
        <w:t xml:space="preserve">a </w:t>
      </w:r>
      <w:r w:rsidR="002F49F7" w:rsidRPr="00696921">
        <w:rPr>
          <w:color w:val="000000" w:themeColor="text1"/>
        </w:rPr>
        <w:t xml:space="preserve">striking </w:t>
      </w:r>
      <w:r w:rsidR="00D41685" w:rsidRPr="00696921">
        <w:rPr>
          <w:color w:val="000000" w:themeColor="text1"/>
        </w:rPr>
        <w:t xml:space="preserve">feature of these proceedings </w:t>
      </w:r>
      <w:r w:rsidR="002F49F7" w:rsidRPr="00696921">
        <w:rPr>
          <w:color w:val="000000" w:themeColor="text1"/>
        </w:rPr>
        <w:t xml:space="preserve">that there is </w:t>
      </w:r>
      <w:r w:rsidR="002F49F7" w:rsidRPr="00696921">
        <w:rPr>
          <w:i/>
          <w:color w:val="000000" w:themeColor="text1"/>
        </w:rPr>
        <w:t>no</w:t>
      </w:r>
      <w:r w:rsidR="002F49F7" w:rsidRPr="00696921">
        <w:rPr>
          <w:color w:val="000000" w:themeColor="text1"/>
        </w:rPr>
        <w:t xml:space="preserve"> evidence from Mr </w:t>
      </w:r>
      <w:r w:rsidR="009007E7" w:rsidRPr="00696921">
        <w:rPr>
          <w:color w:val="000000" w:themeColor="text1"/>
        </w:rPr>
        <w:t>Siklósi</w:t>
      </w:r>
      <w:r w:rsidR="002F49F7" w:rsidRPr="00696921">
        <w:rPr>
          <w:color w:val="000000" w:themeColor="text1"/>
        </w:rPr>
        <w:t xml:space="preserve"> about his situation in the State, whether he has any close family or other ties here </w:t>
      </w:r>
      <w:r w:rsidR="00A616E8" w:rsidRPr="00696921">
        <w:rPr>
          <w:color w:val="000000" w:themeColor="text1"/>
        </w:rPr>
        <w:t>o</w:t>
      </w:r>
      <w:r w:rsidR="002F49F7" w:rsidRPr="00696921">
        <w:rPr>
          <w:color w:val="000000" w:themeColor="text1"/>
        </w:rPr>
        <w:t xml:space="preserve">r the impact on his personal and family life </w:t>
      </w:r>
      <w:r w:rsidR="00D41685" w:rsidRPr="00696921">
        <w:rPr>
          <w:color w:val="000000" w:themeColor="text1"/>
        </w:rPr>
        <w:t>in the event that he was to be su</w:t>
      </w:r>
      <w:r w:rsidR="002F49F7" w:rsidRPr="00696921">
        <w:rPr>
          <w:color w:val="000000" w:themeColor="text1"/>
        </w:rPr>
        <w:t xml:space="preserve">rrendered to Hungary. </w:t>
      </w:r>
      <w:r w:rsidRPr="00696921">
        <w:rPr>
          <w:color w:val="000000" w:themeColor="text1"/>
        </w:rPr>
        <w:t xml:space="preserve">While a significant period of time has elapsed since Mr </w:t>
      </w:r>
      <w:r w:rsidR="009007E7" w:rsidRPr="00696921">
        <w:rPr>
          <w:color w:val="000000" w:themeColor="text1"/>
        </w:rPr>
        <w:t>Siklósi</w:t>
      </w:r>
      <w:r w:rsidRPr="00696921">
        <w:rPr>
          <w:color w:val="000000" w:themeColor="text1"/>
        </w:rPr>
        <w:t xml:space="preserve"> was finally convicted of the 2005 Offences, and since the sentence of imprisonment imposed on him for those Offences was </w:t>
      </w:r>
      <w:r w:rsidR="00D41685" w:rsidRPr="00696921">
        <w:rPr>
          <w:color w:val="000000" w:themeColor="text1"/>
        </w:rPr>
        <w:t>ordered to be enforced</w:t>
      </w:r>
      <w:r w:rsidRPr="00696921">
        <w:rPr>
          <w:color w:val="000000" w:themeColor="text1"/>
        </w:rPr>
        <w:t xml:space="preserve">, Mr </w:t>
      </w:r>
      <w:r w:rsidR="009007E7" w:rsidRPr="00696921">
        <w:rPr>
          <w:color w:val="000000" w:themeColor="text1"/>
        </w:rPr>
        <w:t>Siklósi</w:t>
      </w:r>
      <w:r w:rsidRPr="00696921">
        <w:rPr>
          <w:color w:val="000000" w:themeColor="text1"/>
        </w:rPr>
        <w:t xml:space="preserve"> has undoubtedly contributed to that </w:t>
      </w:r>
      <w:r w:rsidR="002F49F7" w:rsidRPr="00696921">
        <w:rPr>
          <w:color w:val="000000" w:themeColor="text1"/>
        </w:rPr>
        <w:t>lapse of time by his own actions</w:t>
      </w:r>
      <w:r w:rsidR="00D41685" w:rsidRPr="00696921">
        <w:rPr>
          <w:color w:val="000000" w:themeColor="text1"/>
        </w:rPr>
        <w:t xml:space="preserve"> in leaving Hungary</w:t>
      </w:r>
      <w:r w:rsidR="002F49F7" w:rsidRPr="00696921">
        <w:rPr>
          <w:color w:val="000000" w:themeColor="text1"/>
        </w:rPr>
        <w:t>.</w:t>
      </w:r>
      <w:r w:rsidR="00D41685" w:rsidRPr="00696921">
        <w:rPr>
          <w:color w:val="000000" w:themeColor="text1"/>
        </w:rPr>
        <w:t xml:space="preserve"> Furthermore, the procedural history set out above does not disclose</w:t>
      </w:r>
      <w:r w:rsidR="00740F4B" w:rsidRPr="00696921">
        <w:rPr>
          <w:color w:val="000000" w:themeColor="text1"/>
        </w:rPr>
        <w:t xml:space="preserve"> any obvious avoidable </w:t>
      </w:r>
      <w:r w:rsidR="00D41685" w:rsidRPr="00696921">
        <w:rPr>
          <w:color w:val="000000" w:themeColor="text1"/>
        </w:rPr>
        <w:t>delay</w:t>
      </w:r>
      <w:r w:rsidR="00740F4B" w:rsidRPr="00696921">
        <w:rPr>
          <w:color w:val="000000" w:themeColor="text1"/>
        </w:rPr>
        <w:t xml:space="preserve"> </w:t>
      </w:r>
      <w:r w:rsidR="00D41685" w:rsidRPr="00696921">
        <w:rPr>
          <w:color w:val="000000" w:themeColor="text1"/>
        </w:rPr>
        <w:t xml:space="preserve">on the part of the Hungarian authorities. </w:t>
      </w:r>
      <w:r w:rsidR="00522AD3" w:rsidRPr="00696921">
        <w:rPr>
          <w:color w:val="000000" w:themeColor="text1"/>
        </w:rPr>
        <w:t>Even if there was any significant delay on the part of the issuing State, “</w:t>
      </w:r>
      <w:r w:rsidR="00522AD3" w:rsidRPr="00696921">
        <w:rPr>
          <w:i/>
          <w:color w:val="000000" w:themeColor="text1"/>
        </w:rPr>
        <w:t>it is well settled that delay in and of itself does not constitute a basis for refusal of surrender”:</w:t>
      </w:r>
      <w:r w:rsidR="00522AD3" w:rsidRPr="00696921">
        <w:rPr>
          <w:color w:val="000000" w:themeColor="text1"/>
        </w:rPr>
        <w:t xml:space="preserve"> </w:t>
      </w:r>
      <w:r w:rsidR="00522AD3" w:rsidRPr="00696921">
        <w:rPr>
          <w:i/>
          <w:color w:val="000000" w:themeColor="text1"/>
        </w:rPr>
        <w:t>Minister for Justice v Palonka</w:t>
      </w:r>
      <w:r w:rsidR="00522AD3" w:rsidRPr="00696921">
        <w:rPr>
          <w:color w:val="000000" w:themeColor="text1"/>
        </w:rPr>
        <w:t xml:space="preserve"> [2020] IESC 40, per Charleton J at para 21. </w:t>
      </w:r>
    </w:p>
    <w:p w14:paraId="5833EF4C" w14:textId="77777777" w:rsidR="00522AD3" w:rsidRPr="00696921" w:rsidRDefault="00522AD3" w:rsidP="00522AD3">
      <w:pPr>
        <w:pStyle w:val="ListParagraph"/>
        <w:widowControl w:val="0"/>
        <w:autoSpaceDE w:val="0"/>
        <w:autoSpaceDN w:val="0"/>
        <w:adjustRightInd w:val="0"/>
        <w:spacing w:line="480" w:lineRule="auto"/>
        <w:jc w:val="both"/>
        <w:rPr>
          <w:color w:val="000000" w:themeColor="text1"/>
        </w:rPr>
      </w:pPr>
    </w:p>
    <w:p w14:paraId="6D6FC31F" w14:textId="792C745F" w:rsidR="00D20319" w:rsidRPr="00696921" w:rsidRDefault="002F49F7" w:rsidP="00740F4B">
      <w:pPr>
        <w:pStyle w:val="ListParagraph"/>
        <w:widowControl w:val="0"/>
        <w:numPr>
          <w:ilvl w:val="0"/>
          <w:numId w:val="1"/>
        </w:numPr>
        <w:autoSpaceDE w:val="0"/>
        <w:autoSpaceDN w:val="0"/>
        <w:adjustRightInd w:val="0"/>
        <w:spacing w:line="480" w:lineRule="auto"/>
        <w:ind w:hanging="578"/>
        <w:jc w:val="both"/>
        <w:rPr>
          <w:color w:val="000000" w:themeColor="text1"/>
        </w:rPr>
      </w:pPr>
      <w:r w:rsidRPr="00696921">
        <w:rPr>
          <w:color w:val="000000" w:themeColor="text1"/>
        </w:rPr>
        <w:t>It is</w:t>
      </w:r>
      <w:r w:rsidR="00522AD3" w:rsidRPr="00696921">
        <w:rPr>
          <w:color w:val="000000" w:themeColor="text1"/>
        </w:rPr>
        <w:t xml:space="preserve"> of course</w:t>
      </w:r>
      <w:r w:rsidRPr="00696921">
        <w:rPr>
          <w:color w:val="000000" w:themeColor="text1"/>
        </w:rPr>
        <w:t xml:space="preserve"> true that the level of information provided by the IJA in support of the application – both in the EAW itself and in its subsequent responses to successive requests for further information from the High Court – left much to be desired. </w:t>
      </w:r>
      <w:r w:rsidR="00C7458B" w:rsidRPr="00696921">
        <w:rPr>
          <w:color w:val="000000" w:themeColor="text1"/>
        </w:rPr>
        <w:t xml:space="preserve">It is also clear, however, that Mr </w:t>
      </w:r>
      <w:r w:rsidR="009007E7" w:rsidRPr="00696921">
        <w:rPr>
          <w:color w:val="000000" w:themeColor="text1"/>
        </w:rPr>
        <w:t>Siklósi</w:t>
      </w:r>
      <w:r w:rsidR="00C7458B" w:rsidRPr="00696921">
        <w:rPr>
          <w:color w:val="000000" w:themeColor="text1"/>
        </w:rPr>
        <w:t xml:space="preserve"> </w:t>
      </w:r>
      <w:r w:rsidR="00740F4B" w:rsidRPr="00696921">
        <w:rPr>
          <w:color w:val="000000" w:themeColor="text1"/>
        </w:rPr>
        <w:t>was at all times</w:t>
      </w:r>
      <w:r w:rsidR="00C7458B" w:rsidRPr="00696921">
        <w:rPr>
          <w:color w:val="000000" w:themeColor="text1"/>
        </w:rPr>
        <w:t xml:space="preserve"> well aware of what ha</w:t>
      </w:r>
      <w:r w:rsidR="00740F4B" w:rsidRPr="00696921">
        <w:rPr>
          <w:color w:val="000000" w:themeColor="text1"/>
        </w:rPr>
        <w:t>d</w:t>
      </w:r>
      <w:r w:rsidR="00C7458B" w:rsidRPr="00696921">
        <w:rPr>
          <w:color w:val="000000" w:themeColor="text1"/>
        </w:rPr>
        <w:t xml:space="preserve"> occurred in Hungary in relation to the question of a retrial. He has been represented by his own legal representative at all times in the hearings which ultimately led to the </w:t>
      </w:r>
      <w:r w:rsidR="00740F4B" w:rsidRPr="00696921">
        <w:rPr>
          <w:color w:val="000000" w:themeColor="text1"/>
        </w:rPr>
        <w:t>refusal</w:t>
      </w:r>
      <w:r w:rsidR="00C7458B" w:rsidRPr="00696921">
        <w:rPr>
          <w:color w:val="000000" w:themeColor="text1"/>
        </w:rPr>
        <w:t xml:space="preserve"> of a retrial. The sequence of events as ultimately clarified by the IJA has not been contradicted either by him or by his Hungarian lawye</w:t>
      </w:r>
      <w:r w:rsidR="00522AD3" w:rsidRPr="00696921">
        <w:rPr>
          <w:color w:val="000000" w:themeColor="text1"/>
        </w:rPr>
        <w:t xml:space="preserve">r, Mr </w:t>
      </w:r>
      <w:proofErr w:type="spellStart"/>
      <w:r w:rsidR="00522AD3" w:rsidRPr="00696921">
        <w:rPr>
          <w:color w:val="000000" w:themeColor="text1"/>
        </w:rPr>
        <w:t>Fahidi</w:t>
      </w:r>
      <w:proofErr w:type="spellEnd"/>
      <w:r w:rsidR="00522AD3" w:rsidRPr="00696921">
        <w:rPr>
          <w:color w:val="000000" w:themeColor="text1"/>
        </w:rPr>
        <w:t xml:space="preserve"> (who provided a sworn statement on other issues</w:t>
      </w:r>
      <w:r w:rsidR="00740F4B" w:rsidRPr="00696921">
        <w:rPr>
          <w:color w:val="000000" w:themeColor="text1"/>
        </w:rPr>
        <w:t xml:space="preserve"> but did not offer any evidence in support of this complaint</w:t>
      </w:r>
      <w:r w:rsidR="00522AD3" w:rsidRPr="00696921">
        <w:rPr>
          <w:color w:val="000000" w:themeColor="text1"/>
        </w:rPr>
        <w:t>).</w:t>
      </w:r>
      <w:r w:rsidR="00740F4B" w:rsidRPr="00696921">
        <w:rPr>
          <w:color w:val="000000" w:themeColor="text1"/>
        </w:rPr>
        <w:t xml:space="preserve"> </w:t>
      </w:r>
    </w:p>
    <w:p w14:paraId="4915F3ED" w14:textId="77777777" w:rsidR="00522AD3" w:rsidRPr="00696921" w:rsidRDefault="00522AD3" w:rsidP="00522AD3">
      <w:pPr>
        <w:pStyle w:val="ListParagraph"/>
        <w:widowControl w:val="0"/>
        <w:autoSpaceDE w:val="0"/>
        <w:autoSpaceDN w:val="0"/>
        <w:adjustRightInd w:val="0"/>
        <w:spacing w:line="480" w:lineRule="auto"/>
        <w:jc w:val="both"/>
        <w:rPr>
          <w:color w:val="000000" w:themeColor="text1"/>
        </w:rPr>
      </w:pPr>
    </w:p>
    <w:p w14:paraId="23BA6F83" w14:textId="59A84190" w:rsidR="00522AD3" w:rsidRPr="00696921" w:rsidRDefault="00522AD3" w:rsidP="002C42D8">
      <w:pPr>
        <w:pStyle w:val="ListParagraph"/>
        <w:widowControl w:val="0"/>
        <w:numPr>
          <w:ilvl w:val="0"/>
          <w:numId w:val="1"/>
        </w:numPr>
        <w:autoSpaceDE w:val="0"/>
        <w:autoSpaceDN w:val="0"/>
        <w:adjustRightInd w:val="0"/>
        <w:spacing w:line="480" w:lineRule="auto"/>
        <w:ind w:hanging="578"/>
        <w:jc w:val="both"/>
        <w:rPr>
          <w:color w:val="000000" w:themeColor="text1"/>
        </w:rPr>
      </w:pPr>
      <w:r w:rsidRPr="00696921">
        <w:rPr>
          <w:color w:val="000000" w:themeColor="text1"/>
        </w:rPr>
        <w:t>In these circumstances, I would uphold the Judge’s rejection of this ground of objection.</w:t>
      </w:r>
    </w:p>
    <w:p w14:paraId="26E8090E" w14:textId="77777777" w:rsidR="00522AD3" w:rsidRPr="00696921" w:rsidRDefault="00522AD3" w:rsidP="00522AD3">
      <w:pPr>
        <w:pStyle w:val="ListParagraph"/>
        <w:widowControl w:val="0"/>
        <w:autoSpaceDE w:val="0"/>
        <w:autoSpaceDN w:val="0"/>
        <w:adjustRightInd w:val="0"/>
        <w:spacing w:line="480" w:lineRule="auto"/>
        <w:jc w:val="both"/>
        <w:rPr>
          <w:color w:val="000000" w:themeColor="text1"/>
        </w:rPr>
      </w:pPr>
    </w:p>
    <w:p w14:paraId="3D0B2FA7" w14:textId="39794717" w:rsidR="00375A92" w:rsidRPr="00696921" w:rsidRDefault="00522AD3" w:rsidP="002C42D8">
      <w:pPr>
        <w:pStyle w:val="ListParagraph"/>
        <w:widowControl w:val="0"/>
        <w:numPr>
          <w:ilvl w:val="0"/>
          <w:numId w:val="1"/>
        </w:numPr>
        <w:autoSpaceDE w:val="0"/>
        <w:autoSpaceDN w:val="0"/>
        <w:adjustRightInd w:val="0"/>
        <w:spacing w:line="480" w:lineRule="auto"/>
        <w:ind w:hanging="578"/>
        <w:jc w:val="both"/>
        <w:rPr>
          <w:color w:val="000000" w:themeColor="text1"/>
        </w:rPr>
      </w:pPr>
      <w:r w:rsidRPr="00696921">
        <w:rPr>
          <w:color w:val="000000" w:themeColor="text1"/>
        </w:rPr>
        <w:t xml:space="preserve">Lack of clear information is relied on as a separate ground of objection. The decision of the Supreme Court in </w:t>
      </w:r>
      <w:r w:rsidRPr="00696921">
        <w:rPr>
          <w:i/>
          <w:color w:val="000000" w:themeColor="text1"/>
        </w:rPr>
        <w:t>Minister for Justice and Equality v Herman</w:t>
      </w:r>
      <w:r w:rsidRPr="00696921">
        <w:rPr>
          <w:color w:val="000000" w:themeColor="text1"/>
        </w:rPr>
        <w:t xml:space="preserve"> [2015] IESC 4</w:t>
      </w:r>
      <w:r w:rsidR="00463073" w:rsidRPr="00696921">
        <w:rPr>
          <w:color w:val="000000" w:themeColor="text1"/>
        </w:rPr>
        <w:t>9</w:t>
      </w:r>
      <w:r w:rsidRPr="00696921">
        <w:rPr>
          <w:color w:val="000000" w:themeColor="text1"/>
        </w:rPr>
        <w:t xml:space="preserve"> </w:t>
      </w:r>
      <w:r w:rsidR="00AC6392" w:rsidRPr="00696921">
        <w:rPr>
          <w:color w:val="000000" w:themeColor="text1"/>
        </w:rPr>
        <w:t>is</w:t>
      </w:r>
      <w:r w:rsidRPr="00696921">
        <w:rPr>
          <w:color w:val="000000" w:themeColor="text1"/>
        </w:rPr>
        <w:t xml:space="preserve"> cited in support of that objection</w:t>
      </w:r>
      <w:r w:rsidR="00AC6392" w:rsidRPr="00696921">
        <w:rPr>
          <w:color w:val="000000" w:themeColor="text1"/>
        </w:rPr>
        <w:t xml:space="preserve"> but, once again, there is a significant difference between the facts here and the facts in </w:t>
      </w:r>
      <w:r w:rsidR="00AC6392" w:rsidRPr="00696921">
        <w:rPr>
          <w:i/>
          <w:color w:val="000000" w:themeColor="text1"/>
        </w:rPr>
        <w:t>Herman</w:t>
      </w:r>
      <w:r w:rsidR="00AC6392" w:rsidRPr="00696921">
        <w:rPr>
          <w:color w:val="000000" w:themeColor="text1"/>
        </w:rPr>
        <w:t xml:space="preserve">. There was a fundamental lack of clarity in the two warrants at issue in </w:t>
      </w:r>
      <w:r w:rsidR="00AC6392" w:rsidRPr="00696921">
        <w:rPr>
          <w:i/>
          <w:color w:val="000000" w:themeColor="text1"/>
        </w:rPr>
        <w:t>Herman</w:t>
      </w:r>
      <w:r w:rsidR="00AC6392" w:rsidRPr="00696921">
        <w:rPr>
          <w:color w:val="000000" w:themeColor="text1"/>
        </w:rPr>
        <w:t xml:space="preserve"> as to the purpose for which the surrender of the appellant was being sought (whether for prosecution or sentence), and what sentence(s) he might have to serve if surrendered. It thus resembled the position in </w:t>
      </w:r>
      <w:r w:rsidR="00AC6392" w:rsidRPr="00696921">
        <w:rPr>
          <w:i/>
          <w:color w:val="000000" w:themeColor="text1"/>
        </w:rPr>
        <w:t>AB</w:t>
      </w:r>
      <w:r w:rsidR="00AC6392" w:rsidRPr="00696921">
        <w:rPr>
          <w:color w:val="000000" w:themeColor="text1"/>
        </w:rPr>
        <w:t xml:space="preserve">.  Here, in contrast, the Judge was satisfied that the material before him identified all matters that were required to be identified, including the purpose </w:t>
      </w:r>
      <w:r w:rsidR="00375A92" w:rsidRPr="00696921">
        <w:rPr>
          <w:color w:val="000000" w:themeColor="text1"/>
        </w:rPr>
        <w:t>for which surrender was sought and the sentence involved.</w:t>
      </w:r>
      <w:r w:rsidR="00740F4B" w:rsidRPr="00696921">
        <w:rPr>
          <w:color w:val="000000" w:themeColor="text1"/>
        </w:rPr>
        <w:t xml:space="preserve"> The Framework Decision clearly envisages that it may be necessary for the courts of the executing State to seek further information and, ultimately, the information provided to the Judge was, in his judgment, sufficient to adjudicate properly on the application.</w:t>
      </w:r>
      <w:r w:rsidR="00375A92" w:rsidRPr="00696921">
        <w:rPr>
          <w:color w:val="000000" w:themeColor="text1"/>
        </w:rPr>
        <w:t xml:space="preserve"> It is said that this Court should look at documents and form its own view. I do not think that is correct. The Judge – who has very considerable experience in EAW matters – was satisfied that the </w:t>
      </w:r>
      <w:r w:rsidR="00740F4B" w:rsidRPr="00696921">
        <w:rPr>
          <w:color w:val="000000" w:themeColor="text1"/>
        </w:rPr>
        <w:t xml:space="preserve">picture disclosed by </w:t>
      </w:r>
      <w:r w:rsidR="00375A92" w:rsidRPr="00696921">
        <w:rPr>
          <w:color w:val="000000" w:themeColor="text1"/>
        </w:rPr>
        <w:t xml:space="preserve">material before him </w:t>
      </w:r>
      <w:r w:rsidR="00740F4B" w:rsidRPr="00696921">
        <w:rPr>
          <w:color w:val="000000" w:themeColor="text1"/>
        </w:rPr>
        <w:t>was sufficient clear to allow him to reac</w:t>
      </w:r>
      <w:r w:rsidR="006607DC" w:rsidRPr="00696921">
        <w:rPr>
          <w:color w:val="000000" w:themeColor="text1"/>
        </w:rPr>
        <w:t>h a determination.</w:t>
      </w:r>
      <w:r w:rsidR="00375A92" w:rsidRPr="00696921">
        <w:rPr>
          <w:color w:val="000000" w:themeColor="text1"/>
        </w:rPr>
        <w:t xml:space="preserve"> It appears to me that this Court </w:t>
      </w:r>
      <w:r w:rsidR="006607DC" w:rsidRPr="00696921">
        <w:rPr>
          <w:color w:val="000000" w:themeColor="text1"/>
        </w:rPr>
        <w:t>ought to</w:t>
      </w:r>
      <w:r w:rsidR="00375A92" w:rsidRPr="00696921">
        <w:rPr>
          <w:color w:val="000000" w:themeColor="text1"/>
        </w:rPr>
        <w:t xml:space="preserve"> be slow to go behind </w:t>
      </w:r>
      <w:r w:rsidR="006607DC" w:rsidRPr="00696921">
        <w:rPr>
          <w:color w:val="000000" w:themeColor="text1"/>
        </w:rPr>
        <w:t xml:space="preserve">such a conclusion </w:t>
      </w:r>
      <w:r w:rsidR="00375A92" w:rsidRPr="00696921">
        <w:rPr>
          <w:color w:val="000000" w:themeColor="text1"/>
        </w:rPr>
        <w:t>and ought not to do so unless some clear error on the part of the Judge has been demonstrated. No such error has been identified here.</w:t>
      </w:r>
      <w:r w:rsidR="006607DC" w:rsidRPr="00696921">
        <w:rPr>
          <w:color w:val="000000" w:themeColor="text1"/>
        </w:rPr>
        <w:t xml:space="preserve"> I would therefore reject this ground also</w:t>
      </w:r>
    </w:p>
    <w:p w14:paraId="5736188E" w14:textId="77777777" w:rsidR="00375A92" w:rsidRPr="00696921" w:rsidRDefault="00375A92" w:rsidP="00375A92">
      <w:pPr>
        <w:pStyle w:val="ListParagraph"/>
        <w:widowControl w:val="0"/>
        <w:autoSpaceDE w:val="0"/>
        <w:autoSpaceDN w:val="0"/>
        <w:adjustRightInd w:val="0"/>
        <w:spacing w:line="480" w:lineRule="auto"/>
        <w:jc w:val="both"/>
        <w:rPr>
          <w:color w:val="000000" w:themeColor="text1"/>
        </w:rPr>
      </w:pPr>
    </w:p>
    <w:p w14:paraId="1A514951" w14:textId="16217B64" w:rsidR="00522AD3" w:rsidRPr="00696921" w:rsidRDefault="00375A92" w:rsidP="002C42D8">
      <w:pPr>
        <w:pStyle w:val="ListParagraph"/>
        <w:widowControl w:val="0"/>
        <w:numPr>
          <w:ilvl w:val="0"/>
          <w:numId w:val="1"/>
        </w:numPr>
        <w:autoSpaceDE w:val="0"/>
        <w:autoSpaceDN w:val="0"/>
        <w:adjustRightInd w:val="0"/>
        <w:spacing w:line="480" w:lineRule="auto"/>
        <w:ind w:hanging="578"/>
        <w:jc w:val="both"/>
        <w:rPr>
          <w:color w:val="000000" w:themeColor="text1"/>
        </w:rPr>
      </w:pPr>
      <w:r w:rsidRPr="00696921">
        <w:rPr>
          <w:color w:val="000000" w:themeColor="text1"/>
        </w:rPr>
        <w:t>It follows that all of the non-certified grounds fail.</w:t>
      </w:r>
    </w:p>
    <w:p w14:paraId="6A20A6D8" w14:textId="2D372FD3" w:rsidR="000F2E57" w:rsidRPr="00696921" w:rsidRDefault="000F2E57">
      <w:pPr>
        <w:spacing w:after="160" w:line="259" w:lineRule="auto"/>
        <w:rPr>
          <w:color w:val="000000" w:themeColor="text1"/>
        </w:rPr>
      </w:pPr>
      <w:r w:rsidRPr="00696921">
        <w:rPr>
          <w:color w:val="000000" w:themeColor="text1"/>
        </w:rPr>
        <w:br w:type="page"/>
      </w:r>
    </w:p>
    <w:p w14:paraId="39327E88" w14:textId="77777777" w:rsidR="006607DC" w:rsidRPr="00696921" w:rsidRDefault="006607DC" w:rsidP="006607DC">
      <w:pPr>
        <w:pStyle w:val="ListParagraph"/>
        <w:widowControl w:val="0"/>
        <w:autoSpaceDE w:val="0"/>
        <w:autoSpaceDN w:val="0"/>
        <w:adjustRightInd w:val="0"/>
        <w:spacing w:line="480" w:lineRule="auto"/>
        <w:jc w:val="both"/>
        <w:rPr>
          <w:color w:val="000000" w:themeColor="text1"/>
        </w:rPr>
      </w:pPr>
    </w:p>
    <w:p w14:paraId="161A739A" w14:textId="3CC0333B" w:rsidR="000A26B7" w:rsidRPr="00696921" w:rsidRDefault="006607DC" w:rsidP="006607DC">
      <w:pPr>
        <w:pStyle w:val="ListParagraph"/>
        <w:spacing w:line="480" w:lineRule="auto"/>
        <w:ind w:left="0"/>
        <w:jc w:val="center"/>
        <w:rPr>
          <w:b/>
          <w:color w:val="000000" w:themeColor="text1"/>
        </w:rPr>
      </w:pPr>
      <w:r w:rsidRPr="00696921">
        <w:rPr>
          <w:b/>
          <w:color w:val="000000" w:themeColor="text1"/>
        </w:rPr>
        <w:t>CONCLUSION AND ORDER</w:t>
      </w:r>
    </w:p>
    <w:p w14:paraId="347A4469" w14:textId="77777777" w:rsidR="006607DC" w:rsidRPr="00696921" w:rsidRDefault="006607DC" w:rsidP="000A26B7">
      <w:pPr>
        <w:pStyle w:val="ListParagraph"/>
        <w:spacing w:line="480" w:lineRule="auto"/>
        <w:jc w:val="both"/>
        <w:rPr>
          <w:b/>
          <w:color w:val="000000" w:themeColor="text1"/>
        </w:rPr>
      </w:pPr>
    </w:p>
    <w:p w14:paraId="7354D561" w14:textId="78893F16" w:rsidR="006607DC" w:rsidRPr="00696921" w:rsidRDefault="006607DC" w:rsidP="006607DC">
      <w:pPr>
        <w:pStyle w:val="ListParagraph"/>
        <w:numPr>
          <w:ilvl w:val="0"/>
          <w:numId w:val="1"/>
        </w:numPr>
        <w:spacing w:line="480" w:lineRule="auto"/>
        <w:ind w:hanging="578"/>
        <w:jc w:val="both"/>
        <w:rPr>
          <w:color w:val="000000" w:themeColor="text1"/>
        </w:rPr>
      </w:pPr>
      <w:r w:rsidRPr="00696921">
        <w:rPr>
          <w:color w:val="000000" w:themeColor="text1"/>
        </w:rPr>
        <w:t>I would dismiss the appeal based on the non-certified grounds.</w:t>
      </w:r>
    </w:p>
    <w:p w14:paraId="44461CE9" w14:textId="77777777" w:rsidR="006607DC" w:rsidRPr="00696921" w:rsidRDefault="006607DC" w:rsidP="006607DC">
      <w:pPr>
        <w:pStyle w:val="ListParagraph"/>
        <w:spacing w:line="480" w:lineRule="auto"/>
        <w:jc w:val="both"/>
        <w:rPr>
          <w:color w:val="000000" w:themeColor="text1"/>
        </w:rPr>
      </w:pPr>
    </w:p>
    <w:p w14:paraId="18E54330" w14:textId="564C918E" w:rsidR="006607DC" w:rsidRPr="00696921" w:rsidRDefault="006607DC" w:rsidP="006607DC">
      <w:pPr>
        <w:pStyle w:val="ListParagraph"/>
        <w:numPr>
          <w:ilvl w:val="0"/>
          <w:numId w:val="1"/>
        </w:numPr>
        <w:spacing w:line="480" w:lineRule="auto"/>
        <w:ind w:hanging="578"/>
        <w:jc w:val="both"/>
        <w:rPr>
          <w:color w:val="000000" w:themeColor="text1"/>
        </w:rPr>
      </w:pPr>
      <w:r w:rsidRPr="00696921">
        <w:rPr>
          <w:color w:val="000000" w:themeColor="text1"/>
        </w:rPr>
        <w:t>As regards the remaining grounds of the appeal, I would refer the following questions to the CJEU pursuant to Article 267 TFEU:</w:t>
      </w:r>
    </w:p>
    <w:p w14:paraId="324D4813" w14:textId="77777777" w:rsidR="006607DC" w:rsidRPr="00696921" w:rsidRDefault="006607DC" w:rsidP="00375885">
      <w:pPr>
        <w:pStyle w:val="Default"/>
        <w:spacing w:line="480" w:lineRule="auto"/>
        <w:rPr>
          <w:color w:val="000000" w:themeColor="text1"/>
        </w:rPr>
      </w:pPr>
    </w:p>
    <w:p w14:paraId="2BC74540" w14:textId="77777777" w:rsidR="00375885" w:rsidRPr="00696921" w:rsidRDefault="00375885" w:rsidP="00D96427">
      <w:pPr>
        <w:autoSpaceDE w:val="0"/>
        <w:autoSpaceDN w:val="0"/>
        <w:adjustRightInd w:val="0"/>
        <w:spacing w:line="480" w:lineRule="auto"/>
        <w:ind w:left="1418"/>
        <w:jc w:val="both"/>
        <w:rPr>
          <w:rFonts w:eastAsiaTheme="minorHAnsi"/>
          <w:i/>
          <w:iCs/>
          <w:color w:val="000000" w:themeColor="text1"/>
          <w:lang w:eastAsia="en-US"/>
        </w:rPr>
      </w:pPr>
      <w:r w:rsidRPr="00696921">
        <w:rPr>
          <w:rFonts w:eastAsiaTheme="minorHAnsi"/>
          <w:i/>
          <w:iCs/>
          <w:color w:val="000000" w:themeColor="text1"/>
          <w:lang w:eastAsia="en-US"/>
        </w:rPr>
        <w:t xml:space="preserve">1. (a) Where the surrender of the requested person is sought for the purpose of serving a custodial sentence which was suspended ab initio but which was subsequently ordered to be enforced as a result of the conviction of the requested person for a further criminal offence, and where that enforcement order was made by the court that convicted and sentenced the requested person for that further criminal offence, do the proceedings leading to that subsequent conviction and enforcement order constitute the ‘trial resulting in the decision’ for the purposes of Article 4a(1) of Council Framework Decision 2002/584/JHA? </w:t>
      </w:r>
    </w:p>
    <w:p w14:paraId="16B8767A" w14:textId="77777777" w:rsidR="00375885" w:rsidRPr="00696921" w:rsidRDefault="00375885" w:rsidP="00D96427">
      <w:pPr>
        <w:autoSpaceDE w:val="0"/>
        <w:autoSpaceDN w:val="0"/>
        <w:adjustRightInd w:val="0"/>
        <w:spacing w:line="480" w:lineRule="auto"/>
        <w:ind w:left="1418"/>
        <w:jc w:val="both"/>
        <w:rPr>
          <w:rFonts w:eastAsiaTheme="minorHAnsi"/>
          <w:i/>
          <w:iCs/>
          <w:color w:val="000000" w:themeColor="text1"/>
          <w:lang w:eastAsia="en-US"/>
        </w:rPr>
      </w:pPr>
    </w:p>
    <w:p w14:paraId="3DA5F213" w14:textId="77777777" w:rsidR="00375885" w:rsidRPr="00696921" w:rsidRDefault="00375885" w:rsidP="00D96427">
      <w:pPr>
        <w:autoSpaceDE w:val="0"/>
        <w:autoSpaceDN w:val="0"/>
        <w:adjustRightInd w:val="0"/>
        <w:spacing w:line="480" w:lineRule="auto"/>
        <w:ind w:left="1418"/>
        <w:jc w:val="both"/>
        <w:rPr>
          <w:rFonts w:eastAsiaTheme="minorHAnsi"/>
          <w:i/>
          <w:iCs/>
          <w:color w:val="000000" w:themeColor="text1"/>
          <w:lang w:eastAsia="en-US"/>
        </w:rPr>
      </w:pPr>
      <w:r w:rsidRPr="00696921">
        <w:rPr>
          <w:rFonts w:eastAsiaTheme="minorHAnsi"/>
          <w:i/>
          <w:iCs/>
          <w:color w:val="000000" w:themeColor="text1"/>
          <w:lang w:eastAsia="en-US"/>
        </w:rPr>
        <w:t>(b) Is it relevant to the answer 1(a) above whether the court that made the enforcement order was obliged to make that order as a matter of law or whether it had a discretion to make such an order?</w:t>
      </w:r>
    </w:p>
    <w:p w14:paraId="22448EE2" w14:textId="77777777" w:rsidR="00375885" w:rsidRPr="00696921" w:rsidRDefault="00375885" w:rsidP="00D96427">
      <w:pPr>
        <w:autoSpaceDE w:val="0"/>
        <w:autoSpaceDN w:val="0"/>
        <w:adjustRightInd w:val="0"/>
        <w:spacing w:line="480" w:lineRule="auto"/>
        <w:ind w:left="1418"/>
        <w:jc w:val="both"/>
        <w:rPr>
          <w:rFonts w:eastAsiaTheme="minorHAnsi"/>
          <w:i/>
          <w:iCs/>
          <w:color w:val="000000" w:themeColor="text1"/>
          <w:lang w:eastAsia="en-US"/>
        </w:rPr>
      </w:pPr>
    </w:p>
    <w:p w14:paraId="3B2A2E9F" w14:textId="7DC963C8" w:rsidR="00375885" w:rsidRPr="00696921" w:rsidRDefault="00375885" w:rsidP="00D96427">
      <w:pPr>
        <w:autoSpaceDE w:val="0"/>
        <w:autoSpaceDN w:val="0"/>
        <w:adjustRightInd w:val="0"/>
        <w:spacing w:line="480" w:lineRule="auto"/>
        <w:ind w:left="1418"/>
        <w:jc w:val="both"/>
        <w:rPr>
          <w:rFonts w:eastAsiaTheme="minorHAnsi"/>
          <w:i/>
          <w:iCs/>
          <w:color w:val="000000" w:themeColor="text1"/>
          <w:lang w:eastAsia="en-US"/>
        </w:rPr>
      </w:pPr>
      <w:bookmarkStart w:id="14" w:name="_Hlk76562145"/>
      <w:r w:rsidRPr="00696921">
        <w:rPr>
          <w:rFonts w:eastAsiaTheme="minorHAnsi"/>
          <w:i/>
          <w:iCs/>
          <w:color w:val="000000" w:themeColor="text1"/>
          <w:lang w:eastAsia="en-US"/>
        </w:rPr>
        <w:t>2. In the circumstances set out in question 1 above, is the court of the executing State entitled to inquire into whether the proceedings leading to the subsequent conviction and enforcement order</w:t>
      </w:r>
      <w:r w:rsidR="00A555B5" w:rsidRPr="00696921">
        <w:rPr>
          <w:rFonts w:eastAsiaTheme="minorHAnsi"/>
          <w:i/>
          <w:iCs/>
          <w:color w:val="000000" w:themeColor="text1"/>
          <w:lang w:eastAsia="en-US"/>
        </w:rPr>
        <w:t>, which took place in the absence of the requested person,</w:t>
      </w:r>
      <w:r w:rsidRPr="00696921">
        <w:rPr>
          <w:rFonts w:eastAsiaTheme="minorHAnsi"/>
          <w:i/>
          <w:iCs/>
          <w:color w:val="000000" w:themeColor="text1"/>
          <w:lang w:eastAsia="en-US"/>
        </w:rPr>
        <w:t xml:space="preserve"> were conducted in compliance with Article 6 of the European Convention on Human Rights and Fundamental Freedoms and, in particular, whether the absence of the requested person involved a violation of the rights of the defence</w:t>
      </w:r>
      <w:r w:rsidR="00A555B5" w:rsidRPr="00696921">
        <w:rPr>
          <w:rFonts w:eastAsiaTheme="minorHAnsi"/>
          <w:i/>
          <w:iCs/>
          <w:color w:val="000000" w:themeColor="text1"/>
          <w:lang w:eastAsia="en-US"/>
        </w:rPr>
        <w:t xml:space="preserve"> and the requested person’s right to a fair trial</w:t>
      </w:r>
      <w:r w:rsidRPr="00696921">
        <w:rPr>
          <w:rFonts w:eastAsiaTheme="minorHAnsi"/>
          <w:i/>
          <w:iCs/>
          <w:color w:val="000000" w:themeColor="text1"/>
          <w:lang w:eastAsia="en-US"/>
        </w:rPr>
        <w:t>?</w:t>
      </w:r>
    </w:p>
    <w:bookmarkEnd w:id="14"/>
    <w:p w14:paraId="5C4B5E48" w14:textId="77777777" w:rsidR="00375885" w:rsidRPr="00696921" w:rsidRDefault="00375885" w:rsidP="00D96427">
      <w:pPr>
        <w:autoSpaceDE w:val="0"/>
        <w:autoSpaceDN w:val="0"/>
        <w:adjustRightInd w:val="0"/>
        <w:spacing w:line="480" w:lineRule="auto"/>
        <w:ind w:left="1418"/>
        <w:jc w:val="both"/>
        <w:rPr>
          <w:rFonts w:eastAsiaTheme="minorHAnsi"/>
          <w:i/>
          <w:iCs/>
          <w:color w:val="000000" w:themeColor="text1"/>
          <w:lang w:eastAsia="en-US"/>
        </w:rPr>
      </w:pPr>
    </w:p>
    <w:p w14:paraId="526CC5CC" w14:textId="199273D8" w:rsidR="00375885" w:rsidRPr="00696921" w:rsidRDefault="00375885" w:rsidP="00D96427">
      <w:pPr>
        <w:autoSpaceDE w:val="0"/>
        <w:autoSpaceDN w:val="0"/>
        <w:adjustRightInd w:val="0"/>
        <w:spacing w:line="480" w:lineRule="auto"/>
        <w:ind w:left="1418"/>
        <w:jc w:val="both"/>
        <w:rPr>
          <w:rFonts w:eastAsiaTheme="minorHAnsi"/>
          <w:i/>
          <w:iCs/>
          <w:color w:val="000000" w:themeColor="text1"/>
          <w:lang w:eastAsia="en-US"/>
        </w:rPr>
      </w:pPr>
      <w:r w:rsidRPr="00696921">
        <w:rPr>
          <w:rFonts w:eastAsiaTheme="minorHAnsi"/>
          <w:i/>
          <w:iCs/>
          <w:color w:val="000000" w:themeColor="text1"/>
          <w:lang w:eastAsia="en-US"/>
        </w:rPr>
        <w:t>3. In the circumstances set out in question 1 above, if the court of the executing State is satisfied that the proceedings leading to the subsequent conviction and enforcement order were not conducted in compliance with Article 6 of the European Convention on Human Rights and Fundamental Freedoms and, in particular, that the absence of the requested person involved a violation of the rights of the defence</w:t>
      </w:r>
      <w:r w:rsidR="00A555B5" w:rsidRPr="00696921">
        <w:rPr>
          <w:rFonts w:eastAsiaTheme="minorHAnsi"/>
          <w:i/>
          <w:iCs/>
          <w:color w:val="000000" w:themeColor="text1"/>
          <w:lang w:eastAsia="en-US"/>
        </w:rPr>
        <w:t xml:space="preserve"> and/or of the requested person’s right to a fair trial</w:t>
      </w:r>
      <w:r w:rsidRPr="00696921">
        <w:rPr>
          <w:rFonts w:eastAsiaTheme="minorHAnsi"/>
          <w:i/>
          <w:iCs/>
          <w:color w:val="000000" w:themeColor="text1"/>
          <w:lang w:eastAsia="en-US"/>
        </w:rPr>
        <w:t xml:space="preserve">, is that court and/or obliged (a) to refuse surrender of the requested person on the basis that such surrender would be contrary to Article 6 of the Convention and/or Articles 47 and 48(2) of the Charter of Fundamental Rights of the European Union and/or (b) to require the issuing judicial authority as a condition of surrender to provide a guarantee that the requested person will, upon surrender, be entitled to a retrial or appeal, in which they will have a right to participate and which allows for the merits of the case, including fresh evidence, to be re-examined which may lead to the original decision being reversed, in respect of the conviction leading to the enforcement order?  </w:t>
      </w:r>
    </w:p>
    <w:p w14:paraId="2F9DBE7C" w14:textId="77777777" w:rsidR="006607DC" w:rsidRPr="00696921" w:rsidRDefault="006607DC" w:rsidP="006607DC">
      <w:pPr>
        <w:pStyle w:val="ListParagraph"/>
        <w:spacing w:line="480" w:lineRule="auto"/>
        <w:jc w:val="both"/>
        <w:rPr>
          <w:color w:val="000000" w:themeColor="text1"/>
        </w:rPr>
      </w:pPr>
    </w:p>
    <w:p w14:paraId="754EB708" w14:textId="39C81000" w:rsidR="004B5B80" w:rsidRPr="00696921" w:rsidRDefault="006607DC" w:rsidP="002E3B8D">
      <w:pPr>
        <w:pStyle w:val="ListParagraph"/>
        <w:numPr>
          <w:ilvl w:val="0"/>
          <w:numId w:val="1"/>
        </w:numPr>
        <w:spacing w:line="480" w:lineRule="auto"/>
        <w:ind w:hanging="578"/>
        <w:jc w:val="both"/>
        <w:rPr>
          <w:color w:val="000000" w:themeColor="text1"/>
        </w:rPr>
      </w:pPr>
      <w:r w:rsidRPr="00696921">
        <w:rPr>
          <w:color w:val="000000" w:themeColor="text1"/>
        </w:rPr>
        <w:t xml:space="preserve"> The appeal will be stayed pending the ruling of the CJEU on those questions.</w:t>
      </w:r>
    </w:p>
    <w:sectPr w:rsidR="004B5B80" w:rsidRPr="00696921" w:rsidSect="009007E7">
      <w:footerReference w:type="default" r:id="rId7"/>
      <w:headerReference w:type="first" r:id="rId8"/>
      <w:pgSz w:w="11906" w:h="16838"/>
      <w:pgMar w:top="1814" w:right="1440" w:bottom="1814" w:left="1440"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07F4B" w16cex:dateUtc="2021-07-19T21:46:00Z"/>
  <w16cex:commentExtensible w16cex:durableId="24A08421" w16cex:dateUtc="2021-07-19T22:0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BB757" w14:textId="77777777" w:rsidR="00A253B2" w:rsidRDefault="00A253B2" w:rsidP="00A63007">
      <w:r>
        <w:separator/>
      </w:r>
    </w:p>
  </w:endnote>
  <w:endnote w:type="continuationSeparator" w:id="0">
    <w:p w14:paraId="6F468C9F" w14:textId="77777777" w:rsidR="00A253B2" w:rsidRDefault="00A253B2" w:rsidP="00A6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778237"/>
      <w:docPartObj>
        <w:docPartGallery w:val="Page Numbers (Bottom of Page)"/>
        <w:docPartUnique/>
      </w:docPartObj>
    </w:sdtPr>
    <w:sdtEndPr>
      <w:rPr>
        <w:b/>
        <w:i/>
      </w:rPr>
    </w:sdtEndPr>
    <w:sdtContent>
      <w:sdt>
        <w:sdtPr>
          <w:rPr>
            <w:b/>
            <w:i/>
          </w:rPr>
          <w:id w:val="1728636285"/>
          <w:docPartObj>
            <w:docPartGallery w:val="Page Numbers (Top of Page)"/>
            <w:docPartUnique/>
          </w:docPartObj>
        </w:sdtPr>
        <w:sdtEndPr/>
        <w:sdtContent>
          <w:p w14:paraId="2A407A10" w14:textId="77777777" w:rsidR="0027158D" w:rsidRPr="00A63007" w:rsidRDefault="0027158D">
            <w:pPr>
              <w:pStyle w:val="Footer"/>
              <w:jc w:val="center"/>
              <w:rPr>
                <w:b/>
                <w:i/>
              </w:rPr>
            </w:pPr>
            <w:r w:rsidRPr="00A63007">
              <w:rPr>
                <w:b/>
                <w:i/>
              </w:rPr>
              <w:t xml:space="preserve">Page </w:t>
            </w:r>
            <w:r w:rsidRPr="00A63007">
              <w:rPr>
                <w:b/>
                <w:bCs/>
                <w:i/>
              </w:rPr>
              <w:fldChar w:fldCharType="begin"/>
            </w:r>
            <w:r w:rsidRPr="00A63007">
              <w:rPr>
                <w:b/>
                <w:bCs/>
                <w:i/>
              </w:rPr>
              <w:instrText xml:space="preserve"> PAGE </w:instrText>
            </w:r>
            <w:r w:rsidRPr="00A63007">
              <w:rPr>
                <w:b/>
                <w:bCs/>
                <w:i/>
              </w:rPr>
              <w:fldChar w:fldCharType="separate"/>
            </w:r>
            <w:r w:rsidRPr="00A63007">
              <w:rPr>
                <w:b/>
                <w:bCs/>
                <w:i/>
                <w:noProof/>
              </w:rPr>
              <w:t>2</w:t>
            </w:r>
            <w:r w:rsidRPr="00A63007">
              <w:rPr>
                <w:b/>
                <w:bCs/>
                <w:i/>
              </w:rPr>
              <w:fldChar w:fldCharType="end"/>
            </w:r>
            <w:r w:rsidRPr="00A63007">
              <w:rPr>
                <w:b/>
                <w:i/>
              </w:rPr>
              <w:t xml:space="preserve"> of </w:t>
            </w:r>
            <w:r w:rsidRPr="00A63007">
              <w:rPr>
                <w:b/>
                <w:bCs/>
                <w:i/>
              </w:rPr>
              <w:fldChar w:fldCharType="begin"/>
            </w:r>
            <w:r w:rsidRPr="00A63007">
              <w:rPr>
                <w:b/>
                <w:bCs/>
                <w:i/>
              </w:rPr>
              <w:instrText xml:space="preserve"> NUMPAGES  </w:instrText>
            </w:r>
            <w:r w:rsidRPr="00A63007">
              <w:rPr>
                <w:b/>
                <w:bCs/>
                <w:i/>
              </w:rPr>
              <w:fldChar w:fldCharType="separate"/>
            </w:r>
            <w:r w:rsidRPr="00A63007">
              <w:rPr>
                <w:b/>
                <w:bCs/>
                <w:i/>
                <w:noProof/>
              </w:rPr>
              <w:t>2</w:t>
            </w:r>
            <w:r w:rsidRPr="00A63007">
              <w:rPr>
                <w:b/>
                <w:bCs/>
                <w:i/>
              </w:rPr>
              <w:fldChar w:fldCharType="end"/>
            </w:r>
          </w:p>
        </w:sdtContent>
      </w:sdt>
    </w:sdtContent>
  </w:sdt>
  <w:p w14:paraId="069772C9" w14:textId="77777777" w:rsidR="0027158D" w:rsidRDefault="00271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FBE88" w14:textId="77777777" w:rsidR="00A253B2" w:rsidRDefault="00A253B2" w:rsidP="00A63007">
      <w:r>
        <w:separator/>
      </w:r>
    </w:p>
  </w:footnote>
  <w:footnote w:type="continuationSeparator" w:id="0">
    <w:p w14:paraId="54211FC3" w14:textId="77777777" w:rsidR="00A253B2" w:rsidRDefault="00A253B2" w:rsidP="00A63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0EA89" w14:textId="0CAB1A30" w:rsidR="00DF7357" w:rsidRDefault="00F35F1B" w:rsidP="009007E7">
    <w:pPr>
      <w:pStyle w:val="Header"/>
      <w:rPr>
        <w:b/>
        <w:i/>
      </w:rPr>
    </w:pPr>
    <w:r>
      <w:rPr>
        <w:b/>
        <w:i/>
      </w:rPr>
      <w:t>Approved</w:t>
    </w:r>
  </w:p>
  <w:p w14:paraId="25E1961D" w14:textId="5EA6912A" w:rsidR="00DF7357" w:rsidRPr="00537B9F" w:rsidRDefault="00DF7357" w:rsidP="009007E7">
    <w:pPr>
      <w:pStyle w:val="Header"/>
      <w:rPr>
        <w:b/>
        <w:i/>
      </w:rPr>
    </w:pPr>
    <w:r>
      <w:rPr>
        <w:b/>
        <w:i/>
      </w:rPr>
      <w:t>No redactions required</w:t>
    </w:r>
  </w:p>
  <w:p w14:paraId="7E3BA7D3" w14:textId="24FC2AD6" w:rsidR="009007E7" w:rsidRDefault="009007E7" w:rsidP="00D96427">
    <w:pPr>
      <w:pStyle w:val="Header"/>
      <w:jc w:val="center"/>
    </w:pPr>
  </w:p>
  <w:p w14:paraId="54A2255E" w14:textId="4FF181FF" w:rsidR="009007E7" w:rsidRDefault="009007E7" w:rsidP="009007E7">
    <w:pPr>
      <w:pStyle w:val="Header"/>
      <w:jc w:val="center"/>
    </w:pPr>
    <w:r w:rsidRPr="009C3941">
      <w:rPr>
        <w:noProof/>
      </w:rPr>
      <w:drawing>
        <wp:inline distT="0" distB="0" distL="0" distR="0" wp14:anchorId="7F14F364" wp14:editId="61CA48C6">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3057"/>
    <w:multiLevelType w:val="hybridMultilevel"/>
    <w:tmpl w:val="A22278F0"/>
    <w:lvl w:ilvl="0" w:tplc="1809000F">
      <w:start w:val="1"/>
      <w:numFmt w:val="decimal"/>
      <w:lvlText w:val="%1."/>
      <w:lvlJc w:val="left"/>
      <w:pPr>
        <w:ind w:left="144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8A22E9"/>
    <w:multiLevelType w:val="hybridMultilevel"/>
    <w:tmpl w:val="E1DC3EF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A2F16B3"/>
    <w:multiLevelType w:val="hybridMultilevel"/>
    <w:tmpl w:val="591AC5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F869C0"/>
    <w:multiLevelType w:val="hybridMultilevel"/>
    <w:tmpl w:val="591AC5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8A14305"/>
    <w:multiLevelType w:val="hybridMultilevel"/>
    <w:tmpl w:val="A8CAE9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9587013"/>
    <w:multiLevelType w:val="hybridMultilevel"/>
    <w:tmpl w:val="341A4E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20"/>
    <w:rsid w:val="00033C03"/>
    <w:rsid w:val="000A26B7"/>
    <w:rsid w:val="000B1337"/>
    <w:rsid w:val="000B29BF"/>
    <w:rsid w:val="000E291D"/>
    <w:rsid w:val="000F2E57"/>
    <w:rsid w:val="00107103"/>
    <w:rsid w:val="0011102C"/>
    <w:rsid w:val="001253C8"/>
    <w:rsid w:val="0013350A"/>
    <w:rsid w:val="001362A4"/>
    <w:rsid w:val="00157F6D"/>
    <w:rsid w:val="00192FFD"/>
    <w:rsid w:val="001D0134"/>
    <w:rsid w:val="001E36C5"/>
    <w:rsid w:val="001E701B"/>
    <w:rsid w:val="001F3149"/>
    <w:rsid w:val="00237743"/>
    <w:rsid w:val="0025475E"/>
    <w:rsid w:val="0027158D"/>
    <w:rsid w:val="00275515"/>
    <w:rsid w:val="0029173F"/>
    <w:rsid w:val="00292BF7"/>
    <w:rsid w:val="002C24D5"/>
    <w:rsid w:val="002C42D8"/>
    <w:rsid w:val="002C7A8E"/>
    <w:rsid w:val="002F49F7"/>
    <w:rsid w:val="003310D7"/>
    <w:rsid w:val="00356965"/>
    <w:rsid w:val="00375885"/>
    <w:rsid w:val="00375A92"/>
    <w:rsid w:val="003B5BBD"/>
    <w:rsid w:val="003C3FF8"/>
    <w:rsid w:val="003D54BA"/>
    <w:rsid w:val="003F15EA"/>
    <w:rsid w:val="003F7820"/>
    <w:rsid w:val="0040228D"/>
    <w:rsid w:val="00410E58"/>
    <w:rsid w:val="00411CEF"/>
    <w:rsid w:val="00412758"/>
    <w:rsid w:val="00414EC2"/>
    <w:rsid w:val="00445208"/>
    <w:rsid w:val="00451156"/>
    <w:rsid w:val="00456F6C"/>
    <w:rsid w:val="004623C3"/>
    <w:rsid w:val="00463073"/>
    <w:rsid w:val="004660DD"/>
    <w:rsid w:val="004853C4"/>
    <w:rsid w:val="004868CC"/>
    <w:rsid w:val="004A2D28"/>
    <w:rsid w:val="004B1EE7"/>
    <w:rsid w:val="004B2E93"/>
    <w:rsid w:val="004B5B80"/>
    <w:rsid w:val="004C0FCD"/>
    <w:rsid w:val="00501F25"/>
    <w:rsid w:val="00522AD3"/>
    <w:rsid w:val="00537B9F"/>
    <w:rsid w:val="005A1B86"/>
    <w:rsid w:val="005C20DC"/>
    <w:rsid w:val="005C261C"/>
    <w:rsid w:val="005F2E2A"/>
    <w:rsid w:val="00617646"/>
    <w:rsid w:val="006607DC"/>
    <w:rsid w:val="00690684"/>
    <w:rsid w:val="00696921"/>
    <w:rsid w:val="006B1145"/>
    <w:rsid w:val="006E1F46"/>
    <w:rsid w:val="00706696"/>
    <w:rsid w:val="00740F4B"/>
    <w:rsid w:val="00745452"/>
    <w:rsid w:val="007774EE"/>
    <w:rsid w:val="007B7975"/>
    <w:rsid w:val="007D727B"/>
    <w:rsid w:val="007F67E5"/>
    <w:rsid w:val="0080072A"/>
    <w:rsid w:val="00810592"/>
    <w:rsid w:val="00810B4A"/>
    <w:rsid w:val="00812776"/>
    <w:rsid w:val="00840C83"/>
    <w:rsid w:val="008431CB"/>
    <w:rsid w:val="0085309D"/>
    <w:rsid w:val="008612FA"/>
    <w:rsid w:val="00867142"/>
    <w:rsid w:val="00867381"/>
    <w:rsid w:val="008A755A"/>
    <w:rsid w:val="008C1575"/>
    <w:rsid w:val="008C1599"/>
    <w:rsid w:val="008C3DD0"/>
    <w:rsid w:val="008D6376"/>
    <w:rsid w:val="009007E7"/>
    <w:rsid w:val="009238F1"/>
    <w:rsid w:val="00962A88"/>
    <w:rsid w:val="00972790"/>
    <w:rsid w:val="009803AA"/>
    <w:rsid w:val="009A374F"/>
    <w:rsid w:val="009E436D"/>
    <w:rsid w:val="00A05199"/>
    <w:rsid w:val="00A060C8"/>
    <w:rsid w:val="00A21C09"/>
    <w:rsid w:val="00A253B2"/>
    <w:rsid w:val="00A360E8"/>
    <w:rsid w:val="00A555B5"/>
    <w:rsid w:val="00A57F71"/>
    <w:rsid w:val="00A616E8"/>
    <w:rsid w:val="00A63007"/>
    <w:rsid w:val="00AC6392"/>
    <w:rsid w:val="00AD4B66"/>
    <w:rsid w:val="00AD7404"/>
    <w:rsid w:val="00B054CC"/>
    <w:rsid w:val="00B130C2"/>
    <w:rsid w:val="00B44F02"/>
    <w:rsid w:val="00B53274"/>
    <w:rsid w:val="00B55A00"/>
    <w:rsid w:val="00B62381"/>
    <w:rsid w:val="00B8674E"/>
    <w:rsid w:val="00B93D62"/>
    <w:rsid w:val="00BD3D6E"/>
    <w:rsid w:val="00BE027A"/>
    <w:rsid w:val="00BF55F9"/>
    <w:rsid w:val="00C137F9"/>
    <w:rsid w:val="00C729C3"/>
    <w:rsid w:val="00C7458B"/>
    <w:rsid w:val="00C83A2C"/>
    <w:rsid w:val="00C91D91"/>
    <w:rsid w:val="00CF31B9"/>
    <w:rsid w:val="00D20319"/>
    <w:rsid w:val="00D23A69"/>
    <w:rsid w:val="00D327E0"/>
    <w:rsid w:val="00D41685"/>
    <w:rsid w:val="00D8478F"/>
    <w:rsid w:val="00D96427"/>
    <w:rsid w:val="00DC31C5"/>
    <w:rsid w:val="00DF7357"/>
    <w:rsid w:val="00E00BBB"/>
    <w:rsid w:val="00E02DEF"/>
    <w:rsid w:val="00E0370F"/>
    <w:rsid w:val="00E11743"/>
    <w:rsid w:val="00E25DE2"/>
    <w:rsid w:val="00E40030"/>
    <w:rsid w:val="00E5332F"/>
    <w:rsid w:val="00E5394B"/>
    <w:rsid w:val="00E74EAA"/>
    <w:rsid w:val="00E9374C"/>
    <w:rsid w:val="00E94E29"/>
    <w:rsid w:val="00E96D44"/>
    <w:rsid w:val="00EA792C"/>
    <w:rsid w:val="00EC1CE4"/>
    <w:rsid w:val="00EE2651"/>
    <w:rsid w:val="00EE77CC"/>
    <w:rsid w:val="00F32E19"/>
    <w:rsid w:val="00F35F1B"/>
    <w:rsid w:val="00F50A3F"/>
    <w:rsid w:val="00F70D2C"/>
    <w:rsid w:val="00F807DA"/>
    <w:rsid w:val="00F85862"/>
    <w:rsid w:val="00FD1038"/>
    <w:rsid w:val="00FE0106"/>
    <w:rsid w:val="00FF6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9022"/>
  <w15:chartTrackingRefBased/>
  <w15:docId w15:val="{25FDB883-8B2A-44F2-8ECC-CADB57B4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82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0370F"/>
    <w:pPr>
      <w:keepNext/>
      <w:keepLines/>
      <w:spacing w:line="480" w:lineRule="auto"/>
      <w:jc w:val="center"/>
      <w:outlineLvl w:val="0"/>
    </w:pPr>
    <w:rPr>
      <w:rFonts w:eastAsiaTheme="majorEastAsia"/>
      <w:b/>
      <w:lang w:eastAsia="en-US"/>
    </w:rPr>
  </w:style>
  <w:style w:type="paragraph" w:styleId="Heading2">
    <w:name w:val="heading 2"/>
    <w:basedOn w:val="Normal"/>
    <w:next w:val="Normal"/>
    <w:link w:val="Heading2Char"/>
    <w:uiPriority w:val="9"/>
    <w:unhideWhenUsed/>
    <w:qFormat/>
    <w:rsid w:val="00E11743"/>
    <w:pPr>
      <w:keepNext/>
      <w:keepLines/>
      <w:widowControl w:val="0"/>
      <w:spacing w:before="40" w:line="360" w:lineRule="auto"/>
      <w:ind w:left="720"/>
      <w:jc w:val="both"/>
      <w:outlineLvl w:val="1"/>
    </w:pPr>
    <w:rPr>
      <w:rFonts w:eastAsiaTheme="majorEastAsia" w:cstheme="majorBidi"/>
      <w:b/>
      <w:color w:val="000000" w:themeColor="text1"/>
      <w:szCs w:val="26"/>
      <w:lang w:eastAsia="en-US"/>
    </w:rPr>
  </w:style>
  <w:style w:type="paragraph" w:styleId="Heading3">
    <w:name w:val="heading 3"/>
    <w:basedOn w:val="Normal"/>
    <w:next w:val="Normal"/>
    <w:link w:val="Heading3Char"/>
    <w:uiPriority w:val="9"/>
    <w:unhideWhenUsed/>
    <w:qFormat/>
    <w:rsid w:val="00E11743"/>
    <w:pPr>
      <w:keepNext/>
      <w:keepLines/>
      <w:widowControl w:val="0"/>
      <w:spacing w:line="360" w:lineRule="auto"/>
      <w:ind w:left="720"/>
      <w:jc w:val="both"/>
      <w:outlineLvl w:val="2"/>
    </w:pPr>
    <w:rPr>
      <w:rFonts w:eastAsiaTheme="majorEastAsia" w:cstheme="majorBidi"/>
      <w:i/>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867142"/>
    <w:pPr>
      <w:spacing w:line="480" w:lineRule="auto"/>
      <w:jc w:val="both"/>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rsid w:val="00867142"/>
    <w:rPr>
      <w:rFonts w:ascii="Times New Roman" w:hAnsi="Times New Roman"/>
      <w:sz w:val="20"/>
      <w:szCs w:val="20"/>
    </w:rPr>
  </w:style>
  <w:style w:type="character" w:customStyle="1" w:styleId="Heading1Char">
    <w:name w:val="Heading 1 Char"/>
    <w:basedOn w:val="DefaultParagraphFont"/>
    <w:link w:val="Heading1"/>
    <w:uiPriority w:val="9"/>
    <w:rsid w:val="00E0370F"/>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11743"/>
    <w:rPr>
      <w:rFonts w:ascii="Times New Roman" w:eastAsiaTheme="majorEastAsia" w:hAnsi="Times New Roman" w:cstheme="majorBidi"/>
      <w:i/>
      <w:color w:val="000000" w:themeColor="text1"/>
      <w:sz w:val="24"/>
      <w:szCs w:val="24"/>
    </w:rPr>
  </w:style>
  <w:style w:type="character" w:customStyle="1" w:styleId="Heading2Char">
    <w:name w:val="Heading 2 Char"/>
    <w:basedOn w:val="DefaultParagraphFont"/>
    <w:link w:val="Heading2"/>
    <w:uiPriority w:val="9"/>
    <w:rsid w:val="00E11743"/>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63007"/>
    <w:pPr>
      <w:ind w:left="720"/>
      <w:contextualSpacing/>
    </w:pPr>
  </w:style>
  <w:style w:type="paragraph" w:styleId="Header">
    <w:name w:val="header"/>
    <w:basedOn w:val="Normal"/>
    <w:link w:val="HeaderChar"/>
    <w:uiPriority w:val="99"/>
    <w:unhideWhenUsed/>
    <w:rsid w:val="00A63007"/>
    <w:pPr>
      <w:tabs>
        <w:tab w:val="center" w:pos="4513"/>
        <w:tab w:val="right" w:pos="9026"/>
      </w:tabs>
    </w:pPr>
  </w:style>
  <w:style w:type="character" w:customStyle="1" w:styleId="HeaderChar">
    <w:name w:val="Header Char"/>
    <w:basedOn w:val="DefaultParagraphFont"/>
    <w:link w:val="Header"/>
    <w:uiPriority w:val="99"/>
    <w:rsid w:val="00A63007"/>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63007"/>
    <w:pPr>
      <w:tabs>
        <w:tab w:val="center" w:pos="4513"/>
        <w:tab w:val="right" w:pos="9026"/>
      </w:tabs>
    </w:pPr>
  </w:style>
  <w:style w:type="character" w:customStyle="1" w:styleId="FooterChar">
    <w:name w:val="Footer Char"/>
    <w:basedOn w:val="DefaultParagraphFont"/>
    <w:link w:val="Footer"/>
    <w:uiPriority w:val="99"/>
    <w:rsid w:val="00A63007"/>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33C03"/>
    <w:rPr>
      <w:i/>
      <w:iCs/>
    </w:rPr>
  </w:style>
  <w:style w:type="character" w:styleId="CommentReference">
    <w:name w:val="annotation reference"/>
    <w:basedOn w:val="DefaultParagraphFont"/>
    <w:uiPriority w:val="99"/>
    <w:semiHidden/>
    <w:unhideWhenUsed/>
    <w:rsid w:val="007774EE"/>
    <w:rPr>
      <w:sz w:val="16"/>
      <w:szCs w:val="16"/>
    </w:rPr>
  </w:style>
  <w:style w:type="paragraph" w:styleId="CommentText">
    <w:name w:val="annotation text"/>
    <w:basedOn w:val="Normal"/>
    <w:link w:val="CommentTextChar"/>
    <w:uiPriority w:val="99"/>
    <w:semiHidden/>
    <w:unhideWhenUsed/>
    <w:rsid w:val="007774EE"/>
    <w:rPr>
      <w:sz w:val="20"/>
      <w:szCs w:val="20"/>
    </w:rPr>
  </w:style>
  <w:style w:type="character" w:customStyle="1" w:styleId="CommentTextChar">
    <w:name w:val="Comment Text Char"/>
    <w:basedOn w:val="DefaultParagraphFont"/>
    <w:link w:val="CommentText"/>
    <w:uiPriority w:val="99"/>
    <w:semiHidden/>
    <w:rsid w:val="007774EE"/>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774EE"/>
    <w:rPr>
      <w:b/>
      <w:bCs/>
    </w:rPr>
  </w:style>
  <w:style w:type="character" w:customStyle="1" w:styleId="CommentSubjectChar">
    <w:name w:val="Comment Subject Char"/>
    <w:basedOn w:val="CommentTextChar"/>
    <w:link w:val="CommentSubject"/>
    <w:uiPriority w:val="99"/>
    <w:semiHidden/>
    <w:rsid w:val="007774EE"/>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7774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4EE"/>
    <w:rPr>
      <w:rFonts w:ascii="Segoe UI" w:eastAsia="Times New Roman" w:hAnsi="Segoe UI" w:cs="Segoe UI"/>
      <w:sz w:val="18"/>
      <w:szCs w:val="18"/>
      <w:lang w:eastAsia="en-GB"/>
    </w:rPr>
  </w:style>
  <w:style w:type="paragraph" w:customStyle="1" w:styleId="Default">
    <w:name w:val="Default"/>
    <w:rsid w:val="006607D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11CEF"/>
    <w:pPr>
      <w:spacing w:before="100" w:beforeAutospacing="1" w:after="100" w:afterAutospacing="1"/>
    </w:pPr>
    <w:rPr>
      <w:lang w:eastAsia="en-IE"/>
    </w:rPr>
  </w:style>
  <w:style w:type="character" w:customStyle="1" w:styleId="change">
    <w:name w:val="change"/>
    <w:basedOn w:val="DefaultParagraphFont"/>
    <w:rsid w:val="00411CEF"/>
  </w:style>
  <w:style w:type="paragraph" w:customStyle="1" w:styleId="Normal1">
    <w:name w:val="Normal1"/>
    <w:basedOn w:val="Normal"/>
    <w:rsid w:val="00411CEF"/>
    <w:pPr>
      <w:spacing w:before="100" w:beforeAutospacing="1" w:after="100" w:afterAutospacing="1"/>
    </w:pPr>
    <w:rPr>
      <w:lang w:eastAsia="en-IE"/>
    </w:rPr>
  </w:style>
  <w:style w:type="character" w:customStyle="1" w:styleId="sb8d990e2">
    <w:name w:val="sb8d990e2"/>
    <w:basedOn w:val="DefaultParagraphFont"/>
    <w:rsid w:val="00411CEF"/>
  </w:style>
  <w:style w:type="character" w:customStyle="1" w:styleId="s6b621b36">
    <w:name w:val="s6b621b36"/>
    <w:basedOn w:val="DefaultParagraphFont"/>
    <w:rsid w:val="00411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6319">
      <w:bodyDiv w:val="1"/>
      <w:marLeft w:val="0"/>
      <w:marRight w:val="0"/>
      <w:marTop w:val="0"/>
      <w:marBottom w:val="0"/>
      <w:divBdr>
        <w:top w:val="none" w:sz="0" w:space="0" w:color="auto"/>
        <w:left w:val="none" w:sz="0" w:space="0" w:color="auto"/>
        <w:bottom w:val="none" w:sz="0" w:space="0" w:color="auto"/>
        <w:right w:val="none" w:sz="0" w:space="0" w:color="auto"/>
      </w:divBdr>
    </w:div>
    <w:div w:id="524712366">
      <w:bodyDiv w:val="1"/>
      <w:marLeft w:val="0"/>
      <w:marRight w:val="0"/>
      <w:marTop w:val="0"/>
      <w:marBottom w:val="0"/>
      <w:divBdr>
        <w:top w:val="none" w:sz="0" w:space="0" w:color="auto"/>
        <w:left w:val="none" w:sz="0" w:space="0" w:color="auto"/>
        <w:bottom w:val="none" w:sz="0" w:space="0" w:color="auto"/>
        <w:right w:val="none" w:sz="0" w:space="0" w:color="auto"/>
      </w:divBdr>
    </w:div>
    <w:div w:id="14382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5564</Words>
  <Characters>31720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Collins</dc:creator>
  <cp:keywords/>
  <dc:description/>
  <cp:lastModifiedBy>Niamh Kearns</cp:lastModifiedBy>
  <cp:revision>2</cp:revision>
  <cp:lastPrinted>2021-07-16T11:37:00Z</cp:lastPrinted>
  <dcterms:created xsi:type="dcterms:W3CDTF">2021-08-04T13:18:00Z</dcterms:created>
  <dcterms:modified xsi:type="dcterms:W3CDTF">2021-08-04T13:18:00Z</dcterms:modified>
</cp:coreProperties>
</file>