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008B" w14:textId="77777777" w:rsidR="00B30F9E" w:rsidRPr="000E47F7" w:rsidRDefault="00B30F9E" w:rsidP="00B30F9E">
      <w:pPr>
        <w:pStyle w:val="Header"/>
        <w:jc w:val="center"/>
      </w:pPr>
      <w:bookmarkStart w:id="0" w:name="_GoBack"/>
      <w:bookmarkEnd w:id="0"/>
      <w:r w:rsidRPr="000E47F7">
        <w:rPr>
          <w:noProof/>
        </w:rPr>
        <w:drawing>
          <wp:inline distT="0" distB="0" distL="0" distR="0" wp14:anchorId="0D94CF3B" wp14:editId="20DEB9A4">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p w14:paraId="7B1F6107" w14:textId="77777777" w:rsidR="00A275A2" w:rsidRPr="000E47F7" w:rsidRDefault="00A275A2" w:rsidP="00CE3451">
      <w:pPr>
        <w:jc w:val="center"/>
        <w:rPr>
          <w:b/>
          <w:sz w:val="32"/>
          <w:szCs w:val="32"/>
        </w:rPr>
      </w:pPr>
    </w:p>
    <w:p w14:paraId="63343BC8" w14:textId="211343DE" w:rsidR="00CE3451" w:rsidRPr="000E47F7" w:rsidRDefault="00CE3451" w:rsidP="00CE3451">
      <w:pPr>
        <w:jc w:val="center"/>
        <w:rPr>
          <w:b/>
          <w:sz w:val="32"/>
          <w:szCs w:val="32"/>
        </w:rPr>
      </w:pPr>
      <w:r w:rsidRPr="000E47F7">
        <w:rPr>
          <w:b/>
          <w:sz w:val="32"/>
          <w:szCs w:val="32"/>
        </w:rPr>
        <w:t>THE COURT OF APPEAL</w:t>
      </w:r>
    </w:p>
    <w:p w14:paraId="65E6519A" w14:textId="42DEE026" w:rsidR="00CE3451" w:rsidRPr="000E47F7" w:rsidRDefault="00AC017E" w:rsidP="00CE3451">
      <w:pPr>
        <w:jc w:val="right"/>
        <w:rPr>
          <w:b/>
        </w:rPr>
      </w:pPr>
      <w:r>
        <w:rPr>
          <w:b/>
        </w:rPr>
        <w:t>Neutral Citation Number: [2021] IECA 99</w:t>
      </w:r>
    </w:p>
    <w:p w14:paraId="4FD57B01" w14:textId="77777777" w:rsidR="00CE3451" w:rsidRPr="000E47F7" w:rsidRDefault="00CE3451" w:rsidP="00CE3451">
      <w:pPr>
        <w:jc w:val="right"/>
        <w:rPr>
          <w:b/>
        </w:rPr>
      </w:pPr>
      <w:r w:rsidRPr="000E47F7">
        <w:rPr>
          <w:b/>
        </w:rPr>
        <w:t>Court of Appeal No.:  2019/401</w:t>
      </w:r>
    </w:p>
    <w:p w14:paraId="4BDCAB15" w14:textId="77777777" w:rsidR="00CE3451" w:rsidRPr="000E47F7" w:rsidRDefault="00CE3451" w:rsidP="00CE3451">
      <w:pPr>
        <w:jc w:val="right"/>
        <w:rPr>
          <w:b/>
        </w:rPr>
      </w:pPr>
      <w:r w:rsidRPr="000E47F7">
        <w:rPr>
          <w:b/>
        </w:rPr>
        <w:t>High Court Record No.: 2014/735 JR</w:t>
      </w:r>
    </w:p>
    <w:p w14:paraId="6B9C16AC" w14:textId="77777777" w:rsidR="00CE3451" w:rsidRPr="000E47F7" w:rsidRDefault="00CE3451" w:rsidP="00CE3451">
      <w:pPr>
        <w:jc w:val="right"/>
        <w:rPr>
          <w:b/>
        </w:rPr>
      </w:pPr>
    </w:p>
    <w:p w14:paraId="5E1EC0B7" w14:textId="77777777" w:rsidR="00CE3451" w:rsidRPr="000E47F7" w:rsidRDefault="00CE3451" w:rsidP="00CE3451">
      <w:pPr>
        <w:rPr>
          <w:b/>
        </w:rPr>
      </w:pPr>
      <w:r w:rsidRPr="000E47F7">
        <w:rPr>
          <w:b/>
        </w:rPr>
        <w:t>Faherty J.</w:t>
      </w:r>
    </w:p>
    <w:p w14:paraId="5CD40C9D" w14:textId="77777777" w:rsidR="00CE3451" w:rsidRPr="000E47F7" w:rsidRDefault="00CE3451" w:rsidP="00CE3451">
      <w:pPr>
        <w:rPr>
          <w:b/>
        </w:rPr>
      </w:pPr>
      <w:r w:rsidRPr="000E47F7">
        <w:rPr>
          <w:b/>
        </w:rPr>
        <w:t>Power J.</w:t>
      </w:r>
    </w:p>
    <w:p w14:paraId="4140CC13" w14:textId="34E4EE24" w:rsidR="00CE3451" w:rsidRPr="000E47F7" w:rsidRDefault="00CE3451" w:rsidP="00CE3451">
      <w:pPr>
        <w:rPr>
          <w:b/>
        </w:rPr>
      </w:pPr>
      <w:r w:rsidRPr="000E47F7">
        <w:rPr>
          <w:b/>
        </w:rPr>
        <w:t xml:space="preserve">Murray J. </w:t>
      </w:r>
    </w:p>
    <w:p w14:paraId="6DE1BC3B" w14:textId="77777777" w:rsidR="00CE3451" w:rsidRPr="000E47F7" w:rsidRDefault="00CE3451" w:rsidP="00CE3451">
      <w:pPr>
        <w:rPr>
          <w:b/>
        </w:rPr>
      </w:pPr>
    </w:p>
    <w:p w14:paraId="07FF20A4" w14:textId="77777777" w:rsidR="00CE3451" w:rsidRPr="000E47F7" w:rsidRDefault="00CE3451" w:rsidP="00CE3451">
      <w:pPr>
        <w:jc w:val="center"/>
        <w:rPr>
          <w:b/>
        </w:rPr>
      </w:pPr>
      <w:r w:rsidRPr="000E47F7">
        <w:rPr>
          <w:b/>
        </w:rPr>
        <w:t>IN THE MATTER OF SECTION 5 OF THE ILLEGAL IMMIGRANTS (TRAFFICKING) ACT 2000</w:t>
      </w:r>
    </w:p>
    <w:p w14:paraId="6193FB22" w14:textId="77777777" w:rsidR="00CE3451" w:rsidRPr="000E47F7" w:rsidRDefault="00CE3451" w:rsidP="00CE3451">
      <w:pPr>
        <w:jc w:val="center"/>
        <w:rPr>
          <w:b/>
        </w:rPr>
      </w:pPr>
    </w:p>
    <w:p w14:paraId="0516331A" w14:textId="77777777" w:rsidR="00CE3451" w:rsidRPr="000E47F7" w:rsidRDefault="00CE3451" w:rsidP="00CE3451">
      <w:pPr>
        <w:rPr>
          <w:b/>
        </w:rPr>
      </w:pPr>
      <w:r w:rsidRPr="000E47F7">
        <w:rPr>
          <w:b/>
        </w:rPr>
        <w:t>BETWEEN:</w:t>
      </w:r>
    </w:p>
    <w:p w14:paraId="3FB32790" w14:textId="77777777" w:rsidR="00CE3451" w:rsidRPr="000E47F7" w:rsidRDefault="00CE3451" w:rsidP="00CE3451">
      <w:pPr>
        <w:rPr>
          <w:b/>
        </w:rPr>
      </w:pPr>
    </w:p>
    <w:p w14:paraId="5701A537" w14:textId="77777777" w:rsidR="00CE3451" w:rsidRPr="000E47F7" w:rsidRDefault="00CE3451" w:rsidP="00CE3451">
      <w:pPr>
        <w:jc w:val="center"/>
        <w:rPr>
          <w:b/>
        </w:rPr>
      </w:pPr>
      <w:r w:rsidRPr="000E47F7">
        <w:rPr>
          <w:b/>
        </w:rPr>
        <w:t>HUI ZHU CHEN</w:t>
      </w:r>
    </w:p>
    <w:p w14:paraId="752C0A04" w14:textId="77777777" w:rsidR="00CE3451" w:rsidRPr="000E47F7" w:rsidRDefault="00CE3451" w:rsidP="00CE3451">
      <w:pPr>
        <w:jc w:val="center"/>
        <w:rPr>
          <w:b/>
        </w:rPr>
      </w:pPr>
    </w:p>
    <w:p w14:paraId="35892FE5" w14:textId="77777777" w:rsidR="00CE3451" w:rsidRPr="000E47F7" w:rsidRDefault="00CE3451" w:rsidP="00CE3451">
      <w:pPr>
        <w:jc w:val="right"/>
        <w:rPr>
          <w:b/>
        </w:rPr>
      </w:pPr>
      <w:r w:rsidRPr="000E47F7">
        <w:rPr>
          <w:b/>
        </w:rPr>
        <w:t>APPLICANT/APPELLANT</w:t>
      </w:r>
    </w:p>
    <w:p w14:paraId="6AFF2228" w14:textId="77777777" w:rsidR="00CE3451" w:rsidRPr="000E47F7" w:rsidRDefault="00CE3451" w:rsidP="00CE3451">
      <w:pPr>
        <w:jc w:val="right"/>
        <w:rPr>
          <w:b/>
        </w:rPr>
      </w:pPr>
    </w:p>
    <w:p w14:paraId="58CE3AB0" w14:textId="77777777" w:rsidR="00CE3451" w:rsidRPr="000E47F7" w:rsidRDefault="00CE3451" w:rsidP="00CE3451">
      <w:pPr>
        <w:jc w:val="center"/>
        <w:rPr>
          <w:b/>
        </w:rPr>
      </w:pPr>
      <w:r w:rsidRPr="000E47F7">
        <w:rPr>
          <w:b/>
        </w:rPr>
        <w:t>- AND -</w:t>
      </w:r>
    </w:p>
    <w:p w14:paraId="7AAE49FA" w14:textId="77777777" w:rsidR="00CE3451" w:rsidRPr="000E47F7" w:rsidRDefault="00CE3451" w:rsidP="00CE3451">
      <w:pPr>
        <w:jc w:val="center"/>
        <w:rPr>
          <w:b/>
        </w:rPr>
      </w:pPr>
    </w:p>
    <w:p w14:paraId="0B58E612" w14:textId="5D7D943C" w:rsidR="00CE3451" w:rsidRPr="000E47F7" w:rsidRDefault="00CE3451" w:rsidP="00CE3451">
      <w:pPr>
        <w:jc w:val="center"/>
        <w:rPr>
          <w:b/>
        </w:rPr>
      </w:pPr>
      <w:r w:rsidRPr="000E47F7">
        <w:rPr>
          <w:b/>
        </w:rPr>
        <w:t>THE MINISTER FOR JU</w:t>
      </w:r>
      <w:r w:rsidR="00FF4276" w:rsidRPr="000E47F7">
        <w:rPr>
          <w:b/>
        </w:rPr>
        <w:t>S</w:t>
      </w:r>
      <w:r w:rsidRPr="000E47F7">
        <w:rPr>
          <w:b/>
        </w:rPr>
        <w:t>TICE AND EQUALITY</w:t>
      </w:r>
    </w:p>
    <w:p w14:paraId="6C7F09E4" w14:textId="77777777" w:rsidR="00CE3451" w:rsidRPr="000E47F7" w:rsidRDefault="00CE3451" w:rsidP="00CE3451">
      <w:pPr>
        <w:jc w:val="center"/>
        <w:rPr>
          <w:b/>
        </w:rPr>
      </w:pPr>
    </w:p>
    <w:p w14:paraId="60AB695C" w14:textId="77777777" w:rsidR="00CE3451" w:rsidRPr="000E47F7" w:rsidRDefault="00CE3451" w:rsidP="00CE3451">
      <w:pPr>
        <w:jc w:val="right"/>
        <w:rPr>
          <w:b/>
        </w:rPr>
      </w:pPr>
      <w:r w:rsidRPr="000E47F7">
        <w:rPr>
          <w:b/>
        </w:rPr>
        <w:t>RESPONDENT</w:t>
      </w:r>
    </w:p>
    <w:p w14:paraId="2AF5E03D" w14:textId="77777777" w:rsidR="00CE3451" w:rsidRPr="000E47F7" w:rsidRDefault="00CE3451" w:rsidP="00CE3451">
      <w:pPr>
        <w:jc w:val="right"/>
        <w:rPr>
          <w:b/>
        </w:rPr>
      </w:pPr>
    </w:p>
    <w:p w14:paraId="35A85AA1" w14:textId="77777777" w:rsidR="00CE3451" w:rsidRPr="000E47F7" w:rsidRDefault="00CE3451" w:rsidP="00CE3451">
      <w:pPr>
        <w:jc w:val="center"/>
        <w:rPr>
          <w:b/>
        </w:rPr>
      </w:pPr>
      <w:r w:rsidRPr="000E47F7">
        <w:rPr>
          <w:b/>
        </w:rPr>
        <w:t>- AND –</w:t>
      </w:r>
    </w:p>
    <w:p w14:paraId="16A99D7F" w14:textId="77777777" w:rsidR="00CE3451" w:rsidRPr="000E47F7" w:rsidRDefault="00CE3451" w:rsidP="00CE3451">
      <w:pPr>
        <w:jc w:val="center"/>
        <w:rPr>
          <w:b/>
        </w:rPr>
      </w:pPr>
      <w:r w:rsidRPr="000E47F7">
        <w:rPr>
          <w:b/>
        </w:rPr>
        <w:t>THE IRISH HUMAN RIGHTS AND EQUALITY COMMISSION AND THE ATTORNEY GENERAL</w:t>
      </w:r>
    </w:p>
    <w:p w14:paraId="040BBDCC" w14:textId="77777777" w:rsidR="00CE3451" w:rsidRPr="000E47F7" w:rsidRDefault="00CE3451" w:rsidP="00CE3451">
      <w:pPr>
        <w:jc w:val="right"/>
        <w:rPr>
          <w:b/>
        </w:rPr>
      </w:pPr>
    </w:p>
    <w:p w14:paraId="517CF87A" w14:textId="77777777" w:rsidR="00CE3451" w:rsidRPr="000E47F7" w:rsidRDefault="00CE3451" w:rsidP="00CE3451">
      <w:pPr>
        <w:jc w:val="right"/>
        <w:rPr>
          <w:b/>
        </w:rPr>
      </w:pPr>
      <w:r w:rsidRPr="000E47F7">
        <w:rPr>
          <w:b/>
        </w:rPr>
        <w:t>NOTICE PARTIES</w:t>
      </w:r>
    </w:p>
    <w:p w14:paraId="42553118" w14:textId="77777777" w:rsidR="00CE3451" w:rsidRPr="000E47F7" w:rsidRDefault="00CE3451" w:rsidP="00CE3451">
      <w:pPr>
        <w:jc w:val="right"/>
        <w:rPr>
          <w:b/>
        </w:rPr>
      </w:pPr>
    </w:p>
    <w:p w14:paraId="37425E1D" w14:textId="77777777" w:rsidR="00392AF8" w:rsidRPr="000E47F7" w:rsidRDefault="00392AF8" w:rsidP="00CE3451">
      <w:pPr>
        <w:widowControl w:val="0"/>
        <w:rPr>
          <w:b/>
          <w:u w:val="single"/>
        </w:rPr>
      </w:pPr>
    </w:p>
    <w:p w14:paraId="59493837" w14:textId="32AFC588" w:rsidR="00CE3451" w:rsidRPr="000E47F7" w:rsidRDefault="00CE3451" w:rsidP="00CE3451">
      <w:pPr>
        <w:widowControl w:val="0"/>
        <w:rPr>
          <w:b/>
          <w:u w:val="single"/>
        </w:rPr>
      </w:pPr>
      <w:r w:rsidRPr="000E47F7">
        <w:rPr>
          <w:b/>
          <w:u w:val="single"/>
        </w:rPr>
        <w:t>JUDGMENT of Ms. Justice Power and Mr. Justice Murray delivered on the</w:t>
      </w:r>
      <w:r w:rsidR="00FF4276" w:rsidRPr="000E47F7">
        <w:rPr>
          <w:b/>
          <w:u w:val="single"/>
        </w:rPr>
        <w:t xml:space="preserve"> </w:t>
      </w:r>
      <w:r w:rsidR="000E47F7" w:rsidRPr="000E47F7">
        <w:rPr>
          <w:b/>
          <w:u w:val="single"/>
        </w:rPr>
        <w:t>30</w:t>
      </w:r>
      <w:r w:rsidR="00FF4276" w:rsidRPr="000E47F7">
        <w:rPr>
          <w:b/>
          <w:u w:val="single"/>
          <w:vertAlign w:val="superscript"/>
        </w:rPr>
        <w:t>th</w:t>
      </w:r>
      <w:r w:rsidR="00FF4276" w:rsidRPr="000E47F7">
        <w:rPr>
          <w:b/>
          <w:u w:val="single"/>
        </w:rPr>
        <w:t xml:space="preserve"> </w:t>
      </w:r>
      <w:r w:rsidR="008D0CE7" w:rsidRPr="000E47F7">
        <w:rPr>
          <w:b/>
          <w:u w:val="single"/>
        </w:rPr>
        <w:t xml:space="preserve">day </w:t>
      </w:r>
      <w:r w:rsidRPr="000E47F7">
        <w:rPr>
          <w:b/>
          <w:u w:val="single"/>
        </w:rPr>
        <w:t xml:space="preserve">of </w:t>
      </w:r>
      <w:r w:rsidR="00B50E05" w:rsidRPr="000E47F7">
        <w:rPr>
          <w:b/>
          <w:u w:val="single"/>
        </w:rPr>
        <w:t>March</w:t>
      </w:r>
      <w:r w:rsidR="00335785" w:rsidRPr="000E47F7">
        <w:rPr>
          <w:b/>
          <w:u w:val="single"/>
        </w:rPr>
        <w:t xml:space="preserve"> </w:t>
      </w:r>
      <w:r w:rsidRPr="000E47F7">
        <w:rPr>
          <w:b/>
          <w:u w:val="single"/>
        </w:rPr>
        <w:t>202</w:t>
      </w:r>
      <w:r w:rsidR="00FF4276" w:rsidRPr="000E47F7">
        <w:rPr>
          <w:b/>
          <w:u w:val="single"/>
        </w:rPr>
        <w:t>1</w:t>
      </w:r>
      <w:r w:rsidRPr="000E47F7">
        <w:rPr>
          <w:b/>
          <w:u w:val="single"/>
        </w:rPr>
        <w:t xml:space="preserve"> </w:t>
      </w:r>
    </w:p>
    <w:p w14:paraId="68FE6F4B" w14:textId="77777777" w:rsidR="00CE3451" w:rsidRPr="000E47F7" w:rsidRDefault="00CE3451" w:rsidP="00CE3451">
      <w:pPr>
        <w:widowControl w:val="0"/>
        <w:rPr>
          <w:b/>
          <w:u w:val="single"/>
        </w:rPr>
      </w:pPr>
    </w:p>
    <w:p w14:paraId="04007DDF" w14:textId="77777777" w:rsidR="00CE3451" w:rsidRPr="000E47F7" w:rsidRDefault="00CE3451" w:rsidP="00CE3451">
      <w:pPr>
        <w:widowControl w:val="0"/>
        <w:rPr>
          <w:b/>
          <w:i/>
          <w:u w:val="single"/>
        </w:rPr>
      </w:pPr>
    </w:p>
    <w:p w14:paraId="21E97D86" w14:textId="3847953F" w:rsidR="00CE3451" w:rsidRDefault="00CE3451" w:rsidP="00CE3451">
      <w:pPr>
        <w:spacing w:line="480" w:lineRule="auto"/>
        <w:jc w:val="both"/>
        <w:rPr>
          <w:b/>
          <w:i/>
          <w:lang w:val="en-GB"/>
        </w:rPr>
      </w:pPr>
      <w:r w:rsidRPr="000E47F7">
        <w:rPr>
          <w:b/>
          <w:i/>
          <w:lang w:val="en-GB"/>
        </w:rPr>
        <w:t>Facts</w:t>
      </w:r>
    </w:p>
    <w:p w14:paraId="2D356775" w14:textId="77777777" w:rsidR="00C73B7B" w:rsidRDefault="00C73B7B" w:rsidP="00CE3451">
      <w:pPr>
        <w:spacing w:line="480" w:lineRule="auto"/>
        <w:jc w:val="both"/>
        <w:rPr>
          <w:b/>
          <w:i/>
          <w:lang w:val="en-GB"/>
        </w:rPr>
      </w:pPr>
    </w:p>
    <w:p w14:paraId="15814949" w14:textId="46B2AAD7" w:rsidR="00CE3451" w:rsidRPr="000E47F7" w:rsidRDefault="00CE3451" w:rsidP="00CE3451">
      <w:pPr>
        <w:numPr>
          <w:ilvl w:val="0"/>
          <w:numId w:val="1"/>
        </w:numPr>
        <w:spacing w:line="480" w:lineRule="auto"/>
        <w:jc w:val="both"/>
        <w:rPr>
          <w:lang w:val="en-GB"/>
        </w:rPr>
      </w:pPr>
      <w:r w:rsidRPr="000E47F7">
        <w:rPr>
          <w:lang w:val="en-GB"/>
        </w:rPr>
        <w:t>The applicant, a citizen of the People’s Republic of China, arrived in the State in November 2013 on foot of a visitor</w:t>
      </w:r>
      <w:r w:rsidR="0057291D" w:rsidRPr="000E47F7">
        <w:rPr>
          <w:lang w:val="en-GB"/>
        </w:rPr>
        <w:t>’s</w:t>
      </w:r>
      <w:r w:rsidRPr="000E47F7">
        <w:rPr>
          <w:lang w:val="en-GB"/>
        </w:rPr>
        <w:t xml:space="preserve"> visa.  The visa allowed her to remain in the jurisdiction for ninety days.  In order to obtain it she had to (and did) give an undertaking to return to China at the expiry of that period.   On the ninetieth day, she submitted an application to the </w:t>
      </w:r>
      <w:r w:rsidRPr="000E47F7">
        <w:rPr>
          <w:lang w:val="en-GB"/>
        </w:rPr>
        <w:lastRenderedPageBreak/>
        <w:t>respondent pursuant to s.</w:t>
      </w:r>
      <w:r w:rsidR="00A2432E" w:rsidRPr="000E47F7">
        <w:rPr>
          <w:lang w:val="en-GB"/>
        </w:rPr>
        <w:t xml:space="preserve"> </w:t>
      </w:r>
      <w:r w:rsidRPr="000E47F7">
        <w:rPr>
          <w:lang w:val="en-GB"/>
        </w:rPr>
        <w:t>4(7) of the Immigration Act 2004 to remain in Ireland as a resident.  She relied in that regard on asserted rights under Article 8 of the European Convention on Human Rights</w:t>
      </w:r>
      <w:r w:rsidR="00AB6941" w:rsidRPr="000E47F7">
        <w:rPr>
          <w:lang w:val="en-GB"/>
        </w:rPr>
        <w:t xml:space="preserve"> (‘the Convention’), </w:t>
      </w:r>
      <w:r w:rsidRPr="000E47F7">
        <w:rPr>
          <w:lang w:val="en-GB"/>
        </w:rPr>
        <w:t xml:space="preserve">saying that </w:t>
      </w:r>
      <w:r w:rsidR="00E37BE2" w:rsidRPr="000E47F7">
        <w:rPr>
          <w:lang w:val="en-GB"/>
        </w:rPr>
        <w:t>the</w:t>
      </w:r>
      <w:r w:rsidRPr="000E47F7">
        <w:rPr>
          <w:lang w:val="en-GB"/>
        </w:rPr>
        <w:t xml:space="preserve"> relationship between herself, her son, his partner, their child and a child of the partner was such as to require the respondent to undertake an assessment of her family rights in connection with her application.  She alleges that she was entitled to require such an assessment and to remain in the State while it was conducted.  The issue in this case is whether those contentions were well placed and, if so, whether the respondent failed to properly conduct such an assessment.</w:t>
      </w:r>
    </w:p>
    <w:p w14:paraId="1BE53390" w14:textId="77777777" w:rsidR="00CE3451" w:rsidRPr="000E47F7" w:rsidRDefault="00CE3451" w:rsidP="00CE3451">
      <w:pPr>
        <w:spacing w:line="480" w:lineRule="auto"/>
        <w:jc w:val="both"/>
        <w:rPr>
          <w:lang w:val="en-GB"/>
        </w:rPr>
      </w:pPr>
      <w:r w:rsidRPr="000E47F7">
        <w:rPr>
          <w:lang w:val="en-GB"/>
        </w:rPr>
        <w:t xml:space="preserve">  </w:t>
      </w:r>
    </w:p>
    <w:p w14:paraId="42F7DE13" w14:textId="694A6ED2" w:rsidR="00CE3451" w:rsidRPr="000E47F7" w:rsidRDefault="00CE3451" w:rsidP="00CE3451">
      <w:pPr>
        <w:numPr>
          <w:ilvl w:val="0"/>
          <w:numId w:val="1"/>
        </w:numPr>
        <w:spacing w:line="480" w:lineRule="auto"/>
        <w:jc w:val="both"/>
        <w:rPr>
          <w:lang w:val="en-GB"/>
        </w:rPr>
      </w:pPr>
      <w:r w:rsidRPr="000E47F7">
        <w:rPr>
          <w:lang w:val="en-GB"/>
        </w:rPr>
        <w:t>The applicant is a widow, her husband having passed away in 2007.  Hui Zheng</w:t>
      </w:r>
      <w:r w:rsidR="00E37BE2" w:rsidRPr="000E47F7">
        <w:rPr>
          <w:lang w:val="en-GB"/>
        </w:rPr>
        <w:t xml:space="preserve"> is her son</w:t>
      </w:r>
      <w:r w:rsidRPr="000E47F7">
        <w:rPr>
          <w:lang w:val="en-GB"/>
        </w:rPr>
        <w:t xml:space="preserve">, his partner is Lili Wang, their daughter is Yan Tong Zheng and Lili Wang’s daughter is Belinda Wang.  The chronology relevant to the proceedings is as </w:t>
      </w:r>
      <w:r w:rsidR="00E86252" w:rsidRPr="000E47F7">
        <w:rPr>
          <w:lang w:val="en-GB"/>
        </w:rPr>
        <w:t>follows:</w:t>
      </w:r>
    </w:p>
    <w:p w14:paraId="3A0F52AC" w14:textId="77777777" w:rsidR="00CE3451" w:rsidRPr="000E47F7" w:rsidRDefault="00CE3451" w:rsidP="00CE3451">
      <w:pPr>
        <w:pStyle w:val="ListParagraph"/>
        <w:rPr>
          <w:lang w:val="en-GB"/>
        </w:rPr>
      </w:pPr>
    </w:p>
    <w:p w14:paraId="78E36D2B" w14:textId="77777777" w:rsidR="00CE3451" w:rsidRPr="000E47F7" w:rsidRDefault="00CE3451" w:rsidP="00CE3451">
      <w:pPr>
        <w:pStyle w:val="ListParagraph"/>
        <w:rPr>
          <w:lang w:val="en-GB"/>
        </w:rPr>
      </w:pPr>
    </w:p>
    <w:p w14:paraId="47DFFEE9" w14:textId="343D926C" w:rsidR="00CE3451" w:rsidRPr="000E47F7" w:rsidRDefault="00CE3451" w:rsidP="00CE3451">
      <w:pPr>
        <w:pStyle w:val="ListParagraph"/>
        <w:numPr>
          <w:ilvl w:val="2"/>
          <w:numId w:val="1"/>
        </w:numPr>
        <w:spacing w:line="480" w:lineRule="auto"/>
        <w:jc w:val="both"/>
        <w:rPr>
          <w:lang w:val="en-GB"/>
        </w:rPr>
      </w:pPr>
      <w:r w:rsidRPr="000E47F7">
        <w:rPr>
          <w:lang w:val="en-GB"/>
        </w:rPr>
        <w:t xml:space="preserve"> Belinda Wang is a Hungarian </w:t>
      </w:r>
      <w:r w:rsidR="00E86252" w:rsidRPr="000E47F7">
        <w:rPr>
          <w:lang w:val="en-GB"/>
        </w:rPr>
        <w:t>national and</w:t>
      </w:r>
      <w:r w:rsidRPr="000E47F7">
        <w:rPr>
          <w:lang w:val="en-GB"/>
        </w:rPr>
        <w:t xml:space="preserve"> was born on </w:t>
      </w:r>
      <w:r w:rsidRPr="000E47F7">
        <w:rPr>
          <w:b/>
          <w:lang w:val="en-GB"/>
        </w:rPr>
        <w:t>July 5 2009</w:t>
      </w:r>
      <w:r w:rsidRPr="000E47F7">
        <w:rPr>
          <w:lang w:val="en-GB"/>
        </w:rPr>
        <w:t>.  Yan Ton</w:t>
      </w:r>
      <w:r w:rsidR="00CD4F98" w:rsidRPr="000E47F7">
        <w:rPr>
          <w:lang w:val="en-GB"/>
        </w:rPr>
        <w:t>g</w:t>
      </w:r>
      <w:r w:rsidRPr="000E47F7">
        <w:rPr>
          <w:lang w:val="en-GB"/>
        </w:rPr>
        <w:t xml:space="preserve"> was born on </w:t>
      </w:r>
      <w:r w:rsidRPr="000E47F7">
        <w:rPr>
          <w:b/>
          <w:lang w:val="en-GB"/>
        </w:rPr>
        <w:t>August 25 2012</w:t>
      </w:r>
      <w:r w:rsidRPr="000E47F7">
        <w:rPr>
          <w:lang w:val="en-GB"/>
        </w:rPr>
        <w:t xml:space="preserve"> in Ireland.</w:t>
      </w:r>
    </w:p>
    <w:p w14:paraId="774306E2" w14:textId="77777777" w:rsidR="00CE3451" w:rsidRPr="000E47F7" w:rsidRDefault="00CE3451" w:rsidP="00CE3451">
      <w:pPr>
        <w:pStyle w:val="ListParagraph"/>
        <w:spacing w:line="480" w:lineRule="auto"/>
        <w:ind w:left="1134"/>
        <w:jc w:val="both"/>
        <w:rPr>
          <w:lang w:val="en-GB"/>
        </w:rPr>
      </w:pPr>
    </w:p>
    <w:p w14:paraId="616C0EED" w14:textId="28FC8BC9" w:rsidR="00CE3451" w:rsidRPr="000E47F7" w:rsidRDefault="00CE3451" w:rsidP="00CE3451">
      <w:pPr>
        <w:pStyle w:val="ListParagraph"/>
        <w:numPr>
          <w:ilvl w:val="2"/>
          <w:numId w:val="1"/>
        </w:numPr>
        <w:spacing w:line="480" w:lineRule="auto"/>
        <w:jc w:val="both"/>
        <w:rPr>
          <w:lang w:val="en-GB"/>
        </w:rPr>
      </w:pPr>
      <w:r w:rsidRPr="000E47F7">
        <w:rPr>
          <w:lang w:val="en-GB"/>
        </w:rPr>
        <w:t xml:space="preserve">On </w:t>
      </w:r>
      <w:r w:rsidRPr="000E47F7">
        <w:rPr>
          <w:b/>
          <w:lang w:val="en-GB"/>
        </w:rPr>
        <w:t>September 11 2013</w:t>
      </w:r>
      <w:r w:rsidRPr="000E47F7">
        <w:rPr>
          <w:lang w:val="en-GB"/>
        </w:rPr>
        <w:t xml:space="preserve"> Hui Zheng was granted permission to remain in the State on a Stamp 4 basis on account of his parentage of an Irish child.  A similar permission issued to Lil</w:t>
      </w:r>
      <w:r w:rsidR="00E06DCD" w:rsidRPr="000E47F7">
        <w:rPr>
          <w:lang w:val="en-GB"/>
        </w:rPr>
        <w:t>i</w:t>
      </w:r>
      <w:r w:rsidRPr="000E47F7">
        <w:rPr>
          <w:lang w:val="en-GB"/>
        </w:rPr>
        <w:t xml:space="preserve"> Wang on </w:t>
      </w:r>
      <w:r w:rsidRPr="000E47F7">
        <w:rPr>
          <w:b/>
          <w:lang w:val="en-GB"/>
        </w:rPr>
        <w:t>September 20 2013</w:t>
      </w:r>
      <w:r w:rsidRPr="000E47F7">
        <w:rPr>
          <w:lang w:val="en-GB"/>
        </w:rPr>
        <w:t>.  This was issued ‘</w:t>
      </w:r>
      <w:r w:rsidRPr="000E47F7">
        <w:rPr>
          <w:i/>
          <w:lang w:val="en-GB"/>
        </w:rPr>
        <w:t>as an exceptional measure’</w:t>
      </w:r>
      <w:r w:rsidRPr="000E47F7">
        <w:rPr>
          <w:lang w:val="en-GB"/>
        </w:rPr>
        <w:t xml:space="preserve"> and having regard to all the circumstances particular to her case.</w:t>
      </w:r>
    </w:p>
    <w:p w14:paraId="098579A3" w14:textId="77777777" w:rsidR="00CE3451" w:rsidRPr="000E47F7" w:rsidRDefault="00CE3451" w:rsidP="00CE3451">
      <w:pPr>
        <w:pStyle w:val="ListParagraph"/>
        <w:spacing w:line="480" w:lineRule="auto"/>
        <w:ind w:left="1134"/>
        <w:jc w:val="both"/>
        <w:rPr>
          <w:lang w:val="en-GB"/>
        </w:rPr>
      </w:pPr>
      <w:r w:rsidRPr="000E47F7">
        <w:rPr>
          <w:lang w:val="en-GB"/>
        </w:rPr>
        <w:t xml:space="preserve">  </w:t>
      </w:r>
    </w:p>
    <w:p w14:paraId="60980607" w14:textId="678A4D4C" w:rsidR="00CE3451" w:rsidRPr="000E47F7" w:rsidRDefault="00CE3451" w:rsidP="00CE3451">
      <w:pPr>
        <w:pStyle w:val="ListParagraph"/>
        <w:numPr>
          <w:ilvl w:val="2"/>
          <w:numId w:val="1"/>
        </w:numPr>
        <w:spacing w:line="480" w:lineRule="auto"/>
        <w:jc w:val="both"/>
        <w:rPr>
          <w:lang w:val="en-GB"/>
        </w:rPr>
      </w:pPr>
      <w:r w:rsidRPr="000E47F7">
        <w:rPr>
          <w:lang w:val="en-GB"/>
        </w:rPr>
        <w:t xml:space="preserve">In </w:t>
      </w:r>
      <w:r w:rsidRPr="000E47F7">
        <w:rPr>
          <w:b/>
          <w:lang w:val="en-GB"/>
        </w:rPr>
        <w:t>late September 2013</w:t>
      </w:r>
      <w:r w:rsidRPr="000E47F7">
        <w:rPr>
          <w:lang w:val="en-GB"/>
        </w:rPr>
        <w:t xml:space="preserve"> the applicant applied for a visa in China to visit the State.  It is common case that as a condition of that visa the applicant was required to undertake to leave the jurisdiction after ninety days, and that she </w:t>
      </w:r>
      <w:r w:rsidR="00E37BE2" w:rsidRPr="000E47F7">
        <w:rPr>
          <w:lang w:val="en-GB"/>
        </w:rPr>
        <w:t>gave such an undertaking</w:t>
      </w:r>
      <w:r w:rsidRPr="000E47F7">
        <w:rPr>
          <w:lang w:val="en-GB"/>
        </w:rPr>
        <w:t xml:space="preserve">.  </w:t>
      </w:r>
    </w:p>
    <w:p w14:paraId="432C3400" w14:textId="77777777" w:rsidR="00CE3451" w:rsidRPr="000E47F7" w:rsidRDefault="00CE3451" w:rsidP="00CE3451">
      <w:pPr>
        <w:pStyle w:val="ListParagraph"/>
        <w:rPr>
          <w:lang w:val="en-GB"/>
        </w:rPr>
      </w:pPr>
    </w:p>
    <w:p w14:paraId="11D3CEB3" w14:textId="14ABAE21" w:rsidR="00CE3451" w:rsidRPr="000E47F7" w:rsidRDefault="00CE3451" w:rsidP="00CE3451">
      <w:pPr>
        <w:pStyle w:val="ListParagraph"/>
        <w:numPr>
          <w:ilvl w:val="2"/>
          <w:numId w:val="1"/>
        </w:numPr>
        <w:spacing w:line="480" w:lineRule="auto"/>
        <w:jc w:val="both"/>
        <w:rPr>
          <w:lang w:val="en-GB"/>
        </w:rPr>
      </w:pPr>
      <w:r w:rsidRPr="000E47F7">
        <w:rPr>
          <w:lang w:val="en-GB"/>
        </w:rPr>
        <w:t xml:space="preserve">On </w:t>
      </w:r>
      <w:r w:rsidRPr="000E47F7">
        <w:rPr>
          <w:b/>
          <w:lang w:val="en-GB"/>
        </w:rPr>
        <w:t>November 14 2013</w:t>
      </w:r>
      <w:r w:rsidRPr="000E47F7">
        <w:rPr>
          <w:lang w:val="en-GB"/>
        </w:rPr>
        <w:t xml:space="preserve"> the applicant arrived in the State, and was granted permission to land and to be in the State until </w:t>
      </w:r>
      <w:r w:rsidRPr="000E47F7">
        <w:rPr>
          <w:b/>
          <w:lang w:val="en-GB"/>
        </w:rPr>
        <w:t xml:space="preserve">February 13 2014.  </w:t>
      </w:r>
      <w:r w:rsidRPr="000E47F7">
        <w:rPr>
          <w:lang w:val="en-GB"/>
        </w:rPr>
        <w:t>Upon arrival in the State the applicant resided in Dublin with the family of Hui Zheng</w:t>
      </w:r>
      <w:r w:rsidR="004B3683" w:rsidRPr="000E47F7">
        <w:rPr>
          <w:lang w:val="en-GB"/>
        </w:rPr>
        <w:t>,</w:t>
      </w:r>
      <w:r w:rsidRPr="000E47F7">
        <w:rPr>
          <w:lang w:val="en-GB"/>
        </w:rPr>
        <w:t xml:space="preserve"> Lili Wang, Belinda Wang </w:t>
      </w:r>
      <w:r w:rsidR="004B3683" w:rsidRPr="000E47F7">
        <w:rPr>
          <w:lang w:val="en-GB"/>
        </w:rPr>
        <w:t xml:space="preserve">and </w:t>
      </w:r>
      <w:r w:rsidRPr="000E47F7">
        <w:rPr>
          <w:lang w:val="en-GB"/>
        </w:rPr>
        <w:t>Yan Tong Zheng.</w:t>
      </w:r>
    </w:p>
    <w:p w14:paraId="05AD75AF" w14:textId="77777777" w:rsidR="00CE3451" w:rsidRPr="000E47F7" w:rsidRDefault="00CE3451" w:rsidP="00CE3451">
      <w:pPr>
        <w:pStyle w:val="ListParagraph"/>
        <w:rPr>
          <w:lang w:val="en-GB"/>
        </w:rPr>
      </w:pPr>
    </w:p>
    <w:p w14:paraId="6A886714" w14:textId="6D396A4C" w:rsidR="00CE3451" w:rsidRPr="000E47F7" w:rsidRDefault="00CE3451" w:rsidP="00CE3451">
      <w:pPr>
        <w:pStyle w:val="ListParagraph"/>
        <w:numPr>
          <w:ilvl w:val="2"/>
          <w:numId w:val="1"/>
        </w:numPr>
        <w:spacing w:line="480" w:lineRule="auto"/>
        <w:jc w:val="both"/>
        <w:rPr>
          <w:lang w:val="en-GB"/>
        </w:rPr>
      </w:pPr>
      <w:r w:rsidRPr="000E47F7">
        <w:rPr>
          <w:lang w:val="en-GB"/>
        </w:rPr>
        <w:t xml:space="preserve">At some point prior to </w:t>
      </w:r>
      <w:r w:rsidRPr="000E47F7">
        <w:rPr>
          <w:b/>
          <w:lang w:val="en-GB"/>
        </w:rPr>
        <w:t>November 26 2013</w:t>
      </w:r>
      <w:r w:rsidRPr="000E47F7">
        <w:rPr>
          <w:lang w:val="en-GB"/>
        </w:rPr>
        <w:t xml:space="preserve"> the applicant was added to the health insurance policy issued to Hui </w:t>
      </w:r>
      <w:r w:rsidR="004D575C" w:rsidRPr="000E47F7">
        <w:rPr>
          <w:lang w:val="en-GB"/>
        </w:rPr>
        <w:t>Z</w:t>
      </w:r>
      <w:r w:rsidRPr="000E47F7">
        <w:rPr>
          <w:lang w:val="en-GB"/>
        </w:rPr>
        <w:t xml:space="preserve">heng and his family.  The policy had a duration of one year. </w:t>
      </w:r>
    </w:p>
    <w:p w14:paraId="0DE7666D" w14:textId="77777777" w:rsidR="00CE3451" w:rsidRPr="000E47F7" w:rsidRDefault="00CE3451" w:rsidP="00CE3451">
      <w:pPr>
        <w:pStyle w:val="ListParagraph"/>
        <w:rPr>
          <w:lang w:val="en-GB"/>
        </w:rPr>
      </w:pPr>
    </w:p>
    <w:p w14:paraId="01511641" w14:textId="77777777" w:rsidR="00CE3451" w:rsidRPr="000E47F7" w:rsidRDefault="00CE3451" w:rsidP="00CE3451">
      <w:pPr>
        <w:pStyle w:val="ListParagraph"/>
        <w:numPr>
          <w:ilvl w:val="2"/>
          <w:numId w:val="1"/>
        </w:numPr>
        <w:spacing w:line="480" w:lineRule="auto"/>
        <w:jc w:val="both"/>
        <w:rPr>
          <w:lang w:val="en-GB"/>
        </w:rPr>
      </w:pPr>
      <w:r w:rsidRPr="000E47F7">
        <w:rPr>
          <w:lang w:val="en-GB"/>
        </w:rPr>
        <w:t xml:space="preserve">On </w:t>
      </w:r>
      <w:r w:rsidRPr="000E47F7">
        <w:rPr>
          <w:b/>
          <w:lang w:val="en-GB"/>
        </w:rPr>
        <w:t>February 13 2014</w:t>
      </w:r>
      <w:r w:rsidRPr="000E47F7">
        <w:rPr>
          <w:lang w:val="en-GB"/>
        </w:rPr>
        <w:t xml:space="preserve"> the applicant, through her solicitor, applied to the respondent to vary the permission granted to her when she landed in the State so that she could remain in the jurisdiction as a person of independent means.</w:t>
      </w:r>
    </w:p>
    <w:p w14:paraId="1ECF6700" w14:textId="77777777" w:rsidR="00CE3451" w:rsidRPr="000E47F7" w:rsidRDefault="00CE3451" w:rsidP="00CE3451">
      <w:pPr>
        <w:spacing w:line="480" w:lineRule="auto"/>
        <w:jc w:val="both"/>
        <w:rPr>
          <w:lang w:val="en-GB"/>
        </w:rPr>
      </w:pPr>
    </w:p>
    <w:p w14:paraId="15AF2500" w14:textId="60E679F4" w:rsidR="00CE3451" w:rsidRPr="000E47F7" w:rsidRDefault="00CE3451" w:rsidP="00CE3451">
      <w:pPr>
        <w:numPr>
          <w:ilvl w:val="0"/>
          <w:numId w:val="1"/>
        </w:numPr>
        <w:spacing w:line="480" w:lineRule="auto"/>
        <w:jc w:val="both"/>
        <w:rPr>
          <w:lang w:val="en-GB"/>
        </w:rPr>
      </w:pPr>
      <w:r w:rsidRPr="000E47F7">
        <w:rPr>
          <w:lang w:val="en-GB"/>
        </w:rPr>
        <w:t xml:space="preserve">The applicant does not state when she formed the intention to seek to remain in the State beyond the date undertaken when her visa issued.  Her affidavit gives the impression that her decision to do this was made at some point into her </w:t>
      </w:r>
      <w:r w:rsidR="008D0CE7" w:rsidRPr="000E47F7">
        <w:rPr>
          <w:lang w:val="en-GB"/>
        </w:rPr>
        <w:t>visit:</w:t>
      </w:r>
      <w:r w:rsidRPr="000E47F7">
        <w:rPr>
          <w:lang w:val="en-GB"/>
        </w:rPr>
        <w:t xml:space="preserve"> she avers that in ‘</w:t>
      </w:r>
      <w:r w:rsidRPr="000E47F7">
        <w:rPr>
          <w:i/>
          <w:lang w:val="en-GB"/>
        </w:rPr>
        <w:t>the period after my arrival in the State we … discussed my future and decided to explore whether it would be possible for me to remain in the State and to continue living with them and their children as a family</w:t>
      </w:r>
      <w:r w:rsidRPr="000E47F7">
        <w:rPr>
          <w:lang w:val="en-GB"/>
        </w:rPr>
        <w:t xml:space="preserve">’.  </w:t>
      </w:r>
    </w:p>
    <w:p w14:paraId="7B2B203D" w14:textId="77777777" w:rsidR="00D8217B" w:rsidRPr="000E47F7" w:rsidRDefault="00D8217B" w:rsidP="00CE3451">
      <w:pPr>
        <w:spacing w:line="480" w:lineRule="auto"/>
        <w:jc w:val="both"/>
        <w:rPr>
          <w:lang w:val="en-GB"/>
        </w:rPr>
      </w:pPr>
    </w:p>
    <w:p w14:paraId="4080C54D" w14:textId="77777777" w:rsidR="00CE3451" w:rsidRPr="000E47F7" w:rsidRDefault="00CE3451" w:rsidP="00CE3451">
      <w:pPr>
        <w:spacing w:line="480" w:lineRule="auto"/>
        <w:jc w:val="both"/>
        <w:rPr>
          <w:b/>
          <w:i/>
          <w:lang w:val="en-GB"/>
        </w:rPr>
      </w:pPr>
      <w:r w:rsidRPr="000E47F7">
        <w:rPr>
          <w:b/>
          <w:i/>
          <w:lang w:val="en-GB"/>
        </w:rPr>
        <w:t xml:space="preserve">The impugned decision </w:t>
      </w:r>
    </w:p>
    <w:p w14:paraId="271DE3E1" w14:textId="77777777" w:rsidR="00CE3451" w:rsidRPr="000E47F7" w:rsidRDefault="00CE3451" w:rsidP="00CE3451">
      <w:pPr>
        <w:pStyle w:val="ListParagraph"/>
        <w:rPr>
          <w:lang w:val="en-GB"/>
        </w:rPr>
      </w:pPr>
    </w:p>
    <w:p w14:paraId="40BBFE76" w14:textId="1E7FAD7F" w:rsidR="00CE3451" w:rsidRPr="000E47F7" w:rsidRDefault="00CE3451" w:rsidP="00CE3451">
      <w:pPr>
        <w:numPr>
          <w:ilvl w:val="0"/>
          <w:numId w:val="1"/>
        </w:numPr>
        <w:spacing w:line="480" w:lineRule="auto"/>
        <w:jc w:val="both"/>
        <w:rPr>
          <w:lang w:val="en-GB"/>
        </w:rPr>
      </w:pPr>
      <w:r w:rsidRPr="000E47F7">
        <w:rPr>
          <w:lang w:val="en-GB"/>
        </w:rPr>
        <w:t xml:space="preserve">The letter to the respondent from the applicant’s solicitors of February 13 </w:t>
      </w:r>
      <w:r w:rsidR="00C841E8" w:rsidRPr="000E47F7">
        <w:rPr>
          <w:lang w:val="en-GB"/>
        </w:rPr>
        <w:t xml:space="preserve">2014 </w:t>
      </w:r>
      <w:r w:rsidRPr="000E47F7">
        <w:rPr>
          <w:lang w:val="en-GB"/>
        </w:rPr>
        <w:t xml:space="preserve">sought permission to reside on what were described in her solicitor’s letter as </w:t>
      </w:r>
      <w:r w:rsidR="00C02DB3" w:rsidRPr="000E47F7">
        <w:rPr>
          <w:i/>
          <w:lang w:val="en-GB"/>
        </w:rPr>
        <w:t>‘</w:t>
      </w:r>
      <w:r w:rsidRPr="000E47F7">
        <w:rPr>
          <w:i/>
          <w:lang w:val="en-GB"/>
        </w:rPr>
        <w:t>Stamp 3 conditions</w:t>
      </w:r>
      <w:r w:rsidR="00C02DB3" w:rsidRPr="000E47F7">
        <w:rPr>
          <w:i/>
          <w:lang w:val="en-GB"/>
        </w:rPr>
        <w:t>’</w:t>
      </w:r>
      <w:r w:rsidRPr="000E47F7">
        <w:rPr>
          <w:lang w:val="en-GB"/>
        </w:rPr>
        <w:t>. The letter recorded that since her arrival in Ireland the</w:t>
      </w:r>
      <w:r w:rsidR="00C02DB3" w:rsidRPr="000E47F7">
        <w:rPr>
          <w:lang w:val="en-GB"/>
        </w:rPr>
        <w:t xml:space="preserve"> ‘</w:t>
      </w:r>
      <w:r w:rsidR="00AA5193" w:rsidRPr="000E47F7">
        <w:rPr>
          <w:i/>
          <w:lang w:val="en-GB"/>
        </w:rPr>
        <w:t>natural</w:t>
      </w:r>
      <w:r w:rsidRPr="000E47F7">
        <w:rPr>
          <w:i/>
          <w:lang w:val="en-GB"/>
        </w:rPr>
        <w:t xml:space="preserve"> love and affection which all members of” </w:t>
      </w:r>
      <w:r w:rsidRPr="000E47F7">
        <w:rPr>
          <w:lang w:val="en-GB"/>
        </w:rPr>
        <w:t xml:space="preserve">her son’s family had for each other </w:t>
      </w:r>
      <w:r w:rsidR="00C02DB3" w:rsidRPr="000E47F7">
        <w:rPr>
          <w:i/>
          <w:lang w:val="en-GB"/>
        </w:rPr>
        <w:t>‘h</w:t>
      </w:r>
      <w:r w:rsidRPr="000E47F7">
        <w:rPr>
          <w:i/>
          <w:lang w:val="en-GB"/>
        </w:rPr>
        <w:t>as grown and deepened and together they now form a close, loving, stable and durable family unit</w:t>
      </w:r>
      <w:r w:rsidR="00C02DB3" w:rsidRPr="000E47F7">
        <w:rPr>
          <w:i/>
          <w:lang w:val="en-GB"/>
        </w:rPr>
        <w:t>’.</w:t>
      </w:r>
      <w:r w:rsidRPr="000E47F7">
        <w:rPr>
          <w:i/>
          <w:lang w:val="en-GB"/>
        </w:rPr>
        <w:t xml:space="preserve">  </w:t>
      </w:r>
      <w:r w:rsidRPr="000E47F7">
        <w:rPr>
          <w:lang w:val="en-GB"/>
        </w:rPr>
        <w:t xml:space="preserve">The letter recorded the wish of all </w:t>
      </w:r>
      <w:r w:rsidRPr="000E47F7">
        <w:rPr>
          <w:lang w:val="en-GB"/>
        </w:rPr>
        <w:lastRenderedPageBreak/>
        <w:t>members of the family that the applicant be granted permission to remain in the State on Stamp 3 conditions so that they may continue to live together.  The letter referred to Hu</w:t>
      </w:r>
      <w:r w:rsidR="004D575C" w:rsidRPr="000E47F7">
        <w:rPr>
          <w:lang w:val="en-GB"/>
        </w:rPr>
        <w:t>i</w:t>
      </w:r>
      <w:r w:rsidRPr="000E47F7">
        <w:rPr>
          <w:lang w:val="en-GB"/>
        </w:rPr>
        <w:t xml:space="preserve"> Zheng and Lili Wang as being in full t</w:t>
      </w:r>
      <w:r w:rsidR="00AB6941" w:rsidRPr="000E47F7">
        <w:rPr>
          <w:lang w:val="en-GB"/>
        </w:rPr>
        <w:t>ime</w:t>
      </w:r>
      <w:r w:rsidRPr="000E47F7">
        <w:rPr>
          <w:lang w:val="en-GB"/>
        </w:rPr>
        <w:t xml:space="preserve"> permanent employment, to the applicant owning two apartments in China and her intention, if granted permission to remain in the </w:t>
      </w:r>
      <w:r w:rsidR="0091290C" w:rsidRPr="000E47F7">
        <w:rPr>
          <w:lang w:val="en-GB"/>
        </w:rPr>
        <w:t>S</w:t>
      </w:r>
      <w:r w:rsidRPr="000E47F7">
        <w:rPr>
          <w:lang w:val="en-GB"/>
        </w:rPr>
        <w:t xml:space="preserve">tate, to let both apartments.  It said that her son and Lili Wang hoped to purchase </w:t>
      </w:r>
      <w:r w:rsidR="00D8217B" w:rsidRPr="000E47F7">
        <w:rPr>
          <w:lang w:val="en-GB"/>
        </w:rPr>
        <w:t xml:space="preserve">their </w:t>
      </w:r>
      <w:r w:rsidRPr="000E47F7">
        <w:rPr>
          <w:lang w:val="en-GB"/>
        </w:rPr>
        <w:t xml:space="preserve">own home and that if the applicant was granted permission to remain in the State it was her and her family’s intention that the rental income from her properties would be used to help repay the mortgage.  The correspondence recorded that she had </w:t>
      </w:r>
      <w:r w:rsidR="00C02DB3" w:rsidRPr="000E47F7">
        <w:rPr>
          <w:i/>
          <w:lang w:val="en-GB"/>
        </w:rPr>
        <w:t>‘</w:t>
      </w:r>
      <w:r w:rsidRPr="000E47F7">
        <w:rPr>
          <w:i/>
          <w:lang w:val="en-GB"/>
        </w:rPr>
        <w:t>substantial savings</w:t>
      </w:r>
      <w:r w:rsidR="00C02DB3" w:rsidRPr="000E47F7">
        <w:rPr>
          <w:i/>
          <w:lang w:val="en-GB"/>
        </w:rPr>
        <w:t>’</w:t>
      </w:r>
      <w:r w:rsidRPr="000E47F7">
        <w:rPr>
          <w:i/>
          <w:lang w:val="en-GB"/>
        </w:rPr>
        <w:t xml:space="preserve"> </w:t>
      </w:r>
      <w:r w:rsidRPr="000E47F7">
        <w:rPr>
          <w:lang w:val="en-GB"/>
        </w:rPr>
        <w:t xml:space="preserve">in China and that these would be applied towards a deposit for the purchase of a family home.  It said that the applicant had cared for both children, that they accordingly had </w:t>
      </w:r>
      <w:r w:rsidR="00C02DB3" w:rsidRPr="000E47F7">
        <w:rPr>
          <w:i/>
          <w:lang w:val="en-GB"/>
        </w:rPr>
        <w:t>‘</w:t>
      </w:r>
      <w:r w:rsidRPr="000E47F7">
        <w:rPr>
          <w:i/>
          <w:lang w:val="en-GB"/>
        </w:rPr>
        <w:t>the advantage of the care and society of a grandparent as they grew up</w:t>
      </w:r>
      <w:r w:rsidR="00C02DB3" w:rsidRPr="000E47F7">
        <w:rPr>
          <w:i/>
          <w:lang w:val="en-GB"/>
        </w:rPr>
        <w:t>’</w:t>
      </w:r>
      <w:r w:rsidRPr="000E47F7">
        <w:rPr>
          <w:lang w:val="en-GB"/>
        </w:rPr>
        <w:t>.</w:t>
      </w:r>
    </w:p>
    <w:p w14:paraId="071DD8E6" w14:textId="77777777" w:rsidR="00CE3451" w:rsidRPr="000E47F7" w:rsidRDefault="00CE3451" w:rsidP="00CE3451">
      <w:pPr>
        <w:spacing w:line="480" w:lineRule="auto"/>
        <w:jc w:val="both"/>
        <w:rPr>
          <w:lang w:val="en-GB"/>
        </w:rPr>
      </w:pPr>
    </w:p>
    <w:p w14:paraId="1F16B5D7" w14:textId="72A03EA7" w:rsidR="00CE3451" w:rsidRPr="000E47F7" w:rsidRDefault="00CE3451" w:rsidP="00CE3451">
      <w:pPr>
        <w:numPr>
          <w:ilvl w:val="0"/>
          <w:numId w:val="1"/>
        </w:numPr>
        <w:spacing w:line="480" w:lineRule="auto"/>
        <w:jc w:val="both"/>
        <w:rPr>
          <w:lang w:val="en-GB"/>
        </w:rPr>
      </w:pPr>
      <w:r w:rsidRPr="000E47F7">
        <w:rPr>
          <w:lang w:val="en-GB"/>
        </w:rPr>
        <w:t>The letter (which noted that the children of Hu</w:t>
      </w:r>
      <w:r w:rsidR="00D8217B" w:rsidRPr="000E47F7">
        <w:rPr>
          <w:lang w:val="en-GB"/>
        </w:rPr>
        <w:t>i</w:t>
      </w:r>
      <w:r w:rsidRPr="000E47F7">
        <w:rPr>
          <w:lang w:val="en-GB"/>
        </w:rPr>
        <w:t xml:space="preserve"> Zheng and Lili Wang were both citizens of the European Union) stated:</w:t>
      </w:r>
      <w:r w:rsidR="00C02DB3" w:rsidRPr="000E47F7">
        <w:rPr>
          <w:lang w:val="en-GB"/>
        </w:rPr>
        <w:t xml:space="preserve"> -</w:t>
      </w:r>
    </w:p>
    <w:p w14:paraId="454ABB1E" w14:textId="77777777" w:rsidR="00C841E8" w:rsidRPr="000E47F7" w:rsidRDefault="00C841E8" w:rsidP="00E158DB">
      <w:pPr>
        <w:spacing w:line="480" w:lineRule="auto"/>
        <w:jc w:val="both"/>
        <w:rPr>
          <w:lang w:val="en-GB"/>
        </w:rPr>
      </w:pPr>
    </w:p>
    <w:p w14:paraId="5EF948B6" w14:textId="77777777" w:rsidR="00CE3451" w:rsidRPr="000E47F7" w:rsidRDefault="00CE3451" w:rsidP="004F5021">
      <w:pPr>
        <w:spacing w:line="480" w:lineRule="auto"/>
        <w:ind w:left="284" w:right="284"/>
        <w:jc w:val="both"/>
        <w:rPr>
          <w:i/>
          <w:lang w:val="en-GB"/>
        </w:rPr>
      </w:pPr>
      <w:r w:rsidRPr="000E47F7">
        <w:rPr>
          <w:i/>
          <w:lang w:val="en-GB"/>
        </w:rPr>
        <w:t>“In assessing this application we submit that the Minister must have regard to the State’s obligations, by virtue of the provisions of both Article 40 and 41 of the Constitution and Article 8 of the European Convention on Human Rights, to protect and vindicate the personal, family and private lives of our client and the other members of the family unit.  In our submissions, in the light of the guarantee contained in these provisions, it is entirely appropriate for the Minister to grant our client’s application.”</w:t>
      </w:r>
    </w:p>
    <w:p w14:paraId="1C674DA7" w14:textId="77777777" w:rsidR="00CE3451" w:rsidRPr="000E47F7" w:rsidRDefault="00CE3451" w:rsidP="004F5021">
      <w:pPr>
        <w:spacing w:line="480" w:lineRule="auto"/>
        <w:ind w:left="284" w:right="284"/>
        <w:jc w:val="both"/>
        <w:rPr>
          <w:i/>
          <w:lang w:val="en-GB"/>
        </w:rPr>
      </w:pPr>
    </w:p>
    <w:p w14:paraId="421AC9D9" w14:textId="4969F86A" w:rsidR="00CE3451" w:rsidRPr="000E47F7" w:rsidRDefault="00CE3451" w:rsidP="00CE3451">
      <w:pPr>
        <w:numPr>
          <w:ilvl w:val="0"/>
          <w:numId w:val="1"/>
        </w:numPr>
        <w:spacing w:line="480" w:lineRule="auto"/>
        <w:jc w:val="both"/>
        <w:rPr>
          <w:lang w:val="en-GB"/>
        </w:rPr>
      </w:pPr>
      <w:r w:rsidRPr="000E47F7">
        <w:rPr>
          <w:lang w:val="en-GB"/>
        </w:rPr>
        <w:t>This application was determined by the Minister</w:t>
      </w:r>
      <w:r w:rsidR="00C841E8" w:rsidRPr="000E47F7">
        <w:rPr>
          <w:lang w:val="en-GB"/>
        </w:rPr>
        <w:t>,</w:t>
      </w:r>
      <w:r w:rsidRPr="000E47F7">
        <w:rPr>
          <w:lang w:val="en-GB"/>
        </w:rPr>
        <w:t xml:space="preserve"> his decision being communicated to the applicant on 30 June 2014.  The letter sent by the respondent to the applicant on that date recorded that following consideration of the individual circumstances in the case including all of the matters averred to in the application the position of the applicant did not warrant an </w:t>
      </w:r>
      <w:r w:rsidRPr="000E47F7">
        <w:rPr>
          <w:lang w:val="en-GB"/>
        </w:rPr>
        <w:lastRenderedPageBreak/>
        <w:t>extension for a visitor permission.  It stated that in the light of that</w:t>
      </w:r>
      <w:r w:rsidR="004D575C" w:rsidRPr="000E47F7">
        <w:rPr>
          <w:lang w:val="en-GB"/>
        </w:rPr>
        <w:t>,</w:t>
      </w:r>
      <w:r w:rsidRPr="000E47F7">
        <w:rPr>
          <w:lang w:val="en-GB"/>
        </w:rPr>
        <w:t xml:space="preserve"> the application for an extension of visitor permission was refused.  The applicant was requested to make arrangements to leave the State as her permission to remain expired on 13 February 2014. </w:t>
      </w:r>
    </w:p>
    <w:p w14:paraId="18BE5CEE" w14:textId="77777777" w:rsidR="00CE3451" w:rsidRPr="000E47F7" w:rsidRDefault="00CE3451" w:rsidP="00CE3451">
      <w:pPr>
        <w:spacing w:line="480" w:lineRule="auto"/>
        <w:jc w:val="both"/>
        <w:rPr>
          <w:lang w:val="en-GB"/>
        </w:rPr>
      </w:pPr>
    </w:p>
    <w:p w14:paraId="59FFDACB" w14:textId="712D3541" w:rsidR="00CE3451" w:rsidRPr="000E47F7" w:rsidRDefault="00CE3451" w:rsidP="00CE3451">
      <w:pPr>
        <w:numPr>
          <w:ilvl w:val="0"/>
          <w:numId w:val="1"/>
        </w:numPr>
        <w:spacing w:line="480" w:lineRule="auto"/>
        <w:jc w:val="both"/>
        <w:rPr>
          <w:lang w:val="en-GB"/>
        </w:rPr>
      </w:pPr>
      <w:r w:rsidRPr="000E47F7">
        <w:rPr>
          <w:lang w:val="en-GB"/>
        </w:rPr>
        <w:t xml:space="preserve">Appended to the letter and referenced in it was a </w:t>
      </w:r>
      <w:r w:rsidR="00C02DB3" w:rsidRPr="000E47F7">
        <w:rPr>
          <w:lang w:val="en-GB"/>
        </w:rPr>
        <w:t>‘</w:t>
      </w:r>
      <w:r w:rsidRPr="000E47F7">
        <w:rPr>
          <w:lang w:val="en-GB"/>
        </w:rPr>
        <w:t>consideration document</w:t>
      </w:r>
      <w:r w:rsidR="00C02DB3" w:rsidRPr="000E47F7">
        <w:rPr>
          <w:lang w:val="en-GB"/>
        </w:rPr>
        <w:t>’</w:t>
      </w:r>
      <w:r w:rsidRPr="000E47F7">
        <w:rPr>
          <w:lang w:val="en-GB"/>
        </w:rPr>
        <w:t xml:space="preserve">.  This recorded the submissions made in the applicant’s application of 13 February and </w:t>
      </w:r>
      <w:r w:rsidR="005A1006" w:rsidRPr="000E47F7">
        <w:rPr>
          <w:lang w:val="en-GB"/>
        </w:rPr>
        <w:t>noted:</w:t>
      </w:r>
    </w:p>
    <w:p w14:paraId="477990C3" w14:textId="77777777" w:rsidR="00CE3451" w:rsidRPr="000E47F7" w:rsidRDefault="00CE3451" w:rsidP="00CE3451">
      <w:pPr>
        <w:spacing w:line="480" w:lineRule="auto"/>
        <w:jc w:val="both"/>
        <w:rPr>
          <w:lang w:val="en-GB"/>
        </w:rPr>
      </w:pPr>
    </w:p>
    <w:p w14:paraId="1DB35BB7" w14:textId="4E6EF54C" w:rsidR="00CE3451" w:rsidRPr="000E47F7" w:rsidRDefault="00CE3451" w:rsidP="00CE3451">
      <w:pPr>
        <w:pStyle w:val="ListParagraph"/>
        <w:numPr>
          <w:ilvl w:val="0"/>
          <w:numId w:val="2"/>
        </w:numPr>
        <w:spacing w:line="480" w:lineRule="auto"/>
        <w:ind w:left="1134" w:hanging="567"/>
        <w:jc w:val="both"/>
        <w:rPr>
          <w:lang w:val="en-GB"/>
        </w:rPr>
      </w:pPr>
      <w:r w:rsidRPr="000E47F7">
        <w:rPr>
          <w:lang w:val="en-GB"/>
        </w:rPr>
        <w:t xml:space="preserve">that the purpose of the applicant’s journey was to visit the State, this being achieved when she was granted leave to land on 15 November 2013 and </w:t>
      </w:r>
      <w:r w:rsidR="00A478BB" w:rsidRPr="000E47F7">
        <w:rPr>
          <w:lang w:val="en-GB"/>
        </w:rPr>
        <w:t xml:space="preserve">was </w:t>
      </w:r>
      <w:r w:rsidRPr="000E47F7">
        <w:rPr>
          <w:lang w:val="en-GB"/>
        </w:rPr>
        <w:t>giv</w:t>
      </w:r>
      <w:r w:rsidR="0091290C" w:rsidRPr="000E47F7">
        <w:rPr>
          <w:lang w:val="en-GB"/>
        </w:rPr>
        <w:t>en</w:t>
      </w:r>
      <w:r w:rsidRPr="000E47F7">
        <w:rPr>
          <w:lang w:val="en-GB"/>
        </w:rPr>
        <w:t xml:space="preserve"> visitor permission until 13 February 2014;</w:t>
      </w:r>
    </w:p>
    <w:p w14:paraId="04D22AEA" w14:textId="77777777" w:rsidR="00CE3451" w:rsidRPr="000E47F7" w:rsidRDefault="00CE3451" w:rsidP="00CE3451">
      <w:pPr>
        <w:pStyle w:val="ListParagraph"/>
        <w:numPr>
          <w:ilvl w:val="0"/>
          <w:numId w:val="2"/>
        </w:numPr>
        <w:spacing w:line="480" w:lineRule="auto"/>
        <w:ind w:left="1134" w:hanging="567"/>
        <w:jc w:val="both"/>
        <w:rPr>
          <w:lang w:val="en-GB"/>
        </w:rPr>
      </w:pPr>
      <w:r w:rsidRPr="000E47F7">
        <w:rPr>
          <w:lang w:val="en-GB"/>
        </w:rPr>
        <w:t>in her visa application the applicant stated that the purpose of her trip to Ireland was a visit;</w:t>
      </w:r>
    </w:p>
    <w:p w14:paraId="0DC505AA" w14:textId="1943E2CF" w:rsidR="00CE3451" w:rsidRPr="000E47F7" w:rsidRDefault="00CE3451" w:rsidP="00CE3451">
      <w:pPr>
        <w:pStyle w:val="ListParagraph"/>
        <w:numPr>
          <w:ilvl w:val="0"/>
          <w:numId w:val="2"/>
        </w:numPr>
        <w:spacing w:line="480" w:lineRule="auto"/>
        <w:ind w:left="1134" w:hanging="567"/>
        <w:jc w:val="both"/>
        <w:rPr>
          <w:lang w:val="en-GB"/>
        </w:rPr>
      </w:pPr>
      <w:r w:rsidRPr="000E47F7">
        <w:rPr>
          <w:lang w:val="en-GB"/>
        </w:rPr>
        <w:t xml:space="preserve">both the applicant and her reference in the State </w:t>
      </w:r>
      <w:r w:rsidR="00A478BB" w:rsidRPr="000E47F7">
        <w:rPr>
          <w:lang w:val="en-GB"/>
        </w:rPr>
        <w:t xml:space="preserve">provided </w:t>
      </w:r>
      <w:r w:rsidRPr="000E47F7">
        <w:rPr>
          <w:lang w:val="en-GB"/>
        </w:rPr>
        <w:t>written undertakings to observe the conditions of the visa and leave the State on the expiration of her visitor permission; and</w:t>
      </w:r>
    </w:p>
    <w:p w14:paraId="5A76F624" w14:textId="1134920B" w:rsidR="00CE3451" w:rsidRPr="000E47F7" w:rsidRDefault="00CE3451" w:rsidP="00CE3451">
      <w:pPr>
        <w:pStyle w:val="ListParagraph"/>
        <w:numPr>
          <w:ilvl w:val="0"/>
          <w:numId w:val="2"/>
        </w:numPr>
        <w:spacing w:line="480" w:lineRule="auto"/>
        <w:ind w:left="1134" w:hanging="567"/>
        <w:jc w:val="both"/>
        <w:rPr>
          <w:lang w:val="en-GB"/>
        </w:rPr>
      </w:pPr>
      <w:r w:rsidRPr="000E47F7">
        <w:rPr>
          <w:lang w:val="en-GB"/>
        </w:rPr>
        <w:t xml:space="preserve">the applicant had already been granted the maximum time permitted to visitors to the </w:t>
      </w:r>
      <w:r w:rsidR="00D70BE9" w:rsidRPr="000E47F7">
        <w:rPr>
          <w:b/>
          <w:lang w:val="en-GB"/>
        </w:rPr>
        <w:t>S</w:t>
      </w:r>
      <w:r w:rsidRPr="000E47F7">
        <w:rPr>
          <w:lang w:val="en-GB"/>
        </w:rPr>
        <w:t>tate.</w:t>
      </w:r>
    </w:p>
    <w:p w14:paraId="20CDA370" w14:textId="77777777" w:rsidR="00CE3451" w:rsidRPr="000E47F7" w:rsidRDefault="00CE3451" w:rsidP="00CE3451">
      <w:pPr>
        <w:pStyle w:val="ListParagraph"/>
        <w:spacing w:line="480" w:lineRule="auto"/>
        <w:ind w:left="1134"/>
        <w:jc w:val="both"/>
        <w:rPr>
          <w:lang w:val="en-GB"/>
        </w:rPr>
      </w:pPr>
    </w:p>
    <w:p w14:paraId="0C03C9CC" w14:textId="53336772" w:rsidR="00CE3451" w:rsidRPr="000E47F7" w:rsidRDefault="00CE3451" w:rsidP="00CE3451">
      <w:pPr>
        <w:numPr>
          <w:ilvl w:val="0"/>
          <w:numId w:val="1"/>
        </w:numPr>
        <w:spacing w:line="480" w:lineRule="auto"/>
        <w:jc w:val="both"/>
        <w:rPr>
          <w:lang w:val="en-GB"/>
        </w:rPr>
      </w:pPr>
      <w:r w:rsidRPr="000E47F7">
        <w:rPr>
          <w:lang w:val="en-GB"/>
        </w:rPr>
        <w:t xml:space="preserve">The consideration document recommended that the applicant’s application for an extension of visitor permission be refused, stating in respect of the assertions of the applicant regarding her right to family life under Article 8 </w:t>
      </w:r>
      <w:r w:rsidR="00AB6941" w:rsidRPr="000E47F7">
        <w:rPr>
          <w:lang w:val="en-GB"/>
        </w:rPr>
        <w:t>of the Convention</w:t>
      </w:r>
      <w:r w:rsidRPr="000E47F7">
        <w:rPr>
          <w:lang w:val="en-GB"/>
        </w:rPr>
        <w:t>:</w:t>
      </w:r>
      <w:r w:rsidR="00C02DB3" w:rsidRPr="000E47F7">
        <w:rPr>
          <w:lang w:val="en-GB"/>
        </w:rPr>
        <w:t xml:space="preserve"> -</w:t>
      </w:r>
    </w:p>
    <w:p w14:paraId="08613CE1" w14:textId="77777777" w:rsidR="00C841E8" w:rsidRPr="000E47F7" w:rsidRDefault="00C841E8" w:rsidP="00E158DB">
      <w:pPr>
        <w:spacing w:line="480" w:lineRule="auto"/>
        <w:jc w:val="both"/>
        <w:rPr>
          <w:lang w:val="en-GB"/>
        </w:rPr>
      </w:pPr>
    </w:p>
    <w:p w14:paraId="156925D5" w14:textId="2FD3692C" w:rsidR="00CE3451" w:rsidRPr="000E47F7" w:rsidRDefault="00CE3451" w:rsidP="00C256E4">
      <w:pPr>
        <w:spacing w:line="480" w:lineRule="auto"/>
        <w:ind w:left="284" w:right="284"/>
        <w:jc w:val="both"/>
        <w:rPr>
          <w:i/>
          <w:lang w:val="en-GB"/>
        </w:rPr>
      </w:pPr>
      <w:r w:rsidRPr="000E47F7">
        <w:rPr>
          <w:i/>
          <w:lang w:val="en-GB"/>
        </w:rPr>
        <w:t xml:space="preserve">“While the applicant has a right to respect for her family life under Article 8(1), this right has to be viewed in the context of the State’s right to maintain control of its own borders and operate a regulated system for the control, processing and monitoring of </w:t>
      </w:r>
      <w:r w:rsidR="00420927" w:rsidRPr="000E47F7">
        <w:rPr>
          <w:i/>
          <w:lang w:val="en-GB"/>
        </w:rPr>
        <w:t>non-EEA</w:t>
      </w:r>
      <w:r w:rsidRPr="000E47F7">
        <w:rPr>
          <w:i/>
          <w:lang w:val="en-GB"/>
        </w:rPr>
        <w:t xml:space="preserve"> national persons in the State.</w:t>
      </w:r>
    </w:p>
    <w:p w14:paraId="7DDD28A7" w14:textId="77777777" w:rsidR="00CE3451" w:rsidRPr="000E47F7" w:rsidRDefault="00CE3451" w:rsidP="00C256E4">
      <w:pPr>
        <w:spacing w:line="480" w:lineRule="auto"/>
        <w:ind w:left="284" w:right="284"/>
        <w:jc w:val="both"/>
        <w:rPr>
          <w:i/>
          <w:lang w:val="en-GB"/>
        </w:rPr>
      </w:pPr>
    </w:p>
    <w:p w14:paraId="286D8B6D" w14:textId="640D6EDE" w:rsidR="00CE3451" w:rsidRPr="000E47F7" w:rsidRDefault="00CE3451" w:rsidP="00C256E4">
      <w:pPr>
        <w:spacing w:line="480" w:lineRule="auto"/>
        <w:ind w:left="284" w:right="284"/>
        <w:jc w:val="both"/>
        <w:rPr>
          <w:i/>
          <w:lang w:val="en-GB"/>
        </w:rPr>
      </w:pPr>
      <w:r w:rsidRPr="000E47F7">
        <w:rPr>
          <w:i/>
          <w:lang w:val="en-GB"/>
        </w:rPr>
        <w:t>In addition, Article 8(2) of the ECHR sets out that the State can interfere with the person’s right to respect for their private and family life in the interests of nat</w:t>
      </w:r>
      <w:r w:rsidR="00A36ED6" w:rsidRPr="000E47F7">
        <w:rPr>
          <w:i/>
          <w:lang w:val="en-GB"/>
        </w:rPr>
        <w:t>ion</w:t>
      </w:r>
      <w:r w:rsidRPr="000E47F7">
        <w:rPr>
          <w:i/>
          <w:lang w:val="en-GB"/>
        </w:rPr>
        <w:t>al security, public safety or the economic wellbeing of the country for the prevention of disorder or crime, for the protection of health or morals, or for the protection of the rights and freedoms of others.</w:t>
      </w:r>
    </w:p>
    <w:p w14:paraId="0D8A98B6" w14:textId="77777777" w:rsidR="00CE3451" w:rsidRPr="000E47F7" w:rsidRDefault="00CE3451" w:rsidP="00C256E4">
      <w:pPr>
        <w:spacing w:line="360" w:lineRule="auto"/>
        <w:ind w:left="284" w:right="284"/>
        <w:jc w:val="both"/>
        <w:rPr>
          <w:i/>
          <w:lang w:val="en-GB"/>
        </w:rPr>
      </w:pPr>
    </w:p>
    <w:p w14:paraId="191135DE" w14:textId="028F0C26" w:rsidR="00CE3451" w:rsidRPr="000E47F7" w:rsidRDefault="00CE3451" w:rsidP="00C256E4">
      <w:pPr>
        <w:spacing w:line="480" w:lineRule="auto"/>
        <w:ind w:left="284" w:right="284"/>
        <w:jc w:val="both"/>
        <w:rPr>
          <w:i/>
          <w:lang w:val="en-GB"/>
        </w:rPr>
      </w:pPr>
      <w:r w:rsidRPr="000E47F7">
        <w:rPr>
          <w:i/>
          <w:lang w:val="en-GB"/>
        </w:rPr>
        <w:t>This decision to refuse residence permission under</w:t>
      </w:r>
      <w:r w:rsidR="00A36ED6" w:rsidRPr="000E47F7">
        <w:rPr>
          <w:i/>
          <w:lang w:val="en-GB"/>
        </w:rPr>
        <w:t xml:space="preserve"> Section</w:t>
      </w:r>
      <w:r w:rsidR="004C3D86" w:rsidRPr="000E47F7">
        <w:rPr>
          <w:i/>
          <w:lang w:val="en-GB"/>
        </w:rPr>
        <w:t xml:space="preserve"> </w:t>
      </w:r>
      <w:r w:rsidRPr="000E47F7">
        <w:rPr>
          <w:i/>
          <w:lang w:val="en-GB"/>
        </w:rPr>
        <w:t xml:space="preserve">4(7) of the Immigration Act 2004 does not of itself involve any separation of the family unit.  If the applicant makes representations under </w:t>
      </w:r>
      <w:r w:rsidR="00A36ED6" w:rsidRPr="000E47F7">
        <w:rPr>
          <w:i/>
          <w:lang w:val="en-GB"/>
        </w:rPr>
        <w:t xml:space="preserve">Section </w:t>
      </w:r>
      <w:r w:rsidRPr="000E47F7">
        <w:rPr>
          <w:i/>
          <w:lang w:val="en-GB"/>
        </w:rPr>
        <w:t xml:space="preserve">3 of the Immigration Act 1999, which </w:t>
      </w:r>
      <w:r w:rsidR="00A36ED6" w:rsidRPr="000E47F7">
        <w:rPr>
          <w:i/>
          <w:lang w:val="en-GB"/>
        </w:rPr>
        <w:t>c</w:t>
      </w:r>
      <w:r w:rsidRPr="000E47F7">
        <w:rPr>
          <w:i/>
          <w:lang w:val="en-GB"/>
        </w:rPr>
        <w:t>ould potentially involve a separation of the family unit, then a detailed balancing exercise will be undertak</w:t>
      </w:r>
      <w:r w:rsidR="004C3D86" w:rsidRPr="000E47F7">
        <w:rPr>
          <w:i/>
          <w:lang w:val="en-GB"/>
        </w:rPr>
        <w:t>en</w:t>
      </w:r>
      <w:r w:rsidRPr="000E47F7">
        <w:rPr>
          <w:i/>
          <w:lang w:val="en-GB"/>
        </w:rPr>
        <w:t xml:space="preserve"> at that stage to ensure that the applicant’s right to family life w</w:t>
      </w:r>
      <w:r w:rsidR="00A36ED6" w:rsidRPr="000E47F7">
        <w:rPr>
          <w:i/>
          <w:lang w:val="en-GB"/>
        </w:rPr>
        <w:t>ill</w:t>
      </w:r>
      <w:r w:rsidRPr="000E47F7">
        <w:rPr>
          <w:i/>
          <w:lang w:val="en-GB"/>
        </w:rPr>
        <w:t xml:space="preserve"> be respected and any interference would be in line with limitations set out in Article 8(2) ECHR.</w:t>
      </w:r>
    </w:p>
    <w:p w14:paraId="444C3E85" w14:textId="77777777" w:rsidR="00CE3451" w:rsidRPr="000E47F7" w:rsidRDefault="00CE3451" w:rsidP="00C256E4">
      <w:pPr>
        <w:spacing w:line="480" w:lineRule="auto"/>
        <w:ind w:left="284" w:right="284"/>
        <w:jc w:val="both"/>
        <w:rPr>
          <w:i/>
          <w:lang w:val="en-GB"/>
        </w:rPr>
      </w:pPr>
    </w:p>
    <w:p w14:paraId="3C0748FC" w14:textId="3D529FF2" w:rsidR="00CE3451" w:rsidRPr="000E47F7" w:rsidRDefault="00CE3451" w:rsidP="00C256E4">
      <w:pPr>
        <w:spacing w:line="480" w:lineRule="auto"/>
        <w:ind w:left="284" w:right="284"/>
        <w:jc w:val="both"/>
        <w:rPr>
          <w:i/>
          <w:lang w:val="en-GB"/>
        </w:rPr>
      </w:pPr>
      <w:r w:rsidRPr="000E47F7">
        <w:rPr>
          <w:i/>
          <w:lang w:val="en-GB"/>
        </w:rPr>
        <w:t xml:space="preserve">If this person believes that they meet the criteria for </w:t>
      </w:r>
      <w:r w:rsidR="00A36ED6" w:rsidRPr="000E47F7">
        <w:rPr>
          <w:i/>
          <w:lang w:val="en-GB"/>
        </w:rPr>
        <w:t>N</w:t>
      </w:r>
      <w:r w:rsidRPr="000E47F7">
        <w:rPr>
          <w:i/>
          <w:lang w:val="en-GB"/>
        </w:rPr>
        <w:t xml:space="preserve">on-EEA family reunification as set out in the policy document published on our website, </w:t>
      </w:r>
      <w:hyperlink r:id="rId9" w:history="1">
        <w:r w:rsidRPr="000E47F7">
          <w:rPr>
            <w:rStyle w:val="Hyperlink"/>
            <w:i/>
            <w:color w:val="auto"/>
            <w:lang w:val="en-GB"/>
          </w:rPr>
          <w:t>WWW.INIS.GOV.IE</w:t>
        </w:r>
      </w:hyperlink>
      <w:r w:rsidRPr="000E47F7">
        <w:rPr>
          <w:i/>
          <w:lang w:val="en-GB"/>
        </w:rPr>
        <w:t xml:space="preserve">, she can make an application for the appropriate visa from outside the State where her application will be considered.” </w:t>
      </w:r>
    </w:p>
    <w:p w14:paraId="7E87CF20" w14:textId="77777777" w:rsidR="00CE3451" w:rsidRPr="000E47F7" w:rsidRDefault="00CE3451" w:rsidP="00CE3451">
      <w:pPr>
        <w:spacing w:line="480" w:lineRule="auto"/>
        <w:jc w:val="both"/>
        <w:rPr>
          <w:lang w:val="en-GB"/>
        </w:rPr>
      </w:pPr>
      <w:r w:rsidRPr="000E47F7">
        <w:rPr>
          <w:lang w:val="en-GB"/>
        </w:rPr>
        <w:t xml:space="preserve"> </w:t>
      </w:r>
    </w:p>
    <w:p w14:paraId="3B21E7D3" w14:textId="307311E0" w:rsidR="00CE3451" w:rsidRPr="000E47F7" w:rsidRDefault="00CE3451" w:rsidP="00CE3451">
      <w:pPr>
        <w:numPr>
          <w:ilvl w:val="0"/>
          <w:numId w:val="1"/>
        </w:numPr>
        <w:spacing w:line="480" w:lineRule="auto"/>
        <w:jc w:val="both"/>
        <w:rPr>
          <w:lang w:val="en-GB"/>
        </w:rPr>
      </w:pPr>
      <w:r w:rsidRPr="000E47F7">
        <w:rPr>
          <w:lang w:val="en-GB"/>
        </w:rPr>
        <w:t xml:space="preserve">On 29 July 2014 the applicant’s solicitors responded to the decision and consideration document expressing surprise at the contents of the letter and analysis enclosed with it.  </w:t>
      </w:r>
      <w:r w:rsidR="00C841E8" w:rsidRPr="000E47F7">
        <w:rPr>
          <w:lang w:val="en-GB"/>
        </w:rPr>
        <w:t>They</w:t>
      </w:r>
      <w:r w:rsidRPr="000E47F7">
        <w:rPr>
          <w:lang w:val="en-GB"/>
        </w:rPr>
        <w:t xml:space="preserve"> stated that the analysis did not appear to engage in any meaningful way with the evidence presented and the submissions made in support of the application.  </w:t>
      </w:r>
      <w:r w:rsidR="00E1009F">
        <w:rPr>
          <w:lang w:val="en-GB"/>
        </w:rPr>
        <w:t>They</w:t>
      </w:r>
      <w:r w:rsidRPr="000E47F7">
        <w:rPr>
          <w:lang w:val="en-GB"/>
        </w:rPr>
        <w:t xml:space="preserve"> complained that the analysis recommended that their client’s application be rejected for </w:t>
      </w:r>
      <w:r w:rsidR="00871DA4" w:rsidRPr="000E47F7">
        <w:rPr>
          <w:lang w:val="en-GB"/>
        </w:rPr>
        <w:t>‘</w:t>
      </w:r>
      <w:r w:rsidRPr="000E47F7">
        <w:rPr>
          <w:i/>
          <w:lang w:val="en-GB"/>
        </w:rPr>
        <w:t>very general reasons</w:t>
      </w:r>
      <w:r w:rsidR="00871DA4" w:rsidRPr="000E47F7">
        <w:rPr>
          <w:i/>
          <w:lang w:val="en-GB"/>
        </w:rPr>
        <w:t xml:space="preserve">’ </w:t>
      </w:r>
      <w:r w:rsidRPr="000E47F7">
        <w:rPr>
          <w:lang w:val="en-GB"/>
        </w:rPr>
        <w:t xml:space="preserve">which bore little, if any, relation to the specific circumstances of their client’s application.  It </w:t>
      </w:r>
      <w:r w:rsidRPr="000E47F7">
        <w:rPr>
          <w:lang w:val="en-GB"/>
        </w:rPr>
        <w:lastRenderedPageBreak/>
        <w:t>was further alleged that it was not lawful for the respondent to adopt a general policy of refusing applications for persons without reference to the particular circumstances of their applications or an analysis thereof made on the basis of objective criteria.  The Minister was requested to consider again the application in the light of the submissions in that letter and those previously made.  On 11 November 2014, that correspondence was responded to by the Minister.  There, the following was stated:</w:t>
      </w:r>
    </w:p>
    <w:p w14:paraId="1EC76465" w14:textId="77777777" w:rsidR="00C841E8" w:rsidRPr="000E47F7" w:rsidRDefault="00C841E8" w:rsidP="00C256E4">
      <w:pPr>
        <w:spacing w:line="480" w:lineRule="auto"/>
        <w:ind w:left="284" w:right="284"/>
        <w:jc w:val="both"/>
        <w:rPr>
          <w:lang w:val="en-GB"/>
        </w:rPr>
      </w:pPr>
    </w:p>
    <w:p w14:paraId="626328E4" w14:textId="5C60E93A" w:rsidR="00CE3451" w:rsidRPr="000E47F7" w:rsidRDefault="00CE3451" w:rsidP="00C256E4">
      <w:pPr>
        <w:spacing w:line="480" w:lineRule="auto"/>
        <w:ind w:left="284" w:right="284"/>
        <w:jc w:val="both"/>
        <w:rPr>
          <w:i/>
          <w:lang w:val="en-GB"/>
        </w:rPr>
      </w:pPr>
      <w:r w:rsidRPr="000E47F7">
        <w:rPr>
          <w:i/>
          <w:lang w:val="en-GB"/>
        </w:rPr>
        <w:t>“Your client was refused residence as a person of independen</w:t>
      </w:r>
      <w:r w:rsidR="004C3D86" w:rsidRPr="000E47F7">
        <w:rPr>
          <w:i/>
          <w:lang w:val="en-GB"/>
        </w:rPr>
        <w:t>t</w:t>
      </w:r>
      <w:r w:rsidRPr="000E47F7">
        <w:rPr>
          <w:i/>
          <w:lang w:val="en-GB"/>
        </w:rPr>
        <w:t xml:space="preserve"> means on 30 June 2014 as she is a visa required national and entered the State on a short-stay C visit visa.  She was granted permission to visit the State and gave written undertakings to leave the State at the end of her visit.  The C visit visa process is designed to facilitate short-term visits to the State and is not a route into longer term residents in this State.  There is a process (D reside visa) available to visa required person seeking to reside in the State.  Your client chose not to use the D visit process, however that process remains available to her</w:t>
      </w:r>
      <w:r w:rsidR="001A328D" w:rsidRPr="000E47F7">
        <w:rPr>
          <w:i/>
          <w:lang w:val="en-GB"/>
        </w:rPr>
        <w:t xml:space="preserve"> </w:t>
      </w:r>
      <w:r w:rsidRPr="000E47F7">
        <w:rPr>
          <w:i/>
          <w:lang w:val="en-GB"/>
        </w:rPr>
        <w:t>should</w:t>
      </w:r>
      <w:r w:rsidR="00C841E8" w:rsidRPr="000E47F7">
        <w:rPr>
          <w:i/>
          <w:lang w:val="en-GB"/>
        </w:rPr>
        <w:t xml:space="preserve"> </w:t>
      </w:r>
      <w:r w:rsidRPr="000E47F7">
        <w:rPr>
          <w:i/>
          <w:lang w:val="en-GB"/>
        </w:rPr>
        <w:t>she</w:t>
      </w:r>
      <w:r w:rsidR="00C841E8" w:rsidRPr="000E47F7">
        <w:rPr>
          <w:i/>
          <w:lang w:val="en-GB"/>
        </w:rPr>
        <w:t xml:space="preserve"> </w:t>
      </w:r>
      <w:r w:rsidRPr="000E47F7">
        <w:rPr>
          <w:i/>
          <w:lang w:val="en-GB"/>
        </w:rPr>
        <w:t>wish to apply (f</w:t>
      </w:r>
      <w:r w:rsidR="00D8217B" w:rsidRPr="000E47F7">
        <w:rPr>
          <w:i/>
          <w:lang w:val="en-GB"/>
        </w:rPr>
        <w:t>rom</w:t>
      </w:r>
      <w:r w:rsidRPr="000E47F7">
        <w:rPr>
          <w:i/>
          <w:lang w:val="en-GB"/>
        </w:rPr>
        <w:t xml:space="preserve">                                                                                                                                                                                                                                                                                                                                                                                                                                                                                                                                                                                                                                                                                                                                                                                                                                                                                                              </w:t>
      </w:r>
      <w:r w:rsidR="00D8217B" w:rsidRPr="000E47F7">
        <w:rPr>
          <w:i/>
          <w:lang w:val="en-GB"/>
        </w:rPr>
        <w:t xml:space="preserve">outside </w:t>
      </w:r>
      <w:r w:rsidRPr="000E47F7">
        <w:rPr>
          <w:i/>
          <w:lang w:val="en-GB"/>
        </w:rPr>
        <w:t xml:space="preserve"> the State) to reside in the State.  Use of the C visit visa process to circumvent the D reside visa process is an unacceptable abuse of the visa system.” </w:t>
      </w:r>
      <w:r w:rsidRPr="000E47F7">
        <w:rPr>
          <w:lang w:val="en-GB"/>
        </w:rPr>
        <w:t xml:space="preserve"> </w:t>
      </w:r>
    </w:p>
    <w:p w14:paraId="1124A77F" w14:textId="77777777" w:rsidR="00CE3451" w:rsidRPr="000E47F7" w:rsidRDefault="00CE3451" w:rsidP="00CE3451">
      <w:pPr>
        <w:spacing w:line="360" w:lineRule="auto"/>
        <w:ind w:left="567"/>
        <w:jc w:val="both"/>
        <w:rPr>
          <w:lang w:val="en-GB"/>
        </w:rPr>
      </w:pPr>
    </w:p>
    <w:p w14:paraId="463A5F7F" w14:textId="55D8C4D7" w:rsidR="00CE3451" w:rsidRPr="000E47F7" w:rsidRDefault="00CE3451" w:rsidP="00D0107A">
      <w:pPr>
        <w:numPr>
          <w:ilvl w:val="0"/>
          <w:numId w:val="1"/>
        </w:numPr>
        <w:spacing w:line="480" w:lineRule="auto"/>
        <w:jc w:val="both"/>
        <w:rPr>
          <w:lang w:val="en-GB"/>
        </w:rPr>
      </w:pPr>
      <w:r w:rsidRPr="000E47F7">
        <w:rPr>
          <w:lang w:val="en-GB"/>
        </w:rPr>
        <w:t>The letter proceeded to observe that while the applicant had a right to respect for her family private life under Article 8(1) ECHR, that right had to be viewed in the context of the State’s right to maintain control of its own borders and</w:t>
      </w:r>
      <w:r w:rsidR="00D14CA8" w:rsidRPr="000E47F7">
        <w:rPr>
          <w:lang w:val="en-GB"/>
        </w:rPr>
        <w:t xml:space="preserve"> to</w:t>
      </w:r>
      <w:r w:rsidRPr="000E47F7">
        <w:rPr>
          <w:lang w:val="en-GB"/>
        </w:rPr>
        <w:t xml:space="preserve"> operate a regulated system for the control, processing and monitoring of non-EEA national persons in the State.  It said that the State was therefore entitled to insist that the integrity of the </w:t>
      </w:r>
      <w:r w:rsidR="00AB6941" w:rsidRPr="000E47F7">
        <w:rPr>
          <w:lang w:val="en-GB"/>
        </w:rPr>
        <w:t>‘</w:t>
      </w:r>
      <w:r w:rsidRPr="000E47F7">
        <w:rPr>
          <w:lang w:val="en-GB"/>
        </w:rPr>
        <w:t>C</w:t>
      </w:r>
      <w:r w:rsidR="00AB6941" w:rsidRPr="000E47F7">
        <w:rPr>
          <w:lang w:val="en-GB"/>
        </w:rPr>
        <w:t>’</w:t>
      </w:r>
      <w:r w:rsidRPr="000E47F7">
        <w:rPr>
          <w:lang w:val="en-GB"/>
        </w:rPr>
        <w:t xml:space="preserve"> visit visa programme </w:t>
      </w:r>
      <w:r w:rsidR="00145BA2" w:rsidRPr="000E47F7">
        <w:rPr>
          <w:lang w:val="en-GB"/>
        </w:rPr>
        <w:t>was</w:t>
      </w:r>
      <w:r w:rsidRPr="000E47F7">
        <w:rPr>
          <w:lang w:val="en-GB"/>
        </w:rPr>
        <w:t xml:space="preserve"> </w:t>
      </w:r>
      <w:r w:rsidR="0093207E" w:rsidRPr="000E47F7">
        <w:rPr>
          <w:lang w:val="en-GB"/>
        </w:rPr>
        <w:t>upheld,</w:t>
      </w:r>
      <w:r w:rsidRPr="000E47F7">
        <w:rPr>
          <w:lang w:val="en-GB"/>
        </w:rPr>
        <w:t xml:space="preserve"> and the </w:t>
      </w:r>
      <w:r w:rsidR="00871DA4" w:rsidRPr="000E47F7">
        <w:rPr>
          <w:lang w:val="en-GB"/>
        </w:rPr>
        <w:t>‘</w:t>
      </w:r>
      <w:r w:rsidRPr="000E47F7">
        <w:rPr>
          <w:lang w:val="en-GB"/>
        </w:rPr>
        <w:t>D</w:t>
      </w:r>
      <w:r w:rsidR="00871DA4" w:rsidRPr="000E47F7">
        <w:rPr>
          <w:lang w:val="en-GB"/>
        </w:rPr>
        <w:t>’</w:t>
      </w:r>
      <w:r w:rsidRPr="000E47F7">
        <w:rPr>
          <w:lang w:val="en-GB"/>
        </w:rPr>
        <w:t xml:space="preserve"> reside visa system not circumvented.  The letter proceeded to record (as had been stated in the previous letter) that if the applicant wished to make representations under s</w:t>
      </w:r>
      <w:r w:rsidR="00727A4C" w:rsidRPr="000E47F7">
        <w:rPr>
          <w:lang w:val="en-GB"/>
        </w:rPr>
        <w:t xml:space="preserve">. </w:t>
      </w:r>
      <w:r w:rsidRPr="000E47F7">
        <w:rPr>
          <w:lang w:val="en-GB"/>
        </w:rPr>
        <w:t>3 of the Immigration Act, 199</w:t>
      </w:r>
      <w:r w:rsidR="00433316" w:rsidRPr="000E47F7">
        <w:rPr>
          <w:lang w:val="en-GB"/>
        </w:rPr>
        <w:t>9</w:t>
      </w:r>
      <w:r w:rsidRPr="000E47F7">
        <w:rPr>
          <w:lang w:val="en-GB"/>
        </w:rPr>
        <w:t xml:space="preserve"> </w:t>
      </w:r>
      <w:r w:rsidR="004B3683" w:rsidRPr="000E47F7">
        <w:rPr>
          <w:lang w:val="en-GB"/>
        </w:rPr>
        <w:t>(</w:t>
      </w:r>
      <w:r w:rsidRPr="000E47F7">
        <w:rPr>
          <w:lang w:val="en-GB"/>
        </w:rPr>
        <w:t xml:space="preserve">which could potentially involve a forced removal from the </w:t>
      </w:r>
      <w:r w:rsidRPr="000E47F7">
        <w:rPr>
          <w:lang w:val="en-GB"/>
        </w:rPr>
        <w:lastRenderedPageBreak/>
        <w:t>State</w:t>
      </w:r>
      <w:r w:rsidR="004B3683" w:rsidRPr="000E47F7">
        <w:rPr>
          <w:lang w:val="en-GB"/>
        </w:rPr>
        <w:t>)</w:t>
      </w:r>
      <w:r w:rsidRPr="000E47F7">
        <w:rPr>
          <w:lang w:val="en-GB"/>
        </w:rPr>
        <w:t xml:space="preserve"> th</w:t>
      </w:r>
      <w:r w:rsidR="00433316" w:rsidRPr="000E47F7">
        <w:rPr>
          <w:lang w:val="en-GB"/>
        </w:rPr>
        <w:t>e</w:t>
      </w:r>
      <w:r w:rsidRPr="000E47F7">
        <w:rPr>
          <w:lang w:val="en-GB"/>
        </w:rPr>
        <w:t>n a balancing exercise would be undertak</w:t>
      </w:r>
      <w:r w:rsidR="00433316" w:rsidRPr="000E47F7">
        <w:rPr>
          <w:lang w:val="en-GB"/>
        </w:rPr>
        <w:t>en</w:t>
      </w:r>
      <w:r w:rsidRPr="000E47F7">
        <w:rPr>
          <w:lang w:val="en-GB"/>
        </w:rPr>
        <w:t xml:space="preserve"> to ensure the applicant’s right to </w:t>
      </w:r>
      <w:r w:rsidR="007B7010" w:rsidRPr="000E47F7">
        <w:rPr>
          <w:lang w:val="en-GB"/>
        </w:rPr>
        <w:t xml:space="preserve">family and </w:t>
      </w:r>
      <w:r w:rsidRPr="000E47F7">
        <w:rPr>
          <w:lang w:val="en-GB"/>
        </w:rPr>
        <w:t>private life would be respect</w:t>
      </w:r>
      <w:r w:rsidR="00351C22" w:rsidRPr="000E47F7">
        <w:rPr>
          <w:lang w:val="en-GB"/>
        </w:rPr>
        <w:t xml:space="preserve">ed </w:t>
      </w:r>
      <w:r w:rsidRPr="000E47F7">
        <w:rPr>
          <w:lang w:val="en-GB"/>
        </w:rPr>
        <w:t>and any interference would be in line with the limitations set out in Article 8(2).</w:t>
      </w:r>
    </w:p>
    <w:p w14:paraId="486E52FE" w14:textId="77777777" w:rsidR="00C841E8" w:rsidRPr="000E47F7" w:rsidRDefault="00C841E8" w:rsidP="00E158DB">
      <w:pPr>
        <w:spacing w:line="480" w:lineRule="auto"/>
        <w:jc w:val="both"/>
        <w:rPr>
          <w:lang w:val="en-GB"/>
        </w:rPr>
      </w:pPr>
    </w:p>
    <w:p w14:paraId="0B912168" w14:textId="5A12A6AA" w:rsidR="00CE3451" w:rsidRPr="000E47F7" w:rsidRDefault="00CE3451" w:rsidP="00E158DB">
      <w:pPr>
        <w:numPr>
          <w:ilvl w:val="0"/>
          <w:numId w:val="1"/>
        </w:numPr>
        <w:spacing w:line="480" w:lineRule="auto"/>
        <w:jc w:val="both"/>
        <w:rPr>
          <w:lang w:val="en-GB"/>
        </w:rPr>
      </w:pPr>
      <w:r w:rsidRPr="000E47F7">
        <w:rPr>
          <w:lang w:val="en-GB"/>
        </w:rPr>
        <w:t xml:space="preserve">On </w:t>
      </w:r>
      <w:r w:rsidR="00236106" w:rsidRPr="000E47F7">
        <w:rPr>
          <w:lang w:val="en-GB"/>
        </w:rPr>
        <w:t>9 October 2017 Humphreys</w:t>
      </w:r>
      <w:r w:rsidRPr="000E47F7">
        <w:rPr>
          <w:lang w:val="en-GB"/>
        </w:rPr>
        <w:t xml:space="preserve"> J. granted the applicant leave to apply by way of judicial review for orders of certiorari quashing the decision of the respondent communicated to the applicant by letter dated 11 November 2014 and an order remitting the applicant’s application to </w:t>
      </w:r>
      <w:r w:rsidR="00F2124C" w:rsidRPr="000E47F7">
        <w:rPr>
          <w:lang w:val="en-GB"/>
        </w:rPr>
        <w:t xml:space="preserve">the respondent </w:t>
      </w:r>
      <w:r w:rsidRPr="000E47F7">
        <w:rPr>
          <w:lang w:val="en-GB"/>
        </w:rPr>
        <w:t xml:space="preserve">for consideration and determination in accordance with law.    </w:t>
      </w:r>
    </w:p>
    <w:p w14:paraId="59BB53D1" w14:textId="77777777" w:rsidR="00F87D8C" w:rsidRPr="000E47F7" w:rsidRDefault="00F87D8C" w:rsidP="00CE3451">
      <w:pPr>
        <w:spacing w:line="480" w:lineRule="auto"/>
        <w:jc w:val="both"/>
        <w:rPr>
          <w:lang w:val="en-GB"/>
        </w:rPr>
      </w:pPr>
    </w:p>
    <w:p w14:paraId="39C44EE8" w14:textId="07832842" w:rsidR="00C841E8" w:rsidRPr="000E47F7" w:rsidRDefault="00CE3451" w:rsidP="00CE3451">
      <w:pPr>
        <w:spacing w:line="480" w:lineRule="auto"/>
        <w:jc w:val="both"/>
        <w:rPr>
          <w:b/>
          <w:lang w:val="en-GB"/>
        </w:rPr>
      </w:pPr>
      <w:r w:rsidRPr="000E47F7">
        <w:rPr>
          <w:b/>
          <w:i/>
          <w:lang w:val="en-GB"/>
        </w:rPr>
        <w:t>The applicant’s claim</w:t>
      </w:r>
      <w:r w:rsidRPr="000E47F7">
        <w:rPr>
          <w:b/>
          <w:lang w:val="en-GB"/>
        </w:rPr>
        <w:t xml:space="preserve">  </w:t>
      </w:r>
    </w:p>
    <w:p w14:paraId="4DAC1290" w14:textId="77777777" w:rsidR="006B365D" w:rsidRPr="000E47F7" w:rsidRDefault="006B365D" w:rsidP="00CE3451">
      <w:pPr>
        <w:spacing w:line="480" w:lineRule="auto"/>
        <w:jc w:val="both"/>
        <w:rPr>
          <w:b/>
          <w:lang w:val="en-GB"/>
        </w:rPr>
      </w:pPr>
    </w:p>
    <w:p w14:paraId="3B13DF98" w14:textId="34C439FB" w:rsidR="00CE3451" w:rsidRPr="000E47F7" w:rsidRDefault="00CE3451" w:rsidP="00CE3451">
      <w:pPr>
        <w:numPr>
          <w:ilvl w:val="0"/>
          <w:numId w:val="1"/>
        </w:numPr>
        <w:spacing w:line="480" w:lineRule="auto"/>
        <w:jc w:val="both"/>
        <w:rPr>
          <w:lang w:val="en-GB"/>
        </w:rPr>
      </w:pPr>
      <w:r w:rsidRPr="000E47F7">
        <w:rPr>
          <w:lang w:val="en-GB"/>
        </w:rPr>
        <w:t>Wh</w:t>
      </w:r>
      <w:r w:rsidR="00C02DB3" w:rsidRPr="000E47F7">
        <w:rPr>
          <w:lang w:val="en-GB"/>
        </w:rPr>
        <w:t>ile</w:t>
      </w:r>
      <w:r w:rsidRPr="000E47F7">
        <w:rPr>
          <w:lang w:val="en-GB"/>
        </w:rPr>
        <w:t xml:space="preserve"> the statement of grounds has undergone a number of revisions, the essential basis for the relief claimed arises from the applicant’s </w:t>
      </w:r>
      <w:r w:rsidR="00C841E8" w:rsidRPr="000E47F7">
        <w:rPr>
          <w:lang w:val="en-GB"/>
        </w:rPr>
        <w:t>assertion</w:t>
      </w:r>
      <w:r w:rsidRPr="000E47F7">
        <w:rPr>
          <w:lang w:val="en-GB"/>
        </w:rPr>
        <w:t xml:space="preserve"> that the decision of the respondent to refuse </w:t>
      </w:r>
      <w:r w:rsidR="00C02DB3" w:rsidRPr="000E47F7">
        <w:rPr>
          <w:lang w:val="en-GB"/>
        </w:rPr>
        <w:t>her</w:t>
      </w:r>
      <w:r w:rsidRPr="000E47F7">
        <w:rPr>
          <w:lang w:val="en-GB"/>
        </w:rPr>
        <w:t xml:space="preserve"> application pursuant to s.</w:t>
      </w:r>
      <w:r w:rsidR="00727A4C" w:rsidRPr="000E47F7">
        <w:rPr>
          <w:lang w:val="en-GB"/>
        </w:rPr>
        <w:t xml:space="preserve"> </w:t>
      </w:r>
      <w:r w:rsidRPr="000E47F7">
        <w:rPr>
          <w:lang w:val="en-GB"/>
        </w:rPr>
        <w:t>4(7) of the 2004 Act to vary the permission already giv</w:t>
      </w:r>
      <w:r w:rsidR="00727A4C" w:rsidRPr="000E47F7">
        <w:rPr>
          <w:lang w:val="en-GB"/>
        </w:rPr>
        <w:t>en</w:t>
      </w:r>
      <w:r w:rsidRPr="000E47F7">
        <w:rPr>
          <w:lang w:val="en-GB"/>
        </w:rPr>
        <w:t xml:space="preserve"> to her was made in breach of duty including statutory duty and in particular that imposed on the respondent by the provisions of s.</w:t>
      </w:r>
      <w:r w:rsidR="00727A4C" w:rsidRPr="000E47F7">
        <w:rPr>
          <w:lang w:val="en-GB"/>
        </w:rPr>
        <w:t xml:space="preserve"> </w:t>
      </w:r>
      <w:r w:rsidRPr="000E47F7">
        <w:rPr>
          <w:lang w:val="en-GB"/>
        </w:rPr>
        <w:t xml:space="preserve">3 of the European Convention on Human Right Act 2003.  Specifically, it is contended that the respondent failed to consider the particular facts and circumstances of the applicant’s application or to strike a fair balance between the competing </w:t>
      </w:r>
      <w:r w:rsidR="00727A4C" w:rsidRPr="000E47F7">
        <w:rPr>
          <w:lang w:val="en-GB"/>
        </w:rPr>
        <w:t>i</w:t>
      </w:r>
      <w:r w:rsidRPr="000E47F7">
        <w:rPr>
          <w:lang w:val="en-GB"/>
        </w:rPr>
        <w:t xml:space="preserve">nterests and rights of the applicant </w:t>
      </w:r>
      <w:r w:rsidR="00042662" w:rsidRPr="000E47F7">
        <w:rPr>
          <w:lang w:val="en-GB"/>
        </w:rPr>
        <w:t>and</w:t>
      </w:r>
      <w:r w:rsidRPr="000E47F7">
        <w:rPr>
          <w:lang w:val="en-GB"/>
        </w:rPr>
        <w:t xml:space="preserve"> the community as a whole.  </w:t>
      </w:r>
    </w:p>
    <w:p w14:paraId="04759560" w14:textId="77777777" w:rsidR="00CE3451" w:rsidRPr="000E47F7" w:rsidRDefault="00CE3451" w:rsidP="00CE3451">
      <w:pPr>
        <w:spacing w:line="480" w:lineRule="auto"/>
        <w:jc w:val="both"/>
        <w:rPr>
          <w:lang w:val="en-GB"/>
        </w:rPr>
      </w:pPr>
      <w:r w:rsidRPr="000E47F7">
        <w:rPr>
          <w:lang w:val="en-GB"/>
        </w:rPr>
        <w:t xml:space="preserve">  </w:t>
      </w:r>
    </w:p>
    <w:p w14:paraId="2DF03E78" w14:textId="45B40CB6" w:rsidR="00CE3451" w:rsidRPr="000E47F7" w:rsidRDefault="00CE3451" w:rsidP="00CE3451">
      <w:pPr>
        <w:numPr>
          <w:ilvl w:val="0"/>
          <w:numId w:val="1"/>
        </w:numPr>
        <w:spacing w:line="480" w:lineRule="auto"/>
        <w:jc w:val="both"/>
        <w:rPr>
          <w:lang w:val="en-GB"/>
        </w:rPr>
      </w:pPr>
      <w:r w:rsidRPr="000E47F7">
        <w:rPr>
          <w:lang w:val="en-GB"/>
        </w:rPr>
        <w:t xml:space="preserve">Thus, in her grounding affidavit, having recorded the facts as outlined above relating to her son, his partner, the latter’s daughter and their daughter, the applicant averred that from the time she had arrived in the State she has lived as a family with her son and his partner and their children.  She said that during that time the natural love and affection which they had for each other </w:t>
      </w:r>
      <w:r w:rsidR="00236106" w:rsidRPr="000E47F7">
        <w:rPr>
          <w:i/>
          <w:lang w:val="en-GB"/>
        </w:rPr>
        <w:t>‘</w:t>
      </w:r>
      <w:r w:rsidRPr="000E47F7">
        <w:rPr>
          <w:i/>
          <w:lang w:val="en-GB"/>
        </w:rPr>
        <w:t>have grown and deepene</w:t>
      </w:r>
      <w:r w:rsidR="006B365D" w:rsidRPr="000E47F7">
        <w:rPr>
          <w:i/>
          <w:lang w:val="en-GB"/>
        </w:rPr>
        <w:t>d</w:t>
      </w:r>
      <w:r w:rsidR="00236106" w:rsidRPr="000E47F7">
        <w:rPr>
          <w:i/>
          <w:lang w:val="en-GB"/>
        </w:rPr>
        <w:t>’</w:t>
      </w:r>
      <w:r w:rsidRPr="000E47F7">
        <w:rPr>
          <w:i/>
          <w:lang w:val="en-GB"/>
        </w:rPr>
        <w:t xml:space="preserve"> </w:t>
      </w:r>
      <w:r w:rsidRPr="000E47F7">
        <w:rPr>
          <w:lang w:val="en-GB"/>
        </w:rPr>
        <w:t xml:space="preserve">and they formed a close, loving, stable and durable family unit.  She explained that since her arrival in Ireland it had been a source of great joy and comfort </w:t>
      </w:r>
      <w:r w:rsidRPr="000E47F7">
        <w:rPr>
          <w:lang w:val="en-GB"/>
        </w:rPr>
        <w:lastRenderedPageBreak/>
        <w:t>for her to have been living with her family, that since the death of her husband she had lived alone in China and as she got older this became more and more difficult.  She averred that her son and his partner and especially their children had derived great joy from having her live with them and that she had been able to assist them by minding their children while they are at work.  This</w:t>
      </w:r>
      <w:r w:rsidR="00236106" w:rsidRPr="000E47F7">
        <w:rPr>
          <w:lang w:val="en-GB"/>
        </w:rPr>
        <w:t>, she averred,</w:t>
      </w:r>
      <w:r w:rsidRPr="000E47F7">
        <w:rPr>
          <w:lang w:val="en-GB"/>
        </w:rPr>
        <w:t xml:space="preserve"> presented a financial saving </w:t>
      </w:r>
      <w:r w:rsidR="00042662" w:rsidRPr="000E47F7">
        <w:rPr>
          <w:lang w:val="en-GB"/>
        </w:rPr>
        <w:t>and it</w:t>
      </w:r>
      <w:r w:rsidRPr="000E47F7">
        <w:rPr>
          <w:lang w:val="en-GB"/>
        </w:rPr>
        <w:t xml:space="preserve"> greatly bene</w:t>
      </w:r>
      <w:r w:rsidR="00042662" w:rsidRPr="000E47F7">
        <w:rPr>
          <w:lang w:val="en-GB"/>
        </w:rPr>
        <w:t>fited</w:t>
      </w:r>
      <w:r w:rsidRPr="000E47F7">
        <w:rPr>
          <w:lang w:val="en-GB"/>
        </w:rPr>
        <w:t xml:space="preserve"> the children to be cared for by a loving relative rather than</w:t>
      </w:r>
      <w:r w:rsidR="00042662" w:rsidRPr="000E47F7">
        <w:rPr>
          <w:lang w:val="en-GB"/>
        </w:rPr>
        <w:t xml:space="preserve"> a</w:t>
      </w:r>
      <w:r w:rsidRPr="000E47F7">
        <w:rPr>
          <w:lang w:val="en-GB"/>
        </w:rPr>
        <w:t xml:space="preserve"> stranger.  She also averred to the desire of her son and his partner to purchase a home of their own and to her intention to assist them financially to that end.  </w:t>
      </w:r>
    </w:p>
    <w:p w14:paraId="74995D14" w14:textId="77777777" w:rsidR="00CE3451" w:rsidRPr="000E47F7" w:rsidRDefault="00CE3451" w:rsidP="00CE3451">
      <w:pPr>
        <w:spacing w:line="480" w:lineRule="auto"/>
        <w:jc w:val="both"/>
        <w:rPr>
          <w:lang w:val="en-GB"/>
        </w:rPr>
      </w:pPr>
      <w:r w:rsidRPr="000E47F7">
        <w:rPr>
          <w:lang w:val="en-GB"/>
        </w:rPr>
        <w:t xml:space="preserve">  </w:t>
      </w:r>
    </w:p>
    <w:p w14:paraId="3A94C027" w14:textId="3FF2B4E4" w:rsidR="00CE3451" w:rsidRPr="000E47F7" w:rsidRDefault="00CE3451" w:rsidP="00CE3451">
      <w:pPr>
        <w:numPr>
          <w:ilvl w:val="0"/>
          <w:numId w:val="1"/>
        </w:numPr>
        <w:spacing w:line="480" w:lineRule="auto"/>
        <w:jc w:val="both"/>
        <w:rPr>
          <w:lang w:val="en-GB"/>
        </w:rPr>
      </w:pPr>
      <w:r w:rsidRPr="000E47F7">
        <w:rPr>
          <w:lang w:val="en-GB"/>
        </w:rPr>
        <w:t xml:space="preserve">The Minister’s response was, essentially, as set out in the decision letter and consideration document.  The statement of opposition denied that the respondent had failed to consider the particular facts and circumstances of the applicant’s application and to strike a fair balance between the alleged interests and alleged rights of the applicant </w:t>
      </w:r>
      <w:r w:rsidR="00CE3441" w:rsidRPr="000E47F7">
        <w:rPr>
          <w:lang w:val="en-GB"/>
        </w:rPr>
        <w:t xml:space="preserve">and </w:t>
      </w:r>
      <w:r w:rsidRPr="000E47F7">
        <w:rPr>
          <w:lang w:val="en-GB"/>
        </w:rPr>
        <w:t xml:space="preserve">of the community as a whole.  It is pleaded that the respondent had regard to the circumstances advanced.  </w:t>
      </w:r>
    </w:p>
    <w:p w14:paraId="779C639E" w14:textId="77777777" w:rsidR="00CE3451" w:rsidRPr="000E47F7" w:rsidRDefault="00CE3451" w:rsidP="00CE3451">
      <w:pPr>
        <w:spacing w:line="480" w:lineRule="auto"/>
        <w:jc w:val="both"/>
        <w:rPr>
          <w:lang w:val="en-GB"/>
        </w:rPr>
      </w:pPr>
      <w:r w:rsidRPr="000E47F7">
        <w:rPr>
          <w:lang w:val="en-GB"/>
        </w:rPr>
        <w:t xml:space="preserve">  </w:t>
      </w:r>
    </w:p>
    <w:p w14:paraId="45A6A13B" w14:textId="74CEB79C" w:rsidR="00CE3451" w:rsidRDefault="00CE3451" w:rsidP="00CE3451">
      <w:pPr>
        <w:numPr>
          <w:ilvl w:val="0"/>
          <w:numId w:val="1"/>
        </w:numPr>
        <w:spacing w:line="480" w:lineRule="auto"/>
        <w:jc w:val="both"/>
        <w:rPr>
          <w:lang w:val="en-GB"/>
        </w:rPr>
      </w:pPr>
      <w:r w:rsidRPr="000E47F7">
        <w:rPr>
          <w:lang w:val="en-GB"/>
        </w:rPr>
        <w:t>The Minister further pleaded that the applicant had no entitlement to be in the State and the Court should decline to grant the relief sought on the basis of</w:t>
      </w:r>
      <w:r w:rsidR="00E0338A" w:rsidRPr="000E47F7">
        <w:rPr>
          <w:lang w:val="en-GB"/>
        </w:rPr>
        <w:t xml:space="preserve"> a</w:t>
      </w:r>
      <w:r w:rsidRPr="000E47F7">
        <w:rPr>
          <w:lang w:val="en-GB"/>
        </w:rPr>
        <w:t xml:space="preserve"> breach of visitors</w:t>
      </w:r>
      <w:r w:rsidR="001E53C7" w:rsidRPr="000E47F7">
        <w:rPr>
          <w:lang w:val="en-GB"/>
        </w:rPr>
        <w:t>’</w:t>
      </w:r>
      <w:r w:rsidRPr="000E47F7">
        <w:rPr>
          <w:lang w:val="en-GB"/>
        </w:rPr>
        <w:t xml:space="preserve"> conditions and therefore an ongoing abuse of the immigration system of the State.  The claim of the applicant that the respondent had fettered his discretion or adopted a fixed or inflexible policy was denied as was the allegation that he had refused to consider an application pursuant to s.</w:t>
      </w:r>
      <w:r w:rsidR="00CE3441" w:rsidRPr="000E47F7">
        <w:rPr>
          <w:lang w:val="en-GB"/>
        </w:rPr>
        <w:t xml:space="preserve"> </w:t>
      </w:r>
      <w:r w:rsidRPr="000E47F7">
        <w:rPr>
          <w:lang w:val="en-GB"/>
        </w:rPr>
        <w:t xml:space="preserve">4(7) of the Act of 2004. </w:t>
      </w:r>
    </w:p>
    <w:p w14:paraId="03E24321" w14:textId="1A35EB15" w:rsidR="00E158DB" w:rsidRPr="000E47F7" w:rsidRDefault="00E158DB" w:rsidP="00CE3451">
      <w:pPr>
        <w:pStyle w:val="ListParagraph"/>
        <w:rPr>
          <w:lang w:val="en-GB"/>
        </w:rPr>
      </w:pPr>
    </w:p>
    <w:p w14:paraId="218850E8" w14:textId="51B92384" w:rsidR="00E158DB" w:rsidRDefault="00E158DB" w:rsidP="00CE3451">
      <w:pPr>
        <w:pStyle w:val="ListParagraph"/>
        <w:rPr>
          <w:lang w:val="en-GB"/>
        </w:rPr>
      </w:pPr>
    </w:p>
    <w:p w14:paraId="46946288" w14:textId="4594E49B" w:rsidR="00C73B7B" w:rsidRDefault="00C73B7B" w:rsidP="00CE3451">
      <w:pPr>
        <w:pStyle w:val="ListParagraph"/>
        <w:rPr>
          <w:lang w:val="en-GB"/>
        </w:rPr>
      </w:pPr>
    </w:p>
    <w:p w14:paraId="7C12E90B" w14:textId="7C8349EC" w:rsidR="00C73B7B" w:rsidRDefault="00C73B7B" w:rsidP="00CE3451">
      <w:pPr>
        <w:pStyle w:val="ListParagraph"/>
        <w:rPr>
          <w:lang w:val="en-GB"/>
        </w:rPr>
      </w:pPr>
    </w:p>
    <w:p w14:paraId="53B7D78C" w14:textId="77777777" w:rsidR="00C73B7B" w:rsidRPr="000E47F7" w:rsidRDefault="00C73B7B" w:rsidP="00CE3451">
      <w:pPr>
        <w:pStyle w:val="ListParagraph"/>
        <w:rPr>
          <w:lang w:val="en-GB"/>
        </w:rPr>
      </w:pPr>
    </w:p>
    <w:p w14:paraId="0E177D45" w14:textId="096EBDC3" w:rsidR="00CE3451" w:rsidRPr="000E47F7" w:rsidRDefault="00CE3451" w:rsidP="00CE3451">
      <w:pPr>
        <w:spacing w:line="480" w:lineRule="auto"/>
        <w:jc w:val="both"/>
        <w:rPr>
          <w:b/>
          <w:i/>
          <w:lang w:val="en-GB"/>
        </w:rPr>
      </w:pPr>
      <w:r w:rsidRPr="000E47F7">
        <w:rPr>
          <w:b/>
          <w:i/>
          <w:lang w:val="en-GB"/>
        </w:rPr>
        <w:t xml:space="preserve">The decision of the High Court </w:t>
      </w:r>
    </w:p>
    <w:p w14:paraId="787295FD" w14:textId="77777777" w:rsidR="006B365D" w:rsidRPr="000E47F7" w:rsidRDefault="006B365D" w:rsidP="00CE3451">
      <w:pPr>
        <w:spacing w:line="480" w:lineRule="auto"/>
        <w:jc w:val="both"/>
        <w:rPr>
          <w:b/>
          <w:i/>
          <w:lang w:val="en-GB"/>
        </w:rPr>
      </w:pPr>
    </w:p>
    <w:p w14:paraId="077A3B66" w14:textId="4F77813C" w:rsidR="00CE3451" w:rsidRPr="000E47F7" w:rsidRDefault="00CE3451" w:rsidP="00CE3451">
      <w:pPr>
        <w:numPr>
          <w:ilvl w:val="0"/>
          <w:numId w:val="1"/>
        </w:numPr>
        <w:spacing w:line="480" w:lineRule="auto"/>
        <w:jc w:val="both"/>
        <w:rPr>
          <w:lang w:val="en-GB"/>
        </w:rPr>
      </w:pPr>
      <w:r w:rsidRPr="000E47F7">
        <w:rPr>
          <w:lang w:val="en-GB"/>
        </w:rPr>
        <w:lastRenderedPageBreak/>
        <w:t xml:space="preserve">Together with a number of </w:t>
      </w:r>
      <w:r w:rsidR="00C841E8" w:rsidRPr="000E47F7">
        <w:rPr>
          <w:lang w:val="en-GB"/>
        </w:rPr>
        <w:t xml:space="preserve">other </w:t>
      </w:r>
      <w:r w:rsidRPr="000E47F7">
        <w:rPr>
          <w:lang w:val="en-GB"/>
        </w:rPr>
        <w:t xml:space="preserve">proceedings, this action was in abeyance pending the decision of the Supreme Court in </w:t>
      </w:r>
      <w:r w:rsidR="00CE3441" w:rsidRPr="000E47F7">
        <w:rPr>
          <w:i/>
          <w:lang w:val="en-GB"/>
        </w:rPr>
        <w:t>Luximon and Balchand v. Minister for Justice, Equality and Law Reform</w:t>
      </w:r>
      <w:r w:rsidR="00CE3441" w:rsidRPr="000E47F7">
        <w:rPr>
          <w:b/>
          <w:lang w:val="en-GB"/>
        </w:rPr>
        <w:t xml:space="preserve"> </w:t>
      </w:r>
      <w:r w:rsidR="00CE3441" w:rsidRPr="000E47F7">
        <w:rPr>
          <w:lang w:val="en-GB"/>
        </w:rPr>
        <w:t>[2018] IESC 24, [2018] 2 I</w:t>
      </w:r>
      <w:r w:rsidR="00796CD3" w:rsidRPr="000E47F7">
        <w:rPr>
          <w:lang w:val="en-GB"/>
        </w:rPr>
        <w:t>.</w:t>
      </w:r>
      <w:r w:rsidR="00CE3441" w:rsidRPr="000E47F7">
        <w:rPr>
          <w:lang w:val="en-GB"/>
        </w:rPr>
        <w:t>R</w:t>
      </w:r>
      <w:r w:rsidR="00796CD3" w:rsidRPr="000E47F7">
        <w:rPr>
          <w:lang w:val="en-GB"/>
        </w:rPr>
        <w:t>.</w:t>
      </w:r>
      <w:r w:rsidR="00CE3441" w:rsidRPr="000E47F7">
        <w:rPr>
          <w:lang w:val="en-GB"/>
        </w:rPr>
        <w:t xml:space="preserve"> 542 (‘</w:t>
      </w:r>
      <w:r w:rsidR="00CE3441" w:rsidRPr="000E47F7">
        <w:rPr>
          <w:i/>
          <w:lang w:val="en-GB"/>
        </w:rPr>
        <w:t>Luximon’)</w:t>
      </w:r>
      <w:r w:rsidR="00CE3441" w:rsidRPr="000E47F7">
        <w:rPr>
          <w:lang w:val="en-GB"/>
        </w:rPr>
        <w:t xml:space="preserve">.  </w:t>
      </w:r>
      <w:r w:rsidRPr="000E47F7">
        <w:rPr>
          <w:lang w:val="en-GB"/>
        </w:rPr>
        <w:t xml:space="preserve">When the matter came </w:t>
      </w:r>
      <w:r w:rsidR="008B7079" w:rsidRPr="000E47F7">
        <w:rPr>
          <w:lang w:val="en-GB"/>
        </w:rPr>
        <w:t xml:space="preserve">for hearing </w:t>
      </w:r>
      <w:r w:rsidRPr="000E47F7">
        <w:rPr>
          <w:lang w:val="en-GB"/>
        </w:rPr>
        <w:t xml:space="preserve">before </w:t>
      </w:r>
      <w:r w:rsidR="008B7079" w:rsidRPr="000E47F7">
        <w:rPr>
          <w:lang w:val="en-GB"/>
        </w:rPr>
        <w:t>the High Court (</w:t>
      </w:r>
      <w:r w:rsidRPr="000E47F7">
        <w:rPr>
          <w:lang w:val="en-GB"/>
        </w:rPr>
        <w:t>Barrett J.</w:t>
      </w:r>
      <w:r w:rsidR="008B7079" w:rsidRPr="000E47F7">
        <w:rPr>
          <w:lang w:val="en-GB"/>
        </w:rPr>
        <w:t>)</w:t>
      </w:r>
      <w:r w:rsidRPr="000E47F7">
        <w:rPr>
          <w:lang w:val="en-GB"/>
        </w:rPr>
        <w:t xml:space="preserve"> the </w:t>
      </w:r>
      <w:r w:rsidR="003E4D58" w:rsidRPr="000E47F7">
        <w:rPr>
          <w:lang w:val="en-GB"/>
        </w:rPr>
        <w:t>respondent</w:t>
      </w:r>
      <w:r w:rsidRPr="000E47F7">
        <w:rPr>
          <w:lang w:val="en-GB"/>
        </w:rPr>
        <w:t xml:space="preserve"> contended that the Minister was under no obligation to undertake a detailed examination of Article 8 rights in circumstances where the applicant had arrived in the jurisdiction on foot of a short-term visitor</w:t>
      </w:r>
      <w:r w:rsidR="00E0338A" w:rsidRPr="000E47F7">
        <w:rPr>
          <w:lang w:val="en-GB"/>
        </w:rPr>
        <w:t>’s</w:t>
      </w:r>
      <w:r w:rsidRPr="000E47F7">
        <w:rPr>
          <w:lang w:val="en-GB"/>
        </w:rPr>
        <w:t xml:space="preserve"> visa, that examination being undertak</w:t>
      </w:r>
      <w:r w:rsidR="008B7079" w:rsidRPr="000E47F7">
        <w:rPr>
          <w:lang w:val="en-GB"/>
        </w:rPr>
        <w:t>en</w:t>
      </w:r>
      <w:r w:rsidRPr="000E47F7">
        <w:rPr>
          <w:lang w:val="en-GB"/>
        </w:rPr>
        <w:t xml:space="preserve"> at the stage of any deportation pursuant to s.</w:t>
      </w:r>
      <w:r w:rsidR="000904B4" w:rsidRPr="000E47F7">
        <w:rPr>
          <w:lang w:val="en-GB"/>
        </w:rPr>
        <w:t xml:space="preserve"> </w:t>
      </w:r>
      <w:r w:rsidRPr="000E47F7">
        <w:rPr>
          <w:lang w:val="en-GB"/>
        </w:rPr>
        <w:t xml:space="preserve">3 of the Immigration Act 1999.  At the same time, however, the respondent contended that the Minister had considered the substance of the applicant’s asserted rights under Article 8.    </w:t>
      </w:r>
    </w:p>
    <w:p w14:paraId="77456409" w14:textId="77777777" w:rsidR="00CE3451" w:rsidRPr="000E47F7" w:rsidRDefault="00CE3451" w:rsidP="00CE3451">
      <w:pPr>
        <w:spacing w:line="480" w:lineRule="auto"/>
        <w:jc w:val="both"/>
        <w:rPr>
          <w:lang w:val="en-GB"/>
        </w:rPr>
      </w:pPr>
    </w:p>
    <w:p w14:paraId="3C1B9F03" w14:textId="69F9CE02" w:rsidR="00CE3451" w:rsidRPr="000E47F7" w:rsidRDefault="00CE3451" w:rsidP="00CE3451">
      <w:pPr>
        <w:numPr>
          <w:ilvl w:val="0"/>
          <w:numId w:val="1"/>
        </w:numPr>
        <w:spacing w:line="480" w:lineRule="auto"/>
        <w:jc w:val="both"/>
        <w:rPr>
          <w:lang w:val="en-GB"/>
        </w:rPr>
      </w:pPr>
      <w:r w:rsidRPr="000E47F7">
        <w:rPr>
          <w:lang w:val="en-GB"/>
        </w:rPr>
        <w:t xml:space="preserve">The trial judge delivered his judgment on </w:t>
      </w:r>
      <w:r w:rsidR="00C30A76" w:rsidRPr="000E47F7">
        <w:rPr>
          <w:lang w:val="en-GB"/>
        </w:rPr>
        <w:t>13</w:t>
      </w:r>
      <w:r w:rsidRPr="000E47F7">
        <w:rPr>
          <w:lang w:val="en-GB"/>
        </w:rPr>
        <w:t xml:space="preserve"> May 201</w:t>
      </w:r>
      <w:r w:rsidR="008B7079" w:rsidRPr="000E47F7">
        <w:rPr>
          <w:lang w:val="en-GB"/>
        </w:rPr>
        <w:t>9 (</w:t>
      </w:r>
      <w:r w:rsidR="00236106" w:rsidRPr="000E47F7">
        <w:rPr>
          <w:lang w:val="en-GB"/>
        </w:rPr>
        <w:t>[2019] IEHC 310</w:t>
      </w:r>
      <w:r w:rsidR="008B7079" w:rsidRPr="000E47F7">
        <w:rPr>
          <w:lang w:val="en-GB"/>
        </w:rPr>
        <w:t>)</w:t>
      </w:r>
      <w:r w:rsidRPr="000E47F7">
        <w:rPr>
          <w:lang w:val="en-GB"/>
        </w:rPr>
        <w:t>.  Central to his decision were the provisions of s.</w:t>
      </w:r>
      <w:r w:rsidR="000904B4" w:rsidRPr="000E47F7">
        <w:rPr>
          <w:lang w:val="en-GB"/>
        </w:rPr>
        <w:t xml:space="preserve"> </w:t>
      </w:r>
      <w:r w:rsidRPr="000E47F7">
        <w:rPr>
          <w:lang w:val="en-GB"/>
        </w:rPr>
        <w:t>4(1) and 4(7) of the 2004 Act.  The former provides as follows:</w:t>
      </w:r>
      <w:r w:rsidR="00236106" w:rsidRPr="000E47F7">
        <w:rPr>
          <w:lang w:val="en-GB"/>
        </w:rPr>
        <w:t xml:space="preserve"> -</w:t>
      </w:r>
    </w:p>
    <w:p w14:paraId="0AB005BE" w14:textId="77777777" w:rsidR="00CE3451" w:rsidRPr="000E47F7" w:rsidRDefault="00CE3451" w:rsidP="00C256E4">
      <w:pPr>
        <w:pStyle w:val="ListParagraph"/>
        <w:ind w:left="284" w:right="284"/>
        <w:rPr>
          <w:lang w:val="en-GB"/>
        </w:rPr>
      </w:pPr>
    </w:p>
    <w:p w14:paraId="1DD900B9" w14:textId="77777777" w:rsidR="00CE3451" w:rsidRPr="000E47F7" w:rsidRDefault="00CE3451" w:rsidP="00C256E4">
      <w:pPr>
        <w:spacing w:line="480" w:lineRule="auto"/>
        <w:ind w:left="284" w:right="284"/>
        <w:jc w:val="both"/>
        <w:rPr>
          <w:i/>
          <w:lang w:val="en-GB"/>
        </w:rPr>
      </w:pPr>
      <w:r w:rsidRPr="000E47F7">
        <w:rPr>
          <w:i/>
          <w:lang w:val="en-GB"/>
        </w:rPr>
        <w:t>“(1) Subject to the provisions of this Act, an immigration officer may, on behalf of the Minister, give to a non-national a document, or place on his or her passport or other equivalent document an inscription, authorising the non-national to land or be in the State (referred to in this Act as “a permission”).”</w:t>
      </w:r>
    </w:p>
    <w:p w14:paraId="28FD839D" w14:textId="77777777" w:rsidR="00CE3451" w:rsidRPr="000E47F7" w:rsidRDefault="00CE3451" w:rsidP="00C256E4">
      <w:pPr>
        <w:spacing w:line="480" w:lineRule="auto"/>
        <w:ind w:left="284" w:right="284"/>
        <w:jc w:val="both"/>
        <w:rPr>
          <w:i/>
          <w:lang w:val="en-GB"/>
        </w:rPr>
      </w:pPr>
    </w:p>
    <w:p w14:paraId="20AEDFAD" w14:textId="0FC46E91" w:rsidR="00CE3451" w:rsidRPr="000E47F7" w:rsidRDefault="00CE3451" w:rsidP="00CE3451">
      <w:pPr>
        <w:numPr>
          <w:ilvl w:val="0"/>
          <w:numId w:val="1"/>
        </w:numPr>
        <w:spacing w:line="480" w:lineRule="auto"/>
        <w:jc w:val="both"/>
        <w:rPr>
          <w:lang w:val="en-GB"/>
        </w:rPr>
      </w:pPr>
      <w:r w:rsidRPr="000E47F7">
        <w:rPr>
          <w:lang w:val="en-GB"/>
        </w:rPr>
        <w:t>Section 4(7) is in the following terms:</w:t>
      </w:r>
      <w:r w:rsidR="00236106" w:rsidRPr="000E47F7">
        <w:rPr>
          <w:lang w:val="en-GB"/>
        </w:rPr>
        <w:t xml:space="preserve"> -</w:t>
      </w:r>
    </w:p>
    <w:p w14:paraId="6FC7A7D1" w14:textId="77777777" w:rsidR="00C841E8" w:rsidRPr="000E47F7" w:rsidRDefault="00C841E8" w:rsidP="00E158DB">
      <w:pPr>
        <w:spacing w:line="480" w:lineRule="auto"/>
        <w:jc w:val="both"/>
        <w:rPr>
          <w:lang w:val="en-GB"/>
        </w:rPr>
      </w:pPr>
    </w:p>
    <w:p w14:paraId="597DF110" w14:textId="77777777" w:rsidR="00CE3451" w:rsidRPr="000E47F7" w:rsidRDefault="00CE3451" w:rsidP="00C256E4">
      <w:pPr>
        <w:spacing w:line="480" w:lineRule="auto"/>
        <w:ind w:left="284" w:right="284"/>
        <w:jc w:val="both"/>
        <w:rPr>
          <w:lang w:val="en-GB"/>
        </w:rPr>
      </w:pPr>
      <w:r w:rsidRPr="000E47F7">
        <w:rPr>
          <w:i/>
          <w:lang w:val="en-GB"/>
        </w:rPr>
        <w:t>“</w:t>
      </w:r>
      <w:r w:rsidRPr="000E47F7">
        <w:rPr>
          <w:i/>
        </w:rPr>
        <w:t>(7) A permission under this section may be renewed or varied by the Minister, or by an immigration officer on his or her behalf, on application therefor by the non-national concerned.</w:t>
      </w:r>
      <w:r w:rsidRPr="000E47F7">
        <w:rPr>
          <w:i/>
          <w:lang w:val="en-GB"/>
        </w:rPr>
        <w:t>”</w:t>
      </w:r>
      <w:r w:rsidRPr="000E47F7">
        <w:rPr>
          <w:lang w:val="en-GB"/>
        </w:rPr>
        <w:t xml:space="preserve">  </w:t>
      </w:r>
    </w:p>
    <w:p w14:paraId="43FDD021" w14:textId="0EC2D687" w:rsidR="00CE3451" w:rsidRPr="000E47F7" w:rsidRDefault="00CE3451" w:rsidP="00CE3451">
      <w:pPr>
        <w:numPr>
          <w:ilvl w:val="0"/>
          <w:numId w:val="1"/>
        </w:numPr>
        <w:spacing w:line="480" w:lineRule="auto"/>
        <w:jc w:val="both"/>
        <w:rPr>
          <w:lang w:val="en-GB"/>
        </w:rPr>
      </w:pPr>
      <w:r w:rsidRPr="000E47F7">
        <w:rPr>
          <w:lang w:val="en-GB"/>
        </w:rPr>
        <w:lastRenderedPageBreak/>
        <w:t xml:space="preserve">The trial judge noted that </w:t>
      </w:r>
      <w:r w:rsidR="00156847" w:rsidRPr="000E47F7">
        <w:rPr>
          <w:lang w:val="en-GB"/>
        </w:rPr>
        <w:t>‘</w:t>
      </w:r>
      <w:r w:rsidRPr="000E47F7">
        <w:rPr>
          <w:lang w:val="en-GB"/>
        </w:rPr>
        <w:t>C</w:t>
      </w:r>
      <w:r w:rsidR="00156847" w:rsidRPr="000E47F7">
        <w:rPr>
          <w:lang w:val="en-GB"/>
        </w:rPr>
        <w:t>’</w:t>
      </w:r>
      <w:r w:rsidRPr="000E47F7">
        <w:rPr>
          <w:i/>
          <w:lang w:val="en-GB"/>
        </w:rPr>
        <w:t xml:space="preserve"> </w:t>
      </w:r>
      <w:r w:rsidRPr="000E47F7">
        <w:rPr>
          <w:lang w:val="en-GB"/>
        </w:rPr>
        <w:t xml:space="preserve">type visas facilitate short term visits to Ireland.  They are not, he said, a route to long term residence.  There is a separate </w:t>
      </w:r>
      <w:r w:rsidR="00E0338A" w:rsidRPr="000E47F7">
        <w:rPr>
          <w:lang w:val="en-GB"/>
        </w:rPr>
        <w:t>‘</w:t>
      </w:r>
      <w:r w:rsidRPr="000E47F7">
        <w:rPr>
          <w:lang w:val="en-GB"/>
        </w:rPr>
        <w:t>D</w:t>
      </w:r>
      <w:r w:rsidR="00E0338A" w:rsidRPr="000E47F7">
        <w:rPr>
          <w:lang w:val="en-GB"/>
        </w:rPr>
        <w:t>’</w:t>
      </w:r>
      <w:r w:rsidRPr="000E47F7">
        <w:rPr>
          <w:lang w:val="en-GB"/>
        </w:rPr>
        <w:t xml:space="preserve"> visa for visa required persons seeking long term residence.  Referring to s.</w:t>
      </w:r>
      <w:r w:rsidR="00E0338A" w:rsidRPr="000E47F7">
        <w:rPr>
          <w:lang w:val="en-GB"/>
        </w:rPr>
        <w:t xml:space="preserve"> </w:t>
      </w:r>
      <w:r w:rsidRPr="000E47F7">
        <w:rPr>
          <w:lang w:val="en-GB"/>
        </w:rPr>
        <w:t>4(7) Barrett J. said:</w:t>
      </w:r>
      <w:r w:rsidR="00236106" w:rsidRPr="000E47F7">
        <w:rPr>
          <w:lang w:val="en-GB"/>
        </w:rPr>
        <w:t xml:space="preserve"> -</w:t>
      </w:r>
    </w:p>
    <w:p w14:paraId="7B265861" w14:textId="77777777" w:rsidR="00CE3451" w:rsidRPr="000E47F7" w:rsidRDefault="00CE3451" w:rsidP="00CE3451">
      <w:pPr>
        <w:spacing w:line="360" w:lineRule="auto"/>
        <w:jc w:val="both"/>
        <w:rPr>
          <w:lang w:val="en-GB"/>
        </w:rPr>
      </w:pPr>
    </w:p>
    <w:p w14:paraId="09196BA4" w14:textId="20FE190E" w:rsidR="00CE3451" w:rsidRPr="000E47F7" w:rsidRDefault="00CE3451" w:rsidP="00122506">
      <w:pPr>
        <w:spacing w:line="480" w:lineRule="auto"/>
        <w:ind w:left="284" w:right="284"/>
        <w:jc w:val="both"/>
        <w:rPr>
          <w:i/>
          <w:lang w:val="en-GB"/>
        </w:rPr>
      </w:pPr>
      <w:r w:rsidRPr="000E47F7">
        <w:rPr>
          <w:i/>
          <w:lang w:val="en-GB"/>
        </w:rPr>
        <w:t>“This wording contemplates renewal/variation of a granted visa, not the substitution/granting of some other class of visa. So the Minister, under s.</w:t>
      </w:r>
      <w:r w:rsidR="00270B40" w:rsidRPr="000E47F7">
        <w:rPr>
          <w:i/>
          <w:lang w:val="en-GB"/>
        </w:rPr>
        <w:t xml:space="preserve"> </w:t>
      </w:r>
      <w:r w:rsidRPr="000E47F7">
        <w:rPr>
          <w:i/>
          <w:lang w:val="en-GB"/>
        </w:rPr>
        <w:t>4(7), cannot properly acquiesce to Ms Chen’s application. To conclude otherwise would involve the court accepting that, through s.</w:t>
      </w:r>
      <w:r w:rsidR="00E0338A" w:rsidRPr="000E47F7">
        <w:rPr>
          <w:i/>
          <w:lang w:val="en-GB"/>
        </w:rPr>
        <w:t xml:space="preserve"> </w:t>
      </w:r>
      <w:r w:rsidRPr="000E47F7">
        <w:rPr>
          <w:i/>
          <w:lang w:val="en-GB"/>
        </w:rPr>
        <w:t>4(7), the Oireachtas ended the decades-long understanding of short-term visas as facilitating brief visits to Ireland and transformed such visas into a first step (at a visitor’s election) towards long-term residence. Nothing in the 2004 Act suggests that s.</w:t>
      </w:r>
      <w:r w:rsidR="00270B40" w:rsidRPr="000E47F7">
        <w:rPr>
          <w:i/>
          <w:lang w:val="en-GB"/>
        </w:rPr>
        <w:t xml:space="preserve"> </w:t>
      </w:r>
      <w:r w:rsidRPr="000E47F7">
        <w:rPr>
          <w:i/>
          <w:lang w:val="en-GB"/>
        </w:rPr>
        <w:t>4(7) seeks/attains this transformative end.”</w:t>
      </w:r>
    </w:p>
    <w:p w14:paraId="2F43235C" w14:textId="77777777" w:rsidR="00CE3451" w:rsidRPr="000E47F7" w:rsidRDefault="00CE3451" w:rsidP="00CE3451">
      <w:pPr>
        <w:spacing w:line="480" w:lineRule="auto"/>
        <w:jc w:val="both"/>
        <w:rPr>
          <w:lang w:val="en-GB"/>
        </w:rPr>
      </w:pPr>
    </w:p>
    <w:p w14:paraId="3DB03D6A" w14:textId="7B50577E" w:rsidR="00CE3451" w:rsidRPr="000E47F7" w:rsidRDefault="00CE3451" w:rsidP="00CE3451">
      <w:pPr>
        <w:pStyle w:val="ListParagraph"/>
        <w:numPr>
          <w:ilvl w:val="0"/>
          <w:numId w:val="1"/>
        </w:numPr>
        <w:spacing w:line="480" w:lineRule="auto"/>
        <w:jc w:val="both"/>
        <w:rPr>
          <w:lang w:val="en-GB"/>
        </w:rPr>
      </w:pPr>
      <w:r w:rsidRPr="000E47F7">
        <w:rPr>
          <w:lang w:val="en-GB"/>
        </w:rPr>
        <w:t>He continued:</w:t>
      </w:r>
      <w:r w:rsidR="00236106" w:rsidRPr="000E47F7">
        <w:rPr>
          <w:lang w:val="en-GB"/>
        </w:rPr>
        <w:t xml:space="preserve"> </w:t>
      </w:r>
    </w:p>
    <w:p w14:paraId="2D30DFCE" w14:textId="77777777" w:rsidR="00C841E8" w:rsidRPr="000E47F7" w:rsidRDefault="00C841E8" w:rsidP="00E158DB">
      <w:pPr>
        <w:pStyle w:val="ListParagraph"/>
        <w:spacing w:line="480" w:lineRule="auto"/>
        <w:ind w:left="0"/>
        <w:jc w:val="both"/>
        <w:rPr>
          <w:lang w:val="en-GB"/>
        </w:rPr>
      </w:pPr>
    </w:p>
    <w:p w14:paraId="4706A293" w14:textId="370E9E3F" w:rsidR="00CE3451" w:rsidRDefault="00CE3451" w:rsidP="00122506">
      <w:pPr>
        <w:spacing w:line="480" w:lineRule="auto"/>
        <w:ind w:left="284" w:right="284"/>
        <w:jc w:val="both"/>
        <w:rPr>
          <w:i/>
        </w:rPr>
      </w:pPr>
      <w:r w:rsidRPr="000E47F7">
        <w:rPr>
          <w:i/>
          <w:lang w:val="en-GB"/>
        </w:rPr>
        <w:t xml:space="preserve">“Ms Chen cannot force her way through the immigration system, submitting an application that is not contemplated by the statutory provision pursuant to which she purports to make it, and then complaining that there has not been due engagement with such points as she has raised in an application which did not fall properly to be brought. </w:t>
      </w:r>
      <w:r w:rsidRPr="000E47F7">
        <w:rPr>
          <w:i/>
        </w:rPr>
        <w:t xml:space="preserve">For her to have any prospect of succeeding before the Minister/this Court requires, in the first instance, that the form of application she made to the Minister be contemplated by the statutory provision pursuant to which that application was purportedly brought. Here it is not. Why the Minister engaged in any detail with Ms Chen’s application instead of politely refusing it on the simple but correct basis, as tendered in his submissions, that the application did not fall to brought </w:t>
      </w:r>
      <w:r w:rsidR="009D5984" w:rsidRPr="000E47F7">
        <w:rPr>
          <w:i/>
        </w:rPr>
        <w:t xml:space="preserve">(sic) </w:t>
      </w:r>
      <w:r w:rsidRPr="000E47F7">
        <w:rPr>
          <w:i/>
        </w:rPr>
        <w:t>under s.</w:t>
      </w:r>
      <w:r w:rsidR="00F526C4" w:rsidRPr="000E47F7">
        <w:rPr>
          <w:i/>
        </w:rPr>
        <w:t xml:space="preserve"> </w:t>
      </w:r>
      <w:r w:rsidRPr="000E47F7">
        <w:rPr>
          <w:i/>
        </w:rPr>
        <w:t>4(7), is unclear. But that the Minister proceeded as he did does not endow him with a jurisdiction, or Ms Chen with a right, under s.</w:t>
      </w:r>
      <w:r w:rsidR="00F526C4" w:rsidRPr="000E47F7">
        <w:rPr>
          <w:i/>
        </w:rPr>
        <w:t xml:space="preserve"> </w:t>
      </w:r>
      <w:r w:rsidRPr="000E47F7">
        <w:rPr>
          <w:i/>
        </w:rPr>
        <w:t xml:space="preserve">4(7), that he or she does not properly enjoy thereunder.” </w:t>
      </w:r>
    </w:p>
    <w:p w14:paraId="2DBA897C" w14:textId="77777777" w:rsidR="005152C1" w:rsidRPr="000E47F7" w:rsidRDefault="00CE3451" w:rsidP="005152C1">
      <w:pPr>
        <w:numPr>
          <w:ilvl w:val="0"/>
          <w:numId w:val="1"/>
        </w:numPr>
        <w:spacing w:line="480" w:lineRule="auto"/>
        <w:jc w:val="both"/>
        <w:rPr>
          <w:lang w:val="en-GB"/>
        </w:rPr>
      </w:pPr>
      <w:r w:rsidRPr="000E47F7">
        <w:rPr>
          <w:lang w:val="en-GB"/>
        </w:rPr>
        <w:lastRenderedPageBreak/>
        <w:t>The underlying rationale of the trial judge’s decision – that the Minister did not have jurisdiction under s.</w:t>
      </w:r>
      <w:r w:rsidR="00F526C4" w:rsidRPr="000E47F7">
        <w:rPr>
          <w:lang w:val="en-GB"/>
        </w:rPr>
        <w:t xml:space="preserve"> </w:t>
      </w:r>
      <w:r w:rsidRPr="000E47F7">
        <w:rPr>
          <w:lang w:val="en-GB"/>
        </w:rPr>
        <w:t>4(7) to vary a stamp previously issued – reflected neither the argument advanced by the applicant, nor that advanced by the respondent.</w:t>
      </w:r>
    </w:p>
    <w:p w14:paraId="2B9B0F56" w14:textId="2F612301" w:rsidR="00CE3451" w:rsidRPr="000E47F7" w:rsidRDefault="00CE3451" w:rsidP="00EE0FCE">
      <w:pPr>
        <w:spacing w:line="480" w:lineRule="auto"/>
        <w:jc w:val="both"/>
        <w:rPr>
          <w:lang w:val="en-GB"/>
        </w:rPr>
      </w:pPr>
      <w:r w:rsidRPr="000E47F7">
        <w:rPr>
          <w:lang w:val="en-GB"/>
        </w:rPr>
        <w:t xml:space="preserve"> </w:t>
      </w:r>
    </w:p>
    <w:p w14:paraId="29FC4D53" w14:textId="63BB19A1" w:rsidR="00CE3451" w:rsidRPr="000E47F7" w:rsidRDefault="00CE3451" w:rsidP="00CE3451">
      <w:pPr>
        <w:numPr>
          <w:ilvl w:val="0"/>
          <w:numId w:val="1"/>
        </w:numPr>
        <w:spacing w:line="480" w:lineRule="auto"/>
        <w:jc w:val="both"/>
        <w:rPr>
          <w:lang w:val="en-GB"/>
        </w:rPr>
      </w:pPr>
      <w:r w:rsidRPr="000E47F7">
        <w:rPr>
          <w:lang w:val="en-GB"/>
        </w:rPr>
        <w:t xml:space="preserve">Following delivery of the </w:t>
      </w:r>
      <w:r w:rsidR="005152C1" w:rsidRPr="000E47F7">
        <w:rPr>
          <w:lang w:val="en-GB"/>
        </w:rPr>
        <w:t xml:space="preserve">High Court </w:t>
      </w:r>
      <w:r w:rsidRPr="000E47F7">
        <w:rPr>
          <w:lang w:val="en-GB"/>
        </w:rPr>
        <w:t xml:space="preserve">judgment, the applicant applied </w:t>
      </w:r>
      <w:r w:rsidR="005152C1" w:rsidRPr="000E47F7">
        <w:rPr>
          <w:lang w:val="en-GB"/>
        </w:rPr>
        <w:t xml:space="preserve">to Barrett J. </w:t>
      </w:r>
      <w:r w:rsidRPr="000E47F7">
        <w:rPr>
          <w:lang w:val="en-GB"/>
        </w:rPr>
        <w:t>for a certificate of leave to appeal.  The respondent did not dispute the applicant’s application insofar as it was confined to whether the High Court erred in concluding that the respondent had no power in law under s.</w:t>
      </w:r>
      <w:r w:rsidR="00F526C4" w:rsidRPr="000E47F7">
        <w:rPr>
          <w:lang w:val="en-GB"/>
        </w:rPr>
        <w:t xml:space="preserve"> </w:t>
      </w:r>
      <w:r w:rsidRPr="000E47F7">
        <w:rPr>
          <w:lang w:val="en-GB"/>
        </w:rPr>
        <w:t xml:space="preserve">4(7) to vary the stamp </w:t>
      </w:r>
      <w:r w:rsidR="00E0338A" w:rsidRPr="000E47F7">
        <w:rPr>
          <w:lang w:val="en-GB"/>
        </w:rPr>
        <w:t>‘</w:t>
      </w:r>
      <w:r w:rsidRPr="000E47F7">
        <w:rPr>
          <w:lang w:val="en-GB"/>
        </w:rPr>
        <w:t>C</w:t>
      </w:r>
      <w:r w:rsidR="00E0338A" w:rsidRPr="000E47F7">
        <w:rPr>
          <w:lang w:val="en-GB"/>
        </w:rPr>
        <w:t>’</w:t>
      </w:r>
      <w:r w:rsidRPr="000E47F7">
        <w:rPr>
          <w:lang w:val="en-GB"/>
        </w:rPr>
        <w:t xml:space="preserve"> visitor permission to another form of immigration permission but instead sought a re-visiting of the judgment on the basis that this argument </w:t>
      </w:r>
      <w:r w:rsidR="005152C1" w:rsidRPr="000E47F7">
        <w:rPr>
          <w:lang w:val="en-GB"/>
        </w:rPr>
        <w:t>had</w:t>
      </w:r>
      <w:r w:rsidRPr="000E47F7">
        <w:rPr>
          <w:lang w:val="en-GB"/>
        </w:rPr>
        <w:t xml:space="preserve"> not </w:t>
      </w:r>
      <w:r w:rsidR="005152C1" w:rsidRPr="000E47F7">
        <w:rPr>
          <w:lang w:val="en-GB"/>
        </w:rPr>
        <w:t>been advanced before the Court</w:t>
      </w:r>
      <w:r w:rsidRPr="000E47F7">
        <w:rPr>
          <w:lang w:val="en-GB"/>
        </w:rPr>
        <w:t>.  The High Court refused the respondent’s application, and accordingly certified a single question of law of exceptional public importance pursuant to s.</w:t>
      </w:r>
      <w:r w:rsidR="00F526C4" w:rsidRPr="000E47F7">
        <w:rPr>
          <w:lang w:val="en-GB"/>
        </w:rPr>
        <w:t xml:space="preserve"> </w:t>
      </w:r>
      <w:r w:rsidRPr="000E47F7">
        <w:rPr>
          <w:lang w:val="en-GB"/>
        </w:rPr>
        <w:t>5(6)(a) of the Illegal Immigrants (Trafficking) Act, 2000.</w:t>
      </w:r>
    </w:p>
    <w:p w14:paraId="4F2F3282" w14:textId="77777777" w:rsidR="00C841E8" w:rsidRPr="000E47F7" w:rsidRDefault="00C841E8" w:rsidP="00122506">
      <w:pPr>
        <w:spacing w:line="480" w:lineRule="auto"/>
        <w:ind w:left="284" w:right="284"/>
        <w:jc w:val="both"/>
        <w:rPr>
          <w:lang w:val="en-GB"/>
        </w:rPr>
      </w:pPr>
    </w:p>
    <w:p w14:paraId="60B17865" w14:textId="31164A5F" w:rsidR="00CE3451" w:rsidRPr="000E47F7" w:rsidRDefault="00122506" w:rsidP="00122506">
      <w:pPr>
        <w:spacing w:line="480" w:lineRule="auto"/>
        <w:ind w:left="284" w:right="284"/>
        <w:jc w:val="both"/>
        <w:rPr>
          <w:i/>
          <w:lang w:val="en-GB"/>
        </w:rPr>
      </w:pPr>
      <w:bookmarkStart w:id="1" w:name="_Hlk67319049"/>
      <w:r w:rsidRPr="000E47F7">
        <w:rPr>
          <w:i/>
          <w:lang w:val="en-GB"/>
        </w:rPr>
        <w:t>‘</w:t>
      </w:r>
      <w:r w:rsidR="00CE3451" w:rsidRPr="000E47F7">
        <w:rPr>
          <w:i/>
          <w:lang w:val="en-GB"/>
        </w:rPr>
        <w:t>Did the learned judge err in concluding that the Minister had no power under s.4(7) of the Immigration Act, 2004 (as amended) to vary the stamp C visa to another form of permission type?</w:t>
      </w:r>
      <w:bookmarkEnd w:id="1"/>
      <w:r w:rsidRPr="000E47F7">
        <w:rPr>
          <w:i/>
          <w:lang w:val="en-GB"/>
        </w:rPr>
        <w:t>’</w:t>
      </w:r>
    </w:p>
    <w:p w14:paraId="46651CE3" w14:textId="10A425D7" w:rsidR="00C92633" w:rsidRPr="000E47F7" w:rsidRDefault="00CE3451" w:rsidP="00CE3451">
      <w:pPr>
        <w:spacing w:line="480" w:lineRule="auto"/>
        <w:jc w:val="both"/>
        <w:rPr>
          <w:b/>
          <w:i/>
          <w:lang w:val="en-GB"/>
        </w:rPr>
      </w:pPr>
      <w:r w:rsidRPr="000E47F7">
        <w:rPr>
          <w:lang w:val="en-GB"/>
        </w:rPr>
        <w:t xml:space="preserve">  </w:t>
      </w:r>
    </w:p>
    <w:p w14:paraId="301202BD" w14:textId="0D5F1986" w:rsidR="00CE3451" w:rsidRPr="000E47F7" w:rsidRDefault="00CE3451" w:rsidP="00CE3451">
      <w:pPr>
        <w:spacing w:line="480" w:lineRule="auto"/>
        <w:jc w:val="both"/>
        <w:rPr>
          <w:lang w:val="en-GB"/>
        </w:rPr>
      </w:pPr>
      <w:r w:rsidRPr="000E47F7">
        <w:rPr>
          <w:b/>
          <w:i/>
          <w:lang w:val="en-GB"/>
        </w:rPr>
        <w:t xml:space="preserve">The decision in </w:t>
      </w:r>
      <w:r w:rsidRPr="000E47F7">
        <w:rPr>
          <w:b/>
          <w:i/>
          <w:u w:val="single"/>
          <w:lang w:val="en-GB"/>
        </w:rPr>
        <w:t>Luximon</w:t>
      </w:r>
      <w:r w:rsidRPr="000E47F7">
        <w:rPr>
          <w:lang w:val="en-GB"/>
        </w:rPr>
        <w:t xml:space="preserve">    </w:t>
      </w:r>
    </w:p>
    <w:p w14:paraId="1462E1F4" w14:textId="77777777" w:rsidR="00C77E3E" w:rsidRPr="000E47F7" w:rsidRDefault="00C77E3E" w:rsidP="00CE3451">
      <w:pPr>
        <w:spacing w:line="480" w:lineRule="auto"/>
        <w:jc w:val="both"/>
        <w:rPr>
          <w:lang w:val="en-GB"/>
        </w:rPr>
      </w:pPr>
    </w:p>
    <w:p w14:paraId="1A047329" w14:textId="583246DC" w:rsidR="00CE3451" w:rsidRPr="000E47F7" w:rsidRDefault="00CE3451" w:rsidP="00CE3451">
      <w:pPr>
        <w:numPr>
          <w:ilvl w:val="0"/>
          <w:numId w:val="1"/>
        </w:numPr>
        <w:spacing w:line="480" w:lineRule="auto"/>
        <w:jc w:val="both"/>
        <w:rPr>
          <w:lang w:val="en-GB"/>
        </w:rPr>
      </w:pPr>
      <w:r w:rsidRPr="000E47F7">
        <w:rPr>
          <w:lang w:val="en-GB"/>
        </w:rPr>
        <w:t xml:space="preserve">Central to the applicant’s case on the merits was the decision of the Supreme Court in </w:t>
      </w:r>
      <w:r w:rsidRPr="000E47F7">
        <w:rPr>
          <w:i/>
          <w:lang w:val="en-GB"/>
        </w:rPr>
        <w:t>Luximon</w:t>
      </w:r>
      <w:r w:rsidRPr="000E47F7">
        <w:rPr>
          <w:lang w:val="en-GB"/>
        </w:rPr>
        <w:t xml:space="preserve">.  That case, it was submitted, imposed an obligation on the Minister to conduct an assessment of the impact </w:t>
      </w:r>
      <w:r w:rsidR="00E0338A" w:rsidRPr="000E47F7">
        <w:rPr>
          <w:lang w:val="en-GB"/>
        </w:rPr>
        <w:t xml:space="preserve">of the decision </w:t>
      </w:r>
      <w:r w:rsidRPr="000E47F7">
        <w:rPr>
          <w:lang w:val="en-GB"/>
        </w:rPr>
        <w:t>upon the applicant’s family law rights prior to refusing her application to remain in the State</w:t>
      </w:r>
      <w:r w:rsidR="00C841E8" w:rsidRPr="000E47F7">
        <w:rPr>
          <w:lang w:val="en-GB"/>
        </w:rPr>
        <w:t>.  I</w:t>
      </w:r>
      <w:r w:rsidRPr="000E47F7">
        <w:rPr>
          <w:lang w:val="en-GB"/>
        </w:rPr>
        <w:t xml:space="preserve">t seems clear that if </w:t>
      </w:r>
      <w:r w:rsidRPr="000E47F7">
        <w:rPr>
          <w:i/>
          <w:lang w:val="en-GB"/>
        </w:rPr>
        <w:t>Luximon</w:t>
      </w:r>
      <w:r w:rsidRPr="000E47F7">
        <w:rPr>
          <w:lang w:val="en-GB"/>
        </w:rPr>
        <w:t xml:space="preserve"> does not impose such a requirement, this aspect of the applicant’s claim must fail.</w:t>
      </w:r>
    </w:p>
    <w:p w14:paraId="37C2BAA5" w14:textId="77777777" w:rsidR="00CE3451" w:rsidRPr="000E47F7" w:rsidRDefault="00CE3451" w:rsidP="00CE3451">
      <w:pPr>
        <w:spacing w:line="480" w:lineRule="auto"/>
        <w:jc w:val="both"/>
        <w:rPr>
          <w:lang w:val="en-GB"/>
        </w:rPr>
      </w:pPr>
      <w:r w:rsidRPr="000E47F7">
        <w:rPr>
          <w:lang w:val="en-GB"/>
        </w:rPr>
        <w:t xml:space="preserve">  </w:t>
      </w:r>
    </w:p>
    <w:p w14:paraId="447F221C" w14:textId="36802CCB" w:rsidR="00CE3451" w:rsidRPr="000E47F7" w:rsidRDefault="00CE3451" w:rsidP="00CE3451">
      <w:pPr>
        <w:numPr>
          <w:ilvl w:val="0"/>
          <w:numId w:val="1"/>
        </w:numPr>
        <w:spacing w:line="480" w:lineRule="auto"/>
        <w:jc w:val="both"/>
        <w:rPr>
          <w:lang w:val="en-GB"/>
        </w:rPr>
      </w:pPr>
      <w:r w:rsidRPr="000E47F7">
        <w:rPr>
          <w:i/>
          <w:lang w:val="en-GB"/>
        </w:rPr>
        <w:lastRenderedPageBreak/>
        <w:t>Luximon</w:t>
      </w:r>
      <w:r w:rsidRPr="000E47F7">
        <w:rPr>
          <w:lang w:val="en-GB"/>
        </w:rPr>
        <w:t xml:space="preserve"> involved claims brought by two citizens of Mauritius who arrived in the State in 2006 to avail of an administrative educational scheme established by the </w:t>
      </w:r>
      <w:r w:rsidR="00E1009F">
        <w:rPr>
          <w:lang w:val="en-GB"/>
        </w:rPr>
        <w:t>Minister</w:t>
      </w:r>
      <w:r w:rsidRPr="000E47F7">
        <w:rPr>
          <w:lang w:val="en-GB"/>
        </w:rPr>
        <w:t xml:space="preserve">.  The scheme enabled students undertaking certain post-secondary level educational courses to engage in part time work.  Essentially, it operated on the basis that they received what were termed ‘Stamp 2’ permissions, which were renewed annually.   Ms. Luximon had worked part time in a dental practice for a number of years, and one of </w:t>
      </w:r>
      <w:r w:rsidR="00236106" w:rsidRPr="000E47F7">
        <w:rPr>
          <w:lang w:val="en-GB"/>
        </w:rPr>
        <w:t xml:space="preserve">her </w:t>
      </w:r>
      <w:r w:rsidRPr="000E47F7">
        <w:rPr>
          <w:lang w:val="en-GB"/>
        </w:rPr>
        <w:t>daughters had been residing with her in the State since 2006 and was attending secondary school here.  Mr. Balchand</w:t>
      </w:r>
      <w:r w:rsidR="00B635D1" w:rsidRPr="000E47F7">
        <w:rPr>
          <w:lang w:val="en-GB"/>
        </w:rPr>
        <w:t xml:space="preserve"> (the applicant in the separate proceedings heard with </w:t>
      </w:r>
      <w:r w:rsidR="00B635D1" w:rsidRPr="000E47F7">
        <w:rPr>
          <w:i/>
          <w:lang w:val="en-GB"/>
        </w:rPr>
        <w:t>Luximon</w:t>
      </w:r>
      <w:r w:rsidR="00B635D1" w:rsidRPr="000E47F7">
        <w:rPr>
          <w:lang w:val="en-GB"/>
        </w:rPr>
        <w:t>)</w:t>
      </w:r>
      <w:r w:rsidRPr="000E47F7">
        <w:rPr>
          <w:lang w:val="en-GB"/>
        </w:rPr>
        <w:t xml:space="preserve"> having arrived in Ireland in 2006, had been joined by his partner.  They subsequently </w:t>
      </w:r>
      <w:r w:rsidR="00D861BE" w:rsidRPr="000E47F7">
        <w:rPr>
          <w:lang w:val="en-GB"/>
        </w:rPr>
        <w:t>married and</w:t>
      </w:r>
      <w:r w:rsidRPr="000E47F7">
        <w:rPr>
          <w:lang w:val="en-GB"/>
        </w:rPr>
        <w:t xml:space="preserve"> had a child in 2009 who was in primary school.  </w:t>
      </w:r>
    </w:p>
    <w:p w14:paraId="5C4C61AA" w14:textId="77777777" w:rsidR="00CE3451" w:rsidRPr="000E47F7" w:rsidRDefault="00CE3451" w:rsidP="00CE3451">
      <w:pPr>
        <w:pStyle w:val="ListParagraph"/>
        <w:rPr>
          <w:lang w:val="en-GB"/>
        </w:rPr>
      </w:pPr>
    </w:p>
    <w:p w14:paraId="794B9A42" w14:textId="3936BCB0" w:rsidR="00CE3451" w:rsidRPr="000E47F7" w:rsidRDefault="00CE3451" w:rsidP="00CE3451">
      <w:pPr>
        <w:numPr>
          <w:ilvl w:val="0"/>
          <w:numId w:val="1"/>
        </w:numPr>
        <w:spacing w:line="480" w:lineRule="auto"/>
        <w:jc w:val="both"/>
        <w:rPr>
          <w:lang w:val="en-GB"/>
        </w:rPr>
      </w:pPr>
      <w:r w:rsidRPr="000E47F7">
        <w:rPr>
          <w:lang w:val="en-GB"/>
        </w:rPr>
        <w:t>Both applicants had, accordingly, established private, family and social connections in the State, and (save in one minor respect in the case of Ms. Luximon) both had complied fully with all requirements imposed</w:t>
      </w:r>
      <w:r w:rsidR="00F526C4" w:rsidRPr="000E47F7">
        <w:rPr>
          <w:lang w:val="en-GB"/>
        </w:rPr>
        <w:t xml:space="preserve"> on them</w:t>
      </w:r>
      <w:r w:rsidRPr="000E47F7">
        <w:rPr>
          <w:lang w:val="en-GB"/>
        </w:rPr>
        <w:t xml:space="preserve"> by the authorities.  They had been permitted to work in the State</w:t>
      </w:r>
      <w:r w:rsidR="00D861BE" w:rsidRPr="000E47F7">
        <w:rPr>
          <w:lang w:val="en-GB"/>
        </w:rPr>
        <w:t xml:space="preserve"> and</w:t>
      </w:r>
      <w:r w:rsidRPr="000E47F7">
        <w:rPr>
          <w:lang w:val="en-GB"/>
        </w:rPr>
        <w:t xml:space="preserve"> had educated their children here.  Their legal status was that of lawful long-duration residents whose continued presence in the State remained conditional upon periodic renewable permission granted by the respondent Minister </w:t>
      </w:r>
      <w:r w:rsidR="00E0338A" w:rsidRPr="000E47F7">
        <w:rPr>
          <w:lang w:val="en-GB"/>
        </w:rPr>
        <w:t xml:space="preserve">or an immigration officer </w:t>
      </w:r>
      <w:r w:rsidRPr="000E47F7">
        <w:rPr>
          <w:lang w:val="en-GB"/>
        </w:rPr>
        <w:t>under s.</w:t>
      </w:r>
      <w:r w:rsidR="00F526C4" w:rsidRPr="000E47F7">
        <w:rPr>
          <w:lang w:val="en-GB"/>
        </w:rPr>
        <w:t xml:space="preserve"> </w:t>
      </w:r>
      <w:r w:rsidRPr="000E47F7">
        <w:rPr>
          <w:lang w:val="en-GB"/>
        </w:rPr>
        <w:t>4(7) of the Immigration Act 2004 (see para. 14 of the judgment of MacMenamin J., with which all members of the Court agreed).</w:t>
      </w:r>
      <w:r w:rsidRPr="000E47F7">
        <w:rPr>
          <w:i/>
          <w:lang w:val="en-GB"/>
        </w:rPr>
        <w:t xml:space="preserve">  </w:t>
      </w:r>
    </w:p>
    <w:p w14:paraId="6469DE92" w14:textId="77777777" w:rsidR="00F87D8C" w:rsidRPr="000E47F7" w:rsidRDefault="00F87D8C" w:rsidP="00F87D8C">
      <w:pPr>
        <w:pStyle w:val="ListParagraph"/>
        <w:rPr>
          <w:lang w:val="en-GB"/>
        </w:rPr>
      </w:pPr>
    </w:p>
    <w:p w14:paraId="4C8C65F9" w14:textId="77777777" w:rsidR="00CE3451" w:rsidRPr="000E47F7" w:rsidRDefault="00CE3451" w:rsidP="00CE3451">
      <w:pPr>
        <w:numPr>
          <w:ilvl w:val="0"/>
          <w:numId w:val="1"/>
        </w:numPr>
        <w:spacing w:line="480" w:lineRule="auto"/>
        <w:jc w:val="both"/>
        <w:rPr>
          <w:lang w:val="en-GB"/>
        </w:rPr>
      </w:pPr>
      <w:r w:rsidRPr="000E47F7">
        <w:rPr>
          <w:lang w:val="en-GB"/>
        </w:rPr>
        <w:t>This scheme changed in 2011.  The consequence was that in order to remain in the State the applicants had to obtain ‘Stamp 4’ permissions, which would have permitted long term residence.  Their application for such permissions was refused.  When refusing the applications, the Minister advised the applicants that they must leave the State at the expiry of a period fixed in those letters, unless they had obtained another form of immigration permission.</w:t>
      </w:r>
    </w:p>
    <w:p w14:paraId="4130E09E" w14:textId="77777777" w:rsidR="00CE3451" w:rsidRPr="000E47F7" w:rsidRDefault="00CE3451" w:rsidP="00CE3451">
      <w:pPr>
        <w:pStyle w:val="ListParagraph"/>
        <w:rPr>
          <w:lang w:val="en-GB"/>
        </w:rPr>
      </w:pPr>
    </w:p>
    <w:p w14:paraId="0B25DB1A" w14:textId="604D5B81" w:rsidR="00CE3451" w:rsidRPr="000E47F7" w:rsidRDefault="00CE3451" w:rsidP="00CE3451">
      <w:pPr>
        <w:numPr>
          <w:ilvl w:val="0"/>
          <w:numId w:val="1"/>
        </w:numPr>
        <w:spacing w:line="480" w:lineRule="auto"/>
        <w:jc w:val="both"/>
        <w:rPr>
          <w:lang w:val="en-GB"/>
        </w:rPr>
      </w:pPr>
      <w:r w:rsidRPr="000E47F7">
        <w:rPr>
          <w:lang w:val="en-GB"/>
        </w:rPr>
        <w:lastRenderedPageBreak/>
        <w:t>The issue in the case was whether the refusal of the Minister to grant the ‘Stamp 4’ permission was lawful.  The Court conclude</w:t>
      </w:r>
      <w:r w:rsidR="00C841E8" w:rsidRPr="000E47F7">
        <w:rPr>
          <w:lang w:val="en-GB"/>
        </w:rPr>
        <w:t>d</w:t>
      </w:r>
      <w:r w:rsidRPr="000E47F7">
        <w:rPr>
          <w:lang w:val="en-GB"/>
        </w:rPr>
        <w:t xml:space="preserve"> that </w:t>
      </w:r>
      <w:r w:rsidR="00F526C4" w:rsidRPr="000E47F7">
        <w:rPr>
          <w:lang w:val="en-GB"/>
        </w:rPr>
        <w:t>it was</w:t>
      </w:r>
      <w:r w:rsidRPr="000E47F7">
        <w:rPr>
          <w:lang w:val="en-GB"/>
        </w:rPr>
        <w:t xml:space="preserve"> not, for two essential reasons.  </w:t>
      </w:r>
      <w:r w:rsidR="00D861BE" w:rsidRPr="000E47F7">
        <w:rPr>
          <w:lang w:val="en-GB"/>
        </w:rPr>
        <w:t>T</w:t>
      </w:r>
      <w:r w:rsidRPr="000E47F7">
        <w:rPr>
          <w:lang w:val="en-GB"/>
        </w:rPr>
        <w:t>he first was that the decisions of the Minister purported to direct the</w:t>
      </w:r>
      <w:r w:rsidR="00C841E8" w:rsidRPr="000E47F7">
        <w:rPr>
          <w:lang w:val="en-GB"/>
        </w:rPr>
        <w:t xml:space="preserve"> applicants</w:t>
      </w:r>
      <w:r w:rsidRPr="000E47F7">
        <w:rPr>
          <w:lang w:val="en-GB"/>
        </w:rPr>
        <w:t xml:space="preserve"> to leave the jurisdiction when, it was held, the legislation did not empower him to do this.  More importantly for present purposes, the Court held that in considering the applicants’ applications for permission under s.</w:t>
      </w:r>
      <w:r w:rsidR="00F526C4" w:rsidRPr="000E47F7">
        <w:rPr>
          <w:lang w:val="en-GB"/>
        </w:rPr>
        <w:t xml:space="preserve"> </w:t>
      </w:r>
      <w:r w:rsidRPr="000E47F7">
        <w:rPr>
          <w:lang w:val="en-GB"/>
        </w:rPr>
        <w:t>4(7) of the 2004 Act, the respondent was (having regard to the obligations arising under the European Convention o</w:t>
      </w:r>
      <w:r w:rsidR="00F526C4" w:rsidRPr="000E47F7">
        <w:rPr>
          <w:lang w:val="en-GB"/>
        </w:rPr>
        <w:t>n</w:t>
      </w:r>
      <w:r w:rsidRPr="000E47F7">
        <w:rPr>
          <w:lang w:val="en-GB"/>
        </w:rPr>
        <w:t xml:space="preserve"> Human Rights Act 2003) under a duty to assess whether the applicants’ rights to respect for private and family life under Article 8 of the Convention were capable of being engaged at a time when the applicant remained within the State.</w:t>
      </w:r>
    </w:p>
    <w:p w14:paraId="465335C8" w14:textId="77777777" w:rsidR="00CE3451" w:rsidRPr="000E47F7" w:rsidRDefault="00CE3451" w:rsidP="00CE3451">
      <w:pPr>
        <w:pStyle w:val="ListParagraph"/>
        <w:rPr>
          <w:lang w:val="en-GB"/>
        </w:rPr>
      </w:pPr>
    </w:p>
    <w:p w14:paraId="0143227C" w14:textId="67B1CAE1" w:rsidR="00CE3451" w:rsidRPr="000E47F7" w:rsidRDefault="00CE3451" w:rsidP="00CE3451">
      <w:pPr>
        <w:numPr>
          <w:ilvl w:val="0"/>
          <w:numId w:val="1"/>
        </w:numPr>
        <w:spacing w:line="480" w:lineRule="auto"/>
        <w:jc w:val="both"/>
        <w:rPr>
          <w:lang w:val="en-GB"/>
        </w:rPr>
      </w:pPr>
      <w:r w:rsidRPr="000E47F7">
        <w:rPr>
          <w:lang w:val="en-GB"/>
        </w:rPr>
        <w:t xml:space="preserve">Having reviewed a number of decisions of the European Court of Human Rights, to some of which we return in the next section of this judgment, MacMenamin J. </w:t>
      </w:r>
      <w:r w:rsidR="00D861BE" w:rsidRPr="000E47F7">
        <w:rPr>
          <w:lang w:val="en-GB"/>
        </w:rPr>
        <w:t>concluded:</w:t>
      </w:r>
    </w:p>
    <w:p w14:paraId="078EA6F2" w14:textId="77777777" w:rsidR="00CE3451" w:rsidRPr="000E47F7" w:rsidRDefault="00CE3451" w:rsidP="00CE3451">
      <w:pPr>
        <w:pStyle w:val="ListParagraph"/>
        <w:rPr>
          <w:lang w:val="en-GB"/>
        </w:rPr>
      </w:pPr>
    </w:p>
    <w:p w14:paraId="06A758BA" w14:textId="568EAB19" w:rsidR="00CE3451" w:rsidRPr="000E47F7" w:rsidRDefault="00CE3451" w:rsidP="001F29D7">
      <w:pPr>
        <w:spacing w:line="480" w:lineRule="auto"/>
        <w:ind w:left="284" w:right="284"/>
        <w:jc w:val="both"/>
        <w:rPr>
          <w:lang w:val="en-GB"/>
        </w:rPr>
      </w:pPr>
      <w:r w:rsidRPr="000E47F7">
        <w:rPr>
          <w:lang w:val="en-GB"/>
        </w:rPr>
        <w:t>‘</w:t>
      </w:r>
      <w:r w:rsidRPr="000E47F7">
        <w:rPr>
          <w:i/>
          <w:lang w:val="en-GB"/>
        </w:rPr>
        <w:t xml:space="preserve">even if, </w:t>
      </w:r>
      <w:r w:rsidRPr="000E47F7">
        <w:rPr>
          <w:b/>
          <w:i/>
          <w:lang w:val="en-GB"/>
        </w:rPr>
        <w:t>prima facie intra vires</w:t>
      </w:r>
      <w:r w:rsidRPr="000E47F7">
        <w:rPr>
          <w:i/>
          <w:lang w:val="en-GB"/>
        </w:rPr>
        <w:t>, the Minister’s “function” under s.4(7) should have been performed in accordance with the clear tenor of the ECtHR jurisprudence.  The provision would fall to be interpreted in light of that jurisprudence.  Thus</w:t>
      </w:r>
      <w:r w:rsidR="00467830" w:rsidRPr="000E47F7">
        <w:rPr>
          <w:i/>
          <w:lang w:val="en-GB"/>
        </w:rPr>
        <w:t xml:space="preserve">, </w:t>
      </w:r>
      <w:r w:rsidRPr="000E47F7">
        <w:rPr>
          <w:i/>
          <w:lang w:val="en-GB"/>
        </w:rPr>
        <w:t>a consideration under s.</w:t>
      </w:r>
      <w:r w:rsidR="00467830" w:rsidRPr="000E47F7">
        <w:rPr>
          <w:i/>
          <w:lang w:val="en-GB"/>
        </w:rPr>
        <w:t xml:space="preserve"> </w:t>
      </w:r>
      <w:r w:rsidRPr="000E47F7">
        <w:rPr>
          <w:i/>
          <w:lang w:val="en-GB"/>
        </w:rPr>
        <w:t>4(7) should have been carried out having regard to article 8 ECHR rights where necessary at the time of that assessment, and at a time when the applicants remained within the State.  This was not done.  The section was not, therefore, being applied, or operated, in a manner compliant with s.</w:t>
      </w:r>
      <w:r w:rsidR="00467830" w:rsidRPr="000E47F7">
        <w:rPr>
          <w:i/>
          <w:lang w:val="en-GB"/>
        </w:rPr>
        <w:t xml:space="preserve"> </w:t>
      </w:r>
      <w:r w:rsidRPr="000E47F7">
        <w:rPr>
          <w:i/>
          <w:lang w:val="en-GB"/>
        </w:rPr>
        <w:t>3 of the 2003 Act.’</w:t>
      </w:r>
      <w:r w:rsidR="0038639B" w:rsidRPr="000E47F7">
        <w:rPr>
          <w:rStyle w:val="FootnoteReference"/>
          <w:i/>
          <w:lang w:val="en-GB"/>
        </w:rPr>
        <w:footnoteReference w:id="1"/>
      </w:r>
    </w:p>
    <w:p w14:paraId="5D038922" w14:textId="77777777" w:rsidR="00F87D8C" w:rsidRPr="000E47F7" w:rsidRDefault="00F87D8C" w:rsidP="00CE3451">
      <w:pPr>
        <w:spacing w:line="480" w:lineRule="auto"/>
        <w:ind w:left="567"/>
        <w:jc w:val="both"/>
        <w:rPr>
          <w:lang w:val="en-GB"/>
        </w:rPr>
      </w:pPr>
    </w:p>
    <w:p w14:paraId="6BB0D054" w14:textId="51AC501C" w:rsidR="00CE3451" w:rsidRPr="000E47F7" w:rsidRDefault="00CE3451" w:rsidP="00CE3451">
      <w:pPr>
        <w:numPr>
          <w:ilvl w:val="0"/>
          <w:numId w:val="1"/>
        </w:numPr>
        <w:spacing w:line="480" w:lineRule="auto"/>
        <w:jc w:val="both"/>
        <w:rPr>
          <w:lang w:val="en-GB"/>
        </w:rPr>
      </w:pPr>
      <w:r w:rsidRPr="000E47F7">
        <w:rPr>
          <w:lang w:val="en-GB"/>
        </w:rPr>
        <w:t xml:space="preserve">Several points should be made in relation to this conclusion.  First, the Court made it clear that its view that the Minister was required to undertake an Article 8 assessment was based – and based exclusively – on the fact that the applicants in that case were long term </w:t>
      </w:r>
      <w:r w:rsidRPr="000E47F7">
        <w:rPr>
          <w:lang w:val="en-GB"/>
        </w:rPr>
        <w:lastRenderedPageBreak/>
        <w:t xml:space="preserve">residents who had in that capacity </w:t>
      </w:r>
      <w:r w:rsidR="004F6B5A" w:rsidRPr="000E47F7">
        <w:rPr>
          <w:lang w:val="en-GB"/>
        </w:rPr>
        <w:t xml:space="preserve">and while lawfully present in the jurisdiction, </w:t>
      </w:r>
      <w:r w:rsidRPr="000E47F7">
        <w:rPr>
          <w:lang w:val="en-GB"/>
        </w:rPr>
        <w:t>established links in the State.  They were described by MacMenamin J. as persons</w:t>
      </w:r>
      <w:r w:rsidR="00FB760E" w:rsidRPr="000E47F7">
        <w:rPr>
          <w:lang w:val="en-GB"/>
        </w:rPr>
        <w:t xml:space="preserve"> who</w:t>
      </w:r>
      <w:r w:rsidRPr="000E47F7">
        <w:rPr>
          <w:lang w:val="en-GB"/>
        </w:rPr>
        <w:t xml:space="preserve"> </w:t>
      </w:r>
      <w:r w:rsidR="00FB760E" w:rsidRPr="000E47F7">
        <w:rPr>
          <w:lang w:val="en-GB"/>
        </w:rPr>
        <w:t>‘</w:t>
      </w:r>
      <w:r w:rsidRPr="000E47F7">
        <w:rPr>
          <w:i/>
          <w:lang w:val="en-GB"/>
        </w:rPr>
        <w:t xml:space="preserve">had acquired many of the characteristics of long-term migrants, albeit subject to periodic renewal of their residency’ </w:t>
      </w:r>
      <w:r w:rsidRPr="000E47F7">
        <w:rPr>
          <w:lang w:val="en-GB"/>
        </w:rPr>
        <w:t>(para. 6).  It was this characteristic that generated the entitlement to require an Article 8 assessment prior to refusal of their application.</w:t>
      </w:r>
    </w:p>
    <w:p w14:paraId="7935091E" w14:textId="77777777" w:rsidR="00CE3451" w:rsidRPr="000E47F7" w:rsidRDefault="00CE3451" w:rsidP="00CE3451">
      <w:pPr>
        <w:spacing w:line="480" w:lineRule="auto"/>
        <w:jc w:val="both"/>
        <w:rPr>
          <w:lang w:val="en-GB"/>
        </w:rPr>
      </w:pPr>
      <w:r w:rsidRPr="000E47F7">
        <w:rPr>
          <w:lang w:val="en-GB"/>
        </w:rPr>
        <w:t xml:space="preserve">  </w:t>
      </w:r>
    </w:p>
    <w:p w14:paraId="02ABC59A" w14:textId="11E1FBB9" w:rsidR="00CE3451" w:rsidRPr="000E47F7" w:rsidRDefault="00CE3451" w:rsidP="00CE3451">
      <w:pPr>
        <w:numPr>
          <w:ilvl w:val="0"/>
          <w:numId w:val="1"/>
        </w:numPr>
        <w:spacing w:line="480" w:lineRule="auto"/>
        <w:jc w:val="both"/>
        <w:rPr>
          <w:lang w:val="en-GB"/>
        </w:rPr>
      </w:pPr>
      <w:r w:rsidRPr="000E47F7">
        <w:rPr>
          <w:lang w:val="en-GB"/>
        </w:rPr>
        <w:t>Second, and following from this, the starting point in understanding the scope of the decision is that the Court clearly did not view it</w:t>
      </w:r>
      <w:r w:rsidR="00C841E8" w:rsidRPr="000E47F7">
        <w:rPr>
          <w:lang w:val="en-GB"/>
        </w:rPr>
        <w:t>s findings</w:t>
      </w:r>
      <w:r w:rsidRPr="000E47F7">
        <w:rPr>
          <w:lang w:val="en-GB"/>
        </w:rPr>
        <w:t xml:space="preserve"> as having any relevance or application to the position of persons who had entered the State as </w:t>
      </w:r>
      <w:r w:rsidR="00A073EB" w:rsidRPr="000E47F7">
        <w:rPr>
          <w:lang w:val="en-GB"/>
        </w:rPr>
        <w:t>short-term</w:t>
      </w:r>
      <w:r w:rsidRPr="000E47F7">
        <w:rPr>
          <w:lang w:val="en-GB"/>
        </w:rPr>
        <w:t xml:space="preserve"> visitors.  This is emphasised twice in the course of the judgment.  At para. 6, MacMenamin J. said of the applicants in that </w:t>
      </w:r>
      <w:r w:rsidR="00A073EB" w:rsidRPr="000E47F7">
        <w:rPr>
          <w:lang w:val="en-GB"/>
        </w:rPr>
        <w:t>case:</w:t>
      </w:r>
      <w:r w:rsidR="00236106" w:rsidRPr="000E47F7">
        <w:rPr>
          <w:lang w:val="en-GB"/>
        </w:rPr>
        <w:t xml:space="preserve"> -</w:t>
      </w:r>
    </w:p>
    <w:p w14:paraId="12C8689C" w14:textId="77777777" w:rsidR="00CE3451" w:rsidRPr="000E47F7" w:rsidRDefault="00CE3451" w:rsidP="00CE3451">
      <w:pPr>
        <w:pStyle w:val="ListParagraph"/>
        <w:rPr>
          <w:lang w:val="en-GB"/>
        </w:rPr>
      </w:pPr>
    </w:p>
    <w:p w14:paraId="2D61DCFA" w14:textId="4FF78837" w:rsidR="00CE3451" w:rsidRPr="000E47F7" w:rsidRDefault="00CE3451" w:rsidP="00F16452">
      <w:pPr>
        <w:spacing w:line="480" w:lineRule="auto"/>
        <w:ind w:left="284" w:right="284"/>
        <w:jc w:val="both"/>
        <w:rPr>
          <w:i/>
          <w:lang w:val="en-GB"/>
        </w:rPr>
      </w:pPr>
      <w:r w:rsidRPr="000E47F7">
        <w:rPr>
          <w:lang w:val="en-GB"/>
        </w:rPr>
        <w:t>‘</w:t>
      </w:r>
      <w:r w:rsidRPr="000E47F7">
        <w:rPr>
          <w:i/>
          <w:lang w:val="en-GB"/>
        </w:rPr>
        <w:t>Their situations are, therefore, different from those concerning short</w:t>
      </w:r>
      <w:r w:rsidR="00FB760E" w:rsidRPr="000E47F7">
        <w:rPr>
          <w:i/>
          <w:lang w:val="en-GB"/>
        </w:rPr>
        <w:t>-</w:t>
      </w:r>
      <w:r w:rsidRPr="000E47F7">
        <w:rPr>
          <w:i/>
          <w:lang w:val="en-GB"/>
        </w:rPr>
        <w:t>term visitors, or entrants engaging in temporary employment, or asylum seekers, who will generally not have established links in, or to, the State</w:t>
      </w:r>
      <w:r w:rsidR="00FB760E" w:rsidRPr="000E47F7">
        <w:rPr>
          <w:i/>
          <w:lang w:val="en-GB"/>
        </w:rPr>
        <w:t>.</w:t>
      </w:r>
      <w:r w:rsidR="00F16452" w:rsidRPr="000E47F7">
        <w:rPr>
          <w:i/>
          <w:lang w:val="en-GB"/>
        </w:rPr>
        <w:t>’</w:t>
      </w:r>
    </w:p>
    <w:p w14:paraId="1E67250F" w14:textId="77777777" w:rsidR="00CE3451" w:rsidRPr="000E47F7" w:rsidRDefault="00CE3451" w:rsidP="00CE3451">
      <w:pPr>
        <w:pStyle w:val="ListParagraph"/>
        <w:rPr>
          <w:lang w:val="en-GB"/>
        </w:rPr>
      </w:pPr>
    </w:p>
    <w:p w14:paraId="760579CD" w14:textId="77777777" w:rsidR="00CE3451" w:rsidRPr="000E47F7" w:rsidRDefault="00CE3451" w:rsidP="00CE3451">
      <w:pPr>
        <w:numPr>
          <w:ilvl w:val="0"/>
          <w:numId w:val="1"/>
        </w:numPr>
        <w:spacing w:line="480" w:lineRule="auto"/>
        <w:jc w:val="both"/>
        <w:rPr>
          <w:lang w:val="en-GB"/>
        </w:rPr>
      </w:pPr>
      <w:r w:rsidRPr="000E47F7">
        <w:rPr>
          <w:lang w:val="en-GB"/>
        </w:rPr>
        <w:t>He re-iterated this in his conclusions (para. 87) :</w:t>
      </w:r>
    </w:p>
    <w:p w14:paraId="4B1EA702" w14:textId="77777777" w:rsidR="00CE3451" w:rsidRPr="000E47F7" w:rsidRDefault="00CE3451" w:rsidP="00CE3451">
      <w:pPr>
        <w:spacing w:line="480" w:lineRule="auto"/>
        <w:jc w:val="both"/>
        <w:rPr>
          <w:lang w:val="en-GB"/>
        </w:rPr>
      </w:pPr>
    </w:p>
    <w:p w14:paraId="71F9C32D" w14:textId="27506DB0" w:rsidR="00CE3451" w:rsidRPr="000E47F7" w:rsidRDefault="00CE3451" w:rsidP="00F16452">
      <w:pPr>
        <w:spacing w:line="480" w:lineRule="auto"/>
        <w:ind w:left="284" w:right="284"/>
        <w:jc w:val="both"/>
        <w:rPr>
          <w:i/>
          <w:lang w:val="en-GB"/>
        </w:rPr>
      </w:pPr>
      <w:r w:rsidRPr="000E47F7">
        <w:rPr>
          <w:lang w:val="en-GB"/>
        </w:rPr>
        <w:t>‘</w:t>
      </w:r>
      <w:r w:rsidRPr="000E47F7">
        <w:rPr>
          <w:i/>
          <w:lang w:val="en-GB"/>
        </w:rPr>
        <w:t>The applicants were not simply ‘visitors’</w:t>
      </w:r>
      <w:r w:rsidR="00335F91" w:rsidRPr="000E47F7">
        <w:rPr>
          <w:i/>
          <w:lang w:val="en-GB"/>
        </w:rPr>
        <w:t xml:space="preserve">, </w:t>
      </w:r>
      <w:r w:rsidRPr="000E47F7">
        <w:rPr>
          <w:i/>
          <w:lang w:val="en-GB"/>
        </w:rPr>
        <w:t xml:space="preserve">or </w:t>
      </w:r>
      <w:r w:rsidR="00C92633" w:rsidRPr="000E47F7">
        <w:rPr>
          <w:i/>
          <w:lang w:val="en-GB"/>
        </w:rPr>
        <w:t>short-term</w:t>
      </w:r>
      <w:r w:rsidRPr="000E47F7">
        <w:rPr>
          <w:i/>
          <w:lang w:val="en-GB"/>
        </w:rPr>
        <w:t xml:space="preserve"> entrants to the State, or persons who had no entitlement to be here at all.  These cases are very different from those other categories of persons.  The factual basis of the applicants’ status required consideration of article 8 rights when the Minister was considering renewal or variation decisions concerning them.’ </w:t>
      </w:r>
    </w:p>
    <w:p w14:paraId="15C1922E" w14:textId="77777777" w:rsidR="00CE3451" w:rsidRPr="000E47F7" w:rsidRDefault="00CE3451" w:rsidP="00CE3451">
      <w:pPr>
        <w:spacing w:line="480" w:lineRule="auto"/>
        <w:jc w:val="both"/>
        <w:rPr>
          <w:lang w:val="en-GB"/>
        </w:rPr>
      </w:pPr>
      <w:r w:rsidRPr="000E47F7">
        <w:rPr>
          <w:lang w:val="en-GB"/>
        </w:rPr>
        <w:t xml:space="preserve">  </w:t>
      </w:r>
    </w:p>
    <w:p w14:paraId="3E11B9DD" w14:textId="71D92C50" w:rsidR="00CE3451" w:rsidRPr="000E47F7" w:rsidRDefault="00CE3451" w:rsidP="00CE3451">
      <w:pPr>
        <w:numPr>
          <w:ilvl w:val="0"/>
          <w:numId w:val="1"/>
        </w:numPr>
        <w:spacing w:line="480" w:lineRule="auto"/>
        <w:jc w:val="both"/>
        <w:rPr>
          <w:lang w:val="en-GB"/>
        </w:rPr>
      </w:pPr>
      <w:r w:rsidRPr="000E47F7">
        <w:rPr>
          <w:lang w:val="en-GB"/>
        </w:rPr>
        <w:t xml:space="preserve">It should be </w:t>
      </w:r>
      <w:r w:rsidR="00C841E8" w:rsidRPr="000E47F7">
        <w:rPr>
          <w:lang w:val="en-GB"/>
        </w:rPr>
        <w:t xml:space="preserve">stressed </w:t>
      </w:r>
      <w:r w:rsidRPr="000E47F7">
        <w:rPr>
          <w:lang w:val="en-GB"/>
        </w:rPr>
        <w:t xml:space="preserve">in the light of these comments that one of the features </w:t>
      </w:r>
      <w:r w:rsidR="00C841E8" w:rsidRPr="000E47F7">
        <w:rPr>
          <w:lang w:val="en-GB"/>
        </w:rPr>
        <w:t xml:space="preserve">of those cases </w:t>
      </w:r>
      <w:r w:rsidRPr="000E47F7">
        <w:rPr>
          <w:lang w:val="en-GB"/>
        </w:rPr>
        <w:t>was that the nature of the permissions granted to the</w:t>
      </w:r>
      <w:r w:rsidR="00C841E8" w:rsidRPr="000E47F7">
        <w:rPr>
          <w:lang w:val="en-GB"/>
        </w:rPr>
        <w:t xml:space="preserve"> applicants</w:t>
      </w:r>
      <w:r w:rsidRPr="000E47F7">
        <w:rPr>
          <w:lang w:val="en-GB"/>
        </w:rPr>
        <w:t xml:space="preserve">, and the terms on which and context in which those permissions were granted and were thereafter renewed from year to </w:t>
      </w:r>
      <w:r w:rsidRPr="000E47F7">
        <w:rPr>
          <w:lang w:val="en-GB"/>
        </w:rPr>
        <w:lastRenderedPageBreak/>
        <w:t>year</w:t>
      </w:r>
      <w:r w:rsidR="00CA0573" w:rsidRPr="000E47F7">
        <w:rPr>
          <w:lang w:val="en-GB"/>
        </w:rPr>
        <w:t>,</w:t>
      </w:r>
      <w:r w:rsidRPr="000E47F7">
        <w:rPr>
          <w:lang w:val="en-GB"/>
        </w:rPr>
        <w:t xml:space="preserve"> was</w:t>
      </w:r>
      <w:r w:rsidR="00C841E8" w:rsidRPr="000E47F7">
        <w:rPr>
          <w:lang w:val="en-GB"/>
        </w:rPr>
        <w:t xml:space="preserve"> such </w:t>
      </w:r>
      <w:r w:rsidRPr="000E47F7">
        <w:rPr>
          <w:lang w:val="en-GB"/>
        </w:rPr>
        <w:t xml:space="preserve">that the applicants </w:t>
      </w:r>
      <w:r w:rsidR="00C841E8" w:rsidRPr="000E47F7">
        <w:rPr>
          <w:lang w:val="en-GB"/>
        </w:rPr>
        <w:t>might</w:t>
      </w:r>
      <w:r w:rsidR="00E0338A" w:rsidRPr="000E47F7">
        <w:rPr>
          <w:lang w:val="en-GB"/>
        </w:rPr>
        <w:t>,</w:t>
      </w:r>
      <w:r w:rsidRPr="000E47F7">
        <w:rPr>
          <w:lang w:val="en-GB"/>
        </w:rPr>
        <w:t xml:space="preserve"> while </w:t>
      </w:r>
      <w:r w:rsidR="00C841E8" w:rsidRPr="000E47F7">
        <w:rPr>
          <w:lang w:val="en-GB"/>
        </w:rPr>
        <w:t xml:space="preserve">lawfully </w:t>
      </w:r>
      <w:r w:rsidRPr="000E47F7">
        <w:rPr>
          <w:lang w:val="en-GB"/>
        </w:rPr>
        <w:t>residing here</w:t>
      </w:r>
      <w:r w:rsidR="00E0338A" w:rsidRPr="000E47F7">
        <w:rPr>
          <w:lang w:val="en-GB"/>
        </w:rPr>
        <w:t>,</w:t>
      </w:r>
      <w:r w:rsidRPr="000E47F7">
        <w:rPr>
          <w:lang w:val="en-GB"/>
        </w:rPr>
        <w:t xml:space="preserve"> establish such links and connections with the jurisdiction</w:t>
      </w:r>
      <w:r w:rsidR="006F3840" w:rsidRPr="000E47F7">
        <w:rPr>
          <w:lang w:val="en-GB"/>
        </w:rPr>
        <w:t xml:space="preserve">.  </w:t>
      </w:r>
      <w:r w:rsidR="000F5E51" w:rsidRPr="000E47F7">
        <w:rPr>
          <w:lang w:val="en-GB"/>
        </w:rPr>
        <w:t xml:space="preserve">This </w:t>
      </w:r>
      <w:r w:rsidR="006F3840" w:rsidRPr="000E47F7">
        <w:rPr>
          <w:lang w:val="en-GB"/>
        </w:rPr>
        <w:t xml:space="preserve">factor </w:t>
      </w:r>
      <w:r w:rsidR="000F5E51" w:rsidRPr="000E47F7">
        <w:rPr>
          <w:lang w:val="en-GB"/>
        </w:rPr>
        <w:t xml:space="preserve">pointed to </w:t>
      </w:r>
      <w:r w:rsidRPr="000E47F7">
        <w:rPr>
          <w:lang w:val="en-GB"/>
        </w:rPr>
        <w:t xml:space="preserve">such an assessment </w:t>
      </w:r>
      <w:r w:rsidR="000F5E51" w:rsidRPr="000E47F7">
        <w:rPr>
          <w:lang w:val="en-GB"/>
        </w:rPr>
        <w:t xml:space="preserve">being required </w:t>
      </w:r>
      <w:r w:rsidRPr="000E47F7">
        <w:rPr>
          <w:lang w:val="en-GB"/>
        </w:rPr>
        <w:t>before a material alteration to their status would be imposed.</w:t>
      </w:r>
    </w:p>
    <w:p w14:paraId="4914343E" w14:textId="77777777" w:rsidR="00CE3451" w:rsidRPr="000E47F7" w:rsidRDefault="00CE3451" w:rsidP="00CE3451">
      <w:pPr>
        <w:spacing w:line="480" w:lineRule="auto"/>
        <w:jc w:val="both"/>
        <w:rPr>
          <w:lang w:val="en-GB"/>
        </w:rPr>
      </w:pPr>
      <w:r w:rsidRPr="000E47F7">
        <w:rPr>
          <w:lang w:val="en-GB"/>
        </w:rPr>
        <w:t xml:space="preserve">  </w:t>
      </w:r>
    </w:p>
    <w:p w14:paraId="63BA658E" w14:textId="65398255" w:rsidR="00837791" w:rsidRPr="000E47F7" w:rsidRDefault="00CE3451" w:rsidP="007C0FAC">
      <w:pPr>
        <w:numPr>
          <w:ilvl w:val="0"/>
          <w:numId w:val="1"/>
        </w:numPr>
        <w:spacing w:line="480" w:lineRule="auto"/>
        <w:jc w:val="both"/>
        <w:rPr>
          <w:lang w:val="en-GB"/>
        </w:rPr>
      </w:pPr>
      <w:r w:rsidRPr="000E47F7">
        <w:rPr>
          <w:lang w:val="en-GB"/>
        </w:rPr>
        <w:t xml:space="preserve">The third feature of the case is the most obvious and the most important.  The Court’s conclusions that the applicants’ cases presented circumstances in which the Minister was obliged to conduct an assessment </w:t>
      </w:r>
      <w:r w:rsidR="000F5E51" w:rsidRPr="000E47F7">
        <w:rPr>
          <w:lang w:val="en-GB"/>
        </w:rPr>
        <w:t xml:space="preserve">at the point of making a renewal or variation decision </w:t>
      </w:r>
      <w:r w:rsidRPr="000E47F7">
        <w:rPr>
          <w:lang w:val="en-GB"/>
        </w:rPr>
        <w:t>was grounded exclusively on the reach of the jurisprudence of the European Court of Human Rights</w:t>
      </w:r>
      <w:r w:rsidR="00E0338A" w:rsidRPr="000E47F7">
        <w:rPr>
          <w:lang w:val="en-GB"/>
        </w:rPr>
        <w:t xml:space="preserve"> (‘the Strasbourg Court’)</w:t>
      </w:r>
      <w:r w:rsidRPr="000E47F7">
        <w:rPr>
          <w:lang w:val="en-GB"/>
        </w:rPr>
        <w:t>.  The question of whether there was such an obligation thus falls to be addressed in the light of the precise nature and extent of the Article 8 right envisaged by the jurisprudence of that Court and, specifically, whether there is any version of that case law by which it could be said to extend to a person in the position of the applicant.  By ‘person in the position of the applicant’</w:t>
      </w:r>
      <w:r w:rsidR="00837791" w:rsidRPr="000E47F7">
        <w:rPr>
          <w:lang w:val="en-GB"/>
        </w:rPr>
        <w:t xml:space="preserve"> </w:t>
      </w:r>
      <w:r w:rsidR="00D70BE9" w:rsidRPr="000E47F7">
        <w:rPr>
          <w:lang w:val="en-GB"/>
        </w:rPr>
        <w:t xml:space="preserve">we </w:t>
      </w:r>
      <w:r w:rsidRPr="000E47F7">
        <w:rPr>
          <w:lang w:val="en-GB"/>
        </w:rPr>
        <w:t>should state</w:t>
      </w:r>
      <w:r w:rsidR="00837791" w:rsidRPr="000E47F7">
        <w:rPr>
          <w:lang w:val="en-GB"/>
        </w:rPr>
        <w:t xml:space="preserve"> </w:t>
      </w:r>
      <w:r w:rsidR="00D70BE9" w:rsidRPr="000E47F7">
        <w:rPr>
          <w:lang w:val="en-GB"/>
        </w:rPr>
        <w:t xml:space="preserve">we </w:t>
      </w:r>
      <w:r w:rsidRPr="000E47F7">
        <w:rPr>
          <w:lang w:val="en-GB"/>
        </w:rPr>
        <w:t>mean a person who has arrived in the State on a visitor’s visa</w:t>
      </w:r>
      <w:r w:rsidR="00E0338A" w:rsidRPr="000E47F7">
        <w:rPr>
          <w:lang w:val="en-GB"/>
        </w:rPr>
        <w:t xml:space="preserve">, </w:t>
      </w:r>
      <w:r w:rsidRPr="000E47F7">
        <w:rPr>
          <w:lang w:val="en-GB"/>
        </w:rPr>
        <w:t>who undertook to leave the State on the expiry of that visa on seeking it, and who determined to apply on the last day of that visa to remain as a long term resident on the basis of family law rights</w:t>
      </w:r>
      <w:r w:rsidR="000F5E51" w:rsidRPr="000E47F7">
        <w:rPr>
          <w:lang w:val="en-GB"/>
        </w:rPr>
        <w:t xml:space="preserve"> asserted to </w:t>
      </w:r>
      <w:r w:rsidRPr="000E47F7">
        <w:rPr>
          <w:lang w:val="en-GB"/>
        </w:rPr>
        <w:t>deriv</w:t>
      </w:r>
      <w:r w:rsidR="000F5E51" w:rsidRPr="000E47F7">
        <w:rPr>
          <w:lang w:val="en-GB"/>
        </w:rPr>
        <w:t xml:space="preserve">e </w:t>
      </w:r>
      <w:r w:rsidRPr="000E47F7">
        <w:rPr>
          <w:lang w:val="en-GB"/>
        </w:rPr>
        <w:t xml:space="preserve">from her presence </w:t>
      </w:r>
      <w:r w:rsidR="000F5E51" w:rsidRPr="000E47F7">
        <w:rPr>
          <w:lang w:val="en-GB"/>
        </w:rPr>
        <w:t xml:space="preserve">in the State </w:t>
      </w:r>
      <w:r w:rsidRPr="000E47F7">
        <w:rPr>
          <w:lang w:val="en-GB"/>
        </w:rPr>
        <w:t>over the preceding ninety days.</w:t>
      </w:r>
      <w:bookmarkStart w:id="2" w:name="_Hlk64636971"/>
    </w:p>
    <w:p w14:paraId="40B4CD1D" w14:textId="77777777" w:rsidR="00C67B5A" w:rsidRPr="000E47F7" w:rsidRDefault="00C67B5A" w:rsidP="00C67B5A">
      <w:pPr>
        <w:spacing w:line="480" w:lineRule="auto"/>
        <w:jc w:val="both"/>
        <w:rPr>
          <w:lang w:val="en-GB"/>
        </w:rPr>
      </w:pPr>
    </w:p>
    <w:p w14:paraId="12FFEB77" w14:textId="12A40A5B" w:rsidR="00C67B5A" w:rsidRPr="000E47F7" w:rsidRDefault="00C9611F" w:rsidP="00C67B5A">
      <w:pPr>
        <w:rPr>
          <w:b/>
          <w:i/>
          <w:lang w:val="en-GB"/>
        </w:rPr>
      </w:pPr>
      <w:r w:rsidRPr="000E47F7">
        <w:rPr>
          <w:b/>
          <w:i/>
          <w:lang w:val="en-GB"/>
        </w:rPr>
        <w:t>T</w:t>
      </w:r>
      <w:r w:rsidR="00C67B5A" w:rsidRPr="000E47F7">
        <w:rPr>
          <w:b/>
          <w:i/>
          <w:lang w:val="en-GB"/>
        </w:rPr>
        <w:t>he scope of the appeal</w:t>
      </w:r>
    </w:p>
    <w:p w14:paraId="466303C7" w14:textId="77777777" w:rsidR="00C67B5A" w:rsidRPr="000E47F7" w:rsidRDefault="00C67B5A" w:rsidP="00C67B5A">
      <w:pPr>
        <w:rPr>
          <w:b/>
          <w:i/>
          <w:lang w:val="en-GB"/>
        </w:rPr>
      </w:pPr>
    </w:p>
    <w:p w14:paraId="00D6F220" w14:textId="77777777" w:rsidR="00837791" w:rsidRPr="000E47F7" w:rsidRDefault="00837791" w:rsidP="00837791">
      <w:pPr>
        <w:pStyle w:val="ListParagraph"/>
        <w:rPr>
          <w:lang w:val="en-GB"/>
        </w:rPr>
      </w:pPr>
    </w:p>
    <w:p w14:paraId="3A0D96C9" w14:textId="21615A4E" w:rsidR="00247F9A" w:rsidRPr="000E47F7" w:rsidRDefault="00CA0573" w:rsidP="003425C2">
      <w:pPr>
        <w:numPr>
          <w:ilvl w:val="0"/>
          <w:numId w:val="1"/>
        </w:numPr>
        <w:spacing w:line="480" w:lineRule="auto"/>
        <w:jc w:val="both"/>
        <w:rPr>
          <w:lang w:val="en-GB"/>
        </w:rPr>
      </w:pPr>
      <w:r w:rsidRPr="000E47F7">
        <w:rPr>
          <w:lang w:val="en-GB"/>
        </w:rPr>
        <w:t xml:space="preserve">Before </w:t>
      </w:r>
      <w:r w:rsidR="00E0338A" w:rsidRPr="000E47F7">
        <w:rPr>
          <w:lang w:val="en-GB"/>
        </w:rPr>
        <w:t xml:space="preserve">considering </w:t>
      </w:r>
      <w:r w:rsidRPr="000E47F7">
        <w:rPr>
          <w:lang w:val="en-GB"/>
        </w:rPr>
        <w:t xml:space="preserve">the reach of the jurisprudence of the </w:t>
      </w:r>
      <w:r w:rsidR="00E0338A" w:rsidRPr="000E47F7">
        <w:rPr>
          <w:lang w:val="en-GB"/>
        </w:rPr>
        <w:t>Strasbourg Court</w:t>
      </w:r>
      <w:r w:rsidRPr="000E47F7">
        <w:rPr>
          <w:lang w:val="en-GB"/>
        </w:rPr>
        <w:t xml:space="preserve"> in the context of th</w:t>
      </w:r>
      <w:r w:rsidR="00F40007" w:rsidRPr="000E47F7">
        <w:rPr>
          <w:lang w:val="en-GB"/>
        </w:rPr>
        <w:t>e facts in this case,</w:t>
      </w:r>
      <w:r w:rsidRPr="000E47F7">
        <w:rPr>
          <w:lang w:val="en-GB"/>
        </w:rPr>
        <w:t xml:space="preserve"> </w:t>
      </w:r>
      <w:r w:rsidR="0074426F" w:rsidRPr="000E47F7">
        <w:t>an observation on the scope of the appeal is apposite.</w:t>
      </w:r>
      <w:r w:rsidR="003425C2" w:rsidRPr="000E47F7">
        <w:t xml:space="preserve">   </w:t>
      </w:r>
      <w:r w:rsidR="000A4CA2" w:rsidRPr="000E47F7">
        <w:t>I</w:t>
      </w:r>
      <w:r w:rsidR="003425C2" w:rsidRPr="000E47F7">
        <w:t xml:space="preserve">n </w:t>
      </w:r>
      <w:r w:rsidR="00F26877" w:rsidRPr="000E47F7">
        <w:t>the letter</w:t>
      </w:r>
      <w:r w:rsidR="003425C2" w:rsidRPr="000E47F7">
        <w:t xml:space="preserve"> </w:t>
      </w:r>
      <w:r w:rsidR="00F26877" w:rsidRPr="000E47F7">
        <w:t>of</w:t>
      </w:r>
      <w:r w:rsidR="003425C2" w:rsidRPr="000E47F7">
        <w:t xml:space="preserve"> 13 February 2014 </w:t>
      </w:r>
      <w:r w:rsidR="00F26877" w:rsidRPr="000E47F7">
        <w:t>(see para. 2 (v</w:t>
      </w:r>
      <w:r w:rsidR="00236106" w:rsidRPr="000E47F7">
        <w:t>i</w:t>
      </w:r>
      <w:r w:rsidR="00F26877" w:rsidRPr="000E47F7">
        <w:t xml:space="preserve">) above) </w:t>
      </w:r>
      <w:r w:rsidR="00B5028B" w:rsidRPr="000E47F7">
        <w:t>the applicant’s</w:t>
      </w:r>
      <w:r w:rsidR="003425C2" w:rsidRPr="000E47F7">
        <w:t xml:space="preserve"> solicitor </w:t>
      </w:r>
      <w:r w:rsidR="000A4CA2" w:rsidRPr="000E47F7">
        <w:t xml:space="preserve">referred </w:t>
      </w:r>
      <w:r w:rsidR="003425C2" w:rsidRPr="000E47F7">
        <w:t>to the State’s obligations pursuant to the provisions of Article 40 and 41 of the Constitution a</w:t>
      </w:r>
      <w:r w:rsidR="00F26877" w:rsidRPr="000E47F7">
        <w:t>s well as to</w:t>
      </w:r>
      <w:r w:rsidR="003425C2" w:rsidRPr="000E47F7">
        <w:t xml:space="preserve"> Article 8 of the Convention.  However,</w:t>
      </w:r>
      <w:r w:rsidR="00B5028B" w:rsidRPr="000E47F7">
        <w:t xml:space="preserve"> </w:t>
      </w:r>
      <w:r w:rsidR="000A4CA2" w:rsidRPr="000E47F7">
        <w:t xml:space="preserve">in </w:t>
      </w:r>
      <w:r w:rsidR="00B5028B" w:rsidRPr="000E47F7">
        <w:t xml:space="preserve">the </w:t>
      </w:r>
      <w:r w:rsidR="00F26877" w:rsidRPr="000E47F7">
        <w:t>O</w:t>
      </w:r>
      <w:r w:rsidR="003425C2" w:rsidRPr="000E47F7">
        <w:t>rder of the High Court dated 9 October 2017</w:t>
      </w:r>
      <w:r w:rsidR="00F26877" w:rsidRPr="000E47F7">
        <w:t xml:space="preserve"> granting leave to apply for judicial review</w:t>
      </w:r>
      <w:r w:rsidR="003425C2" w:rsidRPr="000E47F7">
        <w:t xml:space="preserve">, none of the reliefs in respect of which leave was </w:t>
      </w:r>
      <w:r w:rsidR="003425C2" w:rsidRPr="000E47F7">
        <w:lastRenderedPageBreak/>
        <w:t xml:space="preserve">granted </w:t>
      </w:r>
      <w:r w:rsidR="000A4CA2" w:rsidRPr="000E47F7">
        <w:t xml:space="preserve">contain </w:t>
      </w:r>
      <w:r w:rsidR="00B5028B" w:rsidRPr="000E47F7">
        <w:t>any reference t</w:t>
      </w:r>
      <w:r w:rsidR="00F26877" w:rsidRPr="000E47F7">
        <w:t>o the applicant’s</w:t>
      </w:r>
      <w:r w:rsidR="003425C2" w:rsidRPr="000E47F7">
        <w:t xml:space="preserve"> constitutional rights.  Damages were</w:t>
      </w:r>
      <w:r w:rsidR="00F26877" w:rsidRPr="000E47F7">
        <w:t xml:space="preserve"> </w:t>
      </w:r>
      <w:r w:rsidR="003425C2" w:rsidRPr="000E47F7">
        <w:t>sought</w:t>
      </w:r>
      <w:r w:rsidR="00B5028B" w:rsidRPr="000E47F7">
        <w:t xml:space="preserve">, specifically, </w:t>
      </w:r>
      <w:r w:rsidR="003425C2" w:rsidRPr="000E47F7">
        <w:t xml:space="preserve">pursuant to s. 3(2) of the European Convention on Human Rights Act, 2003.   </w:t>
      </w:r>
      <w:r w:rsidR="000A4CA2" w:rsidRPr="000E47F7">
        <w:t>The re</w:t>
      </w:r>
      <w:r w:rsidR="003425C2" w:rsidRPr="000E47F7">
        <w:t>-amended Statement of Grounds dated 12 December 2018 on which the judicial review proceeded refers only to the Minister’s refusal being in breach of duty</w:t>
      </w:r>
      <w:r w:rsidR="001247D9" w:rsidRPr="000E47F7">
        <w:t>, including,</w:t>
      </w:r>
      <w:r w:rsidR="003425C2" w:rsidRPr="000E47F7">
        <w:t xml:space="preserve"> the duty imposed pursuant to s. 3 of the </w:t>
      </w:r>
      <w:r w:rsidR="00B5028B" w:rsidRPr="000E47F7">
        <w:t xml:space="preserve">2003 </w:t>
      </w:r>
      <w:r w:rsidR="003425C2" w:rsidRPr="000E47F7">
        <w:t>Act</w:t>
      </w:r>
      <w:r w:rsidR="00B5028B" w:rsidRPr="000E47F7">
        <w:t xml:space="preserve"> (see ground </w:t>
      </w:r>
      <w:r w:rsidR="00B5028B" w:rsidRPr="000E47F7">
        <w:rPr>
          <w:i/>
        </w:rPr>
        <w:t>(e)</w:t>
      </w:r>
      <w:r w:rsidR="00B5028B" w:rsidRPr="000E47F7">
        <w:t>)</w:t>
      </w:r>
      <w:r w:rsidR="003425C2" w:rsidRPr="000E47F7">
        <w:t>.</w:t>
      </w:r>
      <w:r w:rsidR="00C30A76" w:rsidRPr="000E47F7">
        <w:t xml:space="preserve">  </w:t>
      </w:r>
      <w:r w:rsidR="001247D9" w:rsidRPr="000E47F7">
        <w:t>The</w:t>
      </w:r>
      <w:r w:rsidR="00C30A76" w:rsidRPr="000E47F7">
        <w:t xml:space="preserve"> </w:t>
      </w:r>
      <w:r w:rsidR="001247D9" w:rsidRPr="000E47F7">
        <w:t>applicant’s</w:t>
      </w:r>
      <w:r w:rsidR="00C30A76" w:rsidRPr="000E47F7">
        <w:t xml:space="preserve"> submission</w:t>
      </w:r>
      <w:r w:rsidR="001247D9" w:rsidRPr="000E47F7">
        <w:t>s</w:t>
      </w:r>
      <w:r w:rsidR="00C30A76" w:rsidRPr="000E47F7">
        <w:t xml:space="preserve"> to the High Court confined the legal issues</w:t>
      </w:r>
      <w:r w:rsidR="001247D9" w:rsidRPr="000E47F7">
        <w:t xml:space="preserve"> </w:t>
      </w:r>
      <w:r w:rsidR="00C30A76" w:rsidRPr="000E47F7">
        <w:t xml:space="preserve">to a consideration of </w:t>
      </w:r>
      <w:r w:rsidR="000A4CA2" w:rsidRPr="000E47F7">
        <w:t xml:space="preserve">her </w:t>
      </w:r>
      <w:r w:rsidR="00C30A76" w:rsidRPr="000E47F7">
        <w:t>Article 8 rights</w:t>
      </w:r>
      <w:r w:rsidR="00626908" w:rsidRPr="000E47F7">
        <w:t>.</w:t>
      </w:r>
    </w:p>
    <w:p w14:paraId="365E74E9" w14:textId="77777777" w:rsidR="00247F9A" w:rsidRPr="000E47F7" w:rsidRDefault="00247F9A" w:rsidP="00247F9A">
      <w:pPr>
        <w:pStyle w:val="ListParagraph"/>
      </w:pPr>
    </w:p>
    <w:p w14:paraId="147A677E" w14:textId="2EC7C739" w:rsidR="000A4CA2" w:rsidRPr="000E47F7" w:rsidRDefault="000A4CA2" w:rsidP="000A4CA2">
      <w:pPr>
        <w:numPr>
          <w:ilvl w:val="0"/>
          <w:numId w:val="1"/>
        </w:numPr>
        <w:spacing w:line="480" w:lineRule="auto"/>
        <w:jc w:val="both"/>
        <w:rPr>
          <w:lang w:val="en-GB"/>
        </w:rPr>
      </w:pPr>
      <w:r w:rsidRPr="000E47F7">
        <w:t xml:space="preserve">Before this Court, counsel for the applicant made occasional references to her client’s family rights under </w:t>
      </w:r>
      <w:r w:rsidRPr="000E47F7">
        <w:rPr>
          <w:i/>
        </w:rPr>
        <w:t>both</w:t>
      </w:r>
      <w:r w:rsidRPr="000E47F7">
        <w:t xml:space="preserve"> the Constitution and the Convention.  Relying, for example, on </w:t>
      </w:r>
      <w:r w:rsidRPr="000E47F7">
        <w:rPr>
          <w:i/>
          <w:iCs/>
          <w:color w:val="2F2F2F"/>
        </w:rPr>
        <w:t>Gorry and Anor.  v. Minister for Justice and Equality and A B M v. Minister for Justice and Equality</w:t>
      </w:r>
      <w:r w:rsidRPr="000E47F7">
        <w:rPr>
          <w:color w:val="2F2F2F"/>
        </w:rPr>
        <w:t> [2020] IESC 55</w:t>
      </w:r>
      <w:r w:rsidRPr="000E47F7">
        <w:t xml:space="preserve"> (at para. 209), mention was made of the Minister</w:t>
      </w:r>
      <w:r w:rsidR="00F40007" w:rsidRPr="000E47F7">
        <w:t>’s obligation</w:t>
      </w:r>
      <w:r w:rsidRPr="000E47F7">
        <w:t xml:space="preserve"> to assess and consider the applicant’s constitutional rights.  Apart from such an occasional reference, the discrete question of the applicant’s constitutional rights - specifically, Article 40 or Article 41 - was not pursued during the appeal.   The focus of the applicant’s case was, undoubtedly and substantively, on Article 8 of the Convention and the alleged obligations which that provision imposes on the Minister when making a decision under s. 4(7) of the Act of 2004.  </w:t>
      </w:r>
    </w:p>
    <w:p w14:paraId="4132A714" w14:textId="77777777" w:rsidR="00C9611F" w:rsidRPr="000E47F7" w:rsidRDefault="00C9611F" w:rsidP="00EE0FCE">
      <w:pPr>
        <w:spacing w:line="480" w:lineRule="auto"/>
        <w:jc w:val="both"/>
        <w:rPr>
          <w:lang w:val="en-GB"/>
        </w:rPr>
      </w:pPr>
    </w:p>
    <w:p w14:paraId="42AD9D67" w14:textId="2874A036" w:rsidR="003425C2" w:rsidRPr="0022777D" w:rsidRDefault="003425C2" w:rsidP="003425C2">
      <w:pPr>
        <w:numPr>
          <w:ilvl w:val="0"/>
          <w:numId w:val="1"/>
        </w:numPr>
        <w:spacing w:line="480" w:lineRule="auto"/>
        <w:jc w:val="both"/>
        <w:rPr>
          <w:lang w:val="en-GB"/>
        </w:rPr>
      </w:pPr>
      <w:r w:rsidRPr="000E47F7">
        <w:t>In these circumstances</w:t>
      </w:r>
      <w:r w:rsidR="000A4CA2" w:rsidRPr="000E47F7">
        <w:t xml:space="preserve"> and in view of the</w:t>
      </w:r>
      <w:r w:rsidR="00F40007" w:rsidRPr="000E47F7">
        <w:t xml:space="preserve"> scope of</w:t>
      </w:r>
      <w:r w:rsidR="000A4CA2" w:rsidRPr="000E47F7">
        <w:t xml:space="preserve"> proceedings before the High Court</w:t>
      </w:r>
      <w:r w:rsidRPr="000E47F7">
        <w:t xml:space="preserve">, </w:t>
      </w:r>
      <w:r w:rsidR="000A4CA2" w:rsidRPr="000E47F7">
        <w:t>we consider that i</w:t>
      </w:r>
      <w:r w:rsidRPr="000E47F7">
        <w:t xml:space="preserve">nsofar as the Notice of Appeal refers to the trial judge’s failure to consider the applicant’s family and personal rights protected under the Constitution, such </w:t>
      </w:r>
      <w:r w:rsidR="007A02BB" w:rsidRPr="000E47F7">
        <w:t xml:space="preserve">a claim is </w:t>
      </w:r>
      <w:r w:rsidRPr="000E47F7">
        <w:t xml:space="preserve">not properly before this Court.   For that reason, this judgment </w:t>
      </w:r>
      <w:r w:rsidR="007A02BB" w:rsidRPr="000E47F7">
        <w:t>considers only</w:t>
      </w:r>
      <w:r w:rsidRPr="000E47F7">
        <w:t xml:space="preserve"> the claims made by the applicant in respect of Article 8 of the Convention.  </w:t>
      </w:r>
    </w:p>
    <w:p w14:paraId="462F80DB" w14:textId="77777777" w:rsidR="0022777D" w:rsidRDefault="0022777D" w:rsidP="0022777D">
      <w:pPr>
        <w:pStyle w:val="ListParagraph"/>
        <w:rPr>
          <w:lang w:val="en-GB"/>
        </w:rPr>
      </w:pPr>
    </w:p>
    <w:p w14:paraId="1D32F00A" w14:textId="276F2781" w:rsidR="0022777D" w:rsidRDefault="0022777D" w:rsidP="0022777D">
      <w:pPr>
        <w:spacing w:line="480" w:lineRule="auto"/>
        <w:jc w:val="both"/>
        <w:rPr>
          <w:lang w:val="en-GB"/>
        </w:rPr>
      </w:pPr>
    </w:p>
    <w:p w14:paraId="6E4B4073" w14:textId="77777777" w:rsidR="0022777D" w:rsidRPr="000E47F7" w:rsidRDefault="0022777D" w:rsidP="0022777D">
      <w:pPr>
        <w:spacing w:line="480" w:lineRule="auto"/>
        <w:jc w:val="both"/>
        <w:rPr>
          <w:lang w:val="en-GB"/>
        </w:rPr>
      </w:pPr>
    </w:p>
    <w:p w14:paraId="52FDE69C" w14:textId="132D0F38" w:rsidR="00194546" w:rsidRPr="000E47F7" w:rsidRDefault="00194546" w:rsidP="003425C2">
      <w:pPr>
        <w:spacing w:line="480" w:lineRule="auto"/>
        <w:jc w:val="both"/>
        <w:rPr>
          <w:lang w:val="en-GB"/>
        </w:rPr>
      </w:pPr>
    </w:p>
    <w:p w14:paraId="7184E07C" w14:textId="77777777" w:rsidR="00614502" w:rsidRPr="000E47F7" w:rsidRDefault="00614502" w:rsidP="00614502">
      <w:pPr>
        <w:pStyle w:val="ListParagraph"/>
        <w:rPr>
          <w:lang w:val="en-GB"/>
        </w:rPr>
      </w:pPr>
    </w:p>
    <w:p w14:paraId="11A4F1E1" w14:textId="77777777" w:rsidR="00614502" w:rsidRPr="000E47F7" w:rsidRDefault="00614502" w:rsidP="00614502">
      <w:pPr>
        <w:spacing w:line="480" w:lineRule="auto"/>
        <w:jc w:val="both"/>
        <w:rPr>
          <w:b/>
          <w:lang w:val="en-GB"/>
        </w:rPr>
      </w:pPr>
      <w:r w:rsidRPr="000E47F7">
        <w:rPr>
          <w:b/>
          <w:i/>
        </w:rPr>
        <w:t xml:space="preserve">The </w:t>
      </w:r>
      <w:r w:rsidR="00C92633" w:rsidRPr="000E47F7">
        <w:rPr>
          <w:b/>
          <w:i/>
        </w:rPr>
        <w:t>r</w:t>
      </w:r>
      <w:r w:rsidR="00194546" w:rsidRPr="000E47F7">
        <w:rPr>
          <w:b/>
          <w:i/>
        </w:rPr>
        <w:t xml:space="preserve">each of the </w:t>
      </w:r>
      <w:r w:rsidR="00C92633" w:rsidRPr="000E47F7">
        <w:rPr>
          <w:b/>
          <w:i/>
        </w:rPr>
        <w:t>case law</w:t>
      </w:r>
      <w:r w:rsidRPr="000E47F7">
        <w:rPr>
          <w:b/>
          <w:i/>
        </w:rPr>
        <w:t xml:space="preserve"> of the European Court of Human Rights </w:t>
      </w:r>
    </w:p>
    <w:p w14:paraId="7FE00FE3" w14:textId="77777777" w:rsidR="00614502" w:rsidRPr="000E47F7" w:rsidRDefault="00614502" w:rsidP="00614502">
      <w:pPr>
        <w:pStyle w:val="ListParagraph"/>
      </w:pPr>
    </w:p>
    <w:bookmarkEnd w:id="2"/>
    <w:p w14:paraId="79E2C0A7" w14:textId="33C7ECB3" w:rsidR="00C841E8" w:rsidRPr="000E47F7" w:rsidRDefault="00B55EC8" w:rsidP="00C94FDA">
      <w:pPr>
        <w:pStyle w:val="ListParagraph"/>
        <w:numPr>
          <w:ilvl w:val="0"/>
          <w:numId w:val="1"/>
        </w:numPr>
        <w:spacing w:line="480" w:lineRule="auto"/>
        <w:jc w:val="both"/>
        <w:rPr>
          <w:lang w:val="en-GB"/>
        </w:rPr>
      </w:pPr>
      <w:r w:rsidRPr="000E47F7">
        <w:t>It appears to us difficult to sustain t</w:t>
      </w:r>
      <w:r w:rsidR="00C94FDA" w:rsidRPr="000E47F7">
        <w:t xml:space="preserve">he contention that Strasbourg case law imposes upon the Minister an obligation to assess </w:t>
      </w:r>
      <w:r w:rsidR="00F43203" w:rsidRPr="000E47F7">
        <w:t xml:space="preserve">the </w:t>
      </w:r>
      <w:r w:rsidR="00C94FDA" w:rsidRPr="000E47F7">
        <w:t xml:space="preserve">Article 8 rights </w:t>
      </w:r>
      <w:r w:rsidR="00F43203" w:rsidRPr="000E47F7">
        <w:t xml:space="preserve">of </w:t>
      </w:r>
      <w:r w:rsidR="00832F0E" w:rsidRPr="000E47F7">
        <w:t xml:space="preserve">a </w:t>
      </w:r>
      <w:r w:rsidR="00C94FDA" w:rsidRPr="000E47F7">
        <w:t xml:space="preserve">person </w:t>
      </w:r>
      <w:r w:rsidR="00F43203" w:rsidRPr="000E47F7">
        <w:t xml:space="preserve">in the position of the applicant (see para. 33) when making a decision under s. 4(7) of the Act of 2004.  </w:t>
      </w:r>
      <w:r w:rsidR="00E8522B" w:rsidRPr="000E47F7">
        <w:t>Cases that involve both immigration and family life, tend to fall into c</w:t>
      </w:r>
      <w:r w:rsidR="00F43203" w:rsidRPr="000E47F7">
        <w:t xml:space="preserve">ertain </w:t>
      </w:r>
      <w:r w:rsidR="00E8522B" w:rsidRPr="000E47F7">
        <w:t xml:space="preserve">identifiable </w:t>
      </w:r>
      <w:r w:rsidR="00F43203" w:rsidRPr="000E47F7">
        <w:t xml:space="preserve">categories </w:t>
      </w:r>
      <w:r w:rsidR="00E8522B" w:rsidRPr="000E47F7">
        <w:t>in the applications that are made to the Strasbourg Court</w:t>
      </w:r>
      <w:r w:rsidR="00C94FDA" w:rsidRPr="000E47F7">
        <w:t xml:space="preserve">. </w:t>
      </w:r>
      <w:r w:rsidR="00C841E8" w:rsidRPr="000E47F7">
        <w:rPr>
          <w:lang w:val="en-GB"/>
        </w:rPr>
        <w:t xml:space="preserve"> </w:t>
      </w:r>
    </w:p>
    <w:p w14:paraId="0B05CC7E" w14:textId="77777777" w:rsidR="00C841E8" w:rsidRPr="000E47F7" w:rsidRDefault="00C841E8" w:rsidP="00E158DB">
      <w:pPr>
        <w:pStyle w:val="ListParagraph"/>
        <w:spacing w:line="480" w:lineRule="auto"/>
        <w:ind w:left="0"/>
        <w:jc w:val="both"/>
        <w:rPr>
          <w:lang w:val="en-GB"/>
        </w:rPr>
      </w:pPr>
    </w:p>
    <w:p w14:paraId="4B825E0A" w14:textId="64EAA290" w:rsidR="007F1806" w:rsidRPr="000E47F7" w:rsidRDefault="00C94FDA" w:rsidP="00E74276">
      <w:pPr>
        <w:pStyle w:val="ListParagraph"/>
        <w:numPr>
          <w:ilvl w:val="0"/>
          <w:numId w:val="1"/>
        </w:numPr>
        <w:spacing w:line="480" w:lineRule="auto"/>
        <w:jc w:val="both"/>
      </w:pPr>
      <w:r w:rsidRPr="000E47F7">
        <w:t>First, there are those cases in which a State seeks to terminate the lawful residence of a settled migrant</w:t>
      </w:r>
      <w:r w:rsidR="00036838" w:rsidRPr="000E47F7">
        <w:t>.  The</w:t>
      </w:r>
      <w:r w:rsidRPr="000E47F7">
        <w:t xml:space="preserve"> </w:t>
      </w:r>
      <w:r w:rsidR="0036279A">
        <w:t>c</w:t>
      </w:r>
      <w:r w:rsidRPr="000E47F7">
        <w:t xml:space="preserve">ourt </w:t>
      </w:r>
      <w:r w:rsidR="00036838" w:rsidRPr="000E47F7">
        <w:t xml:space="preserve">approaches </w:t>
      </w:r>
      <w:r w:rsidRPr="000E47F7">
        <w:t>such</w:t>
      </w:r>
      <w:r w:rsidR="00832F0E" w:rsidRPr="000E47F7">
        <w:t xml:space="preserve"> a</w:t>
      </w:r>
      <w:r w:rsidRPr="000E47F7">
        <w:t xml:space="preserve"> termination </w:t>
      </w:r>
      <w:r w:rsidR="00832F0E" w:rsidRPr="000E47F7">
        <w:t>as</w:t>
      </w:r>
      <w:r w:rsidRPr="000E47F7">
        <w:t xml:space="preserve"> an </w:t>
      </w:r>
      <w:r w:rsidR="00036838" w:rsidRPr="000E47F7">
        <w:t>‘</w:t>
      </w:r>
      <w:r w:rsidRPr="000E47F7">
        <w:t>interference</w:t>
      </w:r>
      <w:r w:rsidR="00036838" w:rsidRPr="000E47F7">
        <w:t>’</w:t>
      </w:r>
      <w:r w:rsidRPr="000E47F7">
        <w:t xml:space="preserve"> with the right to respect for family life</w:t>
      </w:r>
      <w:r w:rsidR="00036838" w:rsidRPr="000E47F7">
        <w:t>.  It</w:t>
      </w:r>
      <w:r w:rsidR="00E8522B" w:rsidRPr="000E47F7">
        <w:t xml:space="preserve"> </w:t>
      </w:r>
      <w:r w:rsidRPr="000E47F7">
        <w:t>consider</w:t>
      </w:r>
      <w:r w:rsidR="00E8522B" w:rsidRPr="000E47F7">
        <w:t xml:space="preserve">s </w:t>
      </w:r>
      <w:r w:rsidRPr="000E47F7">
        <w:t xml:space="preserve">whether the State </w:t>
      </w:r>
      <w:r w:rsidR="00E8522B" w:rsidRPr="000E47F7">
        <w:t>is</w:t>
      </w:r>
      <w:r w:rsidRPr="000E47F7">
        <w:t xml:space="preserve"> under a </w:t>
      </w:r>
      <w:r w:rsidRPr="000E47F7">
        <w:rPr>
          <w:i/>
        </w:rPr>
        <w:t>negative obligation</w:t>
      </w:r>
      <w:r w:rsidRPr="000E47F7">
        <w:t xml:space="preserve"> to refrain from</w:t>
      </w:r>
      <w:r w:rsidR="00036838" w:rsidRPr="000E47F7">
        <w:t xml:space="preserve"> </w:t>
      </w:r>
      <w:r w:rsidRPr="000E47F7">
        <w:t xml:space="preserve">interfering with the </w:t>
      </w:r>
      <w:r w:rsidR="00E8522B" w:rsidRPr="000E47F7">
        <w:t>protected right</w:t>
      </w:r>
      <w:r w:rsidR="00036838" w:rsidRPr="000E47F7">
        <w:t xml:space="preserve">.  </w:t>
      </w:r>
      <w:r w:rsidR="00036838" w:rsidRPr="000E47F7">
        <w:rPr>
          <w:i/>
        </w:rPr>
        <w:t xml:space="preserve">Boultif v. Switzerland </w:t>
      </w:r>
      <w:r w:rsidR="00036838" w:rsidRPr="000E47F7">
        <w:t xml:space="preserve">(App. No. 54273/00) (2001) 33 E.H.R.R. 50 is a landmark case on point.  </w:t>
      </w:r>
    </w:p>
    <w:p w14:paraId="635E7EDF" w14:textId="77777777" w:rsidR="007F1806" w:rsidRPr="000E47F7" w:rsidRDefault="007F1806" w:rsidP="007F1806">
      <w:pPr>
        <w:pStyle w:val="ListParagraph"/>
      </w:pPr>
    </w:p>
    <w:p w14:paraId="1355633F" w14:textId="6B7E9B01" w:rsidR="001C0137" w:rsidRPr="000E47F7" w:rsidRDefault="00C94FDA" w:rsidP="001C0137">
      <w:pPr>
        <w:pStyle w:val="ListParagraph"/>
        <w:numPr>
          <w:ilvl w:val="0"/>
          <w:numId w:val="1"/>
        </w:numPr>
        <w:spacing w:line="480" w:lineRule="auto"/>
        <w:jc w:val="both"/>
      </w:pPr>
      <w:r w:rsidRPr="000E47F7">
        <w:t>Second, there are those cases in which</w:t>
      </w:r>
      <w:r w:rsidR="00926E4C" w:rsidRPr="000E47F7">
        <w:t xml:space="preserve"> </w:t>
      </w:r>
      <w:r w:rsidRPr="000E47F7">
        <w:t xml:space="preserve">there </w:t>
      </w:r>
      <w:r w:rsidR="00926E4C" w:rsidRPr="000E47F7">
        <w:t>is no</w:t>
      </w:r>
      <w:r w:rsidRPr="000E47F7">
        <w:t xml:space="preserve"> ‘interference’ with the right to respect for family life because </w:t>
      </w:r>
      <w:r w:rsidR="00832F0E" w:rsidRPr="000E47F7">
        <w:t xml:space="preserve">the </w:t>
      </w:r>
      <w:r w:rsidRPr="000E47F7">
        <w:t>State</w:t>
      </w:r>
      <w:r w:rsidR="00C07F07" w:rsidRPr="000E47F7">
        <w:t xml:space="preserve"> will have</w:t>
      </w:r>
      <w:r w:rsidRPr="000E47F7">
        <w:t xml:space="preserve"> </w:t>
      </w:r>
      <w:r w:rsidR="00926E4C" w:rsidRPr="000E47F7">
        <w:t>exercise</w:t>
      </w:r>
      <w:r w:rsidR="00C07F07" w:rsidRPr="000E47F7">
        <w:t>d</w:t>
      </w:r>
      <w:r w:rsidR="00926E4C" w:rsidRPr="000E47F7">
        <w:t xml:space="preserve"> its</w:t>
      </w:r>
      <w:r w:rsidRPr="000E47F7">
        <w:t xml:space="preserve"> sovereign right to control immigration and will have refused permission to enter or reside within its territory.</w:t>
      </w:r>
      <w:r w:rsidR="00C07F07" w:rsidRPr="000E47F7">
        <w:t xml:space="preserve">  </w:t>
      </w:r>
      <w:r w:rsidRPr="000E47F7">
        <w:t xml:space="preserve"> </w:t>
      </w:r>
      <w:r w:rsidR="00832F0E" w:rsidRPr="000E47F7">
        <w:t xml:space="preserve">In these </w:t>
      </w:r>
      <w:r w:rsidR="00C07F07" w:rsidRPr="000E47F7">
        <w:t>cases,</w:t>
      </w:r>
      <w:r w:rsidR="00832F0E" w:rsidRPr="000E47F7">
        <w:t xml:space="preserve"> </w:t>
      </w:r>
      <w:r w:rsidRPr="000E47F7">
        <w:t xml:space="preserve">the </w:t>
      </w:r>
      <w:r w:rsidR="0036279A">
        <w:t>c</w:t>
      </w:r>
      <w:r w:rsidRPr="000E47F7">
        <w:t>ourt will sometimes ask whether</w:t>
      </w:r>
      <w:r w:rsidR="00832F0E" w:rsidRPr="000E47F7">
        <w:t xml:space="preserve">, notwithstanding the absence of an interference, </w:t>
      </w:r>
      <w:r w:rsidR="00C07F07" w:rsidRPr="000E47F7">
        <w:t xml:space="preserve">the State has a </w:t>
      </w:r>
      <w:r w:rsidR="00C07F07" w:rsidRPr="000E47F7">
        <w:rPr>
          <w:i/>
        </w:rPr>
        <w:t>positive obligation</w:t>
      </w:r>
      <w:r w:rsidR="00C07F07" w:rsidRPr="000E47F7">
        <w:t xml:space="preserve"> </w:t>
      </w:r>
      <w:r w:rsidRPr="000E47F7">
        <w:t>to allow the foreign</w:t>
      </w:r>
      <w:r w:rsidR="00C841E8" w:rsidRPr="000E47F7">
        <w:t xml:space="preserve"> national</w:t>
      </w:r>
      <w:r w:rsidRPr="000E47F7">
        <w:t xml:space="preserve"> concerned to enter and reside for the purpose of exercising family life</w:t>
      </w:r>
      <w:r w:rsidRPr="000E47F7">
        <w:rPr>
          <w:i/>
        </w:rPr>
        <w:t xml:space="preserve">.  </w:t>
      </w:r>
      <w:r w:rsidR="00EB70D9" w:rsidRPr="000E47F7">
        <w:rPr>
          <w:i/>
        </w:rPr>
        <w:t>Tuquabo-Tekle v. the Netherlands</w:t>
      </w:r>
      <w:r w:rsidR="00EB70D9" w:rsidRPr="000E47F7">
        <w:t xml:space="preserve"> (App. No. 60665/00) [2006] 1 F.L.R. 798; [2005] 3 F.C.R. 649</w:t>
      </w:r>
      <w:r w:rsidR="00C07F07" w:rsidRPr="000E47F7">
        <w:t xml:space="preserve"> and</w:t>
      </w:r>
      <w:r w:rsidR="00EB70D9" w:rsidRPr="000E47F7">
        <w:t xml:space="preserve"> </w:t>
      </w:r>
      <w:r w:rsidR="00EB70D9" w:rsidRPr="000E47F7">
        <w:rPr>
          <w:i/>
        </w:rPr>
        <w:t>Sen v. the Netherlands</w:t>
      </w:r>
      <w:r w:rsidR="00EB70D9" w:rsidRPr="000E47F7">
        <w:t xml:space="preserve"> (</w:t>
      </w:r>
      <w:r w:rsidR="008C7B7A" w:rsidRPr="000E47F7">
        <w:t>App.</w:t>
      </w:r>
      <w:r w:rsidR="00EB70D9" w:rsidRPr="000E47F7">
        <w:t xml:space="preserve"> </w:t>
      </w:r>
      <w:r w:rsidR="008C7B7A" w:rsidRPr="000E47F7">
        <w:t>N</w:t>
      </w:r>
      <w:r w:rsidR="00EB70D9" w:rsidRPr="000E47F7">
        <w:t xml:space="preserve">o. 31465/96) (2003) 36 E.H.R.R. 7 </w:t>
      </w:r>
      <w:r w:rsidRPr="000E47F7">
        <w:t>are examples of cases within this category.</w:t>
      </w:r>
      <w:r w:rsidR="00832F0E" w:rsidRPr="000E47F7">
        <w:t xml:space="preserve">  </w:t>
      </w:r>
      <w:r w:rsidR="001056C3" w:rsidRPr="000E47F7">
        <w:t xml:space="preserve">The applicants </w:t>
      </w:r>
      <w:r w:rsidR="00B55EC8" w:rsidRPr="000E47F7">
        <w:t xml:space="preserve">in each of these cases </w:t>
      </w:r>
      <w:r w:rsidR="001056C3" w:rsidRPr="000E47F7">
        <w:t>were lawfully resident in the Netherlands, but their children had</w:t>
      </w:r>
      <w:r w:rsidR="00AD4FD8" w:rsidRPr="000E47F7">
        <w:t xml:space="preserve"> remained in their countr</w:t>
      </w:r>
      <w:r w:rsidR="00444760" w:rsidRPr="000E47F7">
        <w:t>y</w:t>
      </w:r>
      <w:r w:rsidR="00AD4FD8" w:rsidRPr="000E47F7">
        <w:t xml:space="preserve"> of origin and had</w:t>
      </w:r>
      <w:r w:rsidR="001056C3" w:rsidRPr="000E47F7">
        <w:t xml:space="preserve"> been refused permission to join them.</w:t>
      </w:r>
    </w:p>
    <w:p w14:paraId="4DCD1272" w14:textId="77777777" w:rsidR="001C0137" w:rsidRPr="000E47F7" w:rsidRDefault="001C0137" w:rsidP="001C0137">
      <w:pPr>
        <w:pStyle w:val="ListParagraph"/>
      </w:pPr>
    </w:p>
    <w:p w14:paraId="74603497" w14:textId="632DF268" w:rsidR="001C0137" w:rsidRPr="000E47F7" w:rsidRDefault="00C94FDA" w:rsidP="001C0137">
      <w:pPr>
        <w:pStyle w:val="ListParagraph"/>
        <w:numPr>
          <w:ilvl w:val="0"/>
          <w:numId w:val="1"/>
        </w:numPr>
        <w:spacing w:line="480" w:lineRule="auto"/>
        <w:jc w:val="both"/>
      </w:pPr>
      <w:r w:rsidRPr="000E47F7">
        <w:lastRenderedPageBreak/>
        <w:t>Some argue that a third category of cases involving a ‘</w:t>
      </w:r>
      <w:r w:rsidRPr="000E47F7">
        <w:rPr>
          <w:i/>
        </w:rPr>
        <w:t>hybrid</w:t>
      </w:r>
      <w:r w:rsidRPr="000E47F7">
        <w:t>’ of negative and positive obligations</w:t>
      </w:r>
      <w:r w:rsidR="00832F0E" w:rsidRPr="000E47F7">
        <w:t xml:space="preserve"> exists</w:t>
      </w:r>
      <w:r w:rsidRPr="000E47F7">
        <w:t>.</w:t>
      </w:r>
      <w:r w:rsidRPr="000E47F7">
        <w:rPr>
          <w:rStyle w:val="FootnoteReference"/>
        </w:rPr>
        <w:footnoteReference w:id="2"/>
      </w:r>
      <w:r w:rsidRPr="000E47F7">
        <w:t xml:space="preserve">  </w:t>
      </w:r>
      <w:r w:rsidR="00832F0E" w:rsidRPr="000E47F7">
        <w:t>These</w:t>
      </w:r>
      <w:r w:rsidRPr="000E47F7">
        <w:t xml:space="preserve">, it is </w:t>
      </w:r>
      <w:r w:rsidR="00F87D8C" w:rsidRPr="000E47F7">
        <w:t>contended</w:t>
      </w:r>
      <w:r w:rsidRPr="000E47F7">
        <w:t xml:space="preserve">, cannot be considered as purely positive obligation cases </w:t>
      </w:r>
      <w:r w:rsidR="00397BD2" w:rsidRPr="000E47F7">
        <w:t xml:space="preserve">because </w:t>
      </w:r>
      <w:r w:rsidRPr="000E47F7">
        <w:t>the applicant will</w:t>
      </w:r>
      <w:r w:rsidR="00832F0E" w:rsidRPr="000E47F7">
        <w:t xml:space="preserve"> usually</w:t>
      </w:r>
      <w:r w:rsidRPr="000E47F7">
        <w:t xml:space="preserve"> have lived, unlawfully, for a long time in the host state and</w:t>
      </w:r>
      <w:r w:rsidR="00397BD2" w:rsidRPr="000E47F7">
        <w:t>,</w:t>
      </w:r>
      <w:r w:rsidRPr="000E47F7">
        <w:t xml:space="preserve"> thus</w:t>
      </w:r>
      <w:r w:rsidR="00397BD2" w:rsidRPr="000E47F7">
        <w:t>, realistically,</w:t>
      </w:r>
      <w:r w:rsidRPr="000E47F7">
        <w:t xml:space="preserve"> a removal </w:t>
      </w:r>
      <w:r w:rsidR="00832F0E" w:rsidRPr="000E47F7">
        <w:t xml:space="preserve">in such circumstances </w:t>
      </w:r>
      <w:r w:rsidRPr="000E47F7">
        <w:t xml:space="preserve">could be characterized as an ‘interference’.  </w:t>
      </w:r>
      <w:r w:rsidR="00832F0E" w:rsidRPr="000E47F7">
        <w:t>Here</w:t>
      </w:r>
      <w:r w:rsidRPr="000E47F7">
        <w:t xml:space="preserve">, the </w:t>
      </w:r>
      <w:r w:rsidR="0036279A">
        <w:t>c</w:t>
      </w:r>
      <w:r w:rsidRPr="000E47F7">
        <w:t>ourt</w:t>
      </w:r>
      <w:r w:rsidR="00A6429E" w:rsidRPr="000E47F7">
        <w:t xml:space="preserve">, generally, </w:t>
      </w:r>
      <w:r w:rsidRPr="000E47F7">
        <w:t>consider</w:t>
      </w:r>
      <w:r w:rsidR="00A6429E" w:rsidRPr="000E47F7">
        <w:t xml:space="preserve">s </w:t>
      </w:r>
      <w:r w:rsidRPr="000E47F7">
        <w:t xml:space="preserve">it </w:t>
      </w:r>
      <w:r w:rsidR="00832F0E" w:rsidRPr="000E47F7">
        <w:t>un</w:t>
      </w:r>
      <w:r w:rsidRPr="000E47F7">
        <w:t xml:space="preserve">necessary to choose between negative or positive obligations because, in any event, a fair balance must be struck between the competing interests involved. An example of </w:t>
      </w:r>
      <w:r w:rsidR="00A6429E" w:rsidRPr="000E47F7">
        <w:t>such a case</w:t>
      </w:r>
      <w:r w:rsidRPr="000E47F7">
        <w:t xml:space="preserve"> is </w:t>
      </w:r>
      <w:r w:rsidR="001C0137" w:rsidRPr="000E47F7">
        <w:rPr>
          <w:i/>
        </w:rPr>
        <w:t>Jeunesse v. the Netherlands</w:t>
      </w:r>
      <w:r w:rsidR="001C0137" w:rsidRPr="000E47F7">
        <w:t xml:space="preserve"> (App. no. 12738/10) (2015) 60 E.H.R.R. 17.</w:t>
      </w:r>
    </w:p>
    <w:p w14:paraId="0A430E99" w14:textId="77777777" w:rsidR="007A02BB" w:rsidRPr="000E47F7" w:rsidRDefault="007A02BB" w:rsidP="007A02BB">
      <w:pPr>
        <w:pStyle w:val="ListParagraph"/>
        <w:spacing w:line="480" w:lineRule="auto"/>
        <w:ind w:left="0"/>
        <w:jc w:val="both"/>
      </w:pPr>
    </w:p>
    <w:p w14:paraId="314B26FB" w14:textId="17D05922" w:rsidR="00614502" w:rsidRPr="000E47F7" w:rsidRDefault="00870FBE" w:rsidP="00C92633">
      <w:pPr>
        <w:numPr>
          <w:ilvl w:val="0"/>
          <w:numId w:val="1"/>
        </w:numPr>
        <w:spacing w:line="480" w:lineRule="auto"/>
        <w:jc w:val="both"/>
        <w:rPr>
          <w:rStyle w:val="sb8d990e2"/>
          <w:lang w:val="en-GB"/>
        </w:rPr>
      </w:pPr>
      <w:bookmarkStart w:id="3" w:name="_Hlk67319604"/>
      <w:r w:rsidRPr="000E47F7">
        <w:t>T</w:t>
      </w:r>
      <w:r w:rsidR="00614502" w:rsidRPr="000E47F7">
        <w:t xml:space="preserve">he Strasbourg Court has dealt with several cases in which </w:t>
      </w:r>
      <w:r w:rsidRPr="000E47F7">
        <w:t>the</w:t>
      </w:r>
      <w:r w:rsidR="00614502" w:rsidRPr="000E47F7">
        <w:t xml:space="preserve"> ‘host country’ </w:t>
      </w:r>
      <w:r w:rsidRPr="000E47F7">
        <w:t>operates</w:t>
      </w:r>
      <w:r w:rsidR="00614502" w:rsidRPr="000E47F7">
        <w:t xml:space="preserve"> broadly similar immigration procedures to those that exist in Irelan</w:t>
      </w:r>
      <w:r w:rsidRPr="000E47F7">
        <w:t>d</w:t>
      </w:r>
      <w:r w:rsidR="00B55EC8" w:rsidRPr="000E47F7">
        <w:t xml:space="preserve"> </w:t>
      </w:r>
      <w:r w:rsidRPr="000E47F7">
        <w:t>-</w:t>
      </w:r>
      <w:r w:rsidR="00B55EC8" w:rsidRPr="000E47F7">
        <w:t xml:space="preserve"> </w:t>
      </w:r>
      <w:r w:rsidRPr="000E47F7">
        <w:t xml:space="preserve">procedures </w:t>
      </w:r>
      <w:r w:rsidR="00614502" w:rsidRPr="000E47F7">
        <w:t>which</w:t>
      </w:r>
      <w:r w:rsidRPr="000E47F7">
        <w:t xml:space="preserve"> </w:t>
      </w:r>
      <w:r w:rsidR="00614502" w:rsidRPr="000E47F7">
        <w:t xml:space="preserve">require applications for long term residence </w:t>
      </w:r>
      <w:r w:rsidRPr="000E47F7">
        <w:t xml:space="preserve">to </w:t>
      </w:r>
      <w:r w:rsidR="00614502" w:rsidRPr="000E47F7">
        <w:t xml:space="preserve">be made from outside the State.  </w:t>
      </w:r>
      <w:bookmarkEnd w:id="3"/>
      <w:r w:rsidR="00112295" w:rsidRPr="000E47F7">
        <w:t>In</w:t>
      </w:r>
      <w:r w:rsidR="00614502" w:rsidRPr="000E47F7">
        <w:t xml:space="preserve"> </w:t>
      </w:r>
      <w:r w:rsidR="00E03F4B" w:rsidRPr="000E47F7">
        <w:rPr>
          <w:i/>
        </w:rPr>
        <w:t xml:space="preserve">M.E. v. Sweden </w:t>
      </w:r>
      <w:r w:rsidR="00E03F4B" w:rsidRPr="000E47F7">
        <w:rPr>
          <w:iCs/>
        </w:rPr>
        <w:t>(</w:t>
      </w:r>
      <w:r w:rsidR="00E03F4B" w:rsidRPr="000E47F7">
        <w:t>App. no. 71398/12) (Unreported, European Court of Human Rights, 8</w:t>
      </w:r>
      <w:r w:rsidR="004C4574" w:rsidRPr="000E47F7">
        <w:rPr>
          <w:vertAlign w:val="superscript"/>
        </w:rPr>
        <w:t xml:space="preserve"> </w:t>
      </w:r>
      <w:r w:rsidR="00E03F4B" w:rsidRPr="000E47F7">
        <w:t>April, 2015)</w:t>
      </w:r>
      <w:r w:rsidR="00614502" w:rsidRPr="000E47F7">
        <w:t xml:space="preserve">, </w:t>
      </w:r>
      <w:r w:rsidR="00112295" w:rsidRPr="000E47F7">
        <w:t xml:space="preserve">for example, </w:t>
      </w:r>
      <w:r w:rsidR="00614502" w:rsidRPr="000E47F7">
        <w:t xml:space="preserve">it was noted that the main rule in the relevant Swedish law (Aliens Act 2005, Chapter 5, Section 18) provides that an alien </w:t>
      </w:r>
      <w:r w:rsidR="00614502" w:rsidRPr="000E47F7">
        <w:rPr>
          <w:rStyle w:val="sb8d990e2"/>
          <w:color w:val="000000"/>
        </w:rPr>
        <w:t xml:space="preserve">who seeks a residence permit in Sweden </w:t>
      </w:r>
      <w:r w:rsidR="00354C79" w:rsidRPr="000E47F7">
        <w:rPr>
          <w:rStyle w:val="sb8d990e2"/>
          <w:color w:val="000000"/>
        </w:rPr>
        <w:t>based on</w:t>
      </w:r>
      <w:r w:rsidR="00614502" w:rsidRPr="000E47F7">
        <w:rPr>
          <w:rStyle w:val="sb8d990e2"/>
          <w:color w:val="000000"/>
        </w:rPr>
        <w:t xml:space="preserve"> family ties must have applied for and been granted such a permit before entering the country.  Similarly, in </w:t>
      </w:r>
      <w:r w:rsidR="00E03F4B" w:rsidRPr="000E47F7">
        <w:rPr>
          <w:rStyle w:val="sb8d990e2"/>
          <w:i/>
          <w:color w:val="000000"/>
        </w:rPr>
        <w:t>Chandra and Others v. the Netherlands</w:t>
      </w:r>
      <w:r w:rsidR="00E03F4B" w:rsidRPr="000E47F7">
        <w:rPr>
          <w:rStyle w:val="sb8d990e2"/>
          <w:color w:val="000000"/>
        </w:rPr>
        <w:t xml:space="preserve"> (App. No. 53102/ 99) (Unreported, European Court of Human Rights, 13 May 2003) </w:t>
      </w:r>
      <w:r w:rsidR="00614502" w:rsidRPr="000E47F7">
        <w:rPr>
          <w:rStyle w:val="sb8d990e2"/>
          <w:color w:val="000000"/>
        </w:rPr>
        <w:t xml:space="preserve">it was observed that, as a rule, anyone wishing to apply for a residence permit in the Netherlands must first apply from his or her country of origin for a provisional residence visa.  Only after such a visa has been issued abroad, may a residence permit be granted (p. 4). </w:t>
      </w:r>
    </w:p>
    <w:p w14:paraId="2B23312B" w14:textId="77777777" w:rsidR="00F87D8C" w:rsidRPr="000E47F7" w:rsidRDefault="00F87D8C" w:rsidP="00F87D8C">
      <w:pPr>
        <w:spacing w:line="480" w:lineRule="auto"/>
        <w:jc w:val="both"/>
        <w:rPr>
          <w:rStyle w:val="sb8d990e2"/>
          <w:lang w:val="en-GB"/>
        </w:rPr>
      </w:pPr>
    </w:p>
    <w:p w14:paraId="3F816A58" w14:textId="5902C0F2" w:rsidR="003269A8" w:rsidRPr="000E47F7" w:rsidRDefault="00596C44" w:rsidP="003269A8">
      <w:pPr>
        <w:numPr>
          <w:ilvl w:val="0"/>
          <w:numId w:val="1"/>
        </w:numPr>
        <w:spacing w:line="480" w:lineRule="auto"/>
        <w:jc w:val="both"/>
        <w:rPr>
          <w:rStyle w:val="sb8d990e2"/>
          <w:lang w:val="en-GB"/>
        </w:rPr>
      </w:pPr>
      <w:r w:rsidRPr="000E47F7">
        <w:rPr>
          <w:rStyle w:val="sb8d990e2"/>
          <w:color w:val="000000"/>
        </w:rPr>
        <w:t>As</w:t>
      </w:r>
      <w:r w:rsidR="005011AB" w:rsidRPr="000E47F7">
        <w:rPr>
          <w:rStyle w:val="sb8d990e2"/>
          <w:color w:val="000000"/>
        </w:rPr>
        <w:t xml:space="preserve"> noted</w:t>
      </w:r>
      <w:r w:rsidR="00FA2B20" w:rsidRPr="000E47F7">
        <w:rPr>
          <w:rStyle w:val="sb8d990e2"/>
          <w:color w:val="000000"/>
        </w:rPr>
        <w:t xml:space="preserve"> above</w:t>
      </w:r>
      <w:r w:rsidR="005011AB" w:rsidRPr="000E47F7">
        <w:rPr>
          <w:rStyle w:val="sb8d990e2"/>
          <w:color w:val="000000"/>
        </w:rPr>
        <w:t>,</w:t>
      </w:r>
      <w:r w:rsidR="00685D44" w:rsidRPr="000E47F7">
        <w:rPr>
          <w:rStyle w:val="sb8d990e2"/>
          <w:color w:val="000000"/>
        </w:rPr>
        <w:t xml:space="preserve"> t</w:t>
      </w:r>
      <w:r w:rsidR="00614502" w:rsidRPr="000E47F7">
        <w:rPr>
          <w:rStyle w:val="sb8d990e2"/>
          <w:color w:val="000000"/>
        </w:rPr>
        <w:t>he applicant</w:t>
      </w:r>
      <w:r w:rsidR="00FA2B20" w:rsidRPr="000E47F7">
        <w:rPr>
          <w:rStyle w:val="sb8d990e2"/>
          <w:color w:val="000000"/>
        </w:rPr>
        <w:t xml:space="preserve"> was refused</w:t>
      </w:r>
      <w:r w:rsidR="00F613B2" w:rsidRPr="000E47F7">
        <w:rPr>
          <w:rStyle w:val="sb8d990e2"/>
          <w:color w:val="000000"/>
        </w:rPr>
        <w:t xml:space="preserve"> ‘</w:t>
      </w:r>
      <w:r w:rsidR="00F613B2" w:rsidRPr="000E47F7">
        <w:rPr>
          <w:rStyle w:val="sb8d990e2"/>
          <w:i/>
          <w:color w:val="000000"/>
        </w:rPr>
        <w:t>permission to remain</w:t>
      </w:r>
      <w:r w:rsidR="00F613B2" w:rsidRPr="000E47F7">
        <w:rPr>
          <w:rStyle w:val="sb8d990e2"/>
          <w:color w:val="000000"/>
        </w:rPr>
        <w:t xml:space="preserve">’ in the State </w:t>
      </w:r>
      <w:r w:rsidR="00FA2B20" w:rsidRPr="000E47F7">
        <w:rPr>
          <w:rStyle w:val="sb8d990e2"/>
          <w:color w:val="000000"/>
        </w:rPr>
        <w:t>having applied for</w:t>
      </w:r>
      <w:r w:rsidR="00F613B2" w:rsidRPr="000E47F7">
        <w:rPr>
          <w:rStyle w:val="sb8d990e2"/>
          <w:color w:val="000000"/>
        </w:rPr>
        <w:t xml:space="preserve"> a variation of her ‘C</w:t>
      </w:r>
      <w:r w:rsidR="00413645" w:rsidRPr="000E47F7">
        <w:rPr>
          <w:rStyle w:val="sb8d990e2"/>
          <w:color w:val="000000"/>
        </w:rPr>
        <w:t>’</w:t>
      </w:r>
      <w:r w:rsidR="00F613B2" w:rsidRPr="000E47F7">
        <w:rPr>
          <w:rStyle w:val="sb8d990e2"/>
          <w:color w:val="000000"/>
        </w:rPr>
        <w:t xml:space="preserve"> type visitor’s visa into a ‘D reside permit’</w:t>
      </w:r>
      <w:r w:rsidR="00F82FDB" w:rsidRPr="000E47F7">
        <w:rPr>
          <w:rStyle w:val="sb8d990e2"/>
          <w:color w:val="000000"/>
        </w:rPr>
        <w:t>.</w:t>
      </w:r>
      <w:r w:rsidR="00F613B2" w:rsidRPr="000E47F7">
        <w:rPr>
          <w:rStyle w:val="sb8d990e2"/>
          <w:color w:val="000000"/>
        </w:rPr>
        <w:t xml:space="preserve"> </w:t>
      </w:r>
      <w:r w:rsidR="0083506C" w:rsidRPr="000E47F7">
        <w:rPr>
          <w:rStyle w:val="sb8d990e2"/>
          <w:color w:val="000000"/>
        </w:rPr>
        <w:t xml:space="preserve">She was directed </w:t>
      </w:r>
      <w:r w:rsidR="0083506C" w:rsidRPr="000E47F7">
        <w:rPr>
          <w:rStyle w:val="sb8d990e2"/>
          <w:color w:val="000000"/>
        </w:rPr>
        <w:lastRenderedPageBreak/>
        <w:t>towards the appropriate procedures to be followed should she wish to apply for long term residence.</w:t>
      </w:r>
      <w:r w:rsidR="00FA2B20" w:rsidRPr="000E47F7">
        <w:rPr>
          <w:rStyle w:val="sb8d990e2"/>
          <w:color w:val="000000"/>
        </w:rPr>
        <w:t xml:space="preserve"> She was also advised that </w:t>
      </w:r>
      <w:r w:rsidR="00D952AC" w:rsidRPr="000E47F7">
        <w:rPr>
          <w:rStyle w:val="sb8d990e2"/>
          <w:color w:val="000000"/>
        </w:rPr>
        <w:t>if she made r</w:t>
      </w:r>
      <w:r w:rsidR="00FA2B20" w:rsidRPr="000E47F7">
        <w:rPr>
          <w:rStyle w:val="sb8d990e2"/>
          <w:color w:val="000000"/>
        </w:rPr>
        <w:t xml:space="preserve">epresentations </w:t>
      </w:r>
      <w:r w:rsidR="00D952AC" w:rsidRPr="000E47F7">
        <w:rPr>
          <w:rStyle w:val="sb8d990e2"/>
          <w:color w:val="000000"/>
        </w:rPr>
        <w:t xml:space="preserve">under </w:t>
      </w:r>
      <w:r w:rsidR="00FA2B20" w:rsidRPr="000E47F7">
        <w:rPr>
          <w:rStyle w:val="sb8d990e2"/>
          <w:color w:val="000000"/>
        </w:rPr>
        <w:t xml:space="preserve">s. 3 of the Immigration Act 1999 </w:t>
      </w:r>
      <w:r w:rsidR="00D952AC" w:rsidRPr="000E47F7">
        <w:rPr>
          <w:rStyle w:val="sb8d990e2"/>
          <w:color w:val="000000"/>
        </w:rPr>
        <w:t>then ‘</w:t>
      </w:r>
      <w:r w:rsidR="00D952AC" w:rsidRPr="000E47F7">
        <w:rPr>
          <w:rStyle w:val="sb8d990e2"/>
          <w:i/>
          <w:color w:val="000000"/>
        </w:rPr>
        <w:t>a detailed balancing exercising</w:t>
      </w:r>
      <w:r w:rsidR="00D952AC" w:rsidRPr="000E47F7">
        <w:rPr>
          <w:rStyle w:val="sb8d990e2"/>
          <w:color w:val="000000"/>
        </w:rPr>
        <w:t>’ would be undertaken ‘</w:t>
      </w:r>
      <w:r w:rsidR="00D952AC" w:rsidRPr="000E47F7">
        <w:rPr>
          <w:rStyle w:val="sb8d990e2"/>
          <w:i/>
          <w:color w:val="000000"/>
        </w:rPr>
        <w:t>at that stage</w:t>
      </w:r>
      <w:r w:rsidR="00D952AC" w:rsidRPr="000E47F7">
        <w:rPr>
          <w:rStyle w:val="sb8d990e2"/>
          <w:b/>
          <w:color w:val="000000"/>
        </w:rPr>
        <w:t>’</w:t>
      </w:r>
      <w:r w:rsidR="00D952AC" w:rsidRPr="000E47F7">
        <w:rPr>
          <w:rStyle w:val="sb8d990e2"/>
          <w:color w:val="000000"/>
        </w:rPr>
        <w:t xml:space="preserve"> in order to ensure that her right to family life would be respected.  </w:t>
      </w:r>
      <w:r w:rsidR="00F613B2" w:rsidRPr="000E47F7">
        <w:rPr>
          <w:rStyle w:val="sb8d990e2"/>
          <w:color w:val="000000"/>
        </w:rPr>
        <w:t>T</w:t>
      </w:r>
      <w:r w:rsidR="0083506C" w:rsidRPr="000E47F7">
        <w:rPr>
          <w:rStyle w:val="sb8d990e2"/>
          <w:color w:val="000000"/>
        </w:rPr>
        <w:t>he Minister’s</w:t>
      </w:r>
      <w:r w:rsidR="005011AB" w:rsidRPr="000E47F7">
        <w:rPr>
          <w:rStyle w:val="sb8d990e2"/>
          <w:color w:val="000000"/>
        </w:rPr>
        <w:t xml:space="preserve"> </w:t>
      </w:r>
      <w:r w:rsidR="00D952AC" w:rsidRPr="000E47F7">
        <w:rPr>
          <w:rStyle w:val="sb8d990e2"/>
          <w:color w:val="000000"/>
        </w:rPr>
        <w:t>approach,</w:t>
      </w:r>
      <w:r w:rsidR="00614502" w:rsidRPr="000E47F7">
        <w:rPr>
          <w:rStyle w:val="sb8d990e2"/>
          <w:color w:val="000000"/>
        </w:rPr>
        <w:t xml:space="preserve"> she asserts, constitute</w:t>
      </w:r>
      <w:r w:rsidR="00D952AC" w:rsidRPr="000E47F7">
        <w:rPr>
          <w:rStyle w:val="sb8d990e2"/>
          <w:color w:val="000000"/>
        </w:rPr>
        <w:t xml:space="preserve">s </w:t>
      </w:r>
      <w:r w:rsidR="00614502" w:rsidRPr="000E47F7">
        <w:rPr>
          <w:rStyle w:val="sb8d990e2"/>
          <w:color w:val="000000"/>
        </w:rPr>
        <w:t xml:space="preserve">a failure on the part of the State to respect her rights under Article 8 </w:t>
      </w:r>
      <w:r w:rsidR="00D952AC" w:rsidRPr="000E47F7">
        <w:rPr>
          <w:rStyle w:val="sb8d990e2"/>
          <w:color w:val="000000"/>
        </w:rPr>
        <w:t xml:space="preserve">of the Convention </w:t>
      </w:r>
      <w:r w:rsidR="00614502" w:rsidRPr="000E47F7">
        <w:rPr>
          <w:rStyle w:val="sb8d990e2"/>
          <w:color w:val="000000"/>
        </w:rPr>
        <w:t>because a comprehensive assessment of</w:t>
      </w:r>
      <w:r w:rsidR="00554EB9" w:rsidRPr="000E47F7">
        <w:rPr>
          <w:rStyle w:val="sb8d990e2"/>
          <w:color w:val="000000"/>
        </w:rPr>
        <w:t xml:space="preserve"> whether</w:t>
      </w:r>
      <w:r w:rsidR="00614502" w:rsidRPr="000E47F7">
        <w:rPr>
          <w:rStyle w:val="sb8d990e2"/>
          <w:color w:val="000000"/>
        </w:rPr>
        <w:t xml:space="preserve"> those asserted rights</w:t>
      </w:r>
      <w:r w:rsidR="00554EB9" w:rsidRPr="000E47F7">
        <w:rPr>
          <w:rStyle w:val="sb8d990e2"/>
          <w:color w:val="000000"/>
        </w:rPr>
        <w:t xml:space="preserve"> were </w:t>
      </w:r>
      <w:r w:rsidR="00F613B2" w:rsidRPr="000E47F7">
        <w:rPr>
          <w:rStyle w:val="sb8d990e2"/>
          <w:color w:val="000000"/>
        </w:rPr>
        <w:t>‘</w:t>
      </w:r>
      <w:r w:rsidR="00554EB9" w:rsidRPr="000E47F7">
        <w:rPr>
          <w:rStyle w:val="sb8d990e2"/>
          <w:color w:val="000000"/>
        </w:rPr>
        <w:t>engaged</w:t>
      </w:r>
      <w:r w:rsidR="00F613B2" w:rsidRPr="000E47F7">
        <w:rPr>
          <w:rStyle w:val="sb8d990e2"/>
          <w:color w:val="000000"/>
        </w:rPr>
        <w:t>’</w:t>
      </w:r>
      <w:r w:rsidR="00614502" w:rsidRPr="000E47F7">
        <w:rPr>
          <w:rStyle w:val="sb8d990e2"/>
          <w:color w:val="000000"/>
        </w:rPr>
        <w:t xml:space="preserve"> had not been conducted.</w:t>
      </w:r>
      <w:r w:rsidR="0083506C" w:rsidRPr="000E47F7">
        <w:rPr>
          <w:rStyle w:val="sb8d990e2"/>
          <w:color w:val="000000"/>
        </w:rPr>
        <w:t xml:space="preserve">  </w:t>
      </w:r>
      <w:r w:rsidR="00DD1EB4" w:rsidRPr="000E47F7">
        <w:rPr>
          <w:rStyle w:val="sb8d990e2"/>
          <w:color w:val="000000"/>
        </w:rPr>
        <w:t xml:space="preserve">The question, therefore, that requires to be determined is whether the Minister was under a positive obligation to conduct as assessment at the time when </w:t>
      </w:r>
      <w:r w:rsidR="00271C36" w:rsidRPr="000E47F7">
        <w:rPr>
          <w:rStyle w:val="sb8d990e2"/>
          <w:color w:val="000000"/>
        </w:rPr>
        <w:t>the applicant’s</w:t>
      </w:r>
      <w:r w:rsidR="00DD1EB4" w:rsidRPr="000E47F7">
        <w:rPr>
          <w:rStyle w:val="sb8d990e2"/>
          <w:color w:val="000000"/>
        </w:rPr>
        <w:t xml:space="preserve"> request for a variation in her visa permission was refused.</w:t>
      </w:r>
    </w:p>
    <w:p w14:paraId="62D98969" w14:textId="77777777" w:rsidR="003269A8" w:rsidRPr="000E47F7" w:rsidRDefault="003269A8" w:rsidP="003269A8">
      <w:pPr>
        <w:pStyle w:val="ListParagraph"/>
      </w:pPr>
    </w:p>
    <w:p w14:paraId="64391E93" w14:textId="0AD47F35" w:rsidR="0077472C" w:rsidRPr="000E47F7" w:rsidRDefault="0077472C" w:rsidP="0077472C">
      <w:pPr>
        <w:numPr>
          <w:ilvl w:val="0"/>
          <w:numId w:val="1"/>
        </w:numPr>
        <w:spacing w:line="480" w:lineRule="auto"/>
        <w:jc w:val="both"/>
        <w:rPr>
          <w:lang w:val="en-GB"/>
        </w:rPr>
      </w:pPr>
      <w:r w:rsidRPr="000E47F7">
        <w:t>In</w:t>
      </w:r>
      <w:r w:rsidR="003269A8" w:rsidRPr="000E47F7">
        <w:t xml:space="preserve"> cases involving immigration and family life, the Strasburg Court</w:t>
      </w:r>
      <w:r w:rsidRPr="000E47F7">
        <w:t>, generally,</w:t>
      </w:r>
      <w:r w:rsidR="003269A8" w:rsidRPr="000E47F7">
        <w:t xml:space="preserve"> begins its analysis by reiterating that the essential object of Article 8 is to protect the individual against arbitrary action by the public authorities.  It recognises that there may, in addition, be positive obligations inherent in effective </w:t>
      </w:r>
      <w:r w:rsidR="003269A8" w:rsidRPr="000E47F7">
        <w:rPr>
          <w:i/>
        </w:rPr>
        <w:t xml:space="preserve">‘respect’ </w:t>
      </w:r>
      <w:r w:rsidR="003269A8" w:rsidRPr="000E47F7">
        <w:t xml:space="preserve">for family life.  It considers that the boundaries between the State’s positive and negative obligations under Article 8 do not lend themselves to precise definition but that the applicable principles are, nonetheless, similar.  </w:t>
      </w:r>
      <w:r w:rsidR="00F40007" w:rsidRPr="000E47F7">
        <w:t xml:space="preserve">Irrespective of whether </w:t>
      </w:r>
      <w:r w:rsidR="003269A8" w:rsidRPr="000E47F7">
        <w:t xml:space="preserve">a case is approached from the </w:t>
      </w:r>
      <w:r w:rsidR="00F40007" w:rsidRPr="000E47F7">
        <w:t>pers</w:t>
      </w:r>
      <w:r w:rsidR="003269A8" w:rsidRPr="000E47F7">
        <w:t>pective of a negative or a positive obligation, regard must be had to the ‘fair balance’ that is required to be struck between the competing interests of the individual and those of the community and, in that context, the State enjoys a certain margin of appreciation.</w:t>
      </w:r>
      <w:r w:rsidRPr="000E47F7">
        <w:rPr>
          <w:lang w:val="en-GB"/>
        </w:rPr>
        <w:t xml:space="preserve"> </w:t>
      </w:r>
      <w:r w:rsidR="009B779D" w:rsidRPr="000E47F7">
        <w:rPr>
          <w:lang w:val="en-GB"/>
        </w:rPr>
        <w:t xml:space="preserve"> </w:t>
      </w:r>
      <w:r w:rsidR="003269A8" w:rsidRPr="000E47F7">
        <w:t>In such cases</w:t>
      </w:r>
      <w:r w:rsidRPr="000E47F7">
        <w:t>,</w:t>
      </w:r>
      <w:r w:rsidR="003269A8" w:rsidRPr="000E47F7">
        <w:t xml:space="preserve"> the </w:t>
      </w:r>
      <w:r w:rsidR="0036279A">
        <w:t>c</w:t>
      </w:r>
      <w:r w:rsidR="003269A8" w:rsidRPr="000E47F7">
        <w:t xml:space="preserve">ourt invariably recalls that, as a matter of well-established international law and subject to its treaty obligations, a State has the right to control the entry of non-nationals into its territories.  It also confirms that where immigration is concerned, Article 8 cannot be considered as imposing on a State a general obligation to respect the choice by married couples of the country of their residence and to authorise family reunion in its territory.  To establish the scope of a State’s obligations, the facts of each individual case must be considered.  </w:t>
      </w:r>
    </w:p>
    <w:p w14:paraId="3413E8AC" w14:textId="1C76B8FB" w:rsidR="00614502" w:rsidRPr="000E47F7" w:rsidRDefault="008E3F09" w:rsidP="00614502">
      <w:pPr>
        <w:numPr>
          <w:ilvl w:val="0"/>
          <w:numId w:val="1"/>
        </w:numPr>
        <w:spacing w:line="480" w:lineRule="auto"/>
        <w:jc w:val="both"/>
        <w:rPr>
          <w:lang w:val="en-GB"/>
        </w:rPr>
      </w:pPr>
      <w:r w:rsidRPr="000E47F7">
        <w:lastRenderedPageBreak/>
        <w:t>The Supreme</w:t>
      </w:r>
      <w:r w:rsidR="00614502" w:rsidRPr="000E47F7">
        <w:t xml:space="preserve"> Court in </w:t>
      </w:r>
      <w:r w:rsidR="00614502" w:rsidRPr="000E47F7">
        <w:rPr>
          <w:i/>
        </w:rPr>
        <w:t xml:space="preserve">Luximon </w:t>
      </w:r>
      <w:r w:rsidR="00614502" w:rsidRPr="000E47F7">
        <w:t>was satisfied tha</w:t>
      </w:r>
      <w:r w:rsidRPr="000E47F7">
        <w:t xml:space="preserve">t </w:t>
      </w:r>
      <w:r w:rsidR="00317078" w:rsidRPr="000E47F7">
        <w:t xml:space="preserve">the Strasbourg Court had recognised that, in certain cases, a positive obligation could be imposed on the </w:t>
      </w:r>
      <w:r w:rsidR="00792B63" w:rsidRPr="000E47F7">
        <w:t>State to grant a right of residence to a foreign national</w:t>
      </w:r>
      <w:r w:rsidR="00317078" w:rsidRPr="000E47F7">
        <w:t>.</w:t>
      </w:r>
      <w:r w:rsidRPr="000E47F7">
        <w:t xml:space="preserve"> </w:t>
      </w:r>
      <w:r w:rsidR="00317078" w:rsidRPr="000E47F7">
        <w:t xml:space="preserve">It acknowledged </w:t>
      </w:r>
      <w:r w:rsidR="00614502" w:rsidRPr="000E47F7">
        <w:t>that such ‘residence’ cases may have been based on exceptional facts</w:t>
      </w:r>
      <w:r w:rsidR="00317078" w:rsidRPr="000E47F7">
        <w:t>.  N</w:t>
      </w:r>
      <w:r w:rsidR="00561E26" w:rsidRPr="000E47F7">
        <w:t xml:space="preserve">evertheless, the </w:t>
      </w:r>
      <w:r w:rsidR="00FF5BBE" w:rsidRPr="000E47F7">
        <w:t>‘</w:t>
      </w:r>
      <w:r w:rsidR="00561E26" w:rsidRPr="000E47F7">
        <w:rPr>
          <w:i/>
        </w:rPr>
        <w:t>tenor</w:t>
      </w:r>
      <w:r w:rsidR="00FF5BBE" w:rsidRPr="000E47F7">
        <w:t>’</w:t>
      </w:r>
      <w:r w:rsidR="00561E26" w:rsidRPr="000E47F7">
        <w:t xml:space="preserve"> of the jurisprudence</w:t>
      </w:r>
      <w:r w:rsidR="00FF5BBE" w:rsidRPr="000E47F7">
        <w:t>, it held,</w:t>
      </w:r>
      <w:r w:rsidR="00561E26" w:rsidRPr="000E47F7">
        <w:t xml:space="preserve"> may encompass </w:t>
      </w:r>
      <w:r w:rsidR="006F3522" w:rsidRPr="000E47F7">
        <w:t>situations</w:t>
      </w:r>
      <w:r w:rsidR="00561E26" w:rsidRPr="000E47F7">
        <w:t xml:space="preserve"> such as those arising in </w:t>
      </w:r>
      <w:r w:rsidR="00561E26" w:rsidRPr="000E47F7">
        <w:rPr>
          <w:i/>
        </w:rPr>
        <w:t>Luximon</w:t>
      </w:r>
      <w:r w:rsidR="00561E26" w:rsidRPr="000E47F7">
        <w:t xml:space="preserve">.   </w:t>
      </w:r>
      <w:r w:rsidR="00C5323D" w:rsidRPr="000E47F7">
        <w:t xml:space="preserve">Before the Supreme Court the Minister had </w:t>
      </w:r>
      <w:r w:rsidR="00C5323D" w:rsidRPr="000E47F7">
        <w:rPr>
          <w:lang w:val="en"/>
        </w:rPr>
        <w:t xml:space="preserve">relied upon </w:t>
      </w:r>
      <w:r w:rsidR="00C5323D" w:rsidRPr="000E47F7">
        <w:rPr>
          <w:i/>
          <w:iCs/>
          <w:lang w:val="en"/>
        </w:rPr>
        <w:t>Yildiz v. Austria</w:t>
      </w:r>
      <w:r w:rsidR="00C5323D" w:rsidRPr="000E47F7">
        <w:rPr>
          <w:lang w:val="en"/>
        </w:rPr>
        <w:t xml:space="preserve"> (App. No. 37295/97) (2003), 36 E.H.R.R. 32 and on </w:t>
      </w:r>
      <w:r w:rsidR="00FC2529" w:rsidRPr="000E47F7">
        <w:rPr>
          <w:i/>
          <w:iCs/>
          <w:lang w:val="en"/>
        </w:rPr>
        <w:t xml:space="preserve">Maslov v. Austria </w:t>
      </w:r>
      <w:r w:rsidR="00FC2529" w:rsidRPr="000E47F7">
        <w:rPr>
          <w:lang w:val="en"/>
        </w:rPr>
        <w:t xml:space="preserve">(App. No. 1638/03) (2008) 47 E.H.R.R. 20, [2009] I.N.L.R. 47 </w:t>
      </w:r>
      <w:r w:rsidR="00C5323D" w:rsidRPr="000E47F7">
        <w:rPr>
          <w:lang w:val="en"/>
        </w:rPr>
        <w:t>as support</w:t>
      </w:r>
      <w:r w:rsidR="00C841E8" w:rsidRPr="000E47F7">
        <w:rPr>
          <w:lang w:val="en"/>
        </w:rPr>
        <w:t>ing</w:t>
      </w:r>
      <w:r w:rsidR="00C5323D" w:rsidRPr="000E47F7">
        <w:rPr>
          <w:lang w:val="en"/>
        </w:rPr>
        <w:t xml:space="preserve"> the contention that it was appropriate for an assessment o</w:t>
      </w:r>
      <w:r w:rsidR="009065DB" w:rsidRPr="000E47F7">
        <w:rPr>
          <w:lang w:val="en"/>
        </w:rPr>
        <w:t>f</w:t>
      </w:r>
      <w:r w:rsidR="00C5323D" w:rsidRPr="000E47F7">
        <w:rPr>
          <w:lang w:val="en"/>
        </w:rPr>
        <w:t xml:space="preserve"> family life to be made </w:t>
      </w:r>
      <w:r w:rsidR="00C5323D" w:rsidRPr="000E47F7">
        <w:rPr>
          <w:i/>
          <w:lang w:val="en"/>
        </w:rPr>
        <w:t>‘at the deportation stage’</w:t>
      </w:r>
      <w:r w:rsidR="00C5323D" w:rsidRPr="000E47F7">
        <w:rPr>
          <w:lang w:val="en"/>
        </w:rPr>
        <w:t xml:space="preserve">.  </w:t>
      </w:r>
      <w:r w:rsidR="00C5323D" w:rsidRPr="000E47F7">
        <w:t xml:space="preserve"> </w:t>
      </w:r>
      <w:r w:rsidR="00DD129E" w:rsidRPr="000E47F7">
        <w:t xml:space="preserve">MacMenamin J. </w:t>
      </w:r>
      <w:r w:rsidR="00561E26" w:rsidRPr="000E47F7">
        <w:t>recognised</w:t>
      </w:r>
      <w:r w:rsidR="00614502" w:rsidRPr="000E47F7">
        <w:t xml:space="preserve"> </w:t>
      </w:r>
      <w:r w:rsidR="0001519A" w:rsidRPr="000E47F7">
        <w:t xml:space="preserve">(at para. 65) </w:t>
      </w:r>
      <w:r w:rsidR="00614502" w:rsidRPr="000E47F7">
        <w:t xml:space="preserve">that </w:t>
      </w:r>
      <w:r w:rsidR="00EB4F04" w:rsidRPr="000E47F7">
        <w:t xml:space="preserve">in </w:t>
      </w:r>
      <w:r w:rsidR="00434908" w:rsidRPr="000E47F7">
        <w:rPr>
          <w:i/>
          <w:u w:val="single"/>
          <w:lang w:val="en"/>
        </w:rPr>
        <w:t>Yildi</w:t>
      </w:r>
      <w:r w:rsidR="00CC6A71" w:rsidRPr="000E47F7">
        <w:rPr>
          <w:i/>
          <w:u w:val="single"/>
          <w:lang w:val="en"/>
        </w:rPr>
        <w:t>z</w:t>
      </w:r>
      <w:r w:rsidR="00CC6A71" w:rsidRPr="000E47F7">
        <w:rPr>
          <w:i/>
          <w:lang w:val="en"/>
        </w:rPr>
        <w:t xml:space="preserve"> </w:t>
      </w:r>
      <w:r w:rsidR="00434908" w:rsidRPr="000E47F7">
        <w:rPr>
          <w:lang w:val="en"/>
        </w:rPr>
        <w:t xml:space="preserve">the Strasbourg Court had, </w:t>
      </w:r>
      <w:r w:rsidR="00C5323D" w:rsidRPr="000E47F7">
        <w:rPr>
          <w:lang w:val="en"/>
        </w:rPr>
        <w:t>indeed,</w:t>
      </w:r>
      <w:r w:rsidR="00614502" w:rsidRPr="000E47F7">
        <w:rPr>
          <w:lang w:val="en"/>
        </w:rPr>
        <w:t xml:space="preserve"> </w:t>
      </w:r>
      <w:r w:rsidR="00C5323D" w:rsidRPr="000E47F7">
        <w:rPr>
          <w:lang w:val="en"/>
        </w:rPr>
        <w:t xml:space="preserve">accepted </w:t>
      </w:r>
      <w:r w:rsidR="00614502" w:rsidRPr="000E47F7">
        <w:rPr>
          <w:lang w:val="en"/>
        </w:rPr>
        <w:t xml:space="preserve">that </w:t>
      </w:r>
      <w:r w:rsidR="002303DE" w:rsidRPr="000E47F7">
        <w:rPr>
          <w:lang w:val="en"/>
        </w:rPr>
        <w:t xml:space="preserve">on the facts before it </w:t>
      </w:r>
      <w:r w:rsidR="00614502" w:rsidRPr="000E47F7">
        <w:rPr>
          <w:lang w:val="en"/>
        </w:rPr>
        <w:t xml:space="preserve">the </w:t>
      </w:r>
      <w:r w:rsidR="00C5323D" w:rsidRPr="000E47F7">
        <w:rPr>
          <w:lang w:val="en"/>
        </w:rPr>
        <w:t xml:space="preserve">appropriate assessment </w:t>
      </w:r>
      <w:r w:rsidR="00614502" w:rsidRPr="000E47F7">
        <w:rPr>
          <w:lang w:val="en"/>
        </w:rPr>
        <w:t xml:space="preserve">would be determined in the light of the position </w:t>
      </w:r>
      <w:r w:rsidR="00614502" w:rsidRPr="000E47F7">
        <w:rPr>
          <w:i/>
          <w:lang w:val="en"/>
        </w:rPr>
        <w:t>‘when the residence ban in question became final’</w:t>
      </w:r>
      <w:r w:rsidR="0001519A" w:rsidRPr="000E47F7">
        <w:rPr>
          <w:i/>
          <w:lang w:val="en"/>
        </w:rPr>
        <w:t xml:space="preserve">.  </w:t>
      </w:r>
      <w:r w:rsidR="00C5323D" w:rsidRPr="000E47F7">
        <w:rPr>
          <w:lang w:val="en"/>
        </w:rPr>
        <w:t>However,</w:t>
      </w:r>
      <w:r w:rsidR="00614502" w:rsidRPr="000E47F7">
        <w:rPr>
          <w:lang w:val="en"/>
        </w:rPr>
        <w:t xml:space="preserve"> </w:t>
      </w:r>
      <w:r w:rsidR="00434908" w:rsidRPr="000E47F7">
        <w:rPr>
          <w:lang w:val="en"/>
        </w:rPr>
        <w:t xml:space="preserve">the judge </w:t>
      </w:r>
      <w:r w:rsidR="00614502" w:rsidRPr="000E47F7">
        <w:rPr>
          <w:lang w:val="en"/>
        </w:rPr>
        <w:t xml:space="preserve">was not convinced that the appellants in </w:t>
      </w:r>
      <w:r w:rsidR="00614502" w:rsidRPr="000E47F7">
        <w:rPr>
          <w:i/>
          <w:lang w:val="en"/>
        </w:rPr>
        <w:t>Luximon</w:t>
      </w:r>
      <w:r w:rsidR="00614502" w:rsidRPr="000E47F7">
        <w:rPr>
          <w:lang w:val="en"/>
        </w:rPr>
        <w:t xml:space="preserve"> were obliged</w:t>
      </w:r>
      <w:r w:rsidR="00C5323D" w:rsidRPr="000E47F7">
        <w:rPr>
          <w:lang w:val="en"/>
        </w:rPr>
        <w:t xml:space="preserve"> </w:t>
      </w:r>
      <w:r w:rsidR="00614502" w:rsidRPr="000E47F7">
        <w:rPr>
          <w:lang w:val="en"/>
        </w:rPr>
        <w:t xml:space="preserve">to await the making of a deportation order before having representations on their family life rights received and assessed.  To oblige them to do so would have placed them in </w:t>
      </w:r>
      <w:r w:rsidR="00C5323D" w:rsidRPr="000E47F7">
        <w:rPr>
          <w:lang w:val="en"/>
        </w:rPr>
        <w:t>what might be described as a</w:t>
      </w:r>
      <w:r w:rsidR="00BF275E" w:rsidRPr="000E47F7">
        <w:rPr>
          <w:lang w:val="en"/>
        </w:rPr>
        <w:t xml:space="preserve"> </w:t>
      </w:r>
      <w:r w:rsidR="00614502" w:rsidRPr="000E47F7">
        <w:rPr>
          <w:lang w:val="en"/>
        </w:rPr>
        <w:t>‘Catch 22’ situation (see</w:t>
      </w:r>
      <w:r w:rsidR="0048529D" w:rsidRPr="000E47F7">
        <w:rPr>
          <w:lang w:val="en"/>
        </w:rPr>
        <w:t xml:space="preserve"> para</w:t>
      </w:r>
      <w:r w:rsidR="00E80267" w:rsidRPr="000E47F7">
        <w:rPr>
          <w:lang w:val="en"/>
        </w:rPr>
        <w:t>. 55</w:t>
      </w:r>
      <w:r w:rsidR="00614502" w:rsidRPr="000E47F7">
        <w:rPr>
          <w:lang w:val="en"/>
        </w:rPr>
        <w:t xml:space="preserve"> below).</w:t>
      </w:r>
      <w:r w:rsidR="00561E26" w:rsidRPr="000E47F7">
        <w:rPr>
          <w:lang w:val="en"/>
        </w:rPr>
        <w:t xml:space="preserve">  </w:t>
      </w:r>
    </w:p>
    <w:p w14:paraId="7AD1E7A5" w14:textId="77777777" w:rsidR="00F87D8C" w:rsidRPr="000E47F7" w:rsidRDefault="00F87D8C" w:rsidP="00F87D8C">
      <w:pPr>
        <w:spacing w:line="480" w:lineRule="auto"/>
        <w:jc w:val="both"/>
        <w:rPr>
          <w:lang w:val="en-GB"/>
        </w:rPr>
      </w:pPr>
    </w:p>
    <w:p w14:paraId="61B0AAFD" w14:textId="5D2B77B5" w:rsidR="00614502" w:rsidRPr="000E47F7" w:rsidRDefault="00614502" w:rsidP="00614502">
      <w:pPr>
        <w:numPr>
          <w:ilvl w:val="0"/>
          <w:numId w:val="1"/>
        </w:numPr>
        <w:spacing w:line="480" w:lineRule="auto"/>
        <w:jc w:val="both"/>
        <w:rPr>
          <w:lang w:val="en-GB"/>
        </w:rPr>
      </w:pPr>
      <w:r w:rsidRPr="000E47F7">
        <w:rPr>
          <w:lang w:val="en"/>
        </w:rPr>
        <w:t xml:space="preserve">The Minister had also argued that </w:t>
      </w:r>
      <w:r w:rsidR="001F3755" w:rsidRPr="000E47F7">
        <w:rPr>
          <w:rStyle w:val="link-name"/>
          <w:i/>
          <w:iCs/>
          <w:lang w:val="en"/>
        </w:rPr>
        <w:t>Abuhmaid v. Ukraine</w:t>
      </w:r>
      <w:r w:rsidR="001F3755" w:rsidRPr="000E47F7">
        <w:rPr>
          <w:lang w:val="en"/>
        </w:rPr>
        <w:t xml:space="preserve"> (App. No. 31183/13) (Unreported, European Court of Human Rights, 12 </w:t>
      </w:r>
      <w:r w:rsidR="00673BAC" w:rsidRPr="000E47F7">
        <w:rPr>
          <w:lang w:val="en"/>
        </w:rPr>
        <w:t>January</w:t>
      </w:r>
      <w:r w:rsidR="001F3755" w:rsidRPr="000E47F7">
        <w:rPr>
          <w:lang w:val="en"/>
        </w:rPr>
        <w:t xml:space="preserve"> 2017</w:t>
      </w:r>
      <w:r w:rsidR="004115F3" w:rsidRPr="000E47F7">
        <w:rPr>
          <w:lang w:val="en"/>
        </w:rPr>
        <w:t>) was</w:t>
      </w:r>
      <w:r w:rsidRPr="000E47F7">
        <w:rPr>
          <w:lang w:val="en"/>
        </w:rPr>
        <w:t xml:space="preserve"> authority </w:t>
      </w:r>
      <w:r w:rsidR="00C841E8" w:rsidRPr="000E47F7">
        <w:rPr>
          <w:lang w:val="en"/>
        </w:rPr>
        <w:t xml:space="preserve">for the proposition that </w:t>
      </w:r>
      <w:r w:rsidRPr="000E47F7">
        <w:rPr>
          <w:lang w:val="en"/>
        </w:rPr>
        <w:t>the Strasburg Court d</w:t>
      </w:r>
      <w:r w:rsidR="000A2F04" w:rsidRPr="000E47F7">
        <w:rPr>
          <w:lang w:val="en"/>
        </w:rPr>
        <w:t>oes</w:t>
      </w:r>
      <w:r w:rsidRPr="000E47F7">
        <w:rPr>
          <w:lang w:val="en"/>
        </w:rPr>
        <w:t xml:space="preserve"> not impose a positive obligation on the State to consider Article 8 rights </w:t>
      </w:r>
      <w:r w:rsidR="0032370A" w:rsidRPr="000E47F7">
        <w:rPr>
          <w:lang w:val="en"/>
        </w:rPr>
        <w:t>where</w:t>
      </w:r>
      <w:r w:rsidR="00D101EF" w:rsidRPr="000E47F7">
        <w:rPr>
          <w:lang w:val="en"/>
        </w:rPr>
        <w:t xml:space="preserve"> </w:t>
      </w:r>
      <w:r w:rsidR="00F0040A" w:rsidRPr="000E47F7">
        <w:rPr>
          <w:lang w:val="en"/>
        </w:rPr>
        <w:t>an</w:t>
      </w:r>
      <w:r w:rsidR="00D101EF" w:rsidRPr="000E47F7">
        <w:rPr>
          <w:lang w:val="en"/>
        </w:rPr>
        <w:t xml:space="preserve"> applicant’s residence status </w:t>
      </w:r>
      <w:r w:rsidR="00F0040A" w:rsidRPr="000E47F7">
        <w:rPr>
          <w:lang w:val="en"/>
        </w:rPr>
        <w:t xml:space="preserve">is </w:t>
      </w:r>
      <w:r w:rsidR="00D101EF" w:rsidRPr="000E47F7">
        <w:rPr>
          <w:lang w:val="en"/>
        </w:rPr>
        <w:t>uncertain</w:t>
      </w:r>
      <w:r w:rsidRPr="000E47F7">
        <w:rPr>
          <w:lang w:val="en"/>
        </w:rPr>
        <w:t>.  MacMenamin J. considered</w:t>
      </w:r>
      <w:r w:rsidR="0032370A" w:rsidRPr="000E47F7">
        <w:rPr>
          <w:lang w:val="en"/>
        </w:rPr>
        <w:t xml:space="preserve"> </w:t>
      </w:r>
      <w:r w:rsidR="0032370A" w:rsidRPr="000E47F7">
        <w:rPr>
          <w:rStyle w:val="link-name"/>
          <w:i/>
          <w:iCs/>
          <w:lang w:val="en"/>
        </w:rPr>
        <w:t xml:space="preserve">Abuhmaid </w:t>
      </w:r>
      <w:r w:rsidR="0032370A" w:rsidRPr="000E47F7">
        <w:rPr>
          <w:rStyle w:val="link-name"/>
          <w:iCs/>
          <w:lang w:val="en"/>
        </w:rPr>
        <w:t>to</w:t>
      </w:r>
      <w:r w:rsidRPr="000E47F7">
        <w:rPr>
          <w:lang w:val="en"/>
        </w:rPr>
        <w:t xml:space="preserve"> be distinguishable because the Strasbourg </w:t>
      </w:r>
      <w:r w:rsidR="0032370A" w:rsidRPr="000E47F7">
        <w:rPr>
          <w:lang w:val="en"/>
        </w:rPr>
        <w:t>C</w:t>
      </w:r>
      <w:r w:rsidRPr="000E47F7">
        <w:rPr>
          <w:lang w:val="en"/>
        </w:rPr>
        <w:t>ourt had found</w:t>
      </w:r>
      <w:r w:rsidR="00D101EF" w:rsidRPr="000E47F7">
        <w:rPr>
          <w:lang w:val="en"/>
        </w:rPr>
        <w:t xml:space="preserve"> </w:t>
      </w:r>
      <w:r w:rsidRPr="000E47F7">
        <w:rPr>
          <w:lang w:val="en"/>
        </w:rPr>
        <w:t xml:space="preserve">that effective domestic remedies existed which enabled </w:t>
      </w:r>
      <w:r w:rsidR="0032370A" w:rsidRPr="000E47F7">
        <w:rPr>
          <w:lang w:val="en"/>
        </w:rPr>
        <w:t>the Applicant</w:t>
      </w:r>
      <w:r w:rsidRPr="000E47F7">
        <w:rPr>
          <w:lang w:val="en"/>
        </w:rPr>
        <w:t xml:space="preserve"> to have </w:t>
      </w:r>
      <w:r w:rsidR="00D101EF" w:rsidRPr="000E47F7">
        <w:rPr>
          <w:lang w:val="en"/>
        </w:rPr>
        <w:t>his</w:t>
      </w:r>
      <w:r w:rsidRPr="000E47F7">
        <w:rPr>
          <w:lang w:val="en"/>
        </w:rPr>
        <w:t xml:space="preserve"> status in Ukraine determined with due regard to his private life interests</w:t>
      </w:r>
      <w:r w:rsidR="00D101EF" w:rsidRPr="000E47F7">
        <w:rPr>
          <w:lang w:val="en"/>
        </w:rPr>
        <w:t xml:space="preserve"> and </w:t>
      </w:r>
      <w:r w:rsidR="0032370A" w:rsidRPr="000E47F7">
        <w:rPr>
          <w:lang w:val="en"/>
        </w:rPr>
        <w:t xml:space="preserve">that </w:t>
      </w:r>
      <w:r w:rsidR="00D101EF" w:rsidRPr="000E47F7">
        <w:rPr>
          <w:lang w:val="en"/>
        </w:rPr>
        <w:t>he</w:t>
      </w:r>
      <w:r w:rsidRPr="000E47F7">
        <w:rPr>
          <w:lang w:val="en"/>
        </w:rPr>
        <w:t xml:space="preserve"> was entitled to remain in the Ukraine pending the determination of his application for asylum.  </w:t>
      </w:r>
      <w:r w:rsidR="0032370A" w:rsidRPr="000E47F7">
        <w:rPr>
          <w:lang w:val="en"/>
        </w:rPr>
        <w:t xml:space="preserve"> </w:t>
      </w:r>
      <w:r w:rsidR="00D101EF" w:rsidRPr="000E47F7">
        <w:rPr>
          <w:lang w:val="en"/>
        </w:rPr>
        <w:t>T</w:t>
      </w:r>
      <w:r w:rsidRPr="000E47F7">
        <w:rPr>
          <w:lang w:val="en"/>
        </w:rPr>
        <w:t xml:space="preserve">hose facts </w:t>
      </w:r>
      <w:r w:rsidR="00D101EF" w:rsidRPr="000E47F7">
        <w:rPr>
          <w:lang w:val="en"/>
        </w:rPr>
        <w:t>were found to b</w:t>
      </w:r>
      <w:r w:rsidRPr="000E47F7">
        <w:rPr>
          <w:lang w:val="en"/>
        </w:rPr>
        <w:t>e very different from the facts in</w:t>
      </w:r>
      <w:r w:rsidR="00D101EF" w:rsidRPr="000E47F7">
        <w:rPr>
          <w:lang w:val="en"/>
        </w:rPr>
        <w:t xml:space="preserve"> the</w:t>
      </w:r>
      <w:r w:rsidRPr="000E47F7">
        <w:rPr>
          <w:lang w:val="en"/>
        </w:rPr>
        <w:t xml:space="preserve"> </w:t>
      </w:r>
      <w:r w:rsidRPr="000E47F7">
        <w:rPr>
          <w:i/>
          <w:lang w:val="en"/>
        </w:rPr>
        <w:t>Luximon</w:t>
      </w:r>
      <w:r w:rsidRPr="000E47F7">
        <w:rPr>
          <w:lang w:val="en"/>
        </w:rPr>
        <w:t xml:space="preserve"> appeals</w:t>
      </w:r>
      <w:r w:rsidR="0032370A" w:rsidRPr="000E47F7">
        <w:rPr>
          <w:lang w:val="en"/>
        </w:rPr>
        <w:t xml:space="preserve"> in which </w:t>
      </w:r>
      <w:r w:rsidR="00110206" w:rsidRPr="000E47F7">
        <w:rPr>
          <w:lang w:val="en"/>
        </w:rPr>
        <w:t xml:space="preserve">MacMenamin J. </w:t>
      </w:r>
      <w:r w:rsidR="00D101EF" w:rsidRPr="000E47F7">
        <w:rPr>
          <w:lang w:val="en"/>
        </w:rPr>
        <w:t xml:space="preserve">considered </w:t>
      </w:r>
      <w:r w:rsidR="00CC53B8" w:rsidRPr="000E47F7">
        <w:rPr>
          <w:lang w:val="en"/>
        </w:rPr>
        <w:t xml:space="preserve">(at para. 71) </w:t>
      </w:r>
      <w:r w:rsidR="00D101EF" w:rsidRPr="000E47F7">
        <w:rPr>
          <w:lang w:val="en"/>
        </w:rPr>
        <w:t>that</w:t>
      </w:r>
      <w:r w:rsidRPr="000E47F7">
        <w:rPr>
          <w:lang w:val="en"/>
        </w:rPr>
        <w:t xml:space="preserve"> he could not conclude that a scheme where ‘</w:t>
      </w:r>
      <w:r w:rsidRPr="000E47F7">
        <w:rPr>
          <w:i/>
          <w:lang w:val="en"/>
        </w:rPr>
        <w:t xml:space="preserve">eligibility’ </w:t>
      </w:r>
      <w:r w:rsidRPr="000E47F7">
        <w:rPr>
          <w:lang w:val="en"/>
        </w:rPr>
        <w:t xml:space="preserve">to apply for </w:t>
      </w:r>
      <w:r w:rsidRPr="000E47F7">
        <w:rPr>
          <w:lang w:val="en"/>
        </w:rPr>
        <w:lastRenderedPageBreak/>
        <w:t xml:space="preserve">consideration </w:t>
      </w:r>
      <w:r w:rsidR="00CC53B8" w:rsidRPr="000E47F7">
        <w:rPr>
          <w:lang w:val="en"/>
        </w:rPr>
        <w:t>‘</w:t>
      </w:r>
      <w:r w:rsidR="00F67CAE" w:rsidRPr="000E47F7">
        <w:rPr>
          <w:i/>
          <w:lang w:val="en"/>
        </w:rPr>
        <w:t xml:space="preserve">would be </w:t>
      </w:r>
      <w:r w:rsidRPr="000E47F7">
        <w:rPr>
          <w:i/>
          <w:lang w:val="en"/>
        </w:rPr>
        <w:t>predicated on illegality of an applicant’s status in the State could ever be Convention compliant</w:t>
      </w:r>
      <w:r w:rsidR="00CC53B8" w:rsidRPr="000E47F7">
        <w:rPr>
          <w:lang w:val="en"/>
        </w:rPr>
        <w:t>’</w:t>
      </w:r>
      <w:r w:rsidRPr="000E47F7">
        <w:rPr>
          <w:lang w:val="en"/>
        </w:rPr>
        <w:t xml:space="preserve">.  </w:t>
      </w:r>
    </w:p>
    <w:p w14:paraId="519C841A" w14:textId="77777777" w:rsidR="00F87D8C" w:rsidRPr="000E47F7" w:rsidRDefault="00F87D8C" w:rsidP="00F87D8C">
      <w:pPr>
        <w:spacing w:line="480" w:lineRule="auto"/>
        <w:jc w:val="both"/>
        <w:rPr>
          <w:lang w:val="en-GB"/>
        </w:rPr>
      </w:pPr>
    </w:p>
    <w:p w14:paraId="7C84AB43" w14:textId="538BF26C" w:rsidR="00614502" w:rsidRPr="000E47F7" w:rsidRDefault="00614502" w:rsidP="00614502">
      <w:pPr>
        <w:numPr>
          <w:ilvl w:val="0"/>
          <w:numId w:val="1"/>
        </w:numPr>
        <w:spacing w:line="480" w:lineRule="auto"/>
        <w:jc w:val="both"/>
        <w:rPr>
          <w:lang w:val="en-GB"/>
        </w:rPr>
      </w:pPr>
      <w:r w:rsidRPr="000E47F7">
        <w:t xml:space="preserve">There is </w:t>
      </w:r>
      <w:r w:rsidR="00EF317C" w:rsidRPr="000E47F7">
        <w:t>a</w:t>
      </w:r>
      <w:r w:rsidR="00152937" w:rsidRPr="000E47F7">
        <w:t xml:space="preserve"> significant</w:t>
      </w:r>
      <w:r w:rsidR="00EF317C" w:rsidRPr="000E47F7">
        <w:t xml:space="preserve"> body </w:t>
      </w:r>
      <w:r w:rsidR="00FF5BBE" w:rsidRPr="000E47F7">
        <w:t>of</w:t>
      </w:r>
      <w:r w:rsidR="00D3413E" w:rsidRPr="000E47F7">
        <w:t xml:space="preserve"> </w:t>
      </w:r>
      <w:r w:rsidRPr="000E47F7">
        <w:t>case law</w:t>
      </w:r>
      <w:r w:rsidR="00FB6427" w:rsidRPr="000E47F7">
        <w:t xml:space="preserve"> </w:t>
      </w:r>
      <w:r w:rsidRPr="000E47F7">
        <w:t xml:space="preserve">to </w:t>
      </w:r>
      <w:r w:rsidR="00EF317C" w:rsidRPr="000E47F7">
        <w:t>show</w:t>
      </w:r>
      <w:r w:rsidRPr="000E47F7">
        <w:t xml:space="preserve"> that application</w:t>
      </w:r>
      <w:r w:rsidR="00FF5BBE" w:rsidRPr="000E47F7">
        <w:t>s</w:t>
      </w:r>
      <w:r w:rsidRPr="000E47F7">
        <w:t xml:space="preserve"> </w:t>
      </w:r>
      <w:r w:rsidR="00FF5BBE" w:rsidRPr="000E47F7">
        <w:t>under</w:t>
      </w:r>
      <w:r w:rsidRPr="000E47F7">
        <w:t xml:space="preserve"> Article 8 </w:t>
      </w:r>
      <w:r w:rsidR="00F87D8C" w:rsidRPr="000E47F7">
        <w:t>and</w:t>
      </w:r>
      <w:r w:rsidR="00B04369" w:rsidRPr="000E47F7">
        <w:t>, indeed,</w:t>
      </w:r>
      <w:r w:rsidR="00F87D8C" w:rsidRPr="000E47F7">
        <w:t xml:space="preserve"> Article 3</w:t>
      </w:r>
      <w:r w:rsidR="00FF5BBE" w:rsidRPr="000E47F7">
        <w:t xml:space="preserve"> of the Convention,</w:t>
      </w:r>
      <w:r w:rsidR="00F87D8C" w:rsidRPr="000E47F7">
        <w:t xml:space="preserve"> </w:t>
      </w:r>
      <w:r w:rsidRPr="000E47F7">
        <w:t xml:space="preserve">will </w:t>
      </w:r>
      <w:r w:rsidR="008925C2" w:rsidRPr="000E47F7">
        <w:t>be declared</w:t>
      </w:r>
      <w:r w:rsidRPr="000E47F7">
        <w:t xml:space="preserve"> inadmissible </w:t>
      </w:r>
      <w:r w:rsidR="00FB6427" w:rsidRPr="000E47F7">
        <w:t xml:space="preserve">by the Strasbourg Court </w:t>
      </w:r>
      <w:r w:rsidRPr="000E47F7">
        <w:t xml:space="preserve">if </w:t>
      </w:r>
      <w:r w:rsidR="00D3413E" w:rsidRPr="000E47F7">
        <w:t xml:space="preserve">the expulsion of </w:t>
      </w:r>
      <w:r w:rsidR="00FF5BBE" w:rsidRPr="000E47F7">
        <w:t>the</w:t>
      </w:r>
      <w:r w:rsidR="00D3413E" w:rsidRPr="000E47F7">
        <w:t xml:space="preserve"> foreign national</w:t>
      </w:r>
      <w:r w:rsidRPr="000E47F7">
        <w:rPr>
          <w:lang w:val="en"/>
        </w:rPr>
        <w:t xml:space="preserve"> </w:t>
      </w:r>
      <w:r w:rsidR="00FF5BBE" w:rsidRPr="000E47F7">
        <w:rPr>
          <w:lang w:val="en"/>
        </w:rPr>
        <w:t xml:space="preserve">concerned </w:t>
      </w:r>
      <w:r w:rsidRPr="000E47F7">
        <w:rPr>
          <w:lang w:val="en"/>
        </w:rPr>
        <w:t>is not in</w:t>
      </w:r>
      <w:r w:rsidR="00FF5BBE" w:rsidRPr="000E47F7">
        <w:rPr>
          <w:lang w:val="en"/>
        </w:rPr>
        <w:t xml:space="preserve"> the</w:t>
      </w:r>
      <w:r w:rsidRPr="000E47F7">
        <w:rPr>
          <w:lang w:val="en"/>
        </w:rPr>
        <w:t xml:space="preserve"> </w:t>
      </w:r>
      <w:r w:rsidR="00B04369" w:rsidRPr="000E47F7">
        <w:rPr>
          <w:lang w:val="en"/>
        </w:rPr>
        <w:t>‘</w:t>
      </w:r>
      <w:r w:rsidRPr="000E47F7">
        <w:rPr>
          <w:i/>
          <w:lang w:val="en"/>
        </w:rPr>
        <w:t>immediate contemplation</w:t>
      </w:r>
      <w:r w:rsidR="00B04369" w:rsidRPr="000E47F7">
        <w:rPr>
          <w:lang w:val="en"/>
        </w:rPr>
        <w:t>’</w:t>
      </w:r>
      <w:r w:rsidR="00D3413E" w:rsidRPr="000E47F7">
        <w:rPr>
          <w:lang w:val="en"/>
        </w:rPr>
        <w:t xml:space="preserve"> </w:t>
      </w:r>
      <w:r w:rsidR="00FF5BBE" w:rsidRPr="000E47F7">
        <w:rPr>
          <w:lang w:val="en"/>
        </w:rPr>
        <w:t xml:space="preserve">of the authorities </w:t>
      </w:r>
      <w:r w:rsidR="00FB6427" w:rsidRPr="000E47F7">
        <w:rPr>
          <w:lang w:val="en"/>
        </w:rPr>
        <w:t xml:space="preserve">and </w:t>
      </w:r>
      <w:r w:rsidR="00B04369" w:rsidRPr="000E47F7">
        <w:rPr>
          <w:lang w:val="en"/>
        </w:rPr>
        <w:t xml:space="preserve">where </w:t>
      </w:r>
      <w:r w:rsidR="0088713C" w:rsidRPr="000E47F7">
        <w:rPr>
          <w:lang w:val="en"/>
        </w:rPr>
        <w:t>an appropriate</w:t>
      </w:r>
      <w:r w:rsidR="00FB6427" w:rsidRPr="000E47F7">
        <w:rPr>
          <w:lang w:val="en"/>
        </w:rPr>
        <w:t xml:space="preserve"> assessment </w:t>
      </w:r>
      <w:r w:rsidR="00B04369" w:rsidRPr="000E47F7">
        <w:rPr>
          <w:lang w:val="en"/>
        </w:rPr>
        <w:t xml:space="preserve">will </w:t>
      </w:r>
      <w:r w:rsidR="0096464F" w:rsidRPr="000E47F7">
        <w:rPr>
          <w:lang w:val="en"/>
        </w:rPr>
        <w:t>be</w:t>
      </w:r>
      <w:r w:rsidR="00FB6427" w:rsidRPr="000E47F7">
        <w:rPr>
          <w:lang w:val="en"/>
        </w:rPr>
        <w:t xml:space="preserve"> available</w:t>
      </w:r>
      <w:r w:rsidR="00B04369" w:rsidRPr="000E47F7">
        <w:rPr>
          <w:lang w:val="en"/>
        </w:rPr>
        <w:t xml:space="preserve"> to </w:t>
      </w:r>
      <w:r w:rsidR="00FF5BBE" w:rsidRPr="000E47F7">
        <w:rPr>
          <w:lang w:val="en"/>
        </w:rPr>
        <w:t>that individual</w:t>
      </w:r>
      <w:r w:rsidR="00FB6427" w:rsidRPr="000E47F7">
        <w:rPr>
          <w:lang w:val="en"/>
        </w:rPr>
        <w:t xml:space="preserve"> at a later stage</w:t>
      </w:r>
      <w:r w:rsidR="00B04369" w:rsidRPr="000E47F7">
        <w:rPr>
          <w:lang w:val="en"/>
        </w:rPr>
        <w:t xml:space="preserve"> in the domestic process</w:t>
      </w:r>
      <w:r w:rsidR="00FB6427" w:rsidRPr="000E47F7">
        <w:rPr>
          <w:lang w:val="en"/>
        </w:rPr>
        <w:t xml:space="preserve"> </w:t>
      </w:r>
      <w:r w:rsidR="00D3413E" w:rsidRPr="000E47F7">
        <w:rPr>
          <w:lang w:val="en"/>
        </w:rPr>
        <w:t>(see para</w:t>
      </w:r>
      <w:r w:rsidR="00B04369" w:rsidRPr="000E47F7">
        <w:rPr>
          <w:lang w:val="en"/>
        </w:rPr>
        <w:t>s</w:t>
      </w:r>
      <w:r w:rsidR="00F87D8C" w:rsidRPr="000E47F7">
        <w:rPr>
          <w:lang w:val="en"/>
        </w:rPr>
        <w:t>.</w:t>
      </w:r>
      <w:r w:rsidR="00B04369" w:rsidRPr="000E47F7">
        <w:rPr>
          <w:lang w:val="en"/>
        </w:rPr>
        <w:t xml:space="preserve"> </w:t>
      </w:r>
      <w:r w:rsidR="00830D5A" w:rsidRPr="000E47F7">
        <w:rPr>
          <w:lang w:val="en"/>
        </w:rPr>
        <w:t xml:space="preserve">64 and </w:t>
      </w:r>
      <w:r w:rsidR="0057317C" w:rsidRPr="000E47F7">
        <w:rPr>
          <w:lang w:val="en"/>
        </w:rPr>
        <w:t>6</w:t>
      </w:r>
      <w:r w:rsidR="003B490E" w:rsidRPr="000E47F7">
        <w:rPr>
          <w:lang w:val="en"/>
        </w:rPr>
        <w:t>5</w:t>
      </w:r>
      <w:r w:rsidR="0057317C" w:rsidRPr="000E47F7">
        <w:rPr>
          <w:lang w:val="en"/>
        </w:rPr>
        <w:t xml:space="preserve"> </w:t>
      </w:r>
      <w:r w:rsidR="00D3413E" w:rsidRPr="000E47F7">
        <w:rPr>
          <w:lang w:val="en"/>
        </w:rPr>
        <w:t xml:space="preserve">below).  </w:t>
      </w:r>
      <w:r w:rsidRPr="000E47F7">
        <w:rPr>
          <w:lang w:val="en"/>
        </w:rPr>
        <w:t xml:space="preserve"> For the reasons set out in</w:t>
      </w:r>
      <w:r w:rsidR="00FB6427" w:rsidRPr="000E47F7">
        <w:rPr>
          <w:lang w:val="en"/>
        </w:rPr>
        <w:t xml:space="preserve"> the</w:t>
      </w:r>
      <w:r w:rsidRPr="000E47F7">
        <w:rPr>
          <w:lang w:val="en"/>
        </w:rPr>
        <w:t xml:space="preserve"> </w:t>
      </w:r>
      <w:r w:rsidRPr="000E47F7">
        <w:rPr>
          <w:i/>
          <w:lang w:val="en"/>
        </w:rPr>
        <w:t>Luximon</w:t>
      </w:r>
      <w:r w:rsidR="00FB6427" w:rsidRPr="000E47F7">
        <w:rPr>
          <w:i/>
          <w:lang w:val="en"/>
        </w:rPr>
        <w:t xml:space="preserve"> </w:t>
      </w:r>
      <w:r w:rsidR="00FB6427" w:rsidRPr="000E47F7">
        <w:rPr>
          <w:lang w:val="en"/>
        </w:rPr>
        <w:t>appeals</w:t>
      </w:r>
      <w:r w:rsidR="008925C2" w:rsidRPr="000E47F7">
        <w:rPr>
          <w:lang w:val="en"/>
        </w:rPr>
        <w:t xml:space="preserve"> </w:t>
      </w:r>
      <w:r w:rsidR="00201386" w:rsidRPr="000E47F7">
        <w:rPr>
          <w:lang w:val="en"/>
        </w:rPr>
        <w:t>(</w:t>
      </w:r>
      <w:r w:rsidR="00C60F3F" w:rsidRPr="000E47F7">
        <w:rPr>
          <w:lang w:val="en"/>
        </w:rPr>
        <w:t>at</w:t>
      </w:r>
      <w:r w:rsidR="00201386" w:rsidRPr="000E47F7">
        <w:rPr>
          <w:lang w:val="en"/>
        </w:rPr>
        <w:t xml:space="preserve"> para. 45) </w:t>
      </w:r>
      <w:r w:rsidR="008925C2" w:rsidRPr="000E47F7">
        <w:rPr>
          <w:lang w:val="en"/>
        </w:rPr>
        <w:t xml:space="preserve">and based on the facts </w:t>
      </w:r>
      <w:r w:rsidR="00C60F3F" w:rsidRPr="000E47F7">
        <w:rPr>
          <w:lang w:val="en"/>
        </w:rPr>
        <w:t>of those cases,</w:t>
      </w:r>
      <w:r w:rsidRPr="000E47F7">
        <w:rPr>
          <w:lang w:val="en"/>
        </w:rPr>
        <w:t xml:space="preserve"> </w:t>
      </w:r>
      <w:r w:rsidR="00152937" w:rsidRPr="000E47F7">
        <w:rPr>
          <w:lang w:val="en"/>
        </w:rPr>
        <w:t>a</w:t>
      </w:r>
      <w:r w:rsidR="008925C2" w:rsidRPr="000E47F7">
        <w:rPr>
          <w:lang w:val="en"/>
        </w:rPr>
        <w:t xml:space="preserve"> proposed de</w:t>
      </w:r>
      <w:r w:rsidR="001C15CE" w:rsidRPr="000E47F7">
        <w:rPr>
          <w:lang w:val="en"/>
        </w:rPr>
        <w:t>fe</w:t>
      </w:r>
      <w:r w:rsidR="008925C2" w:rsidRPr="000E47F7">
        <w:rPr>
          <w:lang w:val="en"/>
        </w:rPr>
        <w:t>rra</w:t>
      </w:r>
      <w:r w:rsidR="001C15CE" w:rsidRPr="000E47F7">
        <w:rPr>
          <w:lang w:val="en"/>
        </w:rPr>
        <w:t xml:space="preserve">l of </w:t>
      </w:r>
      <w:r w:rsidR="008925C2" w:rsidRPr="000E47F7">
        <w:rPr>
          <w:lang w:val="en"/>
        </w:rPr>
        <w:t>the appellants’</w:t>
      </w:r>
      <w:r w:rsidR="001C15CE" w:rsidRPr="000E47F7">
        <w:rPr>
          <w:lang w:val="en"/>
        </w:rPr>
        <w:t xml:space="preserve"> assessment to the deportation stage was </w:t>
      </w:r>
      <w:r w:rsidR="008925C2" w:rsidRPr="000E47F7">
        <w:rPr>
          <w:lang w:val="en"/>
        </w:rPr>
        <w:t>rejected</w:t>
      </w:r>
      <w:r w:rsidR="00152937" w:rsidRPr="000E47F7">
        <w:rPr>
          <w:lang w:val="en"/>
        </w:rPr>
        <w:t xml:space="preserve"> because, </w:t>
      </w:r>
      <w:r w:rsidR="00152937" w:rsidRPr="000E47F7">
        <w:rPr>
          <w:i/>
          <w:lang w:val="en"/>
        </w:rPr>
        <w:t>inter alia</w:t>
      </w:r>
      <w:r w:rsidR="00152937" w:rsidRPr="000E47F7">
        <w:rPr>
          <w:lang w:val="en"/>
        </w:rPr>
        <w:t xml:space="preserve">, it </w:t>
      </w:r>
      <w:r w:rsidR="00EF317C" w:rsidRPr="000E47F7">
        <w:rPr>
          <w:lang w:val="en"/>
        </w:rPr>
        <w:t xml:space="preserve">would have </w:t>
      </w:r>
      <w:r w:rsidR="00152937" w:rsidRPr="000E47F7">
        <w:rPr>
          <w:lang w:val="en"/>
        </w:rPr>
        <w:t>entailed</w:t>
      </w:r>
      <w:r w:rsidR="00EF317C" w:rsidRPr="000E47F7">
        <w:rPr>
          <w:lang w:val="en"/>
        </w:rPr>
        <w:t xml:space="preserve"> a change in the</w:t>
      </w:r>
      <w:r w:rsidR="006C1133" w:rsidRPr="000E47F7">
        <w:rPr>
          <w:lang w:val="en"/>
        </w:rPr>
        <w:t xml:space="preserve"> appellants’</w:t>
      </w:r>
      <w:r w:rsidR="00EF317C" w:rsidRPr="000E47F7">
        <w:rPr>
          <w:lang w:val="en"/>
        </w:rPr>
        <w:t xml:space="preserve"> status from </w:t>
      </w:r>
      <w:r w:rsidR="0096464F" w:rsidRPr="000E47F7">
        <w:rPr>
          <w:lang w:val="en"/>
        </w:rPr>
        <w:t>one</w:t>
      </w:r>
      <w:r w:rsidR="00EF317C" w:rsidRPr="000E47F7">
        <w:rPr>
          <w:lang w:val="en"/>
        </w:rPr>
        <w:t xml:space="preserve"> of lawfully settled residents to unlawfully present over-stayers.  </w:t>
      </w:r>
      <w:r w:rsidR="00EA4A37" w:rsidRPr="000E47F7">
        <w:rPr>
          <w:lang w:val="en"/>
        </w:rPr>
        <w:t xml:space="preserve">That cannot be said of the facts in this case. We will return to the </w:t>
      </w:r>
      <w:r w:rsidR="00FB6427" w:rsidRPr="000E47F7">
        <w:rPr>
          <w:lang w:val="en"/>
        </w:rPr>
        <w:t>relevant</w:t>
      </w:r>
      <w:r w:rsidR="00EA4A37" w:rsidRPr="000E47F7">
        <w:rPr>
          <w:lang w:val="en"/>
        </w:rPr>
        <w:t xml:space="preserve"> authorities later</w:t>
      </w:r>
      <w:r w:rsidR="00FB6427" w:rsidRPr="000E47F7">
        <w:rPr>
          <w:lang w:val="en"/>
        </w:rPr>
        <w:t>.</w:t>
      </w:r>
    </w:p>
    <w:p w14:paraId="08AB3708" w14:textId="77777777" w:rsidR="00F87D8C" w:rsidRPr="000E47F7" w:rsidRDefault="00F87D8C" w:rsidP="00F87D8C">
      <w:pPr>
        <w:pStyle w:val="ListParagraph"/>
        <w:rPr>
          <w:lang w:val="en-GB"/>
        </w:rPr>
      </w:pPr>
    </w:p>
    <w:p w14:paraId="2B6AF3F7" w14:textId="655C7112" w:rsidR="00C841E8" w:rsidRPr="000E47F7" w:rsidRDefault="00614502" w:rsidP="00F87D8C">
      <w:pPr>
        <w:numPr>
          <w:ilvl w:val="0"/>
          <w:numId w:val="1"/>
        </w:numPr>
        <w:spacing w:line="480" w:lineRule="auto"/>
        <w:jc w:val="both"/>
        <w:rPr>
          <w:lang w:val="en-GB"/>
        </w:rPr>
      </w:pPr>
      <w:r w:rsidRPr="000E47F7">
        <w:rPr>
          <w:lang w:val="en"/>
        </w:rPr>
        <w:t xml:space="preserve">For now, suffice </w:t>
      </w:r>
      <w:r w:rsidR="00015B65" w:rsidRPr="000E47F7">
        <w:rPr>
          <w:lang w:val="en"/>
        </w:rPr>
        <w:t xml:space="preserve">it </w:t>
      </w:r>
      <w:r w:rsidRPr="000E47F7">
        <w:rPr>
          <w:lang w:val="en"/>
        </w:rPr>
        <w:t>to say that the Supreme Court took the view that notwithstanding the absence of an imminent expulsion order, there may exist a positive obligation under Article 8 when the State is considering an application in relation to the right of residence.  In particular, the</w:t>
      </w:r>
      <w:r w:rsidRPr="000E47F7">
        <w:rPr>
          <w:iCs/>
          <w:lang w:val="en"/>
        </w:rPr>
        <w:t xml:space="preserve"> Grand Chamber’s judgment in </w:t>
      </w:r>
      <w:r w:rsidRPr="000E47F7">
        <w:rPr>
          <w:i/>
          <w:iCs/>
          <w:lang w:val="en"/>
        </w:rPr>
        <w:t xml:space="preserve">Jeunesse </w:t>
      </w:r>
      <w:r w:rsidR="00FB6427" w:rsidRPr="000E47F7">
        <w:rPr>
          <w:lang w:val="en"/>
        </w:rPr>
        <w:t xml:space="preserve">was identified </w:t>
      </w:r>
      <w:r w:rsidRPr="000E47F7">
        <w:rPr>
          <w:lang w:val="en"/>
        </w:rPr>
        <w:t>as a case in which the Strasb</w:t>
      </w:r>
      <w:r w:rsidR="00F83BEB" w:rsidRPr="000E47F7">
        <w:rPr>
          <w:lang w:val="en"/>
        </w:rPr>
        <w:t>o</w:t>
      </w:r>
      <w:r w:rsidRPr="000E47F7">
        <w:rPr>
          <w:lang w:val="en"/>
        </w:rPr>
        <w:t>urg Court had addressed the right of an applicant to ‘</w:t>
      </w:r>
      <w:r w:rsidRPr="000E47F7">
        <w:rPr>
          <w:i/>
          <w:lang w:val="en"/>
        </w:rPr>
        <w:t xml:space="preserve">a residence permit’ </w:t>
      </w:r>
      <w:r w:rsidRPr="000E47F7">
        <w:rPr>
          <w:lang w:val="en"/>
        </w:rPr>
        <w:t>even in circumstances where she had been residing in the Netherlands without any legal entitlement to do so.</w:t>
      </w:r>
    </w:p>
    <w:p w14:paraId="411E1E33" w14:textId="77777777" w:rsidR="00F87D8C" w:rsidRPr="000E47F7" w:rsidRDefault="00614502" w:rsidP="00E158DB">
      <w:pPr>
        <w:spacing w:line="480" w:lineRule="auto"/>
        <w:jc w:val="both"/>
        <w:rPr>
          <w:lang w:val="en-GB"/>
        </w:rPr>
      </w:pPr>
      <w:r w:rsidRPr="000E47F7">
        <w:rPr>
          <w:lang w:val="en"/>
        </w:rPr>
        <w:t xml:space="preserve">  </w:t>
      </w:r>
    </w:p>
    <w:p w14:paraId="3B7971B4" w14:textId="3D5767BF" w:rsidR="00F87D8C" w:rsidRPr="000E47F7" w:rsidRDefault="00614502" w:rsidP="00F87D8C">
      <w:pPr>
        <w:numPr>
          <w:ilvl w:val="0"/>
          <w:numId w:val="1"/>
        </w:numPr>
        <w:spacing w:line="480" w:lineRule="auto"/>
        <w:jc w:val="both"/>
        <w:rPr>
          <w:lang w:val="en-GB"/>
        </w:rPr>
      </w:pPr>
      <w:r w:rsidRPr="000E47F7">
        <w:rPr>
          <w:i/>
          <w:lang w:val="en"/>
        </w:rPr>
        <w:t>Jeunesse</w:t>
      </w:r>
      <w:r w:rsidRPr="000E47F7">
        <w:rPr>
          <w:lang w:val="en"/>
        </w:rPr>
        <w:t xml:space="preserve"> </w:t>
      </w:r>
      <w:r w:rsidR="00EA4A37" w:rsidRPr="000E47F7">
        <w:rPr>
          <w:lang w:val="en"/>
        </w:rPr>
        <w:t xml:space="preserve">thus </w:t>
      </w:r>
      <w:r w:rsidRPr="000E47F7">
        <w:rPr>
          <w:lang w:val="en"/>
        </w:rPr>
        <w:t>merits particular consideration</w:t>
      </w:r>
      <w:r w:rsidR="0087231F" w:rsidRPr="000E47F7">
        <w:rPr>
          <w:lang w:val="en"/>
        </w:rPr>
        <w:t>.</w:t>
      </w:r>
      <w:r w:rsidRPr="000E47F7">
        <w:rPr>
          <w:lang w:val="en"/>
        </w:rPr>
        <w:t xml:space="preserve"> </w:t>
      </w:r>
      <w:r w:rsidRPr="000E47F7">
        <w:t xml:space="preserve">The applicant had been born and lived in Surinam, a former colony of the Netherlands.  Both she and her partner had acquired Surinamese nationality in 1975 when Surinam gained its independence.  </w:t>
      </w:r>
      <w:r w:rsidR="00C60F3F" w:rsidRPr="000E47F7">
        <w:t xml:space="preserve">Having exercised </w:t>
      </w:r>
      <w:r w:rsidRPr="000E47F7">
        <w:t>his right to</w:t>
      </w:r>
      <w:r w:rsidR="0059646F" w:rsidRPr="000E47F7">
        <w:t xml:space="preserve"> travel to and</w:t>
      </w:r>
      <w:r w:rsidRPr="000E47F7">
        <w:t xml:space="preserve"> apply for residence in the Netherlands, </w:t>
      </w:r>
      <w:r w:rsidR="00EA4A37" w:rsidRPr="000E47F7">
        <w:t>the applicant’s partne</w:t>
      </w:r>
      <w:r w:rsidRPr="000E47F7">
        <w:t xml:space="preserve">r </w:t>
      </w:r>
      <w:r w:rsidR="00C60F3F" w:rsidRPr="000E47F7">
        <w:t>was</w:t>
      </w:r>
      <w:r w:rsidRPr="000E47F7">
        <w:t xml:space="preserve"> granted Netherlands nationality</w:t>
      </w:r>
      <w:r w:rsidR="00C60F3F" w:rsidRPr="000E47F7">
        <w:t xml:space="preserve"> in 1993.  This</w:t>
      </w:r>
      <w:r w:rsidRPr="000E47F7">
        <w:t xml:space="preserve"> entailed the renunciation of his Surinamese nationality.   </w:t>
      </w:r>
      <w:r w:rsidR="00C60F3F" w:rsidRPr="000E47F7">
        <w:lastRenderedPageBreak/>
        <w:t>In 1997</w:t>
      </w:r>
      <w:r w:rsidR="0059646F" w:rsidRPr="000E47F7">
        <w:t>, t</w:t>
      </w:r>
      <w:r w:rsidRPr="000E47F7">
        <w:t xml:space="preserve">he applicant travelled to the Netherlands on a visitor’s visa </w:t>
      </w:r>
      <w:r w:rsidR="00C60F3F" w:rsidRPr="000E47F7">
        <w:t xml:space="preserve">(valid for 45 days) </w:t>
      </w:r>
      <w:r w:rsidRPr="000E47F7">
        <w:t xml:space="preserve">and had, thereafter, remained with her partner and </w:t>
      </w:r>
      <w:r w:rsidR="00C60F3F" w:rsidRPr="000E47F7">
        <w:t xml:space="preserve">had </w:t>
      </w:r>
      <w:r w:rsidRPr="000E47F7">
        <w:t xml:space="preserve">married him. </w:t>
      </w:r>
      <w:r w:rsidR="00B3277B" w:rsidRPr="000E47F7">
        <w:t xml:space="preserve"> </w:t>
      </w:r>
      <w:r w:rsidRPr="000E47F7">
        <w:t>From the outset, she had made several unsuccessful attempts to regulari</w:t>
      </w:r>
      <w:r w:rsidR="00B3277B" w:rsidRPr="000E47F7">
        <w:t>s</w:t>
      </w:r>
      <w:r w:rsidRPr="000E47F7">
        <w:t xml:space="preserve">e her status in the host State.  By the time </w:t>
      </w:r>
      <w:r w:rsidR="00F15A21" w:rsidRPr="000E47F7">
        <w:t>the Grand Chamber delivered its judgment in 2014</w:t>
      </w:r>
      <w:r w:rsidRPr="000E47F7">
        <w:t>, she had lived in the Netherlands fo</w:t>
      </w:r>
      <w:r w:rsidR="00F15A21" w:rsidRPr="000E47F7">
        <w:t xml:space="preserve">r over </w:t>
      </w:r>
      <w:r w:rsidR="0059646F" w:rsidRPr="000E47F7">
        <w:t>almost two decades</w:t>
      </w:r>
      <w:r w:rsidR="00325451" w:rsidRPr="000E47F7">
        <w:t>.  H</w:t>
      </w:r>
      <w:r w:rsidRPr="000E47F7">
        <w:t xml:space="preserve">er husband and </w:t>
      </w:r>
      <w:r w:rsidR="00325451" w:rsidRPr="000E47F7">
        <w:t xml:space="preserve">their </w:t>
      </w:r>
      <w:r w:rsidRPr="000E47F7">
        <w:t>three children were Dutch nationals.</w:t>
      </w:r>
    </w:p>
    <w:p w14:paraId="3D0BE4CD" w14:textId="77777777" w:rsidR="00F87D8C" w:rsidRPr="000E47F7" w:rsidRDefault="00F87D8C" w:rsidP="00F87D8C">
      <w:pPr>
        <w:spacing w:line="480" w:lineRule="auto"/>
        <w:jc w:val="both"/>
        <w:rPr>
          <w:lang w:val="en-GB"/>
        </w:rPr>
      </w:pPr>
    </w:p>
    <w:p w14:paraId="427F6587" w14:textId="4E3EF454" w:rsidR="00F87D8C" w:rsidRPr="000E47F7" w:rsidRDefault="00F345CE" w:rsidP="00F87D8C">
      <w:pPr>
        <w:numPr>
          <w:ilvl w:val="0"/>
          <w:numId w:val="1"/>
        </w:numPr>
        <w:spacing w:line="480" w:lineRule="auto"/>
        <w:jc w:val="both"/>
        <w:rPr>
          <w:lang w:val="en-GB"/>
        </w:rPr>
      </w:pPr>
      <w:r w:rsidRPr="000E47F7">
        <w:t>At the outset, t</w:t>
      </w:r>
      <w:r w:rsidR="00614502" w:rsidRPr="000E47F7">
        <w:t xml:space="preserve">he </w:t>
      </w:r>
      <w:r w:rsidR="00C60F3F" w:rsidRPr="000E47F7">
        <w:t>C</w:t>
      </w:r>
      <w:r w:rsidR="00614502" w:rsidRPr="000E47F7">
        <w:t>ourt</w:t>
      </w:r>
      <w:r w:rsidRPr="000E47F7">
        <w:t xml:space="preserve"> </w:t>
      </w:r>
      <w:r w:rsidR="00614502" w:rsidRPr="000E47F7">
        <w:t xml:space="preserve">noted the applicant’s failure to obtain a provisional residence visa from abroad before seeking permanent residence rights in the Netherlands.  </w:t>
      </w:r>
      <w:r w:rsidR="00C60F3F" w:rsidRPr="000E47F7">
        <w:t xml:space="preserve">It </w:t>
      </w:r>
      <w:r w:rsidR="00614502" w:rsidRPr="000E47F7">
        <w:t>confirm</w:t>
      </w:r>
      <w:r w:rsidR="00325451" w:rsidRPr="000E47F7">
        <w:t>ed</w:t>
      </w:r>
      <w:r w:rsidR="00614502" w:rsidRPr="000E47F7">
        <w:t xml:space="preserve"> that States are under no obligation to allow foreign nationals to remain on their territory whilst awaiting the outcome of immigration proceedings</w:t>
      </w:r>
      <w:r w:rsidR="0057704D" w:rsidRPr="000E47F7">
        <w:t>. (See</w:t>
      </w:r>
      <w:r w:rsidR="00614502" w:rsidRPr="000E47F7">
        <w:t xml:space="preserve"> </w:t>
      </w:r>
      <w:r w:rsidR="0057704D" w:rsidRPr="000E47F7">
        <w:rPr>
          <w:i/>
          <w:iCs/>
        </w:rPr>
        <w:t>Longa v. Netherlands</w:t>
      </w:r>
      <w:r w:rsidR="0057704D" w:rsidRPr="000E47F7">
        <w:t xml:space="preserve"> (App. No.</w:t>
      </w:r>
      <w:r w:rsidR="00EB579A" w:rsidRPr="000E47F7">
        <w:t xml:space="preserve"> </w:t>
      </w:r>
      <w:hyperlink r:id="rId10" w:anchor="{%22appno%22:[%2233917/12%22]}" w:tgtFrame="_blank" w:history="1">
        <w:r w:rsidR="0057704D" w:rsidRPr="000E47F7">
          <w:rPr>
            <w:rStyle w:val="Hyperlink"/>
            <w:color w:val="auto"/>
            <w:u w:val="none"/>
          </w:rPr>
          <w:t>33917/12</w:t>
        </w:r>
      </w:hyperlink>
      <w:r w:rsidR="0057704D" w:rsidRPr="000E47F7">
        <w:rPr>
          <w:rStyle w:val="Hyperlink"/>
          <w:color w:val="auto"/>
          <w:u w:val="none"/>
        </w:rPr>
        <w:t>)</w:t>
      </w:r>
      <w:r w:rsidR="0057704D" w:rsidRPr="000E47F7">
        <w:t xml:space="preserve"> (2013) 56 E.H.R.R. SE1)</w:t>
      </w:r>
      <w:r w:rsidR="00EB579A" w:rsidRPr="000E47F7">
        <w:t>.</w:t>
      </w:r>
    </w:p>
    <w:p w14:paraId="2C66D11F" w14:textId="77777777" w:rsidR="00F87D8C" w:rsidRPr="000E47F7" w:rsidRDefault="00F87D8C" w:rsidP="00F87D8C">
      <w:pPr>
        <w:pStyle w:val="ListParagraph"/>
        <w:rPr>
          <w:lang w:val="en-GB"/>
        </w:rPr>
      </w:pPr>
    </w:p>
    <w:p w14:paraId="7F716D5F" w14:textId="470F96A5" w:rsidR="00F87D8C" w:rsidRPr="000E47F7" w:rsidRDefault="00C60F3F" w:rsidP="00F87D8C">
      <w:pPr>
        <w:numPr>
          <w:ilvl w:val="0"/>
          <w:numId w:val="1"/>
        </w:numPr>
        <w:spacing w:line="480" w:lineRule="auto"/>
        <w:jc w:val="both"/>
        <w:rPr>
          <w:lang w:val="en-GB"/>
        </w:rPr>
      </w:pPr>
      <w:r w:rsidRPr="000E47F7">
        <w:t>In the Court’s view,</w:t>
      </w:r>
      <w:r w:rsidR="00614502" w:rsidRPr="000E47F7">
        <w:t xml:space="preserve"> </w:t>
      </w:r>
      <w:r w:rsidR="00325451" w:rsidRPr="000E47F7">
        <w:t>the applicant’s</w:t>
      </w:r>
      <w:r w:rsidR="00614502" w:rsidRPr="000E47F7">
        <w:t xml:space="preserve"> stay in the Netherlands could not be equated with a lawful stay</w:t>
      </w:r>
      <w:r w:rsidR="00614502" w:rsidRPr="000E47F7">
        <w:rPr>
          <w:b/>
        </w:rPr>
        <w:t xml:space="preserve"> </w:t>
      </w:r>
      <w:r w:rsidR="00614502" w:rsidRPr="000E47F7">
        <w:t xml:space="preserve">where an alien </w:t>
      </w:r>
      <w:r w:rsidRPr="000E47F7">
        <w:t>obtains</w:t>
      </w:r>
      <w:r w:rsidR="00325451" w:rsidRPr="000E47F7">
        <w:t xml:space="preserve"> </w:t>
      </w:r>
      <w:r w:rsidR="00614502" w:rsidRPr="000E47F7">
        <w:t xml:space="preserve">permission to </w:t>
      </w:r>
      <w:r w:rsidRPr="000E47F7">
        <w:t>reside</w:t>
      </w:r>
      <w:r w:rsidR="00614502" w:rsidRPr="000E47F7">
        <w:t xml:space="preserve"> in </w:t>
      </w:r>
      <w:r w:rsidR="00325451" w:rsidRPr="000E47F7">
        <w:t xml:space="preserve">the </w:t>
      </w:r>
      <w:r w:rsidR="00614502" w:rsidRPr="000E47F7">
        <w:t>country</w:t>
      </w:r>
      <w:r w:rsidR="00325451" w:rsidRPr="000E47F7">
        <w:t xml:space="preserve"> </w:t>
      </w:r>
      <w:r w:rsidRPr="000E47F7">
        <w:t>and</w:t>
      </w:r>
      <w:r w:rsidR="00325451" w:rsidRPr="000E47F7">
        <w:t xml:space="preserve"> becomes a ‘settled migrant’.   </w:t>
      </w:r>
      <w:r w:rsidR="00614502" w:rsidRPr="000E47F7">
        <w:t xml:space="preserve">Where settled migrants are </w:t>
      </w:r>
      <w:r w:rsidR="0059646F" w:rsidRPr="000E47F7">
        <w:t>concerned</w:t>
      </w:r>
      <w:r w:rsidR="00614502" w:rsidRPr="000E47F7">
        <w:t xml:space="preserve"> the Strasburg Court will examine </w:t>
      </w:r>
      <w:r w:rsidR="0059646F" w:rsidRPr="000E47F7">
        <w:t>whether a withdrawal of a residence right</w:t>
      </w:r>
      <w:r w:rsidR="00614502" w:rsidRPr="000E47F7">
        <w:t xml:space="preserve"> is </w:t>
      </w:r>
      <w:r w:rsidR="0059646F" w:rsidRPr="000E47F7">
        <w:t xml:space="preserve">a </w:t>
      </w:r>
      <w:r w:rsidR="00614502" w:rsidRPr="000E47F7">
        <w:t xml:space="preserve">justified </w:t>
      </w:r>
      <w:r w:rsidR="0059646F" w:rsidRPr="000E47F7">
        <w:t xml:space="preserve">interference </w:t>
      </w:r>
      <w:r w:rsidR="00614502" w:rsidRPr="000E47F7">
        <w:t>under Article 8(2) and</w:t>
      </w:r>
      <w:r w:rsidR="00795BE3" w:rsidRPr="000E47F7">
        <w:t>, in so doing,</w:t>
      </w:r>
      <w:r w:rsidR="00614502" w:rsidRPr="000E47F7">
        <w:t xml:space="preserve"> it will have regard to </w:t>
      </w:r>
      <w:r w:rsidR="00D96482" w:rsidRPr="000E47F7">
        <w:t>specific</w:t>
      </w:r>
      <w:r w:rsidR="00614502" w:rsidRPr="000E47F7">
        <w:t xml:space="preserve"> criteria to determine whether a fair</w:t>
      </w:r>
      <w:r w:rsidR="00ED735C" w:rsidRPr="000E47F7">
        <w:t xml:space="preserve"> </w:t>
      </w:r>
      <w:r w:rsidR="00DC0C3D" w:rsidRPr="000E47F7">
        <w:t>balance</w:t>
      </w:r>
      <w:r w:rsidR="00614502" w:rsidRPr="000E47F7">
        <w:t xml:space="preserve"> has been struck between the grounds underlying the authorities’ decision and the Article 8 rights of the individual concerned</w:t>
      </w:r>
      <w:r w:rsidR="0059646F" w:rsidRPr="000E47F7">
        <w:t>.</w:t>
      </w:r>
      <w:r w:rsidR="0059646F" w:rsidRPr="000E47F7">
        <w:rPr>
          <w:rStyle w:val="FootnoteReference"/>
        </w:rPr>
        <w:footnoteReference w:id="3"/>
      </w:r>
    </w:p>
    <w:p w14:paraId="795ADB6C" w14:textId="77777777" w:rsidR="000300C4" w:rsidRPr="000E47F7" w:rsidRDefault="000300C4" w:rsidP="000300C4">
      <w:pPr>
        <w:pStyle w:val="ListParagraph"/>
      </w:pPr>
    </w:p>
    <w:p w14:paraId="7BD3AF3F" w14:textId="017ADCB9" w:rsidR="00F40007" w:rsidRPr="000E47F7" w:rsidRDefault="00614502" w:rsidP="00F40007">
      <w:pPr>
        <w:numPr>
          <w:ilvl w:val="0"/>
          <w:numId w:val="1"/>
        </w:numPr>
        <w:spacing w:line="480" w:lineRule="auto"/>
        <w:jc w:val="both"/>
        <w:rPr>
          <w:lang w:val="en-GB"/>
        </w:rPr>
      </w:pPr>
      <w:r w:rsidRPr="000E47F7">
        <w:t xml:space="preserve">The Court </w:t>
      </w:r>
      <w:r w:rsidR="00D96482" w:rsidRPr="000E47F7">
        <w:t xml:space="preserve">then </w:t>
      </w:r>
      <w:r w:rsidR="00AA7C30" w:rsidRPr="000E47F7">
        <w:t>recalled</w:t>
      </w:r>
      <w:r w:rsidRPr="000E47F7">
        <w:t xml:space="preserve"> its well settled principle that confronting the authorities with family life as a </w:t>
      </w:r>
      <w:r w:rsidRPr="000E47F7">
        <w:rPr>
          <w:i/>
        </w:rPr>
        <w:t xml:space="preserve">fait accompli </w:t>
      </w:r>
      <w:r w:rsidRPr="000E47F7">
        <w:t>does not entail that those authorities are, as a result, under an obligation pursuant to Article 8 of the Convention to allow an applicant to settle.  In this regard, persons in such situation</w:t>
      </w:r>
      <w:r w:rsidR="00D96482" w:rsidRPr="000E47F7">
        <w:t>s</w:t>
      </w:r>
      <w:r w:rsidR="00C60F3F" w:rsidRPr="000E47F7">
        <w:t>, generally,</w:t>
      </w:r>
      <w:r w:rsidRPr="000E47F7">
        <w:t xml:space="preserve"> have no entitlement to expect that a right of residence </w:t>
      </w:r>
      <w:r w:rsidRPr="000E47F7">
        <w:lastRenderedPageBreak/>
        <w:t>will be conferred upon them</w:t>
      </w:r>
      <w:r w:rsidR="008273BD" w:rsidRPr="000E47F7">
        <w:t>.</w:t>
      </w:r>
      <w:r w:rsidR="008273BD" w:rsidRPr="000E47F7">
        <w:rPr>
          <w:rStyle w:val="FootnoteReference"/>
        </w:rPr>
        <w:footnoteReference w:id="4"/>
      </w:r>
      <w:r w:rsidRPr="000E47F7">
        <w:t xml:space="preserve"> </w:t>
      </w:r>
      <w:r w:rsidR="000300C4" w:rsidRPr="000E47F7">
        <w:t xml:space="preserve"> </w:t>
      </w:r>
      <w:r w:rsidR="00D96482" w:rsidRPr="000E47F7">
        <w:t xml:space="preserve"> </w:t>
      </w:r>
      <w:r w:rsidR="001E79EA" w:rsidRPr="000E47F7">
        <w:t>Having</w:t>
      </w:r>
      <w:r w:rsidRPr="000E47F7">
        <w:t xml:space="preserve"> confirmed (at para. 105) that the factual and legal situation of a settled migrant and that of an alien seeking admission to a host country </w:t>
      </w:r>
      <w:r w:rsidR="00DB4881" w:rsidRPr="000E47F7">
        <w:t>are</w:t>
      </w:r>
      <w:r w:rsidRPr="000E47F7">
        <w:t xml:space="preserve"> </w:t>
      </w:r>
      <w:r w:rsidR="00B12980" w:rsidRPr="000E47F7">
        <w:t>‘</w:t>
      </w:r>
      <w:r w:rsidRPr="000E47F7">
        <w:rPr>
          <w:i/>
        </w:rPr>
        <w:t>not the same</w:t>
      </w:r>
      <w:r w:rsidR="00B12980" w:rsidRPr="000E47F7">
        <w:t>’</w:t>
      </w:r>
      <w:r w:rsidR="001E79EA" w:rsidRPr="000E47F7">
        <w:t>,</w:t>
      </w:r>
      <w:r w:rsidRPr="000E47F7">
        <w:t xml:space="preserve"> </w:t>
      </w:r>
      <w:r w:rsidR="001E79EA" w:rsidRPr="000E47F7">
        <w:t xml:space="preserve">the Court </w:t>
      </w:r>
      <w:r w:rsidR="00B12980" w:rsidRPr="000E47F7">
        <w:t>was satisfied</w:t>
      </w:r>
      <w:r w:rsidRPr="000E47F7">
        <w:t xml:space="preserve"> </w:t>
      </w:r>
      <w:r w:rsidR="00FC5735" w:rsidRPr="000E47F7">
        <w:t>that</w:t>
      </w:r>
      <w:r w:rsidR="008141DA" w:rsidRPr="000E47F7">
        <w:t xml:space="preserve"> the </w:t>
      </w:r>
      <w:r w:rsidR="00F942E0" w:rsidRPr="000E47F7">
        <w:t xml:space="preserve">criteria </w:t>
      </w:r>
      <w:r w:rsidR="008141DA" w:rsidRPr="000E47F7">
        <w:t xml:space="preserve">developed in its caselaw </w:t>
      </w:r>
      <w:r w:rsidRPr="000E47F7">
        <w:t xml:space="preserve">for assessing whether </w:t>
      </w:r>
      <w:r w:rsidR="001E79EA" w:rsidRPr="000E47F7">
        <w:t>the</w:t>
      </w:r>
      <w:r w:rsidRPr="000E47F7">
        <w:t xml:space="preserve"> withdrawal of a</w:t>
      </w:r>
      <w:r w:rsidR="001E79EA" w:rsidRPr="000E47F7">
        <w:t xml:space="preserve"> right of</w:t>
      </w:r>
      <w:r w:rsidRPr="000E47F7">
        <w:t xml:space="preserve"> residence </w:t>
      </w:r>
      <w:r w:rsidR="00B12980" w:rsidRPr="000E47F7">
        <w:t>was</w:t>
      </w:r>
      <w:r w:rsidRPr="000E47F7">
        <w:t xml:space="preserve"> compatible with Article 8 could not be transposed, automatically, to the situation </w:t>
      </w:r>
      <w:r w:rsidR="001E79EA" w:rsidRPr="000E47F7">
        <w:t>of the applican</w:t>
      </w:r>
      <w:r w:rsidR="008141DA" w:rsidRPr="000E47F7">
        <w:t>t</w:t>
      </w:r>
      <w:r w:rsidR="001E79EA" w:rsidRPr="000E47F7">
        <w:t xml:space="preserve">—a person who </w:t>
      </w:r>
      <w:r w:rsidRPr="000E47F7">
        <w:t xml:space="preserve">had never been lawfully present in the </w:t>
      </w:r>
      <w:r w:rsidR="00D96482" w:rsidRPr="000E47F7">
        <w:t>S</w:t>
      </w:r>
      <w:r w:rsidRPr="000E47F7">
        <w:t xml:space="preserve">tate.  </w:t>
      </w:r>
      <w:r w:rsidR="00D96482" w:rsidRPr="000E47F7">
        <w:t>As there was</w:t>
      </w:r>
      <w:r w:rsidRPr="000E47F7">
        <w:t xml:space="preserve"> no ‘</w:t>
      </w:r>
      <w:r w:rsidRPr="000E47F7">
        <w:rPr>
          <w:i/>
        </w:rPr>
        <w:t>interference</w:t>
      </w:r>
      <w:r w:rsidRPr="000E47F7">
        <w:t xml:space="preserve">’ by the </w:t>
      </w:r>
      <w:r w:rsidR="00D96482" w:rsidRPr="000E47F7">
        <w:t xml:space="preserve">State in </w:t>
      </w:r>
      <w:r w:rsidR="00D96482" w:rsidRPr="000E47F7">
        <w:rPr>
          <w:i/>
        </w:rPr>
        <w:t>Jeunesse</w:t>
      </w:r>
      <w:r w:rsidRPr="000E47F7">
        <w:t>, the Court considered that the question that fell to be examined was whether, having regard to all of the circumstances, the Netherlands authorities were</w:t>
      </w:r>
      <w:r w:rsidR="00D96482" w:rsidRPr="000E47F7">
        <w:t>, nevertheless,</w:t>
      </w:r>
      <w:r w:rsidRPr="000E47F7">
        <w:t xml:space="preserve"> under a duty pursuant to Article 8 to grant </w:t>
      </w:r>
      <w:r w:rsidR="00D96482" w:rsidRPr="000E47F7">
        <w:t xml:space="preserve">the applicant </w:t>
      </w:r>
      <w:r w:rsidRPr="000E47F7">
        <w:t>a right of residence thus enabling her to exercise family life on their territory.</w:t>
      </w:r>
      <w:r w:rsidR="00DC0C3D" w:rsidRPr="000E47F7">
        <w:t xml:space="preserve">  </w:t>
      </w:r>
    </w:p>
    <w:p w14:paraId="61724F51" w14:textId="77777777" w:rsidR="00F40007" w:rsidRPr="000E47F7" w:rsidRDefault="00F40007" w:rsidP="00F40007">
      <w:pPr>
        <w:spacing w:line="480" w:lineRule="auto"/>
        <w:jc w:val="both"/>
        <w:rPr>
          <w:lang w:val="en-GB"/>
        </w:rPr>
      </w:pPr>
    </w:p>
    <w:p w14:paraId="5A4230A6" w14:textId="078EF028" w:rsidR="00614502" w:rsidRPr="000E47F7" w:rsidRDefault="00614502" w:rsidP="00614502">
      <w:pPr>
        <w:numPr>
          <w:ilvl w:val="0"/>
          <w:numId w:val="1"/>
        </w:numPr>
        <w:spacing w:line="480" w:lineRule="auto"/>
        <w:jc w:val="both"/>
        <w:rPr>
          <w:lang w:val="en-GB"/>
        </w:rPr>
      </w:pPr>
      <w:r w:rsidRPr="000E47F7">
        <w:t>The Court reiterated that where immigration is concerned Article 8 cannot be considered to impose on a State a general obligation to authorise family reunification on its territory (</w:t>
      </w:r>
      <w:r w:rsidR="00F42025" w:rsidRPr="000E47F7">
        <w:t xml:space="preserve">para. </w:t>
      </w:r>
      <w:r w:rsidRPr="000E47F7">
        <w:t>107).  It held that in a case which concerns family life as well as immigration:</w:t>
      </w:r>
      <w:r w:rsidR="00CC5EB3" w:rsidRPr="000E47F7">
        <w:t xml:space="preserve"> -</w:t>
      </w:r>
    </w:p>
    <w:p w14:paraId="38513A08" w14:textId="77777777" w:rsidR="00DC0C3D" w:rsidRPr="000E47F7" w:rsidRDefault="00DC0C3D" w:rsidP="00DC0C3D">
      <w:pPr>
        <w:spacing w:line="480" w:lineRule="auto"/>
        <w:jc w:val="both"/>
        <w:rPr>
          <w:lang w:val="en-GB"/>
        </w:rPr>
      </w:pPr>
    </w:p>
    <w:p w14:paraId="1F2C03B3" w14:textId="08035AF9" w:rsidR="00614502" w:rsidRPr="000E47F7" w:rsidRDefault="00614502" w:rsidP="00E158DB">
      <w:pPr>
        <w:pStyle w:val="ListParagraph"/>
        <w:widowControl w:val="0"/>
        <w:spacing w:line="480" w:lineRule="auto"/>
        <w:ind w:left="284" w:right="284"/>
        <w:jc w:val="both"/>
        <w:rPr>
          <w:i/>
        </w:rPr>
      </w:pPr>
      <w:r w:rsidRPr="000E47F7">
        <w:rPr>
          <w:i/>
        </w:rPr>
        <w:t xml:space="preserve">“the extent of a State’s obligations to admit to its territory relatives of persons residing there </w:t>
      </w:r>
      <w:r w:rsidRPr="000E47F7">
        <w:rPr>
          <w:b/>
          <w:i/>
          <w:u w:val="single"/>
        </w:rPr>
        <w:t>will vary according to the particular circumstances of the persons involved and the general interest</w:t>
      </w:r>
      <w:r w:rsidRPr="000E47F7">
        <w:rPr>
          <w:i/>
        </w:rPr>
        <w:t xml:space="preserve">.  Factors to be taken into account in this context are the extent to which family life would effectively be ruptured, the extent of the ties in the Contracting State, whether there are insurmountable obstacles in the way of the family living in the country of origin of the alien concerned and whether there are factors of immigration control (for example, a history of breaches of immigration law) or considerations of </w:t>
      </w:r>
      <w:r w:rsidRPr="000E47F7">
        <w:rPr>
          <w:i/>
        </w:rPr>
        <w:lastRenderedPageBreak/>
        <w:t>public order weighing in favour of exclusion (</w:t>
      </w:r>
      <w:r w:rsidR="00CC5EB3" w:rsidRPr="000E47F7">
        <w:rPr>
          <w:i/>
        </w:rPr>
        <w:t xml:space="preserve">see </w:t>
      </w:r>
      <w:r w:rsidR="00CC5EB3" w:rsidRPr="000E47F7">
        <w:rPr>
          <w:i/>
          <w:iCs/>
        </w:rPr>
        <w:t>Butt v. Norway, cited above, § 78</w:t>
      </w:r>
      <w:r w:rsidRPr="000E47F7">
        <w:rPr>
          <w:i/>
        </w:rPr>
        <w:t>)</w:t>
      </w:r>
      <w:r w:rsidR="00F345CE" w:rsidRPr="000E47F7">
        <w:rPr>
          <w:i/>
        </w:rPr>
        <w:t>.</w:t>
      </w:r>
      <w:r w:rsidRPr="000E47F7">
        <w:rPr>
          <w:i/>
        </w:rPr>
        <w:t>”</w:t>
      </w:r>
    </w:p>
    <w:p w14:paraId="7696A5BE" w14:textId="77777777" w:rsidR="00614502" w:rsidRPr="000E47F7" w:rsidRDefault="00614502" w:rsidP="00614502">
      <w:pPr>
        <w:spacing w:line="480" w:lineRule="auto"/>
        <w:jc w:val="both"/>
      </w:pPr>
    </w:p>
    <w:p w14:paraId="0C616150" w14:textId="13B561DF" w:rsidR="00F87D8C" w:rsidRPr="000E47F7" w:rsidRDefault="00614502" w:rsidP="00E158DB">
      <w:pPr>
        <w:pStyle w:val="ListParagraph"/>
        <w:numPr>
          <w:ilvl w:val="0"/>
          <w:numId w:val="1"/>
        </w:numPr>
        <w:spacing w:line="480" w:lineRule="auto"/>
        <w:jc w:val="both"/>
      </w:pPr>
      <w:r w:rsidRPr="000E47F7">
        <w:t xml:space="preserve">Another important </w:t>
      </w:r>
      <w:r w:rsidR="003A4BCE" w:rsidRPr="000E47F7">
        <w:t>factor to be considered is</w:t>
      </w:r>
      <w:r w:rsidRPr="000E47F7">
        <w:t xml:space="preserve"> whether family life was created at a time when the </w:t>
      </w:r>
      <w:r w:rsidR="003A4BCE" w:rsidRPr="000E47F7">
        <w:t xml:space="preserve">foreign national’s </w:t>
      </w:r>
      <w:r w:rsidRPr="000E47F7">
        <w:t xml:space="preserve">immigration status was such that the persistence of family life within the host state was, from the outset, precarious.  </w:t>
      </w:r>
      <w:r w:rsidR="00FD331E" w:rsidRPr="000E47F7">
        <w:t>In</w:t>
      </w:r>
      <w:r w:rsidRPr="000E47F7">
        <w:t xml:space="preserve"> such case</w:t>
      </w:r>
      <w:r w:rsidR="00F345CE" w:rsidRPr="000E47F7">
        <w:t xml:space="preserve">s </w:t>
      </w:r>
      <w:r w:rsidRPr="000E47F7">
        <w:t xml:space="preserve">it is </w:t>
      </w:r>
      <w:r w:rsidR="00FC5735" w:rsidRPr="000E47F7">
        <w:t>likely to</w:t>
      </w:r>
      <w:r w:rsidRPr="000E47F7">
        <w:t xml:space="preserve"> be </w:t>
      </w:r>
      <w:r w:rsidR="00D719EA" w:rsidRPr="000E47F7">
        <w:t xml:space="preserve">only </w:t>
      </w:r>
      <w:r w:rsidRPr="000E47F7">
        <w:t>‘</w:t>
      </w:r>
      <w:r w:rsidRPr="000E47F7">
        <w:rPr>
          <w:i/>
        </w:rPr>
        <w:t>in exceptional circumstances</w:t>
      </w:r>
      <w:r w:rsidRPr="000E47F7">
        <w:t>’ that the removal of the non-</w:t>
      </w:r>
      <w:r w:rsidR="006629EA" w:rsidRPr="000E47F7">
        <w:t>n</w:t>
      </w:r>
      <w:r w:rsidRPr="000E47F7">
        <w:t>ational family member would constitute a violation of Article 8.</w:t>
      </w:r>
      <w:r w:rsidRPr="000E47F7">
        <w:rPr>
          <w:rStyle w:val="FootnoteReference"/>
        </w:rPr>
        <w:footnoteReference w:id="5"/>
      </w:r>
      <w:r w:rsidRPr="000E47F7">
        <w:t xml:space="preserve">  </w:t>
      </w:r>
      <w:r w:rsidR="00F345CE" w:rsidRPr="000E47F7">
        <w:t xml:space="preserve"> </w:t>
      </w:r>
      <w:r w:rsidRPr="000E47F7">
        <w:t>Applying th</w:t>
      </w:r>
      <w:r w:rsidR="00D719EA" w:rsidRPr="000E47F7">
        <w:t>e foregoing</w:t>
      </w:r>
      <w:r w:rsidRPr="000E47F7">
        <w:t xml:space="preserve"> principles</w:t>
      </w:r>
      <w:r w:rsidR="00FD331E" w:rsidRPr="000E47F7">
        <w:t>,</w:t>
      </w:r>
      <w:r w:rsidRPr="000E47F7">
        <w:t xml:space="preserve"> the Grand Chamber </w:t>
      </w:r>
      <w:r w:rsidR="00F345CE" w:rsidRPr="000E47F7">
        <w:t xml:space="preserve">in </w:t>
      </w:r>
      <w:r w:rsidR="00F345CE" w:rsidRPr="000E47F7">
        <w:rPr>
          <w:i/>
        </w:rPr>
        <w:t>Jeunesse</w:t>
      </w:r>
      <w:r w:rsidR="00F345CE" w:rsidRPr="000E47F7">
        <w:t xml:space="preserve"> </w:t>
      </w:r>
      <w:r w:rsidRPr="000E47F7">
        <w:t>examined whether there existed ‘</w:t>
      </w:r>
      <w:r w:rsidRPr="000E47F7">
        <w:rPr>
          <w:i/>
        </w:rPr>
        <w:t>exceptional circumstances</w:t>
      </w:r>
      <w:r w:rsidRPr="000E47F7">
        <w:t xml:space="preserve">’ </w:t>
      </w:r>
      <w:r w:rsidR="00CF49FD" w:rsidRPr="000E47F7">
        <w:t>such that</w:t>
      </w:r>
      <w:r w:rsidRPr="000E47F7">
        <w:t xml:space="preserve"> </w:t>
      </w:r>
      <w:r w:rsidR="00FD331E" w:rsidRPr="000E47F7">
        <w:t xml:space="preserve">the </w:t>
      </w:r>
      <w:r w:rsidRPr="000E47F7">
        <w:t xml:space="preserve">removal </w:t>
      </w:r>
      <w:r w:rsidR="00FD331E" w:rsidRPr="000E47F7">
        <w:t xml:space="preserve">of the applicant </w:t>
      </w:r>
      <w:r w:rsidRPr="000E47F7">
        <w:t xml:space="preserve">would be incompatible with Article </w:t>
      </w:r>
      <w:r w:rsidR="00FD331E" w:rsidRPr="000E47F7">
        <w:t>8</w:t>
      </w:r>
      <w:r w:rsidR="00F345CE" w:rsidRPr="000E47F7">
        <w:t xml:space="preserve"> of the Convention</w:t>
      </w:r>
      <w:r w:rsidRPr="000E47F7">
        <w:t xml:space="preserve">. </w:t>
      </w:r>
    </w:p>
    <w:p w14:paraId="0EDEF423" w14:textId="77777777" w:rsidR="00F87D8C" w:rsidRPr="000E47F7" w:rsidRDefault="00F87D8C" w:rsidP="00614502">
      <w:pPr>
        <w:spacing w:line="480" w:lineRule="auto"/>
        <w:jc w:val="both"/>
      </w:pPr>
    </w:p>
    <w:p w14:paraId="6C66569A" w14:textId="63F519FE" w:rsidR="00F87D8C" w:rsidRPr="000E47F7" w:rsidRDefault="00614502" w:rsidP="00F87D8C">
      <w:pPr>
        <w:numPr>
          <w:ilvl w:val="0"/>
          <w:numId w:val="1"/>
        </w:numPr>
        <w:spacing w:line="480" w:lineRule="auto"/>
        <w:jc w:val="both"/>
        <w:rPr>
          <w:lang w:val="en-GB"/>
        </w:rPr>
      </w:pPr>
      <w:r w:rsidRPr="000E47F7">
        <w:t>In making its assessment, the Court had regard to several factors, the first and foremost of which was the fact that all members of the applicant’s family</w:t>
      </w:r>
      <w:r w:rsidR="008711F4" w:rsidRPr="000E47F7">
        <w:t xml:space="preserve">, apart from </w:t>
      </w:r>
      <w:r w:rsidRPr="000E47F7">
        <w:t xml:space="preserve">herself, were Dutch nationals </w:t>
      </w:r>
      <w:r w:rsidR="008711F4" w:rsidRPr="000E47F7">
        <w:t>who</w:t>
      </w:r>
      <w:r w:rsidRPr="000E47F7">
        <w:t xml:space="preserve"> had a right to enjoy their family life in the Netherlands. </w:t>
      </w:r>
      <w:r w:rsidR="008711F4" w:rsidRPr="000E47F7">
        <w:t>It</w:t>
      </w:r>
      <w:r w:rsidRPr="000E47F7">
        <w:t xml:space="preserve"> noted that the applicant had, originally, held Netherlands nationality </w:t>
      </w:r>
      <w:r w:rsidR="00D47499" w:rsidRPr="000E47F7">
        <w:t>which she lost</w:t>
      </w:r>
      <w:r w:rsidRPr="000E47F7">
        <w:t xml:space="preserve"> pursuant </w:t>
      </w:r>
      <w:r w:rsidR="008711F4" w:rsidRPr="000E47F7">
        <w:t xml:space="preserve">to </w:t>
      </w:r>
      <w:r w:rsidRPr="000E47F7">
        <w:t>a bilateral agreement between the Netherlands and the Republic of Surinam</w:t>
      </w:r>
      <w:r w:rsidR="008711F4" w:rsidRPr="000E47F7">
        <w:t>.</w:t>
      </w:r>
      <w:r w:rsidRPr="000E47F7">
        <w:t xml:space="preserve"> </w:t>
      </w:r>
      <w:r w:rsidR="008711F4" w:rsidRPr="000E47F7">
        <w:t>In this regard,</w:t>
      </w:r>
      <w:r w:rsidRPr="000E47F7">
        <w:t xml:space="preserve"> her position </w:t>
      </w:r>
      <w:r w:rsidR="008711F4" w:rsidRPr="000E47F7">
        <w:t xml:space="preserve">was not </w:t>
      </w:r>
      <w:r w:rsidRPr="000E47F7">
        <w:t xml:space="preserve">on a par with other potential immigrants who had never held Netherlands nationality. </w:t>
      </w:r>
      <w:r w:rsidR="00D64BF6" w:rsidRPr="000E47F7">
        <w:t xml:space="preserve"> </w:t>
      </w:r>
      <w:r w:rsidRPr="000E47F7">
        <w:t xml:space="preserve">Another important feature of the case was the fact that Mrs Jeunesse had been living in the Netherlands </w:t>
      </w:r>
      <w:r w:rsidR="008E1CA6" w:rsidRPr="000E47F7">
        <w:t>for a long time</w:t>
      </w:r>
      <w:r w:rsidRPr="000E47F7">
        <w:t xml:space="preserve">.  Her presence had been tolerated for </w:t>
      </w:r>
      <w:r w:rsidR="008E1CA6" w:rsidRPr="000E47F7">
        <w:t>many years</w:t>
      </w:r>
      <w:r w:rsidRPr="000E47F7">
        <w:t xml:space="preserve"> during which she had made numerous applications to regularise her situation. She had no criminal record</w:t>
      </w:r>
      <w:r w:rsidR="00D47499" w:rsidRPr="000E47F7">
        <w:t xml:space="preserve"> and her</w:t>
      </w:r>
      <w:r w:rsidRPr="000E47F7">
        <w:t xml:space="preserve"> address </w:t>
      </w:r>
      <w:r w:rsidR="00D47499" w:rsidRPr="000E47F7">
        <w:t>was</w:t>
      </w:r>
      <w:r w:rsidRPr="000E47F7">
        <w:t xml:space="preserve"> known to the authorities and</w:t>
      </w:r>
      <w:r w:rsidR="00D47499" w:rsidRPr="000E47F7">
        <w:t xml:space="preserve"> they had failed to </w:t>
      </w:r>
      <w:r w:rsidRPr="000E47F7">
        <w:t xml:space="preserve">remove her.  </w:t>
      </w:r>
      <w:r w:rsidR="008E1CA6" w:rsidRPr="000E47F7">
        <w:t xml:space="preserve">A third factor </w:t>
      </w:r>
      <w:r w:rsidRPr="000E47F7">
        <w:t xml:space="preserve">considered </w:t>
      </w:r>
      <w:r w:rsidR="008E1CA6" w:rsidRPr="000E47F7">
        <w:t xml:space="preserve">was </w:t>
      </w:r>
      <w:r w:rsidRPr="000E47F7">
        <w:t xml:space="preserve">the likelihood that </w:t>
      </w:r>
      <w:r w:rsidR="00D47499" w:rsidRPr="000E47F7">
        <w:t>the applicant</w:t>
      </w:r>
      <w:r w:rsidRPr="000E47F7">
        <w:t xml:space="preserve"> and her family would experience a degree of hardship if they were forced to remove themselves to Surinam.  Retu</w:t>
      </w:r>
      <w:r w:rsidR="00A83B46" w:rsidRPr="000E47F7">
        <w:t>rn</w:t>
      </w:r>
      <w:r w:rsidRPr="000E47F7">
        <w:t xml:space="preserve">ing </w:t>
      </w:r>
      <w:r w:rsidR="00D47499" w:rsidRPr="000E47F7">
        <w:t>her</w:t>
      </w:r>
      <w:r w:rsidRPr="000E47F7">
        <w:t xml:space="preserve"> to Surinam would</w:t>
      </w:r>
      <w:r w:rsidR="00D719EA" w:rsidRPr="000E47F7">
        <w:t>,</w:t>
      </w:r>
      <w:r w:rsidRPr="000E47F7">
        <w:t xml:space="preserve"> inevitably</w:t>
      </w:r>
      <w:r w:rsidR="00D719EA" w:rsidRPr="000E47F7">
        <w:t>,</w:t>
      </w:r>
      <w:r w:rsidRPr="000E47F7">
        <w:t xml:space="preserve"> </w:t>
      </w:r>
      <w:r w:rsidRPr="000E47F7">
        <w:lastRenderedPageBreak/>
        <w:t xml:space="preserve">have involved either the removal of her children to a country unknown to them or a constant rupture between them and their mother should they decide to remain.  </w:t>
      </w:r>
      <w:r w:rsidR="0058013E" w:rsidRPr="000E47F7">
        <w:t>Finally,</w:t>
      </w:r>
      <w:r w:rsidR="00D47499" w:rsidRPr="000E47F7">
        <w:t xml:space="preserve"> regard was had to</w:t>
      </w:r>
      <w:r w:rsidR="0058013E" w:rsidRPr="000E47F7">
        <w:t xml:space="preserve"> </w:t>
      </w:r>
      <w:r w:rsidRPr="000E47F7">
        <w:t>the impact of the Netherlands’ decision on the applicant’s three young children</w:t>
      </w:r>
      <w:r w:rsidR="0058013E" w:rsidRPr="000E47F7">
        <w:t xml:space="preserve">.  </w:t>
      </w:r>
      <w:r w:rsidRPr="000E47F7">
        <w:t xml:space="preserve">Whilst not decisive, </w:t>
      </w:r>
      <w:r w:rsidR="0058013E" w:rsidRPr="000E47F7">
        <w:t xml:space="preserve">their </w:t>
      </w:r>
      <w:r w:rsidRPr="000E47F7">
        <w:t>interest</w:t>
      </w:r>
      <w:r w:rsidR="0058013E" w:rsidRPr="000E47F7">
        <w:t>s</w:t>
      </w:r>
      <w:r w:rsidRPr="000E47F7">
        <w:t xml:space="preserve"> </w:t>
      </w:r>
      <w:r w:rsidR="0058013E" w:rsidRPr="000E47F7">
        <w:t>were to be</w:t>
      </w:r>
      <w:r w:rsidRPr="000E47F7">
        <w:t xml:space="preserve"> afforded significant weight.  </w:t>
      </w:r>
      <w:r w:rsidR="0058013E" w:rsidRPr="000E47F7">
        <w:t>The Court</w:t>
      </w:r>
      <w:r w:rsidRPr="000E47F7">
        <w:t xml:space="preserve"> noted that the applicant, as mother and homemaker, was the primary and constant carer of her three children all of whom were deeply rooted in the Netherlands, a country of which, like their father, they were nationals.  </w:t>
      </w:r>
    </w:p>
    <w:p w14:paraId="4CF305DB" w14:textId="77777777" w:rsidR="00C67B5A" w:rsidRPr="000E47F7" w:rsidRDefault="00C67B5A" w:rsidP="00C67B5A">
      <w:pPr>
        <w:spacing w:line="480" w:lineRule="auto"/>
        <w:jc w:val="both"/>
        <w:rPr>
          <w:lang w:val="en-GB"/>
        </w:rPr>
      </w:pPr>
    </w:p>
    <w:p w14:paraId="2D154124" w14:textId="232FD286" w:rsidR="00583248" w:rsidRPr="000E47F7" w:rsidRDefault="00614502" w:rsidP="00583248">
      <w:pPr>
        <w:numPr>
          <w:ilvl w:val="0"/>
          <w:numId w:val="1"/>
        </w:numPr>
        <w:spacing w:line="480" w:lineRule="auto"/>
        <w:jc w:val="both"/>
        <w:rPr>
          <w:lang w:val="en-GB"/>
        </w:rPr>
      </w:pPr>
      <w:r w:rsidRPr="000E47F7">
        <w:t xml:space="preserve">Having </w:t>
      </w:r>
      <w:r w:rsidR="0058013E" w:rsidRPr="000E47F7">
        <w:t xml:space="preserve">reiterated and </w:t>
      </w:r>
      <w:r w:rsidRPr="000E47F7">
        <w:t xml:space="preserve">confirmed </w:t>
      </w:r>
      <w:r w:rsidR="0002264C" w:rsidRPr="000E47F7">
        <w:t xml:space="preserve">the </w:t>
      </w:r>
      <w:r w:rsidR="00D64BF6" w:rsidRPr="000E47F7">
        <w:t>C</w:t>
      </w:r>
      <w:r w:rsidR="00583248" w:rsidRPr="000E47F7">
        <w:t>ourt</w:t>
      </w:r>
      <w:r w:rsidR="00A83B46" w:rsidRPr="000E47F7">
        <w:t>’</w:t>
      </w:r>
      <w:r w:rsidR="00583248" w:rsidRPr="000E47F7">
        <w:t>s well-established</w:t>
      </w:r>
      <w:r w:rsidRPr="000E47F7">
        <w:t xml:space="preserve"> principles </w:t>
      </w:r>
      <w:r w:rsidR="00583248" w:rsidRPr="000E47F7">
        <w:t>on</w:t>
      </w:r>
      <w:r w:rsidRPr="000E47F7">
        <w:t xml:space="preserve"> immigration and family life (see par</w:t>
      </w:r>
      <w:r w:rsidR="0058013E" w:rsidRPr="000E47F7">
        <w:t>a</w:t>
      </w:r>
      <w:r w:rsidR="00FC5735" w:rsidRPr="000E47F7">
        <w:t>s</w:t>
      </w:r>
      <w:r w:rsidR="0058013E" w:rsidRPr="000E47F7">
        <w:t xml:space="preserve">. </w:t>
      </w:r>
      <w:r w:rsidR="00FC5735" w:rsidRPr="000E47F7">
        <w:t>50</w:t>
      </w:r>
      <w:r w:rsidR="00D64BF6" w:rsidRPr="000E47F7">
        <w:t>-53</w:t>
      </w:r>
      <w:r w:rsidRPr="000E47F7">
        <w:t xml:space="preserve"> above), the Grand Chamber concluded </w:t>
      </w:r>
      <w:r w:rsidR="00583248" w:rsidRPr="000E47F7">
        <w:t xml:space="preserve">that, </w:t>
      </w:r>
      <w:r w:rsidR="00B87816" w:rsidRPr="000E47F7">
        <w:t>viewed cumulatively,</w:t>
      </w:r>
      <w:r w:rsidRPr="000E47F7">
        <w:t xml:space="preserve"> </w:t>
      </w:r>
      <w:r w:rsidR="00583248" w:rsidRPr="000E47F7">
        <w:t xml:space="preserve">the above factors </w:t>
      </w:r>
      <w:r w:rsidR="00B87816" w:rsidRPr="000E47F7">
        <w:t>must be regarded as constituting</w:t>
      </w:r>
      <w:r w:rsidR="00045E3A" w:rsidRPr="000E47F7">
        <w:t xml:space="preserve"> </w:t>
      </w:r>
      <w:r w:rsidRPr="000E47F7">
        <w:t>exceptional</w:t>
      </w:r>
      <w:r w:rsidR="00045E3A" w:rsidRPr="000E47F7">
        <w:t xml:space="preserve"> </w:t>
      </w:r>
      <w:r w:rsidR="00604016" w:rsidRPr="000E47F7">
        <w:t>circumstances</w:t>
      </w:r>
      <w:r w:rsidRPr="000E47F7">
        <w:t xml:space="preserve">.  Accordingly, it found that </w:t>
      </w:r>
      <w:r w:rsidR="00F345CE" w:rsidRPr="000E47F7">
        <w:t xml:space="preserve">in denying </w:t>
      </w:r>
      <w:r w:rsidR="00D719EA" w:rsidRPr="000E47F7">
        <w:t xml:space="preserve">the applicant </w:t>
      </w:r>
      <w:r w:rsidR="00F345CE" w:rsidRPr="000E47F7">
        <w:t xml:space="preserve">a right of residence </w:t>
      </w:r>
      <w:r w:rsidRPr="000E47F7">
        <w:t xml:space="preserve">a fair balance had not been struck between the competing interests involved </w:t>
      </w:r>
      <w:r w:rsidR="00F345CE" w:rsidRPr="000E47F7">
        <w:t>such that</w:t>
      </w:r>
      <w:r w:rsidRPr="000E47F7">
        <w:t xml:space="preserve"> the Dutch authorities had failed to secure respect for </w:t>
      </w:r>
      <w:r w:rsidR="00D719EA" w:rsidRPr="000E47F7">
        <w:t>her</w:t>
      </w:r>
      <w:r w:rsidRPr="000E47F7">
        <w:t xml:space="preserve"> right to family life. </w:t>
      </w:r>
    </w:p>
    <w:p w14:paraId="2370CAD6" w14:textId="77777777" w:rsidR="00583248" w:rsidRPr="000E47F7" w:rsidRDefault="00583248" w:rsidP="00583248">
      <w:pPr>
        <w:pStyle w:val="ListParagraph"/>
      </w:pPr>
    </w:p>
    <w:p w14:paraId="67B4943B" w14:textId="280BE224" w:rsidR="00A275A2" w:rsidRPr="000E47F7" w:rsidRDefault="0033380F" w:rsidP="009F65DA">
      <w:pPr>
        <w:numPr>
          <w:ilvl w:val="0"/>
          <w:numId w:val="1"/>
        </w:numPr>
        <w:spacing w:line="480" w:lineRule="auto"/>
        <w:jc w:val="both"/>
      </w:pPr>
      <w:r w:rsidRPr="000E47F7">
        <w:t xml:space="preserve">Having reviewed </w:t>
      </w:r>
      <w:r w:rsidRPr="000E47F7">
        <w:rPr>
          <w:i/>
        </w:rPr>
        <w:t>Jeunesse</w:t>
      </w:r>
      <w:r w:rsidRPr="000E47F7">
        <w:t xml:space="preserve"> (and </w:t>
      </w:r>
      <w:r w:rsidR="00D31CA1" w:rsidRPr="000E47F7">
        <w:rPr>
          <w:i/>
        </w:rPr>
        <w:t>da Silva v. the Netherlands</w:t>
      </w:r>
      <w:r w:rsidR="00D31CA1" w:rsidRPr="000E47F7">
        <w:t xml:space="preserve"> </w:t>
      </w:r>
      <w:r w:rsidR="00D31CA1" w:rsidRPr="000E47F7">
        <w:rPr>
          <w:rFonts w:eastAsiaTheme="minorHAnsi" w:cstheme="minorBidi"/>
          <w:szCs w:val="22"/>
          <w:lang w:eastAsia="en-US"/>
        </w:rPr>
        <w:t xml:space="preserve">App. No. </w:t>
      </w:r>
      <w:hyperlink r:id="rId11" w:anchor="{%22appno%22:[%2250435/99%22]}" w:tgtFrame="_blank" w:history="1">
        <w:r w:rsidR="00D31CA1" w:rsidRPr="000E47F7">
          <w:rPr>
            <w:rFonts w:eastAsiaTheme="minorHAnsi" w:cstheme="minorBidi"/>
            <w:szCs w:val="22"/>
            <w:lang w:eastAsia="en-US"/>
          </w:rPr>
          <w:t>50435/99</w:t>
        </w:r>
      </w:hyperlink>
      <w:r w:rsidR="00D31CA1" w:rsidRPr="000E47F7">
        <w:rPr>
          <w:rFonts w:eastAsiaTheme="minorHAnsi" w:cstheme="minorBidi"/>
          <w:szCs w:val="22"/>
          <w:lang w:eastAsia="en-US"/>
        </w:rPr>
        <w:t>) (2007) 44 E.H.R.R. 34</w:t>
      </w:r>
      <w:r w:rsidRPr="000E47F7">
        <w:t>) on a State’s positive obligations,</w:t>
      </w:r>
      <w:r w:rsidR="00614502" w:rsidRPr="000E47F7">
        <w:t xml:space="preserve"> MacMenamin J. </w:t>
      </w:r>
      <w:r w:rsidRPr="000E47F7">
        <w:t xml:space="preserve">in </w:t>
      </w:r>
      <w:r w:rsidRPr="000E47F7">
        <w:rPr>
          <w:i/>
        </w:rPr>
        <w:t xml:space="preserve">Luximon </w:t>
      </w:r>
      <w:r w:rsidR="00317EA3" w:rsidRPr="000E47F7">
        <w:t>held</w:t>
      </w:r>
      <w:r w:rsidRPr="000E47F7">
        <w:t xml:space="preserve"> (at para. 85)</w:t>
      </w:r>
      <w:r w:rsidR="00604016" w:rsidRPr="000E47F7">
        <w:t xml:space="preserve"> that</w:t>
      </w:r>
      <w:r w:rsidR="00782A80" w:rsidRPr="000E47F7">
        <w:t xml:space="preserve"> </w:t>
      </w:r>
      <w:r w:rsidR="00583248" w:rsidRPr="000E47F7">
        <w:t xml:space="preserve">the Minister’s </w:t>
      </w:r>
      <w:r w:rsidR="00150F5D" w:rsidRPr="000E47F7">
        <w:t xml:space="preserve">consideration under s. 4(7) should have been carried out having regard to </w:t>
      </w:r>
      <w:r w:rsidR="00583248" w:rsidRPr="000E47F7">
        <w:t>A</w:t>
      </w:r>
      <w:r w:rsidR="00150F5D" w:rsidRPr="000E47F7">
        <w:t xml:space="preserve">rticle 8 rights where necessary at the time of that assessment and </w:t>
      </w:r>
      <w:r w:rsidR="00583248" w:rsidRPr="000E47F7">
        <w:t>whilst</w:t>
      </w:r>
      <w:r w:rsidR="00150F5D" w:rsidRPr="000E47F7">
        <w:t xml:space="preserve"> the applicants remained within the State</w:t>
      </w:r>
      <w:r w:rsidR="00583248" w:rsidRPr="000E47F7">
        <w:t xml:space="preserve"> (see para. 28 above). </w:t>
      </w:r>
      <w:r w:rsidR="00163B7F" w:rsidRPr="000E47F7">
        <w:t xml:space="preserve"> </w:t>
      </w:r>
      <w:r w:rsidR="00317EA3" w:rsidRPr="000E47F7">
        <w:t xml:space="preserve">As this had not been done, the section was not applied </w:t>
      </w:r>
      <w:r w:rsidR="00317EA3" w:rsidRPr="000E47F7">
        <w:rPr>
          <w:b/>
        </w:rPr>
        <w:t>in that case</w:t>
      </w:r>
      <w:r w:rsidR="00317EA3" w:rsidRPr="000E47F7">
        <w:t xml:space="preserve"> in a manner that was Convention compliant.  </w:t>
      </w:r>
      <w:r w:rsidRPr="000E47F7">
        <w:t xml:space="preserve"> </w:t>
      </w:r>
    </w:p>
    <w:p w14:paraId="7716F060" w14:textId="77777777" w:rsidR="00A275A2" w:rsidRPr="000E47F7" w:rsidRDefault="00A275A2" w:rsidP="00A275A2">
      <w:pPr>
        <w:pStyle w:val="ListParagraph"/>
      </w:pPr>
    </w:p>
    <w:p w14:paraId="4689D9B5" w14:textId="77777777" w:rsidR="00A275A2" w:rsidRPr="000E47F7" w:rsidRDefault="00A275A2" w:rsidP="00A275A2">
      <w:pPr>
        <w:pStyle w:val="ListParagraph"/>
      </w:pPr>
    </w:p>
    <w:p w14:paraId="172F9701" w14:textId="77777777" w:rsidR="00A275A2" w:rsidRPr="000E47F7" w:rsidRDefault="00A275A2" w:rsidP="00A275A2">
      <w:pPr>
        <w:pStyle w:val="ListParagraph"/>
        <w:spacing w:line="480" w:lineRule="auto"/>
        <w:ind w:left="0"/>
        <w:jc w:val="both"/>
        <w:rPr>
          <w:b/>
          <w:i/>
        </w:rPr>
      </w:pPr>
      <w:r w:rsidRPr="000E47F7">
        <w:rPr>
          <w:b/>
          <w:i/>
        </w:rPr>
        <w:t>Application to the present case</w:t>
      </w:r>
    </w:p>
    <w:p w14:paraId="15A78A2E" w14:textId="77777777" w:rsidR="00A275A2" w:rsidRPr="000E47F7" w:rsidRDefault="00A275A2" w:rsidP="00A275A2">
      <w:pPr>
        <w:pStyle w:val="ListParagraph"/>
      </w:pPr>
    </w:p>
    <w:p w14:paraId="034D596F" w14:textId="2E3EA4A5" w:rsidR="005D2408" w:rsidRPr="000E47F7" w:rsidRDefault="0087231F" w:rsidP="005D2408">
      <w:pPr>
        <w:numPr>
          <w:ilvl w:val="0"/>
          <w:numId w:val="1"/>
        </w:numPr>
        <w:spacing w:line="480" w:lineRule="auto"/>
        <w:jc w:val="both"/>
      </w:pPr>
      <w:r w:rsidRPr="000E47F7">
        <w:t xml:space="preserve">There is a stark and obvious contrast </w:t>
      </w:r>
      <w:r w:rsidRPr="000E47F7">
        <w:rPr>
          <w:lang w:val="en"/>
        </w:rPr>
        <w:t xml:space="preserve">between the facts in </w:t>
      </w:r>
      <w:r w:rsidRPr="000E47F7">
        <w:rPr>
          <w:i/>
          <w:lang w:val="en"/>
        </w:rPr>
        <w:t>Luximon</w:t>
      </w:r>
      <w:r w:rsidRPr="000E47F7">
        <w:rPr>
          <w:lang w:val="en"/>
        </w:rPr>
        <w:t xml:space="preserve"> (and </w:t>
      </w:r>
      <w:r w:rsidRPr="000E47F7">
        <w:rPr>
          <w:i/>
          <w:lang w:val="en"/>
        </w:rPr>
        <w:t>Jeunesse</w:t>
      </w:r>
      <w:r w:rsidRPr="000E47F7">
        <w:rPr>
          <w:lang w:val="en"/>
        </w:rPr>
        <w:t xml:space="preserve">) and the situation of the applicant </w:t>
      </w:r>
      <w:r w:rsidR="00C841E8" w:rsidRPr="000E47F7">
        <w:rPr>
          <w:lang w:val="en"/>
        </w:rPr>
        <w:t>in these proceedings</w:t>
      </w:r>
      <w:r w:rsidR="00334B4B" w:rsidRPr="000E47F7">
        <w:rPr>
          <w:lang w:val="en"/>
        </w:rPr>
        <w:t xml:space="preserve">.  </w:t>
      </w:r>
      <w:r w:rsidR="00334B4B" w:rsidRPr="000E47F7">
        <w:t>Unlike the</w:t>
      </w:r>
      <w:r w:rsidR="00317EA3" w:rsidRPr="000E47F7">
        <w:t xml:space="preserve"> applicant, </w:t>
      </w:r>
      <w:r w:rsidR="00614502" w:rsidRPr="000E47F7">
        <w:t xml:space="preserve">the appellants in </w:t>
      </w:r>
      <w:r w:rsidR="00614502" w:rsidRPr="000E47F7">
        <w:rPr>
          <w:i/>
        </w:rPr>
        <w:t>Luximon</w:t>
      </w:r>
      <w:r w:rsidR="00614502" w:rsidRPr="000E47F7">
        <w:t xml:space="preserve"> </w:t>
      </w:r>
      <w:r w:rsidR="00A735B6" w:rsidRPr="000E47F7">
        <w:t>were</w:t>
      </w:r>
      <w:r w:rsidR="00614502" w:rsidRPr="000E47F7">
        <w:t xml:space="preserve"> lawfully settled migrants</w:t>
      </w:r>
      <w:r w:rsidR="00E86252" w:rsidRPr="000E47F7">
        <w:t xml:space="preserve"> </w:t>
      </w:r>
      <w:r w:rsidR="00614502" w:rsidRPr="000E47F7">
        <w:t>and th</w:t>
      </w:r>
      <w:r w:rsidR="00C4172A" w:rsidRPr="000E47F7">
        <w:t xml:space="preserve">e </w:t>
      </w:r>
      <w:r w:rsidR="00A735B6" w:rsidRPr="000E47F7">
        <w:t xml:space="preserve">Minister’s letter directing them to leave the </w:t>
      </w:r>
      <w:r w:rsidR="00A735B6" w:rsidRPr="000E47F7">
        <w:lastRenderedPageBreak/>
        <w:t>State</w:t>
      </w:r>
      <w:r w:rsidR="00C4172A" w:rsidRPr="000E47F7">
        <w:t xml:space="preserve"> </w:t>
      </w:r>
      <w:r w:rsidR="002D7E49" w:rsidRPr="000E47F7">
        <w:t>was a clear</w:t>
      </w:r>
      <w:r w:rsidR="00C4172A" w:rsidRPr="000E47F7">
        <w:t xml:space="preserve"> interference with their</w:t>
      </w:r>
      <w:r w:rsidR="00880F0B" w:rsidRPr="000E47F7">
        <w:t xml:space="preserve"> established</w:t>
      </w:r>
      <w:r w:rsidR="00C4172A" w:rsidRPr="000E47F7">
        <w:t xml:space="preserve"> family life</w:t>
      </w:r>
      <w:r w:rsidR="002D7E49" w:rsidRPr="000E47F7">
        <w:t xml:space="preserve"> in Ireland</w:t>
      </w:r>
      <w:r w:rsidR="00C4172A" w:rsidRPr="000E47F7">
        <w:t>.  For this reason,</w:t>
      </w:r>
      <w:r w:rsidR="00614502" w:rsidRPr="000E47F7">
        <w:t xml:space="preserve"> </w:t>
      </w:r>
      <w:r w:rsidR="0027692B" w:rsidRPr="000E47F7">
        <w:t xml:space="preserve">even without the Grand Chamber’s judgment in </w:t>
      </w:r>
      <w:r w:rsidR="0027692B" w:rsidRPr="000E47F7">
        <w:rPr>
          <w:i/>
        </w:rPr>
        <w:t>Jeunesse</w:t>
      </w:r>
      <w:r w:rsidR="0027692B" w:rsidRPr="000E47F7">
        <w:t xml:space="preserve">, </w:t>
      </w:r>
      <w:r w:rsidR="00614502" w:rsidRPr="000E47F7">
        <w:t xml:space="preserve">the standard jurisprudence </w:t>
      </w:r>
      <w:r w:rsidR="0027692B" w:rsidRPr="000E47F7">
        <w:t xml:space="preserve">on the rights of </w:t>
      </w:r>
      <w:r w:rsidR="00C4172A" w:rsidRPr="000E47F7">
        <w:t>lawfully settled migrants</w:t>
      </w:r>
      <w:r w:rsidR="00614502" w:rsidRPr="000E47F7">
        <w:t xml:space="preserve"> </w:t>
      </w:r>
      <w:r w:rsidR="00316114" w:rsidRPr="000E47F7">
        <w:t>(</w:t>
      </w:r>
      <w:r w:rsidR="00494A69" w:rsidRPr="000E47F7">
        <w:t xml:space="preserve">such as set out in </w:t>
      </w:r>
      <w:r w:rsidR="00494A69" w:rsidRPr="000E47F7">
        <w:rPr>
          <w:i/>
        </w:rPr>
        <w:t xml:space="preserve">Üner v. the Netherlands </w:t>
      </w:r>
      <w:r w:rsidR="00494A69" w:rsidRPr="000E47F7">
        <w:rPr>
          <w:iCs/>
        </w:rPr>
        <w:t>(App.</w:t>
      </w:r>
      <w:r w:rsidR="00494A69" w:rsidRPr="000E47F7">
        <w:t xml:space="preserve"> no. 46410/99) (2007) 45 E.H.R.R. 14</w:t>
      </w:r>
      <w:r w:rsidR="00901F61" w:rsidRPr="000E47F7">
        <w:t xml:space="preserve"> </w:t>
      </w:r>
      <w:r w:rsidR="00494A69" w:rsidRPr="000E47F7">
        <w:t xml:space="preserve">or </w:t>
      </w:r>
      <w:r w:rsidR="00494A69" w:rsidRPr="000E47F7">
        <w:rPr>
          <w:i/>
        </w:rPr>
        <w:t xml:space="preserve">Boultif v. Switzerland </w:t>
      </w:r>
      <w:r w:rsidR="00494A69" w:rsidRPr="000E47F7">
        <w:rPr>
          <w:iCs/>
        </w:rPr>
        <w:t>(</w:t>
      </w:r>
      <w:r w:rsidR="00494A69" w:rsidRPr="000E47F7">
        <w:t xml:space="preserve">App. No. 54273/00) (2001) 33 E.H.R.R. 50) </w:t>
      </w:r>
      <w:r w:rsidR="00614502" w:rsidRPr="000E47F7">
        <w:t>would</w:t>
      </w:r>
      <w:r w:rsidR="00317EA3" w:rsidRPr="000E47F7">
        <w:t xml:space="preserve">, in any event, </w:t>
      </w:r>
      <w:r w:rsidR="007E450C" w:rsidRPr="000E47F7">
        <w:t>ha</w:t>
      </w:r>
      <w:r w:rsidR="00614502" w:rsidRPr="000E47F7">
        <w:t xml:space="preserve">ve required an </w:t>
      </w:r>
      <w:r w:rsidR="00317EA3" w:rsidRPr="000E47F7">
        <w:t>A</w:t>
      </w:r>
      <w:r w:rsidR="00614502" w:rsidRPr="000E47F7">
        <w:t>rticle 8 assessment</w:t>
      </w:r>
      <w:r w:rsidR="007E450C" w:rsidRPr="000E47F7">
        <w:rPr>
          <w:i/>
        </w:rPr>
        <w:t xml:space="preserve">. </w:t>
      </w:r>
      <w:r w:rsidR="00C4172A" w:rsidRPr="000E47F7">
        <w:rPr>
          <w:i/>
        </w:rPr>
        <w:t xml:space="preserve"> </w:t>
      </w:r>
      <w:r w:rsidR="0027692B" w:rsidRPr="000E47F7">
        <w:t xml:space="preserve">What </w:t>
      </w:r>
      <w:r w:rsidR="0027692B" w:rsidRPr="000E47F7">
        <w:rPr>
          <w:i/>
        </w:rPr>
        <w:t xml:space="preserve">Jeunesse </w:t>
      </w:r>
      <w:r w:rsidR="0027692B" w:rsidRPr="000E47F7">
        <w:t>did was to recognise that there may be rare situations where it can be shown that, notwithstanding an applicant’s unlawful presence in the State, there may exist ‘</w:t>
      </w:r>
      <w:r w:rsidR="0027692B" w:rsidRPr="000E47F7">
        <w:rPr>
          <w:i/>
        </w:rPr>
        <w:t>exceptional circumstances</w:t>
      </w:r>
      <w:r w:rsidR="0027692B" w:rsidRPr="000E47F7">
        <w:t xml:space="preserve">’ </w:t>
      </w:r>
      <w:r w:rsidR="005C0D7B" w:rsidRPr="000E47F7">
        <w:t>where a removal would constitute a violation of Article 8 of the Convention.</w:t>
      </w:r>
    </w:p>
    <w:p w14:paraId="343F0F81" w14:textId="77777777" w:rsidR="005D2408" w:rsidRPr="000E47F7" w:rsidRDefault="005D2408" w:rsidP="00EE0FCE">
      <w:pPr>
        <w:spacing w:line="480" w:lineRule="auto"/>
        <w:jc w:val="both"/>
      </w:pPr>
    </w:p>
    <w:p w14:paraId="7F07DCD4" w14:textId="28429F6D" w:rsidR="00DF5267" w:rsidRPr="000E47F7" w:rsidRDefault="00C4172A" w:rsidP="00DF5267">
      <w:pPr>
        <w:numPr>
          <w:ilvl w:val="0"/>
          <w:numId w:val="1"/>
        </w:numPr>
        <w:spacing w:line="480" w:lineRule="auto"/>
        <w:jc w:val="both"/>
      </w:pPr>
      <w:r w:rsidRPr="000E47F7">
        <w:t>Moreover</w:t>
      </w:r>
      <w:r w:rsidR="007E450C" w:rsidRPr="000E47F7">
        <w:t>, the Supreme Court</w:t>
      </w:r>
      <w:r w:rsidR="002D7E49" w:rsidRPr="000E47F7">
        <w:t xml:space="preserve"> in </w:t>
      </w:r>
      <w:r w:rsidR="002D7E49" w:rsidRPr="000E47F7">
        <w:rPr>
          <w:i/>
        </w:rPr>
        <w:t>Luximon</w:t>
      </w:r>
      <w:r w:rsidR="007E450C" w:rsidRPr="000E47F7">
        <w:t xml:space="preserve"> stressed</w:t>
      </w:r>
      <w:r w:rsidR="002D7E49" w:rsidRPr="000E47F7">
        <w:t xml:space="preserve">, on several occasions, </w:t>
      </w:r>
      <w:r w:rsidR="007E450C" w:rsidRPr="000E47F7">
        <w:t xml:space="preserve">that its findings were based only on the facts </w:t>
      </w:r>
      <w:r w:rsidR="00C841E8" w:rsidRPr="000E47F7">
        <w:t xml:space="preserve">of those </w:t>
      </w:r>
      <w:r w:rsidR="00793B5B" w:rsidRPr="000E47F7">
        <w:t>cases (</w:t>
      </w:r>
      <w:r w:rsidRPr="000E47F7">
        <w:t>see paras.</w:t>
      </w:r>
      <w:r w:rsidR="00AC5AC0" w:rsidRPr="000E47F7">
        <w:t xml:space="preserve"> </w:t>
      </w:r>
      <w:r w:rsidRPr="000E47F7">
        <w:t xml:space="preserve">6, </w:t>
      </w:r>
      <w:r w:rsidR="00AC5AC0" w:rsidRPr="000E47F7">
        <w:t>81 and 88)</w:t>
      </w:r>
      <w:r w:rsidR="007E450C" w:rsidRPr="000E47F7">
        <w:t xml:space="preserve">.  </w:t>
      </w:r>
      <w:r w:rsidR="00614502" w:rsidRPr="000E47F7">
        <w:t xml:space="preserve">To deprive </w:t>
      </w:r>
      <w:r w:rsidR="002D7E49" w:rsidRPr="000E47F7">
        <w:t>the</w:t>
      </w:r>
      <w:r w:rsidR="00150F5D" w:rsidRPr="000E47F7">
        <w:t xml:space="preserve"> appellants </w:t>
      </w:r>
      <w:r w:rsidR="00472448" w:rsidRPr="000E47F7">
        <w:t xml:space="preserve">in </w:t>
      </w:r>
      <w:r w:rsidR="00D94207" w:rsidRPr="000E47F7">
        <w:rPr>
          <w:i/>
        </w:rPr>
        <w:t>Luximon</w:t>
      </w:r>
      <w:r w:rsidR="00472448" w:rsidRPr="000E47F7">
        <w:rPr>
          <w:i/>
        </w:rPr>
        <w:t xml:space="preserve"> </w:t>
      </w:r>
      <w:r w:rsidR="00614502" w:rsidRPr="000E47F7">
        <w:t xml:space="preserve">of an Article 8 assessment would have placed </w:t>
      </w:r>
      <w:r w:rsidR="00150F5D" w:rsidRPr="000E47F7">
        <w:t>them</w:t>
      </w:r>
      <w:r w:rsidR="007E450C" w:rsidRPr="000E47F7">
        <w:t xml:space="preserve"> </w:t>
      </w:r>
      <w:r w:rsidR="00614502" w:rsidRPr="000E47F7">
        <w:t xml:space="preserve">in a ‘Catch 22’ situation.  They would either have </w:t>
      </w:r>
      <w:r w:rsidR="002D7E49" w:rsidRPr="000E47F7">
        <w:t>had t</w:t>
      </w:r>
      <w:r w:rsidR="00614502" w:rsidRPr="000E47F7">
        <w:t xml:space="preserve">o leave the jurisdiction </w:t>
      </w:r>
      <w:r w:rsidR="00415E5A" w:rsidRPr="000E47F7">
        <w:t>thereby creat</w:t>
      </w:r>
      <w:r w:rsidR="002D7E49" w:rsidRPr="000E47F7">
        <w:t>ing</w:t>
      </w:r>
      <w:r w:rsidR="00614502" w:rsidRPr="000E47F7">
        <w:t xml:space="preserve"> an actual change in their family life status </w:t>
      </w:r>
      <w:r w:rsidR="002D7E49" w:rsidRPr="000E47F7">
        <w:t>(</w:t>
      </w:r>
      <w:r w:rsidR="00614502" w:rsidRPr="000E47F7">
        <w:t>potential</w:t>
      </w:r>
      <w:r w:rsidR="002D7E49" w:rsidRPr="000E47F7">
        <w:t>ly, in</w:t>
      </w:r>
      <w:r w:rsidR="00614502" w:rsidRPr="000E47F7">
        <w:t xml:space="preserve"> breach of their rights</w:t>
      </w:r>
      <w:r w:rsidR="002D7E49" w:rsidRPr="000E47F7">
        <w:t>)</w:t>
      </w:r>
      <w:r w:rsidR="00614502" w:rsidRPr="000E47F7">
        <w:t xml:space="preserve"> </w:t>
      </w:r>
      <w:r w:rsidR="00614502" w:rsidRPr="000E47F7">
        <w:rPr>
          <w:b/>
        </w:rPr>
        <w:t xml:space="preserve">or </w:t>
      </w:r>
      <w:r w:rsidR="00614502" w:rsidRPr="000E47F7">
        <w:t>they would have</w:t>
      </w:r>
      <w:r w:rsidR="002D7E49" w:rsidRPr="000E47F7">
        <w:t xml:space="preserve"> had</w:t>
      </w:r>
      <w:r w:rsidR="00614502" w:rsidRPr="000E47F7">
        <w:t xml:space="preserve"> to refuse to comply with the Minister’s </w:t>
      </w:r>
      <w:r w:rsidR="00415E5A" w:rsidRPr="000E47F7">
        <w:t xml:space="preserve">letter </w:t>
      </w:r>
      <w:r w:rsidR="002D7E49" w:rsidRPr="000E47F7">
        <w:t>thereby remaining, unlawfully,</w:t>
      </w:r>
      <w:r w:rsidR="00614502" w:rsidRPr="000E47F7">
        <w:t xml:space="preserve"> in the State</w:t>
      </w:r>
      <w:r w:rsidR="002D7E49" w:rsidRPr="000E47F7">
        <w:t xml:space="preserve"> and</w:t>
      </w:r>
      <w:r w:rsidR="00614502" w:rsidRPr="000E47F7">
        <w:t xml:space="preserve"> thus impairing their family life status and their chances of a successful application.  They were in </w:t>
      </w:r>
      <w:r w:rsidR="00855796" w:rsidRPr="000E47F7">
        <w:t>a</w:t>
      </w:r>
      <w:r w:rsidR="00614502" w:rsidRPr="000E47F7">
        <w:t xml:space="preserve"> ‘no win’ situation. </w:t>
      </w:r>
      <w:r w:rsidR="00ED25FE" w:rsidRPr="000E47F7">
        <w:t xml:space="preserve">In contrast to the situation in </w:t>
      </w:r>
      <w:r w:rsidR="00ED25FE" w:rsidRPr="000E47F7">
        <w:rPr>
          <w:i/>
        </w:rPr>
        <w:t>Luximon</w:t>
      </w:r>
      <w:r w:rsidR="00ED25FE" w:rsidRPr="000E47F7">
        <w:t xml:space="preserve">, the refusal to vary </w:t>
      </w:r>
      <w:r w:rsidR="00DF5267" w:rsidRPr="000E47F7">
        <w:t xml:space="preserve">the </w:t>
      </w:r>
      <w:r w:rsidR="00CA1F7A" w:rsidRPr="000E47F7">
        <w:t>applicant’s</w:t>
      </w:r>
      <w:r w:rsidR="00ED25FE" w:rsidRPr="000E47F7">
        <w:t xml:space="preserve"> visa and the direction that she</w:t>
      </w:r>
      <w:r w:rsidR="00CA1F7A" w:rsidRPr="000E47F7">
        <w:t xml:space="preserve"> should</w:t>
      </w:r>
      <w:r w:rsidR="00ED25FE" w:rsidRPr="000E47F7">
        <w:t xml:space="preserve"> </w:t>
      </w:r>
      <w:r w:rsidR="00CA1F7A" w:rsidRPr="000E47F7">
        <w:t>make</w:t>
      </w:r>
      <w:r w:rsidR="00ED25FE" w:rsidRPr="000E47F7">
        <w:t xml:space="preserve"> arrangements to leave the State, entailed no change at all in her status.  She had entered the State as a visitor.</w:t>
      </w:r>
      <w:r w:rsidR="00146D47" w:rsidRPr="000E47F7">
        <w:t xml:space="preserve"> The entire basis on which she was given permission to enter the jurisdiction was that she would leave after a short period.  On no version of those facts could it be said that she lawfully acquired a settled status.</w:t>
      </w:r>
      <w:r w:rsidR="00ED25FE" w:rsidRPr="000E47F7">
        <w:t xml:space="preserve">  When her</w:t>
      </w:r>
      <w:r w:rsidR="00CA1F7A" w:rsidRPr="000E47F7">
        <w:t xml:space="preserve"> visiting</w:t>
      </w:r>
      <w:r w:rsidR="00ED25FE" w:rsidRPr="000E47F7">
        <w:t xml:space="preserve"> permission expired, she was obliged</w:t>
      </w:r>
      <w:r w:rsidR="00CA1F7A" w:rsidRPr="000E47F7">
        <w:t xml:space="preserve"> to leave the State</w:t>
      </w:r>
      <w:r w:rsidR="00472448" w:rsidRPr="000E47F7">
        <w:t xml:space="preserve"> as she had undertaken to do on being granted permission to come to the jurisdiction</w:t>
      </w:r>
      <w:r w:rsidR="00146D47" w:rsidRPr="000E47F7">
        <w:t xml:space="preserve"> in the first place</w:t>
      </w:r>
      <w:r w:rsidR="00472448" w:rsidRPr="000E47F7">
        <w:t xml:space="preserve">.  </w:t>
      </w:r>
      <w:r w:rsidR="00963327" w:rsidRPr="000E47F7">
        <w:t>I</w:t>
      </w:r>
      <w:r w:rsidR="00C841E8" w:rsidRPr="000E47F7">
        <w:t xml:space="preserve">t </w:t>
      </w:r>
      <w:r w:rsidR="00ED25FE" w:rsidRPr="000E47F7">
        <w:t>was only</w:t>
      </w:r>
      <w:r w:rsidR="00C841E8" w:rsidRPr="000E47F7">
        <w:t xml:space="preserve"> i</w:t>
      </w:r>
      <w:r w:rsidR="00963327" w:rsidRPr="000E47F7">
        <w:t>n th</w:t>
      </w:r>
      <w:r w:rsidR="00ED25FE" w:rsidRPr="000E47F7">
        <w:t>e</w:t>
      </w:r>
      <w:r w:rsidR="00963327" w:rsidRPr="000E47F7">
        <w:t xml:space="preserve"> very specific circumstances</w:t>
      </w:r>
      <w:r w:rsidR="00ED25FE" w:rsidRPr="000E47F7">
        <w:t xml:space="preserve"> of </w:t>
      </w:r>
      <w:r w:rsidR="00ED25FE" w:rsidRPr="000E47F7">
        <w:rPr>
          <w:i/>
        </w:rPr>
        <w:t>Luximon</w:t>
      </w:r>
      <w:r w:rsidR="00ED25FE" w:rsidRPr="000E47F7">
        <w:t xml:space="preserve"> that</w:t>
      </w:r>
      <w:r w:rsidR="00963327" w:rsidRPr="000E47F7">
        <w:t xml:space="preserve"> </w:t>
      </w:r>
      <w:r w:rsidR="00614502" w:rsidRPr="000E47F7">
        <w:t>the Supreme Court concluded that</w:t>
      </w:r>
      <w:r w:rsidR="00963327" w:rsidRPr="000E47F7">
        <w:t xml:space="preserve"> </w:t>
      </w:r>
      <w:r w:rsidR="00614502" w:rsidRPr="000E47F7">
        <w:t>the Minister should have performed his function under s.</w:t>
      </w:r>
      <w:r w:rsidR="003B490E" w:rsidRPr="000E47F7">
        <w:t xml:space="preserve"> </w:t>
      </w:r>
      <w:r w:rsidR="00614502" w:rsidRPr="000E47F7">
        <w:t>4</w:t>
      </w:r>
      <w:r w:rsidR="00D620D2" w:rsidRPr="000E47F7">
        <w:t>(</w:t>
      </w:r>
      <w:r w:rsidR="00614502" w:rsidRPr="000E47F7">
        <w:t>7</w:t>
      </w:r>
      <w:r w:rsidR="00D620D2" w:rsidRPr="000E47F7">
        <w:t>)</w:t>
      </w:r>
      <w:r w:rsidR="00614502" w:rsidRPr="000E47F7">
        <w:t xml:space="preserve"> </w:t>
      </w:r>
      <w:r w:rsidR="009F65DA" w:rsidRPr="000E47F7">
        <w:t xml:space="preserve">of the Act of 2004 </w:t>
      </w:r>
      <w:r w:rsidR="00614502" w:rsidRPr="000E47F7">
        <w:t xml:space="preserve">in accordance with the </w:t>
      </w:r>
      <w:r w:rsidR="007E4C34" w:rsidRPr="000E47F7">
        <w:t>‘</w:t>
      </w:r>
      <w:r w:rsidR="00614502" w:rsidRPr="000E47F7">
        <w:rPr>
          <w:i/>
        </w:rPr>
        <w:t>ten</w:t>
      </w:r>
      <w:r w:rsidR="007E4C34" w:rsidRPr="000E47F7">
        <w:rPr>
          <w:i/>
        </w:rPr>
        <w:t>or</w:t>
      </w:r>
      <w:r w:rsidR="007E4C34" w:rsidRPr="000E47F7">
        <w:t>’</w:t>
      </w:r>
      <w:r w:rsidR="00614502" w:rsidRPr="000E47F7">
        <w:t xml:space="preserve"> of the </w:t>
      </w:r>
      <w:r w:rsidR="009F65DA" w:rsidRPr="000E47F7">
        <w:lastRenderedPageBreak/>
        <w:t xml:space="preserve">Strasbourg </w:t>
      </w:r>
      <w:r w:rsidR="00614502" w:rsidRPr="000E47F7">
        <w:t>jurisprudence</w:t>
      </w:r>
      <w:r w:rsidR="00A63022" w:rsidRPr="000E47F7">
        <w:t xml:space="preserve"> on settled migrants</w:t>
      </w:r>
      <w:r w:rsidR="00614502" w:rsidRPr="000E47F7">
        <w:t>.</w:t>
      </w:r>
      <w:r w:rsidR="00963327" w:rsidRPr="000E47F7">
        <w:t xml:space="preserve">  </w:t>
      </w:r>
      <w:r w:rsidR="00A63022" w:rsidRPr="000E47F7">
        <w:t>The Minister’s</w:t>
      </w:r>
      <w:r w:rsidR="00963327" w:rsidRPr="000E47F7">
        <w:t xml:space="preserve"> interference </w:t>
      </w:r>
      <w:r w:rsidR="007E4C34" w:rsidRPr="000E47F7">
        <w:t xml:space="preserve">in </w:t>
      </w:r>
      <w:r w:rsidR="0027692B" w:rsidRPr="000E47F7">
        <w:t xml:space="preserve">their </w:t>
      </w:r>
      <w:r w:rsidR="007E4C34" w:rsidRPr="000E47F7">
        <w:t xml:space="preserve">lawfully established family life </w:t>
      </w:r>
      <w:r w:rsidR="00E72F81" w:rsidRPr="000E47F7">
        <w:t>warranted</w:t>
      </w:r>
      <w:r w:rsidR="007E4C34" w:rsidRPr="000E47F7">
        <w:t xml:space="preserve"> a considered</w:t>
      </w:r>
      <w:r w:rsidR="00E72F81" w:rsidRPr="000E47F7">
        <w:t xml:space="preserve"> </w:t>
      </w:r>
      <w:r w:rsidR="007E4C34" w:rsidRPr="000E47F7">
        <w:t>justificatio</w:t>
      </w:r>
      <w:r w:rsidR="00A63022" w:rsidRPr="000E47F7">
        <w:t xml:space="preserve">n based on </w:t>
      </w:r>
      <w:r w:rsidR="00A90E3B" w:rsidRPr="000E47F7">
        <w:t>‘serious reasons’.</w:t>
      </w:r>
      <w:r w:rsidR="00A90E3B" w:rsidRPr="000E47F7">
        <w:rPr>
          <w:rStyle w:val="FootnoteReference"/>
        </w:rPr>
        <w:footnoteReference w:id="6"/>
      </w:r>
      <w:r w:rsidR="00A90E3B" w:rsidRPr="000E47F7">
        <w:t xml:space="preserve"> </w:t>
      </w:r>
      <w:r w:rsidR="00C654F7" w:rsidRPr="000E47F7">
        <w:t xml:space="preserve">  </w:t>
      </w:r>
    </w:p>
    <w:p w14:paraId="4E2E8317" w14:textId="77777777" w:rsidR="00DF5267" w:rsidRPr="000E47F7" w:rsidRDefault="00DF5267" w:rsidP="00DF5267">
      <w:pPr>
        <w:spacing w:line="480" w:lineRule="auto"/>
        <w:jc w:val="both"/>
      </w:pPr>
    </w:p>
    <w:p w14:paraId="6CF9660A" w14:textId="7923D336" w:rsidR="009D7813" w:rsidRPr="000E47F7" w:rsidRDefault="002D1042" w:rsidP="00DF5267">
      <w:pPr>
        <w:numPr>
          <w:ilvl w:val="0"/>
          <w:numId w:val="1"/>
        </w:numPr>
        <w:spacing w:line="480" w:lineRule="auto"/>
        <w:jc w:val="both"/>
      </w:pPr>
      <w:r w:rsidRPr="000E47F7">
        <w:t>E</w:t>
      </w:r>
      <w:r w:rsidR="00696AFB" w:rsidRPr="000E47F7">
        <w:t xml:space="preserve">ven if </w:t>
      </w:r>
      <w:r w:rsidR="007C66FF" w:rsidRPr="000E47F7">
        <w:t>the applicant’s</w:t>
      </w:r>
      <w:r w:rsidR="00696AFB" w:rsidRPr="000E47F7">
        <w:t xml:space="preserve"> son were to be considered</w:t>
      </w:r>
      <w:r w:rsidR="00A053D3" w:rsidRPr="000E47F7">
        <w:t xml:space="preserve"> a</w:t>
      </w:r>
      <w:r w:rsidR="00696AFB" w:rsidRPr="000E47F7">
        <w:t xml:space="preserve"> settled migrant</w:t>
      </w:r>
      <w:r w:rsidRPr="000E47F7">
        <w:t xml:space="preserve"> (and</w:t>
      </w:r>
      <w:r w:rsidR="007C66FF" w:rsidRPr="000E47F7">
        <w:t xml:space="preserve"> the</w:t>
      </w:r>
      <w:r w:rsidR="00A053D3" w:rsidRPr="000E47F7">
        <w:t xml:space="preserve"> grant of his residence permit </w:t>
      </w:r>
      <w:r w:rsidR="007C66FF" w:rsidRPr="000E47F7">
        <w:t xml:space="preserve">just </w:t>
      </w:r>
      <w:r w:rsidR="00A053D3" w:rsidRPr="000E47F7">
        <w:t xml:space="preserve">prior to </w:t>
      </w:r>
      <w:r w:rsidR="002D0C81" w:rsidRPr="000E47F7">
        <w:t>her</w:t>
      </w:r>
      <w:r w:rsidR="00A053D3" w:rsidRPr="000E47F7">
        <w:t xml:space="preserve"> visit must</w:t>
      </w:r>
      <w:r w:rsidR="002D0C81" w:rsidRPr="000E47F7">
        <w:t>,</w:t>
      </w:r>
      <w:r w:rsidR="00A053D3" w:rsidRPr="000E47F7">
        <w:t xml:space="preserve"> </w:t>
      </w:r>
      <w:r w:rsidR="002D0C81" w:rsidRPr="000E47F7">
        <w:t>at least, raise a question in this regard</w:t>
      </w:r>
      <w:r w:rsidR="00A053D3" w:rsidRPr="000E47F7">
        <w:t>)</w:t>
      </w:r>
      <w:r w:rsidR="00696AFB" w:rsidRPr="000E47F7">
        <w:t>, t</w:t>
      </w:r>
      <w:r w:rsidR="00DD6693" w:rsidRPr="000E47F7">
        <w:t xml:space="preserve">he extent of a State’s obligation to admit </w:t>
      </w:r>
      <w:r w:rsidR="00DD6693" w:rsidRPr="000E47F7">
        <w:rPr>
          <w:i/>
        </w:rPr>
        <w:t xml:space="preserve">relatives </w:t>
      </w:r>
      <w:r w:rsidR="00DD6693" w:rsidRPr="000E47F7">
        <w:t xml:space="preserve">of </w:t>
      </w:r>
      <w:r w:rsidR="002D0C81" w:rsidRPr="000E47F7">
        <w:t xml:space="preserve">persons residing there </w:t>
      </w:r>
      <w:r w:rsidR="00DD6693" w:rsidRPr="000E47F7">
        <w:t>will vary according to the particular circumstances and to the general interest</w:t>
      </w:r>
      <w:r w:rsidR="002D0C81" w:rsidRPr="000E47F7">
        <w:t xml:space="preserve"> (see </w:t>
      </w:r>
      <w:r w:rsidR="002D0C81" w:rsidRPr="000E47F7">
        <w:rPr>
          <w:i/>
        </w:rPr>
        <w:t>Jeunesse</w:t>
      </w:r>
      <w:r w:rsidR="002D0C81" w:rsidRPr="000E47F7">
        <w:t xml:space="preserve"> </w:t>
      </w:r>
      <w:r w:rsidR="00A90E3B" w:rsidRPr="000E47F7">
        <w:t>para.</w:t>
      </w:r>
      <w:r w:rsidR="002D0C81" w:rsidRPr="000E47F7">
        <w:t xml:space="preserve"> 105)</w:t>
      </w:r>
      <w:r w:rsidR="00DD6693" w:rsidRPr="000E47F7">
        <w:t xml:space="preserve">. </w:t>
      </w:r>
      <w:r w:rsidR="00A053D3" w:rsidRPr="000E47F7">
        <w:t xml:space="preserve"> </w:t>
      </w:r>
      <w:r w:rsidR="007C66FF" w:rsidRPr="000E47F7">
        <w:t>It</w:t>
      </w:r>
      <w:r w:rsidR="00A053D3" w:rsidRPr="000E47F7">
        <w:t xml:space="preserve"> is only in ‘</w:t>
      </w:r>
      <w:r w:rsidR="00A053D3" w:rsidRPr="000E47F7">
        <w:rPr>
          <w:i/>
        </w:rPr>
        <w:t>exceptional circumstances</w:t>
      </w:r>
      <w:r w:rsidR="007C66FF" w:rsidRPr="000E47F7">
        <w:t xml:space="preserve">’ that </w:t>
      </w:r>
      <w:r w:rsidR="00A053D3" w:rsidRPr="000E47F7">
        <w:t xml:space="preserve">a positive obligation </w:t>
      </w:r>
      <w:r w:rsidR="007C66FF" w:rsidRPr="000E47F7">
        <w:t xml:space="preserve">will </w:t>
      </w:r>
      <w:r w:rsidR="00A053D3" w:rsidRPr="000E47F7">
        <w:t>be imposed on the State to ensure that a fair balance is struck between the competing interest</w:t>
      </w:r>
      <w:r w:rsidR="009F65DA" w:rsidRPr="000E47F7">
        <w:t>s</w:t>
      </w:r>
      <w:r w:rsidR="00A053D3" w:rsidRPr="000E47F7">
        <w:t xml:space="preserve"> involved.  </w:t>
      </w:r>
      <w:r w:rsidR="00ED25FE" w:rsidRPr="000E47F7">
        <w:t>There was nothing</w:t>
      </w:r>
      <w:r w:rsidR="007C66FF" w:rsidRPr="000E47F7">
        <w:t xml:space="preserve"> </w:t>
      </w:r>
      <w:r w:rsidR="00490FA1" w:rsidRPr="000E47F7">
        <w:t xml:space="preserve">even </w:t>
      </w:r>
      <w:r w:rsidR="00945964" w:rsidRPr="000E47F7">
        <w:t xml:space="preserve">remotely </w:t>
      </w:r>
      <w:r w:rsidR="00951DE8" w:rsidRPr="000E47F7">
        <w:t>‘</w:t>
      </w:r>
      <w:r w:rsidR="007C66FF" w:rsidRPr="000E47F7">
        <w:rPr>
          <w:i/>
        </w:rPr>
        <w:t>exceptional</w:t>
      </w:r>
      <w:r w:rsidR="00951DE8" w:rsidRPr="000E47F7">
        <w:t>’</w:t>
      </w:r>
      <w:r w:rsidR="007C66FF" w:rsidRPr="000E47F7">
        <w:t xml:space="preserve"> </w:t>
      </w:r>
      <w:r w:rsidR="00ED25FE" w:rsidRPr="000E47F7">
        <w:t>about</w:t>
      </w:r>
      <w:r w:rsidR="007C66FF" w:rsidRPr="000E47F7">
        <w:t xml:space="preserve"> the applicant’s case</w:t>
      </w:r>
      <w:r w:rsidR="009D7813" w:rsidRPr="000E47F7">
        <w:t>, and accordingly nothing to ground the claim that – exceptionally – as a precondition to refusing her application for a variation of her permission an Article 8 assessment had to be conducted</w:t>
      </w:r>
      <w:r w:rsidR="007C66FF" w:rsidRPr="000E47F7">
        <w:t xml:space="preserve">.  </w:t>
      </w:r>
      <w:r w:rsidR="00ED25FE" w:rsidRPr="000E47F7">
        <w:t xml:space="preserve">She was a visitor whose visa had </w:t>
      </w:r>
      <w:r w:rsidR="00AC30A9" w:rsidRPr="000E47F7">
        <w:t>expired,</w:t>
      </w:r>
      <w:r w:rsidR="00806AFD" w:rsidRPr="000E47F7">
        <w:t xml:space="preserve"> </w:t>
      </w:r>
      <w:r w:rsidR="00146D47" w:rsidRPr="000E47F7">
        <w:t xml:space="preserve">she entered on a basis fundamentally inconsistent with the acquisition of a long term settled status </w:t>
      </w:r>
      <w:r w:rsidR="00951DE8" w:rsidRPr="000E47F7">
        <w:t>and s</w:t>
      </w:r>
      <w:r w:rsidR="00ED25FE" w:rsidRPr="000E47F7">
        <w:t xml:space="preserve">he had never been ‘resident’ </w:t>
      </w:r>
      <w:r w:rsidR="00146D47" w:rsidRPr="000E47F7">
        <w:t xml:space="preserve">as such </w:t>
      </w:r>
      <w:r w:rsidR="00ED25FE" w:rsidRPr="000E47F7">
        <w:t>in the State</w:t>
      </w:r>
      <w:r w:rsidR="00951DE8" w:rsidRPr="000E47F7">
        <w:t>.</w:t>
      </w:r>
    </w:p>
    <w:p w14:paraId="090D2B56" w14:textId="5988B7A0" w:rsidR="00C66CF4" w:rsidRPr="000E47F7" w:rsidRDefault="00951DE8" w:rsidP="00EE0FCE">
      <w:pPr>
        <w:spacing w:line="480" w:lineRule="auto"/>
        <w:jc w:val="both"/>
      </w:pPr>
      <w:r w:rsidRPr="000E47F7">
        <w:t xml:space="preserve">  </w:t>
      </w:r>
    </w:p>
    <w:p w14:paraId="45642207" w14:textId="3BA1715C" w:rsidR="00EA1B0A" w:rsidRPr="000E47F7" w:rsidRDefault="001814CA" w:rsidP="00C841E8">
      <w:pPr>
        <w:pStyle w:val="ListParagraph"/>
        <w:widowControl w:val="0"/>
        <w:numPr>
          <w:ilvl w:val="0"/>
          <w:numId w:val="1"/>
        </w:numPr>
        <w:tabs>
          <w:tab w:val="left" w:pos="567"/>
        </w:tabs>
        <w:spacing w:line="480" w:lineRule="auto"/>
        <w:jc w:val="both"/>
        <w:rPr>
          <w:b/>
          <w:u w:val="single"/>
        </w:rPr>
      </w:pPr>
      <w:r w:rsidRPr="000E47F7">
        <w:t xml:space="preserve">The applicant’s </w:t>
      </w:r>
      <w:r w:rsidR="00A63022" w:rsidRPr="000E47F7">
        <w:t xml:space="preserve">presence in </w:t>
      </w:r>
      <w:r w:rsidR="00A90E3B" w:rsidRPr="000E47F7">
        <w:t>the State</w:t>
      </w:r>
      <w:r w:rsidR="00A63022" w:rsidRPr="000E47F7">
        <w:t xml:space="preserve"> after 1</w:t>
      </w:r>
      <w:r w:rsidR="00D471B6">
        <w:t>4</w:t>
      </w:r>
      <w:r w:rsidR="00A63022" w:rsidRPr="000E47F7">
        <w:t xml:space="preserve"> November 201</w:t>
      </w:r>
      <w:r w:rsidR="001D2435">
        <w:t xml:space="preserve">3 </w:t>
      </w:r>
      <w:r w:rsidR="00A63022" w:rsidRPr="000E47F7">
        <w:t>was</w:t>
      </w:r>
      <w:r w:rsidR="00F96B25" w:rsidRPr="000E47F7">
        <w:t>,</w:t>
      </w:r>
      <w:r w:rsidR="00A63022" w:rsidRPr="000E47F7">
        <w:t xml:space="preserve"> </w:t>
      </w:r>
      <w:r w:rsidR="00146D47" w:rsidRPr="000E47F7">
        <w:t>accordingly</w:t>
      </w:r>
      <w:r w:rsidR="00F96B25" w:rsidRPr="000E47F7">
        <w:t>,</w:t>
      </w:r>
      <w:r w:rsidR="00146D47" w:rsidRPr="000E47F7">
        <w:t xml:space="preserve"> not </w:t>
      </w:r>
      <w:r w:rsidR="00A63022" w:rsidRPr="000E47F7">
        <w:t xml:space="preserve">‘settled’.  </w:t>
      </w:r>
      <w:r w:rsidR="005261DD" w:rsidRPr="000E47F7">
        <w:t xml:space="preserve">In this context, it is ambitious, to say the least, for </w:t>
      </w:r>
      <w:r w:rsidR="00A668FF" w:rsidRPr="000E47F7">
        <w:t>her</w:t>
      </w:r>
      <w:r w:rsidR="005261DD" w:rsidRPr="000E47F7">
        <w:t xml:space="preserve"> to argue that the case law of the European Court of Human Rights confers upon her the right to </w:t>
      </w:r>
      <w:r w:rsidR="009F65DA" w:rsidRPr="000E47F7">
        <w:t>have an</w:t>
      </w:r>
      <w:r w:rsidR="005261DD" w:rsidRPr="000E47F7">
        <w:t xml:space="preserve"> application for residence based on </w:t>
      </w:r>
      <w:r w:rsidR="00A668FF" w:rsidRPr="000E47F7">
        <w:t xml:space="preserve">established </w:t>
      </w:r>
      <w:r w:rsidR="005261DD" w:rsidRPr="000E47F7">
        <w:t xml:space="preserve">‘family life’ </w:t>
      </w:r>
      <w:r w:rsidR="00A668FF" w:rsidRPr="000E47F7">
        <w:t xml:space="preserve">in Ireland </w:t>
      </w:r>
      <w:r w:rsidR="005261DD" w:rsidRPr="000E47F7">
        <w:t>assessed at the expiry of</w:t>
      </w:r>
      <w:r w:rsidR="00146D47" w:rsidRPr="000E47F7">
        <w:t xml:space="preserve"> a </w:t>
      </w:r>
      <w:r w:rsidR="004A20BD" w:rsidRPr="000E47F7">
        <w:t>90-day</w:t>
      </w:r>
      <w:r w:rsidR="005261DD" w:rsidRPr="000E47F7">
        <w:t xml:space="preserve"> visa</w:t>
      </w:r>
      <w:r w:rsidR="00146D47" w:rsidRPr="000E47F7">
        <w:t xml:space="preserve"> granted on the basis that she would leave the jurisdiction at that time.</w:t>
      </w:r>
      <w:r w:rsidR="005261DD" w:rsidRPr="000E47F7">
        <w:t xml:space="preserve">  </w:t>
      </w:r>
      <w:r w:rsidR="00632188" w:rsidRPr="000E47F7">
        <w:t xml:space="preserve">With </w:t>
      </w:r>
      <w:r w:rsidR="00632188" w:rsidRPr="000E47F7">
        <w:rPr>
          <w:i/>
        </w:rPr>
        <w:t xml:space="preserve">Luximon </w:t>
      </w:r>
      <w:r w:rsidR="00632188" w:rsidRPr="000E47F7">
        <w:t>clearly distinguishable,</w:t>
      </w:r>
      <w:r w:rsidR="007C66FF" w:rsidRPr="000E47F7">
        <w:t xml:space="preserve"> </w:t>
      </w:r>
      <w:r w:rsidR="00A5496D" w:rsidRPr="000E47F7">
        <w:t xml:space="preserve">we </w:t>
      </w:r>
      <w:r w:rsidR="007C66FF" w:rsidRPr="000E47F7">
        <w:t>find</w:t>
      </w:r>
      <w:r w:rsidR="00632188" w:rsidRPr="000E47F7">
        <w:t xml:space="preserve"> no</w:t>
      </w:r>
      <w:r w:rsidR="007C66FF" w:rsidRPr="000E47F7">
        <w:t xml:space="preserve"> authority within the Strasbourg case law—whether under negative, positive or hybrid obligations on the part of the State—which supports her contention that the Minister </w:t>
      </w:r>
      <w:r w:rsidRPr="000E47F7">
        <w:t>was obliged to assess</w:t>
      </w:r>
      <w:r w:rsidR="007C66FF" w:rsidRPr="000E47F7">
        <w:t xml:space="preserve"> her Article </w:t>
      </w:r>
      <w:r w:rsidR="004A20BD" w:rsidRPr="000E47F7">
        <w:t>8 rights</w:t>
      </w:r>
      <w:r w:rsidR="007C66FF" w:rsidRPr="000E47F7">
        <w:t xml:space="preserve"> </w:t>
      </w:r>
      <w:r w:rsidR="004A20BD" w:rsidRPr="000E47F7">
        <w:t>at the time</w:t>
      </w:r>
      <w:r w:rsidR="007C66FF" w:rsidRPr="000E47F7">
        <w:t xml:space="preserve"> </w:t>
      </w:r>
      <w:r w:rsidR="004A20BD" w:rsidRPr="000E47F7">
        <w:t xml:space="preserve">when her application </w:t>
      </w:r>
      <w:r w:rsidR="007C66FF" w:rsidRPr="000E47F7">
        <w:t xml:space="preserve">under s. 4(7) of the </w:t>
      </w:r>
      <w:r w:rsidR="00BE7AA5" w:rsidRPr="000E47F7">
        <w:t xml:space="preserve">2004 </w:t>
      </w:r>
      <w:r w:rsidR="007C66FF" w:rsidRPr="000E47F7">
        <w:t>Act</w:t>
      </w:r>
      <w:r w:rsidR="004A20BD" w:rsidRPr="000E47F7">
        <w:t xml:space="preserve"> was refused.</w:t>
      </w:r>
    </w:p>
    <w:p w14:paraId="476EF0FA" w14:textId="7F1B2A61" w:rsidR="00F87D8C" w:rsidRPr="000E47F7" w:rsidRDefault="009D254A" w:rsidP="005834BC">
      <w:pPr>
        <w:pStyle w:val="ListParagraph"/>
        <w:numPr>
          <w:ilvl w:val="0"/>
          <w:numId w:val="1"/>
        </w:numPr>
        <w:spacing w:line="480" w:lineRule="auto"/>
        <w:jc w:val="both"/>
      </w:pPr>
      <w:r w:rsidRPr="000E47F7">
        <w:lastRenderedPageBreak/>
        <w:t>Nor</w:t>
      </w:r>
      <w:r w:rsidR="00157893" w:rsidRPr="000E47F7">
        <w:t xml:space="preserve">, indeed, does </w:t>
      </w:r>
      <w:r w:rsidRPr="000E47F7">
        <w:t>the applicant point to any</w:t>
      </w:r>
      <w:r w:rsidR="00DD6693" w:rsidRPr="000E47F7">
        <w:t xml:space="preserve"> case </w:t>
      </w:r>
      <w:r w:rsidR="00F40F4B" w:rsidRPr="000E47F7">
        <w:t>from the Strasbourg Court</w:t>
      </w:r>
      <w:r w:rsidR="00DD6693" w:rsidRPr="000E47F7">
        <w:t xml:space="preserve"> in which </w:t>
      </w:r>
      <w:r w:rsidR="00C719EE" w:rsidRPr="000E47F7">
        <w:t>it was held</w:t>
      </w:r>
      <w:r w:rsidR="00DD6693" w:rsidRPr="000E47F7">
        <w:t xml:space="preserve"> that an assessment </w:t>
      </w:r>
      <w:r w:rsidR="00356A9C" w:rsidRPr="000E47F7">
        <w:t>of an Article 8 claim</w:t>
      </w:r>
      <w:r w:rsidR="00DD6693" w:rsidRPr="000E47F7">
        <w:t xml:space="preserve"> must be </w:t>
      </w:r>
      <w:r w:rsidR="00356A9C" w:rsidRPr="000E47F7">
        <w:t>under</w:t>
      </w:r>
      <w:r w:rsidR="00DD6693" w:rsidRPr="000E47F7">
        <w:t xml:space="preserve">taken </w:t>
      </w:r>
      <w:r w:rsidR="00356A9C" w:rsidRPr="000E47F7">
        <w:t xml:space="preserve">by </w:t>
      </w:r>
      <w:r w:rsidR="00C719EE" w:rsidRPr="000E47F7">
        <w:t>the</w:t>
      </w:r>
      <w:r w:rsidR="00356A9C" w:rsidRPr="000E47F7">
        <w:t xml:space="preserve"> State</w:t>
      </w:r>
      <w:r w:rsidR="00632188" w:rsidRPr="000E47F7">
        <w:t xml:space="preserve"> </w:t>
      </w:r>
      <w:r w:rsidRPr="000E47F7">
        <w:t xml:space="preserve">in respect of a person in </w:t>
      </w:r>
      <w:r w:rsidR="00C719EE" w:rsidRPr="000E47F7">
        <w:t>the position of the applicant</w:t>
      </w:r>
      <w:r w:rsidRPr="000E47F7">
        <w:t>.</w:t>
      </w:r>
      <w:r w:rsidR="00632188" w:rsidRPr="000E47F7">
        <w:t xml:space="preserve"> </w:t>
      </w:r>
      <w:r w:rsidR="00A90E3B" w:rsidRPr="000E47F7">
        <w:t xml:space="preserve"> </w:t>
      </w:r>
      <w:r w:rsidR="00C841E8" w:rsidRPr="000E47F7">
        <w:t>T</w:t>
      </w:r>
      <w:r w:rsidR="00DD6693" w:rsidRPr="000E47F7">
        <w:t xml:space="preserve">he reasons for </w:t>
      </w:r>
      <w:r w:rsidR="00356A9C" w:rsidRPr="000E47F7">
        <w:t xml:space="preserve">this </w:t>
      </w:r>
      <w:r w:rsidR="00DD6693" w:rsidRPr="000E47F7">
        <w:t xml:space="preserve">must be considered self-evident.  </w:t>
      </w:r>
      <w:r w:rsidR="00356A9C" w:rsidRPr="000E47F7">
        <w:t>Leaving</w:t>
      </w:r>
      <w:r w:rsidR="00DD6693" w:rsidRPr="000E47F7">
        <w:t xml:space="preserve"> family members with whom one does not ordinarily </w:t>
      </w:r>
      <w:r w:rsidR="00632188" w:rsidRPr="000E47F7">
        <w:t>reside</w:t>
      </w:r>
      <w:r w:rsidR="00356A9C" w:rsidRPr="000E47F7">
        <w:t xml:space="preserve"> cannot be said to </w:t>
      </w:r>
      <w:r w:rsidR="00DD6693" w:rsidRPr="000E47F7">
        <w:t>constitute a ‘</w:t>
      </w:r>
      <w:r w:rsidR="00DD6693" w:rsidRPr="000E47F7">
        <w:rPr>
          <w:i/>
        </w:rPr>
        <w:t>rupture</w:t>
      </w:r>
      <w:r w:rsidR="00DD6693" w:rsidRPr="000E47F7">
        <w:t>’</w:t>
      </w:r>
      <w:r w:rsidR="00D408EC" w:rsidRPr="000E47F7">
        <w:t xml:space="preserve"> in family life</w:t>
      </w:r>
      <w:r w:rsidR="00DD6693" w:rsidRPr="000E47F7">
        <w:t xml:space="preserve"> in the sense in which that phrase is used in the case law of the Strasbourg </w:t>
      </w:r>
      <w:r w:rsidR="00DF5267" w:rsidRPr="000E47F7">
        <w:t>C</w:t>
      </w:r>
      <w:r w:rsidR="00DD6693" w:rsidRPr="000E47F7">
        <w:t xml:space="preserve">ourt. </w:t>
      </w:r>
      <w:r w:rsidR="00EA1B0A" w:rsidRPr="000E47F7">
        <w:t xml:space="preserve">  On the contrary, i</w:t>
      </w:r>
      <w:r w:rsidR="00DD6693" w:rsidRPr="000E47F7">
        <w:t xml:space="preserve">t </w:t>
      </w:r>
      <w:r w:rsidR="004E01FF" w:rsidRPr="000E47F7">
        <w:t xml:space="preserve">involves a </w:t>
      </w:r>
      <w:r w:rsidR="00DD6693" w:rsidRPr="000E47F7">
        <w:t>return to habitual circumstances.</w:t>
      </w:r>
      <w:r w:rsidR="00D408EC" w:rsidRPr="000E47F7">
        <w:t xml:space="preserve">  </w:t>
      </w:r>
      <w:r w:rsidR="00632188" w:rsidRPr="000E47F7">
        <w:t>Moreover, i</w:t>
      </w:r>
      <w:r w:rsidR="005834BC" w:rsidRPr="000E47F7">
        <w:t xml:space="preserve">n immigration cases, there will be no </w:t>
      </w:r>
      <w:r w:rsidR="00A90E3B" w:rsidRPr="000E47F7">
        <w:t>‘</w:t>
      </w:r>
      <w:r w:rsidR="005834BC" w:rsidRPr="000E47F7">
        <w:t>family life</w:t>
      </w:r>
      <w:r w:rsidR="00A90E3B" w:rsidRPr="000E47F7">
        <w:t>’</w:t>
      </w:r>
      <w:r w:rsidR="005834BC" w:rsidRPr="000E47F7">
        <w:t xml:space="preserve"> between parents and adult children unless they can demonstrate additional elements of dependence other than normal emotional</w:t>
      </w:r>
      <w:r w:rsidR="00C47D54" w:rsidRPr="000E47F7">
        <w:t xml:space="preserve"> ties</w:t>
      </w:r>
      <w:r w:rsidR="00A90E3B" w:rsidRPr="000E47F7">
        <w:t>.</w:t>
      </w:r>
      <w:r w:rsidR="005F4CCF" w:rsidRPr="000E47F7">
        <w:rPr>
          <w:rStyle w:val="FootnoteReference"/>
        </w:rPr>
        <w:footnoteReference w:id="7"/>
      </w:r>
      <w:r w:rsidR="00A90E3B" w:rsidRPr="000E47F7">
        <w:t xml:space="preserve"> </w:t>
      </w:r>
      <w:r w:rsidR="00861496" w:rsidRPr="000E47F7">
        <w:t xml:space="preserve"> </w:t>
      </w:r>
      <w:r w:rsidR="00A90E3B" w:rsidRPr="000E47F7">
        <w:t xml:space="preserve"> </w:t>
      </w:r>
      <w:hyperlink r:id="rId12" w:history="1"/>
      <w:r w:rsidR="00DD6693" w:rsidRPr="000E47F7">
        <w:t xml:space="preserve"> ‘</w:t>
      </w:r>
      <w:r w:rsidR="00055D33" w:rsidRPr="000E47F7">
        <w:t>T</w:t>
      </w:r>
      <w:r w:rsidR="00DD6693" w:rsidRPr="000E47F7">
        <w:t>ies’ in a contracting State</w:t>
      </w:r>
      <w:r w:rsidR="004E01FF" w:rsidRPr="000E47F7">
        <w:t xml:space="preserve"> </w:t>
      </w:r>
      <w:r w:rsidR="00055D33" w:rsidRPr="000E47F7">
        <w:t xml:space="preserve">of the kind thus envisaged by the case law </w:t>
      </w:r>
      <w:r w:rsidR="00632188" w:rsidRPr="000E47F7">
        <w:t xml:space="preserve">are unlikely to be established on foot of a three-month visit.  </w:t>
      </w:r>
      <w:r w:rsidR="00EA1B0A" w:rsidRPr="000E47F7">
        <w:t>Such ties</w:t>
      </w:r>
      <w:r w:rsidR="004E01FF" w:rsidRPr="000E47F7">
        <w:t xml:space="preserve"> refer</w:t>
      </w:r>
      <w:r w:rsidR="00632188" w:rsidRPr="000E47F7">
        <w:t xml:space="preserve"> </w:t>
      </w:r>
      <w:r w:rsidR="004E01FF" w:rsidRPr="000E47F7">
        <w:t xml:space="preserve">to that network of </w:t>
      </w:r>
      <w:r w:rsidR="00632188" w:rsidRPr="000E47F7">
        <w:t xml:space="preserve">cultural, linguistic and social </w:t>
      </w:r>
      <w:r w:rsidR="004E01FF" w:rsidRPr="000E47F7">
        <w:t xml:space="preserve">connections that arise from </w:t>
      </w:r>
      <w:r w:rsidR="00EA1B0A" w:rsidRPr="000E47F7">
        <w:t xml:space="preserve">being embedded in </w:t>
      </w:r>
      <w:r w:rsidR="00632188" w:rsidRPr="000E47F7">
        <w:t>a</w:t>
      </w:r>
      <w:r w:rsidR="00EA1B0A" w:rsidRPr="000E47F7">
        <w:t xml:space="preserve"> State by virtue of </w:t>
      </w:r>
      <w:r w:rsidR="004E01FF" w:rsidRPr="000E47F7">
        <w:t xml:space="preserve">one’s </w:t>
      </w:r>
      <w:r w:rsidR="00632188" w:rsidRPr="000E47F7">
        <w:t>history of residence therein and arising</w:t>
      </w:r>
      <w:r w:rsidR="00632188" w:rsidRPr="000E47F7">
        <w:rPr>
          <w:i/>
        </w:rPr>
        <w:t>, inter alia</w:t>
      </w:r>
      <w:r w:rsidR="00632188" w:rsidRPr="000E47F7">
        <w:t xml:space="preserve">, from </w:t>
      </w:r>
      <w:r w:rsidR="004E01FF" w:rsidRPr="000E47F7">
        <w:t xml:space="preserve">professional, vocational or educational commitments.  </w:t>
      </w:r>
      <w:r w:rsidR="00DD6693" w:rsidRPr="000E47F7">
        <w:t xml:space="preserve">Insurmountable obstacles to family life ‘elsewhere’ </w:t>
      </w:r>
      <w:r w:rsidR="00A63022" w:rsidRPr="000E47F7">
        <w:t>are unlikely</w:t>
      </w:r>
      <w:r w:rsidR="00DD6693" w:rsidRPr="000E47F7">
        <w:t xml:space="preserve"> to exist when most of one’s family life has been established and enjoyed ‘elsewhere’.  </w:t>
      </w:r>
      <w:r w:rsidR="00451BA0" w:rsidRPr="000E47F7">
        <w:t xml:space="preserve"> </w:t>
      </w:r>
      <w:r w:rsidR="00DD6693" w:rsidRPr="000E47F7">
        <w:t xml:space="preserve">Even where an Article 8 assessment is required to be conducted in the face of </w:t>
      </w:r>
      <w:r w:rsidR="00B41DC8" w:rsidRPr="000E47F7">
        <w:t xml:space="preserve">an </w:t>
      </w:r>
      <w:r w:rsidR="00DD6693" w:rsidRPr="000E47F7">
        <w:t xml:space="preserve">imminent expulsion, there is no obligation on the authorities to grant </w:t>
      </w:r>
      <w:r w:rsidR="00B41DC8" w:rsidRPr="000E47F7">
        <w:t xml:space="preserve">a right of </w:t>
      </w:r>
      <w:r w:rsidR="00DD6693" w:rsidRPr="000E47F7">
        <w:t xml:space="preserve">residence where they have been confronted with family life as a </w:t>
      </w:r>
      <w:r w:rsidR="00DD6693" w:rsidRPr="000E47F7">
        <w:rPr>
          <w:i/>
        </w:rPr>
        <w:t>fait accompli.</w:t>
      </w:r>
    </w:p>
    <w:p w14:paraId="37AEF880" w14:textId="77777777" w:rsidR="00E304BD" w:rsidRPr="000E47F7" w:rsidRDefault="00E304BD" w:rsidP="00E304BD">
      <w:pPr>
        <w:pStyle w:val="ListParagraph"/>
        <w:spacing w:line="480" w:lineRule="auto"/>
        <w:ind w:left="0"/>
        <w:jc w:val="both"/>
      </w:pPr>
    </w:p>
    <w:p w14:paraId="04328711" w14:textId="4B254D6B" w:rsidR="00E0680E" w:rsidRPr="000E47F7" w:rsidRDefault="0037293D" w:rsidP="008C0435">
      <w:pPr>
        <w:pStyle w:val="ListParagraph"/>
        <w:widowControl w:val="0"/>
        <w:numPr>
          <w:ilvl w:val="0"/>
          <w:numId w:val="1"/>
        </w:numPr>
        <w:tabs>
          <w:tab w:val="left" w:pos="567"/>
        </w:tabs>
        <w:spacing w:line="480" w:lineRule="auto"/>
        <w:jc w:val="both"/>
        <w:rPr>
          <w:b/>
          <w:u w:val="single"/>
        </w:rPr>
      </w:pPr>
      <w:r w:rsidRPr="000E47F7">
        <w:t>The</w:t>
      </w:r>
      <w:r w:rsidR="00D45E10" w:rsidRPr="000E47F7">
        <w:t xml:space="preserve"> applicant was denied </w:t>
      </w:r>
      <w:r w:rsidRPr="000E47F7">
        <w:t>her request for r</w:t>
      </w:r>
      <w:r w:rsidR="00D45E10" w:rsidRPr="000E47F7">
        <w:t xml:space="preserve">esidence some twenty weeks after </w:t>
      </w:r>
      <w:r w:rsidRPr="000E47F7">
        <w:t>it was</w:t>
      </w:r>
      <w:r w:rsidR="00D45E10" w:rsidRPr="000E47F7">
        <w:t xml:space="preserve"> made.  </w:t>
      </w:r>
      <w:r w:rsidR="008A5BBF" w:rsidRPr="000E47F7">
        <w:t xml:space="preserve">The Minister confirmed that the individual circumstances of her case had been considered as had </w:t>
      </w:r>
      <w:r w:rsidR="00064370" w:rsidRPr="000E47F7">
        <w:t>all representations made on her behalf</w:t>
      </w:r>
      <w:r w:rsidR="008A5BBF" w:rsidRPr="000E47F7">
        <w:t>.</w:t>
      </w:r>
      <w:r w:rsidR="00B457D8" w:rsidRPr="000E47F7">
        <w:t xml:space="preserve"> </w:t>
      </w:r>
      <w:r w:rsidR="00064370" w:rsidRPr="000E47F7">
        <w:t xml:space="preserve"> </w:t>
      </w:r>
      <w:r w:rsidR="008A5BBF" w:rsidRPr="000E47F7">
        <w:t>His decision</w:t>
      </w:r>
      <w:r w:rsidR="00D45E10" w:rsidRPr="000E47F7">
        <w:t xml:space="preserve"> underscored that the purpose of </w:t>
      </w:r>
      <w:r w:rsidR="00AC30A9" w:rsidRPr="000E47F7">
        <w:t xml:space="preserve">her </w:t>
      </w:r>
      <w:r w:rsidR="00D45E10" w:rsidRPr="000E47F7">
        <w:t xml:space="preserve">journey </w:t>
      </w:r>
      <w:r w:rsidR="00AC30A9" w:rsidRPr="000E47F7">
        <w:t>had been</w:t>
      </w:r>
      <w:r w:rsidR="00D45E10" w:rsidRPr="000E47F7">
        <w:t xml:space="preserve"> to visit the State and that </w:t>
      </w:r>
      <w:r w:rsidR="008C0435" w:rsidRPr="000E47F7">
        <w:t>she had undertaken</w:t>
      </w:r>
      <w:r w:rsidR="00D45E10" w:rsidRPr="000E47F7">
        <w:t xml:space="preserve"> to observe the conditions of the visa</w:t>
      </w:r>
      <w:r w:rsidR="00DF5267" w:rsidRPr="000E47F7">
        <w:t xml:space="preserve"> </w:t>
      </w:r>
      <w:r w:rsidR="00D45E10" w:rsidRPr="000E47F7">
        <w:t xml:space="preserve">and to leave the State </w:t>
      </w:r>
      <w:r w:rsidR="008C0435" w:rsidRPr="000E47F7">
        <w:t>when that visa expired</w:t>
      </w:r>
      <w:r w:rsidR="00D45E10" w:rsidRPr="000E47F7">
        <w:t xml:space="preserve">. </w:t>
      </w:r>
      <w:r w:rsidR="008A5BBF" w:rsidRPr="000E47F7">
        <w:t xml:space="preserve">He acknowledged her right to respect for </w:t>
      </w:r>
      <w:r w:rsidR="008A5BBF" w:rsidRPr="000E47F7">
        <w:lastRenderedPageBreak/>
        <w:t xml:space="preserve">family life under Article 8(1) and confirmed that this had to be considered in the context of the State’s right to control its borders and to operate a regulated </w:t>
      </w:r>
      <w:r w:rsidR="00D45E10" w:rsidRPr="000E47F7">
        <w:t>system for the control, processing and monitoring of non-EEA national persons in the State</w:t>
      </w:r>
      <w:r w:rsidR="008C0435" w:rsidRPr="000E47F7">
        <w:t xml:space="preserve"> in line with the provisions of Article 8(2) of the Convention.</w:t>
      </w:r>
      <w:r w:rsidR="00D45E10" w:rsidRPr="000E47F7">
        <w:t xml:space="preserve">  </w:t>
      </w:r>
    </w:p>
    <w:p w14:paraId="21744D34" w14:textId="77777777" w:rsidR="00F87D8C" w:rsidRPr="000E47F7" w:rsidRDefault="00F87D8C" w:rsidP="00F87D8C">
      <w:pPr>
        <w:pStyle w:val="ListParagraph"/>
        <w:widowControl w:val="0"/>
        <w:spacing w:line="480" w:lineRule="auto"/>
        <w:ind w:left="0"/>
        <w:jc w:val="both"/>
        <w:rPr>
          <w:b/>
          <w:u w:val="single"/>
        </w:rPr>
      </w:pPr>
    </w:p>
    <w:p w14:paraId="05C275F2" w14:textId="5035C106" w:rsidR="00F87D8C" w:rsidRPr="000E47F7" w:rsidRDefault="00D45E10" w:rsidP="00F87D8C">
      <w:pPr>
        <w:pStyle w:val="ListParagraph"/>
        <w:widowControl w:val="0"/>
        <w:numPr>
          <w:ilvl w:val="0"/>
          <w:numId w:val="1"/>
        </w:numPr>
        <w:tabs>
          <w:tab w:val="left" w:pos="567"/>
        </w:tabs>
        <w:spacing w:line="480" w:lineRule="auto"/>
        <w:jc w:val="both"/>
        <w:rPr>
          <w:b/>
          <w:u w:val="single"/>
        </w:rPr>
      </w:pPr>
      <w:r w:rsidRPr="000E47F7">
        <w:t>Importantly</w:t>
      </w:r>
      <w:r w:rsidR="007C7E1E" w:rsidRPr="000E47F7">
        <w:t>,</w:t>
      </w:r>
      <w:r w:rsidRPr="000E47F7">
        <w:t xml:space="preserve"> the </w:t>
      </w:r>
      <w:r w:rsidR="007C7E1E" w:rsidRPr="000E47F7">
        <w:t>Ministe</w:t>
      </w:r>
      <w:r w:rsidR="00AC30A9" w:rsidRPr="000E47F7">
        <w:t>r’s d</w:t>
      </w:r>
      <w:r w:rsidRPr="000E47F7">
        <w:t xml:space="preserve">ecision </w:t>
      </w:r>
      <w:r w:rsidR="003944FD" w:rsidRPr="000E47F7">
        <w:t xml:space="preserve">emphasised </w:t>
      </w:r>
      <w:r w:rsidRPr="000E47F7">
        <w:t xml:space="preserve">that </w:t>
      </w:r>
      <w:r w:rsidR="007C7E1E" w:rsidRPr="000E47F7">
        <w:t>a refusal of</w:t>
      </w:r>
      <w:r w:rsidR="00AC76FA" w:rsidRPr="000E47F7">
        <w:t xml:space="preserve"> a</w:t>
      </w:r>
      <w:r w:rsidRPr="000E47F7">
        <w:t xml:space="preserve"> residence permission under s.</w:t>
      </w:r>
      <w:r w:rsidR="003B490E" w:rsidRPr="000E47F7">
        <w:t xml:space="preserve"> </w:t>
      </w:r>
      <w:r w:rsidRPr="000E47F7">
        <w:t xml:space="preserve">4(7) of the Act </w:t>
      </w:r>
      <w:r w:rsidR="007E68B4" w:rsidRPr="000E47F7">
        <w:t xml:space="preserve">of </w:t>
      </w:r>
      <w:r w:rsidRPr="000E47F7">
        <w:t>2004 did not</w:t>
      </w:r>
      <w:r w:rsidR="007C7E1E" w:rsidRPr="000E47F7">
        <w:t>,</w:t>
      </w:r>
      <w:r w:rsidRPr="000E47F7">
        <w:t xml:space="preserve"> of itself</w:t>
      </w:r>
      <w:r w:rsidR="007C7E1E" w:rsidRPr="000E47F7">
        <w:t>,</w:t>
      </w:r>
      <w:r w:rsidRPr="000E47F7">
        <w:t xml:space="preserve"> involve any separation of the family unit</w:t>
      </w:r>
      <w:r w:rsidR="009878B8" w:rsidRPr="000E47F7">
        <w:t xml:space="preserve">. </w:t>
      </w:r>
      <w:r w:rsidR="00861496" w:rsidRPr="000E47F7">
        <w:t xml:space="preserve"> </w:t>
      </w:r>
      <w:r w:rsidR="009878B8" w:rsidRPr="000E47F7">
        <w:t>This,</w:t>
      </w:r>
      <w:r w:rsidR="00C841E8" w:rsidRPr="000E47F7">
        <w:t xml:space="preserve"> in our </w:t>
      </w:r>
      <w:r w:rsidR="00793B5B" w:rsidRPr="000E47F7">
        <w:t>view</w:t>
      </w:r>
      <w:r w:rsidR="00793B5B" w:rsidRPr="000E47F7" w:rsidDel="00C841E8">
        <w:t>,</w:t>
      </w:r>
      <w:r w:rsidR="009E5ED3" w:rsidRPr="000E47F7">
        <w:t xml:space="preserve"> </w:t>
      </w:r>
      <w:r w:rsidR="00253717" w:rsidRPr="000E47F7">
        <w:t>demonstrat</w:t>
      </w:r>
      <w:r w:rsidR="009878B8" w:rsidRPr="000E47F7">
        <w:t>es</w:t>
      </w:r>
      <w:r w:rsidR="00FB7AF7" w:rsidRPr="000E47F7">
        <w:t xml:space="preserve"> that the issue of </w:t>
      </w:r>
      <w:r w:rsidR="009E5ED3" w:rsidRPr="000E47F7">
        <w:t>an ‘</w:t>
      </w:r>
      <w:r w:rsidR="009E5ED3" w:rsidRPr="000E47F7">
        <w:rPr>
          <w:i/>
        </w:rPr>
        <w:t>interference</w:t>
      </w:r>
      <w:r w:rsidR="009E5ED3" w:rsidRPr="000E47F7">
        <w:t xml:space="preserve">’ </w:t>
      </w:r>
      <w:r w:rsidR="009878B8" w:rsidRPr="000E47F7">
        <w:t xml:space="preserve">in family life </w:t>
      </w:r>
      <w:r w:rsidR="00FB7AF7" w:rsidRPr="000E47F7">
        <w:t>had been considered</w:t>
      </w:r>
      <w:r w:rsidR="007E68B4" w:rsidRPr="000E47F7">
        <w:t xml:space="preserve"> and</w:t>
      </w:r>
      <w:r w:rsidR="00AC30A9" w:rsidRPr="000E47F7">
        <w:t>, rightly,</w:t>
      </w:r>
      <w:r w:rsidR="007E68B4" w:rsidRPr="000E47F7">
        <w:t xml:space="preserve"> excluded at that stage of the process</w:t>
      </w:r>
      <w:r w:rsidR="00FB7AF7" w:rsidRPr="000E47F7">
        <w:t>.</w:t>
      </w:r>
      <w:r w:rsidRPr="000E47F7">
        <w:t xml:space="preserve"> </w:t>
      </w:r>
      <w:r w:rsidR="00403907" w:rsidRPr="000E47F7">
        <w:t xml:space="preserve"> </w:t>
      </w:r>
      <w:r w:rsidR="00064370" w:rsidRPr="000E47F7">
        <w:t>It was</w:t>
      </w:r>
      <w:r w:rsidR="001D4356" w:rsidRPr="000E47F7">
        <w:t xml:space="preserve"> </w:t>
      </w:r>
      <w:r w:rsidR="00995338" w:rsidRPr="000E47F7">
        <w:t>clear from the terms of the refusal that any positive obligations that could arise under</w:t>
      </w:r>
      <w:r w:rsidR="00AC30A9" w:rsidRPr="000E47F7">
        <w:t xml:space="preserve"> Article 8 </w:t>
      </w:r>
      <w:r w:rsidR="001D4356" w:rsidRPr="000E47F7">
        <w:t xml:space="preserve">would be </w:t>
      </w:r>
      <w:r w:rsidR="00995338" w:rsidRPr="000E47F7">
        <w:t xml:space="preserve">addressed </w:t>
      </w:r>
      <w:r w:rsidR="00995338" w:rsidRPr="000E47F7">
        <w:rPr>
          <w:u w:val="single"/>
        </w:rPr>
        <w:t>at a</w:t>
      </w:r>
      <w:r w:rsidR="00AC30A9" w:rsidRPr="000E47F7">
        <w:rPr>
          <w:u w:val="single"/>
        </w:rPr>
        <w:t xml:space="preserve"> later stag</w:t>
      </w:r>
      <w:r w:rsidR="00995338" w:rsidRPr="000E47F7">
        <w:rPr>
          <w:u w:val="single"/>
        </w:rPr>
        <w:t>e</w:t>
      </w:r>
      <w:r w:rsidR="00AC30A9" w:rsidRPr="000E47F7">
        <w:t xml:space="preserve">.  </w:t>
      </w:r>
      <w:r w:rsidR="001D4356" w:rsidRPr="000E47F7">
        <w:t xml:space="preserve"> </w:t>
      </w:r>
      <w:r w:rsidR="00F40F4B" w:rsidRPr="000E47F7">
        <w:t xml:space="preserve">As noted by Ryan, P. in </w:t>
      </w:r>
      <w:r w:rsidR="00F40F4B" w:rsidRPr="000E47F7">
        <w:rPr>
          <w:i/>
        </w:rPr>
        <w:t>AB &amp; Others v. Minister for Justice, Equality &amp; Ors</w:t>
      </w:r>
      <w:r w:rsidR="00F40F4B" w:rsidRPr="000E47F7">
        <w:t xml:space="preserve"> [2016] IECA 48 (albeit in a</w:t>
      </w:r>
      <w:r w:rsidR="003A4DE4" w:rsidRPr="000E47F7">
        <w:t xml:space="preserve"> different</w:t>
      </w:r>
      <w:r w:rsidR="00F40F4B" w:rsidRPr="000E47F7">
        <w:t xml:space="preserve"> context)</w:t>
      </w:r>
      <w:r w:rsidR="003A4DE4" w:rsidRPr="000E47F7">
        <w:t xml:space="preserve">, </w:t>
      </w:r>
      <w:r w:rsidR="00F40F4B" w:rsidRPr="000E47F7">
        <w:t>an applicant does not ‘</w:t>
      </w:r>
      <w:r w:rsidR="00F40F4B" w:rsidRPr="000E47F7">
        <w:rPr>
          <w:i/>
        </w:rPr>
        <w:t xml:space="preserve">possess the right to insist on a particular procedure’ </w:t>
      </w:r>
      <w:r w:rsidR="00F40F4B" w:rsidRPr="000E47F7">
        <w:t>or to impose on the Minister an obligation to consider her application and</w:t>
      </w:r>
      <w:r w:rsidR="003A4DE4" w:rsidRPr="000E47F7">
        <w:t xml:space="preserve"> her</w:t>
      </w:r>
      <w:r w:rsidR="00F40F4B" w:rsidRPr="000E47F7">
        <w:t xml:space="preserve"> circumstances in advance of those same circumstances being assessed in the context of a deportation proposal</w:t>
      </w:r>
      <w:r w:rsidR="003A4DE4" w:rsidRPr="000E47F7">
        <w:t>.</w:t>
      </w:r>
    </w:p>
    <w:p w14:paraId="0E9CE677" w14:textId="77777777" w:rsidR="001F35E5" w:rsidRPr="000E47F7" w:rsidRDefault="001F35E5" w:rsidP="001F35E5">
      <w:pPr>
        <w:pStyle w:val="ListParagraph"/>
        <w:rPr>
          <w:b/>
          <w:u w:val="single"/>
        </w:rPr>
      </w:pPr>
    </w:p>
    <w:p w14:paraId="6E0345E2" w14:textId="77777777" w:rsidR="001F35E5" w:rsidRPr="000E47F7" w:rsidRDefault="001F35E5" w:rsidP="001F35E5">
      <w:pPr>
        <w:pStyle w:val="ListParagraph"/>
        <w:widowControl w:val="0"/>
        <w:spacing w:line="480" w:lineRule="auto"/>
        <w:ind w:left="0"/>
        <w:jc w:val="both"/>
        <w:rPr>
          <w:b/>
          <w:u w:val="single"/>
        </w:rPr>
      </w:pPr>
    </w:p>
    <w:p w14:paraId="3606F796" w14:textId="23F1778C" w:rsidR="00C67B5A" w:rsidRPr="000E47F7" w:rsidRDefault="00DC0C3D" w:rsidP="00F87D8C">
      <w:pPr>
        <w:pStyle w:val="ListParagraph"/>
        <w:widowControl w:val="0"/>
        <w:spacing w:line="480" w:lineRule="auto"/>
        <w:ind w:left="0"/>
        <w:jc w:val="both"/>
        <w:rPr>
          <w:b/>
          <w:i/>
        </w:rPr>
      </w:pPr>
      <w:r w:rsidRPr="000E47F7">
        <w:rPr>
          <w:b/>
          <w:i/>
        </w:rPr>
        <w:t>The d</w:t>
      </w:r>
      <w:r w:rsidR="00683A78" w:rsidRPr="000E47F7">
        <w:rPr>
          <w:b/>
          <w:i/>
        </w:rPr>
        <w:t xml:space="preserve">eferral of the Article 8 </w:t>
      </w:r>
      <w:r w:rsidRPr="000E47F7">
        <w:rPr>
          <w:b/>
          <w:i/>
        </w:rPr>
        <w:t>a</w:t>
      </w:r>
      <w:r w:rsidR="00683A78" w:rsidRPr="000E47F7">
        <w:rPr>
          <w:b/>
          <w:i/>
        </w:rPr>
        <w:t>ssessment</w:t>
      </w:r>
    </w:p>
    <w:p w14:paraId="0183EC09" w14:textId="77777777" w:rsidR="001F35E5" w:rsidRPr="000E47F7" w:rsidRDefault="001F35E5" w:rsidP="00F87D8C">
      <w:pPr>
        <w:pStyle w:val="ListParagraph"/>
        <w:widowControl w:val="0"/>
        <w:spacing w:line="480" w:lineRule="auto"/>
        <w:ind w:left="0"/>
        <w:jc w:val="both"/>
        <w:rPr>
          <w:b/>
          <w:i/>
        </w:rPr>
      </w:pPr>
    </w:p>
    <w:p w14:paraId="7EEE986D" w14:textId="2464B093" w:rsidR="00B0414E" w:rsidRPr="000E47F7" w:rsidRDefault="00875D3D" w:rsidP="00AC30A9">
      <w:pPr>
        <w:pStyle w:val="ListParagraph"/>
        <w:widowControl w:val="0"/>
        <w:numPr>
          <w:ilvl w:val="0"/>
          <w:numId w:val="1"/>
        </w:numPr>
        <w:shd w:val="clear" w:color="auto" w:fill="FFFFFF"/>
        <w:tabs>
          <w:tab w:val="left" w:pos="567"/>
        </w:tabs>
        <w:spacing w:line="480" w:lineRule="auto"/>
        <w:jc w:val="both"/>
        <w:rPr>
          <w:b/>
          <w:u w:val="single"/>
        </w:rPr>
      </w:pPr>
      <w:r w:rsidRPr="000E47F7">
        <w:t>Not</w:t>
      </w:r>
      <w:r w:rsidR="00D45E10" w:rsidRPr="000E47F7">
        <w:t xml:space="preserve"> only </w:t>
      </w:r>
      <w:r w:rsidR="00463B73" w:rsidRPr="000E47F7">
        <w:t>has there been</w:t>
      </w:r>
      <w:r w:rsidR="00C30C79" w:rsidRPr="000E47F7">
        <w:t xml:space="preserve"> no</w:t>
      </w:r>
      <w:r w:rsidR="00D45E10" w:rsidRPr="000E47F7">
        <w:t xml:space="preserve"> final decision </w:t>
      </w:r>
      <w:r w:rsidR="00AC30A9" w:rsidRPr="000E47F7">
        <w:t>on a</w:t>
      </w:r>
      <w:r w:rsidR="00C30C79" w:rsidRPr="000E47F7">
        <w:t xml:space="preserve"> propos</w:t>
      </w:r>
      <w:r w:rsidR="00AC30A9" w:rsidRPr="000E47F7">
        <w:t>al to</w:t>
      </w:r>
      <w:r w:rsidR="00D45E10" w:rsidRPr="000E47F7">
        <w:t xml:space="preserve"> </w:t>
      </w:r>
      <w:r w:rsidRPr="000E47F7">
        <w:t>depor</w:t>
      </w:r>
      <w:r w:rsidR="00AC30A9" w:rsidRPr="000E47F7">
        <w:t>t the applicant</w:t>
      </w:r>
      <w:r w:rsidR="00683A78" w:rsidRPr="000E47F7">
        <w:t>,</w:t>
      </w:r>
      <w:r w:rsidR="00F514CF" w:rsidRPr="000E47F7">
        <w:t xml:space="preserve"> </w:t>
      </w:r>
      <w:r w:rsidR="00D45E10" w:rsidRPr="000E47F7">
        <w:t xml:space="preserve">but </w:t>
      </w:r>
      <w:r w:rsidR="00330FBB" w:rsidRPr="000E47F7">
        <w:t>she</w:t>
      </w:r>
      <w:r w:rsidR="00D45E10" w:rsidRPr="000E47F7">
        <w:t xml:space="preserve"> has been </w:t>
      </w:r>
      <w:r w:rsidR="00995338" w:rsidRPr="000E47F7">
        <w:t>assured</w:t>
      </w:r>
      <w:r w:rsidR="0047715B" w:rsidRPr="000E47F7">
        <w:t xml:space="preserve"> </w:t>
      </w:r>
      <w:r w:rsidR="00D45E10" w:rsidRPr="000E47F7">
        <w:t xml:space="preserve">that </w:t>
      </w:r>
      <w:r w:rsidR="0047715B" w:rsidRPr="000E47F7">
        <w:t>‘</w:t>
      </w:r>
      <w:r w:rsidR="00D45E10" w:rsidRPr="000E47F7">
        <w:rPr>
          <w:i/>
        </w:rPr>
        <w:t xml:space="preserve">a detailed </w:t>
      </w:r>
      <w:r w:rsidR="0047715B" w:rsidRPr="000E47F7">
        <w:rPr>
          <w:i/>
        </w:rPr>
        <w:t>balancing exercise’</w:t>
      </w:r>
      <w:r w:rsidR="0047715B" w:rsidRPr="000E47F7">
        <w:t xml:space="preserve"> will</w:t>
      </w:r>
      <w:r w:rsidR="00C30C79" w:rsidRPr="000E47F7">
        <w:t xml:space="preserve"> </w:t>
      </w:r>
      <w:r w:rsidR="00D45E10" w:rsidRPr="000E47F7">
        <w:t>be conducted</w:t>
      </w:r>
      <w:r w:rsidR="00995338" w:rsidRPr="000E47F7">
        <w:t xml:space="preserve"> </w:t>
      </w:r>
      <w:r w:rsidR="00D45E10" w:rsidRPr="000E47F7">
        <w:t>should she</w:t>
      </w:r>
      <w:r w:rsidR="0047715B" w:rsidRPr="000E47F7">
        <w:t xml:space="preserve"> make representations in the context deportation proceedings</w:t>
      </w:r>
      <w:r w:rsidR="00D45E10" w:rsidRPr="000E47F7">
        <w:t xml:space="preserve">.  </w:t>
      </w:r>
      <w:r w:rsidR="00E0680E" w:rsidRPr="000E47F7">
        <w:t xml:space="preserve"> </w:t>
      </w:r>
      <w:r w:rsidR="00C841E8" w:rsidRPr="000E47F7">
        <w:t>This</w:t>
      </w:r>
      <w:r w:rsidR="0047715B" w:rsidRPr="000E47F7">
        <w:t xml:space="preserve">, </w:t>
      </w:r>
      <w:r w:rsidR="00995338" w:rsidRPr="000E47F7">
        <w:t xml:space="preserve">in our view, </w:t>
      </w:r>
      <w:r w:rsidR="006C0FFC" w:rsidRPr="000E47F7">
        <w:rPr>
          <w:rStyle w:val="sb8d990e2"/>
          <w:color w:val="000000"/>
          <w:shd w:val="clear" w:color="auto" w:fill="FFFFFF"/>
        </w:rPr>
        <w:t>bring</w:t>
      </w:r>
      <w:r w:rsidR="004C0EA9" w:rsidRPr="000E47F7">
        <w:rPr>
          <w:rStyle w:val="sb8d990e2"/>
          <w:color w:val="000000"/>
          <w:shd w:val="clear" w:color="auto" w:fill="FFFFFF"/>
        </w:rPr>
        <w:t>s</w:t>
      </w:r>
      <w:r w:rsidR="006C0FFC" w:rsidRPr="000E47F7">
        <w:rPr>
          <w:rStyle w:val="sb8d990e2"/>
          <w:color w:val="000000"/>
          <w:shd w:val="clear" w:color="auto" w:fill="FFFFFF"/>
        </w:rPr>
        <w:t xml:space="preserve"> th</w:t>
      </w:r>
      <w:r w:rsidR="00F514CF" w:rsidRPr="000E47F7">
        <w:rPr>
          <w:rStyle w:val="sb8d990e2"/>
          <w:color w:val="000000"/>
          <w:shd w:val="clear" w:color="auto" w:fill="FFFFFF"/>
        </w:rPr>
        <w:t xml:space="preserve">e </w:t>
      </w:r>
      <w:r w:rsidR="006C0FFC" w:rsidRPr="000E47F7">
        <w:rPr>
          <w:rStyle w:val="sb8d990e2"/>
          <w:color w:val="000000"/>
          <w:shd w:val="clear" w:color="auto" w:fill="FFFFFF"/>
        </w:rPr>
        <w:t xml:space="preserve">case </w:t>
      </w:r>
      <w:r w:rsidR="00687323" w:rsidRPr="000E47F7">
        <w:rPr>
          <w:rStyle w:val="sb8d990e2"/>
          <w:color w:val="000000"/>
          <w:shd w:val="clear" w:color="auto" w:fill="FFFFFF"/>
        </w:rPr>
        <w:t xml:space="preserve">clearly </w:t>
      </w:r>
      <w:r w:rsidR="006C0FFC" w:rsidRPr="000E47F7">
        <w:rPr>
          <w:rStyle w:val="sb8d990e2"/>
          <w:color w:val="000000"/>
          <w:shd w:val="clear" w:color="auto" w:fill="FFFFFF"/>
        </w:rPr>
        <w:t xml:space="preserve">within the parameters of the </w:t>
      </w:r>
      <w:r w:rsidR="00687323" w:rsidRPr="000E47F7">
        <w:rPr>
          <w:rStyle w:val="sb8d990e2"/>
          <w:color w:val="000000"/>
          <w:shd w:val="clear" w:color="auto" w:fill="FFFFFF"/>
        </w:rPr>
        <w:t xml:space="preserve">Strasbourg </w:t>
      </w:r>
      <w:r w:rsidR="006C0FFC" w:rsidRPr="000E47F7">
        <w:rPr>
          <w:rStyle w:val="sb8d990e2"/>
          <w:color w:val="000000"/>
          <w:shd w:val="clear" w:color="auto" w:fill="FFFFFF"/>
        </w:rPr>
        <w:t xml:space="preserve">Court’s jurisprudence on Article </w:t>
      </w:r>
      <w:r w:rsidR="00A90E3B" w:rsidRPr="000E47F7">
        <w:rPr>
          <w:rStyle w:val="sb8d990e2"/>
          <w:color w:val="000000"/>
          <w:shd w:val="clear" w:color="auto" w:fill="FFFFFF"/>
        </w:rPr>
        <w:t xml:space="preserve">37(1)(c) </w:t>
      </w:r>
      <w:r w:rsidR="006C0FFC" w:rsidRPr="000E47F7">
        <w:rPr>
          <w:rStyle w:val="sb8d990e2"/>
          <w:color w:val="000000"/>
          <w:shd w:val="clear" w:color="auto" w:fill="FFFFFF"/>
        </w:rPr>
        <w:t>of the Convention</w:t>
      </w:r>
      <w:r w:rsidR="0047715B" w:rsidRPr="000E47F7">
        <w:rPr>
          <w:rStyle w:val="sb8d990e2"/>
          <w:color w:val="000000"/>
          <w:shd w:val="clear" w:color="auto" w:fill="FFFFFF"/>
        </w:rPr>
        <w:t>.  This provision</w:t>
      </w:r>
      <w:r w:rsidR="00972A50" w:rsidRPr="000E47F7">
        <w:rPr>
          <w:rStyle w:val="sb8d990e2"/>
          <w:color w:val="000000"/>
          <w:shd w:val="clear" w:color="auto" w:fill="FFFFFF"/>
        </w:rPr>
        <w:t xml:space="preserve"> empowers the </w:t>
      </w:r>
      <w:r w:rsidR="0036279A">
        <w:rPr>
          <w:rStyle w:val="sb8d990e2"/>
          <w:color w:val="000000"/>
          <w:shd w:val="clear" w:color="auto" w:fill="FFFFFF"/>
        </w:rPr>
        <w:t>c</w:t>
      </w:r>
      <w:r w:rsidR="00972A50" w:rsidRPr="000E47F7">
        <w:rPr>
          <w:rStyle w:val="sb8d990e2"/>
          <w:color w:val="000000"/>
          <w:shd w:val="clear" w:color="auto" w:fill="FFFFFF"/>
        </w:rPr>
        <w:t xml:space="preserve">ourt to strike out an application where the circumstances lead to the conclusion that it is no longer justified to continue </w:t>
      </w:r>
      <w:r w:rsidR="007D6825" w:rsidRPr="000E47F7">
        <w:rPr>
          <w:rStyle w:val="sb8d990e2"/>
          <w:color w:val="000000"/>
          <w:shd w:val="clear" w:color="auto" w:fill="FFFFFF"/>
        </w:rPr>
        <w:t>with an</w:t>
      </w:r>
      <w:r w:rsidR="00972A50" w:rsidRPr="000E47F7">
        <w:rPr>
          <w:rStyle w:val="sb8d990e2"/>
          <w:color w:val="000000"/>
          <w:shd w:val="clear" w:color="auto" w:fill="FFFFFF"/>
        </w:rPr>
        <w:t xml:space="preserve"> examination thereof.  </w:t>
      </w:r>
      <w:r w:rsidR="006C0FFC" w:rsidRPr="000E47F7">
        <w:rPr>
          <w:rStyle w:val="sb8d990e2"/>
          <w:color w:val="000000"/>
          <w:shd w:val="clear" w:color="auto" w:fill="FFFFFF"/>
        </w:rPr>
        <w:t xml:space="preserve"> </w:t>
      </w:r>
      <w:r w:rsidR="00687323" w:rsidRPr="000E47F7">
        <w:rPr>
          <w:rStyle w:val="sb8d990e2"/>
          <w:color w:val="000000"/>
          <w:shd w:val="clear" w:color="auto" w:fill="FFFFFF"/>
        </w:rPr>
        <w:t xml:space="preserve"> </w:t>
      </w:r>
      <w:r w:rsidR="00691219" w:rsidRPr="000E47F7">
        <w:rPr>
          <w:rStyle w:val="sb8d990e2"/>
          <w:color w:val="000000"/>
          <w:shd w:val="clear" w:color="auto" w:fill="FFFFFF"/>
        </w:rPr>
        <w:t>N</w:t>
      </w:r>
      <w:r w:rsidR="006C0FFC" w:rsidRPr="000E47F7">
        <w:rPr>
          <w:rStyle w:val="sb8d990e2"/>
          <w:color w:val="000000"/>
          <w:shd w:val="clear" w:color="auto" w:fill="FFFFFF"/>
        </w:rPr>
        <w:t xml:space="preserve">umerous </w:t>
      </w:r>
      <w:r w:rsidR="00691219" w:rsidRPr="000E47F7">
        <w:rPr>
          <w:rStyle w:val="sb8d990e2"/>
          <w:color w:val="000000"/>
          <w:shd w:val="clear" w:color="auto" w:fill="FFFFFF"/>
        </w:rPr>
        <w:t>applications</w:t>
      </w:r>
      <w:r w:rsidR="00974A78" w:rsidRPr="000E47F7">
        <w:rPr>
          <w:rStyle w:val="sb8d990e2"/>
          <w:color w:val="000000"/>
          <w:shd w:val="clear" w:color="auto" w:fill="FFFFFF"/>
        </w:rPr>
        <w:t xml:space="preserve"> have been struck out where</w:t>
      </w:r>
      <w:r w:rsidR="0047715B" w:rsidRPr="000E47F7">
        <w:rPr>
          <w:rStyle w:val="sb8d990e2"/>
          <w:color w:val="000000"/>
          <w:shd w:val="clear" w:color="auto" w:fill="FFFFFF"/>
        </w:rPr>
        <w:t xml:space="preserve"> the</w:t>
      </w:r>
      <w:r w:rsidR="006C0FFC" w:rsidRPr="000E47F7">
        <w:rPr>
          <w:rStyle w:val="sb8d990e2"/>
          <w:color w:val="000000"/>
          <w:shd w:val="clear" w:color="auto" w:fill="FFFFFF"/>
        </w:rPr>
        <w:t xml:space="preserve"> </w:t>
      </w:r>
      <w:r w:rsidR="00974A78" w:rsidRPr="000E47F7">
        <w:rPr>
          <w:rStyle w:val="sb8d990e2"/>
          <w:color w:val="000000"/>
          <w:shd w:val="clear" w:color="auto" w:fill="FFFFFF"/>
        </w:rPr>
        <w:t>expulsion</w:t>
      </w:r>
      <w:r w:rsidR="0047715B" w:rsidRPr="000E47F7">
        <w:rPr>
          <w:rStyle w:val="sb8d990e2"/>
          <w:color w:val="000000"/>
          <w:shd w:val="clear" w:color="auto" w:fill="FFFFFF"/>
        </w:rPr>
        <w:t xml:space="preserve"> of a </w:t>
      </w:r>
      <w:r w:rsidR="0047715B" w:rsidRPr="000E47F7">
        <w:rPr>
          <w:rStyle w:val="sb8d990e2"/>
          <w:color w:val="000000"/>
          <w:shd w:val="clear" w:color="auto" w:fill="FFFFFF"/>
        </w:rPr>
        <w:lastRenderedPageBreak/>
        <w:t>foreign national</w:t>
      </w:r>
      <w:r w:rsidR="00974A78" w:rsidRPr="000E47F7">
        <w:rPr>
          <w:rStyle w:val="sb8d990e2"/>
          <w:color w:val="000000"/>
          <w:shd w:val="clear" w:color="auto" w:fill="FFFFFF"/>
        </w:rPr>
        <w:t xml:space="preserve"> was not in the immediate contemplation</w:t>
      </w:r>
      <w:r w:rsidR="0047715B" w:rsidRPr="000E47F7">
        <w:rPr>
          <w:rStyle w:val="sb8d990e2"/>
          <w:color w:val="000000"/>
          <w:shd w:val="clear" w:color="auto" w:fill="FFFFFF"/>
        </w:rPr>
        <w:t xml:space="preserve"> </w:t>
      </w:r>
      <w:r w:rsidR="00974A78" w:rsidRPr="000E47F7">
        <w:rPr>
          <w:rStyle w:val="sb8d990e2"/>
          <w:color w:val="000000"/>
          <w:shd w:val="clear" w:color="auto" w:fill="FFFFFF"/>
        </w:rPr>
        <w:t xml:space="preserve">of the </w:t>
      </w:r>
      <w:r w:rsidR="00691219" w:rsidRPr="000E47F7">
        <w:rPr>
          <w:rStyle w:val="sb8d990e2"/>
          <w:color w:val="000000"/>
          <w:shd w:val="clear" w:color="auto" w:fill="FFFFFF"/>
        </w:rPr>
        <w:t xml:space="preserve">State </w:t>
      </w:r>
      <w:r w:rsidR="00974A78" w:rsidRPr="000E47F7">
        <w:rPr>
          <w:rStyle w:val="sb8d990e2"/>
          <w:color w:val="000000"/>
          <w:shd w:val="clear" w:color="auto" w:fill="FFFFFF"/>
        </w:rPr>
        <w:t>authorities</w:t>
      </w:r>
      <w:r w:rsidR="006C0FFC" w:rsidRPr="000E47F7">
        <w:rPr>
          <w:rStyle w:val="sb8d990e2"/>
          <w:color w:val="000000"/>
          <w:shd w:val="clear" w:color="auto" w:fill="FFFFFF"/>
        </w:rPr>
        <w:t xml:space="preserve">.  </w:t>
      </w:r>
      <w:r w:rsidR="00264509" w:rsidRPr="000E47F7">
        <w:rPr>
          <w:rStyle w:val="sb8d990e2"/>
          <w:color w:val="000000"/>
          <w:shd w:val="clear" w:color="auto" w:fill="FFFFFF"/>
        </w:rPr>
        <w:t xml:space="preserve"> </w:t>
      </w:r>
      <w:r w:rsidR="00687323" w:rsidRPr="000E47F7">
        <w:rPr>
          <w:rStyle w:val="sb8d990e2"/>
          <w:color w:val="000000"/>
          <w:shd w:val="clear" w:color="auto" w:fill="FFFFFF"/>
        </w:rPr>
        <w:t>This is so</w:t>
      </w:r>
      <w:r w:rsidR="00264509" w:rsidRPr="000E47F7">
        <w:rPr>
          <w:rStyle w:val="sb8d990e2"/>
          <w:color w:val="000000"/>
          <w:shd w:val="clear" w:color="auto" w:fill="FFFFFF"/>
        </w:rPr>
        <w:t xml:space="preserve"> particularly where </w:t>
      </w:r>
      <w:r w:rsidR="0047715B" w:rsidRPr="000E47F7">
        <w:rPr>
          <w:rStyle w:val="sb8d990e2"/>
          <w:color w:val="000000"/>
          <w:shd w:val="clear" w:color="auto" w:fill="FFFFFF"/>
        </w:rPr>
        <w:t>the person concerned</w:t>
      </w:r>
      <w:r w:rsidR="00264509" w:rsidRPr="000E47F7">
        <w:rPr>
          <w:rStyle w:val="sb8d990e2"/>
          <w:color w:val="000000"/>
          <w:shd w:val="clear" w:color="auto" w:fill="FFFFFF"/>
        </w:rPr>
        <w:t xml:space="preserve"> </w:t>
      </w:r>
      <w:r w:rsidR="006C0FFC" w:rsidRPr="000E47F7">
        <w:rPr>
          <w:rStyle w:val="sb8d990e2"/>
          <w:color w:val="000000"/>
          <w:shd w:val="clear" w:color="auto" w:fill="FFFFFF"/>
        </w:rPr>
        <w:t xml:space="preserve">will </w:t>
      </w:r>
      <w:r w:rsidR="0047715B" w:rsidRPr="000E47F7">
        <w:rPr>
          <w:rStyle w:val="sb8d990e2"/>
          <w:color w:val="000000"/>
          <w:shd w:val="clear" w:color="auto" w:fill="FFFFFF"/>
        </w:rPr>
        <w:t>be afforded an</w:t>
      </w:r>
      <w:r w:rsidR="00264509" w:rsidRPr="000E47F7">
        <w:rPr>
          <w:rStyle w:val="sb8d990e2"/>
          <w:color w:val="000000"/>
          <w:shd w:val="clear" w:color="auto" w:fill="FFFFFF"/>
        </w:rPr>
        <w:t xml:space="preserve"> opportunity to challenge </w:t>
      </w:r>
      <w:r w:rsidR="0047715B" w:rsidRPr="000E47F7">
        <w:rPr>
          <w:rStyle w:val="sb8d990e2"/>
          <w:color w:val="000000"/>
          <w:shd w:val="clear" w:color="auto" w:fill="FFFFFF"/>
        </w:rPr>
        <w:t>an</w:t>
      </w:r>
      <w:r w:rsidR="00264509" w:rsidRPr="000E47F7">
        <w:rPr>
          <w:rStyle w:val="sb8d990e2"/>
          <w:color w:val="000000"/>
          <w:shd w:val="clear" w:color="auto" w:fill="FFFFFF"/>
        </w:rPr>
        <w:t xml:space="preserve"> expulsion order before the national authorities and, if necessary, before the </w:t>
      </w:r>
      <w:r w:rsidR="00687323" w:rsidRPr="000E47F7">
        <w:rPr>
          <w:rStyle w:val="sb8d990e2"/>
          <w:color w:val="000000"/>
          <w:shd w:val="clear" w:color="auto" w:fill="FFFFFF"/>
        </w:rPr>
        <w:t>c</w:t>
      </w:r>
      <w:r w:rsidR="00264509" w:rsidRPr="000E47F7">
        <w:rPr>
          <w:rStyle w:val="sb8d990e2"/>
          <w:color w:val="000000"/>
          <w:shd w:val="clear" w:color="auto" w:fill="FFFFFF"/>
        </w:rPr>
        <w:t>ourt</w:t>
      </w:r>
      <w:r w:rsidR="00687323" w:rsidRPr="000E47F7">
        <w:rPr>
          <w:rStyle w:val="sb8d990e2"/>
          <w:color w:val="000000"/>
          <w:shd w:val="clear" w:color="auto" w:fill="FFFFFF"/>
        </w:rPr>
        <w:t>s.</w:t>
      </w:r>
      <w:r w:rsidR="00264509" w:rsidRPr="000E47F7">
        <w:rPr>
          <w:rStyle w:val="FootnoteReference"/>
          <w:color w:val="000000"/>
          <w:shd w:val="clear" w:color="auto" w:fill="FFFFFF"/>
        </w:rPr>
        <w:footnoteReference w:id="8"/>
      </w:r>
      <w:r w:rsidR="00264509" w:rsidRPr="000E47F7">
        <w:rPr>
          <w:rStyle w:val="FootnoteReference"/>
          <w:color w:val="000000"/>
          <w:shd w:val="clear" w:color="auto" w:fill="FFFFFF"/>
        </w:rPr>
        <w:t xml:space="preserve"> </w:t>
      </w:r>
    </w:p>
    <w:p w14:paraId="058DEB3C" w14:textId="77777777" w:rsidR="00793B5B" w:rsidRPr="000E47F7" w:rsidRDefault="00793B5B" w:rsidP="00793B5B">
      <w:pPr>
        <w:pStyle w:val="ListParagraph"/>
        <w:widowControl w:val="0"/>
        <w:shd w:val="clear" w:color="auto" w:fill="FFFFFF"/>
        <w:spacing w:line="480" w:lineRule="auto"/>
        <w:ind w:left="0"/>
        <w:jc w:val="both"/>
        <w:rPr>
          <w:b/>
          <w:u w:val="single"/>
        </w:rPr>
      </w:pPr>
    </w:p>
    <w:p w14:paraId="5A04160D" w14:textId="3521B4C7" w:rsidR="0010492D" w:rsidRPr="000E47F7" w:rsidRDefault="00A90E3B" w:rsidP="0010492D">
      <w:pPr>
        <w:pStyle w:val="ListParagraph"/>
        <w:widowControl w:val="0"/>
        <w:numPr>
          <w:ilvl w:val="0"/>
          <w:numId w:val="1"/>
        </w:numPr>
        <w:shd w:val="clear" w:color="auto" w:fill="FFFFFF"/>
        <w:tabs>
          <w:tab w:val="left" w:pos="567"/>
        </w:tabs>
        <w:spacing w:line="480" w:lineRule="auto"/>
        <w:jc w:val="both"/>
        <w:rPr>
          <w:b/>
          <w:u w:val="single"/>
        </w:rPr>
      </w:pPr>
      <w:r w:rsidRPr="000E47F7">
        <w:rPr>
          <w:i/>
          <w:iCs/>
          <w:color w:val="000000"/>
          <w:shd w:val="clear" w:color="auto" w:fill="FFFFFF"/>
        </w:rPr>
        <w:t>F</w:t>
      </w:r>
      <w:r w:rsidRPr="000E47F7">
        <w:rPr>
          <w:i/>
          <w:color w:val="000000"/>
          <w:shd w:val="clear" w:color="auto" w:fill="FFFFFF"/>
        </w:rPr>
        <w:t>.I. and Others v. the United Kingdom</w:t>
      </w:r>
      <w:r w:rsidRPr="000E47F7">
        <w:rPr>
          <w:color w:val="000000"/>
          <w:shd w:val="clear" w:color="auto" w:fill="FFFFFF"/>
        </w:rPr>
        <w:t xml:space="preserve"> (App. No. 8655/10) (Unreported, European Court of Human Rights, 15 March 2011) </w:t>
      </w:r>
      <w:r w:rsidR="00E10083" w:rsidRPr="000E47F7">
        <w:rPr>
          <w:color w:val="000000"/>
          <w:shd w:val="clear" w:color="auto" w:fill="FFFFFF"/>
        </w:rPr>
        <w:t>is an example of such a case.  T</w:t>
      </w:r>
      <w:r w:rsidR="00264509" w:rsidRPr="000E47F7">
        <w:rPr>
          <w:color w:val="000000"/>
          <w:shd w:val="clear" w:color="auto" w:fill="FFFFFF"/>
        </w:rPr>
        <w:t>he applicant had entered the UK on a visitor’s visa</w:t>
      </w:r>
      <w:r w:rsidR="00691219" w:rsidRPr="000E47F7">
        <w:rPr>
          <w:color w:val="000000"/>
          <w:shd w:val="clear" w:color="auto" w:fill="FFFFFF"/>
        </w:rPr>
        <w:t>.  Upon its expiry</w:t>
      </w:r>
      <w:r w:rsidR="00264509" w:rsidRPr="000E47F7">
        <w:rPr>
          <w:color w:val="000000"/>
          <w:shd w:val="clear" w:color="auto" w:fill="FFFFFF"/>
        </w:rPr>
        <w:t xml:space="preserve"> he over-stayed and</w:t>
      </w:r>
      <w:r w:rsidR="00E10083" w:rsidRPr="000E47F7">
        <w:rPr>
          <w:color w:val="000000"/>
          <w:shd w:val="clear" w:color="auto" w:fill="FFFFFF"/>
        </w:rPr>
        <w:t>,</w:t>
      </w:r>
      <w:r w:rsidR="00691219" w:rsidRPr="000E47F7">
        <w:rPr>
          <w:color w:val="000000"/>
          <w:shd w:val="clear" w:color="auto" w:fill="FFFFFF"/>
        </w:rPr>
        <w:t xml:space="preserve"> thereafter</w:t>
      </w:r>
      <w:r w:rsidR="00E10083" w:rsidRPr="000E47F7">
        <w:rPr>
          <w:color w:val="000000"/>
          <w:shd w:val="clear" w:color="auto" w:fill="FFFFFF"/>
        </w:rPr>
        <w:t>,</w:t>
      </w:r>
      <w:r w:rsidR="00264509" w:rsidRPr="000E47F7">
        <w:rPr>
          <w:color w:val="000000"/>
          <w:shd w:val="clear" w:color="auto" w:fill="FFFFFF"/>
        </w:rPr>
        <w:t xml:space="preserve"> remained, unlawfully, within the </w:t>
      </w:r>
      <w:r w:rsidR="00691219" w:rsidRPr="000E47F7">
        <w:rPr>
          <w:color w:val="000000"/>
          <w:shd w:val="clear" w:color="auto" w:fill="FFFFFF"/>
        </w:rPr>
        <w:t>respondent State</w:t>
      </w:r>
      <w:r w:rsidR="00264509" w:rsidRPr="000E47F7">
        <w:rPr>
          <w:color w:val="000000"/>
          <w:shd w:val="clear" w:color="auto" w:fill="FFFFFF"/>
        </w:rPr>
        <w:t xml:space="preserve">. </w:t>
      </w:r>
      <w:r w:rsidR="00E10083" w:rsidRPr="000E47F7">
        <w:rPr>
          <w:color w:val="000000"/>
          <w:shd w:val="clear" w:color="auto" w:fill="FFFFFF"/>
        </w:rPr>
        <w:t xml:space="preserve"> </w:t>
      </w:r>
      <w:r w:rsidR="00264509" w:rsidRPr="000E47F7">
        <w:rPr>
          <w:color w:val="000000"/>
          <w:shd w:val="clear" w:color="auto" w:fill="FFFFFF"/>
        </w:rPr>
        <w:t>He fathered several children</w:t>
      </w:r>
      <w:r w:rsidR="00691219" w:rsidRPr="000E47F7">
        <w:rPr>
          <w:color w:val="000000"/>
          <w:shd w:val="clear" w:color="auto" w:fill="FFFFFF"/>
        </w:rPr>
        <w:t>,</w:t>
      </w:r>
      <w:r w:rsidR="00264509" w:rsidRPr="000E47F7">
        <w:rPr>
          <w:color w:val="000000"/>
          <w:shd w:val="clear" w:color="auto" w:fill="FFFFFF"/>
        </w:rPr>
        <w:t xml:space="preserve"> some of whom </w:t>
      </w:r>
      <w:r w:rsidR="00E10083" w:rsidRPr="000E47F7">
        <w:rPr>
          <w:color w:val="000000"/>
          <w:shd w:val="clear" w:color="auto" w:fill="FFFFFF"/>
        </w:rPr>
        <w:t>became</w:t>
      </w:r>
      <w:r w:rsidR="00264509" w:rsidRPr="000E47F7">
        <w:rPr>
          <w:color w:val="000000"/>
          <w:shd w:val="clear" w:color="auto" w:fill="FFFFFF"/>
        </w:rPr>
        <w:t xml:space="preserve"> the subject of care proceedings.  When the UK authorities </w:t>
      </w:r>
      <w:r w:rsidR="0010492D" w:rsidRPr="000E47F7">
        <w:rPr>
          <w:color w:val="000000"/>
          <w:shd w:val="clear" w:color="auto" w:fill="FFFFFF"/>
        </w:rPr>
        <w:t>refused him permission to remain</w:t>
      </w:r>
      <w:r w:rsidR="00264509" w:rsidRPr="000E47F7">
        <w:rPr>
          <w:color w:val="000000"/>
          <w:shd w:val="clear" w:color="auto" w:fill="FFFFFF"/>
        </w:rPr>
        <w:t xml:space="preserve">, he </w:t>
      </w:r>
      <w:r w:rsidR="00C30C79" w:rsidRPr="000E47F7">
        <w:rPr>
          <w:color w:val="000000"/>
          <w:shd w:val="clear" w:color="auto" w:fill="FFFFFF"/>
        </w:rPr>
        <w:t>sought</w:t>
      </w:r>
      <w:r w:rsidR="00264509" w:rsidRPr="000E47F7">
        <w:rPr>
          <w:color w:val="000000"/>
          <w:shd w:val="clear" w:color="auto" w:fill="FFFFFF"/>
        </w:rPr>
        <w:t xml:space="preserve"> judicial review</w:t>
      </w:r>
      <w:r w:rsidR="00C30C79" w:rsidRPr="000E47F7">
        <w:rPr>
          <w:color w:val="000000"/>
          <w:shd w:val="clear" w:color="auto" w:fill="FFFFFF"/>
        </w:rPr>
        <w:t xml:space="preserve">.  </w:t>
      </w:r>
      <w:r w:rsidR="00264509" w:rsidRPr="000E47F7">
        <w:rPr>
          <w:color w:val="000000"/>
          <w:shd w:val="clear" w:color="auto" w:fill="FFFFFF"/>
        </w:rPr>
        <w:t xml:space="preserve"> </w:t>
      </w:r>
      <w:r w:rsidR="00C30C79" w:rsidRPr="000E47F7">
        <w:rPr>
          <w:color w:val="000000"/>
          <w:shd w:val="clear" w:color="auto" w:fill="FFFFFF"/>
        </w:rPr>
        <w:t>This</w:t>
      </w:r>
      <w:r w:rsidR="00264509" w:rsidRPr="000E47F7">
        <w:rPr>
          <w:color w:val="000000"/>
          <w:shd w:val="clear" w:color="auto" w:fill="FFFFFF"/>
        </w:rPr>
        <w:t xml:space="preserve"> was denied before the High Court and on appeal.  </w:t>
      </w:r>
      <w:r w:rsidR="0010492D" w:rsidRPr="000E47F7">
        <w:rPr>
          <w:color w:val="000000"/>
          <w:shd w:val="clear" w:color="auto" w:fill="FFFFFF"/>
        </w:rPr>
        <w:t>He</w:t>
      </w:r>
      <w:r w:rsidR="00264509" w:rsidRPr="000E47F7">
        <w:rPr>
          <w:color w:val="000000"/>
          <w:shd w:val="clear" w:color="auto" w:fill="FFFFFF"/>
        </w:rPr>
        <w:t xml:space="preserve"> was joined as a party to</w:t>
      </w:r>
      <w:r w:rsidR="00C30C79" w:rsidRPr="000E47F7">
        <w:rPr>
          <w:color w:val="000000"/>
          <w:shd w:val="clear" w:color="auto" w:fill="FFFFFF"/>
        </w:rPr>
        <w:t xml:space="preserve"> child</w:t>
      </w:r>
      <w:r w:rsidR="00264509" w:rsidRPr="000E47F7">
        <w:rPr>
          <w:color w:val="000000"/>
          <w:shd w:val="clear" w:color="auto" w:fill="FFFFFF"/>
        </w:rPr>
        <w:t xml:space="preserve"> care proceedings</w:t>
      </w:r>
      <w:r w:rsidR="00C30C79" w:rsidRPr="000E47F7">
        <w:rPr>
          <w:color w:val="000000"/>
          <w:shd w:val="clear" w:color="auto" w:fill="FFFFFF"/>
        </w:rPr>
        <w:t xml:space="preserve">. </w:t>
      </w:r>
      <w:r w:rsidR="0010492D" w:rsidRPr="000E47F7">
        <w:rPr>
          <w:color w:val="000000"/>
          <w:shd w:val="clear" w:color="auto" w:fill="FFFFFF"/>
        </w:rPr>
        <w:t>When removal directions were issued, he</w:t>
      </w:r>
      <w:r w:rsidR="00C30C79" w:rsidRPr="000E47F7">
        <w:rPr>
          <w:color w:val="000000"/>
          <w:shd w:val="clear" w:color="auto" w:fill="FFFFFF"/>
        </w:rPr>
        <w:t xml:space="preserve"> made an application to the </w:t>
      </w:r>
      <w:r w:rsidR="00264509" w:rsidRPr="000E47F7">
        <w:rPr>
          <w:color w:val="000000"/>
          <w:shd w:val="clear" w:color="auto" w:fill="FFFFFF"/>
        </w:rPr>
        <w:t xml:space="preserve">Strasbourg </w:t>
      </w:r>
      <w:r w:rsidR="00C30C79" w:rsidRPr="000E47F7">
        <w:rPr>
          <w:color w:val="000000"/>
          <w:shd w:val="clear" w:color="auto" w:fill="FFFFFF"/>
        </w:rPr>
        <w:t xml:space="preserve">Court </w:t>
      </w:r>
      <w:r w:rsidR="00264509" w:rsidRPr="000E47F7">
        <w:rPr>
          <w:color w:val="000000"/>
          <w:shd w:val="clear" w:color="auto" w:fill="FFFFFF"/>
        </w:rPr>
        <w:t xml:space="preserve">claiming that his removal would violate Article 8.  </w:t>
      </w:r>
      <w:r w:rsidR="003A78B1" w:rsidRPr="000E47F7">
        <w:rPr>
          <w:color w:val="000000"/>
          <w:shd w:val="clear" w:color="auto" w:fill="FFFFFF"/>
        </w:rPr>
        <w:t xml:space="preserve"> </w:t>
      </w:r>
      <w:r w:rsidR="00264509" w:rsidRPr="000E47F7">
        <w:rPr>
          <w:color w:val="000000"/>
          <w:shd w:val="clear" w:color="auto" w:fill="FFFFFF"/>
        </w:rPr>
        <w:t>Whereas, initially, an interim measure had been imposed restraining his removal, the Court</w:t>
      </w:r>
      <w:r w:rsidR="003A78B1" w:rsidRPr="000E47F7">
        <w:rPr>
          <w:color w:val="000000"/>
          <w:shd w:val="clear" w:color="auto" w:fill="FFFFFF"/>
        </w:rPr>
        <w:t>,</w:t>
      </w:r>
      <w:r w:rsidR="00264509" w:rsidRPr="000E47F7">
        <w:rPr>
          <w:color w:val="000000"/>
          <w:shd w:val="clear" w:color="auto" w:fill="FFFFFF"/>
        </w:rPr>
        <w:t xml:space="preserve"> on further examination</w:t>
      </w:r>
      <w:r w:rsidR="003A78B1" w:rsidRPr="000E47F7">
        <w:rPr>
          <w:color w:val="000000"/>
          <w:shd w:val="clear" w:color="auto" w:fill="FFFFFF"/>
        </w:rPr>
        <w:t>,</w:t>
      </w:r>
      <w:r w:rsidR="00264509" w:rsidRPr="000E47F7">
        <w:rPr>
          <w:color w:val="000000"/>
          <w:shd w:val="clear" w:color="auto" w:fill="FFFFFF"/>
        </w:rPr>
        <w:t xml:space="preserve"> struck the application out of the list on the basis that </w:t>
      </w:r>
      <w:r w:rsidR="003A78B1" w:rsidRPr="000E47F7">
        <w:rPr>
          <w:color w:val="000000"/>
          <w:shd w:val="clear" w:color="auto" w:fill="FFFFFF"/>
        </w:rPr>
        <w:t>he</w:t>
      </w:r>
      <w:r w:rsidR="00264509" w:rsidRPr="000E47F7">
        <w:rPr>
          <w:color w:val="000000"/>
          <w:shd w:val="clear" w:color="auto" w:fill="FFFFFF"/>
        </w:rPr>
        <w:t xml:space="preserve"> would</w:t>
      </w:r>
      <w:r w:rsidR="00AC76FA" w:rsidRPr="000E47F7">
        <w:rPr>
          <w:color w:val="000000"/>
          <w:shd w:val="clear" w:color="auto" w:fill="FFFFFF"/>
        </w:rPr>
        <w:t xml:space="preserve"> </w:t>
      </w:r>
      <w:r w:rsidR="00264509" w:rsidRPr="000E47F7">
        <w:rPr>
          <w:color w:val="000000"/>
          <w:shd w:val="clear" w:color="auto" w:fill="FFFFFF"/>
        </w:rPr>
        <w:t xml:space="preserve">have available to him </w:t>
      </w:r>
      <w:r w:rsidR="00264509" w:rsidRPr="000E47F7">
        <w:rPr>
          <w:b/>
          <w:color w:val="000000"/>
          <w:shd w:val="clear" w:color="auto" w:fill="FFFFFF"/>
        </w:rPr>
        <w:t>at a future date</w:t>
      </w:r>
      <w:r w:rsidR="00264509" w:rsidRPr="000E47F7">
        <w:rPr>
          <w:color w:val="000000"/>
          <w:shd w:val="clear" w:color="auto" w:fill="FFFFFF"/>
        </w:rPr>
        <w:t xml:space="preserve"> the possibility of challenging his removal. </w:t>
      </w:r>
      <w:r w:rsidR="00604C52" w:rsidRPr="000E47F7">
        <w:rPr>
          <w:color w:val="000000"/>
          <w:shd w:val="clear" w:color="auto" w:fill="FFFFFF"/>
        </w:rPr>
        <w:t xml:space="preserve">It stated that it </w:t>
      </w:r>
      <w:r w:rsidR="00B302C6" w:rsidRPr="000E47F7">
        <w:rPr>
          <w:color w:val="000000"/>
          <w:shd w:val="clear" w:color="auto" w:fill="FFFFFF"/>
        </w:rPr>
        <w:t>had:</w:t>
      </w:r>
      <w:r w:rsidR="00A91018" w:rsidRPr="000E47F7">
        <w:rPr>
          <w:color w:val="000000"/>
          <w:shd w:val="clear" w:color="auto" w:fill="FFFFFF"/>
        </w:rPr>
        <w:t xml:space="preserve"> -</w:t>
      </w:r>
    </w:p>
    <w:p w14:paraId="11990685" w14:textId="77777777" w:rsidR="0010492D" w:rsidRPr="000E47F7" w:rsidRDefault="0010492D" w:rsidP="0010492D">
      <w:pPr>
        <w:pStyle w:val="ListParagraph"/>
        <w:widowControl w:val="0"/>
        <w:shd w:val="clear" w:color="auto" w:fill="FFFFFF"/>
        <w:tabs>
          <w:tab w:val="left" w:pos="567"/>
        </w:tabs>
        <w:spacing w:line="480" w:lineRule="auto"/>
        <w:ind w:left="0"/>
        <w:jc w:val="both"/>
        <w:rPr>
          <w:b/>
          <w:u w:val="single"/>
        </w:rPr>
      </w:pPr>
    </w:p>
    <w:p w14:paraId="56597EFE" w14:textId="77777777" w:rsidR="000B6439" w:rsidRPr="000E47F7" w:rsidRDefault="000B6439" w:rsidP="000B6439">
      <w:pPr>
        <w:pStyle w:val="ListParagraph"/>
        <w:widowControl w:val="0"/>
        <w:shd w:val="clear" w:color="auto" w:fill="FFFFFF"/>
        <w:spacing w:line="480" w:lineRule="auto"/>
        <w:ind w:left="284" w:right="284"/>
        <w:jc w:val="both"/>
        <w:rPr>
          <w:rStyle w:val="sb8d990e2"/>
          <w:color w:val="000000"/>
        </w:rPr>
      </w:pPr>
      <w:r w:rsidRPr="000E47F7">
        <w:rPr>
          <w:rStyle w:val="sb8d990e2"/>
          <w:i/>
          <w:color w:val="000000"/>
        </w:rPr>
        <w:t xml:space="preserve">‘no reason to doubt that all of the outstanding issues under Article 8 of the Convention will similarly be re-examined by the domestic authorities in a global assessment </w:t>
      </w:r>
      <w:r w:rsidRPr="000E47F7">
        <w:rPr>
          <w:rStyle w:val="sb8d990e2"/>
          <w:b/>
          <w:i/>
          <w:color w:val="000000"/>
        </w:rPr>
        <w:t>at that stage</w:t>
      </w:r>
      <w:r w:rsidRPr="000E47F7">
        <w:rPr>
          <w:rStyle w:val="sb8d990e2"/>
          <w:i/>
          <w:color w:val="000000"/>
        </w:rPr>
        <w:t xml:space="preserve"> and that further domestic remedies, including a suspensive right of appeal, will be available to the applicants</w:t>
      </w:r>
      <w:r w:rsidRPr="000E47F7">
        <w:rPr>
          <w:rStyle w:val="sb8d990e2"/>
          <w:color w:val="000000"/>
        </w:rPr>
        <w:t xml:space="preserve">.’  </w:t>
      </w:r>
    </w:p>
    <w:p w14:paraId="2AB50C86" w14:textId="77777777" w:rsidR="000B6439" w:rsidRPr="000E47F7" w:rsidRDefault="000B6439" w:rsidP="000B6439">
      <w:pPr>
        <w:pStyle w:val="ListParagraph"/>
        <w:widowControl w:val="0"/>
        <w:shd w:val="clear" w:color="auto" w:fill="FFFFFF"/>
        <w:spacing w:line="480" w:lineRule="auto"/>
        <w:ind w:left="0"/>
        <w:jc w:val="both"/>
        <w:rPr>
          <w:b/>
          <w:u w:val="single"/>
        </w:rPr>
      </w:pPr>
    </w:p>
    <w:p w14:paraId="08924FCC" w14:textId="48D7F49F" w:rsidR="00587A82" w:rsidRPr="000E47F7" w:rsidRDefault="00DD74ED" w:rsidP="00EE0FCE">
      <w:pPr>
        <w:pStyle w:val="ListParagraph"/>
        <w:widowControl w:val="0"/>
        <w:numPr>
          <w:ilvl w:val="0"/>
          <w:numId w:val="1"/>
        </w:numPr>
        <w:shd w:val="clear" w:color="auto" w:fill="FFFFFF"/>
        <w:tabs>
          <w:tab w:val="left" w:pos="567"/>
        </w:tabs>
        <w:spacing w:line="480" w:lineRule="auto"/>
        <w:jc w:val="both"/>
        <w:rPr>
          <w:b/>
          <w:i/>
        </w:rPr>
      </w:pPr>
      <w:r w:rsidRPr="000E47F7">
        <w:rPr>
          <w:rStyle w:val="sb8d990e2"/>
          <w:color w:val="000000"/>
        </w:rPr>
        <w:t xml:space="preserve">In </w:t>
      </w:r>
      <w:r w:rsidR="003C6F7F" w:rsidRPr="000E47F7">
        <w:rPr>
          <w:rStyle w:val="sb8d990e2"/>
          <w:color w:val="000000"/>
        </w:rPr>
        <w:t xml:space="preserve">challenging an </w:t>
      </w:r>
      <w:r w:rsidRPr="000E47F7">
        <w:rPr>
          <w:rStyle w:val="sb8d990e2"/>
          <w:color w:val="000000"/>
        </w:rPr>
        <w:t xml:space="preserve">expulsion </w:t>
      </w:r>
      <w:r w:rsidR="003C6F7F" w:rsidRPr="000E47F7">
        <w:rPr>
          <w:rStyle w:val="sb8d990e2"/>
          <w:color w:val="000000"/>
        </w:rPr>
        <w:t>based on</w:t>
      </w:r>
      <w:r w:rsidRPr="000E47F7">
        <w:rPr>
          <w:rStyle w:val="sb8d990e2"/>
          <w:color w:val="000000"/>
        </w:rPr>
        <w:t xml:space="preserve"> an alleged interference with family life</w:t>
      </w:r>
      <w:r w:rsidR="003C6F7F" w:rsidRPr="000E47F7">
        <w:rPr>
          <w:rStyle w:val="sb8d990e2"/>
          <w:color w:val="000000"/>
        </w:rPr>
        <w:t>,</w:t>
      </w:r>
      <w:r w:rsidR="00170609" w:rsidRPr="000E47F7">
        <w:rPr>
          <w:rStyle w:val="sb8d990e2"/>
          <w:color w:val="000000"/>
        </w:rPr>
        <w:t xml:space="preserve"> ‘. . </w:t>
      </w:r>
      <w:r w:rsidR="00170609" w:rsidRPr="000E47F7">
        <w:rPr>
          <w:rStyle w:val="sb8d990e2"/>
          <w:i/>
          <w:color w:val="000000"/>
        </w:rPr>
        <w:t xml:space="preserve">. </w:t>
      </w:r>
      <w:r w:rsidRPr="000E47F7">
        <w:rPr>
          <w:rStyle w:val="sb8d990e2"/>
          <w:i/>
          <w:color w:val="000000"/>
        </w:rPr>
        <w:t xml:space="preserve"> it is not imperative</w:t>
      </w:r>
      <w:r w:rsidR="00170609" w:rsidRPr="000E47F7">
        <w:rPr>
          <w:rStyle w:val="sb8d990e2"/>
          <w:i/>
          <w:color w:val="000000"/>
        </w:rPr>
        <w:t xml:space="preserve">, in order for a remedy to be effective, that it should have automatic suspensive </w:t>
      </w:r>
      <w:r w:rsidR="00170609" w:rsidRPr="000E47F7">
        <w:rPr>
          <w:rStyle w:val="sb8d990e2"/>
          <w:i/>
          <w:color w:val="000000"/>
        </w:rPr>
        <w:lastRenderedPageBreak/>
        <w:t>effect</w:t>
      </w:r>
      <w:r w:rsidR="00170609" w:rsidRPr="000E47F7">
        <w:rPr>
          <w:rStyle w:val="sb8d990e2"/>
          <w:color w:val="000000"/>
        </w:rPr>
        <w:t>’ (</w:t>
      </w:r>
      <w:r w:rsidR="00A91018" w:rsidRPr="000E47F7">
        <w:rPr>
          <w:rStyle w:val="sb8d990e2"/>
          <w:i/>
          <w:color w:val="000000"/>
        </w:rPr>
        <w:t>De Souza Ribeiro v. France</w:t>
      </w:r>
      <w:r w:rsidR="00D23E64" w:rsidRPr="000E47F7">
        <w:rPr>
          <w:rStyle w:val="sb8d990e2"/>
          <w:color w:val="000000"/>
        </w:rPr>
        <w:t xml:space="preserve"> </w:t>
      </w:r>
      <w:r w:rsidR="00A91018" w:rsidRPr="000E47F7">
        <w:rPr>
          <w:rStyle w:val="sb8d990e2"/>
          <w:color w:val="000000"/>
        </w:rPr>
        <w:t xml:space="preserve">(App. No. 22689/07) (2014) 59 E.H.R.R. 10, para. 83).  </w:t>
      </w:r>
      <w:r w:rsidR="00170609" w:rsidRPr="000E47F7">
        <w:rPr>
          <w:rStyle w:val="sb8d990e2"/>
          <w:color w:val="000000"/>
        </w:rPr>
        <w:t xml:space="preserve">However, </w:t>
      </w:r>
      <w:r w:rsidR="003C6F7F" w:rsidRPr="000E47F7">
        <w:rPr>
          <w:rStyle w:val="sb8d990e2"/>
          <w:color w:val="000000"/>
        </w:rPr>
        <w:t>the</w:t>
      </w:r>
      <w:r w:rsidR="00170609" w:rsidRPr="000E47F7">
        <w:rPr>
          <w:rStyle w:val="sb8d990e2"/>
          <w:color w:val="000000"/>
        </w:rPr>
        <w:t xml:space="preserve"> applicant does have an effective possibility of having her asserted Article 8 rights </w:t>
      </w:r>
      <w:r w:rsidR="00B302C6" w:rsidRPr="000E47F7">
        <w:rPr>
          <w:rStyle w:val="sb8d990e2"/>
          <w:color w:val="000000"/>
        </w:rPr>
        <w:t xml:space="preserve">assessed </w:t>
      </w:r>
      <w:r w:rsidR="00170609" w:rsidRPr="000E47F7">
        <w:rPr>
          <w:rStyle w:val="sb8d990e2"/>
          <w:color w:val="000000"/>
        </w:rPr>
        <w:t xml:space="preserve">within the context of s. 3 of the 1999 Act.  </w:t>
      </w:r>
      <w:r w:rsidR="00166B8D" w:rsidRPr="000E47F7">
        <w:rPr>
          <w:rStyle w:val="sb8d990e2"/>
          <w:color w:val="000000"/>
        </w:rPr>
        <w:t xml:space="preserve"> </w:t>
      </w:r>
      <w:r w:rsidR="00E37132" w:rsidRPr="000E47F7">
        <w:rPr>
          <w:rStyle w:val="sb8d990e2"/>
          <w:color w:val="000000"/>
        </w:rPr>
        <w:t>If</w:t>
      </w:r>
      <w:r w:rsidR="008E27DD" w:rsidRPr="000E47F7">
        <w:rPr>
          <w:rStyle w:val="sb8d990e2"/>
          <w:color w:val="000000"/>
        </w:rPr>
        <w:t xml:space="preserve">, </w:t>
      </w:r>
      <w:r w:rsidR="00425834" w:rsidRPr="000E47F7">
        <w:rPr>
          <w:rStyle w:val="sb8d990e2"/>
          <w:color w:val="000000"/>
        </w:rPr>
        <w:t>having regard to</w:t>
      </w:r>
      <w:r w:rsidR="008E27DD" w:rsidRPr="000E47F7">
        <w:rPr>
          <w:rStyle w:val="sb8d990e2"/>
          <w:color w:val="000000"/>
        </w:rPr>
        <w:t xml:space="preserve"> the timing of events in </w:t>
      </w:r>
      <w:r w:rsidR="008E27DD" w:rsidRPr="000E47F7">
        <w:rPr>
          <w:rStyle w:val="sb8d990e2"/>
          <w:i/>
          <w:color w:val="000000"/>
        </w:rPr>
        <w:t>F.I</w:t>
      </w:r>
      <w:r w:rsidR="008E27DD" w:rsidRPr="000E47F7">
        <w:rPr>
          <w:rStyle w:val="sb8d990e2"/>
          <w:color w:val="000000"/>
        </w:rPr>
        <w:t xml:space="preserve">., the Strasbourg Court found that there </w:t>
      </w:r>
      <w:r w:rsidR="00E37132" w:rsidRPr="000E47F7">
        <w:rPr>
          <w:rStyle w:val="sb8d990e2"/>
          <w:color w:val="000000"/>
        </w:rPr>
        <w:t xml:space="preserve">was no justification for examining </w:t>
      </w:r>
      <w:r w:rsidR="008E27DD" w:rsidRPr="000E47F7">
        <w:rPr>
          <w:rStyle w:val="sb8d990e2"/>
          <w:color w:val="000000"/>
        </w:rPr>
        <w:t>his Article 8 complaint (as the father of several children), then</w:t>
      </w:r>
      <w:r w:rsidR="003A78B1" w:rsidRPr="000E47F7">
        <w:rPr>
          <w:rStyle w:val="sb8d990e2"/>
          <w:color w:val="000000"/>
        </w:rPr>
        <w:t xml:space="preserve"> it is difficult to envisage what, in the instant appeal, </w:t>
      </w:r>
      <w:r w:rsidR="00E37132" w:rsidRPr="000E47F7">
        <w:rPr>
          <w:rStyle w:val="sb8d990e2"/>
          <w:color w:val="000000"/>
        </w:rPr>
        <w:t xml:space="preserve">could justify </w:t>
      </w:r>
      <w:r w:rsidR="003A78B1" w:rsidRPr="000E47F7">
        <w:rPr>
          <w:rStyle w:val="sb8d990e2"/>
          <w:color w:val="000000"/>
        </w:rPr>
        <w:t>the applicant’s</w:t>
      </w:r>
      <w:r w:rsidR="00E37132" w:rsidRPr="000E47F7">
        <w:rPr>
          <w:rStyle w:val="sb8d990e2"/>
          <w:color w:val="000000"/>
        </w:rPr>
        <w:t xml:space="preserve"> asserted </w:t>
      </w:r>
      <w:r w:rsidR="007D6825" w:rsidRPr="000E47F7">
        <w:rPr>
          <w:rStyle w:val="sb8d990e2"/>
          <w:color w:val="000000"/>
        </w:rPr>
        <w:t>entitlement to</w:t>
      </w:r>
      <w:r w:rsidR="00E37132" w:rsidRPr="000E47F7">
        <w:rPr>
          <w:rStyle w:val="sb8d990e2"/>
          <w:color w:val="000000"/>
        </w:rPr>
        <w:t xml:space="preserve"> a full assessment</w:t>
      </w:r>
      <w:r w:rsidR="00D54D58" w:rsidRPr="000E47F7">
        <w:rPr>
          <w:rStyle w:val="sb8d990e2"/>
          <w:color w:val="000000"/>
        </w:rPr>
        <w:t xml:space="preserve"> of her Article 8 rights</w:t>
      </w:r>
      <w:r w:rsidR="00E37132" w:rsidRPr="000E47F7">
        <w:rPr>
          <w:rStyle w:val="sb8d990e2"/>
          <w:color w:val="000000"/>
        </w:rPr>
        <w:t xml:space="preserve"> </w:t>
      </w:r>
      <w:r w:rsidR="008E27DD" w:rsidRPr="000E47F7">
        <w:rPr>
          <w:rStyle w:val="sb8d990e2"/>
          <w:i/>
          <w:color w:val="000000"/>
        </w:rPr>
        <w:t xml:space="preserve">at the time </w:t>
      </w:r>
      <w:r w:rsidR="007D6825" w:rsidRPr="000E47F7">
        <w:rPr>
          <w:rStyle w:val="sb8d990e2"/>
          <w:color w:val="000000"/>
        </w:rPr>
        <w:t>when</w:t>
      </w:r>
      <w:r w:rsidR="008C523E" w:rsidRPr="000E47F7">
        <w:rPr>
          <w:rStyle w:val="sb8d990e2"/>
          <w:color w:val="000000"/>
        </w:rPr>
        <w:t xml:space="preserve"> her </w:t>
      </w:r>
      <w:r w:rsidR="00D54D58" w:rsidRPr="000E47F7">
        <w:rPr>
          <w:rStyle w:val="sb8d990e2"/>
          <w:color w:val="000000"/>
        </w:rPr>
        <w:t xml:space="preserve">application </w:t>
      </w:r>
      <w:r w:rsidR="008C523E" w:rsidRPr="000E47F7">
        <w:rPr>
          <w:rStyle w:val="sb8d990e2"/>
          <w:color w:val="000000"/>
        </w:rPr>
        <w:t>to vary her</w:t>
      </w:r>
      <w:r w:rsidR="00E37132" w:rsidRPr="000E47F7">
        <w:rPr>
          <w:rStyle w:val="sb8d990e2"/>
          <w:color w:val="000000"/>
        </w:rPr>
        <w:t xml:space="preserve"> visa</w:t>
      </w:r>
      <w:r w:rsidR="0025674C" w:rsidRPr="000E47F7">
        <w:rPr>
          <w:rStyle w:val="sb8d990e2"/>
          <w:color w:val="000000"/>
        </w:rPr>
        <w:t xml:space="preserve"> under s. 4(7) of the Act of 2004</w:t>
      </w:r>
      <w:r w:rsidR="007D6825" w:rsidRPr="000E47F7">
        <w:rPr>
          <w:rStyle w:val="sb8d990e2"/>
          <w:color w:val="000000"/>
        </w:rPr>
        <w:t xml:space="preserve"> was refused</w:t>
      </w:r>
      <w:r w:rsidR="008C523E" w:rsidRPr="000E47F7">
        <w:rPr>
          <w:rStyle w:val="sb8d990e2"/>
          <w:color w:val="000000"/>
        </w:rPr>
        <w:t>.</w:t>
      </w:r>
      <w:r w:rsidR="00E37132" w:rsidRPr="000E47F7">
        <w:rPr>
          <w:rStyle w:val="sb8d990e2"/>
          <w:color w:val="000000"/>
        </w:rPr>
        <w:t xml:space="preserve"> </w:t>
      </w:r>
      <w:r w:rsidR="00264509" w:rsidRPr="000E47F7">
        <w:rPr>
          <w:rStyle w:val="sb8d990e2"/>
          <w:color w:val="000000"/>
        </w:rPr>
        <w:t xml:space="preserve"> This is all the more so in circumstances where she has been advised</w:t>
      </w:r>
      <w:r w:rsidR="009C12EE" w:rsidRPr="000E47F7">
        <w:rPr>
          <w:rStyle w:val="sb8d990e2"/>
          <w:color w:val="000000"/>
        </w:rPr>
        <w:t>,</w:t>
      </w:r>
      <w:r w:rsidR="00264509" w:rsidRPr="000E47F7">
        <w:rPr>
          <w:rStyle w:val="sb8d990e2"/>
          <w:color w:val="000000"/>
        </w:rPr>
        <w:t xml:space="preserve"> expressly</w:t>
      </w:r>
      <w:r w:rsidR="009C12EE" w:rsidRPr="000E47F7">
        <w:rPr>
          <w:rStyle w:val="sb8d990e2"/>
          <w:color w:val="000000"/>
        </w:rPr>
        <w:t>,</w:t>
      </w:r>
      <w:r w:rsidR="00264509" w:rsidRPr="000E47F7">
        <w:rPr>
          <w:rStyle w:val="sb8d990e2"/>
          <w:color w:val="000000"/>
        </w:rPr>
        <w:t xml:space="preserve"> by the Minister that</w:t>
      </w:r>
      <w:r w:rsidR="008C523E" w:rsidRPr="000E47F7">
        <w:rPr>
          <w:rStyle w:val="sb8d990e2"/>
          <w:color w:val="000000"/>
        </w:rPr>
        <w:t xml:space="preserve"> if </w:t>
      </w:r>
      <w:r w:rsidR="00264509" w:rsidRPr="000E47F7">
        <w:rPr>
          <w:rStyle w:val="sb8d990e2"/>
          <w:color w:val="000000"/>
        </w:rPr>
        <w:t>she</w:t>
      </w:r>
      <w:r w:rsidR="008C523E" w:rsidRPr="000E47F7">
        <w:rPr>
          <w:rStyle w:val="sb8d990e2"/>
          <w:color w:val="000000"/>
        </w:rPr>
        <w:t xml:space="preserve"> were</w:t>
      </w:r>
      <w:r w:rsidR="00264509" w:rsidRPr="000E47F7">
        <w:rPr>
          <w:rStyle w:val="sb8d990e2"/>
          <w:color w:val="000000"/>
        </w:rPr>
        <w:t xml:space="preserve"> to make representations under s. 3 of the 1999 Act then a detailed examination of her case would be undertaken </w:t>
      </w:r>
      <w:r w:rsidR="00264509" w:rsidRPr="000E47F7">
        <w:rPr>
          <w:rStyle w:val="sb8d990e2"/>
          <w:color w:val="000000"/>
          <w:u w:val="single"/>
        </w:rPr>
        <w:t>at that stage</w:t>
      </w:r>
      <w:r w:rsidR="00264509" w:rsidRPr="000E47F7">
        <w:rPr>
          <w:rStyle w:val="sb8d990e2"/>
          <w:color w:val="000000"/>
        </w:rPr>
        <w:t xml:space="preserve"> to ensure that her right to family life would be respected.  </w:t>
      </w:r>
      <w:r w:rsidR="00C841E8" w:rsidRPr="000E47F7">
        <w:rPr>
          <w:rStyle w:val="sb8d990e2"/>
          <w:color w:val="000000"/>
        </w:rPr>
        <w:t xml:space="preserve">There is no basis on which it could be said that </w:t>
      </w:r>
      <w:r w:rsidR="00264509" w:rsidRPr="000E47F7">
        <w:rPr>
          <w:rStyle w:val="sb8d990e2"/>
          <w:color w:val="000000"/>
        </w:rPr>
        <w:t xml:space="preserve">a </w:t>
      </w:r>
      <w:r w:rsidR="008C523E" w:rsidRPr="000E47F7">
        <w:rPr>
          <w:rStyle w:val="sb8d990e2"/>
          <w:color w:val="000000"/>
        </w:rPr>
        <w:t>grandparent</w:t>
      </w:r>
      <w:r w:rsidR="00264509" w:rsidRPr="000E47F7">
        <w:rPr>
          <w:rStyle w:val="sb8d990e2"/>
          <w:color w:val="000000"/>
        </w:rPr>
        <w:t xml:space="preserve"> in the applicant’s position</w:t>
      </w:r>
      <w:r w:rsidR="008C523E" w:rsidRPr="000E47F7">
        <w:rPr>
          <w:rStyle w:val="sb8d990e2"/>
          <w:color w:val="000000"/>
        </w:rPr>
        <w:t xml:space="preserve">, having spent just 3 months in the State, </w:t>
      </w:r>
      <w:r w:rsidR="00264509" w:rsidRPr="000E47F7">
        <w:rPr>
          <w:rStyle w:val="sb8d990e2"/>
          <w:color w:val="000000"/>
        </w:rPr>
        <w:t>should fare any better than the applicant</w:t>
      </w:r>
      <w:r w:rsidR="003C6F7F" w:rsidRPr="000E47F7">
        <w:rPr>
          <w:rStyle w:val="sb8d990e2"/>
          <w:color w:val="000000"/>
        </w:rPr>
        <w:t xml:space="preserve"> father</w:t>
      </w:r>
      <w:r w:rsidR="00264509" w:rsidRPr="000E47F7">
        <w:rPr>
          <w:rStyle w:val="sb8d990e2"/>
          <w:color w:val="000000"/>
        </w:rPr>
        <w:t xml:space="preserve"> in </w:t>
      </w:r>
      <w:r w:rsidR="00264509" w:rsidRPr="000E47F7">
        <w:rPr>
          <w:rStyle w:val="sb8d990e2"/>
          <w:i/>
          <w:color w:val="000000"/>
        </w:rPr>
        <w:t>F.I</w:t>
      </w:r>
      <w:r w:rsidR="00264509" w:rsidRPr="000E47F7">
        <w:rPr>
          <w:rStyle w:val="sb8d990e2"/>
          <w:color w:val="000000"/>
        </w:rPr>
        <w:t>.</w:t>
      </w:r>
    </w:p>
    <w:p w14:paraId="1560AEC6" w14:textId="77777777" w:rsidR="00587A82" w:rsidRPr="000E47F7" w:rsidRDefault="00587A82" w:rsidP="00F87D8C">
      <w:pPr>
        <w:pStyle w:val="ListParagraph"/>
        <w:spacing w:line="480" w:lineRule="auto"/>
        <w:ind w:left="0"/>
        <w:jc w:val="both"/>
        <w:rPr>
          <w:b/>
          <w:i/>
        </w:rPr>
      </w:pPr>
    </w:p>
    <w:p w14:paraId="5E0184F9" w14:textId="391D8D9D" w:rsidR="00E304BD" w:rsidRPr="000E47F7" w:rsidRDefault="00F87D8C" w:rsidP="00F87D8C">
      <w:pPr>
        <w:pStyle w:val="ListParagraph"/>
        <w:spacing w:line="480" w:lineRule="auto"/>
        <w:ind w:left="0"/>
        <w:jc w:val="both"/>
        <w:rPr>
          <w:b/>
          <w:i/>
        </w:rPr>
      </w:pPr>
      <w:r w:rsidRPr="000E47F7">
        <w:rPr>
          <w:b/>
          <w:i/>
        </w:rPr>
        <w:t xml:space="preserve">Other </w:t>
      </w:r>
      <w:r w:rsidR="00DC0C3D" w:rsidRPr="000E47F7">
        <w:rPr>
          <w:b/>
          <w:i/>
        </w:rPr>
        <w:t>r</w:t>
      </w:r>
      <w:r w:rsidRPr="000E47F7">
        <w:rPr>
          <w:b/>
          <w:i/>
        </w:rPr>
        <w:t xml:space="preserve">elevant </w:t>
      </w:r>
      <w:r w:rsidR="00DC0C3D" w:rsidRPr="000E47F7">
        <w:rPr>
          <w:b/>
          <w:i/>
        </w:rPr>
        <w:t>case</w:t>
      </w:r>
      <w:r w:rsidRPr="000E47F7">
        <w:rPr>
          <w:b/>
          <w:i/>
        </w:rPr>
        <w:t xml:space="preserve"> </w:t>
      </w:r>
      <w:r w:rsidR="00DC0C3D" w:rsidRPr="000E47F7">
        <w:rPr>
          <w:b/>
          <w:i/>
        </w:rPr>
        <w:t>l</w:t>
      </w:r>
      <w:r w:rsidRPr="000E47F7">
        <w:rPr>
          <w:b/>
          <w:i/>
        </w:rPr>
        <w:t>aw</w:t>
      </w:r>
    </w:p>
    <w:p w14:paraId="767B8918" w14:textId="77777777" w:rsidR="00587A82" w:rsidRPr="000E47F7" w:rsidRDefault="00587A82" w:rsidP="00F87D8C">
      <w:pPr>
        <w:pStyle w:val="ListParagraph"/>
        <w:spacing w:line="480" w:lineRule="auto"/>
        <w:ind w:left="0"/>
        <w:jc w:val="both"/>
        <w:rPr>
          <w:b/>
          <w:i/>
        </w:rPr>
      </w:pPr>
    </w:p>
    <w:p w14:paraId="6F53DF18" w14:textId="68629932" w:rsidR="008230F6" w:rsidRPr="000E47F7" w:rsidRDefault="00F47660" w:rsidP="008230F6">
      <w:pPr>
        <w:pStyle w:val="ListParagraph"/>
        <w:widowControl w:val="0"/>
        <w:numPr>
          <w:ilvl w:val="0"/>
          <w:numId w:val="1"/>
        </w:numPr>
        <w:tabs>
          <w:tab w:val="left" w:pos="567"/>
        </w:tabs>
        <w:spacing w:line="480" w:lineRule="auto"/>
        <w:jc w:val="both"/>
        <w:rPr>
          <w:b/>
          <w:u w:val="single"/>
        </w:rPr>
      </w:pPr>
      <w:r w:rsidRPr="000E47F7">
        <w:t>One</w:t>
      </w:r>
      <w:r w:rsidR="0096584C" w:rsidRPr="000E47F7">
        <w:t xml:space="preserve"> issue that may be considered by the </w:t>
      </w:r>
      <w:r w:rsidR="00B12C9F" w:rsidRPr="000E47F7">
        <w:t>Strasbourg</w:t>
      </w:r>
      <w:r w:rsidR="00322408" w:rsidRPr="000E47F7">
        <w:t xml:space="preserve"> Court</w:t>
      </w:r>
      <w:r w:rsidRPr="000E47F7">
        <w:t xml:space="preserve"> in the context of Article 8 claims is</w:t>
      </w:r>
      <w:r w:rsidR="00322408" w:rsidRPr="000E47F7">
        <w:t xml:space="preserve"> whether a foreign</w:t>
      </w:r>
      <w:r w:rsidR="00C841E8" w:rsidRPr="000E47F7">
        <w:t xml:space="preserve"> national</w:t>
      </w:r>
      <w:r w:rsidR="00322408" w:rsidRPr="000E47F7">
        <w:t xml:space="preserve"> has</w:t>
      </w:r>
      <w:r w:rsidRPr="000E47F7">
        <w:t xml:space="preserve"> had</w:t>
      </w:r>
      <w:r w:rsidR="00322408" w:rsidRPr="000E47F7">
        <w:t xml:space="preserve"> effective access to procedures by which a residence permit may be obtained that would allow lawful residence in the respondent State.  In</w:t>
      </w:r>
      <w:r w:rsidR="00322408" w:rsidRPr="000E47F7">
        <w:rPr>
          <w:i/>
        </w:rPr>
        <w:t xml:space="preserve"> G</w:t>
      </w:r>
      <w:r w:rsidR="00AB7AAE" w:rsidRPr="000E47F7">
        <w:rPr>
          <w:i/>
        </w:rPr>
        <w:t>.</w:t>
      </w:r>
      <w:r w:rsidR="00322408" w:rsidRPr="000E47F7">
        <w:rPr>
          <w:i/>
        </w:rPr>
        <w:t>R</w:t>
      </w:r>
      <w:r w:rsidR="00AB7AAE" w:rsidRPr="000E47F7">
        <w:rPr>
          <w:i/>
        </w:rPr>
        <w:t>.</w:t>
      </w:r>
      <w:r w:rsidR="00322408" w:rsidRPr="000E47F7">
        <w:rPr>
          <w:i/>
        </w:rPr>
        <w:t xml:space="preserve"> v</w:t>
      </w:r>
      <w:r w:rsidR="00D23E64" w:rsidRPr="000E47F7">
        <w:rPr>
          <w:i/>
        </w:rPr>
        <w:t>.</w:t>
      </w:r>
      <w:r w:rsidR="00322408" w:rsidRPr="000E47F7">
        <w:rPr>
          <w:i/>
        </w:rPr>
        <w:t xml:space="preserve"> The Netherlands </w:t>
      </w:r>
      <w:r w:rsidR="00AB7AAE" w:rsidRPr="000E47F7">
        <w:t>(App. No. 22251/07) (Unreported, European Court of Human Rights, 10 January, 2012)</w:t>
      </w:r>
      <w:r w:rsidR="00322408" w:rsidRPr="000E47F7">
        <w:t xml:space="preserve">, for example, the Court took the view that the essential question </w:t>
      </w:r>
      <w:r w:rsidR="00B12C9F" w:rsidRPr="000E47F7">
        <w:t>wa</w:t>
      </w:r>
      <w:r w:rsidR="00322408" w:rsidRPr="000E47F7">
        <w:t>s whether the applicant had effective access to the administrative procedure by which he might, ‘</w:t>
      </w:r>
      <w:r w:rsidR="00322408" w:rsidRPr="000E47F7">
        <w:rPr>
          <w:i/>
        </w:rPr>
        <w:t>subject to fulfilling the conditions prescribed by domestic law</w:t>
      </w:r>
      <w:r w:rsidR="00322408" w:rsidRPr="000E47F7">
        <w:t>’, obtain a residence permit which would allow him to reside lawfully with his family in the Netherlands (</w:t>
      </w:r>
      <w:r w:rsidR="00AB7AAE" w:rsidRPr="000E47F7">
        <w:t xml:space="preserve">para. </w:t>
      </w:r>
      <w:r w:rsidR="00322408" w:rsidRPr="000E47F7">
        <w:t xml:space="preserve">43).  </w:t>
      </w:r>
      <w:r w:rsidRPr="000E47F7">
        <w:t xml:space="preserve"> </w:t>
      </w:r>
    </w:p>
    <w:p w14:paraId="299C07E8" w14:textId="77777777" w:rsidR="008230F6" w:rsidRPr="000E47F7" w:rsidRDefault="008230F6" w:rsidP="008230F6">
      <w:pPr>
        <w:pStyle w:val="ListParagraph"/>
        <w:widowControl w:val="0"/>
        <w:tabs>
          <w:tab w:val="left" w:pos="567"/>
        </w:tabs>
        <w:spacing w:line="480" w:lineRule="auto"/>
        <w:ind w:left="0"/>
        <w:jc w:val="both"/>
        <w:rPr>
          <w:b/>
          <w:u w:val="single"/>
        </w:rPr>
      </w:pPr>
    </w:p>
    <w:p w14:paraId="4AADE2CA" w14:textId="6172EC4E" w:rsidR="00F87D8C" w:rsidRPr="000E47F7" w:rsidRDefault="00D54D58" w:rsidP="008230F6">
      <w:pPr>
        <w:pStyle w:val="ListParagraph"/>
        <w:widowControl w:val="0"/>
        <w:numPr>
          <w:ilvl w:val="0"/>
          <w:numId w:val="1"/>
        </w:numPr>
        <w:tabs>
          <w:tab w:val="left" w:pos="567"/>
        </w:tabs>
        <w:spacing w:line="480" w:lineRule="auto"/>
        <w:jc w:val="both"/>
        <w:rPr>
          <w:b/>
          <w:u w:val="single"/>
        </w:rPr>
      </w:pPr>
      <w:r w:rsidRPr="000E47F7">
        <w:t>As already noted,</w:t>
      </w:r>
      <w:r w:rsidR="00322408" w:rsidRPr="000E47F7">
        <w:t xml:space="preserve"> </w:t>
      </w:r>
      <w:r w:rsidR="00F47660" w:rsidRPr="000E47F7">
        <w:t xml:space="preserve">the applicant </w:t>
      </w:r>
      <w:r w:rsidR="00322408" w:rsidRPr="000E47F7">
        <w:t xml:space="preserve">was expressly </w:t>
      </w:r>
      <w:r w:rsidR="00B55DEE" w:rsidRPr="000E47F7">
        <w:t xml:space="preserve">apprised </w:t>
      </w:r>
      <w:r w:rsidR="00322408" w:rsidRPr="000E47F7">
        <w:t>of the administrative procedure</w:t>
      </w:r>
      <w:r w:rsidR="001D2C18" w:rsidRPr="000E47F7">
        <w:t xml:space="preserve"> </w:t>
      </w:r>
      <w:r w:rsidR="001D2C18" w:rsidRPr="000E47F7">
        <w:lastRenderedPageBreak/>
        <w:t>(‘D reside visa’)</w:t>
      </w:r>
      <w:r w:rsidR="00322408" w:rsidRPr="000E47F7">
        <w:t xml:space="preserve"> which is available to</w:t>
      </w:r>
      <w:r w:rsidRPr="000E47F7">
        <w:t xml:space="preserve"> her as a</w:t>
      </w:r>
      <w:r w:rsidR="00322408" w:rsidRPr="000E47F7">
        <w:t xml:space="preserve"> </w:t>
      </w:r>
      <w:r w:rsidR="001D2C18" w:rsidRPr="000E47F7">
        <w:t>visa-required person</w:t>
      </w:r>
      <w:r w:rsidRPr="000E47F7">
        <w:t xml:space="preserve"> should she</w:t>
      </w:r>
      <w:r w:rsidR="001D2C18" w:rsidRPr="000E47F7">
        <w:t xml:space="preserve"> seek to reside in the State. </w:t>
      </w:r>
      <w:r w:rsidR="00F47660" w:rsidRPr="000E47F7">
        <w:t xml:space="preserve"> </w:t>
      </w:r>
      <w:r w:rsidRPr="000E47F7">
        <w:rPr>
          <w:i/>
        </w:rPr>
        <w:t>‘[S]</w:t>
      </w:r>
      <w:r w:rsidR="003C7360" w:rsidRPr="000E47F7">
        <w:rPr>
          <w:i/>
        </w:rPr>
        <w:t>ubject to fulfilling the conditions prescribed by domestic law’</w:t>
      </w:r>
      <w:r w:rsidR="00F47660" w:rsidRPr="000E47F7">
        <w:rPr>
          <w:i/>
        </w:rPr>
        <w:t xml:space="preserve">, </w:t>
      </w:r>
      <w:r w:rsidRPr="000E47F7">
        <w:t xml:space="preserve">she </w:t>
      </w:r>
      <w:r w:rsidR="005E13D3" w:rsidRPr="000E47F7">
        <w:t xml:space="preserve">may </w:t>
      </w:r>
      <w:r w:rsidR="00F47660" w:rsidRPr="000E47F7">
        <w:t>apply</w:t>
      </w:r>
      <w:r w:rsidR="005E13D3" w:rsidRPr="000E47F7">
        <w:t xml:space="preserve"> </w:t>
      </w:r>
      <w:r w:rsidR="002C6349" w:rsidRPr="000E47F7">
        <w:t xml:space="preserve">from </w:t>
      </w:r>
      <w:r w:rsidRPr="000E47F7">
        <w:t>her country</w:t>
      </w:r>
      <w:r w:rsidR="002C6349" w:rsidRPr="000E47F7">
        <w:t xml:space="preserve"> of origin</w:t>
      </w:r>
      <w:r w:rsidR="00F47660" w:rsidRPr="000E47F7">
        <w:t xml:space="preserve"> </w:t>
      </w:r>
      <w:r w:rsidR="005E13D3" w:rsidRPr="000E47F7">
        <w:t>and the Minister accepts that he would be obliged to consider asserted family rights and circumstances ‘</w:t>
      </w:r>
      <w:r w:rsidR="005E13D3" w:rsidRPr="000E47F7">
        <w:rPr>
          <w:i/>
        </w:rPr>
        <w:t>in detail</w:t>
      </w:r>
      <w:r w:rsidR="002C6349" w:rsidRPr="000E47F7">
        <w:t>’</w:t>
      </w:r>
      <w:r w:rsidR="005E13D3" w:rsidRPr="000E47F7">
        <w:t xml:space="preserve"> </w:t>
      </w:r>
      <w:r w:rsidRPr="000E47F7">
        <w:t xml:space="preserve">if </w:t>
      </w:r>
      <w:r w:rsidR="005E13D3" w:rsidRPr="000E47F7">
        <w:t xml:space="preserve">presented </w:t>
      </w:r>
      <w:r w:rsidRPr="000E47F7">
        <w:t>with</w:t>
      </w:r>
      <w:r w:rsidR="005E13D3" w:rsidRPr="000E47F7">
        <w:t xml:space="preserve"> such </w:t>
      </w:r>
      <w:r w:rsidR="002C6349" w:rsidRPr="000E47F7">
        <w:t xml:space="preserve">an </w:t>
      </w:r>
      <w:r w:rsidR="005E13D3" w:rsidRPr="000E47F7">
        <w:t>application</w:t>
      </w:r>
      <w:r w:rsidR="005846AB" w:rsidRPr="000E47F7">
        <w:t>.</w:t>
      </w:r>
      <w:r w:rsidR="005E13D3" w:rsidRPr="000E47F7">
        <w:rPr>
          <w:rStyle w:val="FootnoteReference"/>
        </w:rPr>
        <w:footnoteReference w:id="9"/>
      </w:r>
      <w:r w:rsidR="005E13D3" w:rsidRPr="000E47F7">
        <w:t xml:space="preserve">  </w:t>
      </w:r>
      <w:r w:rsidR="0054565E" w:rsidRPr="000E47F7">
        <w:t>She is not</w:t>
      </w:r>
      <w:r w:rsidR="005846AB" w:rsidRPr="000E47F7">
        <w:t xml:space="preserve"> </w:t>
      </w:r>
      <w:r w:rsidR="00E919F1" w:rsidRPr="000E47F7">
        <w:t xml:space="preserve">entitled to stipulate </w:t>
      </w:r>
      <w:r w:rsidR="002C6349" w:rsidRPr="000E47F7">
        <w:t>the conditions prescribed by law</w:t>
      </w:r>
      <w:r w:rsidR="0054565E" w:rsidRPr="000E47F7">
        <w:t xml:space="preserve">, she must </w:t>
      </w:r>
      <w:r w:rsidR="002C6349" w:rsidRPr="000E47F7">
        <w:t xml:space="preserve">fulfil them.  </w:t>
      </w:r>
      <w:r w:rsidR="00E919F1" w:rsidRPr="000E47F7">
        <w:t xml:space="preserve"> </w:t>
      </w:r>
      <w:r w:rsidRPr="000E47F7">
        <w:t>The</w:t>
      </w:r>
      <w:r w:rsidR="002C6349" w:rsidRPr="000E47F7">
        <w:t xml:space="preserve"> applicant’s alleged entitlement to a</w:t>
      </w:r>
      <w:r w:rsidR="00322408" w:rsidRPr="000E47F7">
        <w:t xml:space="preserve"> full assessment of her Article 8 rights</w:t>
      </w:r>
      <w:r w:rsidRPr="000E47F7">
        <w:t xml:space="preserve"> at the time of her choosing, namely,</w:t>
      </w:r>
      <w:r w:rsidR="00322408" w:rsidRPr="000E47F7">
        <w:t xml:space="preserve"> on foot of </w:t>
      </w:r>
      <w:r w:rsidRPr="000E47F7">
        <w:t>a failed application for a variation of her visa under s. 4(7) of the Act of 2004, is</w:t>
      </w:r>
      <w:r w:rsidR="0054565E" w:rsidRPr="000E47F7">
        <w:t xml:space="preserve"> entirely</w:t>
      </w:r>
      <w:r w:rsidR="007A3368" w:rsidRPr="000E47F7">
        <w:t xml:space="preserve"> misconceived</w:t>
      </w:r>
      <w:r w:rsidR="002C6349" w:rsidRPr="000E47F7">
        <w:t>.</w:t>
      </w:r>
      <w:r w:rsidR="00322408" w:rsidRPr="000E47F7">
        <w:t xml:space="preserve"> </w:t>
      </w:r>
    </w:p>
    <w:p w14:paraId="0BE24E6E" w14:textId="77777777" w:rsidR="00D827EA" w:rsidRPr="000E47F7" w:rsidRDefault="00D827EA" w:rsidP="00D827EA">
      <w:pPr>
        <w:pStyle w:val="ListParagraph"/>
        <w:widowControl w:val="0"/>
        <w:spacing w:line="480" w:lineRule="auto"/>
        <w:ind w:left="0"/>
        <w:jc w:val="both"/>
        <w:rPr>
          <w:b/>
          <w:u w:val="single"/>
        </w:rPr>
      </w:pPr>
    </w:p>
    <w:p w14:paraId="03E78CC9" w14:textId="1FD060D0" w:rsidR="00263973" w:rsidRPr="000E47F7" w:rsidRDefault="008432CA" w:rsidP="00CF0FF4">
      <w:pPr>
        <w:pStyle w:val="ListParagraph"/>
        <w:widowControl w:val="0"/>
        <w:numPr>
          <w:ilvl w:val="0"/>
          <w:numId w:val="1"/>
        </w:numPr>
        <w:tabs>
          <w:tab w:val="left" w:pos="567"/>
        </w:tabs>
        <w:spacing w:line="480" w:lineRule="auto"/>
        <w:jc w:val="both"/>
      </w:pPr>
      <w:r w:rsidRPr="000E47F7">
        <w:t xml:space="preserve">Reinforcing the point that </w:t>
      </w:r>
      <w:r w:rsidR="00CF0FF4" w:rsidRPr="000E47F7">
        <w:t xml:space="preserve">short term, visa-holding </w:t>
      </w:r>
      <w:r w:rsidRPr="000E47F7">
        <w:t xml:space="preserve">visitors are not entitled to claim a right of residence within </w:t>
      </w:r>
      <w:r w:rsidR="00CF0FF4" w:rsidRPr="000E47F7">
        <w:t xml:space="preserve">a </w:t>
      </w:r>
      <w:r w:rsidRPr="000E47F7">
        <w:t xml:space="preserve">host state is the </w:t>
      </w:r>
      <w:r w:rsidR="001459EB" w:rsidRPr="000E47F7">
        <w:t xml:space="preserve">decision in </w:t>
      </w:r>
      <w:r w:rsidRPr="000E47F7">
        <w:rPr>
          <w:i/>
        </w:rPr>
        <w:t xml:space="preserve">Chandra &amp; Ors. v. The Netherlands </w:t>
      </w:r>
      <w:r w:rsidR="00605699" w:rsidRPr="000E47F7">
        <w:rPr>
          <w:rStyle w:val="sb8d990e2"/>
          <w:color w:val="000000"/>
        </w:rPr>
        <w:t>(App. No. 53102/ 99) (Unreported, European Court of Human Rights, 13 May 2003)</w:t>
      </w:r>
      <w:r w:rsidR="00605699" w:rsidRPr="000E47F7">
        <w:t>.</w:t>
      </w:r>
      <w:r w:rsidRPr="000E47F7">
        <w:t xml:space="preserve">  </w:t>
      </w:r>
      <w:r w:rsidR="00CF0FF4" w:rsidRPr="000E47F7">
        <w:t>The applicants in</w:t>
      </w:r>
      <w:r w:rsidRPr="000E47F7">
        <w:t xml:space="preserve"> </w:t>
      </w:r>
      <w:r w:rsidRPr="000E47F7">
        <w:rPr>
          <w:i/>
        </w:rPr>
        <w:t xml:space="preserve">Chandra </w:t>
      </w:r>
      <w:r w:rsidR="00CF0FF4" w:rsidRPr="000E47F7">
        <w:t>had entered the Netherlands on a holiday visa to visit their mother who had settled there some years previously.  Their visa</w:t>
      </w:r>
      <w:r w:rsidRPr="000E47F7">
        <w:t xml:space="preserve"> was valid for 90 days.  </w:t>
      </w:r>
      <w:r w:rsidR="00CF0FF4" w:rsidRPr="000E47F7">
        <w:t xml:space="preserve"> </w:t>
      </w:r>
      <w:r w:rsidRPr="000E47F7">
        <w:t xml:space="preserve">During the course of their visit, </w:t>
      </w:r>
      <w:r w:rsidR="00C8004F" w:rsidRPr="000E47F7">
        <w:t>they</w:t>
      </w:r>
      <w:r w:rsidRPr="000E47F7">
        <w:t xml:space="preserve"> lodged a formal application for a residence permit in order to </w:t>
      </w:r>
      <w:r w:rsidR="00263973" w:rsidRPr="000E47F7">
        <w:t>live</w:t>
      </w:r>
      <w:r w:rsidRPr="000E47F7">
        <w:t xml:space="preserve"> with their mother.  </w:t>
      </w:r>
      <w:r w:rsidR="00556F45" w:rsidRPr="000E47F7">
        <w:t xml:space="preserve"> </w:t>
      </w:r>
      <w:r w:rsidRPr="000E47F7">
        <w:t xml:space="preserve">Their application was rejected.  The </w:t>
      </w:r>
      <w:r w:rsidR="00263973" w:rsidRPr="000E47F7">
        <w:t xml:space="preserve">Dutch </w:t>
      </w:r>
      <w:r w:rsidRPr="000E47F7">
        <w:t xml:space="preserve">Deputy Minister found that the decision did not entail a breach of Article 8 of the Convention since it did not prevent the applicants from continuing to exercise their family life as they had done prior to their arrival in the Netherlands.  Moreover, the Deputy Minister informed the </w:t>
      </w:r>
      <w:r w:rsidR="00D54D58" w:rsidRPr="000E47F7">
        <w:t>applicants</w:t>
      </w:r>
      <w:r w:rsidRPr="000E47F7">
        <w:t xml:space="preserve"> that they were not allowed to await the outcome of their objection to his decision in the Netherlands.  They filed a request with the Hague Regional Court for a provisional measure that would allow them to remain pending the proceedings on their objection.  The Deputy Minister rejected their objection and an appeal to the Hague Regional Court was filed</w:t>
      </w:r>
      <w:r w:rsidR="00263973" w:rsidRPr="000E47F7">
        <w:t>.</w:t>
      </w:r>
      <w:r w:rsidRPr="000E47F7">
        <w:t xml:space="preserve"> </w:t>
      </w:r>
      <w:r w:rsidR="00263973" w:rsidRPr="000E47F7">
        <w:t>The</w:t>
      </w:r>
      <w:r w:rsidRPr="000E47F7">
        <w:t xml:space="preserve"> children amend</w:t>
      </w:r>
      <w:r w:rsidR="00263973" w:rsidRPr="000E47F7">
        <w:t>ed</w:t>
      </w:r>
      <w:r w:rsidRPr="000E47F7">
        <w:t xml:space="preserve"> their request for a provisional measure to include permission to remain in the Netherlands</w:t>
      </w:r>
      <w:r w:rsidR="0058304F" w:rsidRPr="000E47F7">
        <w:t xml:space="preserve"> </w:t>
      </w:r>
      <w:r w:rsidRPr="000E47F7">
        <w:t xml:space="preserve">pending the outcome of the appeal.  </w:t>
      </w:r>
      <w:r w:rsidRPr="000E47F7">
        <w:lastRenderedPageBreak/>
        <w:t xml:space="preserve">The Regional Court rejected </w:t>
      </w:r>
      <w:r w:rsidR="00263973" w:rsidRPr="000E47F7">
        <w:t xml:space="preserve">both </w:t>
      </w:r>
      <w:r w:rsidRPr="000E47F7">
        <w:t xml:space="preserve">the appeal </w:t>
      </w:r>
      <w:r w:rsidR="00263973" w:rsidRPr="000E47F7">
        <w:t>and</w:t>
      </w:r>
      <w:r w:rsidRPr="000E47F7">
        <w:t xml:space="preserve"> the request for a provisional measure.  It saw no merits in the arguments that refusing the children residence would amount to a violation of Article 8.  In this context it took into account the fact that the proceedings concerned ‘</w:t>
      </w:r>
      <w:r w:rsidRPr="000E47F7">
        <w:rPr>
          <w:i/>
        </w:rPr>
        <w:t xml:space="preserve">a request for a first admission. . .  rather than a refusal to extend existing residence’ </w:t>
      </w:r>
      <w:r w:rsidRPr="000E47F7">
        <w:t>(p. 3).  It also held that there were no objective obstacles to family life being exercised elsewhere.</w:t>
      </w:r>
    </w:p>
    <w:p w14:paraId="65109EAF" w14:textId="77777777" w:rsidR="00F87D8C" w:rsidRPr="000E47F7" w:rsidRDefault="00F87D8C" w:rsidP="00F87D8C">
      <w:pPr>
        <w:pStyle w:val="ListParagraph"/>
        <w:widowControl w:val="0"/>
        <w:spacing w:line="480" w:lineRule="auto"/>
        <w:ind w:left="0"/>
        <w:jc w:val="both"/>
      </w:pPr>
    </w:p>
    <w:p w14:paraId="48790AA9" w14:textId="725F4897" w:rsidR="00C841E8" w:rsidRPr="000E47F7" w:rsidRDefault="008432CA" w:rsidP="00E158DB">
      <w:pPr>
        <w:pStyle w:val="ListParagraph"/>
        <w:widowControl w:val="0"/>
        <w:numPr>
          <w:ilvl w:val="0"/>
          <w:numId w:val="1"/>
        </w:numPr>
        <w:tabs>
          <w:tab w:val="left" w:pos="567"/>
        </w:tabs>
        <w:spacing w:line="480" w:lineRule="auto"/>
        <w:jc w:val="both"/>
      </w:pPr>
      <w:r w:rsidRPr="000E47F7">
        <w:t xml:space="preserve">In assessing </w:t>
      </w:r>
      <w:r w:rsidR="00C8004F" w:rsidRPr="000E47F7">
        <w:t>their complaint</w:t>
      </w:r>
      <w:r w:rsidRPr="000E47F7">
        <w:t>, the Strasb</w:t>
      </w:r>
      <w:r w:rsidR="00954530" w:rsidRPr="000E47F7">
        <w:t>o</w:t>
      </w:r>
      <w:r w:rsidRPr="000E47F7">
        <w:t xml:space="preserve">urg </w:t>
      </w:r>
      <w:r w:rsidR="000A23AD" w:rsidRPr="000E47F7">
        <w:t>C</w:t>
      </w:r>
      <w:r w:rsidRPr="000E47F7">
        <w:t xml:space="preserve">ourt confirmed that Article 8 </w:t>
      </w:r>
      <w:r w:rsidR="00C8004F" w:rsidRPr="000E47F7">
        <w:t>does not</w:t>
      </w:r>
      <w:r w:rsidRPr="000E47F7">
        <w:t xml:space="preserve"> impose upon a State a general obligation to respect immigrants’ choice</w:t>
      </w:r>
      <w:r w:rsidR="000A23AD" w:rsidRPr="000E47F7">
        <w:t>s regarding their preferred</w:t>
      </w:r>
      <w:r w:rsidRPr="000E47F7">
        <w:t xml:space="preserve"> country </w:t>
      </w:r>
      <w:r w:rsidR="000A23AD" w:rsidRPr="000E47F7">
        <w:t>of</w:t>
      </w:r>
      <w:r w:rsidRPr="000E47F7">
        <w:t xml:space="preserve"> residence </w:t>
      </w:r>
      <w:r w:rsidR="000A23AD" w:rsidRPr="000E47F7">
        <w:t>and</w:t>
      </w:r>
      <w:r w:rsidRPr="000E47F7">
        <w:t xml:space="preserve"> to authorise family reunification </w:t>
      </w:r>
      <w:r w:rsidR="00C8004F" w:rsidRPr="000E47F7">
        <w:t>within its territory.</w:t>
      </w:r>
      <w:r w:rsidRPr="000E47F7">
        <w:t xml:space="preserve">  </w:t>
      </w:r>
      <w:r w:rsidR="00C8004F" w:rsidRPr="000E47F7">
        <w:t>It noted that before</w:t>
      </w:r>
      <w:r w:rsidRPr="000E47F7">
        <w:t xml:space="preserve"> entering the Netherlands, the </w:t>
      </w:r>
      <w:r w:rsidR="00C8004F" w:rsidRPr="000E47F7">
        <w:t>applicants</w:t>
      </w:r>
      <w:r w:rsidRPr="000E47F7">
        <w:t xml:space="preserve"> had lived</w:t>
      </w:r>
      <w:r w:rsidR="00C8004F" w:rsidRPr="000E47F7">
        <w:t xml:space="preserve"> all their lives</w:t>
      </w:r>
      <w:r w:rsidRPr="000E47F7">
        <w:t xml:space="preserve"> in Indonesia </w:t>
      </w:r>
      <w:r w:rsidR="00F40083" w:rsidRPr="000E47F7">
        <w:t>and</w:t>
      </w:r>
      <w:r w:rsidR="00171B6F" w:rsidRPr="000E47F7">
        <w:t xml:space="preserve"> </w:t>
      </w:r>
      <w:r w:rsidRPr="000E47F7">
        <w:t>must, therefore, be deemed to have strong links with the linguistic and cultural environment of that country.</w:t>
      </w:r>
      <w:r w:rsidR="00F40083" w:rsidRPr="000E47F7">
        <w:t xml:space="preserve"> </w:t>
      </w:r>
      <w:r w:rsidRPr="000E47F7">
        <w:t xml:space="preserve"> Of   particular</w:t>
      </w:r>
      <w:r w:rsidR="00C8004F" w:rsidRPr="000E47F7">
        <w:t xml:space="preserve"> note</w:t>
      </w:r>
      <w:r w:rsidRPr="000E47F7">
        <w:t xml:space="preserve"> in the context of the </w:t>
      </w:r>
      <w:r w:rsidR="00F40083" w:rsidRPr="000E47F7">
        <w:t>present appeal</w:t>
      </w:r>
      <w:r w:rsidRPr="000E47F7">
        <w:t xml:space="preserve"> w</w:t>
      </w:r>
      <w:r w:rsidR="00F40083" w:rsidRPr="000E47F7">
        <w:t>ere</w:t>
      </w:r>
      <w:r w:rsidRPr="000E47F7">
        <w:t xml:space="preserve"> the following remarks </w:t>
      </w:r>
      <w:r w:rsidR="00F87113" w:rsidRPr="000E47F7">
        <w:t xml:space="preserve">of </w:t>
      </w:r>
      <w:r w:rsidRPr="000E47F7">
        <w:t>the Court: -</w:t>
      </w:r>
    </w:p>
    <w:p w14:paraId="31B049D7" w14:textId="77777777" w:rsidR="00F87113" w:rsidRPr="000E47F7" w:rsidRDefault="00F87113" w:rsidP="00EE0FCE">
      <w:pPr>
        <w:pStyle w:val="ListParagraph"/>
        <w:widowControl w:val="0"/>
        <w:spacing w:line="480" w:lineRule="auto"/>
        <w:ind w:left="0"/>
        <w:jc w:val="both"/>
      </w:pPr>
    </w:p>
    <w:p w14:paraId="669AC14B" w14:textId="03B5E8C1" w:rsidR="00132500" w:rsidRPr="000E47F7" w:rsidRDefault="00132500" w:rsidP="00E158DB">
      <w:pPr>
        <w:pStyle w:val="ListParagraph"/>
        <w:widowControl w:val="0"/>
        <w:tabs>
          <w:tab w:val="left" w:pos="567"/>
        </w:tabs>
        <w:spacing w:line="480" w:lineRule="auto"/>
        <w:ind w:left="284" w:right="284"/>
        <w:jc w:val="both"/>
        <w:rPr>
          <w:i/>
        </w:rPr>
      </w:pPr>
      <w:r w:rsidRPr="000E47F7">
        <w:rPr>
          <w:i/>
        </w:rPr>
        <w:t xml:space="preserve">“Although the Court appreciates that the applicants would now prefer to maintain and intensify their family life in the Netherlands, Article </w:t>
      </w:r>
      <w:r w:rsidR="00954530" w:rsidRPr="000E47F7">
        <w:rPr>
          <w:i/>
        </w:rPr>
        <w:t xml:space="preserve">8 </w:t>
      </w:r>
      <w:r w:rsidR="0058304F" w:rsidRPr="000E47F7">
        <w:rPr>
          <w:i/>
        </w:rPr>
        <w:t xml:space="preserve">. . . </w:t>
      </w:r>
      <w:r w:rsidRPr="000E47F7">
        <w:rPr>
          <w:i/>
        </w:rPr>
        <w:t xml:space="preserve">does not guarantee a right to choose the most suitable place to develop family life. </w:t>
      </w:r>
    </w:p>
    <w:p w14:paraId="09DA88BC" w14:textId="0D5B9ECA" w:rsidR="00413C79" w:rsidRPr="000E47F7" w:rsidRDefault="00413C79" w:rsidP="00E158DB">
      <w:pPr>
        <w:pStyle w:val="ListParagraph"/>
        <w:widowControl w:val="0"/>
        <w:tabs>
          <w:tab w:val="left" w:pos="567"/>
        </w:tabs>
        <w:spacing w:line="480" w:lineRule="auto"/>
        <w:ind w:left="284" w:right="284"/>
        <w:jc w:val="both"/>
        <w:rPr>
          <w:i/>
        </w:rPr>
      </w:pPr>
      <w:r w:rsidRPr="000E47F7">
        <w:rPr>
          <w:i/>
        </w:rPr>
        <w:t>(. . . .)</w:t>
      </w:r>
    </w:p>
    <w:p w14:paraId="5AFB9F52" w14:textId="77777777" w:rsidR="00132500" w:rsidRPr="000E47F7" w:rsidRDefault="00132500" w:rsidP="00E158DB">
      <w:pPr>
        <w:pStyle w:val="ListParagraph"/>
        <w:spacing w:line="480" w:lineRule="auto"/>
        <w:ind w:left="284" w:right="284"/>
        <w:jc w:val="both"/>
        <w:rPr>
          <w:b/>
          <w:i/>
        </w:rPr>
      </w:pPr>
      <w:r w:rsidRPr="000E47F7">
        <w:rPr>
          <w:i/>
        </w:rPr>
        <w:t xml:space="preserve">The fact that the children have been staying with their mother in the Netherlands since 1997 does not impose a positive obligation on the State to allow the children to reside there </w:t>
      </w:r>
      <w:r w:rsidRPr="000E47F7">
        <w:rPr>
          <w:b/>
          <w:i/>
        </w:rPr>
        <w:t>since they entered the Netherlands only for visiting purposes</w:t>
      </w:r>
      <w:r w:rsidRPr="000E47F7">
        <w:rPr>
          <w:i/>
        </w:rPr>
        <w:t xml:space="preserve">.  </w:t>
      </w:r>
      <w:r w:rsidRPr="000E47F7">
        <w:rPr>
          <w:b/>
          <w:i/>
        </w:rPr>
        <w:t xml:space="preserve">Having chosen not to apply for a provisional residence visa </w:t>
      </w:r>
      <w:r w:rsidRPr="000E47F7">
        <w:rPr>
          <w:i/>
        </w:rPr>
        <w:t xml:space="preserve">from Indonesia </w:t>
      </w:r>
      <w:r w:rsidRPr="000E47F7">
        <w:rPr>
          <w:b/>
          <w:i/>
        </w:rPr>
        <w:t>prior to travelling</w:t>
      </w:r>
      <w:r w:rsidRPr="000E47F7">
        <w:rPr>
          <w:i/>
        </w:rPr>
        <w:t xml:space="preserve"> to the Netherlands, </w:t>
      </w:r>
      <w:r w:rsidRPr="000E47F7">
        <w:rPr>
          <w:b/>
          <w:i/>
        </w:rPr>
        <w:t xml:space="preserve">the applicants were not entitled to expect that, by confronting the Netherlands authorities with their presence in the country as a fait accompli, </w:t>
      </w:r>
      <w:r w:rsidRPr="000E47F7">
        <w:rPr>
          <w:b/>
          <w:i/>
          <w:u w:val="single"/>
        </w:rPr>
        <w:t>any</w:t>
      </w:r>
      <w:r w:rsidRPr="000E47F7">
        <w:rPr>
          <w:b/>
          <w:i/>
        </w:rPr>
        <w:t xml:space="preserve"> right of residence would be conferred on them.</w:t>
      </w:r>
    </w:p>
    <w:p w14:paraId="02BC280E" w14:textId="77777777" w:rsidR="00132500" w:rsidRPr="000E47F7" w:rsidRDefault="00132500" w:rsidP="00E158DB">
      <w:pPr>
        <w:pStyle w:val="ListParagraph"/>
        <w:spacing w:line="480" w:lineRule="auto"/>
        <w:ind w:left="284" w:right="284"/>
        <w:jc w:val="both"/>
        <w:rPr>
          <w:i/>
        </w:rPr>
      </w:pPr>
      <w:r w:rsidRPr="000E47F7">
        <w:rPr>
          <w:i/>
        </w:rPr>
        <w:lastRenderedPageBreak/>
        <w:t xml:space="preserve">In these circumstances the respondent State cannot be said to have failed to strike a fair balance between the applicants’ interests on the one hand and its own interest in controlling immigration on the other. </w:t>
      </w:r>
    </w:p>
    <w:p w14:paraId="075942F6" w14:textId="77777777" w:rsidR="00132500" w:rsidRPr="000E47F7" w:rsidRDefault="00132500" w:rsidP="00E158DB">
      <w:pPr>
        <w:pStyle w:val="ListParagraph"/>
        <w:spacing w:line="480" w:lineRule="auto"/>
        <w:ind w:left="284" w:right="284"/>
        <w:jc w:val="both"/>
        <w:rPr>
          <w:i/>
        </w:rPr>
      </w:pPr>
    </w:p>
    <w:p w14:paraId="066A7F61" w14:textId="37B7701E" w:rsidR="00132500" w:rsidRPr="000E47F7" w:rsidRDefault="00132500" w:rsidP="00E158DB">
      <w:pPr>
        <w:pStyle w:val="ListParagraph"/>
        <w:spacing w:line="480" w:lineRule="auto"/>
        <w:ind w:left="284" w:right="284"/>
        <w:jc w:val="both"/>
        <w:rPr>
          <w:i/>
        </w:rPr>
      </w:pPr>
      <w:r w:rsidRPr="000E47F7">
        <w:rPr>
          <w:i/>
        </w:rPr>
        <w:t>It follows that the present case discloses no appearance of a violation of Article 8 of the Convention on its facts, and</w:t>
      </w:r>
      <w:r w:rsidR="001C01F7" w:rsidRPr="000E47F7">
        <w:rPr>
          <w:i/>
        </w:rPr>
        <w:t xml:space="preserve"> that </w:t>
      </w:r>
      <w:r w:rsidRPr="000E47F7">
        <w:rPr>
          <w:i/>
        </w:rPr>
        <w:t xml:space="preserve">it must be rejected as being manifestly ill-founded, pursuant to Article 35, </w:t>
      </w:r>
      <w:r w:rsidR="001C01F7" w:rsidRPr="000E47F7">
        <w:rPr>
          <w:i/>
        </w:rPr>
        <w:t>§§ 3 and 4 of the Convention</w:t>
      </w:r>
      <w:r w:rsidRPr="000E47F7">
        <w:rPr>
          <w:i/>
        </w:rPr>
        <w:t xml:space="preserve">.”  </w:t>
      </w:r>
    </w:p>
    <w:p w14:paraId="3EA557F1" w14:textId="77777777" w:rsidR="003227EB" w:rsidRPr="000E47F7" w:rsidRDefault="003227EB" w:rsidP="003227EB">
      <w:pPr>
        <w:pStyle w:val="ListParagraph"/>
        <w:widowControl w:val="0"/>
        <w:spacing w:line="480" w:lineRule="auto"/>
        <w:ind w:left="0"/>
        <w:jc w:val="both"/>
      </w:pPr>
    </w:p>
    <w:p w14:paraId="682B8691" w14:textId="1C06AB68" w:rsidR="00DE6759" w:rsidRPr="000E47F7" w:rsidRDefault="009103F2" w:rsidP="00DE6759">
      <w:pPr>
        <w:pStyle w:val="ListParagraph"/>
        <w:widowControl w:val="0"/>
        <w:numPr>
          <w:ilvl w:val="0"/>
          <w:numId w:val="1"/>
        </w:numPr>
        <w:tabs>
          <w:tab w:val="left" w:pos="567"/>
        </w:tabs>
        <w:spacing w:line="480" w:lineRule="auto"/>
        <w:jc w:val="both"/>
      </w:pPr>
      <w:r w:rsidRPr="000E47F7">
        <w:t xml:space="preserve">Likewise, the applicant </w:t>
      </w:r>
      <w:r w:rsidR="00C841E8" w:rsidRPr="000E47F7">
        <w:t>in these proceedings</w:t>
      </w:r>
      <w:r w:rsidR="008432CA" w:rsidRPr="000E47F7">
        <w:t xml:space="preserve">, having arrived in the State on a </w:t>
      </w:r>
      <w:r w:rsidR="00456701" w:rsidRPr="000E47F7">
        <w:t>visitor’s</w:t>
      </w:r>
      <w:r w:rsidR="008432CA" w:rsidRPr="000E47F7">
        <w:t xml:space="preserve"> visa, </w:t>
      </w:r>
      <w:r w:rsidR="00D54D58" w:rsidRPr="000E47F7">
        <w:t>i</w:t>
      </w:r>
      <w:r w:rsidR="008432CA" w:rsidRPr="000E47F7">
        <w:t>s not entitled</w:t>
      </w:r>
      <w:r w:rsidR="00456701" w:rsidRPr="000E47F7">
        <w:t xml:space="preserve"> </w:t>
      </w:r>
      <w:r w:rsidR="00D54D58" w:rsidRPr="000E47F7">
        <w:t>to insist on</w:t>
      </w:r>
      <w:r w:rsidR="00456701" w:rsidRPr="000E47F7">
        <w:t xml:space="preserve"> a full assessment of her Article 8 rights by</w:t>
      </w:r>
      <w:r w:rsidR="008432CA" w:rsidRPr="000E47F7">
        <w:t xml:space="preserve"> confronting the Minister with her presence in </w:t>
      </w:r>
      <w:r w:rsidR="00456701" w:rsidRPr="000E47F7">
        <w:t xml:space="preserve">the State and </w:t>
      </w:r>
      <w:r w:rsidR="00D16B8D" w:rsidRPr="000E47F7">
        <w:t xml:space="preserve"> by asserting a </w:t>
      </w:r>
      <w:r w:rsidR="00456701" w:rsidRPr="000E47F7">
        <w:t>‘family life’</w:t>
      </w:r>
      <w:r w:rsidR="008432CA" w:rsidRPr="000E47F7">
        <w:t xml:space="preserve"> as a </w:t>
      </w:r>
      <w:r w:rsidR="008432CA" w:rsidRPr="000E47F7">
        <w:rPr>
          <w:i/>
        </w:rPr>
        <w:t>fait accompli</w:t>
      </w:r>
      <w:r w:rsidR="008432CA" w:rsidRPr="000E47F7">
        <w:t xml:space="preserve">.  </w:t>
      </w:r>
      <w:r w:rsidR="003D72C9" w:rsidRPr="000E47F7">
        <w:t xml:space="preserve">If she </w:t>
      </w:r>
      <w:r w:rsidRPr="000E47F7">
        <w:t xml:space="preserve">wishes to reside </w:t>
      </w:r>
      <w:r w:rsidR="0095199F" w:rsidRPr="000E47F7">
        <w:t>in the State,</w:t>
      </w:r>
      <w:r w:rsidRPr="000E47F7">
        <w:t xml:space="preserve"> she is</w:t>
      </w:r>
      <w:r w:rsidR="008432CA" w:rsidRPr="000E47F7">
        <w:t xml:space="preserve"> required to</w:t>
      </w:r>
      <w:r w:rsidR="0095199F" w:rsidRPr="000E47F7">
        <w:t xml:space="preserve"> respect its immigration system and to return</w:t>
      </w:r>
      <w:r w:rsidR="008432CA" w:rsidRPr="000E47F7">
        <w:t xml:space="preserve"> to the People’s Republic of China </w:t>
      </w:r>
      <w:r w:rsidR="0095199F" w:rsidRPr="000E47F7">
        <w:t>in accordance with the undertaking she furnished.  From there, she may</w:t>
      </w:r>
      <w:r w:rsidR="008432CA" w:rsidRPr="000E47F7">
        <w:t xml:space="preserve"> apply for </w:t>
      </w:r>
      <w:r w:rsidR="0095199F" w:rsidRPr="000E47F7">
        <w:t>permission to reside</w:t>
      </w:r>
      <w:r w:rsidR="008432CA" w:rsidRPr="000E47F7">
        <w:t xml:space="preserve"> in accordance with the procedures prescribed by law.  She </w:t>
      </w:r>
      <w:r w:rsidR="0054565E" w:rsidRPr="000E47F7">
        <w:t>has no entitlement</w:t>
      </w:r>
      <w:r w:rsidR="008432CA" w:rsidRPr="000E47F7">
        <w:t xml:space="preserve"> to dictate or to circumvent those procedures.</w:t>
      </w:r>
    </w:p>
    <w:p w14:paraId="2343D11E" w14:textId="77777777" w:rsidR="00D16B8D" w:rsidRPr="000E47F7" w:rsidRDefault="00D16B8D" w:rsidP="00EE0FCE">
      <w:pPr>
        <w:pStyle w:val="ListParagraph"/>
        <w:widowControl w:val="0"/>
        <w:spacing w:line="480" w:lineRule="auto"/>
        <w:ind w:left="0"/>
        <w:jc w:val="both"/>
      </w:pPr>
    </w:p>
    <w:p w14:paraId="03D5D92C" w14:textId="2E34E988" w:rsidR="00DE6759" w:rsidRPr="000E47F7" w:rsidRDefault="00D827EA" w:rsidP="00DE6759">
      <w:pPr>
        <w:pStyle w:val="ListParagraph"/>
        <w:widowControl w:val="0"/>
        <w:tabs>
          <w:tab w:val="left" w:pos="567"/>
        </w:tabs>
        <w:spacing w:line="480" w:lineRule="auto"/>
        <w:ind w:left="0"/>
        <w:jc w:val="both"/>
        <w:rPr>
          <w:b/>
          <w:i/>
        </w:rPr>
      </w:pPr>
      <w:r w:rsidRPr="000E47F7">
        <w:rPr>
          <w:b/>
          <w:i/>
        </w:rPr>
        <w:t>‘</w:t>
      </w:r>
      <w:r w:rsidR="00597A25" w:rsidRPr="000E47F7">
        <w:rPr>
          <w:b/>
          <w:i/>
        </w:rPr>
        <w:t>E</w:t>
      </w:r>
      <w:r w:rsidRPr="000E47F7">
        <w:rPr>
          <w:b/>
          <w:i/>
        </w:rPr>
        <w:t>ngagement’ of family life</w:t>
      </w:r>
    </w:p>
    <w:p w14:paraId="3E31D18B" w14:textId="77777777" w:rsidR="00587A82" w:rsidRPr="000E47F7" w:rsidRDefault="00587A82" w:rsidP="00DE6759">
      <w:pPr>
        <w:pStyle w:val="ListParagraph"/>
        <w:widowControl w:val="0"/>
        <w:tabs>
          <w:tab w:val="left" w:pos="567"/>
        </w:tabs>
        <w:spacing w:line="480" w:lineRule="auto"/>
        <w:ind w:left="0"/>
        <w:jc w:val="both"/>
        <w:rPr>
          <w:b/>
          <w:i/>
        </w:rPr>
      </w:pPr>
    </w:p>
    <w:p w14:paraId="1BDD43D5" w14:textId="5ACA645A" w:rsidR="007F404E" w:rsidRPr="000E47F7" w:rsidRDefault="0095199F" w:rsidP="007F404E">
      <w:pPr>
        <w:numPr>
          <w:ilvl w:val="0"/>
          <w:numId w:val="1"/>
        </w:numPr>
        <w:spacing w:line="480" w:lineRule="auto"/>
        <w:jc w:val="both"/>
        <w:rPr>
          <w:i/>
        </w:rPr>
      </w:pPr>
      <w:r w:rsidRPr="000E47F7">
        <w:t>The</w:t>
      </w:r>
      <w:r w:rsidR="009103F2" w:rsidRPr="000E47F7">
        <w:t xml:space="preserve"> Strasbourg Court’s judgment in </w:t>
      </w:r>
      <w:r w:rsidR="009103F2" w:rsidRPr="000E47F7">
        <w:rPr>
          <w:i/>
        </w:rPr>
        <w:t>Senchishak v. Finland</w:t>
      </w:r>
      <w:r w:rsidR="00CD3591" w:rsidRPr="000E47F7">
        <w:rPr>
          <w:i/>
        </w:rPr>
        <w:t xml:space="preserve"> </w:t>
      </w:r>
      <w:r w:rsidR="00CD3591" w:rsidRPr="000E47F7">
        <w:rPr>
          <w:iCs/>
        </w:rPr>
        <w:t>(App. No.</w:t>
      </w:r>
      <w:r w:rsidR="00CD3591" w:rsidRPr="000E47F7">
        <w:t xml:space="preserve"> 5049/12) (Unreported, European Court of Human Rights, 18 November 2014)</w:t>
      </w:r>
      <w:r w:rsidR="009103F2" w:rsidRPr="000E47F7">
        <w:rPr>
          <w:i/>
        </w:rPr>
        <w:t xml:space="preserve"> </w:t>
      </w:r>
      <w:r w:rsidR="009103F2" w:rsidRPr="000E47F7">
        <w:t>cannot but reinforce the conclusions reached in this appeal.  T</w:t>
      </w:r>
      <w:r w:rsidR="001C304B" w:rsidRPr="000E47F7">
        <w:t xml:space="preserve">he applicant </w:t>
      </w:r>
      <w:r w:rsidR="008D23F9" w:rsidRPr="000E47F7">
        <w:t>visited her adult daughter</w:t>
      </w:r>
      <w:r w:rsidR="009103F2" w:rsidRPr="000E47F7">
        <w:t xml:space="preserve"> in Finland on a 30-day tourist visa. </w:t>
      </w:r>
      <w:r w:rsidR="008D23F9" w:rsidRPr="000E47F7">
        <w:t xml:space="preserve"> </w:t>
      </w:r>
      <w:r w:rsidR="0017377D" w:rsidRPr="000E47F7">
        <w:t>Ten days into her visit,</w:t>
      </w:r>
      <w:r w:rsidR="001C304B" w:rsidRPr="000E47F7">
        <w:t xml:space="preserve"> </w:t>
      </w:r>
      <w:r w:rsidR="009103F2" w:rsidRPr="000E47F7">
        <w:t>she</w:t>
      </w:r>
      <w:r w:rsidR="001C304B" w:rsidRPr="000E47F7">
        <w:t xml:space="preserve"> applied for a residence permit on the basis of family ties to her daughter.  </w:t>
      </w:r>
      <w:r w:rsidR="0017377D" w:rsidRPr="000E47F7">
        <w:t xml:space="preserve">She had claimed that </w:t>
      </w:r>
      <w:r w:rsidR="001C304B" w:rsidRPr="000E47F7">
        <w:t>she could not endure separation from her daughter</w:t>
      </w:r>
      <w:r w:rsidR="00CD7B67" w:rsidRPr="000E47F7">
        <w:t xml:space="preserve"> and that </w:t>
      </w:r>
      <w:r w:rsidR="00C93C1D" w:rsidRPr="000E47F7">
        <w:t xml:space="preserve">such separation </w:t>
      </w:r>
      <w:r w:rsidR="001C304B" w:rsidRPr="000E47F7">
        <w:t xml:space="preserve">would lead to her death through sickness or suicide.  </w:t>
      </w:r>
      <w:r w:rsidR="0017377D" w:rsidRPr="000E47F7">
        <w:t xml:space="preserve">Her application was refused, and the refusal was upheld by the </w:t>
      </w:r>
      <w:r w:rsidR="0036279A">
        <w:t>C</w:t>
      </w:r>
      <w:r w:rsidR="0017377D" w:rsidRPr="000E47F7">
        <w:t xml:space="preserve">ourts.  Under Finnish law she was </w:t>
      </w:r>
      <w:r w:rsidR="0017377D" w:rsidRPr="000E47F7">
        <w:lastRenderedPageBreak/>
        <w:t xml:space="preserve">not deemed to be a family member (a spouse or a minor child) of a person living in Finland and, thus, had no entitlement to a residence permit.  </w:t>
      </w:r>
    </w:p>
    <w:p w14:paraId="127FFB41" w14:textId="77777777" w:rsidR="00D827EA" w:rsidRPr="000E47F7" w:rsidRDefault="00D827EA" w:rsidP="00D827EA">
      <w:pPr>
        <w:spacing w:line="480" w:lineRule="auto"/>
        <w:jc w:val="both"/>
        <w:rPr>
          <w:i/>
        </w:rPr>
      </w:pPr>
    </w:p>
    <w:p w14:paraId="52D69AEB" w14:textId="241BE7F5" w:rsidR="001C304B" w:rsidRPr="000E47F7" w:rsidRDefault="001C304B" w:rsidP="008D4070">
      <w:pPr>
        <w:numPr>
          <w:ilvl w:val="0"/>
          <w:numId w:val="1"/>
        </w:numPr>
        <w:spacing w:line="480" w:lineRule="auto"/>
        <w:jc w:val="both"/>
        <w:rPr>
          <w:i/>
        </w:rPr>
      </w:pPr>
      <w:r w:rsidRPr="000E47F7">
        <w:t xml:space="preserve">The applicant complained to the </w:t>
      </w:r>
      <w:r w:rsidR="00C05F70" w:rsidRPr="000E47F7">
        <w:t>Strasbourg</w:t>
      </w:r>
      <w:r w:rsidR="00C05F70" w:rsidRPr="000E47F7">
        <w:rPr>
          <w:b/>
        </w:rPr>
        <w:t xml:space="preserve"> </w:t>
      </w:r>
      <w:r w:rsidRPr="000E47F7">
        <w:t xml:space="preserve">Court that her removal to Russia by the Finnish Authorities would violate Article 8 of the Convention.  The government argued that the impugned measure was in accordance with law and pursued the legitimate aim of public safety, economic wellbeing of the country, and the protection of the rights and freedoms of others.  </w:t>
      </w:r>
      <w:r w:rsidR="00A529F4" w:rsidRPr="000E47F7">
        <w:t>T</w:t>
      </w:r>
      <w:r w:rsidRPr="000E47F7">
        <w:t>he applicant</w:t>
      </w:r>
      <w:r w:rsidR="00A529F4" w:rsidRPr="000E47F7">
        <w:t xml:space="preserve">, it claimed, </w:t>
      </w:r>
      <w:r w:rsidRPr="000E47F7">
        <w:t xml:space="preserve">could not be considered a settled migrant </w:t>
      </w:r>
      <w:r w:rsidR="00A529F4" w:rsidRPr="000E47F7">
        <w:t>and the</w:t>
      </w:r>
      <w:r w:rsidRPr="000E47F7">
        <w:t xml:space="preserve"> impugned measure was necessary in a democratic society.  The applicant argued that during the previous five years she had a close family relationship with her daughter and the family.</w:t>
      </w:r>
      <w:r w:rsidR="00FB74B6" w:rsidRPr="000E47F7">
        <w:t xml:space="preserve"> </w:t>
      </w:r>
      <w:r w:rsidRPr="000E47F7">
        <w:t xml:space="preserve">  In Russian culture, grandparents were considered as family members who needed protection</w:t>
      </w:r>
      <w:r w:rsidR="00A529F4" w:rsidRPr="000E47F7">
        <w:t xml:space="preserve"> and</w:t>
      </w:r>
      <w:r w:rsidRPr="000E47F7">
        <w:t xml:space="preserve"> it was considered the child’s responsibility to take care of the parent.   </w:t>
      </w:r>
    </w:p>
    <w:p w14:paraId="0E020CF4" w14:textId="77777777" w:rsidR="007F404E" w:rsidRPr="000E47F7" w:rsidRDefault="007F404E" w:rsidP="007F404E">
      <w:pPr>
        <w:spacing w:line="480" w:lineRule="auto"/>
        <w:jc w:val="both"/>
        <w:rPr>
          <w:i/>
        </w:rPr>
      </w:pPr>
    </w:p>
    <w:p w14:paraId="7FB7AF79" w14:textId="273F8D12" w:rsidR="001C304B" w:rsidRPr="000E47F7" w:rsidRDefault="001C304B" w:rsidP="001C304B">
      <w:pPr>
        <w:numPr>
          <w:ilvl w:val="0"/>
          <w:numId w:val="1"/>
        </w:numPr>
        <w:spacing w:line="480" w:lineRule="auto"/>
        <w:jc w:val="both"/>
        <w:rPr>
          <w:i/>
        </w:rPr>
      </w:pPr>
      <w:r w:rsidRPr="000E47F7">
        <w:t xml:space="preserve">The </w:t>
      </w:r>
      <w:r w:rsidR="00ED550A" w:rsidRPr="000E47F7">
        <w:t>C</w:t>
      </w:r>
      <w:r w:rsidRPr="000E47F7">
        <w:t>ourt noted that in the Convention case law relating to expulsion</w:t>
      </w:r>
      <w:r w:rsidR="00FB74B6" w:rsidRPr="000E47F7">
        <w:t>,</w:t>
      </w:r>
      <w:r w:rsidRPr="000E47F7">
        <w:t xml:space="preserve"> the main emphasis had consistently been placed on the </w:t>
      </w:r>
      <w:r w:rsidR="00CD3591" w:rsidRPr="000E47F7">
        <w:rPr>
          <w:i/>
        </w:rPr>
        <w:t>‘</w:t>
      </w:r>
      <w:r w:rsidRPr="000E47F7">
        <w:rPr>
          <w:i/>
        </w:rPr>
        <w:t>family life</w:t>
      </w:r>
      <w:r w:rsidR="00CD3591" w:rsidRPr="000E47F7">
        <w:rPr>
          <w:i/>
        </w:rPr>
        <w:t>’</w:t>
      </w:r>
      <w:r w:rsidRPr="000E47F7">
        <w:t xml:space="preserve"> aspect, which had been interpreted as encompassing the effective </w:t>
      </w:r>
      <w:r w:rsidR="00CD3591" w:rsidRPr="000E47F7">
        <w:t>‘</w:t>
      </w:r>
      <w:r w:rsidRPr="000E47F7">
        <w:rPr>
          <w:i/>
        </w:rPr>
        <w:t>family life</w:t>
      </w:r>
      <w:r w:rsidR="00CD3591" w:rsidRPr="000E47F7">
        <w:rPr>
          <w:i/>
        </w:rPr>
        <w:t>’</w:t>
      </w:r>
      <w:r w:rsidRPr="000E47F7">
        <w:rPr>
          <w:i/>
        </w:rPr>
        <w:t xml:space="preserve"> </w:t>
      </w:r>
      <w:r w:rsidRPr="000E47F7">
        <w:t xml:space="preserve">established in the territory of a contracting State by aliens lawfully resident there, it being understood that </w:t>
      </w:r>
      <w:r w:rsidR="00CD3591" w:rsidRPr="000E47F7">
        <w:rPr>
          <w:i/>
        </w:rPr>
        <w:t>‘</w:t>
      </w:r>
      <w:r w:rsidRPr="000E47F7">
        <w:rPr>
          <w:i/>
        </w:rPr>
        <w:t>family life</w:t>
      </w:r>
      <w:r w:rsidR="00CD3591" w:rsidRPr="000E47F7">
        <w:rPr>
          <w:i/>
        </w:rPr>
        <w:t>’</w:t>
      </w:r>
      <w:r w:rsidRPr="000E47F7">
        <w:t xml:space="preserve">, in this sense, is normally limited to the core family (see </w:t>
      </w:r>
      <w:r w:rsidR="00E45325" w:rsidRPr="000E47F7">
        <w:rPr>
          <w:i/>
        </w:rPr>
        <w:t xml:space="preserve">Slivenko v. Latvia </w:t>
      </w:r>
      <w:r w:rsidR="00E45325" w:rsidRPr="000E47F7">
        <w:t xml:space="preserve">(App. No. 48321/99) (2004) 39 E.H.R.R 24, para. 94). </w:t>
      </w:r>
      <w:r w:rsidRPr="000E47F7">
        <w:t xml:space="preserve">  </w:t>
      </w:r>
      <w:r w:rsidR="00FB74B6" w:rsidRPr="000E47F7">
        <w:t xml:space="preserve"> </w:t>
      </w:r>
      <w:r w:rsidRPr="000E47F7">
        <w:t xml:space="preserve">The </w:t>
      </w:r>
      <w:r w:rsidR="00ED550A" w:rsidRPr="000E47F7">
        <w:t>C</w:t>
      </w:r>
      <w:r w:rsidRPr="000E47F7">
        <w:t xml:space="preserve">ourt further </w:t>
      </w:r>
      <w:r w:rsidR="0017377D" w:rsidRPr="000E47F7">
        <w:t>recalled</w:t>
      </w:r>
      <w:r w:rsidRPr="000E47F7">
        <w:t xml:space="preserve"> that the Convention includes no right, as such, to establish one’s family life in a particular country</w:t>
      </w:r>
      <w:r w:rsidR="0017377D" w:rsidRPr="000E47F7">
        <w:t>.</w:t>
      </w:r>
      <w:r w:rsidR="0017377D" w:rsidRPr="000E47F7">
        <w:rPr>
          <w:rStyle w:val="FootnoteReference"/>
        </w:rPr>
        <w:footnoteReference w:id="10"/>
      </w:r>
      <w:r w:rsidR="0017377D" w:rsidRPr="000E47F7">
        <w:t xml:space="preserve"> </w:t>
      </w:r>
      <w:r w:rsidR="00E45325" w:rsidRPr="000E47F7">
        <w:t xml:space="preserve"> </w:t>
      </w:r>
      <w:r w:rsidR="00FB74B6" w:rsidRPr="000E47F7">
        <w:t>It</w:t>
      </w:r>
      <w:r w:rsidRPr="000E47F7">
        <w:t xml:space="preserve"> reiterated the principle that</w:t>
      </w:r>
      <w:r w:rsidR="00E45325" w:rsidRPr="000E47F7">
        <w:t>: -</w:t>
      </w:r>
    </w:p>
    <w:p w14:paraId="44D3B60F" w14:textId="77777777" w:rsidR="00C841E8" w:rsidRPr="000E47F7" w:rsidRDefault="00C841E8" w:rsidP="00E158DB">
      <w:pPr>
        <w:spacing w:line="480" w:lineRule="auto"/>
        <w:jc w:val="both"/>
        <w:rPr>
          <w:i/>
        </w:rPr>
      </w:pPr>
    </w:p>
    <w:p w14:paraId="08FC3618" w14:textId="21DF54DA" w:rsidR="001C304B" w:rsidRPr="000E47F7" w:rsidRDefault="001C304B" w:rsidP="00E158DB">
      <w:pPr>
        <w:pStyle w:val="ListParagraph"/>
        <w:spacing w:line="480" w:lineRule="auto"/>
        <w:ind w:left="284" w:right="284"/>
        <w:jc w:val="both"/>
        <w:rPr>
          <w:i/>
        </w:rPr>
      </w:pPr>
      <w:r w:rsidRPr="000E47F7">
        <w:rPr>
          <w:i/>
        </w:rPr>
        <w:t xml:space="preserve">“relationships between parents and adult children do not fall within the protective scope of Article 8 unless </w:t>
      </w:r>
      <w:r w:rsidR="000A23AD" w:rsidRPr="000E47F7">
        <w:rPr>
          <w:i/>
        </w:rPr>
        <w:t>‘</w:t>
      </w:r>
      <w:r w:rsidRPr="000E47F7">
        <w:rPr>
          <w:i/>
        </w:rPr>
        <w:t xml:space="preserve">additional factors of dependence, other than normal emotional ties, </w:t>
      </w:r>
      <w:r w:rsidRPr="000E47F7">
        <w:rPr>
          <w:i/>
        </w:rPr>
        <w:lastRenderedPageBreak/>
        <w:t>are shown to exist</w:t>
      </w:r>
      <w:r w:rsidR="000A23AD" w:rsidRPr="000E47F7">
        <w:rPr>
          <w:i/>
        </w:rPr>
        <w:t>’</w:t>
      </w:r>
      <w:r w:rsidRPr="000E47F7">
        <w:rPr>
          <w:i/>
        </w:rPr>
        <w:t xml:space="preserve"> </w:t>
      </w:r>
      <w:r w:rsidRPr="000E47F7">
        <w:t>(</w:t>
      </w:r>
      <w:r w:rsidRPr="000E47F7">
        <w:rPr>
          <w:i/>
        </w:rPr>
        <w:t>see Emonet &amp; Ors. v. Switzerland, No. 39051/03, para. 35, 13 December 2007; and, Mutatis Mutandis, Kwakye-Nti &amp; Dufie v. The Netherlands (dec.) No. 31519/96, 7 November 2000).  Therefore, the existence of “family life” cannot be relied on by applicants in relation to their elderly parents, adults who do not belong to the core family unless the latter have been shown to be dependent upon the members of their family (see Slivenk</w:t>
      </w:r>
      <w:r w:rsidR="004E6533" w:rsidRPr="000E47F7">
        <w:rPr>
          <w:i/>
        </w:rPr>
        <w:t>o</w:t>
      </w:r>
      <w:r w:rsidRPr="000E47F7">
        <w:rPr>
          <w:i/>
        </w:rPr>
        <w:t xml:space="preserve"> v. Latvia (G.C., cited above, para. 97).” </w:t>
      </w:r>
    </w:p>
    <w:p w14:paraId="4EB3E5A0" w14:textId="77777777" w:rsidR="00FB74B6" w:rsidRPr="000E47F7" w:rsidRDefault="00FB74B6" w:rsidP="00FB74B6">
      <w:pPr>
        <w:pStyle w:val="ListParagraph"/>
        <w:spacing w:line="360" w:lineRule="auto"/>
        <w:ind w:left="284" w:right="284"/>
        <w:jc w:val="both"/>
        <w:rPr>
          <w:i/>
        </w:rPr>
      </w:pPr>
    </w:p>
    <w:p w14:paraId="667CF9B9" w14:textId="2D654C83" w:rsidR="001C304B" w:rsidRPr="000E47F7" w:rsidRDefault="00FB74B6" w:rsidP="001C304B">
      <w:pPr>
        <w:numPr>
          <w:ilvl w:val="0"/>
          <w:numId w:val="1"/>
        </w:numPr>
        <w:spacing w:line="480" w:lineRule="auto"/>
        <w:jc w:val="both"/>
        <w:rPr>
          <w:i/>
        </w:rPr>
      </w:pPr>
      <w:r w:rsidRPr="000E47F7">
        <w:t>The fact t</w:t>
      </w:r>
      <w:r w:rsidR="001C304B" w:rsidRPr="000E47F7">
        <w:t xml:space="preserve">hat the </w:t>
      </w:r>
      <w:r w:rsidRPr="000E47F7">
        <w:t>applicant</w:t>
      </w:r>
      <w:r w:rsidR="001C304B" w:rsidRPr="000E47F7">
        <w:t xml:space="preserve"> had spent the </w:t>
      </w:r>
      <w:r w:rsidR="0017377D" w:rsidRPr="000E47F7">
        <w:t xml:space="preserve">previous </w:t>
      </w:r>
      <w:r w:rsidR="001C304B" w:rsidRPr="000E47F7">
        <w:t xml:space="preserve">five years in Finland </w:t>
      </w:r>
      <w:r w:rsidRPr="000E47F7">
        <w:t xml:space="preserve">did not, in the </w:t>
      </w:r>
      <w:r w:rsidR="00ED550A" w:rsidRPr="000E47F7">
        <w:t>C</w:t>
      </w:r>
      <w:r w:rsidRPr="000E47F7">
        <w:t>ourt’s view,</w:t>
      </w:r>
      <w:r w:rsidR="001C304B" w:rsidRPr="000E47F7">
        <w:t xml:space="preserve"> create a relationship between </w:t>
      </w:r>
      <w:r w:rsidR="0092605A" w:rsidRPr="000E47F7">
        <w:t>her</w:t>
      </w:r>
      <w:r w:rsidR="001C304B" w:rsidRPr="000E47F7">
        <w:t xml:space="preserve"> and her daughter which </w:t>
      </w:r>
      <w:r w:rsidR="0092605A" w:rsidRPr="000E47F7">
        <w:t>amounted</w:t>
      </w:r>
      <w:r w:rsidR="001C304B" w:rsidRPr="000E47F7">
        <w:t xml:space="preserve"> to </w:t>
      </w:r>
      <w:r w:rsidR="004E6533" w:rsidRPr="000E47F7">
        <w:t>‘</w:t>
      </w:r>
      <w:r w:rsidR="001C304B" w:rsidRPr="000E47F7">
        <w:rPr>
          <w:i/>
        </w:rPr>
        <w:t>family life</w:t>
      </w:r>
      <w:r w:rsidR="004E6533" w:rsidRPr="000E47F7">
        <w:rPr>
          <w:i/>
        </w:rPr>
        <w:t>’</w:t>
      </w:r>
      <w:r w:rsidR="001C304B" w:rsidRPr="000E47F7">
        <w:rPr>
          <w:i/>
        </w:rPr>
        <w:t xml:space="preserve"> </w:t>
      </w:r>
      <w:r w:rsidR="001C304B" w:rsidRPr="000E47F7">
        <w:t xml:space="preserve">within the meaning of Article 8 of the Convention.  </w:t>
      </w:r>
      <w:r w:rsidR="0017377D" w:rsidRPr="000E47F7">
        <w:t>Her presence</w:t>
      </w:r>
      <w:r w:rsidRPr="000E47F7">
        <w:t xml:space="preserve"> </w:t>
      </w:r>
      <w:r w:rsidR="001C304B" w:rsidRPr="000E47F7">
        <w:t>during those five years</w:t>
      </w:r>
      <w:r w:rsidRPr="000E47F7">
        <w:t xml:space="preserve"> had been unlawful</w:t>
      </w:r>
      <w:r w:rsidR="001C304B" w:rsidRPr="000E47F7">
        <w:t xml:space="preserve"> and she must have been aware of her insecure situation created by </w:t>
      </w:r>
      <w:r w:rsidRPr="000E47F7">
        <w:t>her non-regularised status</w:t>
      </w:r>
      <w:r w:rsidR="001C304B" w:rsidRPr="000E47F7">
        <w:t xml:space="preserve"> in Finland.  As to</w:t>
      </w:r>
      <w:r w:rsidR="004E6533" w:rsidRPr="000E47F7">
        <w:t xml:space="preserve"> the</w:t>
      </w:r>
      <w:r w:rsidR="001C304B" w:rsidRPr="000E47F7">
        <w:t xml:space="preserve"> </w:t>
      </w:r>
      <w:r w:rsidR="0017377D" w:rsidRPr="000E47F7">
        <w:t xml:space="preserve">issue of </w:t>
      </w:r>
      <w:r w:rsidR="001C304B" w:rsidRPr="000E47F7">
        <w:t>dependenc</w:t>
      </w:r>
      <w:r w:rsidR="00C93C1D" w:rsidRPr="000E47F7">
        <w:t>e</w:t>
      </w:r>
      <w:r w:rsidR="0092605A" w:rsidRPr="000E47F7">
        <w:t xml:space="preserve">, </w:t>
      </w:r>
      <w:r w:rsidR="0017377D" w:rsidRPr="000E47F7">
        <w:t xml:space="preserve">even </w:t>
      </w:r>
      <w:r w:rsidR="001C304B" w:rsidRPr="000E47F7">
        <w:t xml:space="preserve">assuming that the applicant was dependent on outside help to cope with her daily life, that alone did not mean that she was dependent on her daughter </w:t>
      </w:r>
      <w:r w:rsidRPr="000E47F7">
        <w:t xml:space="preserve">or </w:t>
      </w:r>
      <w:r w:rsidR="001C304B" w:rsidRPr="000E47F7">
        <w:t xml:space="preserve">that care in Finland was the only option.  </w:t>
      </w:r>
      <w:r w:rsidR="0092605A" w:rsidRPr="000E47F7">
        <w:t xml:space="preserve">The </w:t>
      </w:r>
      <w:r w:rsidR="00ED550A" w:rsidRPr="000E47F7">
        <w:t>C</w:t>
      </w:r>
      <w:r w:rsidR="0092605A" w:rsidRPr="000E47F7">
        <w:t>ourt</w:t>
      </w:r>
      <w:r w:rsidRPr="000E47F7">
        <w:t xml:space="preserve"> considered</w:t>
      </w:r>
      <w:r w:rsidR="001C304B" w:rsidRPr="000E47F7">
        <w:t xml:space="preserve"> that </w:t>
      </w:r>
      <w:r w:rsidR="0092605A" w:rsidRPr="000E47F7">
        <w:t>she could be supported by her daughter,</w:t>
      </w:r>
      <w:r w:rsidRPr="000E47F7">
        <w:t xml:space="preserve"> </w:t>
      </w:r>
      <w:r w:rsidR="001C304B" w:rsidRPr="000E47F7">
        <w:t xml:space="preserve">financially and </w:t>
      </w:r>
      <w:r w:rsidRPr="000E47F7">
        <w:t xml:space="preserve">otherwise, </w:t>
      </w:r>
      <w:r w:rsidR="001C304B" w:rsidRPr="000E47F7">
        <w:t xml:space="preserve">from Finland.  Having regard </w:t>
      </w:r>
      <w:r w:rsidR="0017377D" w:rsidRPr="000E47F7">
        <w:t>to its case law</w:t>
      </w:r>
      <w:r w:rsidR="001C304B" w:rsidRPr="000E47F7">
        <w:t xml:space="preserve">, it </w:t>
      </w:r>
      <w:r w:rsidR="0017377D" w:rsidRPr="000E47F7">
        <w:t xml:space="preserve">concluded </w:t>
      </w:r>
      <w:r w:rsidR="001C304B" w:rsidRPr="000E47F7">
        <w:t xml:space="preserve">that no </w:t>
      </w:r>
      <w:r w:rsidR="0017377D" w:rsidRPr="000E47F7">
        <w:rPr>
          <w:i/>
        </w:rPr>
        <w:t>‘</w:t>
      </w:r>
      <w:r w:rsidR="001C304B" w:rsidRPr="000E47F7">
        <w:rPr>
          <w:i/>
        </w:rPr>
        <w:t>additional factors of dependence other than normal ties of affection</w:t>
      </w:r>
      <w:r w:rsidR="000A23AD" w:rsidRPr="000E47F7">
        <w:rPr>
          <w:i/>
        </w:rPr>
        <w:t xml:space="preserve">’ </w:t>
      </w:r>
      <w:r w:rsidR="001C304B" w:rsidRPr="000E47F7">
        <w:t xml:space="preserve">existed between the applicant and her daughter and that there was thus no </w:t>
      </w:r>
      <w:r w:rsidR="004E6533" w:rsidRPr="000E47F7">
        <w:t>‘</w:t>
      </w:r>
      <w:r w:rsidR="001C304B" w:rsidRPr="000E47F7">
        <w:rPr>
          <w:i/>
        </w:rPr>
        <w:t>family life</w:t>
      </w:r>
      <w:r w:rsidR="004E6533" w:rsidRPr="000E47F7">
        <w:rPr>
          <w:i/>
        </w:rPr>
        <w:t>’</w:t>
      </w:r>
      <w:r w:rsidR="001C304B" w:rsidRPr="000E47F7">
        <w:t xml:space="preserve"> between them within the meaning of Article 8.  </w:t>
      </w:r>
      <w:r w:rsidRPr="000E47F7">
        <w:t>The</w:t>
      </w:r>
      <w:r w:rsidR="001C304B" w:rsidRPr="000E47F7">
        <w:t xml:space="preserve"> </w:t>
      </w:r>
      <w:r w:rsidR="0054565E" w:rsidRPr="000E47F7">
        <w:t>C</w:t>
      </w:r>
      <w:r w:rsidR="001C304B" w:rsidRPr="000E47F7">
        <w:t>ourt concluded</w:t>
      </w:r>
      <w:r w:rsidR="004E6533" w:rsidRPr="000E47F7">
        <w:t xml:space="preserve"> </w:t>
      </w:r>
      <w:r w:rsidR="001C304B" w:rsidRPr="000E47F7">
        <w:t xml:space="preserve">that Article 8 </w:t>
      </w:r>
      <w:r w:rsidR="004E6533" w:rsidRPr="000E47F7">
        <w:t xml:space="preserve">was </w:t>
      </w:r>
      <w:r w:rsidRPr="000E47F7">
        <w:rPr>
          <w:i/>
        </w:rPr>
        <w:t>‘</w:t>
      </w:r>
      <w:r w:rsidR="004E6533" w:rsidRPr="000E47F7">
        <w:rPr>
          <w:b/>
          <w:i/>
        </w:rPr>
        <w:t>therefore</w:t>
      </w:r>
      <w:r w:rsidR="001C304B" w:rsidRPr="000E47F7">
        <w:rPr>
          <w:b/>
          <w:i/>
        </w:rPr>
        <w:t xml:space="preserve"> not applicable</w:t>
      </w:r>
      <w:r w:rsidR="001C304B" w:rsidRPr="000E47F7">
        <w:rPr>
          <w:i/>
        </w:rPr>
        <w:t xml:space="preserve"> in the instant case due to </w:t>
      </w:r>
      <w:r w:rsidR="00064A26" w:rsidRPr="000E47F7">
        <w:rPr>
          <w:i/>
        </w:rPr>
        <w:t>the</w:t>
      </w:r>
      <w:r w:rsidR="00321931" w:rsidRPr="000E47F7">
        <w:rPr>
          <w:i/>
        </w:rPr>
        <w:t xml:space="preserve"> </w:t>
      </w:r>
      <w:r w:rsidR="001C304B" w:rsidRPr="000E47F7">
        <w:rPr>
          <w:i/>
        </w:rPr>
        <w:t>lack of family life</w:t>
      </w:r>
      <w:r w:rsidRPr="000E47F7">
        <w:rPr>
          <w:i/>
        </w:rPr>
        <w:t>’</w:t>
      </w:r>
      <w:r w:rsidRPr="000E47F7">
        <w:t xml:space="preserve"> and th</w:t>
      </w:r>
      <w:r w:rsidR="001C304B" w:rsidRPr="000E47F7">
        <w:t xml:space="preserve">e complaint was rejected as incompatible </w:t>
      </w:r>
      <w:r w:rsidR="001C304B" w:rsidRPr="000E47F7">
        <w:rPr>
          <w:i/>
        </w:rPr>
        <w:t xml:space="preserve">ratione materiae </w:t>
      </w:r>
      <w:r w:rsidR="001C304B" w:rsidRPr="000E47F7">
        <w:t xml:space="preserve">with the provisions of the Convention.   </w:t>
      </w:r>
    </w:p>
    <w:p w14:paraId="63851CCD" w14:textId="77777777" w:rsidR="007F404E" w:rsidRPr="000E47F7" w:rsidRDefault="007F404E" w:rsidP="007F404E">
      <w:pPr>
        <w:spacing w:line="480" w:lineRule="auto"/>
        <w:jc w:val="both"/>
        <w:rPr>
          <w:i/>
        </w:rPr>
      </w:pPr>
    </w:p>
    <w:p w14:paraId="04AEC236" w14:textId="6DBBE328" w:rsidR="00B554F1" w:rsidRPr="000E47F7" w:rsidRDefault="00895F48" w:rsidP="001707CF">
      <w:pPr>
        <w:numPr>
          <w:ilvl w:val="0"/>
          <w:numId w:val="1"/>
        </w:numPr>
        <w:spacing w:line="480" w:lineRule="auto"/>
        <w:jc w:val="both"/>
        <w:rPr>
          <w:i/>
        </w:rPr>
      </w:pPr>
      <w:r w:rsidRPr="000E47F7">
        <w:t>It</w:t>
      </w:r>
      <w:r w:rsidR="001C304B" w:rsidRPr="000E47F7">
        <w:t xml:space="preserve"> could be argued that the </w:t>
      </w:r>
      <w:r w:rsidR="00ED550A" w:rsidRPr="000E47F7">
        <w:t>C</w:t>
      </w:r>
      <w:r w:rsidR="001C304B" w:rsidRPr="000E47F7">
        <w:t xml:space="preserve">ourt in </w:t>
      </w:r>
      <w:r w:rsidR="001C304B" w:rsidRPr="000E47F7">
        <w:rPr>
          <w:i/>
        </w:rPr>
        <w:t xml:space="preserve">Senchishak </w:t>
      </w:r>
      <w:r w:rsidR="001C304B" w:rsidRPr="000E47F7">
        <w:t>adopted a</w:t>
      </w:r>
      <w:r w:rsidR="0092605A" w:rsidRPr="000E47F7">
        <w:t xml:space="preserve"> particularly </w:t>
      </w:r>
      <w:r w:rsidR="001C304B" w:rsidRPr="000E47F7">
        <w:t>restrictive approach to what constituted ‘</w:t>
      </w:r>
      <w:r w:rsidR="001C304B" w:rsidRPr="000E47F7">
        <w:rPr>
          <w:i/>
        </w:rPr>
        <w:t>family life</w:t>
      </w:r>
      <w:r w:rsidR="001C304B" w:rsidRPr="000E47F7">
        <w:t>’</w:t>
      </w:r>
      <w:r w:rsidRPr="000E47F7">
        <w:t>.  T</w:t>
      </w:r>
      <w:r w:rsidR="001C304B" w:rsidRPr="000E47F7">
        <w:t>here is</w:t>
      </w:r>
      <w:r w:rsidRPr="000E47F7">
        <w:t xml:space="preserve">, at least, some </w:t>
      </w:r>
      <w:r w:rsidR="001C304B" w:rsidRPr="000E47F7">
        <w:t xml:space="preserve">authority to support the contention </w:t>
      </w:r>
      <w:r w:rsidR="00AA2146" w:rsidRPr="000E47F7">
        <w:t xml:space="preserve">that </w:t>
      </w:r>
      <w:r w:rsidR="0092605A" w:rsidRPr="000E47F7">
        <w:t xml:space="preserve">family life, </w:t>
      </w:r>
      <w:r w:rsidR="001C304B" w:rsidRPr="000E47F7">
        <w:t>within the meaning of Article 8</w:t>
      </w:r>
      <w:r w:rsidR="0092605A" w:rsidRPr="000E47F7">
        <w:t>, may be said to exist</w:t>
      </w:r>
      <w:r w:rsidR="001C304B" w:rsidRPr="000E47F7">
        <w:t xml:space="preserve"> between grandparents and grandchildren where there are sufficiently close family ties between them (see </w:t>
      </w:r>
      <w:r w:rsidR="001C304B" w:rsidRPr="000E47F7">
        <w:rPr>
          <w:i/>
        </w:rPr>
        <w:t>Lawlor v. United Kingdom</w:t>
      </w:r>
      <w:r w:rsidR="00064A26" w:rsidRPr="000E47F7">
        <w:rPr>
          <w:i/>
        </w:rPr>
        <w:t xml:space="preserve"> </w:t>
      </w:r>
      <w:r w:rsidR="00064A26" w:rsidRPr="000E47F7">
        <w:t xml:space="preserve">(App. No. 12763/87) </w:t>
      </w:r>
      <w:r w:rsidR="001C304B" w:rsidRPr="000E47F7">
        <w:t xml:space="preserve">Commission decision of 14 July 1998, Decisions and Reports </w:t>
      </w:r>
      <w:r w:rsidR="001C304B" w:rsidRPr="000E47F7">
        <w:lastRenderedPageBreak/>
        <w:t>(DR) 57,</w:t>
      </w:r>
      <w:r w:rsidR="00064A26" w:rsidRPr="000E47F7">
        <w:t xml:space="preserve"> p</w:t>
      </w:r>
      <w:r w:rsidR="001C304B" w:rsidRPr="000E47F7">
        <w:t xml:space="preserve">. 216). </w:t>
      </w:r>
      <w:r w:rsidRPr="000E47F7">
        <w:t xml:space="preserve"> </w:t>
      </w:r>
      <w:r w:rsidR="001C304B" w:rsidRPr="000E47F7">
        <w:t xml:space="preserve"> </w:t>
      </w:r>
      <w:r w:rsidR="00BB54BC" w:rsidRPr="000E47F7">
        <w:t xml:space="preserve">However, the </w:t>
      </w:r>
      <w:r w:rsidR="00ED550A" w:rsidRPr="000E47F7">
        <w:t>C</w:t>
      </w:r>
      <w:r w:rsidR="00BB54BC" w:rsidRPr="000E47F7">
        <w:t>ourt</w:t>
      </w:r>
      <w:r w:rsidR="0092605A" w:rsidRPr="000E47F7">
        <w:t xml:space="preserve">’s general jurisprudence is to the effect </w:t>
      </w:r>
      <w:r w:rsidR="00BB54BC" w:rsidRPr="000E47F7">
        <w:t>that</w:t>
      </w:r>
      <w:r w:rsidR="0092605A" w:rsidRPr="000E47F7">
        <w:t>,</w:t>
      </w:r>
      <w:r w:rsidR="00BB54BC" w:rsidRPr="000E47F7">
        <w:t xml:space="preserve"> in</w:t>
      </w:r>
      <w:r w:rsidR="001C304B" w:rsidRPr="000E47F7">
        <w:t xml:space="preserve"> normal circumstances</w:t>
      </w:r>
      <w:r w:rsidR="0092605A" w:rsidRPr="000E47F7">
        <w:t>,</w:t>
      </w:r>
      <w:r w:rsidR="001C304B" w:rsidRPr="000E47F7">
        <w:t xml:space="preserve"> the relationship between grandparents and grandchildren is different in nature and degree than the relationship between parent and</w:t>
      </w:r>
      <w:r w:rsidR="0095199F" w:rsidRPr="000E47F7">
        <w:t xml:space="preserve"> minor</w:t>
      </w:r>
      <w:r w:rsidR="001C304B" w:rsidRPr="000E47F7">
        <w:t xml:space="preserve"> child and thus</w:t>
      </w:r>
      <w:r w:rsidR="00B554F1" w:rsidRPr="000E47F7">
        <w:t>,</w:t>
      </w:r>
      <w:r w:rsidR="001C304B" w:rsidRPr="000E47F7">
        <w:t xml:space="preserve"> by its very nature</w:t>
      </w:r>
      <w:r w:rsidR="00B554F1" w:rsidRPr="000E47F7">
        <w:t>,</w:t>
      </w:r>
      <w:r w:rsidR="001C304B" w:rsidRPr="000E47F7">
        <w:t xml:space="preserve"> generally calls </w:t>
      </w:r>
      <w:r w:rsidR="0092605A" w:rsidRPr="000E47F7">
        <w:rPr>
          <w:i/>
        </w:rPr>
        <w:t>‘</w:t>
      </w:r>
      <w:r w:rsidR="001C304B" w:rsidRPr="000E47F7">
        <w:rPr>
          <w:i/>
        </w:rPr>
        <w:t>for a lesser degree of protection</w:t>
      </w:r>
      <w:r w:rsidR="0092605A" w:rsidRPr="000E47F7">
        <w:rPr>
          <w:i/>
        </w:rPr>
        <w:t>’</w:t>
      </w:r>
      <w:r w:rsidR="001C304B" w:rsidRPr="000E47F7">
        <w:t xml:space="preserve"> (see </w:t>
      </w:r>
      <w:r w:rsidR="00EF120A" w:rsidRPr="000E47F7">
        <w:rPr>
          <w:i/>
        </w:rPr>
        <w:t>Kruškić</w:t>
      </w:r>
      <w:r w:rsidR="00EF120A" w:rsidRPr="000E47F7">
        <w:t xml:space="preserve"> </w:t>
      </w:r>
      <w:r w:rsidR="00EF120A" w:rsidRPr="000E47F7">
        <w:rPr>
          <w:i/>
        </w:rPr>
        <w:t xml:space="preserve">v. Croatia, </w:t>
      </w:r>
      <w:r w:rsidR="00EF120A" w:rsidRPr="000E47F7">
        <w:rPr>
          <w:iCs/>
        </w:rPr>
        <w:t>(</w:t>
      </w:r>
      <w:r w:rsidR="00EF120A" w:rsidRPr="000E47F7">
        <w:t>App. No. 10140/13) (Unreported, European Court of Human Rights, 25</w:t>
      </w:r>
      <w:r w:rsidR="00EF120A" w:rsidRPr="000E47F7">
        <w:rPr>
          <w:vertAlign w:val="superscript"/>
        </w:rPr>
        <w:t xml:space="preserve"> </w:t>
      </w:r>
      <w:r w:rsidR="00EF120A" w:rsidRPr="000E47F7">
        <w:t>November 2014</w:t>
      </w:r>
      <w:r w:rsidR="001C304B" w:rsidRPr="000E47F7">
        <w:t xml:space="preserve">).  </w:t>
      </w:r>
      <w:r w:rsidR="00BB54BC" w:rsidRPr="000E47F7">
        <w:t xml:space="preserve">In </w:t>
      </w:r>
      <w:r w:rsidR="00BB54BC" w:rsidRPr="000E47F7">
        <w:rPr>
          <w:i/>
        </w:rPr>
        <w:t xml:space="preserve">Kruškić, </w:t>
      </w:r>
      <w:r w:rsidR="00B554F1" w:rsidRPr="000E47F7">
        <w:t>th</w:t>
      </w:r>
      <w:r w:rsidR="00BB54BC" w:rsidRPr="000E47F7">
        <w:t xml:space="preserve">e </w:t>
      </w:r>
      <w:r w:rsidR="00ED550A" w:rsidRPr="000E47F7">
        <w:t>C</w:t>
      </w:r>
      <w:r w:rsidR="001C304B" w:rsidRPr="000E47F7">
        <w:t xml:space="preserve">ourt </w:t>
      </w:r>
      <w:r w:rsidR="00B554F1" w:rsidRPr="000E47F7">
        <w:t>confirmed</w:t>
      </w:r>
      <w:r w:rsidR="001C304B" w:rsidRPr="000E47F7">
        <w:t xml:space="preserve"> that the right to respect for family life of grandparents in relation to their grandchildren</w:t>
      </w:r>
      <w:r w:rsidR="00B554F1" w:rsidRPr="000E47F7">
        <w:t xml:space="preserve">, </w:t>
      </w:r>
      <w:r w:rsidR="001C304B" w:rsidRPr="000E47F7">
        <w:t xml:space="preserve">primarily entails the right to maintain </w:t>
      </w:r>
      <w:r w:rsidR="00B554F1" w:rsidRPr="000E47F7">
        <w:t>‘</w:t>
      </w:r>
      <w:r w:rsidR="001C304B" w:rsidRPr="000E47F7">
        <w:t>a normal grandparent/grandchild relationship</w:t>
      </w:r>
      <w:r w:rsidR="00B554F1" w:rsidRPr="000E47F7">
        <w:t>’</w:t>
      </w:r>
      <w:r w:rsidR="001C304B" w:rsidRPr="000E47F7">
        <w:t xml:space="preserve"> through contacts with them.  </w:t>
      </w:r>
    </w:p>
    <w:p w14:paraId="79868BFF" w14:textId="7A8532E8" w:rsidR="00C841E8" w:rsidRPr="000E47F7" w:rsidRDefault="00C841E8" w:rsidP="007F404E">
      <w:pPr>
        <w:pStyle w:val="ListParagraph"/>
        <w:widowControl w:val="0"/>
        <w:spacing w:line="480" w:lineRule="auto"/>
        <w:ind w:left="0"/>
        <w:jc w:val="both"/>
        <w:rPr>
          <w:i/>
        </w:rPr>
      </w:pPr>
    </w:p>
    <w:p w14:paraId="62FEF779" w14:textId="1840A23B" w:rsidR="00715F20" w:rsidRPr="000E47F7" w:rsidRDefault="00715F20" w:rsidP="007F404E">
      <w:pPr>
        <w:pStyle w:val="ListParagraph"/>
        <w:widowControl w:val="0"/>
        <w:spacing w:line="480" w:lineRule="auto"/>
        <w:ind w:left="0"/>
        <w:jc w:val="both"/>
        <w:rPr>
          <w:b/>
          <w:i/>
        </w:rPr>
      </w:pPr>
      <w:r w:rsidRPr="000E47F7">
        <w:rPr>
          <w:b/>
          <w:i/>
        </w:rPr>
        <w:t>Summary Conclusions</w:t>
      </w:r>
    </w:p>
    <w:p w14:paraId="029C7805" w14:textId="77777777" w:rsidR="00587A82" w:rsidRPr="000E47F7" w:rsidRDefault="00587A82" w:rsidP="007F404E">
      <w:pPr>
        <w:pStyle w:val="ListParagraph"/>
        <w:widowControl w:val="0"/>
        <w:spacing w:line="480" w:lineRule="auto"/>
        <w:ind w:left="0"/>
        <w:jc w:val="both"/>
        <w:rPr>
          <w:b/>
          <w:i/>
        </w:rPr>
      </w:pPr>
    </w:p>
    <w:p w14:paraId="2FEBC8A4" w14:textId="52097A81" w:rsidR="00D74F7C" w:rsidRPr="000E47F7" w:rsidRDefault="00715F20" w:rsidP="00715F20">
      <w:pPr>
        <w:pStyle w:val="ListParagraph"/>
        <w:widowControl w:val="0"/>
        <w:numPr>
          <w:ilvl w:val="0"/>
          <w:numId w:val="1"/>
        </w:numPr>
        <w:tabs>
          <w:tab w:val="left" w:pos="567"/>
        </w:tabs>
        <w:spacing w:line="480" w:lineRule="auto"/>
        <w:jc w:val="both"/>
        <w:rPr>
          <w:i/>
        </w:rPr>
      </w:pPr>
      <w:r w:rsidRPr="000E47F7">
        <w:t>The</w:t>
      </w:r>
      <w:r w:rsidR="00601877" w:rsidRPr="000E47F7">
        <w:t xml:space="preserve"> applicant</w:t>
      </w:r>
      <w:r w:rsidRPr="000E47F7">
        <w:t>’s reliance</w:t>
      </w:r>
      <w:r w:rsidR="00601877" w:rsidRPr="000E47F7">
        <w:t xml:space="preserve"> on </w:t>
      </w:r>
      <w:r w:rsidR="002E2A80" w:rsidRPr="000E47F7">
        <w:rPr>
          <w:i/>
        </w:rPr>
        <w:t>Luximon</w:t>
      </w:r>
      <w:r w:rsidR="00601877" w:rsidRPr="000E47F7">
        <w:t xml:space="preserve"> in support of her claim </w:t>
      </w:r>
      <w:r w:rsidRPr="000E47F7">
        <w:t>on</w:t>
      </w:r>
      <w:r w:rsidR="00601877" w:rsidRPr="000E47F7">
        <w:t xml:space="preserve"> how s. 4(7) of </w:t>
      </w:r>
      <w:r w:rsidR="00D827EA" w:rsidRPr="000E47F7">
        <w:t>the 2004</w:t>
      </w:r>
      <w:r w:rsidR="00BE7AA5" w:rsidRPr="000E47F7">
        <w:t xml:space="preserve"> </w:t>
      </w:r>
      <w:r w:rsidR="00601877" w:rsidRPr="000E47F7">
        <w:t xml:space="preserve">Act must be interpreted, </w:t>
      </w:r>
      <w:r w:rsidR="005D6608" w:rsidRPr="000E47F7">
        <w:t>is</w:t>
      </w:r>
      <w:r w:rsidR="00AA6F56" w:rsidRPr="000E47F7">
        <w:t xml:space="preserve"> entirely misconceived</w:t>
      </w:r>
      <w:r w:rsidR="005D6608" w:rsidRPr="000E47F7">
        <w:t xml:space="preserve">.  </w:t>
      </w:r>
      <w:r w:rsidR="00601877" w:rsidRPr="000E47F7">
        <w:t xml:space="preserve"> </w:t>
      </w:r>
      <w:r w:rsidR="005D6608" w:rsidRPr="000E47F7">
        <w:t xml:space="preserve">The facts are altogether different.  </w:t>
      </w:r>
      <w:r w:rsidR="005B7B92" w:rsidRPr="000E47F7">
        <w:t xml:space="preserve">Section </w:t>
      </w:r>
      <w:r w:rsidR="002E2A80" w:rsidRPr="000E47F7">
        <w:t>4</w:t>
      </w:r>
      <w:r w:rsidR="005B7B92" w:rsidRPr="000E47F7">
        <w:t>(</w:t>
      </w:r>
      <w:r w:rsidR="002E2A80" w:rsidRPr="000E47F7">
        <w:t>7</w:t>
      </w:r>
      <w:r w:rsidR="005B7B92" w:rsidRPr="000E47F7">
        <w:t>)</w:t>
      </w:r>
      <w:r w:rsidR="002E2A80" w:rsidRPr="000E47F7">
        <w:t xml:space="preserve"> </w:t>
      </w:r>
      <w:r w:rsidR="0095199F" w:rsidRPr="000E47F7">
        <w:t>was</w:t>
      </w:r>
      <w:r w:rsidR="002E2A80" w:rsidRPr="000E47F7">
        <w:t xml:space="preserve"> considered </w:t>
      </w:r>
      <w:r w:rsidR="00D17B7F" w:rsidRPr="000E47F7">
        <w:t>in</w:t>
      </w:r>
      <w:r w:rsidR="0095199F" w:rsidRPr="000E47F7">
        <w:t xml:space="preserve"> </w:t>
      </w:r>
      <w:r w:rsidR="0095199F" w:rsidRPr="000E47F7">
        <w:rPr>
          <w:i/>
        </w:rPr>
        <w:t xml:space="preserve">Luximon </w:t>
      </w:r>
      <w:r w:rsidR="00601877" w:rsidRPr="000E47F7">
        <w:t>in</w:t>
      </w:r>
      <w:r w:rsidR="00D17B7F" w:rsidRPr="000E47F7">
        <w:t xml:space="preserve"> the</w:t>
      </w:r>
      <w:r w:rsidR="002E2A80" w:rsidRPr="000E47F7">
        <w:t xml:space="preserve"> context of long term</w:t>
      </w:r>
      <w:r w:rsidR="00D17B7F" w:rsidRPr="000E47F7">
        <w:t>, lawfully</w:t>
      </w:r>
      <w:r w:rsidR="002E2A80" w:rsidRPr="000E47F7">
        <w:t xml:space="preserve"> settled migrants with established links in th</w:t>
      </w:r>
      <w:r w:rsidR="00D17B7F" w:rsidRPr="000E47F7">
        <w:t>e</w:t>
      </w:r>
      <w:r w:rsidR="002E2A80" w:rsidRPr="000E47F7">
        <w:t xml:space="preserve"> State</w:t>
      </w:r>
      <w:r w:rsidR="00D74F7C" w:rsidRPr="000E47F7">
        <w:t xml:space="preserve"> asserting entitlements arising from their relationship with their </w:t>
      </w:r>
      <w:r w:rsidR="00AA6F56" w:rsidRPr="000E47F7">
        <w:t xml:space="preserve">similarly </w:t>
      </w:r>
      <w:r w:rsidR="00D74F7C" w:rsidRPr="000E47F7">
        <w:t>settled children and/or partners</w:t>
      </w:r>
      <w:r w:rsidR="002E2A80" w:rsidRPr="000E47F7">
        <w:t xml:space="preserve">. </w:t>
      </w:r>
      <w:r w:rsidRPr="000E47F7">
        <w:t xml:space="preserve"> </w:t>
      </w:r>
      <w:r w:rsidR="00D74F7C" w:rsidRPr="000E47F7">
        <w:t xml:space="preserve">The applicant, by contrast, arrived in this jurisdiction for a short term stay, that facility was extended to her on the express basis that she would leave the State upon expiry of the relevant period, it was acknowledged by her that she would comply with this requirement, and she asserts a family life </w:t>
      </w:r>
      <w:r w:rsidR="00D74F7C" w:rsidRPr="000E47F7">
        <w:rPr>
          <w:i/>
        </w:rPr>
        <w:t xml:space="preserve">inter alia </w:t>
      </w:r>
      <w:r w:rsidR="00D74F7C" w:rsidRPr="000E47F7">
        <w:t>in her capacity as grandparent.</w:t>
      </w:r>
      <w:r w:rsidR="00EE0FCE" w:rsidRPr="000E47F7">
        <w:t xml:space="preserve"> </w:t>
      </w:r>
      <w:r w:rsidR="00D74F7C" w:rsidRPr="000E47F7">
        <w:t xml:space="preserve"> </w:t>
      </w:r>
      <w:r w:rsidR="00AA6F56" w:rsidRPr="000E47F7">
        <w:t>Since the expiry of the period fixed in her visa</w:t>
      </w:r>
      <w:r w:rsidR="00D471B6">
        <w:t xml:space="preserve">, </w:t>
      </w:r>
      <w:r w:rsidR="00AA6F56" w:rsidRPr="000E47F7">
        <w:t>her presence in the State has been unlawful.</w:t>
      </w:r>
      <w:r w:rsidR="00D74F7C" w:rsidRPr="000E47F7">
        <w:t xml:space="preserve"> </w:t>
      </w:r>
      <w:r w:rsidRPr="000E47F7">
        <w:t>I</w:t>
      </w:r>
      <w:r w:rsidR="009744B7" w:rsidRPr="000E47F7">
        <w:t xml:space="preserve">nterpreting </w:t>
      </w:r>
      <w:r w:rsidR="00601877" w:rsidRPr="000E47F7">
        <w:t>the same provision</w:t>
      </w:r>
      <w:r w:rsidR="009744B7" w:rsidRPr="000E47F7">
        <w:t xml:space="preserve"> in the context of this appeal</w:t>
      </w:r>
      <w:r w:rsidR="0095199F" w:rsidRPr="000E47F7">
        <w:t xml:space="preserve">, </w:t>
      </w:r>
      <w:r w:rsidR="00AA6F56" w:rsidRPr="000E47F7">
        <w:t xml:space="preserve">no basis whatsoever has been disclosed for the contention that </w:t>
      </w:r>
      <w:r w:rsidR="0095199F" w:rsidRPr="000E47F7">
        <w:t>the</w:t>
      </w:r>
      <w:r w:rsidR="005D6608" w:rsidRPr="000E47F7">
        <w:t xml:space="preserve"> Minister was obliged</w:t>
      </w:r>
      <w:r w:rsidR="00E31CE3" w:rsidRPr="000E47F7">
        <w:t xml:space="preserve">, at </w:t>
      </w:r>
      <w:r w:rsidR="00B50810" w:rsidRPr="000E47F7">
        <w:t>the time of refusing</w:t>
      </w:r>
      <w:r w:rsidR="00E31CE3" w:rsidRPr="000E47F7">
        <w:t xml:space="preserve"> the applicant’s request under s. 4(7) of the Act of 2004, </w:t>
      </w:r>
      <w:r w:rsidR="0095199F" w:rsidRPr="000E47F7">
        <w:t xml:space="preserve">to </w:t>
      </w:r>
      <w:r w:rsidRPr="000E47F7">
        <w:t xml:space="preserve">conduct an </w:t>
      </w:r>
      <w:r w:rsidR="0095199F" w:rsidRPr="000E47F7">
        <w:t>assess</w:t>
      </w:r>
      <w:r w:rsidRPr="000E47F7">
        <w:t>ment in order to establish whether</w:t>
      </w:r>
      <w:r w:rsidR="0095199F" w:rsidRPr="000E47F7">
        <w:t xml:space="preserve"> </w:t>
      </w:r>
      <w:r w:rsidR="00E31CE3" w:rsidRPr="000E47F7">
        <w:t>her asserted</w:t>
      </w:r>
      <w:r w:rsidR="0095199F" w:rsidRPr="000E47F7">
        <w:t xml:space="preserve"> Article 8 rights</w:t>
      </w:r>
      <w:r w:rsidRPr="000E47F7">
        <w:t xml:space="preserve"> were ‘engaged’.</w:t>
      </w:r>
      <w:r w:rsidR="00B50810" w:rsidRPr="000E47F7">
        <w:t xml:space="preserve">  H</w:t>
      </w:r>
      <w:r w:rsidR="00E31CE3" w:rsidRPr="000E47F7">
        <w:t>er contention</w:t>
      </w:r>
      <w:r w:rsidRPr="000E47F7">
        <w:t xml:space="preserve">, in this regard, </w:t>
      </w:r>
      <w:r w:rsidR="00AA6F56" w:rsidRPr="000E47F7">
        <w:t>must accordingly fail.</w:t>
      </w:r>
    </w:p>
    <w:p w14:paraId="208563FB" w14:textId="68AC2A9D" w:rsidR="00715F20" w:rsidRPr="000E47F7" w:rsidRDefault="00E31CE3" w:rsidP="00EE0FCE">
      <w:pPr>
        <w:pStyle w:val="ListParagraph"/>
        <w:widowControl w:val="0"/>
        <w:spacing w:line="480" w:lineRule="auto"/>
        <w:ind w:left="0"/>
        <w:jc w:val="both"/>
        <w:rPr>
          <w:i/>
        </w:rPr>
      </w:pPr>
      <w:r w:rsidRPr="000E47F7">
        <w:t xml:space="preserve">  </w:t>
      </w:r>
    </w:p>
    <w:p w14:paraId="0C3B9D34" w14:textId="51332DB9" w:rsidR="007F404E" w:rsidRPr="000E47F7" w:rsidRDefault="00635C58" w:rsidP="00E304BD">
      <w:pPr>
        <w:pStyle w:val="ListParagraph"/>
        <w:widowControl w:val="0"/>
        <w:numPr>
          <w:ilvl w:val="0"/>
          <w:numId w:val="1"/>
        </w:numPr>
        <w:tabs>
          <w:tab w:val="left" w:pos="567"/>
        </w:tabs>
        <w:spacing w:line="480" w:lineRule="auto"/>
        <w:jc w:val="both"/>
        <w:rPr>
          <w:i/>
        </w:rPr>
      </w:pPr>
      <w:r w:rsidRPr="000E47F7">
        <w:lastRenderedPageBreak/>
        <w:t xml:space="preserve">Our </w:t>
      </w:r>
      <w:r w:rsidR="00E31CE3" w:rsidRPr="000E47F7">
        <w:t>finding</w:t>
      </w:r>
      <w:r w:rsidR="005D6608" w:rsidRPr="000E47F7">
        <w:t xml:space="preserve"> </w:t>
      </w:r>
      <w:r w:rsidRPr="000E47F7">
        <w:t xml:space="preserve">in this regard </w:t>
      </w:r>
      <w:r w:rsidR="00E31CE3" w:rsidRPr="000E47F7">
        <w:t xml:space="preserve">is </w:t>
      </w:r>
      <w:r w:rsidRPr="000E47F7">
        <w:t xml:space="preserve">consistent </w:t>
      </w:r>
      <w:r w:rsidR="002E2A80" w:rsidRPr="000E47F7">
        <w:t xml:space="preserve">with the findings of the Supreme Court in </w:t>
      </w:r>
      <w:r w:rsidR="002E2A80" w:rsidRPr="000E47F7">
        <w:rPr>
          <w:i/>
        </w:rPr>
        <w:t>Luximon</w:t>
      </w:r>
      <w:r w:rsidR="003C755A" w:rsidRPr="000E47F7">
        <w:rPr>
          <w:i/>
        </w:rPr>
        <w:t xml:space="preserve">, </w:t>
      </w:r>
      <w:r w:rsidRPr="000E47F7">
        <w:t xml:space="preserve">and </w:t>
      </w:r>
      <w:r w:rsidR="003C755A" w:rsidRPr="000E47F7">
        <w:t>follows from that decision</w:t>
      </w:r>
      <w:r w:rsidR="002E2A80" w:rsidRPr="000E47F7">
        <w:t>.</w:t>
      </w:r>
      <w:r w:rsidR="005D6608" w:rsidRPr="000E47F7">
        <w:t xml:space="preserve">  </w:t>
      </w:r>
      <w:r w:rsidR="002E2A80" w:rsidRPr="000E47F7">
        <w:t xml:space="preserve">Not only does </w:t>
      </w:r>
      <w:r w:rsidR="005D6608" w:rsidRPr="000E47F7">
        <w:t>the applicant</w:t>
      </w:r>
      <w:r w:rsidR="002E2A80" w:rsidRPr="000E47F7">
        <w:t xml:space="preserve"> </w:t>
      </w:r>
      <w:r w:rsidR="005D6608" w:rsidRPr="000E47F7">
        <w:t xml:space="preserve">fail to bring her claim </w:t>
      </w:r>
      <w:r w:rsidR="002E2A80" w:rsidRPr="000E47F7">
        <w:t xml:space="preserve">within </w:t>
      </w:r>
      <w:r w:rsidR="005D6608" w:rsidRPr="000E47F7">
        <w:t xml:space="preserve">the ambit of </w:t>
      </w:r>
      <w:r w:rsidR="002E2A80" w:rsidRPr="000E47F7">
        <w:t>Strasbourg case law as applied in L</w:t>
      </w:r>
      <w:r w:rsidR="002E2A80" w:rsidRPr="000E47F7">
        <w:rPr>
          <w:i/>
        </w:rPr>
        <w:t>uximon</w:t>
      </w:r>
      <w:r w:rsidR="005D6608" w:rsidRPr="000E47F7">
        <w:t xml:space="preserve">, </w:t>
      </w:r>
      <w:r w:rsidR="002E2A80" w:rsidRPr="000E47F7">
        <w:t>but</w:t>
      </w:r>
      <w:r w:rsidR="00E31CE3" w:rsidRPr="000E47F7">
        <w:t>, as a short-term visitor,</w:t>
      </w:r>
      <w:r w:rsidR="002E2A80" w:rsidRPr="000E47F7">
        <w:t xml:space="preserve"> hers is precisely the category of case which the Supreme Court distinguished from </w:t>
      </w:r>
      <w:r w:rsidR="005D6608" w:rsidRPr="000E47F7">
        <w:t xml:space="preserve">the case </w:t>
      </w:r>
      <w:r w:rsidR="00E31CE3" w:rsidRPr="000E47F7">
        <w:t>that was</w:t>
      </w:r>
      <w:r w:rsidR="005D6608" w:rsidRPr="000E47F7">
        <w:t xml:space="preserve"> made in </w:t>
      </w:r>
      <w:r w:rsidR="002E2A80" w:rsidRPr="000E47F7">
        <w:rPr>
          <w:i/>
        </w:rPr>
        <w:t>Luximon</w:t>
      </w:r>
      <w:r w:rsidR="002E2A80" w:rsidRPr="000E47F7">
        <w:t xml:space="preserve">.  </w:t>
      </w:r>
    </w:p>
    <w:p w14:paraId="660A7C33" w14:textId="77777777" w:rsidR="00D827EA" w:rsidRPr="000E47F7" w:rsidRDefault="00D827EA" w:rsidP="00D827EA">
      <w:pPr>
        <w:pStyle w:val="ListParagraph"/>
        <w:widowControl w:val="0"/>
        <w:tabs>
          <w:tab w:val="left" w:pos="567"/>
        </w:tabs>
        <w:spacing w:line="480" w:lineRule="auto"/>
        <w:ind w:left="0"/>
        <w:jc w:val="both"/>
        <w:rPr>
          <w:i/>
        </w:rPr>
      </w:pPr>
    </w:p>
    <w:p w14:paraId="3B4BA617" w14:textId="62043C42" w:rsidR="00193034" w:rsidRPr="000E47F7" w:rsidRDefault="002E2A80" w:rsidP="00BE7F6E">
      <w:pPr>
        <w:pStyle w:val="ListParagraph"/>
        <w:widowControl w:val="0"/>
        <w:numPr>
          <w:ilvl w:val="0"/>
          <w:numId w:val="1"/>
        </w:numPr>
        <w:tabs>
          <w:tab w:val="left" w:pos="567"/>
        </w:tabs>
        <w:spacing w:line="480" w:lineRule="auto"/>
        <w:jc w:val="both"/>
        <w:rPr>
          <w:b/>
          <w:u w:val="single"/>
        </w:rPr>
      </w:pPr>
      <w:r w:rsidRPr="000E47F7">
        <w:t xml:space="preserve">Referring to </w:t>
      </w:r>
      <w:r w:rsidR="00EC2B25" w:rsidRPr="000E47F7">
        <w:rPr>
          <w:i/>
        </w:rPr>
        <w:t xml:space="preserve">Hussein v. The Minister for Justice </w:t>
      </w:r>
      <w:r w:rsidR="00EC2B25" w:rsidRPr="000E47F7">
        <w:t xml:space="preserve">[2015] IESC 104, [2015] 3 I.R. 423, </w:t>
      </w:r>
      <w:r w:rsidR="001973CC" w:rsidRPr="000E47F7">
        <w:t>MacMenamin</w:t>
      </w:r>
      <w:r w:rsidRPr="000E47F7">
        <w:t xml:space="preserve"> J. </w:t>
      </w:r>
      <w:r w:rsidR="00BE7F6E" w:rsidRPr="000E47F7">
        <w:t>recalled</w:t>
      </w:r>
      <w:r w:rsidR="001973CC" w:rsidRPr="000E47F7">
        <w:t xml:space="preserve"> </w:t>
      </w:r>
      <w:r w:rsidR="00EC2B25" w:rsidRPr="000E47F7">
        <w:t xml:space="preserve">(at para. 56) </w:t>
      </w:r>
      <w:r w:rsidRPr="000E47F7">
        <w:t>that the Minister’s duty</w:t>
      </w:r>
      <w:r w:rsidRPr="000E47F7">
        <w:rPr>
          <w:i/>
        </w:rPr>
        <w:t xml:space="preserve"> </w:t>
      </w:r>
      <w:r w:rsidR="005D6608" w:rsidRPr="000E47F7">
        <w:t>‘</w:t>
      </w:r>
      <w:r w:rsidRPr="000E47F7">
        <w:rPr>
          <w:i/>
        </w:rPr>
        <w:t>was to make a decision rationally and in accordance with the principles of natural justice</w:t>
      </w:r>
      <w:r w:rsidR="001973CC" w:rsidRPr="000E47F7">
        <w:rPr>
          <w:i/>
        </w:rPr>
        <w:t>’</w:t>
      </w:r>
      <w:r w:rsidRPr="000E47F7">
        <w:t xml:space="preserve">.  </w:t>
      </w:r>
      <w:r w:rsidR="005D6608" w:rsidRPr="000E47F7">
        <w:t>Th</w:t>
      </w:r>
      <w:r w:rsidRPr="000E47F7">
        <w:t>e Minister’s power under s.</w:t>
      </w:r>
      <w:r w:rsidR="00EC2B25" w:rsidRPr="000E47F7">
        <w:t xml:space="preserve"> </w:t>
      </w:r>
      <w:r w:rsidRPr="000E47F7">
        <w:t xml:space="preserve">4(7) was not of a legislative nature </w:t>
      </w:r>
      <w:r w:rsidR="001973CC" w:rsidRPr="000E47F7">
        <w:rPr>
          <w:i/>
        </w:rPr>
        <w:t>‘</w:t>
      </w:r>
      <w:r w:rsidRPr="000E47F7">
        <w:rPr>
          <w:i/>
        </w:rPr>
        <w:t xml:space="preserve">but was a power to make a decision in an individual </w:t>
      </w:r>
      <w:r w:rsidR="00004276" w:rsidRPr="000E47F7">
        <w:rPr>
          <w:i/>
        </w:rPr>
        <w:t>case and</w:t>
      </w:r>
      <w:r w:rsidRPr="000E47F7">
        <w:rPr>
          <w:i/>
        </w:rPr>
        <w:t xml:space="preserve"> was an exercise of executive power</w:t>
      </w:r>
      <w:r w:rsidR="001973CC" w:rsidRPr="000E47F7">
        <w:rPr>
          <w:i/>
        </w:rPr>
        <w:t>’.</w:t>
      </w:r>
      <w:r w:rsidRPr="000E47F7">
        <w:t xml:space="preserve">  </w:t>
      </w:r>
      <w:r w:rsidR="00BE7F6E" w:rsidRPr="000E47F7">
        <w:t xml:space="preserve"> </w:t>
      </w:r>
      <w:r w:rsidR="00C841E8" w:rsidRPr="000E47F7">
        <w:t>We are</w:t>
      </w:r>
      <w:r w:rsidR="00BE7F6E" w:rsidRPr="000E47F7">
        <w:t xml:space="preserve"> satisfied that t</w:t>
      </w:r>
      <w:r w:rsidRPr="000E47F7">
        <w:t>he Minister</w:t>
      </w:r>
      <w:r w:rsidR="005D6608" w:rsidRPr="000E47F7">
        <w:t xml:space="preserve"> </w:t>
      </w:r>
      <w:r w:rsidRPr="000E47F7">
        <w:t xml:space="preserve">has made a </w:t>
      </w:r>
      <w:r w:rsidR="00BE7F6E" w:rsidRPr="000E47F7">
        <w:t xml:space="preserve">decision, rationally, </w:t>
      </w:r>
      <w:r w:rsidR="005D6608" w:rsidRPr="000E47F7">
        <w:t>and on the individual circumstances of the applicant’s case</w:t>
      </w:r>
      <w:r w:rsidR="00715F20" w:rsidRPr="000E47F7">
        <w:t>. I</w:t>
      </w:r>
      <w:r w:rsidR="00BE7F6E" w:rsidRPr="000E47F7">
        <w:t xml:space="preserve">t </w:t>
      </w:r>
      <w:r w:rsidRPr="000E47F7">
        <w:t>was</w:t>
      </w:r>
      <w:r w:rsidR="00BE7F6E" w:rsidRPr="000E47F7">
        <w:t xml:space="preserve"> a decision he was </w:t>
      </w:r>
      <w:r w:rsidRPr="000E47F7">
        <w:t xml:space="preserve">entitled to make based on the facts as presented.  </w:t>
      </w:r>
      <w:r w:rsidR="00715F20" w:rsidRPr="000E47F7">
        <w:t xml:space="preserve"> </w:t>
      </w:r>
      <w:r w:rsidR="005D6608" w:rsidRPr="000E47F7">
        <w:t xml:space="preserve">When compared to </w:t>
      </w:r>
      <w:r w:rsidR="005D6608" w:rsidRPr="000E47F7">
        <w:rPr>
          <w:i/>
        </w:rPr>
        <w:t>Luximon</w:t>
      </w:r>
      <w:r w:rsidR="005D6608" w:rsidRPr="000E47F7">
        <w:t>, t</w:t>
      </w:r>
      <w:r w:rsidRPr="000E47F7">
        <w:t xml:space="preserve">he decision in this case, </w:t>
      </w:r>
      <w:r w:rsidR="00BE7F6E" w:rsidRPr="000E47F7">
        <w:rPr>
          <w:i/>
        </w:rPr>
        <w:t>‘</w:t>
      </w:r>
      <w:r w:rsidRPr="000E47F7">
        <w:rPr>
          <w:i/>
        </w:rPr>
        <w:t>arose in different circumstances</w:t>
      </w:r>
      <w:r w:rsidR="00BE7F6E" w:rsidRPr="000E47F7">
        <w:rPr>
          <w:i/>
        </w:rPr>
        <w:t>’</w:t>
      </w:r>
      <w:r w:rsidRPr="000E47F7">
        <w:rPr>
          <w:i/>
        </w:rPr>
        <w:t xml:space="preserve"> </w:t>
      </w:r>
      <w:r w:rsidRPr="000E47F7">
        <w:t xml:space="preserve">which give rise </w:t>
      </w:r>
      <w:r w:rsidR="00BE7F6E" w:rsidRPr="000E47F7">
        <w:t>‘</w:t>
      </w:r>
      <w:r w:rsidRPr="000E47F7">
        <w:rPr>
          <w:i/>
        </w:rPr>
        <w:t>to different considerations on different facts</w:t>
      </w:r>
      <w:r w:rsidR="00BE7F6E" w:rsidRPr="000E47F7">
        <w:rPr>
          <w:i/>
        </w:rPr>
        <w:t>’</w:t>
      </w:r>
      <w:r w:rsidRPr="000E47F7">
        <w:t xml:space="preserve"> (</w:t>
      </w:r>
      <w:r w:rsidRPr="000E47F7">
        <w:rPr>
          <w:i/>
        </w:rPr>
        <w:t>Luximon</w:t>
      </w:r>
      <w:r w:rsidR="00BE7F6E" w:rsidRPr="000E47F7">
        <w:t xml:space="preserve">, </w:t>
      </w:r>
      <w:r w:rsidR="00EC2B25" w:rsidRPr="000E47F7">
        <w:t>para.</w:t>
      </w:r>
      <w:r w:rsidR="00BE7F6E" w:rsidRPr="000E47F7">
        <w:t xml:space="preserve"> 57)</w:t>
      </w:r>
      <w:r w:rsidRPr="000E47F7">
        <w:t xml:space="preserve">.  </w:t>
      </w:r>
    </w:p>
    <w:p w14:paraId="602F99F8" w14:textId="77777777" w:rsidR="002D465E" w:rsidRPr="000E47F7" w:rsidRDefault="002D465E" w:rsidP="002D465E">
      <w:pPr>
        <w:pStyle w:val="ListParagraph"/>
        <w:widowControl w:val="0"/>
        <w:spacing w:line="480" w:lineRule="auto"/>
        <w:ind w:left="0"/>
        <w:jc w:val="both"/>
        <w:rPr>
          <w:b/>
          <w:u w:val="single"/>
        </w:rPr>
      </w:pPr>
    </w:p>
    <w:p w14:paraId="0E30FDD7" w14:textId="734E2D38" w:rsidR="000A23AD" w:rsidRPr="000E47F7" w:rsidRDefault="00E31CE3" w:rsidP="000A23AD">
      <w:pPr>
        <w:pStyle w:val="ListParagraph"/>
        <w:widowControl w:val="0"/>
        <w:numPr>
          <w:ilvl w:val="0"/>
          <w:numId w:val="1"/>
        </w:numPr>
        <w:tabs>
          <w:tab w:val="left" w:pos="567"/>
        </w:tabs>
        <w:spacing w:line="480" w:lineRule="auto"/>
        <w:jc w:val="both"/>
        <w:rPr>
          <w:b/>
          <w:u w:val="single"/>
        </w:rPr>
      </w:pPr>
      <w:r w:rsidRPr="000E47F7">
        <w:t>In</w:t>
      </w:r>
      <w:r w:rsidR="00991C56" w:rsidRPr="000E47F7">
        <w:t xml:space="preserve"> </w:t>
      </w:r>
      <w:r w:rsidR="00991C56" w:rsidRPr="000E47F7">
        <w:rPr>
          <w:i/>
        </w:rPr>
        <w:t>Luximon</w:t>
      </w:r>
      <w:r w:rsidR="00BB3BFB" w:rsidRPr="000E47F7">
        <w:t xml:space="preserve"> </w:t>
      </w:r>
      <w:r w:rsidRPr="000E47F7">
        <w:t xml:space="preserve">the Supreme Court emphasised </w:t>
      </w:r>
      <w:r w:rsidR="00BB3BFB" w:rsidRPr="000E47F7">
        <w:t xml:space="preserve">that the Minister was and is entitled to impose conditions on entry to the State.  The terms </w:t>
      </w:r>
      <w:r w:rsidR="00EC2B25" w:rsidRPr="000E47F7">
        <w:t>‘</w:t>
      </w:r>
      <w:r w:rsidR="00BB3BFB" w:rsidRPr="000E47F7">
        <w:rPr>
          <w:i/>
        </w:rPr>
        <w:t>renewal</w:t>
      </w:r>
      <w:r w:rsidR="00EC2B25" w:rsidRPr="000E47F7">
        <w:rPr>
          <w:i/>
        </w:rPr>
        <w:t>’</w:t>
      </w:r>
      <w:r w:rsidR="00BB3BFB" w:rsidRPr="000E47F7">
        <w:t xml:space="preserve"> or </w:t>
      </w:r>
      <w:r w:rsidR="00EC2B25" w:rsidRPr="000E47F7">
        <w:rPr>
          <w:i/>
        </w:rPr>
        <w:t>‘</w:t>
      </w:r>
      <w:r w:rsidR="00BB3BFB" w:rsidRPr="000E47F7">
        <w:rPr>
          <w:i/>
        </w:rPr>
        <w:t>variation</w:t>
      </w:r>
      <w:r w:rsidR="00EC2B25" w:rsidRPr="000E47F7">
        <w:rPr>
          <w:i/>
        </w:rPr>
        <w:t xml:space="preserve">’ </w:t>
      </w:r>
      <w:r w:rsidR="00BB3BFB" w:rsidRPr="000E47F7">
        <w:t>in s.</w:t>
      </w:r>
      <w:r w:rsidR="00EC2B25" w:rsidRPr="000E47F7">
        <w:t xml:space="preserve"> </w:t>
      </w:r>
      <w:r w:rsidR="00BB3BFB" w:rsidRPr="000E47F7">
        <w:t>4(7) must also imply that the Minister may</w:t>
      </w:r>
      <w:r w:rsidR="00715F20" w:rsidRPr="000E47F7">
        <w:t>,</w:t>
      </w:r>
      <w:r w:rsidR="00BB3BFB" w:rsidRPr="000E47F7">
        <w:t xml:space="preserve"> lawfully</w:t>
      </w:r>
      <w:r w:rsidR="00715F20" w:rsidRPr="000E47F7">
        <w:t>,</w:t>
      </w:r>
      <w:r w:rsidR="00BB3BFB" w:rsidRPr="000E47F7">
        <w:t xml:space="preserve"> determine that there is or has been non-compliance with conditions laid down and that, </w:t>
      </w:r>
      <w:r w:rsidR="00BB3BFB" w:rsidRPr="000E47F7">
        <w:rPr>
          <w:b/>
        </w:rPr>
        <w:t>where warranted</w:t>
      </w:r>
      <w:r w:rsidR="00BB3BFB" w:rsidRPr="000E47F7">
        <w:t xml:space="preserve">, he should not renew permission.  </w:t>
      </w:r>
      <w:r w:rsidRPr="000E47F7">
        <w:t xml:space="preserve">MacMenamin J. </w:t>
      </w:r>
      <w:r w:rsidR="00BB3BFB" w:rsidRPr="000E47F7">
        <w:t xml:space="preserve">confirmed </w:t>
      </w:r>
      <w:r w:rsidR="00F465ED" w:rsidRPr="000E47F7">
        <w:t xml:space="preserve">(at para. 88) </w:t>
      </w:r>
      <w:r w:rsidR="00BB3BFB" w:rsidRPr="000E47F7">
        <w:t xml:space="preserve">that </w:t>
      </w:r>
      <w:r w:rsidR="00193034" w:rsidRPr="000E47F7">
        <w:t>the Minister</w:t>
      </w:r>
      <w:r w:rsidR="00BB3BFB" w:rsidRPr="000E47F7">
        <w:t xml:space="preserve"> is entitled to set limits on persons remaining in the State and that the scope of the judgment in </w:t>
      </w:r>
      <w:r w:rsidR="00BB3BFB" w:rsidRPr="000E47F7">
        <w:rPr>
          <w:i/>
        </w:rPr>
        <w:t>Luximon</w:t>
      </w:r>
      <w:r w:rsidR="00BB3BFB" w:rsidRPr="000E47F7">
        <w:t xml:space="preserve"> </w:t>
      </w:r>
      <w:r w:rsidR="00C93C1D" w:rsidRPr="000E47F7">
        <w:rPr>
          <w:i/>
        </w:rPr>
        <w:t>‘</w:t>
      </w:r>
      <w:r w:rsidR="00BB3BFB" w:rsidRPr="000E47F7">
        <w:rPr>
          <w:i/>
        </w:rPr>
        <w:t xml:space="preserve">must not be extended beyond its </w:t>
      </w:r>
      <w:r w:rsidR="00F465ED" w:rsidRPr="000E47F7">
        <w:rPr>
          <w:i/>
        </w:rPr>
        <w:t>in</w:t>
      </w:r>
      <w:r w:rsidR="00BB3BFB" w:rsidRPr="000E47F7">
        <w:rPr>
          <w:i/>
        </w:rPr>
        <w:t>tent</w:t>
      </w:r>
      <w:r w:rsidR="00C93C1D" w:rsidRPr="000E47F7">
        <w:rPr>
          <w:i/>
        </w:rPr>
        <w:t>’</w:t>
      </w:r>
      <w:r w:rsidR="00BB3BFB" w:rsidRPr="000E47F7">
        <w:t xml:space="preserve">.  </w:t>
      </w:r>
    </w:p>
    <w:p w14:paraId="3B48E0E5" w14:textId="77777777" w:rsidR="000A23AD" w:rsidRPr="000E47F7" w:rsidRDefault="000A23AD" w:rsidP="000A23AD">
      <w:pPr>
        <w:pStyle w:val="ListParagraph"/>
      </w:pPr>
    </w:p>
    <w:p w14:paraId="177E4B63" w14:textId="77777777" w:rsidR="00925921" w:rsidRPr="000E47F7" w:rsidRDefault="00004C80" w:rsidP="00925921">
      <w:pPr>
        <w:pStyle w:val="ListParagraph"/>
        <w:widowControl w:val="0"/>
        <w:numPr>
          <w:ilvl w:val="0"/>
          <w:numId w:val="1"/>
        </w:numPr>
        <w:tabs>
          <w:tab w:val="left" w:pos="567"/>
        </w:tabs>
        <w:spacing w:line="480" w:lineRule="auto"/>
        <w:jc w:val="both"/>
        <w:rPr>
          <w:b/>
          <w:u w:val="single"/>
        </w:rPr>
      </w:pPr>
      <w:r w:rsidRPr="000E47F7">
        <w:t>There</w:t>
      </w:r>
      <w:r w:rsidR="00BB3BFB" w:rsidRPr="000E47F7">
        <w:t xml:space="preserve"> is nothing on the facts of the instant case that is in any</w:t>
      </w:r>
      <w:r w:rsidR="00C93C1D" w:rsidRPr="000E47F7">
        <w:t xml:space="preserve"> </w:t>
      </w:r>
      <w:r w:rsidR="00BB3BFB" w:rsidRPr="000E47F7">
        <w:t xml:space="preserve">way </w:t>
      </w:r>
      <w:r w:rsidR="00C841E8" w:rsidRPr="000E47F7">
        <w:t xml:space="preserve">and even remotely </w:t>
      </w:r>
      <w:r w:rsidR="00BB3BFB" w:rsidRPr="000E47F7">
        <w:t xml:space="preserve">comparable </w:t>
      </w:r>
      <w:r w:rsidR="00C512F5" w:rsidRPr="000E47F7">
        <w:t>to the facts</w:t>
      </w:r>
      <w:r w:rsidR="00BB3BFB" w:rsidRPr="000E47F7">
        <w:t xml:space="preserve"> in </w:t>
      </w:r>
      <w:r w:rsidR="00BB3BFB" w:rsidRPr="000E47F7">
        <w:rPr>
          <w:i/>
        </w:rPr>
        <w:t xml:space="preserve">Luximon </w:t>
      </w:r>
      <w:r w:rsidR="00BB3BFB" w:rsidRPr="000E47F7">
        <w:t xml:space="preserve">or in the </w:t>
      </w:r>
      <w:r w:rsidR="000A4592" w:rsidRPr="000E47F7">
        <w:t>cases</w:t>
      </w:r>
      <w:r w:rsidR="00BB3BFB" w:rsidRPr="000E47F7">
        <w:t xml:space="preserve"> of the </w:t>
      </w:r>
      <w:r w:rsidR="00C512F5" w:rsidRPr="000E47F7">
        <w:t xml:space="preserve">Strasbourg Court upon which the </w:t>
      </w:r>
      <w:r w:rsidR="00BB3BFB" w:rsidRPr="000E47F7">
        <w:lastRenderedPageBreak/>
        <w:t xml:space="preserve">reasoning </w:t>
      </w:r>
      <w:r w:rsidR="008903C7" w:rsidRPr="000E47F7">
        <w:t xml:space="preserve">in </w:t>
      </w:r>
      <w:r w:rsidR="008903C7" w:rsidRPr="000E47F7">
        <w:rPr>
          <w:i/>
        </w:rPr>
        <w:t xml:space="preserve">Luximon </w:t>
      </w:r>
      <w:r w:rsidR="00BB3BFB" w:rsidRPr="000E47F7">
        <w:t>was based.</w:t>
      </w:r>
      <w:r w:rsidR="000A4592" w:rsidRPr="000E47F7">
        <w:t xml:space="preserve">  There</w:t>
      </w:r>
      <w:r w:rsidR="00C512F5" w:rsidRPr="000E47F7">
        <w:t xml:space="preserve"> was no obligation on the Minister to conduct a full </w:t>
      </w:r>
      <w:r w:rsidR="00BB3BFB" w:rsidRPr="000E47F7">
        <w:t xml:space="preserve">assessment of </w:t>
      </w:r>
      <w:r w:rsidR="00E24744" w:rsidRPr="000E47F7">
        <w:t>the applicant’s</w:t>
      </w:r>
      <w:r w:rsidR="000A4592" w:rsidRPr="000E47F7">
        <w:t xml:space="preserve"> asserted</w:t>
      </w:r>
      <w:r w:rsidR="00BB3BFB" w:rsidRPr="000E47F7">
        <w:t xml:space="preserve"> Article 8 rights </w:t>
      </w:r>
      <w:r w:rsidR="00C512F5" w:rsidRPr="000E47F7">
        <w:t>when her</w:t>
      </w:r>
      <w:r w:rsidR="00BB3BFB" w:rsidRPr="000E47F7">
        <w:t xml:space="preserve"> </w:t>
      </w:r>
      <w:r w:rsidR="00C512F5" w:rsidRPr="000E47F7">
        <w:t>short-stay visa expired and her request for residence was made</w:t>
      </w:r>
      <w:r w:rsidR="00BB3BFB" w:rsidRPr="000E47F7">
        <w:t>.</w:t>
      </w:r>
      <w:r w:rsidR="00193034" w:rsidRPr="000E47F7">
        <w:t xml:space="preserve">  To impose </w:t>
      </w:r>
      <w:r w:rsidR="00C512F5" w:rsidRPr="000E47F7">
        <w:t>such an obligation upo</w:t>
      </w:r>
      <w:r w:rsidR="00193034" w:rsidRPr="000E47F7">
        <w:t xml:space="preserve">n the Minister would be to make the </w:t>
      </w:r>
      <w:r w:rsidR="00C512F5" w:rsidRPr="000E47F7">
        <w:t xml:space="preserve">immigration </w:t>
      </w:r>
      <w:r w:rsidR="00193034" w:rsidRPr="000E47F7">
        <w:t>system</w:t>
      </w:r>
      <w:r w:rsidR="00567701" w:rsidRPr="000E47F7">
        <w:t xml:space="preserve"> overly burdensome and</w:t>
      </w:r>
      <w:r w:rsidRPr="000E47F7">
        <w:t>, in effect,</w:t>
      </w:r>
      <w:r w:rsidR="00567701" w:rsidRPr="000E47F7">
        <w:t xml:space="preserve"> </w:t>
      </w:r>
      <w:r w:rsidRPr="000E47F7">
        <w:t xml:space="preserve">to </w:t>
      </w:r>
      <w:r w:rsidR="00567701" w:rsidRPr="000E47F7">
        <w:t>render that system</w:t>
      </w:r>
      <w:r w:rsidR="00193034" w:rsidRPr="000E47F7">
        <w:t xml:space="preserve"> unworkable. </w:t>
      </w:r>
      <w:r w:rsidR="00567701" w:rsidRPr="000E47F7">
        <w:t xml:space="preserve"> In this regard </w:t>
      </w:r>
      <w:r w:rsidR="00C841E8" w:rsidRPr="000E47F7">
        <w:t>we</w:t>
      </w:r>
      <w:r w:rsidR="00567701" w:rsidRPr="000E47F7">
        <w:t xml:space="preserve"> accept the </w:t>
      </w:r>
      <w:r w:rsidR="008E5771" w:rsidRPr="000E47F7">
        <w:t>r</w:t>
      </w:r>
      <w:r w:rsidR="00567701" w:rsidRPr="000E47F7">
        <w:t xml:space="preserve">espondent’s submission that the applicant’s approach, if condoned, would wholly undermine the process established, </w:t>
      </w:r>
      <w:r w:rsidRPr="000E47F7">
        <w:t xml:space="preserve">would </w:t>
      </w:r>
      <w:r w:rsidR="00567701" w:rsidRPr="000E47F7">
        <w:t xml:space="preserve">lead to breaches of undertakings given and </w:t>
      </w:r>
      <w:r w:rsidRPr="000E47F7">
        <w:t xml:space="preserve">would </w:t>
      </w:r>
      <w:r w:rsidR="00567701" w:rsidRPr="000E47F7">
        <w:t xml:space="preserve">render meaningless the consideration afforded to the visitor-visa applications.  </w:t>
      </w:r>
      <w:r w:rsidR="00BB3BFB" w:rsidRPr="000E47F7">
        <w:t xml:space="preserve"> </w:t>
      </w:r>
    </w:p>
    <w:p w14:paraId="631ED9BF" w14:textId="77777777" w:rsidR="00925921" w:rsidRPr="000E47F7" w:rsidRDefault="00925921" w:rsidP="00925921">
      <w:pPr>
        <w:pStyle w:val="ListParagraph"/>
      </w:pPr>
    </w:p>
    <w:p w14:paraId="7C9BF1DA" w14:textId="1775A66C" w:rsidR="00D828C1" w:rsidRPr="000E47F7" w:rsidRDefault="00BB3BFB" w:rsidP="00925921">
      <w:pPr>
        <w:pStyle w:val="ListParagraph"/>
        <w:widowControl w:val="0"/>
        <w:numPr>
          <w:ilvl w:val="0"/>
          <w:numId w:val="1"/>
        </w:numPr>
        <w:tabs>
          <w:tab w:val="left" w:pos="567"/>
        </w:tabs>
        <w:spacing w:line="480" w:lineRule="auto"/>
        <w:jc w:val="both"/>
        <w:rPr>
          <w:b/>
          <w:u w:val="single"/>
        </w:rPr>
      </w:pPr>
      <w:r w:rsidRPr="000E47F7">
        <w:t xml:space="preserve">The State is entitled to control, regulate and impose conditions upon those who enter </w:t>
      </w:r>
      <w:r w:rsidR="004D6B97" w:rsidRPr="000E47F7">
        <w:t xml:space="preserve">its territory </w:t>
      </w:r>
      <w:r w:rsidRPr="000E47F7">
        <w:t>and</w:t>
      </w:r>
      <w:r w:rsidR="004D6B97" w:rsidRPr="000E47F7">
        <w:t xml:space="preserve"> who</w:t>
      </w:r>
      <w:r w:rsidRPr="000E47F7">
        <w:t xml:space="preserve"> seek to remain therein</w:t>
      </w:r>
      <w:r w:rsidR="001422B8" w:rsidRPr="000E47F7">
        <w:t xml:space="preserve">. </w:t>
      </w:r>
      <w:r w:rsidR="00567701" w:rsidRPr="000E47F7">
        <w:t xml:space="preserve"> </w:t>
      </w:r>
      <w:r w:rsidR="004D6B97" w:rsidRPr="000E47F7">
        <w:t>The applicant was not entitled to use the visitors</w:t>
      </w:r>
      <w:r w:rsidR="00004C80" w:rsidRPr="000E47F7">
        <w:t>’</w:t>
      </w:r>
      <w:r w:rsidR="004D6B97" w:rsidRPr="000E47F7">
        <w:t xml:space="preserve"> visa system to gain entry into the State and, thereafter, to </w:t>
      </w:r>
      <w:r w:rsidR="00567701" w:rsidRPr="000E47F7">
        <w:t>breach her undertaking and</w:t>
      </w:r>
      <w:r w:rsidR="00ED550A" w:rsidRPr="000E47F7">
        <w:t xml:space="preserve"> to</w:t>
      </w:r>
      <w:r w:rsidR="00567701" w:rsidRPr="000E47F7">
        <w:t xml:space="preserve"> </w:t>
      </w:r>
      <w:r w:rsidR="009E6CB6" w:rsidRPr="000E47F7">
        <w:t xml:space="preserve">insist </w:t>
      </w:r>
      <w:r w:rsidR="004D6B97" w:rsidRPr="000E47F7">
        <w:t xml:space="preserve">that her </w:t>
      </w:r>
      <w:r w:rsidR="009E6CB6" w:rsidRPr="000E47F7">
        <w:t>family life</w:t>
      </w:r>
      <w:r w:rsidR="004D6B97" w:rsidRPr="000E47F7">
        <w:t xml:space="preserve"> rights be assessed</w:t>
      </w:r>
      <w:r w:rsidR="00C21150" w:rsidRPr="000E47F7">
        <w:t xml:space="preserve"> at </w:t>
      </w:r>
      <w:r w:rsidR="00ED550A" w:rsidRPr="000E47F7">
        <w:t>a</w:t>
      </w:r>
      <w:r w:rsidR="00C21150" w:rsidRPr="000E47F7">
        <w:t xml:space="preserve"> time of her </w:t>
      </w:r>
      <w:r w:rsidR="00ED550A" w:rsidRPr="000E47F7">
        <w:t>election</w:t>
      </w:r>
      <w:r w:rsidR="00C21150" w:rsidRPr="000E47F7">
        <w:t xml:space="preserve">.  </w:t>
      </w:r>
      <w:r w:rsidR="004D6B97" w:rsidRPr="000E47F7">
        <w:t xml:space="preserve"> </w:t>
      </w:r>
      <w:r w:rsidR="00AD6A44" w:rsidRPr="000E47F7">
        <w:t xml:space="preserve">To the extent that there is a positive obligation on the State to assess her asserted rights, such an obligation did not arise at the point in time contended for by the applicant. </w:t>
      </w:r>
      <w:r w:rsidR="00AD6A44" w:rsidRPr="000E47F7">
        <w:rPr>
          <w:rFonts w:eastAsiaTheme="minorHAnsi"/>
          <w:color w:val="000000"/>
          <w:lang w:eastAsia="en-US"/>
        </w:rPr>
        <w:t xml:space="preserve"> </w:t>
      </w:r>
      <w:r w:rsidR="004323FD" w:rsidRPr="000E47F7">
        <w:rPr>
          <w:rFonts w:eastAsiaTheme="minorHAnsi"/>
          <w:color w:val="000000"/>
          <w:lang w:eastAsia="en-US"/>
        </w:rPr>
        <w:t>A</w:t>
      </w:r>
      <w:r w:rsidR="00AD6A44" w:rsidRPr="000E47F7">
        <w:rPr>
          <w:rFonts w:eastAsiaTheme="minorHAnsi"/>
          <w:color w:val="000000"/>
          <w:lang w:eastAsia="en-US"/>
        </w:rPr>
        <w:t xml:space="preserve"> detailed balancing exercise</w:t>
      </w:r>
      <w:r w:rsidR="004323FD" w:rsidRPr="000E47F7">
        <w:rPr>
          <w:rFonts w:eastAsiaTheme="minorHAnsi"/>
          <w:color w:val="000000"/>
          <w:lang w:eastAsia="en-US"/>
        </w:rPr>
        <w:t xml:space="preserve"> of the interests involved</w:t>
      </w:r>
      <w:r w:rsidR="00AD6A44" w:rsidRPr="000E47F7">
        <w:rPr>
          <w:rFonts w:eastAsiaTheme="minorHAnsi"/>
          <w:color w:val="000000"/>
          <w:lang w:eastAsia="en-US"/>
        </w:rPr>
        <w:t xml:space="preserve"> will be </w:t>
      </w:r>
      <w:r w:rsidR="004F17E0" w:rsidRPr="000E47F7">
        <w:rPr>
          <w:rFonts w:eastAsiaTheme="minorHAnsi"/>
          <w:color w:val="000000"/>
          <w:lang w:eastAsia="en-US"/>
        </w:rPr>
        <w:t>undertaken</w:t>
      </w:r>
      <w:r w:rsidR="00D828C1" w:rsidRPr="000E47F7">
        <w:rPr>
          <w:rFonts w:eastAsiaTheme="minorHAnsi"/>
          <w:color w:val="000000"/>
          <w:lang w:eastAsia="en-US"/>
        </w:rPr>
        <w:t xml:space="preserve"> at a later stage</w:t>
      </w:r>
      <w:r w:rsidR="00AD6A44" w:rsidRPr="000E47F7">
        <w:rPr>
          <w:rFonts w:eastAsiaTheme="minorHAnsi"/>
          <w:color w:val="000000"/>
          <w:lang w:eastAsia="en-US"/>
        </w:rPr>
        <w:t xml:space="preserve"> i</w:t>
      </w:r>
      <w:r w:rsidR="004F17E0" w:rsidRPr="000E47F7">
        <w:rPr>
          <w:rFonts w:eastAsiaTheme="minorHAnsi"/>
          <w:color w:val="000000"/>
          <w:lang w:eastAsia="en-US"/>
        </w:rPr>
        <w:t xml:space="preserve">f the applicant makes representations </w:t>
      </w:r>
      <w:r w:rsidR="004966AB" w:rsidRPr="000E47F7">
        <w:rPr>
          <w:rFonts w:eastAsiaTheme="minorHAnsi"/>
          <w:color w:val="000000"/>
          <w:lang w:eastAsia="en-US"/>
        </w:rPr>
        <w:t>i</w:t>
      </w:r>
      <w:r w:rsidR="00AD6A44" w:rsidRPr="000E47F7">
        <w:rPr>
          <w:rFonts w:eastAsiaTheme="minorHAnsi"/>
          <w:color w:val="000000"/>
          <w:lang w:eastAsia="en-US"/>
        </w:rPr>
        <w:t>n the context of deportation proceedings</w:t>
      </w:r>
      <w:r w:rsidR="004966AB" w:rsidRPr="000E47F7">
        <w:rPr>
          <w:rFonts w:eastAsiaTheme="minorHAnsi"/>
          <w:color w:val="000000"/>
          <w:lang w:eastAsia="en-US"/>
        </w:rPr>
        <w:t xml:space="preserve">. </w:t>
      </w:r>
      <w:r w:rsidR="00AD6A44" w:rsidRPr="000E47F7">
        <w:rPr>
          <w:rFonts w:eastAsiaTheme="minorHAnsi"/>
          <w:color w:val="000000"/>
          <w:lang w:eastAsia="en-US"/>
        </w:rPr>
        <w:t xml:space="preserve"> </w:t>
      </w:r>
      <w:r w:rsidR="004966AB" w:rsidRPr="000E47F7">
        <w:rPr>
          <w:rFonts w:eastAsiaTheme="minorHAnsi"/>
          <w:color w:val="000000"/>
          <w:lang w:eastAsia="en-US"/>
        </w:rPr>
        <w:t>On the facts of this case, such an approach is</w:t>
      </w:r>
      <w:r w:rsidR="004323FD" w:rsidRPr="000E47F7">
        <w:rPr>
          <w:rFonts w:eastAsiaTheme="minorHAnsi"/>
          <w:color w:val="000000"/>
          <w:lang w:eastAsia="en-US"/>
        </w:rPr>
        <w:t xml:space="preserve"> entirely</w:t>
      </w:r>
      <w:r w:rsidR="004966AB" w:rsidRPr="000E47F7">
        <w:rPr>
          <w:rFonts w:eastAsiaTheme="minorHAnsi"/>
          <w:color w:val="000000"/>
          <w:lang w:eastAsia="en-US"/>
        </w:rPr>
        <w:t xml:space="preserve"> sufficient </w:t>
      </w:r>
      <w:r w:rsidR="00AD6A44" w:rsidRPr="000E47F7">
        <w:rPr>
          <w:rFonts w:eastAsiaTheme="minorHAnsi"/>
          <w:color w:val="000000"/>
          <w:lang w:eastAsia="en-US"/>
        </w:rPr>
        <w:t>to discharge the State’s obligations under Article 8 of the Convention.</w:t>
      </w:r>
    </w:p>
    <w:p w14:paraId="15195791" w14:textId="77777777" w:rsidR="00D828C1" w:rsidRPr="000E47F7" w:rsidRDefault="00D828C1" w:rsidP="00D828C1">
      <w:pPr>
        <w:pStyle w:val="ListParagraph"/>
        <w:widowControl w:val="0"/>
        <w:spacing w:line="480" w:lineRule="auto"/>
        <w:ind w:left="0"/>
        <w:jc w:val="both"/>
        <w:rPr>
          <w:b/>
          <w:u w:val="single"/>
        </w:rPr>
      </w:pPr>
    </w:p>
    <w:p w14:paraId="059A2512" w14:textId="58300543" w:rsidR="00D828C1" w:rsidRPr="000E47F7" w:rsidRDefault="00D828C1" w:rsidP="00D828C1">
      <w:pPr>
        <w:pStyle w:val="ListParagraph"/>
        <w:rPr>
          <w:rFonts w:eastAsiaTheme="minorHAnsi"/>
          <w:color w:val="000000"/>
          <w:lang w:eastAsia="en-US"/>
        </w:rPr>
      </w:pPr>
    </w:p>
    <w:p w14:paraId="468461A8" w14:textId="13A0ADBD" w:rsidR="00D828C1" w:rsidRPr="000E47F7" w:rsidRDefault="00D828C1" w:rsidP="00D828C1">
      <w:pPr>
        <w:pStyle w:val="ListParagraph"/>
        <w:ind w:left="0"/>
        <w:jc w:val="both"/>
        <w:rPr>
          <w:b/>
          <w:i/>
        </w:rPr>
      </w:pPr>
      <w:r w:rsidRPr="000E47F7">
        <w:rPr>
          <w:b/>
          <w:i/>
        </w:rPr>
        <w:t xml:space="preserve">On the certified question of law and the non-remittal of the proceedings </w:t>
      </w:r>
    </w:p>
    <w:p w14:paraId="1635EA61" w14:textId="77777777" w:rsidR="00D828C1" w:rsidRPr="000E47F7" w:rsidRDefault="00D828C1" w:rsidP="00D828C1">
      <w:pPr>
        <w:pStyle w:val="ListParagraph"/>
        <w:ind w:left="0"/>
        <w:jc w:val="both"/>
        <w:rPr>
          <w:b/>
          <w:i/>
        </w:rPr>
      </w:pPr>
    </w:p>
    <w:p w14:paraId="4546C1C4" w14:textId="77777777" w:rsidR="00D828C1" w:rsidRPr="000E47F7" w:rsidRDefault="00D828C1" w:rsidP="00D828C1">
      <w:pPr>
        <w:pStyle w:val="ListParagraph"/>
        <w:rPr>
          <w:rFonts w:eastAsiaTheme="minorHAnsi"/>
          <w:color w:val="000000"/>
          <w:lang w:eastAsia="en-US"/>
        </w:rPr>
      </w:pPr>
    </w:p>
    <w:p w14:paraId="5A56C896" w14:textId="55C834BC" w:rsidR="00E24744" w:rsidRPr="000E47F7" w:rsidRDefault="003C7D96" w:rsidP="00D828C1">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 xml:space="preserve">For the sake of completeness, </w:t>
      </w:r>
      <w:r w:rsidR="00B50810" w:rsidRPr="000E47F7">
        <w:rPr>
          <w:rFonts w:eastAsiaTheme="minorHAnsi"/>
          <w:color w:val="000000"/>
          <w:lang w:eastAsia="en-US"/>
        </w:rPr>
        <w:t xml:space="preserve">two </w:t>
      </w:r>
      <w:r w:rsidRPr="000E47F7">
        <w:rPr>
          <w:rFonts w:eastAsiaTheme="minorHAnsi"/>
          <w:color w:val="000000"/>
          <w:lang w:eastAsia="en-US"/>
        </w:rPr>
        <w:t>final matter</w:t>
      </w:r>
      <w:r w:rsidR="00B50810" w:rsidRPr="000E47F7">
        <w:rPr>
          <w:rFonts w:eastAsiaTheme="minorHAnsi"/>
          <w:color w:val="000000"/>
          <w:lang w:eastAsia="en-US"/>
        </w:rPr>
        <w:t>s</w:t>
      </w:r>
      <w:r w:rsidRPr="000E47F7">
        <w:rPr>
          <w:rFonts w:eastAsiaTheme="minorHAnsi"/>
          <w:color w:val="000000"/>
          <w:lang w:eastAsia="en-US"/>
        </w:rPr>
        <w:t xml:space="preserve"> require to be addressed.  When this appeal was listed for hearing, the Court </w:t>
      </w:r>
      <w:r w:rsidR="00567701" w:rsidRPr="000E47F7">
        <w:rPr>
          <w:rFonts w:eastAsiaTheme="minorHAnsi"/>
          <w:color w:val="000000"/>
          <w:lang w:eastAsia="en-US"/>
        </w:rPr>
        <w:t>indicated</w:t>
      </w:r>
      <w:r w:rsidRPr="000E47F7">
        <w:rPr>
          <w:rFonts w:eastAsiaTheme="minorHAnsi"/>
          <w:color w:val="000000"/>
          <w:lang w:eastAsia="en-US"/>
        </w:rPr>
        <w:t xml:space="preserve"> that, in the first instance, it wished to be addressed on the jurisdiction</w:t>
      </w:r>
      <w:r w:rsidR="00567701" w:rsidRPr="000E47F7">
        <w:rPr>
          <w:rFonts w:eastAsiaTheme="minorHAnsi"/>
          <w:color w:val="000000"/>
          <w:lang w:eastAsia="en-US"/>
        </w:rPr>
        <w:t>al</w:t>
      </w:r>
      <w:r w:rsidRPr="000E47F7">
        <w:rPr>
          <w:rFonts w:eastAsiaTheme="minorHAnsi"/>
          <w:color w:val="000000"/>
          <w:lang w:eastAsia="en-US"/>
        </w:rPr>
        <w:t xml:space="preserve"> issue that arose, namely, whether the Minister had the power under s. 4(7) of the Act of 2004 to vary the applicant’s visa type—and, if the parties were agreed on that point, then on whether the matter should be remitted to the High Court for determination of the </w:t>
      </w:r>
      <w:r w:rsidRPr="000E47F7">
        <w:rPr>
          <w:rFonts w:eastAsiaTheme="minorHAnsi"/>
          <w:color w:val="000000"/>
          <w:lang w:eastAsia="en-US"/>
        </w:rPr>
        <w:lastRenderedPageBreak/>
        <w:t>substantive Article 8 claim.  Subsequently, the parties were invited to address the Court on the merits of the applicant’s claim</w:t>
      </w:r>
      <w:r w:rsidR="00622F38" w:rsidRPr="000E47F7">
        <w:rPr>
          <w:rFonts w:eastAsiaTheme="minorHAnsi"/>
          <w:color w:val="000000"/>
          <w:lang w:eastAsia="en-US"/>
        </w:rPr>
        <w:t xml:space="preserve"> under Article 8</w:t>
      </w:r>
      <w:r w:rsidRPr="000E47F7">
        <w:rPr>
          <w:rFonts w:eastAsiaTheme="minorHAnsi"/>
          <w:color w:val="000000"/>
          <w:lang w:eastAsia="en-US"/>
        </w:rPr>
        <w:t xml:space="preserve">.  </w:t>
      </w:r>
      <w:r w:rsidR="00117385" w:rsidRPr="000E47F7">
        <w:rPr>
          <w:rFonts w:eastAsiaTheme="minorHAnsi"/>
          <w:color w:val="000000"/>
          <w:lang w:eastAsia="en-US"/>
        </w:rPr>
        <w:t xml:space="preserve"> </w:t>
      </w:r>
    </w:p>
    <w:p w14:paraId="7184DFC3" w14:textId="77777777" w:rsidR="00E24744" w:rsidRPr="000E47F7" w:rsidRDefault="00E24744" w:rsidP="00E24744">
      <w:pPr>
        <w:pStyle w:val="ListParagraph"/>
        <w:widowControl w:val="0"/>
        <w:spacing w:line="480" w:lineRule="auto"/>
        <w:ind w:left="0"/>
        <w:jc w:val="both"/>
        <w:rPr>
          <w:b/>
          <w:u w:val="single"/>
        </w:rPr>
      </w:pPr>
    </w:p>
    <w:p w14:paraId="611F1380" w14:textId="079964BF" w:rsidR="00DB55B1" w:rsidRPr="000E47F7" w:rsidRDefault="001A4A8B" w:rsidP="001A4A8B">
      <w:pPr>
        <w:pStyle w:val="ListParagraph"/>
        <w:widowControl w:val="0"/>
        <w:numPr>
          <w:ilvl w:val="0"/>
          <w:numId w:val="1"/>
        </w:numPr>
        <w:tabs>
          <w:tab w:val="left" w:pos="567"/>
        </w:tabs>
        <w:spacing w:line="480" w:lineRule="auto"/>
        <w:jc w:val="both"/>
        <w:rPr>
          <w:b/>
          <w:u w:val="single"/>
        </w:rPr>
      </w:pPr>
      <w:r w:rsidRPr="000E47F7">
        <w:t xml:space="preserve">Both the appellant and respondent </w:t>
      </w:r>
      <w:r w:rsidR="001F23C3" w:rsidRPr="000E47F7">
        <w:t>submitted</w:t>
      </w:r>
      <w:r w:rsidRPr="000E47F7">
        <w:t xml:space="preserve"> that the Minister enjoys a power pursuant to s.4(7) of the Act of 2004 to vary a Stamp </w:t>
      </w:r>
      <w:r w:rsidR="00717EB0" w:rsidRPr="000E47F7">
        <w:t>‘</w:t>
      </w:r>
      <w:r w:rsidRPr="000E47F7">
        <w:t>C</w:t>
      </w:r>
      <w:r w:rsidR="00717EB0" w:rsidRPr="000E47F7">
        <w:t>’</w:t>
      </w:r>
      <w:r w:rsidRPr="000E47F7">
        <w:t xml:space="preserve"> visitor permission to another form of immigration permission.  </w:t>
      </w:r>
      <w:r w:rsidR="00717EB0" w:rsidRPr="000E47F7">
        <w:t>For several reasons, we consider that</w:t>
      </w:r>
      <w:r w:rsidRPr="000E47F7">
        <w:t xml:space="preserve"> the parties’ submissions in this regard are correct</w:t>
      </w:r>
      <w:r w:rsidR="00717EB0" w:rsidRPr="000E47F7">
        <w:t xml:space="preserve">.  </w:t>
      </w:r>
    </w:p>
    <w:p w14:paraId="003BF257" w14:textId="77777777" w:rsidR="00DB55B1" w:rsidRPr="000E47F7" w:rsidRDefault="00DB55B1" w:rsidP="00DB55B1">
      <w:pPr>
        <w:pStyle w:val="ListParagraph"/>
      </w:pPr>
    </w:p>
    <w:p w14:paraId="0A761287" w14:textId="5554793B" w:rsidR="00DB55B1" w:rsidRPr="000E47F7" w:rsidRDefault="001A4A8B" w:rsidP="001A4A8B">
      <w:pPr>
        <w:pStyle w:val="ListParagraph"/>
        <w:widowControl w:val="0"/>
        <w:numPr>
          <w:ilvl w:val="0"/>
          <w:numId w:val="1"/>
        </w:numPr>
        <w:tabs>
          <w:tab w:val="left" w:pos="567"/>
        </w:tabs>
        <w:spacing w:line="480" w:lineRule="auto"/>
        <w:jc w:val="both"/>
        <w:rPr>
          <w:b/>
          <w:u w:val="single"/>
        </w:rPr>
      </w:pPr>
      <w:r w:rsidRPr="000E47F7">
        <w:t>First, there is nothing in the express wording of s.</w:t>
      </w:r>
      <w:r w:rsidR="007D55D1" w:rsidRPr="000E47F7">
        <w:t xml:space="preserve"> </w:t>
      </w:r>
      <w:r w:rsidRPr="000E47F7">
        <w:t>4(7) to indicate any want of jurisdiction on the part of the Minister to amend or to vary an immigration permission</w:t>
      </w:r>
      <w:r w:rsidR="00077DD1" w:rsidRPr="000E47F7">
        <w:t xml:space="preserve"> when </w:t>
      </w:r>
      <w:r w:rsidR="007D55D1" w:rsidRPr="000E47F7">
        <w:t>an application therefor is made.  The provision is drafted</w:t>
      </w:r>
      <w:r w:rsidR="00893AC3" w:rsidRPr="000E47F7">
        <w:t xml:space="preserve"> unambiguously and</w:t>
      </w:r>
      <w:r w:rsidR="007D55D1" w:rsidRPr="000E47F7">
        <w:t xml:space="preserve"> in permissive terms—a permission ‘</w:t>
      </w:r>
      <w:r w:rsidR="007D55D1" w:rsidRPr="000E47F7">
        <w:rPr>
          <w:i/>
        </w:rPr>
        <w:t>may</w:t>
      </w:r>
      <w:r w:rsidR="007D55D1" w:rsidRPr="000E47F7">
        <w:t>’ be renewed or varied on an application by a non-national being made.</w:t>
      </w:r>
      <w:r w:rsidRPr="000E47F7">
        <w:t xml:space="preserve">  </w:t>
      </w:r>
      <w:r w:rsidR="00B65468" w:rsidRPr="000E47F7">
        <w:t xml:space="preserve"> As Cooke J. </w:t>
      </w:r>
      <w:r w:rsidR="00077DD1" w:rsidRPr="000E47F7">
        <w:t xml:space="preserve">observed (at para. 6) in </w:t>
      </w:r>
      <w:r w:rsidR="00077DD1" w:rsidRPr="000E47F7">
        <w:rPr>
          <w:i/>
        </w:rPr>
        <w:t>O’Leary and Others v the Minister for Justice, Equality and Law Reform</w:t>
      </w:r>
      <w:r w:rsidR="00077DD1" w:rsidRPr="000E47F7">
        <w:t xml:space="preserve"> [2012] IEHC 80, the Oireachtas has conferred upon the respondent Minister the exclusive discretion in exercise of the sovereign competence of the State to decide whether foreign nationals should be permitted to remain. </w:t>
      </w:r>
      <w:r w:rsidR="007D55D1" w:rsidRPr="000E47F7">
        <w:t xml:space="preserve"> </w:t>
      </w:r>
      <w:r w:rsidR="00077DD1" w:rsidRPr="000E47F7">
        <w:t xml:space="preserve">  </w:t>
      </w:r>
    </w:p>
    <w:p w14:paraId="6EB16D34" w14:textId="77777777" w:rsidR="00DB55B1" w:rsidRPr="000E47F7" w:rsidRDefault="00DB55B1" w:rsidP="00DB55B1">
      <w:pPr>
        <w:pStyle w:val="ListParagraph"/>
      </w:pPr>
    </w:p>
    <w:p w14:paraId="5EF8750F" w14:textId="146EB6B5" w:rsidR="00DB55B1" w:rsidRPr="000E47F7" w:rsidRDefault="001A4A8B" w:rsidP="001A4A8B">
      <w:pPr>
        <w:pStyle w:val="ListParagraph"/>
        <w:widowControl w:val="0"/>
        <w:numPr>
          <w:ilvl w:val="0"/>
          <w:numId w:val="1"/>
        </w:numPr>
        <w:tabs>
          <w:tab w:val="left" w:pos="567"/>
        </w:tabs>
        <w:spacing w:line="480" w:lineRule="auto"/>
        <w:jc w:val="both"/>
        <w:rPr>
          <w:b/>
          <w:u w:val="single"/>
        </w:rPr>
      </w:pPr>
      <w:r w:rsidRPr="000E47F7">
        <w:t xml:space="preserve">Second, s. 4(7) of the Act of 2004 has been considered by </w:t>
      </w:r>
      <w:r w:rsidR="00056B23" w:rsidRPr="000E47F7">
        <w:t>the Superior Courts</w:t>
      </w:r>
      <w:r w:rsidR="00077DD1" w:rsidRPr="000E47F7">
        <w:t xml:space="preserve"> in</w:t>
      </w:r>
      <w:r w:rsidRPr="000E47F7">
        <w:t xml:space="preserve"> several earlier cases without demur to the Minister’s jurisdiction to vary one type of immigration permission for another.  </w:t>
      </w:r>
      <w:r w:rsidR="00717EB0" w:rsidRPr="000E47F7">
        <w:t>(See, for example</w:t>
      </w:r>
      <w:r w:rsidR="00717EB0" w:rsidRPr="000E47F7">
        <w:rPr>
          <w:i/>
        </w:rPr>
        <w:t>, O’Leary</w:t>
      </w:r>
      <w:r w:rsidRPr="000E47F7">
        <w:rPr>
          <w:i/>
        </w:rPr>
        <w:t xml:space="preserve"> </w:t>
      </w:r>
      <w:r w:rsidR="007D55D1" w:rsidRPr="000E47F7">
        <w:t>and</w:t>
      </w:r>
      <w:r w:rsidR="00DB55B1" w:rsidRPr="000E47F7">
        <w:t xml:space="preserve"> see also</w:t>
      </w:r>
      <w:r w:rsidR="007D55D1" w:rsidRPr="000E47F7">
        <w:t xml:space="preserve"> </w:t>
      </w:r>
      <w:r w:rsidR="00DB55B1" w:rsidRPr="000E47F7">
        <w:rPr>
          <w:i/>
        </w:rPr>
        <w:t>Q</w:t>
      </w:r>
      <w:r w:rsidR="007D55D1" w:rsidRPr="000E47F7">
        <w:rPr>
          <w:i/>
        </w:rPr>
        <w:t>ingzhou Li and Huimin Wang v The Minister for Justice and Equality</w:t>
      </w:r>
      <w:r w:rsidR="00DB55B1" w:rsidRPr="000E47F7">
        <w:t xml:space="preserve"> [2015] IEHC 638</w:t>
      </w:r>
      <w:r w:rsidR="00717EB0" w:rsidRPr="000E47F7">
        <w:t>)</w:t>
      </w:r>
      <w:r w:rsidR="00DB55B1" w:rsidRPr="000E47F7">
        <w:t>.</w:t>
      </w:r>
      <w:r w:rsidRPr="000E47F7">
        <w:t xml:space="preserve">  In no instance </w:t>
      </w:r>
      <w:r w:rsidR="00077DD1" w:rsidRPr="000E47F7">
        <w:t>has there been</w:t>
      </w:r>
      <w:r w:rsidRPr="000E47F7">
        <w:t xml:space="preserve"> a finding that the Minister lacked jurisdiction to vary </w:t>
      </w:r>
      <w:r w:rsidR="007D55D1" w:rsidRPr="000E47F7">
        <w:t xml:space="preserve">or renew </w:t>
      </w:r>
      <w:r w:rsidRPr="000E47F7">
        <w:t xml:space="preserve">a visa permission </w:t>
      </w:r>
      <w:r w:rsidR="00056B23" w:rsidRPr="000E47F7">
        <w:t>under that provision</w:t>
      </w:r>
      <w:r w:rsidRPr="000E47F7">
        <w:t xml:space="preserve">.  On the contrary, the </w:t>
      </w:r>
      <w:r w:rsidR="00056B23" w:rsidRPr="000E47F7">
        <w:t xml:space="preserve">Superior </w:t>
      </w:r>
      <w:r w:rsidR="00ED550A" w:rsidRPr="000E47F7">
        <w:t>C</w:t>
      </w:r>
      <w:r w:rsidRPr="000E47F7">
        <w:t>ourt</w:t>
      </w:r>
      <w:r w:rsidR="00056B23" w:rsidRPr="000E47F7">
        <w:t xml:space="preserve">s </w:t>
      </w:r>
      <w:r w:rsidR="007D55D1" w:rsidRPr="000E47F7">
        <w:t>ha</w:t>
      </w:r>
      <w:r w:rsidR="00056B23" w:rsidRPr="000E47F7">
        <w:t>ve</w:t>
      </w:r>
      <w:r w:rsidR="007D55D1" w:rsidRPr="000E47F7">
        <w:t xml:space="preserve"> </w:t>
      </w:r>
      <w:r w:rsidR="00056B23" w:rsidRPr="000E47F7">
        <w:t xml:space="preserve">always </w:t>
      </w:r>
      <w:r w:rsidRPr="000E47F7">
        <w:t>proceeded on the understanding that such a power</w:t>
      </w:r>
      <w:r w:rsidR="007D55D1" w:rsidRPr="000E47F7">
        <w:t xml:space="preserve"> inheres in the Minister. </w:t>
      </w:r>
    </w:p>
    <w:p w14:paraId="7CAFA85F" w14:textId="77777777" w:rsidR="00DB55B1" w:rsidRPr="000E47F7" w:rsidRDefault="00DB55B1" w:rsidP="00DB55B1">
      <w:pPr>
        <w:pStyle w:val="ListParagraph"/>
      </w:pPr>
    </w:p>
    <w:p w14:paraId="77B627FA" w14:textId="0A26E13B" w:rsidR="009673B9" w:rsidRPr="000E47F7" w:rsidRDefault="00717EB0" w:rsidP="001A4A8B">
      <w:pPr>
        <w:pStyle w:val="ListParagraph"/>
        <w:widowControl w:val="0"/>
        <w:numPr>
          <w:ilvl w:val="0"/>
          <w:numId w:val="1"/>
        </w:numPr>
        <w:tabs>
          <w:tab w:val="left" w:pos="567"/>
        </w:tabs>
        <w:spacing w:line="480" w:lineRule="auto"/>
        <w:jc w:val="both"/>
        <w:rPr>
          <w:b/>
          <w:u w:val="single"/>
        </w:rPr>
      </w:pPr>
      <w:r w:rsidRPr="000E47F7">
        <w:t xml:space="preserve">Moreover, </w:t>
      </w:r>
      <w:r w:rsidR="00077DD1" w:rsidRPr="000E47F7">
        <w:t>in</w:t>
      </w:r>
      <w:r w:rsidR="001A4A8B" w:rsidRPr="000E47F7">
        <w:t xml:space="preserve"> </w:t>
      </w:r>
      <w:r w:rsidR="00077DD1" w:rsidRPr="000E47F7">
        <w:rPr>
          <w:i/>
        </w:rPr>
        <w:t>Luximon</w:t>
      </w:r>
      <w:r w:rsidR="00077DD1" w:rsidRPr="000E47F7">
        <w:t>,</w:t>
      </w:r>
      <w:r w:rsidR="001A4A8B" w:rsidRPr="000E47F7">
        <w:t xml:space="preserve"> the Supreme Court </w:t>
      </w:r>
      <w:r w:rsidR="00056B23" w:rsidRPr="000E47F7">
        <w:t>examined</w:t>
      </w:r>
      <w:r w:rsidR="001A4A8B" w:rsidRPr="000E47F7">
        <w:t xml:space="preserve"> an application</w:t>
      </w:r>
      <w:r w:rsidR="007D55D1" w:rsidRPr="000E47F7">
        <w:t xml:space="preserve"> that had been</w:t>
      </w:r>
      <w:r w:rsidR="00077DD1" w:rsidRPr="000E47F7">
        <w:t xml:space="preserve"> made to the Minister pursuant</w:t>
      </w:r>
      <w:r w:rsidR="001A4A8B" w:rsidRPr="000E47F7">
        <w:t xml:space="preserve"> to s.</w:t>
      </w:r>
      <w:r w:rsidR="00DB55B1" w:rsidRPr="000E47F7">
        <w:t xml:space="preserve"> </w:t>
      </w:r>
      <w:r w:rsidR="001A4A8B" w:rsidRPr="000E47F7">
        <w:t>4(7) of the 2004 Act</w:t>
      </w:r>
      <w:r w:rsidR="007D55D1" w:rsidRPr="000E47F7">
        <w:t>.</w:t>
      </w:r>
      <w:r w:rsidR="009822A2" w:rsidRPr="000E47F7">
        <w:t xml:space="preserve"> </w:t>
      </w:r>
      <w:r w:rsidR="00056B23" w:rsidRPr="000E47F7">
        <w:t xml:space="preserve"> </w:t>
      </w:r>
      <w:r w:rsidR="001A4A8B" w:rsidRPr="000E47F7">
        <w:t xml:space="preserve">If </w:t>
      </w:r>
      <w:r w:rsidR="00077DD1" w:rsidRPr="000E47F7">
        <w:t>it</w:t>
      </w:r>
      <w:r w:rsidR="007D55D1" w:rsidRPr="000E47F7">
        <w:t xml:space="preserve"> had</w:t>
      </w:r>
      <w:r w:rsidR="001A4A8B" w:rsidRPr="000E47F7">
        <w:t xml:space="preserve"> considered that the Minister had </w:t>
      </w:r>
      <w:r w:rsidR="001A4A8B" w:rsidRPr="000E47F7">
        <w:lastRenderedPageBreak/>
        <w:t>no power</w:t>
      </w:r>
      <w:r w:rsidR="001F23C3" w:rsidRPr="000E47F7">
        <w:t xml:space="preserve"> </w:t>
      </w:r>
      <w:r w:rsidR="001A4A8B" w:rsidRPr="000E47F7">
        <w:t>to renew or vary an immigration permission</w:t>
      </w:r>
      <w:r w:rsidR="00077DD1" w:rsidRPr="000E47F7">
        <w:t xml:space="preserve"> in the first place</w:t>
      </w:r>
      <w:r w:rsidR="009822A2" w:rsidRPr="000E47F7">
        <w:t xml:space="preserve"> then, it seems to us, that the</w:t>
      </w:r>
      <w:r w:rsidR="00077DD1" w:rsidRPr="000E47F7">
        <w:t xml:space="preserve"> Supreme Court </w:t>
      </w:r>
      <w:r w:rsidR="001A4A8B" w:rsidRPr="000E47F7">
        <w:t xml:space="preserve">would have said so.  It is </w:t>
      </w:r>
      <w:r w:rsidR="009822A2" w:rsidRPr="000E47F7">
        <w:t>clear from the judgment in</w:t>
      </w:r>
      <w:r w:rsidR="001A4A8B" w:rsidRPr="000E47F7">
        <w:t xml:space="preserve"> </w:t>
      </w:r>
      <w:r w:rsidR="00DB5694" w:rsidRPr="000E47F7">
        <w:t xml:space="preserve">the </w:t>
      </w:r>
      <w:r w:rsidR="001A4A8B" w:rsidRPr="000E47F7">
        <w:rPr>
          <w:i/>
        </w:rPr>
        <w:t>Luximon</w:t>
      </w:r>
      <w:r w:rsidR="00DB5694" w:rsidRPr="000E47F7">
        <w:t xml:space="preserve"> appeals, </w:t>
      </w:r>
      <w:r w:rsidR="007D55D1" w:rsidRPr="000E47F7">
        <w:t>however,</w:t>
      </w:r>
      <w:r w:rsidR="001A4A8B" w:rsidRPr="000E47F7">
        <w:t xml:space="preserve"> that the Supreme Court accepted the</w:t>
      </w:r>
      <w:r w:rsidR="009822A2" w:rsidRPr="000E47F7">
        <w:t xml:space="preserve"> Minister’s</w:t>
      </w:r>
      <w:r w:rsidR="001A4A8B" w:rsidRPr="000E47F7">
        <w:t xml:space="preserve"> jurisdiction as a given and</w:t>
      </w:r>
      <w:r w:rsidR="007D55D1" w:rsidRPr="000E47F7">
        <w:t>,</w:t>
      </w:r>
      <w:r w:rsidRPr="000E47F7">
        <w:t xml:space="preserve"> </w:t>
      </w:r>
      <w:r w:rsidR="001A4A8B" w:rsidRPr="000E47F7">
        <w:t xml:space="preserve">having done so, </w:t>
      </w:r>
      <w:r w:rsidR="009822A2" w:rsidRPr="000E47F7">
        <w:t xml:space="preserve">concluded that in exercising </w:t>
      </w:r>
      <w:r w:rsidR="00DB5694" w:rsidRPr="000E47F7">
        <w:t>such</w:t>
      </w:r>
      <w:r w:rsidR="009822A2" w:rsidRPr="000E47F7">
        <w:t xml:space="preserve"> jurisdiction </w:t>
      </w:r>
      <w:r w:rsidR="007D55D1" w:rsidRPr="000E47F7">
        <w:rPr>
          <w:b/>
        </w:rPr>
        <w:t>in those cases</w:t>
      </w:r>
      <w:r w:rsidR="007D55D1" w:rsidRPr="000E47F7">
        <w:t xml:space="preserve"> </w:t>
      </w:r>
      <w:r w:rsidR="00056B23" w:rsidRPr="000E47F7">
        <w:t xml:space="preserve">he </w:t>
      </w:r>
      <w:r w:rsidR="009822A2" w:rsidRPr="000E47F7">
        <w:t xml:space="preserve">was obliged to consider the appellants’ family life rights </w:t>
      </w:r>
      <w:r w:rsidR="001A4A8B" w:rsidRPr="000E47F7">
        <w:t xml:space="preserve">at a time when they remained in the State.  </w:t>
      </w:r>
    </w:p>
    <w:p w14:paraId="22289F54" w14:textId="77777777" w:rsidR="009673B9" w:rsidRPr="000E47F7" w:rsidRDefault="009673B9" w:rsidP="009673B9">
      <w:pPr>
        <w:pStyle w:val="ListParagraph"/>
      </w:pPr>
    </w:p>
    <w:p w14:paraId="5F258F3D" w14:textId="3D852002" w:rsidR="001A4A8B" w:rsidRPr="000E47F7" w:rsidRDefault="001A4A8B" w:rsidP="001A4A8B">
      <w:pPr>
        <w:pStyle w:val="ListParagraph"/>
        <w:widowControl w:val="0"/>
        <w:numPr>
          <w:ilvl w:val="0"/>
          <w:numId w:val="1"/>
        </w:numPr>
        <w:tabs>
          <w:tab w:val="left" w:pos="567"/>
        </w:tabs>
        <w:spacing w:line="480" w:lineRule="auto"/>
        <w:jc w:val="both"/>
        <w:rPr>
          <w:b/>
          <w:u w:val="single"/>
        </w:rPr>
      </w:pPr>
      <w:r w:rsidRPr="000E47F7">
        <w:t xml:space="preserve">In our view, the learned </w:t>
      </w:r>
      <w:r w:rsidR="001F23C3" w:rsidRPr="000E47F7">
        <w:t>trial</w:t>
      </w:r>
      <w:r w:rsidR="002C643B" w:rsidRPr="000E47F7">
        <w:t xml:space="preserve"> j</w:t>
      </w:r>
      <w:r w:rsidRPr="000E47F7">
        <w:t xml:space="preserve">udge fell into error in concluding that the Minister had no power under s.4(7) of the Immigration Act, 2004 (as amended) to vary the stamp </w:t>
      </w:r>
      <w:r w:rsidR="00DB5694" w:rsidRPr="000E47F7">
        <w:t>‘</w:t>
      </w:r>
      <w:r w:rsidRPr="000E47F7">
        <w:t>C</w:t>
      </w:r>
      <w:r w:rsidR="00DB5694" w:rsidRPr="000E47F7">
        <w:t xml:space="preserve">’ </w:t>
      </w:r>
      <w:r w:rsidRPr="000E47F7">
        <w:t xml:space="preserve">visa to another form of </w:t>
      </w:r>
      <w:r w:rsidR="00DB5694" w:rsidRPr="000E47F7">
        <w:t xml:space="preserve">immigration </w:t>
      </w:r>
      <w:r w:rsidRPr="000E47F7">
        <w:t xml:space="preserve">permission.  </w:t>
      </w:r>
      <w:r w:rsidR="00DB5694" w:rsidRPr="000E47F7">
        <w:t xml:space="preserve">As a matter of law and contrary to </w:t>
      </w:r>
      <w:r w:rsidR="00056B23" w:rsidRPr="000E47F7">
        <w:t>the finding of the</w:t>
      </w:r>
      <w:r w:rsidR="00DB5694" w:rsidRPr="000E47F7">
        <w:t xml:space="preserve"> </w:t>
      </w:r>
      <w:r w:rsidR="00056B23" w:rsidRPr="000E47F7">
        <w:t xml:space="preserve">High Court </w:t>
      </w:r>
      <w:r w:rsidR="00DB5694" w:rsidRPr="000E47F7">
        <w:t xml:space="preserve">judge, we are satisfied that the Minister does enjoy a jurisdiction under that provision to process an application to vary one type of visa permission to another.  </w:t>
      </w:r>
      <w:r w:rsidR="002C643B" w:rsidRPr="000E47F7">
        <w:t>To</w:t>
      </w:r>
      <w:r w:rsidRPr="000E47F7">
        <w:t xml:space="preserve"> ensure the integrity of the visa system, </w:t>
      </w:r>
      <w:r w:rsidR="00DB5694" w:rsidRPr="000E47F7">
        <w:t>he refused, on the facts presented in this case, to accede to the applicant’s request.  H</w:t>
      </w:r>
      <w:r w:rsidRPr="000E47F7">
        <w:t xml:space="preserve">e </w:t>
      </w:r>
      <w:r w:rsidR="00DB5694" w:rsidRPr="000E47F7">
        <w:t xml:space="preserve">considered </w:t>
      </w:r>
      <w:r w:rsidRPr="000E47F7">
        <w:t xml:space="preserve">that a visitor’s visa should not be used as a route into long term residence in the State.  He was entitled to come to that view.  </w:t>
      </w:r>
    </w:p>
    <w:p w14:paraId="270F5B47" w14:textId="77777777" w:rsidR="001A4A8B" w:rsidRPr="000E47F7" w:rsidRDefault="001A4A8B" w:rsidP="005340ED">
      <w:pPr>
        <w:pStyle w:val="ListParagraph"/>
        <w:widowControl w:val="0"/>
        <w:spacing w:line="480" w:lineRule="auto"/>
        <w:ind w:left="0"/>
        <w:jc w:val="both"/>
        <w:rPr>
          <w:b/>
          <w:u w:val="single"/>
        </w:rPr>
      </w:pPr>
    </w:p>
    <w:p w14:paraId="559CF466" w14:textId="1DA03C08" w:rsidR="002D465E" w:rsidRPr="000E47F7" w:rsidRDefault="00336C59" w:rsidP="002D465E">
      <w:pPr>
        <w:pStyle w:val="ListParagraph"/>
        <w:widowControl w:val="0"/>
        <w:numPr>
          <w:ilvl w:val="0"/>
          <w:numId w:val="1"/>
        </w:numPr>
        <w:spacing w:line="480" w:lineRule="auto"/>
        <w:jc w:val="both"/>
        <w:rPr>
          <w:b/>
          <w:u w:val="single"/>
        </w:rPr>
      </w:pPr>
      <w:r w:rsidRPr="000E47F7">
        <w:t>As to</w:t>
      </w:r>
      <w:r w:rsidR="00AA5033" w:rsidRPr="000E47F7">
        <w:t xml:space="preserve"> whether the substantive matter should be remitted to the High Court, </w:t>
      </w:r>
      <w:r w:rsidR="00622F38" w:rsidRPr="000E47F7">
        <w:t>the parties disagreed.  T</w:t>
      </w:r>
      <w:r w:rsidR="00AA5033" w:rsidRPr="000E47F7">
        <w:t>h</w:t>
      </w:r>
      <w:r w:rsidR="00CB7BD3" w:rsidRPr="000E47F7">
        <w:t>e</w:t>
      </w:r>
      <w:r w:rsidR="00AA5033" w:rsidRPr="000E47F7">
        <w:t xml:space="preserve"> Court observes that on</w:t>
      </w:r>
      <w:r w:rsidR="00467B30" w:rsidRPr="000E47F7">
        <w:t xml:space="preserve">ly one question of law was certified by the High Court in this appeal.  </w:t>
      </w:r>
      <w:r w:rsidR="00F9065E" w:rsidRPr="000E47F7">
        <w:t>The</w:t>
      </w:r>
      <w:r w:rsidR="000A3743" w:rsidRPr="000E47F7">
        <w:t xml:space="preserve"> </w:t>
      </w:r>
      <w:r w:rsidR="00334B4B" w:rsidRPr="000E47F7">
        <w:t xml:space="preserve">applicant </w:t>
      </w:r>
      <w:r w:rsidR="000A3743" w:rsidRPr="000E47F7">
        <w:t xml:space="preserve">submits that this </w:t>
      </w:r>
      <w:r w:rsidR="00467B30" w:rsidRPr="000E47F7">
        <w:t>Court</w:t>
      </w:r>
      <w:r w:rsidR="000A3743" w:rsidRPr="000E47F7">
        <w:t xml:space="preserve"> </w:t>
      </w:r>
      <w:r w:rsidR="00467B30" w:rsidRPr="000E47F7">
        <w:t xml:space="preserve">is not limited on appeal to the question so certified </w:t>
      </w:r>
      <w:r w:rsidR="000A3743" w:rsidRPr="000E47F7">
        <w:t xml:space="preserve">and, in this regard, refers the Court, </w:t>
      </w:r>
      <w:r w:rsidR="000A3743" w:rsidRPr="000E47F7">
        <w:rPr>
          <w:i/>
        </w:rPr>
        <w:t>inter alia</w:t>
      </w:r>
      <w:r w:rsidR="000A3743" w:rsidRPr="000E47F7">
        <w:t xml:space="preserve">, to the judgment of Clarke J. </w:t>
      </w:r>
      <w:bookmarkStart w:id="4" w:name="_Hlk66807932"/>
      <w:r w:rsidR="00F9065E" w:rsidRPr="000E47F7">
        <w:t xml:space="preserve">in </w:t>
      </w:r>
      <w:r w:rsidR="00F9065E" w:rsidRPr="000E47F7">
        <w:rPr>
          <w:i/>
        </w:rPr>
        <w:t>L.O</w:t>
      </w:r>
      <w:r w:rsidR="008E5771" w:rsidRPr="000E47F7">
        <w:rPr>
          <w:i/>
        </w:rPr>
        <w:t>’</w:t>
      </w:r>
      <w:r w:rsidR="00F9065E" w:rsidRPr="000E47F7">
        <w:rPr>
          <w:i/>
        </w:rPr>
        <w:t>S</w:t>
      </w:r>
      <w:r w:rsidR="00F9065E" w:rsidRPr="000E47F7">
        <w:t>.</w:t>
      </w:r>
      <w:r w:rsidR="00467B30" w:rsidRPr="000E47F7">
        <w:rPr>
          <w:i/>
        </w:rPr>
        <w:t xml:space="preserve"> v. Minister for Health &amp; Children </w:t>
      </w:r>
      <w:r w:rsidR="00467B30" w:rsidRPr="000E47F7">
        <w:t>[2015] IESC</w:t>
      </w:r>
      <w:bookmarkEnd w:id="4"/>
      <w:r w:rsidR="00467B30" w:rsidRPr="000E47F7">
        <w:t xml:space="preserve"> 61</w:t>
      </w:r>
      <w:r w:rsidR="000A3743" w:rsidRPr="000E47F7">
        <w:t>.</w:t>
      </w:r>
      <w:r w:rsidR="002D30EA" w:rsidRPr="000E47F7">
        <w:t xml:space="preserve"> </w:t>
      </w:r>
      <w:r w:rsidR="00622F38" w:rsidRPr="000E47F7">
        <w:t xml:space="preserve"> </w:t>
      </w:r>
      <w:r w:rsidR="00334B4B" w:rsidRPr="000E47F7">
        <w:t>She</w:t>
      </w:r>
      <w:r w:rsidR="00467B30" w:rsidRPr="000E47F7">
        <w:t xml:space="preserve"> also submits that the case on the substantive issue was argued</w:t>
      </w:r>
      <w:r w:rsidR="002E5F0C" w:rsidRPr="000E47F7">
        <w:t xml:space="preserve">, fully, </w:t>
      </w:r>
      <w:r w:rsidR="00467B30" w:rsidRPr="000E47F7">
        <w:t xml:space="preserve">before the High Court and </w:t>
      </w:r>
      <w:r w:rsidR="00F9065E" w:rsidRPr="000E47F7">
        <w:t>that</w:t>
      </w:r>
      <w:r w:rsidR="00467B30" w:rsidRPr="000E47F7">
        <w:t xml:space="preserve"> no new line of submission </w:t>
      </w:r>
      <w:r w:rsidR="004B7A93" w:rsidRPr="000E47F7">
        <w:t xml:space="preserve">has been </w:t>
      </w:r>
      <w:r w:rsidR="00467B30" w:rsidRPr="000E47F7">
        <w:t xml:space="preserve">advanced for the first time on appeal.  </w:t>
      </w:r>
      <w:r w:rsidR="00F9065E" w:rsidRPr="000E47F7">
        <w:t>T</w:t>
      </w:r>
      <w:r w:rsidR="00467B30" w:rsidRPr="000E47F7">
        <w:t xml:space="preserve">he respondent, on the other hand, </w:t>
      </w:r>
      <w:r w:rsidR="00F9065E" w:rsidRPr="000E47F7">
        <w:t>submits that</w:t>
      </w:r>
      <w:r w:rsidR="002E5F0C" w:rsidRPr="000E47F7">
        <w:t xml:space="preserve"> if the appeal on the jurisdictional issue is allowed, then</w:t>
      </w:r>
      <w:r w:rsidR="00F9065E" w:rsidRPr="000E47F7">
        <w:t xml:space="preserve"> the matter should be remitted to the High Court for a re-hearing of the substantive issue.</w:t>
      </w:r>
      <w:r w:rsidR="00467B30" w:rsidRPr="000E47F7">
        <w:t xml:space="preserve"> </w:t>
      </w:r>
      <w:r w:rsidR="00F9065E" w:rsidRPr="000E47F7">
        <w:t xml:space="preserve"> That issue, it is </w:t>
      </w:r>
      <w:r w:rsidR="00334B4B" w:rsidRPr="000E47F7">
        <w:t>claimed</w:t>
      </w:r>
      <w:r w:rsidR="00F9065E" w:rsidRPr="000E47F7">
        <w:t>, should not be determined by this Court ‘</w:t>
      </w:r>
      <w:r w:rsidR="00F9065E" w:rsidRPr="000E47F7">
        <w:rPr>
          <w:i/>
        </w:rPr>
        <w:t>in the first instance</w:t>
      </w:r>
      <w:r w:rsidR="00F9065E" w:rsidRPr="000E47F7">
        <w:t>’ as this would deprive both sides of an appeal or the possibility of an appeal.</w:t>
      </w:r>
    </w:p>
    <w:p w14:paraId="204924A1" w14:textId="6C2AFBA1" w:rsidR="00073487" w:rsidRPr="000E47F7" w:rsidRDefault="003C7D96" w:rsidP="00073487">
      <w:pPr>
        <w:pStyle w:val="ListParagraph"/>
        <w:widowControl w:val="0"/>
        <w:numPr>
          <w:ilvl w:val="0"/>
          <w:numId w:val="1"/>
        </w:numPr>
        <w:tabs>
          <w:tab w:val="left" w:pos="567"/>
        </w:tabs>
        <w:spacing w:line="480" w:lineRule="auto"/>
        <w:jc w:val="both"/>
        <w:rPr>
          <w:rFonts w:eastAsiaTheme="minorHAnsi"/>
          <w:color w:val="000000"/>
          <w:lang w:eastAsia="en-US"/>
        </w:rPr>
      </w:pPr>
      <w:r w:rsidRPr="000E47F7">
        <w:rPr>
          <w:rFonts w:eastAsiaTheme="minorHAnsi"/>
          <w:color w:val="000000"/>
          <w:lang w:eastAsia="en-US"/>
        </w:rPr>
        <w:lastRenderedPageBreak/>
        <w:t>For several reasons, we have come to the view that</w:t>
      </w:r>
      <w:r w:rsidR="00056B23" w:rsidRPr="000E47F7">
        <w:rPr>
          <w:rFonts w:eastAsiaTheme="minorHAnsi"/>
          <w:color w:val="000000"/>
          <w:lang w:eastAsia="en-US"/>
        </w:rPr>
        <w:t xml:space="preserve"> </w:t>
      </w:r>
      <w:r w:rsidRPr="000E47F7">
        <w:rPr>
          <w:rFonts w:eastAsiaTheme="minorHAnsi"/>
          <w:color w:val="000000"/>
          <w:lang w:eastAsia="en-US"/>
        </w:rPr>
        <w:t xml:space="preserve">an order remitting the matter would not be appropriate in this case.  </w:t>
      </w:r>
    </w:p>
    <w:p w14:paraId="5C59F992" w14:textId="77777777" w:rsidR="00635EAE" w:rsidRPr="000E47F7" w:rsidRDefault="00635EAE" w:rsidP="00635EAE">
      <w:pPr>
        <w:pStyle w:val="ListParagraph"/>
        <w:rPr>
          <w:rFonts w:eastAsiaTheme="minorHAnsi"/>
          <w:color w:val="000000"/>
          <w:lang w:eastAsia="en-US"/>
        </w:rPr>
      </w:pPr>
    </w:p>
    <w:p w14:paraId="03ABA7A7" w14:textId="62147E36" w:rsidR="00FC7E52" w:rsidRPr="000E47F7" w:rsidRDefault="00635EAE" w:rsidP="002C6057">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 xml:space="preserve">First, although the High Court certified only one question of law (the jurisdictional </w:t>
      </w:r>
      <w:r w:rsidR="00FD0489" w:rsidRPr="000E47F7">
        <w:rPr>
          <w:rFonts w:eastAsiaTheme="minorHAnsi"/>
          <w:color w:val="000000"/>
          <w:lang w:eastAsia="en-US"/>
        </w:rPr>
        <w:t>question</w:t>
      </w:r>
      <w:r w:rsidRPr="000E47F7">
        <w:rPr>
          <w:rFonts w:eastAsiaTheme="minorHAnsi"/>
          <w:color w:val="000000"/>
          <w:lang w:eastAsia="en-US"/>
        </w:rPr>
        <w:t xml:space="preserve">), there is no legal </w:t>
      </w:r>
      <w:r w:rsidR="008F3DB5" w:rsidRPr="000E47F7">
        <w:rPr>
          <w:rFonts w:eastAsiaTheme="minorHAnsi"/>
          <w:color w:val="000000"/>
          <w:lang w:eastAsia="en-US"/>
        </w:rPr>
        <w:t>impediment</w:t>
      </w:r>
      <w:r w:rsidRPr="000E47F7">
        <w:rPr>
          <w:rFonts w:eastAsiaTheme="minorHAnsi"/>
          <w:color w:val="000000"/>
          <w:lang w:eastAsia="en-US"/>
        </w:rPr>
        <w:t xml:space="preserve"> </w:t>
      </w:r>
      <w:r w:rsidR="00FC7E52" w:rsidRPr="000E47F7">
        <w:rPr>
          <w:rFonts w:eastAsiaTheme="minorHAnsi"/>
          <w:color w:val="000000"/>
          <w:lang w:eastAsia="en-US"/>
        </w:rPr>
        <w:t>to this Court</w:t>
      </w:r>
      <w:r w:rsidRPr="000E47F7">
        <w:rPr>
          <w:rFonts w:eastAsiaTheme="minorHAnsi"/>
          <w:color w:val="000000"/>
          <w:lang w:eastAsia="en-US"/>
        </w:rPr>
        <w:t xml:space="preserve"> considering</w:t>
      </w:r>
      <w:r w:rsidR="008F3DB5" w:rsidRPr="000E47F7">
        <w:rPr>
          <w:rFonts w:eastAsiaTheme="minorHAnsi"/>
          <w:color w:val="000000"/>
          <w:lang w:eastAsia="en-US"/>
        </w:rPr>
        <w:t xml:space="preserve"> </w:t>
      </w:r>
      <w:r w:rsidR="00FC7E52" w:rsidRPr="000E47F7">
        <w:rPr>
          <w:rFonts w:eastAsiaTheme="minorHAnsi"/>
          <w:color w:val="000000"/>
          <w:lang w:eastAsia="en-US"/>
        </w:rPr>
        <w:t xml:space="preserve">other </w:t>
      </w:r>
      <w:r w:rsidR="00FD0489" w:rsidRPr="000E47F7">
        <w:rPr>
          <w:rFonts w:eastAsiaTheme="minorHAnsi"/>
          <w:color w:val="000000"/>
          <w:lang w:eastAsia="en-US"/>
        </w:rPr>
        <w:t xml:space="preserve">issues </w:t>
      </w:r>
      <w:r w:rsidR="00FC7E52" w:rsidRPr="000E47F7">
        <w:rPr>
          <w:rFonts w:eastAsiaTheme="minorHAnsi"/>
          <w:color w:val="000000"/>
          <w:lang w:eastAsia="en-US"/>
        </w:rPr>
        <w:t xml:space="preserve">of </w:t>
      </w:r>
      <w:r w:rsidR="004B7A93" w:rsidRPr="000E47F7">
        <w:rPr>
          <w:rFonts w:eastAsiaTheme="minorHAnsi"/>
          <w:color w:val="000000"/>
          <w:lang w:eastAsia="en-US"/>
        </w:rPr>
        <w:t>law that come within the ambit of</w:t>
      </w:r>
      <w:r w:rsidR="00FC7E52" w:rsidRPr="000E47F7">
        <w:rPr>
          <w:rFonts w:eastAsiaTheme="minorHAnsi"/>
          <w:color w:val="000000"/>
          <w:lang w:eastAsia="en-US"/>
        </w:rPr>
        <w:t xml:space="preserve"> this appeal.  </w:t>
      </w:r>
      <w:r w:rsidR="008F3DB5" w:rsidRPr="000E47F7">
        <w:rPr>
          <w:rFonts w:eastAsiaTheme="minorHAnsi"/>
          <w:color w:val="000000"/>
          <w:lang w:eastAsia="en-US"/>
        </w:rPr>
        <w:t xml:space="preserve"> </w:t>
      </w:r>
      <w:r w:rsidR="004B7A93" w:rsidRPr="000E47F7">
        <w:rPr>
          <w:rFonts w:eastAsiaTheme="minorHAnsi"/>
          <w:color w:val="000000"/>
          <w:lang w:eastAsia="en-US"/>
        </w:rPr>
        <w:t xml:space="preserve">As Hardiman J. observed </w:t>
      </w:r>
      <w:r w:rsidR="00745367" w:rsidRPr="000E47F7">
        <w:rPr>
          <w:rFonts w:eastAsiaTheme="minorHAnsi"/>
          <w:color w:val="000000"/>
          <w:lang w:eastAsia="en-US"/>
        </w:rPr>
        <w:t>(at para.</w:t>
      </w:r>
      <w:r w:rsidR="00F465ED" w:rsidRPr="000E47F7">
        <w:rPr>
          <w:rFonts w:eastAsiaTheme="minorHAnsi"/>
          <w:color w:val="000000"/>
          <w:lang w:eastAsia="en-US"/>
        </w:rPr>
        <w:t xml:space="preserve"> 2</w:t>
      </w:r>
      <w:r w:rsidR="002C6057" w:rsidRPr="000E47F7">
        <w:rPr>
          <w:rFonts w:eastAsiaTheme="minorHAnsi"/>
          <w:color w:val="000000"/>
          <w:lang w:eastAsia="en-US"/>
        </w:rPr>
        <w:t>2</w:t>
      </w:r>
      <w:r w:rsidR="00745367" w:rsidRPr="000E47F7">
        <w:rPr>
          <w:rFonts w:eastAsiaTheme="minorHAnsi"/>
          <w:color w:val="000000"/>
          <w:lang w:eastAsia="en-US"/>
        </w:rPr>
        <w:t xml:space="preserve">) </w:t>
      </w:r>
      <w:r w:rsidR="004B7A93" w:rsidRPr="000E47F7">
        <w:rPr>
          <w:rFonts w:eastAsiaTheme="minorHAnsi"/>
          <w:color w:val="000000"/>
          <w:lang w:eastAsia="en-US"/>
        </w:rPr>
        <w:t xml:space="preserve">in </w:t>
      </w:r>
      <w:r w:rsidR="004B7A93" w:rsidRPr="000E47F7">
        <w:rPr>
          <w:rFonts w:eastAsiaTheme="minorHAnsi"/>
          <w:i/>
          <w:color w:val="000000"/>
          <w:lang w:eastAsia="en-US"/>
        </w:rPr>
        <w:t>The Minister for Justice, Equality and Law Reform v Connolly</w:t>
      </w:r>
      <w:r w:rsidR="004B7A93" w:rsidRPr="000E47F7">
        <w:rPr>
          <w:rFonts w:eastAsiaTheme="minorHAnsi"/>
          <w:color w:val="000000"/>
          <w:lang w:eastAsia="en-US"/>
        </w:rPr>
        <w:t xml:space="preserve"> [2014] </w:t>
      </w:r>
      <w:r w:rsidR="002C6057" w:rsidRPr="000E47F7">
        <w:rPr>
          <w:rFonts w:eastAsiaTheme="minorHAnsi"/>
          <w:color w:val="000000"/>
          <w:lang w:eastAsia="en-US"/>
        </w:rPr>
        <w:t>1 I.R. 720</w:t>
      </w:r>
      <w:r w:rsidR="004B7A93" w:rsidRPr="000E47F7">
        <w:rPr>
          <w:rFonts w:eastAsiaTheme="minorHAnsi"/>
          <w:color w:val="000000"/>
          <w:lang w:eastAsia="en-US"/>
        </w:rPr>
        <w:t>,</w:t>
      </w:r>
      <w:r w:rsidR="00FC7E52" w:rsidRPr="000E47F7">
        <w:rPr>
          <w:rFonts w:eastAsiaTheme="minorHAnsi"/>
          <w:color w:val="000000"/>
          <w:lang w:eastAsia="en-US"/>
        </w:rPr>
        <w:t xml:space="preserve"> an appellate </w:t>
      </w:r>
      <w:r w:rsidR="00F465ED" w:rsidRPr="000E47F7">
        <w:rPr>
          <w:rFonts w:eastAsiaTheme="minorHAnsi"/>
          <w:color w:val="000000"/>
          <w:lang w:eastAsia="en-US"/>
        </w:rPr>
        <w:t>court</w:t>
      </w:r>
      <w:r w:rsidR="00162168" w:rsidRPr="000E47F7">
        <w:rPr>
          <w:rFonts w:eastAsiaTheme="minorHAnsi"/>
          <w:color w:val="000000"/>
          <w:lang w:eastAsia="en-US"/>
        </w:rPr>
        <w:t>,</w:t>
      </w:r>
      <w:r w:rsidR="00F465ED" w:rsidRPr="000E47F7">
        <w:rPr>
          <w:rFonts w:eastAsiaTheme="minorHAnsi"/>
          <w:color w:val="000000"/>
          <w:lang w:eastAsia="en-US"/>
        </w:rPr>
        <w:t xml:space="preserve"> o</w:t>
      </w:r>
      <w:r w:rsidR="00FC7E52" w:rsidRPr="000E47F7">
        <w:rPr>
          <w:rFonts w:eastAsiaTheme="minorHAnsi"/>
          <w:color w:val="000000"/>
          <w:lang w:eastAsia="en-US"/>
        </w:rPr>
        <w:t xml:space="preserve">nce </w:t>
      </w:r>
      <w:r w:rsidR="00F465ED" w:rsidRPr="000E47F7">
        <w:rPr>
          <w:rFonts w:eastAsiaTheme="minorHAnsi"/>
          <w:color w:val="000000"/>
          <w:lang w:eastAsia="en-US"/>
        </w:rPr>
        <w:t>seized</w:t>
      </w:r>
      <w:r w:rsidR="00FC7E52" w:rsidRPr="000E47F7">
        <w:rPr>
          <w:rFonts w:eastAsiaTheme="minorHAnsi"/>
          <w:color w:val="000000"/>
          <w:lang w:eastAsia="en-US"/>
        </w:rPr>
        <w:t xml:space="preserve"> of an appeal, </w:t>
      </w:r>
      <w:r w:rsidR="00162168" w:rsidRPr="000E47F7">
        <w:rPr>
          <w:rFonts w:eastAsiaTheme="minorHAnsi"/>
          <w:color w:val="000000"/>
          <w:lang w:eastAsia="en-US"/>
        </w:rPr>
        <w:t>‘</w:t>
      </w:r>
      <w:r w:rsidR="002C6057" w:rsidRPr="000E47F7">
        <w:rPr>
          <w:i/>
        </w:rPr>
        <w:t>can</w:t>
      </w:r>
      <w:r w:rsidR="00FC7E52" w:rsidRPr="000E47F7">
        <w:rPr>
          <w:i/>
        </w:rPr>
        <w:t xml:space="preserve"> decide any issue </w:t>
      </w:r>
      <w:r w:rsidR="002C6057" w:rsidRPr="000E47F7">
        <w:rPr>
          <w:i/>
        </w:rPr>
        <w:t xml:space="preserve">and make any order which </w:t>
      </w:r>
      <w:r w:rsidR="00FC7E52" w:rsidRPr="000E47F7">
        <w:rPr>
          <w:i/>
        </w:rPr>
        <w:t>the High Court decided or might have decided</w:t>
      </w:r>
      <w:r w:rsidR="00162168" w:rsidRPr="000E47F7">
        <w:rPr>
          <w:i/>
        </w:rPr>
        <w:t>’</w:t>
      </w:r>
      <w:r w:rsidR="00FC7E52" w:rsidRPr="000E47F7">
        <w:rPr>
          <w:rFonts w:eastAsiaTheme="minorHAnsi"/>
          <w:color w:val="000000"/>
          <w:lang w:eastAsia="en-US"/>
        </w:rPr>
        <w:t xml:space="preserve">.  </w:t>
      </w:r>
      <w:r w:rsidR="0045611E" w:rsidRPr="000E47F7">
        <w:rPr>
          <w:rFonts w:eastAsiaTheme="minorHAnsi"/>
          <w:color w:val="000000"/>
          <w:lang w:eastAsia="en-US"/>
        </w:rPr>
        <w:t xml:space="preserve">It is, therefore, open to this Court </w:t>
      </w:r>
      <w:r w:rsidR="00BE33D1" w:rsidRPr="000E47F7">
        <w:rPr>
          <w:rFonts w:eastAsiaTheme="minorHAnsi"/>
          <w:color w:val="000000"/>
          <w:lang w:eastAsia="en-US"/>
        </w:rPr>
        <w:t xml:space="preserve">to consider any point which arises in this appeal and is not confined to the particular point of law which was </w:t>
      </w:r>
      <w:r w:rsidR="00FC7E52" w:rsidRPr="000E47F7">
        <w:t>the subject of the High Court certificate</w:t>
      </w:r>
      <w:r w:rsidR="00BE33D1" w:rsidRPr="000E47F7">
        <w:t>.</w:t>
      </w:r>
    </w:p>
    <w:p w14:paraId="6B4B6F2F" w14:textId="77777777" w:rsidR="00FC7E52" w:rsidRPr="000E47F7" w:rsidRDefault="00FC7E52" w:rsidP="00FC7E52">
      <w:pPr>
        <w:pStyle w:val="ListParagraph"/>
        <w:rPr>
          <w:rFonts w:eastAsiaTheme="minorHAnsi"/>
          <w:color w:val="000000"/>
          <w:lang w:eastAsia="en-US"/>
        </w:rPr>
      </w:pPr>
    </w:p>
    <w:p w14:paraId="55DE7BDB" w14:textId="1A748AE6" w:rsidR="00E416E2" w:rsidRPr="000E47F7" w:rsidRDefault="00FC7E52" w:rsidP="0093553A">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 xml:space="preserve">Second, </w:t>
      </w:r>
      <w:r w:rsidR="00745367" w:rsidRPr="000E47F7">
        <w:rPr>
          <w:rFonts w:eastAsiaTheme="minorHAnsi"/>
          <w:color w:val="000000"/>
          <w:lang w:eastAsia="en-US"/>
        </w:rPr>
        <w:t>notwithstanding t</w:t>
      </w:r>
      <w:r w:rsidRPr="000E47F7">
        <w:rPr>
          <w:rFonts w:eastAsiaTheme="minorHAnsi"/>
          <w:color w:val="000000"/>
          <w:lang w:eastAsia="en-US"/>
        </w:rPr>
        <w:t>he</w:t>
      </w:r>
      <w:r w:rsidR="008F3DB5" w:rsidRPr="000E47F7">
        <w:rPr>
          <w:rFonts w:eastAsiaTheme="minorHAnsi"/>
          <w:color w:val="000000"/>
          <w:lang w:eastAsia="en-US"/>
        </w:rPr>
        <w:t xml:space="preserve"> trial judge’s fundamental error </w:t>
      </w:r>
      <w:r w:rsidR="00745367" w:rsidRPr="000E47F7">
        <w:rPr>
          <w:rFonts w:eastAsiaTheme="minorHAnsi"/>
          <w:color w:val="000000"/>
          <w:lang w:eastAsia="en-US"/>
        </w:rPr>
        <w:t>on the jurisdictional issue</w:t>
      </w:r>
      <w:r w:rsidRPr="000E47F7">
        <w:rPr>
          <w:rFonts w:eastAsiaTheme="minorHAnsi"/>
          <w:color w:val="000000"/>
          <w:lang w:eastAsia="en-US"/>
        </w:rPr>
        <w:t>, the parties agree that that substantive Article 8 point, whilst not decided on its merits, was</w:t>
      </w:r>
      <w:r w:rsidR="00FD0489" w:rsidRPr="000E47F7">
        <w:rPr>
          <w:rFonts w:eastAsiaTheme="minorHAnsi"/>
          <w:color w:val="000000"/>
          <w:lang w:eastAsia="en-US"/>
        </w:rPr>
        <w:t xml:space="preserve"> raised and</w:t>
      </w:r>
      <w:r w:rsidR="00745367" w:rsidRPr="000E47F7">
        <w:rPr>
          <w:rFonts w:eastAsiaTheme="minorHAnsi"/>
          <w:color w:val="000000"/>
          <w:lang w:eastAsia="en-US"/>
        </w:rPr>
        <w:t xml:space="preserve"> </w:t>
      </w:r>
      <w:r w:rsidRPr="000E47F7">
        <w:rPr>
          <w:rFonts w:eastAsiaTheme="minorHAnsi"/>
          <w:color w:val="000000"/>
          <w:lang w:eastAsia="en-US"/>
        </w:rPr>
        <w:t>argued, fully, by both sides in the proceedings before the High Court.  The</w:t>
      </w:r>
      <w:r w:rsidR="00FD0489" w:rsidRPr="000E47F7">
        <w:rPr>
          <w:rFonts w:eastAsiaTheme="minorHAnsi"/>
          <w:color w:val="000000"/>
          <w:lang w:eastAsia="en-US"/>
        </w:rPr>
        <w:t xml:space="preserve"> fact that the</w:t>
      </w:r>
      <w:r w:rsidRPr="000E47F7">
        <w:rPr>
          <w:rFonts w:eastAsiaTheme="minorHAnsi"/>
          <w:color w:val="000000"/>
          <w:lang w:eastAsia="en-US"/>
        </w:rPr>
        <w:t xml:space="preserve"> trial judge’s </w:t>
      </w:r>
      <w:r w:rsidR="008F3DB5" w:rsidRPr="000E47F7">
        <w:rPr>
          <w:rFonts w:eastAsiaTheme="minorHAnsi"/>
          <w:color w:val="000000"/>
          <w:lang w:eastAsia="en-US"/>
        </w:rPr>
        <w:t>finding reflected neither the argument</w:t>
      </w:r>
      <w:r w:rsidRPr="000E47F7">
        <w:rPr>
          <w:rFonts w:eastAsiaTheme="minorHAnsi"/>
          <w:color w:val="000000"/>
          <w:lang w:eastAsia="en-US"/>
        </w:rPr>
        <w:t xml:space="preserve">s </w:t>
      </w:r>
      <w:r w:rsidR="008F3DB5" w:rsidRPr="000E47F7">
        <w:rPr>
          <w:rFonts w:eastAsiaTheme="minorHAnsi"/>
          <w:color w:val="000000"/>
          <w:lang w:eastAsia="en-US"/>
        </w:rPr>
        <w:t xml:space="preserve">pleaded </w:t>
      </w:r>
      <w:r w:rsidRPr="000E47F7">
        <w:rPr>
          <w:rFonts w:eastAsiaTheme="minorHAnsi"/>
          <w:color w:val="000000"/>
          <w:lang w:eastAsia="en-US"/>
        </w:rPr>
        <w:t>nor</w:t>
      </w:r>
      <w:r w:rsidR="008F3DB5" w:rsidRPr="000E47F7">
        <w:rPr>
          <w:rFonts w:eastAsiaTheme="minorHAnsi"/>
          <w:color w:val="000000"/>
          <w:lang w:eastAsia="en-US"/>
        </w:rPr>
        <w:t xml:space="preserve"> advanced </w:t>
      </w:r>
      <w:r w:rsidRPr="000E47F7">
        <w:rPr>
          <w:rFonts w:eastAsiaTheme="minorHAnsi"/>
          <w:color w:val="000000"/>
          <w:lang w:eastAsia="en-US"/>
        </w:rPr>
        <w:t>on the merits</w:t>
      </w:r>
      <w:r w:rsidR="00FD0489" w:rsidRPr="000E47F7">
        <w:rPr>
          <w:rFonts w:eastAsiaTheme="minorHAnsi"/>
          <w:color w:val="000000"/>
          <w:lang w:eastAsia="en-US"/>
        </w:rPr>
        <w:t>, does not detract from the fact that those arguments were canvassed</w:t>
      </w:r>
      <w:r w:rsidR="00745367" w:rsidRPr="000E47F7">
        <w:rPr>
          <w:rFonts w:eastAsiaTheme="minorHAnsi"/>
          <w:color w:val="000000"/>
          <w:lang w:eastAsia="en-US"/>
        </w:rPr>
        <w:t xml:space="preserve"> and explored</w:t>
      </w:r>
      <w:r w:rsidR="008F3DB5" w:rsidRPr="000E47F7">
        <w:rPr>
          <w:rFonts w:eastAsiaTheme="minorHAnsi"/>
          <w:color w:val="000000"/>
          <w:lang w:eastAsia="en-US"/>
        </w:rPr>
        <w:t xml:space="preserve">.  </w:t>
      </w:r>
      <w:r w:rsidR="00FD0489" w:rsidRPr="000E47F7">
        <w:rPr>
          <w:rFonts w:eastAsiaTheme="minorHAnsi"/>
          <w:color w:val="000000"/>
          <w:lang w:eastAsia="en-US"/>
        </w:rPr>
        <w:t>Where</w:t>
      </w:r>
      <w:r w:rsidRPr="000E47F7">
        <w:rPr>
          <w:rFonts w:eastAsiaTheme="minorHAnsi"/>
          <w:color w:val="000000"/>
          <w:lang w:eastAsia="en-US"/>
        </w:rPr>
        <w:t xml:space="preserve"> arguments </w:t>
      </w:r>
      <w:r w:rsidR="00FD0489" w:rsidRPr="000E47F7">
        <w:rPr>
          <w:rFonts w:eastAsiaTheme="minorHAnsi"/>
          <w:color w:val="000000"/>
          <w:lang w:eastAsia="en-US"/>
        </w:rPr>
        <w:t>have been advanced</w:t>
      </w:r>
      <w:r w:rsidRPr="000E47F7">
        <w:rPr>
          <w:rFonts w:eastAsiaTheme="minorHAnsi"/>
          <w:color w:val="000000"/>
          <w:lang w:eastAsia="en-US"/>
        </w:rPr>
        <w:t xml:space="preserve"> on an issue </w:t>
      </w:r>
      <w:r w:rsidR="00E416E2" w:rsidRPr="000E47F7">
        <w:rPr>
          <w:rFonts w:eastAsiaTheme="minorHAnsi"/>
          <w:color w:val="000000"/>
          <w:lang w:eastAsia="en-US"/>
        </w:rPr>
        <w:t xml:space="preserve">that was raised </w:t>
      </w:r>
      <w:r w:rsidR="00FD0489" w:rsidRPr="000E47F7">
        <w:rPr>
          <w:rFonts w:eastAsiaTheme="minorHAnsi"/>
          <w:color w:val="000000"/>
          <w:lang w:eastAsia="en-US"/>
        </w:rPr>
        <w:t xml:space="preserve">in </w:t>
      </w:r>
      <w:r w:rsidRPr="000E47F7">
        <w:rPr>
          <w:rFonts w:eastAsiaTheme="minorHAnsi"/>
          <w:color w:val="000000"/>
          <w:lang w:eastAsia="en-US"/>
        </w:rPr>
        <w:t>the court below</w:t>
      </w:r>
      <w:r w:rsidR="00FD0489" w:rsidRPr="000E47F7">
        <w:rPr>
          <w:rFonts w:eastAsiaTheme="minorHAnsi"/>
          <w:color w:val="000000"/>
          <w:lang w:eastAsia="en-US"/>
        </w:rPr>
        <w:t>,</w:t>
      </w:r>
      <w:r w:rsidRPr="000E47F7">
        <w:rPr>
          <w:rFonts w:eastAsiaTheme="minorHAnsi"/>
          <w:color w:val="000000"/>
          <w:lang w:eastAsia="en-US"/>
        </w:rPr>
        <w:t xml:space="preserve"> t</w:t>
      </w:r>
      <w:r w:rsidR="003C7D96" w:rsidRPr="000E47F7">
        <w:rPr>
          <w:rFonts w:eastAsiaTheme="minorHAnsi"/>
          <w:color w:val="000000"/>
          <w:lang w:eastAsia="en-US"/>
        </w:rPr>
        <w:t xml:space="preserve">his Court has jurisdiction to determine </w:t>
      </w:r>
      <w:r w:rsidRPr="000E47F7">
        <w:rPr>
          <w:rFonts w:eastAsiaTheme="minorHAnsi"/>
          <w:color w:val="000000"/>
          <w:lang w:eastAsia="en-US"/>
        </w:rPr>
        <w:t xml:space="preserve">that </w:t>
      </w:r>
      <w:r w:rsidR="003C7D96" w:rsidRPr="000E47F7">
        <w:rPr>
          <w:rFonts w:eastAsiaTheme="minorHAnsi"/>
          <w:color w:val="000000"/>
          <w:lang w:eastAsia="en-US"/>
        </w:rPr>
        <w:t xml:space="preserve">issue. </w:t>
      </w:r>
      <w:r w:rsidR="00BE33D1" w:rsidRPr="000E47F7">
        <w:rPr>
          <w:rFonts w:eastAsiaTheme="minorHAnsi"/>
          <w:color w:val="000000"/>
          <w:lang w:eastAsia="en-US"/>
        </w:rPr>
        <w:t xml:space="preserve">In </w:t>
      </w:r>
      <w:r w:rsidR="00BE33D1" w:rsidRPr="000E47F7">
        <w:rPr>
          <w:rFonts w:eastAsiaTheme="minorHAnsi"/>
          <w:i/>
          <w:color w:val="000000"/>
          <w:lang w:eastAsia="en-US"/>
        </w:rPr>
        <w:t>A.A. v Medical Council</w:t>
      </w:r>
      <w:r w:rsidR="00BE33D1" w:rsidRPr="000E47F7">
        <w:rPr>
          <w:rFonts w:eastAsiaTheme="minorHAnsi"/>
          <w:color w:val="000000"/>
          <w:lang w:eastAsia="en-US"/>
        </w:rPr>
        <w:t xml:space="preserve"> [2003] 4 I.R. 302 it was held </w:t>
      </w:r>
      <w:r w:rsidR="0093553A" w:rsidRPr="000E47F7">
        <w:rPr>
          <w:rFonts w:eastAsiaTheme="minorHAnsi"/>
          <w:color w:val="000000"/>
          <w:lang w:eastAsia="en-US"/>
        </w:rPr>
        <w:t xml:space="preserve">by the Supreme Court </w:t>
      </w:r>
      <w:r w:rsidR="00BE33D1" w:rsidRPr="000E47F7">
        <w:rPr>
          <w:rFonts w:eastAsiaTheme="minorHAnsi"/>
          <w:color w:val="000000"/>
          <w:lang w:eastAsia="en-US"/>
        </w:rPr>
        <w:t xml:space="preserve">(at p. 308) that </w:t>
      </w:r>
      <w:r w:rsidR="00BE33D1" w:rsidRPr="000E47F7">
        <w:rPr>
          <w:rFonts w:eastAsiaTheme="minorHAnsi"/>
          <w:i/>
          <w:color w:val="000000"/>
          <w:lang w:eastAsia="en-US"/>
        </w:rPr>
        <w:t xml:space="preserve">‘. . . the court   </w:t>
      </w:r>
      <w:r w:rsidR="0093553A" w:rsidRPr="000E47F7">
        <w:rPr>
          <w:rFonts w:eastAsiaTheme="minorHAnsi"/>
          <w:i/>
          <w:color w:val="000000"/>
          <w:lang w:eastAsia="en-US"/>
        </w:rPr>
        <w:t>has jurisdiction to consider all the issues defined by the pleadings which were the subject of evidence or submissions in the High Court and the court is not automatically precluded in every cases from considering such an issue simply because it has not been the subject of a determination by the High Court Judge</w:t>
      </w:r>
      <w:r w:rsidR="0093553A" w:rsidRPr="000E47F7">
        <w:rPr>
          <w:rFonts w:eastAsiaTheme="minorHAnsi"/>
          <w:color w:val="000000"/>
          <w:lang w:eastAsia="en-US"/>
        </w:rPr>
        <w:t>.’</w:t>
      </w:r>
      <w:r w:rsidR="0093553A" w:rsidRPr="000E47F7">
        <w:t xml:space="preserve"> The point was </w:t>
      </w:r>
      <w:r w:rsidR="002C6D91" w:rsidRPr="000E47F7">
        <w:t>underscored</w:t>
      </w:r>
      <w:r w:rsidR="00606457" w:rsidRPr="000E47F7">
        <w:t xml:space="preserve"> again</w:t>
      </w:r>
      <w:r w:rsidR="0093553A" w:rsidRPr="000E47F7">
        <w:t xml:space="preserve"> by the Supreme Court in</w:t>
      </w:r>
      <w:r w:rsidR="003C7D96" w:rsidRPr="000E47F7">
        <w:rPr>
          <w:rFonts w:eastAsiaTheme="minorHAnsi"/>
          <w:color w:val="000000"/>
          <w:lang w:eastAsia="en-US"/>
        </w:rPr>
        <w:t xml:space="preserve"> </w:t>
      </w:r>
      <w:r w:rsidR="003C7D96" w:rsidRPr="000E47F7">
        <w:rPr>
          <w:rFonts w:eastAsiaTheme="minorHAnsi"/>
          <w:i/>
          <w:iCs/>
          <w:color w:val="000000"/>
          <w:lang w:eastAsia="en-US"/>
        </w:rPr>
        <w:t>McGowan v. The Labour Court</w:t>
      </w:r>
      <w:r w:rsidR="003C7D96" w:rsidRPr="000E47F7">
        <w:rPr>
          <w:rFonts w:eastAsiaTheme="minorHAnsi"/>
          <w:color w:val="000000"/>
          <w:lang w:eastAsia="en-US"/>
        </w:rPr>
        <w:t xml:space="preserve"> [2013] 3 I.R. 718</w:t>
      </w:r>
      <w:r w:rsidR="00606457" w:rsidRPr="000E47F7">
        <w:rPr>
          <w:rFonts w:eastAsiaTheme="minorHAnsi"/>
          <w:color w:val="000000"/>
          <w:lang w:eastAsia="en-US"/>
        </w:rPr>
        <w:t xml:space="preserve"> where</w:t>
      </w:r>
      <w:r w:rsidR="0093553A" w:rsidRPr="000E47F7">
        <w:rPr>
          <w:rFonts w:eastAsiaTheme="minorHAnsi"/>
          <w:color w:val="000000"/>
          <w:lang w:eastAsia="en-US"/>
        </w:rPr>
        <w:t xml:space="preserve"> it held</w:t>
      </w:r>
      <w:r w:rsidR="003C7D96" w:rsidRPr="000E47F7">
        <w:rPr>
          <w:rFonts w:eastAsiaTheme="minorHAnsi"/>
          <w:color w:val="000000"/>
          <w:lang w:eastAsia="en-US"/>
        </w:rPr>
        <w:t xml:space="preserve"> that an appellate court may determine an issue that was fully argued </w:t>
      </w:r>
      <w:r w:rsidR="00117385" w:rsidRPr="000E47F7">
        <w:rPr>
          <w:rFonts w:eastAsiaTheme="minorHAnsi"/>
          <w:color w:val="000000"/>
          <w:lang w:eastAsia="en-US"/>
        </w:rPr>
        <w:t>before</w:t>
      </w:r>
      <w:r w:rsidR="0093553A" w:rsidRPr="000E47F7">
        <w:rPr>
          <w:rFonts w:eastAsiaTheme="minorHAnsi"/>
          <w:color w:val="000000"/>
          <w:lang w:eastAsia="en-US"/>
        </w:rPr>
        <w:t xml:space="preserve">, </w:t>
      </w:r>
      <w:r w:rsidR="003C7D96" w:rsidRPr="000E47F7">
        <w:rPr>
          <w:rFonts w:eastAsiaTheme="minorHAnsi"/>
          <w:color w:val="000000"/>
          <w:lang w:eastAsia="en-US"/>
        </w:rPr>
        <w:t xml:space="preserve">but not </w:t>
      </w:r>
      <w:r w:rsidR="0093553A" w:rsidRPr="000E47F7">
        <w:rPr>
          <w:rFonts w:eastAsiaTheme="minorHAnsi"/>
          <w:color w:val="000000"/>
          <w:lang w:eastAsia="en-US"/>
        </w:rPr>
        <w:t>determined</w:t>
      </w:r>
      <w:r w:rsidR="003C7D96" w:rsidRPr="000E47F7">
        <w:rPr>
          <w:rFonts w:eastAsiaTheme="minorHAnsi"/>
          <w:color w:val="000000"/>
          <w:lang w:eastAsia="en-US"/>
        </w:rPr>
        <w:t xml:space="preserve"> by</w:t>
      </w:r>
      <w:r w:rsidR="0093553A" w:rsidRPr="000E47F7">
        <w:rPr>
          <w:rFonts w:eastAsiaTheme="minorHAnsi"/>
          <w:color w:val="000000"/>
          <w:lang w:eastAsia="en-US"/>
        </w:rPr>
        <w:t>,</w:t>
      </w:r>
      <w:r w:rsidR="003C7D96" w:rsidRPr="000E47F7">
        <w:rPr>
          <w:rFonts w:eastAsiaTheme="minorHAnsi"/>
          <w:color w:val="000000"/>
          <w:lang w:eastAsia="en-US"/>
        </w:rPr>
        <w:t xml:space="preserve"> the High Court</w:t>
      </w:r>
      <w:r w:rsidR="00606457" w:rsidRPr="000E47F7">
        <w:rPr>
          <w:rFonts w:eastAsiaTheme="minorHAnsi"/>
          <w:color w:val="000000"/>
          <w:lang w:eastAsia="en-US"/>
        </w:rPr>
        <w:t>, where the interests of justice so require.</w:t>
      </w:r>
    </w:p>
    <w:p w14:paraId="576192FB" w14:textId="77777777" w:rsidR="007824DA" w:rsidRPr="000E47F7" w:rsidRDefault="007824DA" w:rsidP="007824DA">
      <w:pPr>
        <w:pStyle w:val="ListParagraph"/>
        <w:widowControl w:val="0"/>
        <w:tabs>
          <w:tab w:val="left" w:pos="567"/>
        </w:tabs>
        <w:spacing w:line="480" w:lineRule="auto"/>
        <w:ind w:left="0"/>
        <w:jc w:val="both"/>
        <w:rPr>
          <w:b/>
          <w:u w:val="single"/>
        </w:rPr>
      </w:pPr>
    </w:p>
    <w:p w14:paraId="212BDFE3" w14:textId="60BFD8C1" w:rsidR="003C7D96" w:rsidRPr="000E47F7" w:rsidRDefault="00F465ED" w:rsidP="003C7D96">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lastRenderedPageBreak/>
        <w:t>Moreover</w:t>
      </w:r>
      <w:r w:rsidR="003C7D96" w:rsidRPr="000E47F7">
        <w:rPr>
          <w:rFonts w:eastAsiaTheme="minorHAnsi"/>
          <w:color w:val="000000"/>
          <w:lang w:eastAsia="en-US"/>
        </w:rPr>
        <w:t>, Order 86A, r.</w:t>
      </w:r>
      <w:r w:rsidR="00DE3991" w:rsidRPr="000E47F7">
        <w:rPr>
          <w:rFonts w:eastAsiaTheme="minorHAnsi"/>
          <w:color w:val="000000"/>
          <w:lang w:eastAsia="en-US"/>
        </w:rPr>
        <w:t xml:space="preserve"> </w:t>
      </w:r>
      <w:r w:rsidR="003C7D96" w:rsidRPr="000E47F7">
        <w:rPr>
          <w:rFonts w:eastAsiaTheme="minorHAnsi"/>
          <w:color w:val="000000"/>
          <w:lang w:eastAsia="en-US"/>
        </w:rPr>
        <w:t>2(1) RSC also expressly recognises that this Court ‘</w:t>
      </w:r>
      <w:r w:rsidR="003C7D96" w:rsidRPr="000E47F7">
        <w:rPr>
          <w:rFonts w:eastAsiaTheme="minorHAnsi"/>
          <w:i/>
          <w:iCs/>
          <w:color w:val="000000"/>
          <w:lang w:eastAsia="en-US"/>
        </w:rPr>
        <w:t>may exercise or perform all the powers and duties of the court below</w:t>
      </w:r>
      <w:r w:rsidR="003C7D96" w:rsidRPr="000E47F7">
        <w:rPr>
          <w:rFonts w:eastAsiaTheme="minorHAnsi"/>
          <w:color w:val="000000"/>
          <w:lang w:eastAsia="en-US"/>
        </w:rPr>
        <w:t>’ and ‘</w:t>
      </w:r>
      <w:r w:rsidR="003C7D96" w:rsidRPr="000E47F7">
        <w:rPr>
          <w:rFonts w:eastAsiaTheme="minorHAnsi"/>
          <w:i/>
          <w:iCs/>
          <w:color w:val="000000"/>
          <w:lang w:eastAsia="en-US"/>
        </w:rPr>
        <w:t>may give any judgment and make any order which ought to have been given or made and may make any further or other order as the case requires’</w:t>
      </w:r>
      <w:r w:rsidR="003C7D96" w:rsidRPr="000E47F7">
        <w:rPr>
          <w:rFonts w:eastAsiaTheme="minorHAnsi"/>
          <w:color w:val="000000"/>
          <w:lang w:eastAsia="en-US"/>
        </w:rPr>
        <w:t xml:space="preserve">.  </w:t>
      </w:r>
    </w:p>
    <w:p w14:paraId="3AEB4AFE" w14:textId="77777777" w:rsidR="001F23C3" w:rsidRPr="000E47F7" w:rsidRDefault="001F23C3" w:rsidP="001F23C3">
      <w:pPr>
        <w:pStyle w:val="ListParagraph"/>
        <w:widowControl w:val="0"/>
        <w:spacing w:line="480" w:lineRule="auto"/>
        <w:ind w:left="0"/>
        <w:jc w:val="both"/>
        <w:rPr>
          <w:b/>
          <w:u w:val="single"/>
        </w:rPr>
      </w:pPr>
    </w:p>
    <w:p w14:paraId="589ACB54" w14:textId="77777777" w:rsidR="00E26BA4" w:rsidRPr="000E47F7" w:rsidRDefault="00F465ED" w:rsidP="00EE0FCE">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Additionally</w:t>
      </w:r>
      <w:r w:rsidR="003C7D96" w:rsidRPr="000E47F7">
        <w:rPr>
          <w:rFonts w:eastAsiaTheme="minorHAnsi"/>
          <w:color w:val="000000"/>
          <w:lang w:eastAsia="en-US"/>
        </w:rPr>
        <w:t>, the question before th</w:t>
      </w:r>
      <w:r w:rsidR="00E416E2" w:rsidRPr="000E47F7">
        <w:rPr>
          <w:rFonts w:eastAsiaTheme="minorHAnsi"/>
          <w:color w:val="000000"/>
          <w:lang w:eastAsia="en-US"/>
        </w:rPr>
        <w:t>is</w:t>
      </w:r>
      <w:r w:rsidR="003C7D96" w:rsidRPr="000E47F7">
        <w:rPr>
          <w:rFonts w:eastAsiaTheme="minorHAnsi"/>
          <w:color w:val="000000"/>
          <w:lang w:eastAsia="en-US"/>
        </w:rPr>
        <w:t xml:space="preserve"> Court does not depend on the resolution of any issue of fact but is, fundamentally, a question of law.   </w:t>
      </w:r>
      <w:r w:rsidR="00E416E2" w:rsidRPr="000E47F7">
        <w:rPr>
          <w:rFonts w:eastAsiaTheme="minorHAnsi"/>
          <w:color w:val="000000"/>
          <w:lang w:eastAsia="en-US"/>
        </w:rPr>
        <w:t>We are</w:t>
      </w:r>
      <w:r w:rsidR="003C7D96" w:rsidRPr="000E47F7">
        <w:rPr>
          <w:rFonts w:eastAsiaTheme="minorHAnsi"/>
          <w:color w:val="000000"/>
          <w:lang w:eastAsia="en-US"/>
        </w:rPr>
        <w:t xml:space="preserve"> satisfied that both parties have already had an opportunity to argue their case, comprehensively, before the High Court.  They both made submissions on the merits to the court below and they both enjoyed the same opportunity to do so before this Court.  Thus, it cannot be said that a refusal to remit, in this instance, would deprive the unsuccessful party of its right to an appeal on the merits.  </w:t>
      </w:r>
    </w:p>
    <w:p w14:paraId="45773067" w14:textId="77777777" w:rsidR="00E26BA4" w:rsidRPr="000E47F7" w:rsidRDefault="00E26BA4" w:rsidP="00E26BA4">
      <w:pPr>
        <w:pStyle w:val="ListParagraph"/>
        <w:rPr>
          <w:rFonts w:eastAsiaTheme="minorHAnsi"/>
          <w:color w:val="000000"/>
          <w:lang w:eastAsia="en-US"/>
        </w:rPr>
      </w:pPr>
    </w:p>
    <w:p w14:paraId="67B4BD09" w14:textId="7A2AD784" w:rsidR="0079030B" w:rsidRPr="000E47F7" w:rsidRDefault="003C7D96" w:rsidP="00EE0FCE">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Finally, it seems to us that a remittal of proceedings would, inevitably, give rise to a further proliferation of the overall costs of these proceedings.  It does not appear to be either in the interests of the parties or, indeed, the public interest, to generate such an escalation</w:t>
      </w:r>
      <w:r w:rsidR="00117385" w:rsidRPr="000E47F7">
        <w:rPr>
          <w:rFonts w:eastAsiaTheme="minorHAnsi"/>
          <w:color w:val="000000"/>
          <w:lang w:eastAsia="en-US"/>
        </w:rPr>
        <w:t>.</w:t>
      </w:r>
    </w:p>
    <w:p w14:paraId="5AC35ED6" w14:textId="77777777" w:rsidR="002D465E" w:rsidRPr="000E47F7" w:rsidRDefault="002D465E" w:rsidP="0079030B">
      <w:pPr>
        <w:pStyle w:val="ListParagraph"/>
        <w:widowControl w:val="0"/>
        <w:spacing w:line="480" w:lineRule="auto"/>
        <w:ind w:left="0"/>
        <w:jc w:val="both"/>
        <w:rPr>
          <w:b/>
        </w:rPr>
      </w:pPr>
    </w:p>
    <w:p w14:paraId="141A27C3" w14:textId="1BC500FA" w:rsidR="003C7D96" w:rsidRPr="000E47F7" w:rsidRDefault="00D827EA" w:rsidP="003C7D96">
      <w:pPr>
        <w:pStyle w:val="ListParagraph"/>
        <w:widowControl w:val="0"/>
        <w:spacing w:line="480" w:lineRule="auto"/>
        <w:ind w:left="0"/>
        <w:jc w:val="both"/>
        <w:rPr>
          <w:b/>
          <w:i/>
        </w:rPr>
      </w:pPr>
      <w:r w:rsidRPr="000E47F7">
        <w:rPr>
          <w:b/>
          <w:i/>
        </w:rPr>
        <w:t>Decision</w:t>
      </w:r>
    </w:p>
    <w:p w14:paraId="6FC33036" w14:textId="77777777" w:rsidR="0079030B" w:rsidRPr="000E47F7" w:rsidRDefault="0079030B" w:rsidP="003C7D96">
      <w:pPr>
        <w:pStyle w:val="ListParagraph"/>
        <w:widowControl w:val="0"/>
        <w:spacing w:line="480" w:lineRule="auto"/>
        <w:ind w:left="0"/>
        <w:jc w:val="both"/>
        <w:rPr>
          <w:b/>
          <w:i/>
        </w:rPr>
      </w:pPr>
    </w:p>
    <w:p w14:paraId="100D4D3C" w14:textId="4C6AB48A" w:rsidR="00730093" w:rsidRPr="000E47F7" w:rsidRDefault="003C7D96" w:rsidP="00730093">
      <w:pPr>
        <w:pStyle w:val="ListParagraph"/>
        <w:widowControl w:val="0"/>
        <w:numPr>
          <w:ilvl w:val="0"/>
          <w:numId w:val="1"/>
        </w:numPr>
        <w:tabs>
          <w:tab w:val="left" w:pos="567"/>
        </w:tabs>
        <w:spacing w:line="480" w:lineRule="auto"/>
        <w:jc w:val="both"/>
        <w:rPr>
          <w:b/>
          <w:u w:val="single"/>
        </w:rPr>
      </w:pPr>
      <w:r w:rsidRPr="000E47F7">
        <w:rPr>
          <w:rFonts w:eastAsiaTheme="minorHAnsi"/>
          <w:color w:val="000000"/>
          <w:lang w:eastAsia="en-US"/>
        </w:rPr>
        <w:t xml:space="preserve">For the reasons set out above, </w:t>
      </w:r>
      <w:r w:rsidR="00C841E8" w:rsidRPr="000E47F7">
        <w:rPr>
          <w:rFonts w:eastAsiaTheme="minorHAnsi"/>
          <w:color w:val="000000"/>
          <w:lang w:eastAsia="en-US"/>
        </w:rPr>
        <w:t>we</w:t>
      </w:r>
      <w:r w:rsidRPr="000E47F7">
        <w:rPr>
          <w:rFonts w:eastAsiaTheme="minorHAnsi"/>
          <w:color w:val="000000"/>
          <w:lang w:eastAsia="en-US"/>
        </w:rPr>
        <w:t xml:space="preserve"> would answer the certified question of law as posed by the High Court in the affirmative.  </w:t>
      </w:r>
      <w:r w:rsidR="00117385" w:rsidRPr="000E47F7">
        <w:rPr>
          <w:rFonts w:eastAsiaTheme="minorHAnsi"/>
          <w:color w:val="000000"/>
          <w:lang w:eastAsia="en-US"/>
        </w:rPr>
        <w:t>This Court finds</w:t>
      </w:r>
      <w:r w:rsidRPr="000E47F7">
        <w:rPr>
          <w:rFonts w:eastAsiaTheme="minorHAnsi"/>
          <w:color w:val="000000"/>
          <w:lang w:eastAsia="en-US"/>
        </w:rPr>
        <w:t xml:space="preserve"> that the </w:t>
      </w:r>
      <w:r w:rsidR="001A4BAB" w:rsidRPr="000E47F7">
        <w:rPr>
          <w:rFonts w:eastAsiaTheme="minorHAnsi"/>
          <w:color w:val="000000"/>
          <w:lang w:eastAsia="en-US"/>
        </w:rPr>
        <w:t xml:space="preserve">learned judge </w:t>
      </w:r>
      <w:r w:rsidR="00F3140A" w:rsidRPr="000E47F7">
        <w:rPr>
          <w:rFonts w:eastAsiaTheme="minorHAnsi"/>
          <w:color w:val="000000"/>
          <w:lang w:eastAsia="en-US"/>
        </w:rPr>
        <w:t>erred</w:t>
      </w:r>
      <w:r w:rsidR="001A4BAB" w:rsidRPr="000E47F7">
        <w:rPr>
          <w:rFonts w:eastAsiaTheme="minorHAnsi"/>
          <w:color w:val="000000"/>
          <w:lang w:eastAsia="en-US"/>
        </w:rPr>
        <w:t xml:space="preserve"> in concluding that the </w:t>
      </w:r>
      <w:r w:rsidRPr="000E47F7">
        <w:rPr>
          <w:rFonts w:eastAsiaTheme="minorHAnsi"/>
          <w:color w:val="000000"/>
          <w:lang w:eastAsia="en-US"/>
        </w:rPr>
        <w:t xml:space="preserve">Minister </w:t>
      </w:r>
      <w:r w:rsidR="001A4BAB" w:rsidRPr="000E47F7">
        <w:rPr>
          <w:rFonts w:eastAsiaTheme="minorHAnsi"/>
          <w:color w:val="000000"/>
          <w:lang w:eastAsia="en-US"/>
        </w:rPr>
        <w:t xml:space="preserve">had no </w:t>
      </w:r>
      <w:r w:rsidRPr="000E47F7">
        <w:rPr>
          <w:rFonts w:eastAsiaTheme="minorHAnsi"/>
          <w:color w:val="000000"/>
          <w:lang w:eastAsia="en-US"/>
        </w:rPr>
        <w:t xml:space="preserve">power </w:t>
      </w:r>
      <w:r w:rsidR="001A4BAB" w:rsidRPr="000E47F7">
        <w:rPr>
          <w:rFonts w:eastAsiaTheme="minorHAnsi"/>
          <w:color w:val="000000"/>
          <w:lang w:eastAsia="en-US"/>
        </w:rPr>
        <w:t>under</w:t>
      </w:r>
      <w:r w:rsidRPr="000E47F7">
        <w:rPr>
          <w:rFonts w:eastAsiaTheme="minorHAnsi"/>
          <w:color w:val="000000"/>
          <w:lang w:eastAsia="en-US"/>
        </w:rPr>
        <w:t xml:space="preserve"> s.</w:t>
      </w:r>
      <w:r w:rsidR="00DE3991" w:rsidRPr="000E47F7">
        <w:rPr>
          <w:rFonts w:eastAsiaTheme="minorHAnsi"/>
          <w:color w:val="000000"/>
          <w:lang w:eastAsia="en-US"/>
        </w:rPr>
        <w:t xml:space="preserve"> </w:t>
      </w:r>
      <w:r w:rsidRPr="000E47F7">
        <w:rPr>
          <w:rFonts w:eastAsiaTheme="minorHAnsi"/>
          <w:color w:val="000000"/>
          <w:lang w:eastAsia="en-US"/>
        </w:rPr>
        <w:t xml:space="preserve">4(7) of the Immigration Act, 2004 (as amended) to vary </w:t>
      </w:r>
      <w:r w:rsidR="001A4BAB" w:rsidRPr="000E47F7">
        <w:rPr>
          <w:rFonts w:eastAsiaTheme="minorHAnsi"/>
          <w:color w:val="000000"/>
          <w:lang w:eastAsia="en-US"/>
        </w:rPr>
        <w:t>the</w:t>
      </w:r>
      <w:r w:rsidRPr="000E47F7">
        <w:rPr>
          <w:rFonts w:eastAsiaTheme="minorHAnsi"/>
          <w:color w:val="000000"/>
          <w:lang w:eastAsia="en-US"/>
        </w:rPr>
        <w:t xml:space="preserve"> stamp </w:t>
      </w:r>
      <w:r w:rsidR="001A4BAB" w:rsidRPr="000E47F7">
        <w:rPr>
          <w:rFonts w:eastAsiaTheme="minorHAnsi"/>
          <w:color w:val="000000"/>
          <w:lang w:eastAsia="en-US"/>
        </w:rPr>
        <w:t>‘</w:t>
      </w:r>
      <w:r w:rsidRPr="000E47F7">
        <w:rPr>
          <w:rFonts w:eastAsiaTheme="minorHAnsi"/>
          <w:color w:val="000000"/>
          <w:lang w:eastAsia="en-US"/>
        </w:rPr>
        <w:t>C</w:t>
      </w:r>
      <w:r w:rsidR="00F3140A" w:rsidRPr="000E47F7">
        <w:rPr>
          <w:rFonts w:eastAsiaTheme="minorHAnsi"/>
          <w:color w:val="000000"/>
          <w:lang w:eastAsia="en-US"/>
        </w:rPr>
        <w:t>’</w:t>
      </w:r>
      <w:r w:rsidRPr="000E47F7">
        <w:rPr>
          <w:rFonts w:eastAsiaTheme="minorHAnsi"/>
          <w:color w:val="000000"/>
          <w:lang w:eastAsia="en-US"/>
        </w:rPr>
        <w:t xml:space="preserve"> visa to another form of permission type.  </w:t>
      </w:r>
    </w:p>
    <w:p w14:paraId="349CE860" w14:textId="77777777" w:rsidR="00730093" w:rsidRPr="000E47F7" w:rsidRDefault="00730093" w:rsidP="00730093">
      <w:pPr>
        <w:pStyle w:val="ListParagraph"/>
        <w:widowControl w:val="0"/>
        <w:tabs>
          <w:tab w:val="left" w:pos="567"/>
        </w:tabs>
        <w:spacing w:line="480" w:lineRule="auto"/>
        <w:ind w:left="0"/>
        <w:jc w:val="both"/>
        <w:rPr>
          <w:b/>
          <w:u w:val="single"/>
        </w:rPr>
      </w:pPr>
    </w:p>
    <w:p w14:paraId="0285D30E" w14:textId="36C0F00A" w:rsidR="00F3140A" w:rsidRPr="000E47F7" w:rsidRDefault="00542E84" w:rsidP="00730093">
      <w:pPr>
        <w:pStyle w:val="ListParagraph"/>
        <w:widowControl w:val="0"/>
        <w:numPr>
          <w:ilvl w:val="0"/>
          <w:numId w:val="1"/>
        </w:numPr>
        <w:tabs>
          <w:tab w:val="left" w:pos="567"/>
        </w:tabs>
        <w:spacing w:line="480" w:lineRule="auto"/>
        <w:jc w:val="both"/>
        <w:rPr>
          <w:b/>
          <w:u w:val="single"/>
        </w:rPr>
      </w:pPr>
      <w:r w:rsidRPr="000E47F7">
        <w:t>In view of th</w:t>
      </w:r>
      <w:r w:rsidR="002E5F0C" w:rsidRPr="000E47F7">
        <w:t>is</w:t>
      </w:r>
      <w:r w:rsidRPr="000E47F7">
        <w:t xml:space="preserve"> finding, </w:t>
      </w:r>
      <w:r w:rsidR="00C841E8" w:rsidRPr="000E47F7">
        <w:t>we</w:t>
      </w:r>
      <w:r w:rsidRPr="000E47F7">
        <w:t xml:space="preserve"> would allow the appeal of both parties on this point and vacate the Order of the High Court.</w:t>
      </w:r>
      <w:r w:rsidR="00825410" w:rsidRPr="000E47F7">
        <w:t xml:space="preserve"> </w:t>
      </w:r>
      <w:r w:rsidR="00F177D4" w:rsidRPr="000E47F7">
        <w:t xml:space="preserve">  </w:t>
      </w:r>
    </w:p>
    <w:p w14:paraId="62FE7B47" w14:textId="77777777" w:rsidR="00F3140A" w:rsidRPr="000E47F7" w:rsidRDefault="00F3140A" w:rsidP="00F3140A">
      <w:pPr>
        <w:pStyle w:val="ListParagraph"/>
        <w:rPr>
          <w:rFonts w:eastAsiaTheme="minorHAnsi"/>
          <w:color w:val="000000"/>
          <w:lang w:eastAsia="en-US"/>
        </w:rPr>
      </w:pPr>
    </w:p>
    <w:p w14:paraId="25C8A191" w14:textId="4C4CEE68" w:rsidR="002D465E" w:rsidRPr="000E47F7" w:rsidRDefault="00542E84" w:rsidP="002D465E">
      <w:pPr>
        <w:pStyle w:val="ListParagraph"/>
        <w:numPr>
          <w:ilvl w:val="0"/>
          <w:numId w:val="1"/>
        </w:numPr>
        <w:spacing w:line="480" w:lineRule="auto"/>
        <w:jc w:val="both"/>
      </w:pPr>
      <w:r w:rsidRPr="000E47F7">
        <w:rPr>
          <w:rFonts w:eastAsiaTheme="minorHAnsi"/>
          <w:color w:val="000000"/>
          <w:lang w:eastAsia="en-US"/>
        </w:rPr>
        <w:lastRenderedPageBreak/>
        <w:t>On the substantive point</w:t>
      </w:r>
      <w:r w:rsidR="00C934A1" w:rsidRPr="000E47F7">
        <w:rPr>
          <w:rFonts w:eastAsiaTheme="minorHAnsi"/>
          <w:color w:val="000000"/>
          <w:lang w:eastAsia="en-US"/>
        </w:rPr>
        <w:t xml:space="preserve"> </w:t>
      </w:r>
      <w:r w:rsidRPr="000E47F7">
        <w:rPr>
          <w:rFonts w:eastAsiaTheme="minorHAnsi"/>
          <w:color w:val="000000"/>
          <w:lang w:eastAsia="en-US"/>
        </w:rPr>
        <w:t xml:space="preserve">which was not decided by the High Court, </w:t>
      </w:r>
      <w:r w:rsidR="0079030B" w:rsidRPr="000E47F7">
        <w:rPr>
          <w:rFonts w:eastAsiaTheme="minorHAnsi"/>
          <w:color w:val="000000"/>
          <w:lang w:eastAsia="en-US"/>
        </w:rPr>
        <w:t xml:space="preserve">we </w:t>
      </w:r>
      <w:r w:rsidR="003C7D96" w:rsidRPr="000E47F7">
        <w:rPr>
          <w:rFonts w:eastAsiaTheme="minorHAnsi"/>
          <w:color w:val="000000"/>
          <w:lang w:eastAsia="en-US"/>
        </w:rPr>
        <w:t>find</w:t>
      </w:r>
      <w:r w:rsidR="00C934A1" w:rsidRPr="000E47F7">
        <w:rPr>
          <w:rFonts w:eastAsiaTheme="minorHAnsi"/>
          <w:color w:val="000000"/>
          <w:lang w:eastAsia="en-US"/>
        </w:rPr>
        <w:t>, o</w:t>
      </w:r>
      <w:r w:rsidR="00C934A1" w:rsidRPr="000E47F7">
        <w:t xml:space="preserve">n the facts of this appeal, that the Minister </w:t>
      </w:r>
      <w:r w:rsidR="00F177D4" w:rsidRPr="000E47F7">
        <w:t xml:space="preserve">was entitled to apply </w:t>
      </w:r>
      <w:r w:rsidR="00C934A1" w:rsidRPr="000E47F7">
        <w:t xml:space="preserve">s. 4(7) </w:t>
      </w:r>
      <w:r w:rsidR="00F177D4" w:rsidRPr="000E47F7">
        <w:t xml:space="preserve">of the </w:t>
      </w:r>
      <w:r w:rsidR="00BE7AA5" w:rsidRPr="000E47F7">
        <w:t xml:space="preserve">2004 </w:t>
      </w:r>
      <w:r w:rsidR="00F177D4" w:rsidRPr="000E47F7">
        <w:t xml:space="preserve">Act </w:t>
      </w:r>
      <w:r w:rsidR="00C934A1" w:rsidRPr="000E47F7">
        <w:t>in the way that he did.</w:t>
      </w:r>
      <w:r w:rsidR="00844CD9" w:rsidRPr="000E47F7">
        <w:t xml:space="preserve"> </w:t>
      </w:r>
      <w:r w:rsidR="00C934A1" w:rsidRPr="000E47F7">
        <w:t xml:space="preserve"> </w:t>
      </w:r>
      <w:r w:rsidR="00E53D65" w:rsidRPr="000E47F7">
        <w:t xml:space="preserve">There was no unlawful failure </w:t>
      </w:r>
      <w:r w:rsidR="00844CD9" w:rsidRPr="000E47F7">
        <w:t xml:space="preserve">on his part </w:t>
      </w:r>
      <w:r w:rsidR="00E53D65" w:rsidRPr="000E47F7">
        <w:t xml:space="preserve">to consider the applicant’s </w:t>
      </w:r>
      <w:r w:rsidR="0096233B" w:rsidRPr="000E47F7">
        <w:t xml:space="preserve">asserted rights. </w:t>
      </w:r>
      <w:r w:rsidR="00F177D4" w:rsidRPr="000E47F7">
        <w:t xml:space="preserve"> </w:t>
      </w:r>
      <w:r w:rsidR="00844CD9" w:rsidRPr="000E47F7">
        <w:t>He</w:t>
      </w:r>
      <w:r w:rsidR="00E53D65" w:rsidRPr="000E47F7">
        <w:t xml:space="preserve"> </w:t>
      </w:r>
      <w:r w:rsidR="0096233B" w:rsidRPr="000E47F7">
        <w:t>was entitled to</w:t>
      </w:r>
      <w:r w:rsidR="00F177D4" w:rsidRPr="000E47F7">
        <w:t xml:space="preserve"> </w:t>
      </w:r>
      <w:r w:rsidR="003C7D96" w:rsidRPr="000E47F7">
        <w:rPr>
          <w:rFonts w:eastAsiaTheme="minorHAnsi"/>
          <w:color w:val="000000"/>
          <w:lang w:eastAsia="en-US"/>
        </w:rPr>
        <w:t xml:space="preserve">reject the applicant’s request </w:t>
      </w:r>
      <w:r w:rsidR="00447E8C" w:rsidRPr="000E47F7">
        <w:rPr>
          <w:rFonts w:eastAsiaTheme="minorHAnsi"/>
          <w:color w:val="000000"/>
          <w:lang w:eastAsia="en-US"/>
        </w:rPr>
        <w:t xml:space="preserve">to vary </w:t>
      </w:r>
      <w:r w:rsidR="00F177D4" w:rsidRPr="000E47F7">
        <w:rPr>
          <w:rFonts w:eastAsiaTheme="minorHAnsi"/>
          <w:color w:val="000000"/>
          <w:lang w:eastAsia="en-US"/>
        </w:rPr>
        <w:t xml:space="preserve">her </w:t>
      </w:r>
      <w:r w:rsidR="00447E8C" w:rsidRPr="000E47F7">
        <w:rPr>
          <w:rFonts w:eastAsiaTheme="minorHAnsi"/>
          <w:color w:val="000000"/>
          <w:lang w:eastAsia="en-US"/>
        </w:rPr>
        <w:t xml:space="preserve">visitor’s visa </w:t>
      </w:r>
      <w:r w:rsidR="003C7D96" w:rsidRPr="000E47F7">
        <w:rPr>
          <w:rFonts w:eastAsiaTheme="minorHAnsi"/>
          <w:color w:val="000000"/>
          <w:lang w:eastAsia="en-US"/>
        </w:rPr>
        <w:t>and to require that any application for long term residence be made through the appropriate immigration procedures.</w:t>
      </w:r>
      <w:r w:rsidR="00447E8C" w:rsidRPr="000E47F7">
        <w:rPr>
          <w:rFonts w:eastAsiaTheme="minorHAnsi"/>
          <w:color w:val="000000"/>
          <w:lang w:eastAsia="en-US"/>
        </w:rPr>
        <w:t xml:space="preserve"> </w:t>
      </w:r>
      <w:r w:rsidR="003C7D96" w:rsidRPr="000E47F7">
        <w:rPr>
          <w:rFonts w:eastAsiaTheme="minorHAnsi"/>
          <w:color w:val="000000"/>
          <w:lang w:eastAsia="en-US"/>
        </w:rPr>
        <w:t xml:space="preserve"> In </w:t>
      </w:r>
      <w:r w:rsidR="00F177D4" w:rsidRPr="000E47F7">
        <w:rPr>
          <w:rFonts w:eastAsiaTheme="minorHAnsi"/>
          <w:color w:val="000000"/>
          <w:lang w:eastAsia="en-US"/>
        </w:rPr>
        <w:t>coming to his decision</w:t>
      </w:r>
      <w:r w:rsidR="00447E8C" w:rsidRPr="000E47F7">
        <w:rPr>
          <w:rFonts w:eastAsiaTheme="minorHAnsi"/>
          <w:color w:val="000000"/>
          <w:lang w:eastAsia="en-US"/>
        </w:rPr>
        <w:t xml:space="preserve"> under s. 4(7) of the </w:t>
      </w:r>
      <w:r w:rsidR="00BE7AA5" w:rsidRPr="000E47F7">
        <w:rPr>
          <w:rFonts w:eastAsiaTheme="minorHAnsi"/>
          <w:color w:val="000000"/>
          <w:lang w:eastAsia="en-US"/>
        </w:rPr>
        <w:t xml:space="preserve">2004 </w:t>
      </w:r>
      <w:r w:rsidR="00447E8C" w:rsidRPr="000E47F7">
        <w:rPr>
          <w:rFonts w:eastAsiaTheme="minorHAnsi"/>
          <w:color w:val="000000"/>
          <w:lang w:eastAsia="en-US"/>
        </w:rPr>
        <w:t>Act,</w:t>
      </w:r>
      <w:r w:rsidR="00F177D4" w:rsidRPr="000E47F7">
        <w:rPr>
          <w:rFonts w:eastAsiaTheme="minorHAnsi"/>
          <w:color w:val="000000"/>
          <w:lang w:eastAsia="en-US"/>
        </w:rPr>
        <w:t xml:space="preserve"> and notwithstanding that he did, in fact, consider the applicant’s individual circumstances, the Minister </w:t>
      </w:r>
      <w:r w:rsidR="003C7D96" w:rsidRPr="000E47F7">
        <w:rPr>
          <w:rFonts w:eastAsiaTheme="minorHAnsi"/>
          <w:color w:val="000000"/>
          <w:lang w:eastAsia="en-US"/>
        </w:rPr>
        <w:t xml:space="preserve">was not obliged to conduct </w:t>
      </w:r>
      <w:r w:rsidR="00C437FB" w:rsidRPr="000E47F7">
        <w:rPr>
          <w:rFonts w:eastAsiaTheme="minorHAnsi"/>
          <w:color w:val="000000"/>
          <w:lang w:eastAsia="en-US"/>
        </w:rPr>
        <w:t>an</w:t>
      </w:r>
      <w:r w:rsidR="003C7D96" w:rsidRPr="000E47F7">
        <w:rPr>
          <w:rFonts w:eastAsiaTheme="minorHAnsi"/>
          <w:color w:val="000000"/>
          <w:lang w:eastAsia="en-US"/>
        </w:rPr>
        <w:t xml:space="preserve"> assessment of the applicant’s asserted </w:t>
      </w:r>
      <w:r w:rsidR="00F177D4" w:rsidRPr="000E47F7">
        <w:rPr>
          <w:rFonts w:eastAsiaTheme="minorHAnsi"/>
          <w:color w:val="000000"/>
          <w:lang w:eastAsia="en-US"/>
        </w:rPr>
        <w:t xml:space="preserve">Article 8 </w:t>
      </w:r>
      <w:r w:rsidR="00C437FB" w:rsidRPr="000E47F7">
        <w:rPr>
          <w:rFonts w:eastAsiaTheme="minorHAnsi"/>
          <w:color w:val="000000"/>
          <w:lang w:eastAsia="en-US"/>
        </w:rPr>
        <w:t>rights at</w:t>
      </w:r>
      <w:r w:rsidR="003C7D96" w:rsidRPr="000E47F7">
        <w:rPr>
          <w:rFonts w:eastAsiaTheme="minorHAnsi"/>
          <w:color w:val="000000"/>
          <w:lang w:eastAsia="en-US"/>
        </w:rPr>
        <w:t xml:space="preserve"> that stage.   </w:t>
      </w:r>
      <w:r w:rsidR="00C841E8" w:rsidRPr="000E47F7">
        <w:rPr>
          <w:rFonts w:eastAsiaTheme="minorHAnsi"/>
          <w:color w:val="000000"/>
          <w:lang w:eastAsia="en-US"/>
        </w:rPr>
        <w:t xml:space="preserve">We are </w:t>
      </w:r>
      <w:r w:rsidR="0096233B" w:rsidRPr="000E47F7">
        <w:rPr>
          <w:rFonts w:eastAsiaTheme="minorHAnsi"/>
          <w:color w:val="000000"/>
          <w:lang w:eastAsia="en-US"/>
        </w:rPr>
        <w:t xml:space="preserve">further </w:t>
      </w:r>
      <w:r w:rsidR="003C7D96" w:rsidRPr="000E47F7">
        <w:rPr>
          <w:rFonts w:eastAsiaTheme="minorHAnsi"/>
          <w:color w:val="000000"/>
          <w:lang w:eastAsia="en-US"/>
        </w:rPr>
        <w:t>satisfied that the Minister was entitled to find that the applicant’s use of the visitors</w:t>
      </w:r>
      <w:r w:rsidR="0096233B" w:rsidRPr="000E47F7">
        <w:rPr>
          <w:rFonts w:eastAsiaTheme="minorHAnsi"/>
          <w:color w:val="000000"/>
          <w:lang w:eastAsia="en-US"/>
        </w:rPr>
        <w:t xml:space="preserve">’ </w:t>
      </w:r>
      <w:r w:rsidR="003C7D96" w:rsidRPr="000E47F7">
        <w:rPr>
          <w:rFonts w:eastAsiaTheme="minorHAnsi"/>
          <w:color w:val="000000"/>
          <w:lang w:eastAsia="en-US"/>
        </w:rPr>
        <w:t>visa process to circumvent the requisite procedure</w:t>
      </w:r>
      <w:r w:rsidR="00447E8C" w:rsidRPr="000E47F7">
        <w:rPr>
          <w:rFonts w:eastAsiaTheme="minorHAnsi"/>
          <w:color w:val="000000"/>
          <w:lang w:eastAsia="en-US"/>
        </w:rPr>
        <w:t>s</w:t>
      </w:r>
      <w:r w:rsidR="003C7D96" w:rsidRPr="000E47F7">
        <w:rPr>
          <w:rFonts w:eastAsiaTheme="minorHAnsi"/>
          <w:color w:val="000000"/>
          <w:lang w:eastAsia="en-US"/>
        </w:rPr>
        <w:t xml:space="preserve"> required </w:t>
      </w:r>
      <w:r w:rsidR="00447E8C" w:rsidRPr="000E47F7">
        <w:rPr>
          <w:rFonts w:eastAsiaTheme="minorHAnsi"/>
          <w:color w:val="000000"/>
          <w:lang w:eastAsia="en-US"/>
        </w:rPr>
        <w:t xml:space="preserve">to be followed by </w:t>
      </w:r>
      <w:r w:rsidR="003C7D96" w:rsidRPr="000E47F7">
        <w:rPr>
          <w:rFonts w:eastAsiaTheme="minorHAnsi"/>
          <w:color w:val="000000"/>
          <w:lang w:eastAsia="en-US"/>
        </w:rPr>
        <w:t>those seeking a long-stay residence permit, constituted an unacceptable abuse of the visa system</w:t>
      </w:r>
      <w:r w:rsidR="00447E8C" w:rsidRPr="000E47F7">
        <w:rPr>
          <w:rFonts w:eastAsiaTheme="minorHAnsi"/>
          <w:color w:val="000000"/>
          <w:lang w:eastAsia="en-US"/>
        </w:rPr>
        <w:t xml:space="preserve">.  This is </w:t>
      </w:r>
      <w:r w:rsidR="003C7D96" w:rsidRPr="000E47F7">
        <w:rPr>
          <w:rFonts w:eastAsiaTheme="minorHAnsi"/>
          <w:color w:val="000000"/>
          <w:lang w:eastAsia="en-US"/>
        </w:rPr>
        <w:t>all the more so in circumstances where she had furnished an undertaking that she would leave the State upon the expiry of her visitor’s visa.</w:t>
      </w:r>
    </w:p>
    <w:p w14:paraId="1CEB0441" w14:textId="77777777" w:rsidR="002D465E" w:rsidRPr="000E47F7" w:rsidRDefault="002D465E" w:rsidP="002D465E">
      <w:pPr>
        <w:pStyle w:val="ListParagraph"/>
        <w:spacing w:line="480" w:lineRule="auto"/>
        <w:ind w:left="0"/>
        <w:jc w:val="both"/>
      </w:pPr>
    </w:p>
    <w:p w14:paraId="7F0EFD83" w14:textId="57F46BA5" w:rsidR="007F404E" w:rsidRPr="000E47F7" w:rsidRDefault="00542E84" w:rsidP="007F404E">
      <w:pPr>
        <w:pStyle w:val="ListParagraph"/>
        <w:numPr>
          <w:ilvl w:val="0"/>
          <w:numId w:val="1"/>
        </w:numPr>
        <w:spacing w:line="480" w:lineRule="auto"/>
        <w:jc w:val="both"/>
      </w:pPr>
      <w:r w:rsidRPr="000E47F7">
        <w:t xml:space="preserve">Provisionally, </w:t>
      </w:r>
      <w:r w:rsidR="00C841E8" w:rsidRPr="000E47F7">
        <w:t xml:space="preserve">we are </w:t>
      </w:r>
      <w:r w:rsidRPr="000E47F7">
        <w:t xml:space="preserve">of the view that </w:t>
      </w:r>
      <w:r w:rsidR="00DE3991" w:rsidRPr="000E47F7">
        <w:t xml:space="preserve">because </w:t>
      </w:r>
      <w:r w:rsidRPr="000E47F7">
        <w:t xml:space="preserve">the </w:t>
      </w:r>
      <w:r w:rsidR="00AA3E33" w:rsidRPr="000E47F7">
        <w:t>respondent</w:t>
      </w:r>
      <w:r w:rsidRPr="000E47F7">
        <w:t xml:space="preserve"> has succeeded on the substantive issue</w:t>
      </w:r>
      <w:r w:rsidR="00AA3E33" w:rsidRPr="000E47F7">
        <w:t xml:space="preserve">, he is </w:t>
      </w:r>
      <w:r w:rsidRPr="000E47F7">
        <w:t xml:space="preserve">entitled to an Order for </w:t>
      </w:r>
      <w:r w:rsidR="00447E8C" w:rsidRPr="000E47F7">
        <w:t>c</w:t>
      </w:r>
      <w:r w:rsidRPr="000E47F7">
        <w:t xml:space="preserve">osts against </w:t>
      </w:r>
      <w:r w:rsidR="00447E8C" w:rsidRPr="000E47F7">
        <w:t>the applicant</w:t>
      </w:r>
      <w:r w:rsidRPr="000E47F7">
        <w:t xml:space="preserve"> in respect of th</w:t>
      </w:r>
      <w:r w:rsidR="00447E8C" w:rsidRPr="000E47F7">
        <w:t>is</w:t>
      </w:r>
      <w:r w:rsidRPr="000E47F7">
        <w:t xml:space="preserve"> appeal and in respect of the hearing </w:t>
      </w:r>
      <w:r w:rsidR="00447E8C" w:rsidRPr="000E47F7">
        <w:t xml:space="preserve">before </w:t>
      </w:r>
      <w:r w:rsidRPr="000E47F7">
        <w:t xml:space="preserve">the High Court.  </w:t>
      </w:r>
      <w:r w:rsidR="00C841E8" w:rsidRPr="000E47F7">
        <w:t>In a situation where the applicant’s case did not come remotely near the circumstances addressed in the authorities upon which she relied</w:t>
      </w:r>
      <w:r w:rsidR="0022777D">
        <w:t>,</w:t>
      </w:r>
      <w:r w:rsidR="00C841E8" w:rsidRPr="000E47F7">
        <w:t xml:space="preserve"> we can see no basis on which she might avoid the usual rule as to costs in this Court and in the Court below.  This, we should stress, is merely our provisional view. </w:t>
      </w:r>
      <w:r w:rsidRPr="000E47F7">
        <w:t xml:space="preserve">If </w:t>
      </w:r>
      <w:r w:rsidR="00447E8C" w:rsidRPr="000E47F7">
        <w:t>the applicant</w:t>
      </w:r>
      <w:r w:rsidRPr="000E47F7">
        <w:t xml:space="preserve"> wishes to argue for an alternative </w:t>
      </w:r>
      <w:r w:rsidR="00447E8C" w:rsidRPr="000E47F7">
        <w:t>o</w:t>
      </w:r>
      <w:r w:rsidRPr="000E47F7">
        <w:t xml:space="preserve">rder </w:t>
      </w:r>
      <w:r w:rsidR="00447E8C" w:rsidRPr="000E47F7">
        <w:t>in this regard</w:t>
      </w:r>
      <w:r w:rsidRPr="000E47F7">
        <w:t xml:space="preserve">, she may apply within fourteen days to the </w:t>
      </w:r>
      <w:r w:rsidR="00447E8C" w:rsidRPr="000E47F7">
        <w:t>O</w:t>
      </w:r>
      <w:r w:rsidRPr="000E47F7">
        <w:t>ffice of the Court of Appeal to have the matter listed for a short hearing in relation to the costs</w:t>
      </w:r>
      <w:r w:rsidR="00447E8C" w:rsidRPr="000E47F7">
        <w:t>.</w:t>
      </w:r>
      <w:r w:rsidRPr="000E47F7">
        <w:t xml:space="preserve"> </w:t>
      </w:r>
    </w:p>
    <w:p w14:paraId="27C49FDF" w14:textId="77777777" w:rsidR="00A275A2" w:rsidRPr="000E47F7" w:rsidRDefault="00A275A2" w:rsidP="00A275A2">
      <w:pPr>
        <w:pStyle w:val="ListParagraph"/>
      </w:pPr>
    </w:p>
    <w:p w14:paraId="28D5A970" w14:textId="325CF758" w:rsidR="00A275A2" w:rsidRPr="000E47F7" w:rsidRDefault="00542E84" w:rsidP="00A275A2">
      <w:pPr>
        <w:pStyle w:val="NormalWeb"/>
        <w:widowControl w:val="0"/>
        <w:numPr>
          <w:ilvl w:val="0"/>
          <w:numId w:val="1"/>
        </w:numPr>
        <w:shd w:val="clear" w:color="auto" w:fill="FFFFFF"/>
        <w:tabs>
          <w:tab w:val="left" w:pos="567"/>
        </w:tabs>
        <w:spacing w:before="0" w:beforeAutospacing="0" w:after="160" w:afterAutospacing="0" w:line="480" w:lineRule="auto"/>
        <w:jc w:val="both"/>
        <w:textAlignment w:val="baseline"/>
        <w:rPr>
          <w:b/>
          <w:u w:val="single"/>
        </w:rPr>
      </w:pPr>
      <w:r w:rsidRPr="000E47F7">
        <w:t>As this judgment is being delivered</w:t>
      </w:r>
      <w:r w:rsidR="00716F2E" w:rsidRPr="000E47F7">
        <w:t xml:space="preserve">, electronically, </w:t>
      </w:r>
      <w:r w:rsidRPr="000E47F7">
        <w:t>Faherty J</w:t>
      </w:r>
      <w:r w:rsidR="007F404E" w:rsidRPr="000E47F7">
        <w:t xml:space="preserve">. </w:t>
      </w:r>
      <w:r w:rsidRPr="000E47F7">
        <w:t>has indicated her agreement with the reasoning and conclusions reached in respect of this appeal.</w:t>
      </w:r>
      <w:r w:rsidR="00447E8C" w:rsidRPr="000E47F7">
        <w:t xml:space="preserve"> </w:t>
      </w:r>
    </w:p>
    <w:sectPr w:rsidR="00A275A2" w:rsidRPr="000E47F7" w:rsidSect="009F0629">
      <w:footerReference w:type="default" r:id="rId13"/>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8596F" w14:textId="77777777" w:rsidR="00D27B24" w:rsidRDefault="00D27B24" w:rsidP="00CE3451">
      <w:r>
        <w:separator/>
      </w:r>
    </w:p>
  </w:endnote>
  <w:endnote w:type="continuationSeparator" w:id="0">
    <w:p w14:paraId="015D6E4B" w14:textId="77777777" w:rsidR="00D27B24" w:rsidRDefault="00D27B24" w:rsidP="00CE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267943"/>
      <w:docPartObj>
        <w:docPartGallery w:val="Page Numbers (Bottom of Page)"/>
        <w:docPartUnique/>
      </w:docPartObj>
    </w:sdtPr>
    <w:sdtEndPr>
      <w:rPr>
        <w:noProof/>
      </w:rPr>
    </w:sdtEndPr>
    <w:sdtContent>
      <w:p w14:paraId="23A0A933" w14:textId="77777777" w:rsidR="00E53D65" w:rsidRDefault="00E53D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87CA90" w14:textId="77777777" w:rsidR="00E53D65" w:rsidRDefault="00E53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435C3" w14:textId="77777777" w:rsidR="00D27B24" w:rsidRDefault="00D27B24" w:rsidP="00CE3451">
      <w:r>
        <w:separator/>
      </w:r>
    </w:p>
  </w:footnote>
  <w:footnote w:type="continuationSeparator" w:id="0">
    <w:p w14:paraId="44B75BC6" w14:textId="77777777" w:rsidR="00D27B24" w:rsidRDefault="00D27B24" w:rsidP="00CE3451">
      <w:r>
        <w:continuationSeparator/>
      </w:r>
    </w:p>
  </w:footnote>
  <w:footnote w:id="1">
    <w:p w14:paraId="39D30376" w14:textId="44E82ABC" w:rsidR="00E53D65" w:rsidRDefault="00E53D65" w:rsidP="0038639B">
      <w:pPr>
        <w:pStyle w:val="FootnoteText"/>
      </w:pPr>
      <w:r>
        <w:rPr>
          <w:rStyle w:val="FootnoteReference"/>
        </w:rPr>
        <w:footnoteRef/>
      </w:r>
      <w:r>
        <w:t xml:space="preserve"> </w:t>
      </w:r>
      <w:r w:rsidRPr="00BD49B8">
        <w:t xml:space="preserve">Emphasis is </w:t>
      </w:r>
      <w:r>
        <w:t>ours</w:t>
      </w:r>
      <w:r w:rsidRPr="00BD49B8">
        <w:t xml:space="preserve"> both here and throughout the judgment unless otherwise </w:t>
      </w:r>
      <w:r w:rsidRPr="00467830">
        <w:t>indicated.</w:t>
      </w:r>
    </w:p>
    <w:p w14:paraId="34829561" w14:textId="5017BDA3" w:rsidR="00E53D65" w:rsidRDefault="00E53D65">
      <w:pPr>
        <w:pStyle w:val="FootnoteText"/>
      </w:pPr>
    </w:p>
  </w:footnote>
  <w:footnote w:id="2">
    <w:p w14:paraId="72CDF8FE" w14:textId="548C1981" w:rsidR="00E53D65" w:rsidRDefault="00E53D65" w:rsidP="00832F0E">
      <w:pPr>
        <w:pStyle w:val="FootnoteText"/>
      </w:pPr>
      <w:r>
        <w:rPr>
          <w:rStyle w:val="FootnoteReference"/>
        </w:rPr>
        <w:footnoteRef/>
      </w:r>
      <w:r>
        <w:t xml:space="preserve"> See Klaassen, M., ‘</w:t>
      </w:r>
      <w:r w:rsidRPr="00A177AE">
        <w:rPr>
          <w:i/>
        </w:rPr>
        <w:t>Between facts and norms: testing compliance with Article 8 ECHR in immigration cases</w:t>
      </w:r>
      <w:r>
        <w:t xml:space="preserve">’ in </w:t>
      </w:r>
      <w:r w:rsidRPr="000E0311">
        <w:rPr>
          <w:u w:val="single"/>
        </w:rPr>
        <w:t>Netherlands Quarterly of Human Rights</w:t>
      </w:r>
      <w:r>
        <w:rPr>
          <w:i/>
        </w:rPr>
        <w:t xml:space="preserve">, </w:t>
      </w:r>
      <w:r w:rsidRPr="00734296">
        <w:t>Vol 37, Issue 2, 2019.</w:t>
      </w:r>
    </w:p>
  </w:footnote>
  <w:footnote w:id="3">
    <w:p w14:paraId="62D6294C" w14:textId="01820930" w:rsidR="00E53D65" w:rsidRDefault="00E53D65" w:rsidP="00B001D6">
      <w:pPr>
        <w:jc w:val="both"/>
      </w:pPr>
      <w:r>
        <w:rPr>
          <w:rStyle w:val="FootnoteReference"/>
        </w:rPr>
        <w:footnoteRef/>
      </w:r>
      <w:r>
        <w:t xml:space="preserve"> </w:t>
      </w:r>
      <w:r w:rsidRPr="0059646F">
        <w:rPr>
          <w:sz w:val="20"/>
          <w:szCs w:val="20"/>
        </w:rPr>
        <w:t>See</w:t>
      </w:r>
      <w:r>
        <w:rPr>
          <w:sz w:val="20"/>
          <w:szCs w:val="20"/>
        </w:rPr>
        <w:t xml:space="preserve"> </w:t>
      </w:r>
      <w:r w:rsidRPr="00175878">
        <w:rPr>
          <w:i/>
          <w:sz w:val="20"/>
          <w:szCs w:val="20"/>
        </w:rPr>
        <w:t xml:space="preserve">Boultif v. Switzerland </w:t>
      </w:r>
      <w:r w:rsidRPr="000A140E">
        <w:rPr>
          <w:iCs/>
          <w:sz w:val="20"/>
          <w:szCs w:val="20"/>
        </w:rPr>
        <w:t>(App</w:t>
      </w:r>
      <w:r w:rsidRPr="004E2A81">
        <w:rPr>
          <w:iCs/>
          <w:sz w:val="20"/>
          <w:szCs w:val="20"/>
        </w:rPr>
        <w:t>. No. 54273/00) (2001) 33 E.H.R.R. 50</w:t>
      </w:r>
      <w:r w:rsidRPr="004E2A81">
        <w:rPr>
          <w:sz w:val="20"/>
          <w:szCs w:val="20"/>
        </w:rPr>
        <w:t xml:space="preserve">; </w:t>
      </w:r>
      <w:r w:rsidRPr="004E2A81">
        <w:rPr>
          <w:i/>
          <w:sz w:val="20"/>
          <w:szCs w:val="20"/>
        </w:rPr>
        <w:t>Üner v. the Netherlands</w:t>
      </w:r>
      <w:r w:rsidRPr="004E2A81">
        <w:rPr>
          <w:iCs/>
          <w:sz w:val="20"/>
          <w:szCs w:val="20"/>
        </w:rPr>
        <w:t xml:space="preserve"> (App. </w:t>
      </w:r>
      <w:r w:rsidR="00EB579A">
        <w:rPr>
          <w:iCs/>
          <w:sz w:val="20"/>
          <w:szCs w:val="20"/>
        </w:rPr>
        <w:t>N</w:t>
      </w:r>
      <w:r w:rsidRPr="004E2A81">
        <w:rPr>
          <w:iCs/>
          <w:sz w:val="20"/>
          <w:szCs w:val="20"/>
        </w:rPr>
        <w:t>o. 46410/99) (2007</w:t>
      </w:r>
      <w:r w:rsidRPr="004E2A81">
        <w:rPr>
          <w:i/>
          <w:sz w:val="20"/>
          <w:szCs w:val="20"/>
        </w:rPr>
        <w:t>)</w:t>
      </w:r>
      <w:r w:rsidRPr="004E2A81">
        <w:rPr>
          <w:iCs/>
          <w:sz w:val="20"/>
          <w:szCs w:val="20"/>
        </w:rPr>
        <w:t xml:space="preserve"> 45 E.H.R.R. 14</w:t>
      </w:r>
      <w:r w:rsidRPr="004E2A81">
        <w:rPr>
          <w:sz w:val="20"/>
          <w:szCs w:val="20"/>
        </w:rPr>
        <w:t>;</w:t>
      </w:r>
      <w:r w:rsidR="00EB579A">
        <w:rPr>
          <w:sz w:val="20"/>
          <w:szCs w:val="20"/>
        </w:rPr>
        <w:t xml:space="preserve"> and</w:t>
      </w:r>
      <w:r w:rsidRPr="004E2A81">
        <w:rPr>
          <w:sz w:val="20"/>
          <w:szCs w:val="20"/>
        </w:rPr>
        <w:t xml:space="preserve"> </w:t>
      </w:r>
      <w:r w:rsidRPr="004E2A81">
        <w:rPr>
          <w:i/>
          <w:sz w:val="20"/>
          <w:szCs w:val="20"/>
        </w:rPr>
        <w:t xml:space="preserve">Maslov v. Austria </w:t>
      </w:r>
      <w:r w:rsidRPr="004E2A81">
        <w:rPr>
          <w:iCs/>
          <w:sz w:val="20"/>
          <w:szCs w:val="20"/>
        </w:rPr>
        <w:t>(App. No. 1638/03) (2008) 47 E.H.R.R. 20, [2009] I.N.L.R.</w:t>
      </w:r>
      <w:r w:rsidRPr="004E2A81">
        <w:rPr>
          <w:i/>
          <w:sz w:val="20"/>
          <w:szCs w:val="20"/>
        </w:rPr>
        <w:t xml:space="preserve"> </w:t>
      </w:r>
      <w:r w:rsidRPr="000A140E">
        <w:rPr>
          <w:sz w:val="20"/>
          <w:szCs w:val="20"/>
        </w:rPr>
        <w:t>47.</w:t>
      </w:r>
    </w:p>
  </w:footnote>
  <w:footnote w:id="4">
    <w:p w14:paraId="5DEEB333" w14:textId="403981F0" w:rsidR="00E53D65" w:rsidRDefault="00E53D65" w:rsidP="00942ECB">
      <w:pPr>
        <w:jc w:val="both"/>
      </w:pPr>
      <w:r w:rsidRPr="007064A9">
        <w:rPr>
          <w:rStyle w:val="FootnoteReference"/>
        </w:rPr>
        <w:footnoteRef/>
      </w:r>
      <w:r w:rsidRPr="007064A9">
        <w:t xml:space="preserve"> </w:t>
      </w:r>
      <w:r w:rsidRPr="007064A9">
        <w:rPr>
          <w:rFonts w:eastAsiaTheme="minorHAnsi" w:cstheme="minorBidi"/>
          <w:sz w:val="20"/>
          <w:szCs w:val="20"/>
          <w:lang w:eastAsia="en-US"/>
        </w:rPr>
        <w:t xml:space="preserve">See, for example, </w:t>
      </w:r>
      <w:r w:rsidRPr="007064A9">
        <w:rPr>
          <w:rStyle w:val="sb8d990e2"/>
          <w:i/>
          <w:color w:val="000000"/>
          <w:sz w:val="20"/>
          <w:szCs w:val="20"/>
        </w:rPr>
        <w:t>Chandra and Others v. the Netherlands</w:t>
      </w:r>
      <w:r w:rsidRPr="007064A9">
        <w:rPr>
          <w:rStyle w:val="sb8d990e2"/>
          <w:color w:val="000000"/>
          <w:sz w:val="20"/>
          <w:szCs w:val="20"/>
        </w:rPr>
        <w:t xml:space="preserve"> (App. No. 53102/ 99) (Unreported, European Court of Human Rights, 13</w:t>
      </w:r>
      <w:r>
        <w:rPr>
          <w:rStyle w:val="sb8d990e2"/>
          <w:color w:val="000000"/>
          <w:sz w:val="20"/>
          <w:szCs w:val="20"/>
          <w:vertAlign w:val="superscript"/>
        </w:rPr>
        <w:t xml:space="preserve"> </w:t>
      </w:r>
      <w:r w:rsidRPr="007064A9">
        <w:rPr>
          <w:rStyle w:val="sb8d990e2"/>
          <w:color w:val="000000"/>
          <w:sz w:val="20"/>
          <w:szCs w:val="20"/>
        </w:rPr>
        <w:t>May 2003)</w:t>
      </w:r>
      <w:r w:rsidRPr="007064A9">
        <w:rPr>
          <w:rFonts w:eastAsiaTheme="minorHAnsi" w:cstheme="minorBidi"/>
          <w:sz w:val="20"/>
          <w:szCs w:val="20"/>
          <w:lang w:eastAsia="en-US"/>
        </w:rPr>
        <w:t xml:space="preserve">; </w:t>
      </w:r>
      <w:r w:rsidRPr="007064A9">
        <w:rPr>
          <w:rFonts w:eastAsiaTheme="minorHAnsi" w:cstheme="minorBidi"/>
          <w:i/>
          <w:iCs/>
          <w:sz w:val="20"/>
          <w:szCs w:val="20"/>
          <w:lang w:eastAsia="en-US"/>
        </w:rPr>
        <w:t>Benamar v. the Netherlands</w:t>
      </w:r>
      <w:r w:rsidRPr="00A33C52">
        <w:rPr>
          <w:rFonts w:eastAsiaTheme="minorHAnsi" w:cstheme="minorBidi"/>
          <w:iCs/>
          <w:sz w:val="20"/>
          <w:szCs w:val="20"/>
          <w:lang w:eastAsia="en-US"/>
        </w:rPr>
        <w:t xml:space="preserve"> </w:t>
      </w:r>
      <w:r w:rsidRPr="00A33C52">
        <w:rPr>
          <w:rFonts w:eastAsiaTheme="minorHAnsi" w:cstheme="minorBidi"/>
          <w:sz w:val="20"/>
          <w:szCs w:val="20"/>
          <w:lang w:eastAsia="en-US"/>
        </w:rPr>
        <w:t>(</w:t>
      </w:r>
      <w:r w:rsidRPr="007064A9">
        <w:rPr>
          <w:rFonts w:eastAsiaTheme="minorHAnsi" w:cstheme="minorBidi"/>
          <w:sz w:val="20"/>
          <w:szCs w:val="20"/>
          <w:lang w:eastAsia="en-US"/>
        </w:rPr>
        <w:t xml:space="preserve">App. No. </w:t>
      </w:r>
      <w:hyperlink r:id="rId1" w:anchor="{%22appno%22:[%2243786/04%22]}" w:tgtFrame="_blank" w:history="1">
        <w:r w:rsidRPr="007064A9">
          <w:rPr>
            <w:rFonts w:eastAsiaTheme="minorHAnsi" w:cstheme="minorBidi"/>
            <w:sz w:val="20"/>
            <w:szCs w:val="20"/>
            <w:lang w:eastAsia="en-US"/>
          </w:rPr>
          <w:t>43786/04</w:t>
        </w:r>
      </w:hyperlink>
      <w:r w:rsidRPr="007064A9">
        <w:rPr>
          <w:rFonts w:eastAsiaTheme="minorHAnsi" w:cstheme="minorBidi"/>
          <w:sz w:val="20"/>
          <w:szCs w:val="20"/>
          <w:lang w:eastAsia="en-US"/>
        </w:rPr>
        <w:t xml:space="preserve">) (2005) 41 E.H.R.R. 69, 41 E.H.R.R. SE45; </w:t>
      </w:r>
      <w:r w:rsidRPr="007064A9">
        <w:rPr>
          <w:rFonts w:eastAsiaTheme="minorHAnsi" w:cstheme="minorBidi"/>
          <w:i/>
          <w:iCs/>
          <w:sz w:val="20"/>
          <w:szCs w:val="20"/>
          <w:lang w:eastAsia="en-US"/>
        </w:rPr>
        <w:t xml:space="preserve">Priya v. Denmark </w:t>
      </w:r>
      <w:r w:rsidRPr="007064A9">
        <w:rPr>
          <w:rFonts w:eastAsiaTheme="minorHAnsi" w:cstheme="minorBidi"/>
          <w:sz w:val="20"/>
          <w:szCs w:val="20"/>
          <w:lang w:eastAsia="en-US"/>
        </w:rPr>
        <w:t xml:space="preserve">(App. No. </w:t>
      </w:r>
      <w:hyperlink r:id="rId2" w:anchor="{%22appno%22:[%2213594/03%22]}" w:tgtFrame="_blank" w:history="1">
        <w:r w:rsidRPr="007064A9">
          <w:rPr>
            <w:rFonts w:eastAsiaTheme="minorHAnsi" w:cstheme="minorBidi"/>
            <w:sz w:val="20"/>
            <w:szCs w:val="20"/>
            <w:lang w:eastAsia="en-US"/>
          </w:rPr>
          <w:t>13594/03</w:t>
        </w:r>
      </w:hyperlink>
      <w:r w:rsidRPr="007064A9">
        <w:rPr>
          <w:rFonts w:eastAsiaTheme="minorHAnsi" w:cstheme="minorBidi"/>
          <w:sz w:val="20"/>
          <w:szCs w:val="20"/>
          <w:lang w:eastAsia="en-US"/>
        </w:rPr>
        <w:t xml:space="preserve">) (Unreported, European Court of Human Rights, 6 July 2006); </w:t>
      </w:r>
      <w:r>
        <w:rPr>
          <w:rFonts w:eastAsiaTheme="minorHAnsi" w:cstheme="minorBidi"/>
          <w:sz w:val="20"/>
          <w:szCs w:val="20"/>
          <w:lang w:eastAsia="en-US"/>
        </w:rPr>
        <w:t xml:space="preserve">and </w:t>
      </w:r>
      <w:r w:rsidRPr="007064A9">
        <w:rPr>
          <w:rFonts w:eastAsiaTheme="minorHAnsi" w:cstheme="minorBidi"/>
          <w:i/>
          <w:iCs/>
          <w:sz w:val="20"/>
          <w:szCs w:val="20"/>
          <w:lang w:eastAsia="en-US"/>
        </w:rPr>
        <w:t>Rodrigues da Silva and Hoogkamer v. the Netherlands</w:t>
      </w:r>
      <w:r w:rsidRPr="007064A9">
        <w:rPr>
          <w:rFonts w:eastAsiaTheme="minorHAnsi" w:cstheme="minorBidi"/>
          <w:sz w:val="20"/>
          <w:szCs w:val="20"/>
          <w:lang w:eastAsia="en-US"/>
        </w:rPr>
        <w:t xml:space="preserve"> (App. No. </w:t>
      </w:r>
      <w:hyperlink r:id="rId3" w:anchor="{%22appno%22:[%2250435/99%22]}" w:tgtFrame="_blank" w:history="1">
        <w:r w:rsidRPr="007064A9">
          <w:rPr>
            <w:rFonts w:eastAsiaTheme="minorHAnsi" w:cstheme="minorBidi"/>
            <w:sz w:val="20"/>
            <w:szCs w:val="20"/>
            <w:lang w:eastAsia="en-US"/>
          </w:rPr>
          <w:t>50435/99</w:t>
        </w:r>
      </w:hyperlink>
      <w:r w:rsidRPr="007064A9">
        <w:rPr>
          <w:rFonts w:eastAsiaTheme="minorHAnsi" w:cstheme="minorBidi"/>
          <w:sz w:val="20"/>
          <w:szCs w:val="20"/>
          <w:lang w:eastAsia="en-US"/>
        </w:rPr>
        <w:t>) (2007) 44 E.H.R.R. 34, para. 43</w:t>
      </w:r>
      <w:r>
        <w:rPr>
          <w:rFonts w:eastAsiaTheme="minorHAnsi" w:cstheme="minorBidi"/>
          <w:sz w:val="20"/>
          <w:szCs w:val="20"/>
          <w:lang w:eastAsia="en-US"/>
        </w:rPr>
        <w:t>.</w:t>
      </w:r>
    </w:p>
  </w:footnote>
  <w:footnote w:id="5">
    <w:p w14:paraId="073651C5" w14:textId="58CCFFC7" w:rsidR="00E53D65" w:rsidRPr="00ED735C" w:rsidRDefault="00E53D65" w:rsidP="00614502">
      <w:pPr>
        <w:pStyle w:val="ListParagraph"/>
        <w:widowControl w:val="0"/>
        <w:tabs>
          <w:tab w:val="left" w:pos="567"/>
        </w:tabs>
        <w:ind w:left="0"/>
        <w:jc w:val="both"/>
        <w:rPr>
          <w:sz w:val="20"/>
          <w:szCs w:val="20"/>
        </w:rPr>
      </w:pPr>
      <w:r w:rsidRPr="00EC3E3D">
        <w:rPr>
          <w:rStyle w:val="FootnoteReference"/>
          <w:sz w:val="20"/>
          <w:szCs w:val="20"/>
        </w:rPr>
        <w:footnoteRef/>
      </w:r>
      <w:r w:rsidRPr="00186C4B">
        <w:rPr>
          <w:sz w:val="20"/>
          <w:szCs w:val="20"/>
        </w:rPr>
        <w:t xml:space="preserve">See </w:t>
      </w:r>
      <w:r w:rsidRPr="00186C4B">
        <w:rPr>
          <w:i/>
          <w:iCs/>
          <w:sz w:val="20"/>
          <w:szCs w:val="20"/>
        </w:rPr>
        <w:t>Abdulaziz, Cabales and Balkandali v. the United Kingdom</w:t>
      </w:r>
      <w:r w:rsidRPr="00186C4B">
        <w:rPr>
          <w:sz w:val="20"/>
          <w:szCs w:val="20"/>
        </w:rPr>
        <w:t xml:space="preserve"> (App. Nos. 9214/80; 9473/81; 9474/81) </w:t>
      </w:r>
      <w:r w:rsidRPr="00186C4B">
        <w:rPr>
          <w:color w:val="000000"/>
          <w:sz w:val="20"/>
          <w:szCs w:val="20"/>
        </w:rPr>
        <w:t>(1985</w:t>
      </w:r>
      <w:r>
        <w:rPr>
          <w:color w:val="000000"/>
          <w:sz w:val="20"/>
          <w:szCs w:val="20"/>
        </w:rPr>
        <w:t>) 7</w:t>
      </w:r>
      <w:r w:rsidRPr="00186C4B">
        <w:rPr>
          <w:color w:val="000000"/>
          <w:sz w:val="20"/>
          <w:szCs w:val="20"/>
        </w:rPr>
        <w:t xml:space="preserve"> E.H.R.R. 471,</w:t>
      </w:r>
      <w:r w:rsidRPr="00186C4B">
        <w:rPr>
          <w:sz w:val="20"/>
          <w:szCs w:val="20"/>
        </w:rPr>
        <w:t xml:space="preserve"> para. 68; </w:t>
      </w:r>
      <w:r w:rsidRPr="00186C4B">
        <w:rPr>
          <w:i/>
          <w:iCs/>
          <w:sz w:val="20"/>
          <w:szCs w:val="20"/>
        </w:rPr>
        <w:t xml:space="preserve">Mitchell v. the United Kingdom </w:t>
      </w:r>
      <w:r w:rsidRPr="00186C4B">
        <w:rPr>
          <w:sz w:val="20"/>
          <w:szCs w:val="20"/>
        </w:rPr>
        <w:t xml:space="preserve">(App. No. </w:t>
      </w:r>
      <w:hyperlink r:id="rId4" w:anchor="{%22appno%22:[%2240447/98%22]}" w:tgtFrame="_blank" w:history="1">
        <w:r w:rsidRPr="00186C4B">
          <w:rPr>
            <w:rStyle w:val="Hyperlink"/>
            <w:color w:val="auto"/>
            <w:sz w:val="20"/>
            <w:szCs w:val="20"/>
            <w:u w:val="none"/>
          </w:rPr>
          <w:t>40447/98</w:t>
        </w:r>
      </w:hyperlink>
      <w:r w:rsidRPr="00186C4B">
        <w:rPr>
          <w:rStyle w:val="Hyperlink"/>
          <w:color w:val="auto"/>
          <w:sz w:val="20"/>
          <w:szCs w:val="20"/>
          <w:u w:val="none"/>
        </w:rPr>
        <w:t>) (Unreported, European Court of Human Rights</w:t>
      </w:r>
      <w:r w:rsidRPr="00186C4B">
        <w:rPr>
          <w:sz w:val="20"/>
          <w:szCs w:val="20"/>
        </w:rPr>
        <w:t xml:space="preserve">, 24 November 1998); </w:t>
      </w:r>
      <w:r w:rsidRPr="00186C4B">
        <w:rPr>
          <w:i/>
          <w:iCs/>
          <w:sz w:val="20"/>
          <w:szCs w:val="20"/>
        </w:rPr>
        <w:t xml:space="preserve">Rodrigues </w:t>
      </w:r>
      <w:r w:rsidRPr="00186C4B">
        <w:rPr>
          <w:i/>
          <w:sz w:val="20"/>
          <w:szCs w:val="20"/>
        </w:rPr>
        <w:t>da Silva v. the Netherlands</w:t>
      </w:r>
      <w:r w:rsidRPr="00186C4B">
        <w:rPr>
          <w:sz w:val="20"/>
          <w:szCs w:val="20"/>
        </w:rPr>
        <w:t xml:space="preserve"> </w:t>
      </w:r>
      <w:r w:rsidRPr="00186C4B">
        <w:rPr>
          <w:rFonts w:eastAsiaTheme="minorHAnsi" w:cstheme="minorBidi"/>
          <w:sz w:val="20"/>
          <w:szCs w:val="20"/>
          <w:lang w:eastAsia="en-US"/>
        </w:rPr>
        <w:t xml:space="preserve">App. No. </w:t>
      </w:r>
      <w:hyperlink r:id="rId5" w:anchor="{%22appno%22:[%2250435/99%22]}" w:tgtFrame="_blank" w:history="1">
        <w:r w:rsidRPr="00186C4B">
          <w:rPr>
            <w:rFonts w:eastAsiaTheme="minorHAnsi" w:cstheme="minorBidi"/>
            <w:sz w:val="20"/>
            <w:szCs w:val="20"/>
            <w:lang w:eastAsia="en-US"/>
          </w:rPr>
          <w:t>50435/99</w:t>
        </w:r>
      </w:hyperlink>
      <w:r w:rsidRPr="00186C4B">
        <w:rPr>
          <w:rFonts w:eastAsiaTheme="minorHAnsi" w:cstheme="minorBidi"/>
          <w:sz w:val="20"/>
          <w:szCs w:val="20"/>
          <w:lang w:eastAsia="en-US"/>
        </w:rPr>
        <w:t>) (2007) 44 E.H.R.R. 34</w:t>
      </w:r>
      <w:r w:rsidRPr="00186C4B">
        <w:rPr>
          <w:sz w:val="20"/>
          <w:szCs w:val="20"/>
        </w:rPr>
        <w:t>;</w:t>
      </w:r>
      <w:r>
        <w:rPr>
          <w:sz w:val="20"/>
          <w:szCs w:val="20"/>
        </w:rPr>
        <w:t xml:space="preserve"> </w:t>
      </w:r>
      <w:r w:rsidRPr="00186C4B">
        <w:rPr>
          <w:sz w:val="20"/>
          <w:szCs w:val="20"/>
        </w:rPr>
        <w:t xml:space="preserve">and </w:t>
      </w:r>
      <w:r w:rsidRPr="00186C4B">
        <w:rPr>
          <w:i/>
          <w:iCs/>
          <w:sz w:val="20"/>
          <w:szCs w:val="20"/>
        </w:rPr>
        <w:t>Butt v. Norway</w:t>
      </w:r>
      <w:r w:rsidRPr="00186C4B">
        <w:rPr>
          <w:sz w:val="20"/>
          <w:szCs w:val="20"/>
        </w:rPr>
        <w:t xml:space="preserve"> (App. No. 47017/09) (</w:t>
      </w:r>
      <w:r w:rsidRPr="00186C4B">
        <w:rPr>
          <w:rStyle w:val="Hyperlink"/>
          <w:color w:val="auto"/>
          <w:sz w:val="20"/>
          <w:szCs w:val="20"/>
          <w:u w:val="none"/>
        </w:rPr>
        <w:t>Unreported, European Court of Human Rights</w:t>
      </w:r>
      <w:r w:rsidRPr="00186C4B">
        <w:rPr>
          <w:sz w:val="20"/>
          <w:szCs w:val="20"/>
        </w:rPr>
        <w:t>, 4 December 2012).</w:t>
      </w:r>
    </w:p>
    <w:p w14:paraId="49EB94A9" w14:textId="77777777" w:rsidR="00E53D65" w:rsidRDefault="00E53D65" w:rsidP="00614502">
      <w:pPr>
        <w:pStyle w:val="FootnoteText"/>
      </w:pPr>
    </w:p>
  </w:footnote>
  <w:footnote w:id="6">
    <w:p w14:paraId="225746D1" w14:textId="6C8D2C39" w:rsidR="00E53D65" w:rsidRDefault="00E53D65" w:rsidP="005C0D7B">
      <w:pPr>
        <w:pStyle w:val="FootnoteText"/>
        <w:jc w:val="both"/>
      </w:pPr>
      <w:r>
        <w:rPr>
          <w:rStyle w:val="FootnoteReference"/>
        </w:rPr>
        <w:footnoteRef/>
      </w:r>
      <w:r>
        <w:t xml:space="preserve"> </w:t>
      </w:r>
      <w:r w:rsidRPr="00A90E3B">
        <w:t xml:space="preserve">On the requirement for ‘serious reasons’ see </w:t>
      </w:r>
      <w:r w:rsidRPr="00A90E3B">
        <w:rPr>
          <w:i/>
        </w:rPr>
        <w:t>Levakovic v. Denmark</w:t>
      </w:r>
      <w:r w:rsidRPr="00A90E3B">
        <w:t>, (App. No. 7841/14) (Unreported,</w:t>
      </w:r>
      <w:r>
        <w:t xml:space="preserve"> </w:t>
      </w:r>
      <w:r w:rsidRPr="00A90E3B">
        <w:t>European Court of Human Rights, 23 October 2018, para. 45.</w:t>
      </w:r>
    </w:p>
  </w:footnote>
  <w:footnote w:id="7">
    <w:p w14:paraId="0A286F3C" w14:textId="77777777" w:rsidR="00E53D65" w:rsidRDefault="00E53D65" w:rsidP="00451BA0">
      <w:pPr>
        <w:pStyle w:val="FootnoteText"/>
        <w:jc w:val="both"/>
      </w:pPr>
      <w:r>
        <w:rPr>
          <w:rStyle w:val="FootnoteReference"/>
        </w:rPr>
        <w:footnoteRef/>
      </w:r>
      <w:r>
        <w:t xml:space="preserve"> See </w:t>
      </w:r>
      <w:r w:rsidRPr="00C47D54">
        <w:rPr>
          <w:i/>
        </w:rPr>
        <w:t>Kwakye-Nti and Dufie v. the Netherlands</w:t>
      </w:r>
      <w:r w:rsidRPr="00C47D54">
        <w:t xml:space="preserve"> (App. No. 31519/96) (Unreported, European Court of Human Rights, 7 November 2000); </w:t>
      </w:r>
      <w:r w:rsidRPr="00C47D54">
        <w:rPr>
          <w:i/>
        </w:rPr>
        <w:t>Slivenko v. Latvia</w:t>
      </w:r>
      <w:r w:rsidRPr="00C47D54">
        <w:t xml:space="preserve"> (App. No. 48321/99) (2004) 39 E.H.R.R 24, para. 97; </w:t>
      </w:r>
      <w:r w:rsidRPr="00C47D54">
        <w:rPr>
          <w:i/>
        </w:rPr>
        <w:t xml:space="preserve">A.S. v. Switzerland </w:t>
      </w:r>
      <w:r w:rsidRPr="00C47D54">
        <w:rPr>
          <w:iCs/>
        </w:rPr>
        <w:t>(App. No. 39350/13) (2017) 65 H.E.R.R. 12,</w:t>
      </w:r>
      <w:r w:rsidRPr="00C47D54">
        <w:t xml:space="preserve"> para. 49;</w:t>
      </w:r>
      <w:r>
        <w:t xml:space="preserve"> and</w:t>
      </w:r>
      <w:r w:rsidRPr="00C47D54">
        <w:t xml:space="preserve"> </w:t>
      </w:r>
      <w:r w:rsidRPr="00C47D54">
        <w:rPr>
          <w:i/>
        </w:rPr>
        <w:t>Levakovic v. Denmark</w:t>
      </w:r>
      <w:r>
        <w:t xml:space="preserve"> </w:t>
      </w:r>
      <w:r w:rsidRPr="00C47D54">
        <w:t>(App. No. 7841/14) (Unreported, European Court of Human Rights, 23 October 2018) paras. 35 and 44</w:t>
      </w:r>
      <w:r>
        <w:t>.</w:t>
      </w:r>
    </w:p>
  </w:footnote>
  <w:footnote w:id="8">
    <w:p w14:paraId="3CCED170" w14:textId="7F4C833D" w:rsidR="00E53D65" w:rsidRPr="00230865" w:rsidRDefault="00E53D65" w:rsidP="00451BA0">
      <w:pPr>
        <w:pStyle w:val="ListParagraph"/>
        <w:widowControl w:val="0"/>
        <w:ind w:left="0"/>
        <w:jc w:val="both"/>
        <w:rPr>
          <w:rStyle w:val="sb8d990e2"/>
          <w:b/>
          <w:sz w:val="20"/>
          <w:szCs w:val="20"/>
        </w:rPr>
      </w:pPr>
      <w:r w:rsidRPr="00230865">
        <w:rPr>
          <w:rStyle w:val="FootnoteReference"/>
        </w:rPr>
        <w:footnoteRef/>
      </w:r>
      <w:r w:rsidRPr="00451BA0">
        <w:rPr>
          <w:rStyle w:val="sb8d990e2"/>
          <w:sz w:val="20"/>
          <w:szCs w:val="20"/>
          <w:shd w:val="clear" w:color="auto" w:fill="FFFFFF"/>
        </w:rPr>
        <w:t xml:space="preserve">See </w:t>
      </w:r>
      <w:r w:rsidRPr="00451BA0">
        <w:rPr>
          <w:rStyle w:val="s6b621b36"/>
          <w:i/>
          <w:iCs/>
          <w:sz w:val="20"/>
          <w:szCs w:val="20"/>
          <w:shd w:val="clear" w:color="auto" w:fill="FFFFFF"/>
        </w:rPr>
        <w:t>F.I. and Others v. the United Kingdom</w:t>
      </w:r>
      <w:r w:rsidRPr="00451BA0">
        <w:rPr>
          <w:rStyle w:val="sb8d990e2"/>
          <w:sz w:val="20"/>
          <w:szCs w:val="20"/>
          <w:shd w:val="clear" w:color="auto" w:fill="FFFFFF"/>
        </w:rPr>
        <w:t xml:space="preserve">  (App. No. 8655/10) (Unreported, European Court of Human Rights, 15  March, 2011); </w:t>
      </w:r>
      <w:r w:rsidRPr="00451BA0">
        <w:rPr>
          <w:rStyle w:val="s6b621b36"/>
          <w:i/>
          <w:iCs/>
          <w:sz w:val="20"/>
          <w:szCs w:val="20"/>
          <w:shd w:val="clear" w:color="auto" w:fill="FFFFFF"/>
        </w:rPr>
        <w:t>Atayeva and Burmann v. Sweden</w:t>
      </w:r>
      <w:r w:rsidRPr="00451BA0">
        <w:rPr>
          <w:rStyle w:val="sb8d990e2"/>
          <w:sz w:val="20"/>
          <w:szCs w:val="20"/>
          <w:shd w:val="clear" w:color="auto" w:fill="FFFFFF"/>
        </w:rPr>
        <w:t>  (App. No. </w:t>
      </w:r>
      <w:hyperlink r:id="rId6" w:anchor="{%22appno%22:[%2217471/11%22]}" w:tgtFrame="_blank" w:history="1">
        <w:r w:rsidRPr="00451BA0">
          <w:rPr>
            <w:rStyle w:val="Hyperlink"/>
            <w:color w:val="auto"/>
            <w:sz w:val="20"/>
            <w:szCs w:val="20"/>
            <w:u w:val="none"/>
          </w:rPr>
          <w:t>17471/11</w:t>
        </w:r>
      </w:hyperlink>
      <w:r w:rsidRPr="00451BA0">
        <w:rPr>
          <w:rStyle w:val="sb8d990e2"/>
          <w:sz w:val="20"/>
          <w:szCs w:val="20"/>
          <w:shd w:val="clear" w:color="auto" w:fill="FFFFFF"/>
        </w:rPr>
        <w:t>) (Unreported, European Court of Human Rights, 31 October, 2013) paras. 19</w:t>
      </w:r>
      <w:r w:rsidRPr="00451BA0">
        <w:rPr>
          <w:rStyle w:val="sb8d990e2"/>
          <w:sz w:val="20"/>
          <w:szCs w:val="20"/>
          <w:shd w:val="clear" w:color="auto" w:fill="FFFFFF"/>
        </w:rPr>
        <w:noBreakHyphen/>
        <w:t>24</w:t>
      </w:r>
      <w:r w:rsidRPr="0010492D">
        <w:rPr>
          <w:rStyle w:val="sb8d990e2"/>
          <w:sz w:val="20"/>
          <w:szCs w:val="20"/>
          <w:shd w:val="clear" w:color="auto" w:fill="FFFFFF"/>
        </w:rPr>
        <w:t>;</w:t>
      </w:r>
      <w:r w:rsidRPr="0010492D">
        <w:rPr>
          <w:rStyle w:val="s6b621b36"/>
          <w:iCs/>
          <w:sz w:val="20"/>
          <w:szCs w:val="20"/>
          <w:shd w:val="clear" w:color="auto" w:fill="FFFFFF"/>
        </w:rPr>
        <w:t> and</w:t>
      </w:r>
      <w:r>
        <w:rPr>
          <w:rStyle w:val="s6b621b36"/>
          <w:i/>
          <w:iCs/>
          <w:sz w:val="20"/>
          <w:szCs w:val="20"/>
          <w:shd w:val="clear" w:color="auto" w:fill="FFFFFF"/>
        </w:rPr>
        <w:t xml:space="preserve"> </w:t>
      </w:r>
      <w:r w:rsidRPr="00451BA0">
        <w:rPr>
          <w:rStyle w:val="s6b621b36"/>
          <w:i/>
          <w:iCs/>
          <w:sz w:val="20"/>
          <w:szCs w:val="20"/>
          <w:shd w:val="clear" w:color="auto" w:fill="FFFFFF"/>
        </w:rPr>
        <w:t>P.Z. and Others v. Sweden</w:t>
      </w:r>
      <w:r>
        <w:rPr>
          <w:rStyle w:val="s6b621b36"/>
          <w:i/>
          <w:iCs/>
          <w:sz w:val="20"/>
          <w:szCs w:val="20"/>
          <w:shd w:val="clear" w:color="auto" w:fill="FFFFFF"/>
        </w:rPr>
        <w:t xml:space="preserve"> </w:t>
      </w:r>
      <w:r w:rsidRPr="00451BA0">
        <w:rPr>
          <w:rStyle w:val="sb8d990e2"/>
          <w:sz w:val="20"/>
          <w:szCs w:val="20"/>
          <w:shd w:val="clear" w:color="auto" w:fill="FFFFFF"/>
        </w:rPr>
        <w:t>(App. No. </w:t>
      </w:r>
      <w:hyperlink r:id="rId7" w:anchor="{%22appno%22:[%2268194/10%22]}" w:tgtFrame="_blank" w:history="1">
        <w:r w:rsidRPr="00451BA0">
          <w:rPr>
            <w:rStyle w:val="Hyperlink"/>
            <w:color w:val="auto"/>
            <w:sz w:val="20"/>
            <w:szCs w:val="20"/>
            <w:u w:val="none"/>
          </w:rPr>
          <w:t>68194/10</w:t>
        </w:r>
      </w:hyperlink>
      <w:r w:rsidRPr="00451BA0">
        <w:rPr>
          <w:rStyle w:val="Hyperlink"/>
          <w:color w:val="auto"/>
          <w:sz w:val="20"/>
          <w:szCs w:val="20"/>
          <w:u w:val="none"/>
        </w:rPr>
        <w:t>) (</w:t>
      </w:r>
      <w:r w:rsidRPr="00451BA0">
        <w:rPr>
          <w:rStyle w:val="sb8d990e2"/>
          <w:sz w:val="20"/>
          <w:szCs w:val="20"/>
          <w:shd w:val="clear" w:color="auto" w:fill="FFFFFF"/>
        </w:rPr>
        <w:t>Unreported, European Court of Human Rights,18</w:t>
      </w:r>
      <w:r w:rsidRPr="00451BA0">
        <w:rPr>
          <w:rStyle w:val="sb8d990e2"/>
          <w:sz w:val="20"/>
          <w:szCs w:val="20"/>
          <w:shd w:val="clear" w:color="auto" w:fill="FFFFFF"/>
          <w:vertAlign w:val="superscript"/>
        </w:rPr>
        <w:t xml:space="preserve"> </w:t>
      </w:r>
      <w:r w:rsidRPr="00451BA0">
        <w:rPr>
          <w:rStyle w:val="sb8d990e2"/>
          <w:sz w:val="20"/>
          <w:szCs w:val="20"/>
          <w:shd w:val="clear" w:color="auto" w:fill="FFFFFF"/>
        </w:rPr>
        <w:t>December, 2012) paras. 14</w:t>
      </w:r>
      <w:r w:rsidRPr="00451BA0">
        <w:rPr>
          <w:rStyle w:val="sb8d990e2"/>
          <w:sz w:val="20"/>
          <w:szCs w:val="20"/>
          <w:shd w:val="clear" w:color="auto" w:fill="FFFFFF"/>
        </w:rPr>
        <w:noBreakHyphen/>
        <w:t>17.</w:t>
      </w:r>
    </w:p>
    <w:p w14:paraId="02D513E1" w14:textId="212C553D" w:rsidR="00E53D65" w:rsidRPr="00230865" w:rsidRDefault="00E53D65" w:rsidP="00451BA0">
      <w:pPr>
        <w:pStyle w:val="ListParagraph"/>
        <w:widowControl w:val="0"/>
        <w:ind w:left="0"/>
        <w:jc w:val="both"/>
        <w:rPr>
          <w:sz w:val="16"/>
          <w:szCs w:val="16"/>
        </w:rPr>
      </w:pPr>
    </w:p>
  </w:footnote>
  <w:footnote w:id="9">
    <w:p w14:paraId="436862D9" w14:textId="0753ADAE" w:rsidR="00E53D65" w:rsidRDefault="00E53D65">
      <w:pPr>
        <w:pStyle w:val="FootnoteText"/>
      </w:pPr>
      <w:r>
        <w:rPr>
          <w:rStyle w:val="FootnoteReference"/>
        </w:rPr>
        <w:footnoteRef/>
      </w:r>
      <w:r>
        <w:t xml:space="preserve"> See Submissions of the Respondent, paragraph 31.</w:t>
      </w:r>
    </w:p>
  </w:footnote>
  <w:footnote w:id="10">
    <w:p w14:paraId="4A3D31F5" w14:textId="6F7B51E5" w:rsidR="00E53D65" w:rsidRDefault="00E53D65" w:rsidP="004126EB">
      <w:pPr>
        <w:pStyle w:val="FootnoteText"/>
        <w:jc w:val="both"/>
      </w:pPr>
      <w:r>
        <w:rPr>
          <w:rStyle w:val="FootnoteReference"/>
        </w:rPr>
        <w:footnoteRef/>
      </w:r>
      <w:r w:rsidRPr="004126EB">
        <w:t xml:space="preserve">See, </w:t>
      </w:r>
      <w:r w:rsidRPr="004126EB">
        <w:rPr>
          <w:i/>
        </w:rPr>
        <w:t>inter alia</w:t>
      </w:r>
      <w:r w:rsidRPr="004126EB">
        <w:t xml:space="preserve">, </w:t>
      </w:r>
      <w:r w:rsidRPr="004126EB">
        <w:rPr>
          <w:i/>
          <w:iCs/>
        </w:rPr>
        <w:t>Abdulaziz, Cabales and Balkandali v. the United Kingdom</w:t>
      </w:r>
      <w:r w:rsidRPr="004126EB">
        <w:t xml:space="preserve"> (App. Nos. 9214/80; 9473/81; 9474/81) </w:t>
      </w:r>
      <w:r w:rsidRPr="004126EB">
        <w:rPr>
          <w:color w:val="000000"/>
        </w:rPr>
        <w:t>(1985) 7 E.H.R.R. 471</w:t>
      </w:r>
      <w:r w:rsidRPr="004126EB">
        <w:t xml:space="preserve">, para. 68 and </w:t>
      </w:r>
      <w:r w:rsidRPr="004126EB">
        <w:rPr>
          <w:i/>
          <w:iCs/>
          <w:color w:val="3F3F3F"/>
          <w:shd w:val="clear" w:color="auto" w:fill="FFFFFF"/>
        </w:rPr>
        <w:t>Gül</w:t>
      </w:r>
      <w:r w:rsidRPr="004126EB">
        <w:rPr>
          <w:i/>
        </w:rPr>
        <w:t xml:space="preserve"> v. Switzerland</w:t>
      </w:r>
      <w:r w:rsidRPr="004126EB">
        <w:t xml:space="preserve"> (App. No. 23218/94) (1996) 22 E.H.R.R. 93, para. 38.</w:t>
      </w:r>
    </w:p>
    <w:p w14:paraId="16A4FCF2" w14:textId="4B1A47B1" w:rsidR="00E53D65" w:rsidRDefault="00E53D65" w:rsidP="004126EB">
      <w:pPr>
        <w:pStyle w:val="FootnoteText"/>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7AF0F03"/>
    <w:multiLevelType w:val="hybridMultilevel"/>
    <w:tmpl w:val="E7A079E4"/>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A938A8"/>
    <w:multiLevelType w:val="hybridMultilevel"/>
    <w:tmpl w:val="214CA598"/>
    <w:lvl w:ilvl="0" w:tplc="3D52C5B2">
      <w:start w:val="1"/>
      <w:numFmt w:val="decimal"/>
      <w:lvlText w:val="%1."/>
      <w:lvlJc w:val="left"/>
      <w:pPr>
        <w:tabs>
          <w:tab w:val="num" w:pos="851"/>
        </w:tabs>
      </w:pPr>
      <w:rPr>
        <w:rFonts w:ascii="Times New Roman" w:hAnsi="Times New Roman" w:cs="Times New Roman" w:hint="default"/>
        <w:b/>
        <w:i w:val="0"/>
        <w:strike w:val="0"/>
        <w:color w:val="auto"/>
        <w:sz w:val="24"/>
        <w:szCs w:val="24"/>
      </w:rPr>
    </w:lvl>
    <w:lvl w:ilvl="1" w:tplc="4490B4EC">
      <w:start w:val="1"/>
      <w:numFmt w:val="lowerLetter"/>
      <w:lvlText w:val="(%2)"/>
      <w:lvlJc w:val="left"/>
      <w:pPr>
        <w:tabs>
          <w:tab w:val="num" w:pos="1134"/>
        </w:tabs>
        <w:ind w:left="1134" w:hanging="567"/>
      </w:pPr>
      <w:rPr>
        <w:rFonts w:cs="Times New Roman" w:hint="default"/>
        <w:b w:val="0"/>
        <w:i/>
        <w:sz w:val="22"/>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AC86391"/>
    <w:multiLevelType w:val="hybridMultilevel"/>
    <w:tmpl w:val="E060632A"/>
    <w:lvl w:ilvl="0" w:tplc="C2ACE104">
      <w:start w:val="1"/>
      <w:numFmt w:val="lowerLetter"/>
      <w:lvlText w:val="(%1)"/>
      <w:lvlJc w:val="left"/>
      <w:pPr>
        <w:ind w:left="1350" w:hanging="360"/>
      </w:pPr>
      <w:rPr>
        <w:rFonts w:hint="default"/>
      </w:rPr>
    </w:lvl>
    <w:lvl w:ilvl="1" w:tplc="18090019" w:tentative="1">
      <w:start w:val="1"/>
      <w:numFmt w:val="lowerLetter"/>
      <w:lvlText w:val="%2."/>
      <w:lvlJc w:val="left"/>
      <w:pPr>
        <w:ind w:left="2070" w:hanging="360"/>
      </w:pPr>
    </w:lvl>
    <w:lvl w:ilvl="2" w:tplc="1809001B" w:tentative="1">
      <w:start w:val="1"/>
      <w:numFmt w:val="lowerRoman"/>
      <w:lvlText w:val="%3."/>
      <w:lvlJc w:val="right"/>
      <w:pPr>
        <w:ind w:left="2790" w:hanging="180"/>
      </w:pPr>
    </w:lvl>
    <w:lvl w:ilvl="3" w:tplc="1809000F" w:tentative="1">
      <w:start w:val="1"/>
      <w:numFmt w:val="decimal"/>
      <w:lvlText w:val="%4."/>
      <w:lvlJc w:val="left"/>
      <w:pPr>
        <w:ind w:left="3510" w:hanging="360"/>
      </w:pPr>
    </w:lvl>
    <w:lvl w:ilvl="4" w:tplc="18090019" w:tentative="1">
      <w:start w:val="1"/>
      <w:numFmt w:val="lowerLetter"/>
      <w:lvlText w:val="%5."/>
      <w:lvlJc w:val="left"/>
      <w:pPr>
        <w:ind w:left="4230" w:hanging="360"/>
      </w:pPr>
    </w:lvl>
    <w:lvl w:ilvl="5" w:tplc="1809001B" w:tentative="1">
      <w:start w:val="1"/>
      <w:numFmt w:val="lowerRoman"/>
      <w:lvlText w:val="%6."/>
      <w:lvlJc w:val="right"/>
      <w:pPr>
        <w:ind w:left="4950" w:hanging="180"/>
      </w:pPr>
    </w:lvl>
    <w:lvl w:ilvl="6" w:tplc="1809000F" w:tentative="1">
      <w:start w:val="1"/>
      <w:numFmt w:val="decimal"/>
      <w:lvlText w:val="%7."/>
      <w:lvlJc w:val="left"/>
      <w:pPr>
        <w:ind w:left="5670" w:hanging="360"/>
      </w:pPr>
    </w:lvl>
    <w:lvl w:ilvl="7" w:tplc="18090019" w:tentative="1">
      <w:start w:val="1"/>
      <w:numFmt w:val="lowerLetter"/>
      <w:lvlText w:val="%8."/>
      <w:lvlJc w:val="left"/>
      <w:pPr>
        <w:ind w:left="6390" w:hanging="360"/>
      </w:pPr>
    </w:lvl>
    <w:lvl w:ilvl="8" w:tplc="1809001B" w:tentative="1">
      <w:start w:val="1"/>
      <w:numFmt w:val="lowerRoman"/>
      <w:lvlText w:val="%9."/>
      <w:lvlJc w:val="right"/>
      <w:pPr>
        <w:ind w:left="7110" w:hanging="180"/>
      </w:pPr>
    </w:lvl>
  </w:abstractNum>
  <w:abstractNum w:abstractNumId="4" w15:restartNumberingAfterBreak="0">
    <w:nsid w:val="5B685F9E"/>
    <w:multiLevelType w:val="hybridMultilevel"/>
    <w:tmpl w:val="06181E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9C48C8"/>
    <w:multiLevelType w:val="hybridMultilevel"/>
    <w:tmpl w:val="C8F2798E"/>
    <w:lvl w:ilvl="0" w:tplc="1809000F">
      <w:start w:val="1"/>
      <w:numFmt w:val="decimal"/>
      <w:lvlText w:val="%1."/>
      <w:lvlJc w:val="left"/>
      <w:pPr>
        <w:ind w:left="153" w:hanging="360"/>
      </w:pPr>
    </w:lvl>
    <w:lvl w:ilvl="1" w:tplc="18090019" w:tentative="1">
      <w:start w:val="1"/>
      <w:numFmt w:val="lowerLetter"/>
      <w:lvlText w:val="%2."/>
      <w:lvlJc w:val="left"/>
      <w:pPr>
        <w:ind w:left="873" w:hanging="360"/>
      </w:pPr>
    </w:lvl>
    <w:lvl w:ilvl="2" w:tplc="1809001B" w:tentative="1">
      <w:start w:val="1"/>
      <w:numFmt w:val="lowerRoman"/>
      <w:lvlText w:val="%3."/>
      <w:lvlJc w:val="right"/>
      <w:pPr>
        <w:ind w:left="1593" w:hanging="180"/>
      </w:pPr>
    </w:lvl>
    <w:lvl w:ilvl="3" w:tplc="1809000F" w:tentative="1">
      <w:start w:val="1"/>
      <w:numFmt w:val="decimal"/>
      <w:lvlText w:val="%4."/>
      <w:lvlJc w:val="left"/>
      <w:pPr>
        <w:ind w:left="2313" w:hanging="360"/>
      </w:pPr>
    </w:lvl>
    <w:lvl w:ilvl="4" w:tplc="18090019" w:tentative="1">
      <w:start w:val="1"/>
      <w:numFmt w:val="lowerLetter"/>
      <w:lvlText w:val="%5."/>
      <w:lvlJc w:val="left"/>
      <w:pPr>
        <w:ind w:left="3033" w:hanging="360"/>
      </w:pPr>
    </w:lvl>
    <w:lvl w:ilvl="5" w:tplc="1809001B" w:tentative="1">
      <w:start w:val="1"/>
      <w:numFmt w:val="lowerRoman"/>
      <w:lvlText w:val="%6."/>
      <w:lvlJc w:val="right"/>
      <w:pPr>
        <w:ind w:left="3753" w:hanging="180"/>
      </w:pPr>
    </w:lvl>
    <w:lvl w:ilvl="6" w:tplc="1809000F" w:tentative="1">
      <w:start w:val="1"/>
      <w:numFmt w:val="decimal"/>
      <w:lvlText w:val="%7."/>
      <w:lvlJc w:val="left"/>
      <w:pPr>
        <w:ind w:left="4473" w:hanging="360"/>
      </w:pPr>
    </w:lvl>
    <w:lvl w:ilvl="7" w:tplc="18090019" w:tentative="1">
      <w:start w:val="1"/>
      <w:numFmt w:val="lowerLetter"/>
      <w:lvlText w:val="%8."/>
      <w:lvlJc w:val="left"/>
      <w:pPr>
        <w:ind w:left="5193" w:hanging="360"/>
      </w:pPr>
    </w:lvl>
    <w:lvl w:ilvl="8" w:tplc="1809001B" w:tentative="1">
      <w:start w:val="1"/>
      <w:numFmt w:val="lowerRoman"/>
      <w:lvlText w:val="%9."/>
      <w:lvlJc w:val="right"/>
      <w:pPr>
        <w:ind w:left="5913"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51"/>
    <w:rsid w:val="00004276"/>
    <w:rsid w:val="00004C80"/>
    <w:rsid w:val="0001519A"/>
    <w:rsid w:val="00015B65"/>
    <w:rsid w:val="0002017E"/>
    <w:rsid w:val="0002264C"/>
    <w:rsid w:val="0002694A"/>
    <w:rsid w:val="000300C4"/>
    <w:rsid w:val="00033A1C"/>
    <w:rsid w:val="00036838"/>
    <w:rsid w:val="000371F8"/>
    <w:rsid w:val="00042662"/>
    <w:rsid w:val="00045DFF"/>
    <w:rsid w:val="00045E3A"/>
    <w:rsid w:val="00053650"/>
    <w:rsid w:val="00053894"/>
    <w:rsid w:val="00055D33"/>
    <w:rsid w:val="00056B23"/>
    <w:rsid w:val="00057ABF"/>
    <w:rsid w:val="00064370"/>
    <w:rsid w:val="00064A26"/>
    <w:rsid w:val="000675E3"/>
    <w:rsid w:val="00072717"/>
    <w:rsid w:val="00073487"/>
    <w:rsid w:val="00077DD1"/>
    <w:rsid w:val="000904B4"/>
    <w:rsid w:val="000A140E"/>
    <w:rsid w:val="000A23AD"/>
    <w:rsid w:val="000A2F04"/>
    <w:rsid w:val="000A3743"/>
    <w:rsid w:val="000A4592"/>
    <w:rsid w:val="000A4CA2"/>
    <w:rsid w:val="000A75D4"/>
    <w:rsid w:val="000B5D21"/>
    <w:rsid w:val="000B6439"/>
    <w:rsid w:val="000C49C6"/>
    <w:rsid w:val="000D2249"/>
    <w:rsid w:val="000E0311"/>
    <w:rsid w:val="000E47F7"/>
    <w:rsid w:val="000F5E1C"/>
    <w:rsid w:val="000F5E51"/>
    <w:rsid w:val="0010492D"/>
    <w:rsid w:val="001056C3"/>
    <w:rsid w:val="00110206"/>
    <w:rsid w:val="00112295"/>
    <w:rsid w:val="00117385"/>
    <w:rsid w:val="00122506"/>
    <w:rsid w:val="001228F5"/>
    <w:rsid w:val="001247D9"/>
    <w:rsid w:val="00132500"/>
    <w:rsid w:val="0013419A"/>
    <w:rsid w:val="001422B8"/>
    <w:rsid w:val="001459EB"/>
    <w:rsid w:val="00145BA2"/>
    <w:rsid w:val="00146D47"/>
    <w:rsid w:val="00150F5D"/>
    <w:rsid w:val="00152937"/>
    <w:rsid w:val="00154A6F"/>
    <w:rsid w:val="00155387"/>
    <w:rsid w:val="00156847"/>
    <w:rsid w:val="00157893"/>
    <w:rsid w:val="00162168"/>
    <w:rsid w:val="00163B7F"/>
    <w:rsid w:val="0016432E"/>
    <w:rsid w:val="00166B8D"/>
    <w:rsid w:val="00170609"/>
    <w:rsid w:val="001707CF"/>
    <w:rsid w:val="00171B6F"/>
    <w:rsid w:val="0017377D"/>
    <w:rsid w:val="00173C9F"/>
    <w:rsid w:val="001814CA"/>
    <w:rsid w:val="00185588"/>
    <w:rsid w:val="00186C4B"/>
    <w:rsid w:val="00191EBD"/>
    <w:rsid w:val="00193034"/>
    <w:rsid w:val="00194546"/>
    <w:rsid w:val="001973CC"/>
    <w:rsid w:val="001A26CE"/>
    <w:rsid w:val="001A328D"/>
    <w:rsid w:val="001A4A8B"/>
    <w:rsid w:val="001A4BAB"/>
    <w:rsid w:val="001B1110"/>
    <w:rsid w:val="001B56A6"/>
    <w:rsid w:val="001C0137"/>
    <w:rsid w:val="001C01F7"/>
    <w:rsid w:val="001C0972"/>
    <w:rsid w:val="001C15CE"/>
    <w:rsid w:val="001C2080"/>
    <w:rsid w:val="001C304B"/>
    <w:rsid w:val="001C533E"/>
    <w:rsid w:val="001D1E0D"/>
    <w:rsid w:val="001D2435"/>
    <w:rsid w:val="001D2C18"/>
    <w:rsid w:val="001D4356"/>
    <w:rsid w:val="001D5BD9"/>
    <w:rsid w:val="001D7E61"/>
    <w:rsid w:val="001E2560"/>
    <w:rsid w:val="001E53C7"/>
    <w:rsid w:val="001E79EA"/>
    <w:rsid w:val="001F23C3"/>
    <w:rsid w:val="001F29D7"/>
    <w:rsid w:val="001F35E5"/>
    <w:rsid w:val="001F3755"/>
    <w:rsid w:val="00201386"/>
    <w:rsid w:val="002060BF"/>
    <w:rsid w:val="002124AA"/>
    <w:rsid w:val="0022777D"/>
    <w:rsid w:val="002303DE"/>
    <w:rsid w:val="00230865"/>
    <w:rsid w:val="00232BA7"/>
    <w:rsid w:val="00234C89"/>
    <w:rsid w:val="00236106"/>
    <w:rsid w:val="00240BCE"/>
    <w:rsid w:val="00241953"/>
    <w:rsid w:val="00247F9A"/>
    <w:rsid w:val="00253717"/>
    <w:rsid w:val="0025674C"/>
    <w:rsid w:val="00263973"/>
    <w:rsid w:val="00264509"/>
    <w:rsid w:val="002651CD"/>
    <w:rsid w:val="002670E1"/>
    <w:rsid w:val="00267EA2"/>
    <w:rsid w:val="00270B40"/>
    <w:rsid w:val="00271C36"/>
    <w:rsid w:val="0027489A"/>
    <w:rsid w:val="0027611F"/>
    <w:rsid w:val="0027692B"/>
    <w:rsid w:val="002B7E37"/>
    <w:rsid w:val="002C6057"/>
    <w:rsid w:val="002C6349"/>
    <w:rsid w:val="002C643B"/>
    <w:rsid w:val="002C6D91"/>
    <w:rsid w:val="002D0C81"/>
    <w:rsid w:val="002D1042"/>
    <w:rsid w:val="002D30EA"/>
    <w:rsid w:val="002D465E"/>
    <w:rsid w:val="002D5CC9"/>
    <w:rsid w:val="002D7E49"/>
    <w:rsid w:val="002E0CDF"/>
    <w:rsid w:val="002E2A80"/>
    <w:rsid w:val="002E5285"/>
    <w:rsid w:val="002E5F0C"/>
    <w:rsid w:val="00304C6B"/>
    <w:rsid w:val="00307511"/>
    <w:rsid w:val="00307AD8"/>
    <w:rsid w:val="00314AD2"/>
    <w:rsid w:val="00316114"/>
    <w:rsid w:val="00317078"/>
    <w:rsid w:val="00317709"/>
    <w:rsid w:val="00317EA3"/>
    <w:rsid w:val="00321931"/>
    <w:rsid w:val="00322408"/>
    <w:rsid w:val="003227EB"/>
    <w:rsid w:val="0032370A"/>
    <w:rsid w:val="00325451"/>
    <w:rsid w:val="003269A8"/>
    <w:rsid w:val="00330FBB"/>
    <w:rsid w:val="00331941"/>
    <w:rsid w:val="0033380F"/>
    <w:rsid w:val="00334B4B"/>
    <w:rsid w:val="00335785"/>
    <w:rsid w:val="00335F91"/>
    <w:rsid w:val="00336C59"/>
    <w:rsid w:val="0034017D"/>
    <w:rsid w:val="00341F03"/>
    <w:rsid w:val="003425C2"/>
    <w:rsid w:val="00347C1B"/>
    <w:rsid w:val="00351C22"/>
    <w:rsid w:val="00354C79"/>
    <w:rsid w:val="00356A9C"/>
    <w:rsid w:val="0036279A"/>
    <w:rsid w:val="00364B4D"/>
    <w:rsid w:val="00364C62"/>
    <w:rsid w:val="0037293D"/>
    <w:rsid w:val="003816A0"/>
    <w:rsid w:val="0038639B"/>
    <w:rsid w:val="00390C44"/>
    <w:rsid w:val="00392AF8"/>
    <w:rsid w:val="003944FD"/>
    <w:rsid w:val="00397BD2"/>
    <w:rsid w:val="003A43EA"/>
    <w:rsid w:val="003A4BCE"/>
    <w:rsid w:val="003A4DE4"/>
    <w:rsid w:val="003A78B1"/>
    <w:rsid w:val="003B490E"/>
    <w:rsid w:val="003B6AEF"/>
    <w:rsid w:val="003C3FEF"/>
    <w:rsid w:val="003C6F7F"/>
    <w:rsid w:val="003C7360"/>
    <w:rsid w:val="003C755A"/>
    <w:rsid w:val="003C7D96"/>
    <w:rsid w:val="003D029A"/>
    <w:rsid w:val="003D0667"/>
    <w:rsid w:val="003D6AA5"/>
    <w:rsid w:val="003D72C9"/>
    <w:rsid w:val="003D7D92"/>
    <w:rsid w:val="003E2B6B"/>
    <w:rsid w:val="003E4D58"/>
    <w:rsid w:val="003E5D7E"/>
    <w:rsid w:val="00403907"/>
    <w:rsid w:val="00410BFD"/>
    <w:rsid w:val="004115F3"/>
    <w:rsid w:val="004126EB"/>
    <w:rsid w:val="00413645"/>
    <w:rsid w:val="00413C79"/>
    <w:rsid w:val="00415E5A"/>
    <w:rsid w:val="00420927"/>
    <w:rsid w:val="00425834"/>
    <w:rsid w:val="004323FD"/>
    <w:rsid w:val="00433316"/>
    <w:rsid w:val="00434908"/>
    <w:rsid w:val="00444760"/>
    <w:rsid w:val="00446D96"/>
    <w:rsid w:val="00447E8C"/>
    <w:rsid w:val="00451BA0"/>
    <w:rsid w:val="00453423"/>
    <w:rsid w:val="0045611E"/>
    <w:rsid w:val="00456701"/>
    <w:rsid w:val="00463B73"/>
    <w:rsid w:val="00467830"/>
    <w:rsid w:val="00467B30"/>
    <w:rsid w:val="00472448"/>
    <w:rsid w:val="0047715B"/>
    <w:rsid w:val="0048529D"/>
    <w:rsid w:val="0048774B"/>
    <w:rsid w:val="00490FA1"/>
    <w:rsid w:val="00494A69"/>
    <w:rsid w:val="004966AB"/>
    <w:rsid w:val="004A20BD"/>
    <w:rsid w:val="004A733D"/>
    <w:rsid w:val="004B1BEE"/>
    <w:rsid w:val="004B3683"/>
    <w:rsid w:val="004B7A93"/>
    <w:rsid w:val="004C0EA9"/>
    <w:rsid w:val="004C1003"/>
    <w:rsid w:val="004C3D86"/>
    <w:rsid w:val="004C4574"/>
    <w:rsid w:val="004C5125"/>
    <w:rsid w:val="004D575C"/>
    <w:rsid w:val="004D6B97"/>
    <w:rsid w:val="004E01FF"/>
    <w:rsid w:val="004E2A81"/>
    <w:rsid w:val="004E6533"/>
    <w:rsid w:val="004F17E0"/>
    <w:rsid w:val="004F5021"/>
    <w:rsid w:val="004F6AED"/>
    <w:rsid w:val="004F6B5A"/>
    <w:rsid w:val="005011AB"/>
    <w:rsid w:val="00511578"/>
    <w:rsid w:val="005152C1"/>
    <w:rsid w:val="0051715B"/>
    <w:rsid w:val="005261DD"/>
    <w:rsid w:val="00530002"/>
    <w:rsid w:val="005340ED"/>
    <w:rsid w:val="00534D2C"/>
    <w:rsid w:val="00535077"/>
    <w:rsid w:val="00536DEF"/>
    <w:rsid w:val="005423EF"/>
    <w:rsid w:val="00542E84"/>
    <w:rsid w:val="005443A8"/>
    <w:rsid w:val="0054565E"/>
    <w:rsid w:val="00554EB9"/>
    <w:rsid w:val="00556F45"/>
    <w:rsid w:val="00561E26"/>
    <w:rsid w:val="00563F6A"/>
    <w:rsid w:val="005664EF"/>
    <w:rsid w:val="00567701"/>
    <w:rsid w:val="0057291D"/>
    <w:rsid w:val="0057317C"/>
    <w:rsid w:val="005743D3"/>
    <w:rsid w:val="005751E2"/>
    <w:rsid w:val="0057704D"/>
    <w:rsid w:val="0058013E"/>
    <w:rsid w:val="0058304F"/>
    <w:rsid w:val="00583248"/>
    <w:rsid w:val="005834BC"/>
    <w:rsid w:val="005846AB"/>
    <w:rsid w:val="00584DD7"/>
    <w:rsid w:val="00587A82"/>
    <w:rsid w:val="005956D0"/>
    <w:rsid w:val="0059646F"/>
    <w:rsid w:val="00596C44"/>
    <w:rsid w:val="00597A25"/>
    <w:rsid w:val="005A1006"/>
    <w:rsid w:val="005A2DF4"/>
    <w:rsid w:val="005A3AD5"/>
    <w:rsid w:val="005A423B"/>
    <w:rsid w:val="005A6241"/>
    <w:rsid w:val="005B7B92"/>
    <w:rsid w:val="005C0D7B"/>
    <w:rsid w:val="005D2408"/>
    <w:rsid w:val="005D6608"/>
    <w:rsid w:val="005E13D3"/>
    <w:rsid w:val="005F4CCF"/>
    <w:rsid w:val="005F5B5C"/>
    <w:rsid w:val="00601877"/>
    <w:rsid w:val="00603C3B"/>
    <w:rsid w:val="00604016"/>
    <w:rsid w:val="00604513"/>
    <w:rsid w:val="00604C52"/>
    <w:rsid w:val="00605699"/>
    <w:rsid w:val="00606457"/>
    <w:rsid w:val="00614502"/>
    <w:rsid w:val="00622F38"/>
    <w:rsid w:val="00626908"/>
    <w:rsid w:val="00627897"/>
    <w:rsid w:val="00632188"/>
    <w:rsid w:val="00635C58"/>
    <w:rsid w:val="00635EAE"/>
    <w:rsid w:val="006564C7"/>
    <w:rsid w:val="006629EA"/>
    <w:rsid w:val="00664CB4"/>
    <w:rsid w:val="006658BC"/>
    <w:rsid w:val="006700D3"/>
    <w:rsid w:val="00673BAC"/>
    <w:rsid w:val="00683A78"/>
    <w:rsid w:val="006843D8"/>
    <w:rsid w:val="00685D44"/>
    <w:rsid w:val="00687323"/>
    <w:rsid w:val="00691219"/>
    <w:rsid w:val="00692FF6"/>
    <w:rsid w:val="0069403D"/>
    <w:rsid w:val="00696AFB"/>
    <w:rsid w:val="006B365D"/>
    <w:rsid w:val="006B4B46"/>
    <w:rsid w:val="006C0FFC"/>
    <w:rsid w:val="006C1133"/>
    <w:rsid w:val="006C18FF"/>
    <w:rsid w:val="006C4E2D"/>
    <w:rsid w:val="006D7323"/>
    <w:rsid w:val="006E1762"/>
    <w:rsid w:val="006E4A09"/>
    <w:rsid w:val="006E7A39"/>
    <w:rsid w:val="006F3522"/>
    <w:rsid w:val="006F3840"/>
    <w:rsid w:val="007064A9"/>
    <w:rsid w:val="00706A61"/>
    <w:rsid w:val="00715F20"/>
    <w:rsid w:val="00716F2E"/>
    <w:rsid w:val="00717EB0"/>
    <w:rsid w:val="00727A4C"/>
    <w:rsid w:val="00730093"/>
    <w:rsid w:val="00731E51"/>
    <w:rsid w:val="00732B2C"/>
    <w:rsid w:val="00734296"/>
    <w:rsid w:val="00741D63"/>
    <w:rsid w:val="0074411B"/>
    <w:rsid w:val="0074426F"/>
    <w:rsid w:val="00745367"/>
    <w:rsid w:val="007474E7"/>
    <w:rsid w:val="007531A1"/>
    <w:rsid w:val="0075372F"/>
    <w:rsid w:val="0077472C"/>
    <w:rsid w:val="00777C33"/>
    <w:rsid w:val="007824DA"/>
    <w:rsid w:val="00782A80"/>
    <w:rsid w:val="0079030B"/>
    <w:rsid w:val="00792191"/>
    <w:rsid w:val="00792B63"/>
    <w:rsid w:val="00793B5B"/>
    <w:rsid w:val="00795BE3"/>
    <w:rsid w:val="00796CD3"/>
    <w:rsid w:val="007A02BB"/>
    <w:rsid w:val="007A2A62"/>
    <w:rsid w:val="007A3368"/>
    <w:rsid w:val="007A4F9B"/>
    <w:rsid w:val="007B3310"/>
    <w:rsid w:val="007B7010"/>
    <w:rsid w:val="007C0FAC"/>
    <w:rsid w:val="007C1785"/>
    <w:rsid w:val="007C66FF"/>
    <w:rsid w:val="007C7E1E"/>
    <w:rsid w:val="007D55D1"/>
    <w:rsid w:val="007D6825"/>
    <w:rsid w:val="007E450C"/>
    <w:rsid w:val="007E4C34"/>
    <w:rsid w:val="007E6818"/>
    <w:rsid w:val="007E68B4"/>
    <w:rsid w:val="007F1806"/>
    <w:rsid w:val="007F404E"/>
    <w:rsid w:val="00805760"/>
    <w:rsid w:val="00806AFD"/>
    <w:rsid w:val="00812A98"/>
    <w:rsid w:val="008141DA"/>
    <w:rsid w:val="008230F6"/>
    <w:rsid w:val="00825410"/>
    <w:rsid w:val="008273BD"/>
    <w:rsid w:val="00830D5A"/>
    <w:rsid w:val="00832D57"/>
    <w:rsid w:val="00832F0E"/>
    <w:rsid w:val="0083506C"/>
    <w:rsid w:val="00837791"/>
    <w:rsid w:val="008432CA"/>
    <w:rsid w:val="00844CD9"/>
    <w:rsid w:val="008472A6"/>
    <w:rsid w:val="00854042"/>
    <w:rsid w:val="008546C0"/>
    <w:rsid w:val="00855796"/>
    <w:rsid w:val="00861496"/>
    <w:rsid w:val="00864E5D"/>
    <w:rsid w:val="00870FBE"/>
    <w:rsid w:val="008711F4"/>
    <w:rsid w:val="00871DA4"/>
    <w:rsid w:val="0087231F"/>
    <w:rsid w:val="00875D3D"/>
    <w:rsid w:val="00880F0B"/>
    <w:rsid w:val="00884E1C"/>
    <w:rsid w:val="0088713C"/>
    <w:rsid w:val="008903C7"/>
    <w:rsid w:val="00891752"/>
    <w:rsid w:val="00891DEB"/>
    <w:rsid w:val="008925C2"/>
    <w:rsid w:val="00893AC3"/>
    <w:rsid w:val="00895F48"/>
    <w:rsid w:val="008A312B"/>
    <w:rsid w:val="008A5BBF"/>
    <w:rsid w:val="008B0AF1"/>
    <w:rsid w:val="008B1361"/>
    <w:rsid w:val="008B4784"/>
    <w:rsid w:val="008B7079"/>
    <w:rsid w:val="008C0435"/>
    <w:rsid w:val="008C1C2D"/>
    <w:rsid w:val="008C1C9C"/>
    <w:rsid w:val="008C2C61"/>
    <w:rsid w:val="008C3799"/>
    <w:rsid w:val="008C523E"/>
    <w:rsid w:val="008C6199"/>
    <w:rsid w:val="008C7B7A"/>
    <w:rsid w:val="008D0CE7"/>
    <w:rsid w:val="008D23F9"/>
    <w:rsid w:val="008D4070"/>
    <w:rsid w:val="008E158F"/>
    <w:rsid w:val="008E1CA6"/>
    <w:rsid w:val="008E1DD8"/>
    <w:rsid w:val="008E224A"/>
    <w:rsid w:val="008E27DD"/>
    <w:rsid w:val="008E3F09"/>
    <w:rsid w:val="008E48C5"/>
    <w:rsid w:val="008E5771"/>
    <w:rsid w:val="008F3DB5"/>
    <w:rsid w:val="0090143A"/>
    <w:rsid w:val="00901F61"/>
    <w:rsid w:val="009065DB"/>
    <w:rsid w:val="009103F2"/>
    <w:rsid w:val="0091230B"/>
    <w:rsid w:val="0091290C"/>
    <w:rsid w:val="00914A16"/>
    <w:rsid w:val="00925921"/>
    <w:rsid w:val="0092605A"/>
    <w:rsid w:val="00926E4C"/>
    <w:rsid w:val="0093207E"/>
    <w:rsid w:val="00933606"/>
    <w:rsid w:val="00934FF2"/>
    <w:rsid w:val="0093553A"/>
    <w:rsid w:val="00942ECB"/>
    <w:rsid w:val="00945964"/>
    <w:rsid w:val="009461CB"/>
    <w:rsid w:val="00947759"/>
    <w:rsid w:val="0095199F"/>
    <w:rsid w:val="00951DE8"/>
    <w:rsid w:val="00954530"/>
    <w:rsid w:val="00961C07"/>
    <w:rsid w:val="00961D49"/>
    <w:rsid w:val="0096233B"/>
    <w:rsid w:val="00963327"/>
    <w:rsid w:val="0096464F"/>
    <w:rsid w:val="0096584C"/>
    <w:rsid w:val="009673B9"/>
    <w:rsid w:val="00972A50"/>
    <w:rsid w:val="009744B7"/>
    <w:rsid w:val="00974A78"/>
    <w:rsid w:val="009822A2"/>
    <w:rsid w:val="00984395"/>
    <w:rsid w:val="00987875"/>
    <w:rsid w:val="009878B8"/>
    <w:rsid w:val="00991C56"/>
    <w:rsid w:val="00995338"/>
    <w:rsid w:val="009A13C9"/>
    <w:rsid w:val="009B06CE"/>
    <w:rsid w:val="009B16EE"/>
    <w:rsid w:val="009B494E"/>
    <w:rsid w:val="009B4F1B"/>
    <w:rsid w:val="009B779D"/>
    <w:rsid w:val="009C12EE"/>
    <w:rsid w:val="009C4E42"/>
    <w:rsid w:val="009D254A"/>
    <w:rsid w:val="009D3A7B"/>
    <w:rsid w:val="009D5984"/>
    <w:rsid w:val="009D7813"/>
    <w:rsid w:val="009E3749"/>
    <w:rsid w:val="009E5ED3"/>
    <w:rsid w:val="009E6CB6"/>
    <w:rsid w:val="009E7EEE"/>
    <w:rsid w:val="009F0629"/>
    <w:rsid w:val="009F65DA"/>
    <w:rsid w:val="00A053D3"/>
    <w:rsid w:val="00A073EB"/>
    <w:rsid w:val="00A177AE"/>
    <w:rsid w:val="00A2237D"/>
    <w:rsid w:val="00A2432E"/>
    <w:rsid w:val="00A25119"/>
    <w:rsid w:val="00A275A2"/>
    <w:rsid w:val="00A32007"/>
    <w:rsid w:val="00A33C52"/>
    <w:rsid w:val="00A36ED6"/>
    <w:rsid w:val="00A478BB"/>
    <w:rsid w:val="00A51B32"/>
    <w:rsid w:val="00A529F4"/>
    <w:rsid w:val="00A5496D"/>
    <w:rsid w:val="00A63022"/>
    <w:rsid w:val="00A6329D"/>
    <w:rsid w:val="00A6429E"/>
    <w:rsid w:val="00A668FF"/>
    <w:rsid w:val="00A67412"/>
    <w:rsid w:val="00A735B6"/>
    <w:rsid w:val="00A83B46"/>
    <w:rsid w:val="00A845FC"/>
    <w:rsid w:val="00A87437"/>
    <w:rsid w:val="00A877FB"/>
    <w:rsid w:val="00A90E3B"/>
    <w:rsid w:val="00A91018"/>
    <w:rsid w:val="00A9193D"/>
    <w:rsid w:val="00AA1038"/>
    <w:rsid w:val="00AA2146"/>
    <w:rsid w:val="00AA3E33"/>
    <w:rsid w:val="00AA5033"/>
    <w:rsid w:val="00AA5193"/>
    <w:rsid w:val="00AA6A32"/>
    <w:rsid w:val="00AA6F56"/>
    <w:rsid w:val="00AA7C30"/>
    <w:rsid w:val="00AB6941"/>
    <w:rsid w:val="00AB7AAE"/>
    <w:rsid w:val="00AC017E"/>
    <w:rsid w:val="00AC30A9"/>
    <w:rsid w:val="00AC43D3"/>
    <w:rsid w:val="00AC5AC0"/>
    <w:rsid w:val="00AC76FA"/>
    <w:rsid w:val="00AD182F"/>
    <w:rsid w:val="00AD4FD8"/>
    <w:rsid w:val="00AD6A44"/>
    <w:rsid w:val="00AD72D6"/>
    <w:rsid w:val="00AE7D38"/>
    <w:rsid w:val="00AF04EE"/>
    <w:rsid w:val="00B001D6"/>
    <w:rsid w:val="00B025BA"/>
    <w:rsid w:val="00B0414E"/>
    <w:rsid w:val="00B04369"/>
    <w:rsid w:val="00B04F83"/>
    <w:rsid w:val="00B12980"/>
    <w:rsid w:val="00B12C9F"/>
    <w:rsid w:val="00B17481"/>
    <w:rsid w:val="00B302C6"/>
    <w:rsid w:val="00B30F9E"/>
    <w:rsid w:val="00B3277B"/>
    <w:rsid w:val="00B40F32"/>
    <w:rsid w:val="00B41DC8"/>
    <w:rsid w:val="00B457D8"/>
    <w:rsid w:val="00B5028B"/>
    <w:rsid w:val="00B50810"/>
    <w:rsid w:val="00B50E05"/>
    <w:rsid w:val="00B554F1"/>
    <w:rsid w:val="00B55DEE"/>
    <w:rsid w:val="00B55EC8"/>
    <w:rsid w:val="00B6090D"/>
    <w:rsid w:val="00B635D1"/>
    <w:rsid w:val="00B65468"/>
    <w:rsid w:val="00B74744"/>
    <w:rsid w:val="00B7690F"/>
    <w:rsid w:val="00B87816"/>
    <w:rsid w:val="00B8797E"/>
    <w:rsid w:val="00B95074"/>
    <w:rsid w:val="00B954CC"/>
    <w:rsid w:val="00BA4CB3"/>
    <w:rsid w:val="00BA5C4E"/>
    <w:rsid w:val="00BB3BFB"/>
    <w:rsid w:val="00BB54BC"/>
    <w:rsid w:val="00BB63BB"/>
    <w:rsid w:val="00BC2C7E"/>
    <w:rsid w:val="00BD5EF1"/>
    <w:rsid w:val="00BE33D1"/>
    <w:rsid w:val="00BE7AA5"/>
    <w:rsid w:val="00BE7F6E"/>
    <w:rsid w:val="00BF12FE"/>
    <w:rsid w:val="00BF275E"/>
    <w:rsid w:val="00BF59C4"/>
    <w:rsid w:val="00C02DB3"/>
    <w:rsid w:val="00C03A19"/>
    <w:rsid w:val="00C03AF8"/>
    <w:rsid w:val="00C05F70"/>
    <w:rsid w:val="00C06B3B"/>
    <w:rsid w:val="00C07F07"/>
    <w:rsid w:val="00C206BD"/>
    <w:rsid w:val="00C21150"/>
    <w:rsid w:val="00C219DE"/>
    <w:rsid w:val="00C256E4"/>
    <w:rsid w:val="00C30A76"/>
    <w:rsid w:val="00C30C79"/>
    <w:rsid w:val="00C31FB5"/>
    <w:rsid w:val="00C3607B"/>
    <w:rsid w:val="00C4172A"/>
    <w:rsid w:val="00C437FB"/>
    <w:rsid w:val="00C47D54"/>
    <w:rsid w:val="00C512F5"/>
    <w:rsid w:val="00C5323D"/>
    <w:rsid w:val="00C60F3F"/>
    <w:rsid w:val="00C654F7"/>
    <w:rsid w:val="00C66CF4"/>
    <w:rsid w:val="00C67B5A"/>
    <w:rsid w:val="00C717FF"/>
    <w:rsid w:val="00C719EE"/>
    <w:rsid w:val="00C73B7B"/>
    <w:rsid w:val="00C75A03"/>
    <w:rsid w:val="00C77E3E"/>
    <w:rsid w:val="00C8004F"/>
    <w:rsid w:val="00C8320C"/>
    <w:rsid w:val="00C841E8"/>
    <w:rsid w:val="00C92633"/>
    <w:rsid w:val="00C933BA"/>
    <w:rsid w:val="00C934A1"/>
    <w:rsid w:val="00C93C1D"/>
    <w:rsid w:val="00C94B52"/>
    <w:rsid w:val="00C94FDA"/>
    <w:rsid w:val="00C9611F"/>
    <w:rsid w:val="00CA0573"/>
    <w:rsid w:val="00CA1F7A"/>
    <w:rsid w:val="00CB7BD3"/>
    <w:rsid w:val="00CC12C7"/>
    <w:rsid w:val="00CC53B8"/>
    <w:rsid w:val="00CC5EB3"/>
    <w:rsid w:val="00CC6A71"/>
    <w:rsid w:val="00CD3591"/>
    <w:rsid w:val="00CD4F98"/>
    <w:rsid w:val="00CD7B67"/>
    <w:rsid w:val="00CE3441"/>
    <w:rsid w:val="00CE3451"/>
    <w:rsid w:val="00CF0FF4"/>
    <w:rsid w:val="00CF37A7"/>
    <w:rsid w:val="00CF49FD"/>
    <w:rsid w:val="00CF71C9"/>
    <w:rsid w:val="00D0107A"/>
    <w:rsid w:val="00D101EF"/>
    <w:rsid w:val="00D14CA8"/>
    <w:rsid w:val="00D16B8D"/>
    <w:rsid w:val="00D179BB"/>
    <w:rsid w:val="00D17B7F"/>
    <w:rsid w:val="00D21C27"/>
    <w:rsid w:val="00D22E7D"/>
    <w:rsid w:val="00D23E64"/>
    <w:rsid w:val="00D27B24"/>
    <w:rsid w:val="00D31CA1"/>
    <w:rsid w:val="00D33856"/>
    <w:rsid w:val="00D33C25"/>
    <w:rsid w:val="00D3413E"/>
    <w:rsid w:val="00D34155"/>
    <w:rsid w:val="00D36970"/>
    <w:rsid w:val="00D408EC"/>
    <w:rsid w:val="00D45E10"/>
    <w:rsid w:val="00D471B6"/>
    <w:rsid w:val="00D47499"/>
    <w:rsid w:val="00D5235A"/>
    <w:rsid w:val="00D54D58"/>
    <w:rsid w:val="00D620D2"/>
    <w:rsid w:val="00D64BF6"/>
    <w:rsid w:val="00D67C77"/>
    <w:rsid w:val="00D70BE9"/>
    <w:rsid w:val="00D70DD3"/>
    <w:rsid w:val="00D719EA"/>
    <w:rsid w:val="00D74F7C"/>
    <w:rsid w:val="00D8217B"/>
    <w:rsid w:val="00D827EA"/>
    <w:rsid w:val="00D828C1"/>
    <w:rsid w:val="00D861BE"/>
    <w:rsid w:val="00D94207"/>
    <w:rsid w:val="00D952AC"/>
    <w:rsid w:val="00D96482"/>
    <w:rsid w:val="00DB31FA"/>
    <w:rsid w:val="00DB4881"/>
    <w:rsid w:val="00DB55B1"/>
    <w:rsid w:val="00DB5694"/>
    <w:rsid w:val="00DB6A4F"/>
    <w:rsid w:val="00DC0C3D"/>
    <w:rsid w:val="00DD129E"/>
    <w:rsid w:val="00DD1EB4"/>
    <w:rsid w:val="00DD2608"/>
    <w:rsid w:val="00DD6693"/>
    <w:rsid w:val="00DD74ED"/>
    <w:rsid w:val="00DE030F"/>
    <w:rsid w:val="00DE351A"/>
    <w:rsid w:val="00DE3991"/>
    <w:rsid w:val="00DE6759"/>
    <w:rsid w:val="00DF5267"/>
    <w:rsid w:val="00E0338A"/>
    <w:rsid w:val="00E03F4B"/>
    <w:rsid w:val="00E0680E"/>
    <w:rsid w:val="00E06DCD"/>
    <w:rsid w:val="00E10083"/>
    <w:rsid w:val="00E1009F"/>
    <w:rsid w:val="00E158DB"/>
    <w:rsid w:val="00E17FA9"/>
    <w:rsid w:val="00E237A5"/>
    <w:rsid w:val="00E24744"/>
    <w:rsid w:val="00E26BA4"/>
    <w:rsid w:val="00E304BD"/>
    <w:rsid w:val="00E31CE3"/>
    <w:rsid w:val="00E33683"/>
    <w:rsid w:val="00E37132"/>
    <w:rsid w:val="00E37BE2"/>
    <w:rsid w:val="00E416E2"/>
    <w:rsid w:val="00E45325"/>
    <w:rsid w:val="00E503E8"/>
    <w:rsid w:val="00E53D65"/>
    <w:rsid w:val="00E72F81"/>
    <w:rsid w:val="00E74276"/>
    <w:rsid w:val="00E80267"/>
    <w:rsid w:val="00E82FDB"/>
    <w:rsid w:val="00E8522B"/>
    <w:rsid w:val="00E86252"/>
    <w:rsid w:val="00E919F1"/>
    <w:rsid w:val="00E92FD7"/>
    <w:rsid w:val="00E97FCC"/>
    <w:rsid w:val="00EA059B"/>
    <w:rsid w:val="00EA1B0A"/>
    <w:rsid w:val="00EA4A37"/>
    <w:rsid w:val="00EB4F04"/>
    <w:rsid w:val="00EB579A"/>
    <w:rsid w:val="00EB70D9"/>
    <w:rsid w:val="00EC2B25"/>
    <w:rsid w:val="00ED0ED4"/>
    <w:rsid w:val="00ED25FE"/>
    <w:rsid w:val="00ED3FDC"/>
    <w:rsid w:val="00ED550A"/>
    <w:rsid w:val="00ED735C"/>
    <w:rsid w:val="00EE0FCE"/>
    <w:rsid w:val="00EF120A"/>
    <w:rsid w:val="00EF15A6"/>
    <w:rsid w:val="00EF317C"/>
    <w:rsid w:val="00F0040A"/>
    <w:rsid w:val="00F0624F"/>
    <w:rsid w:val="00F15A21"/>
    <w:rsid w:val="00F16452"/>
    <w:rsid w:val="00F17546"/>
    <w:rsid w:val="00F177D4"/>
    <w:rsid w:val="00F2124C"/>
    <w:rsid w:val="00F23C76"/>
    <w:rsid w:val="00F26877"/>
    <w:rsid w:val="00F30C73"/>
    <w:rsid w:val="00F3140A"/>
    <w:rsid w:val="00F318A8"/>
    <w:rsid w:val="00F345CE"/>
    <w:rsid w:val="00F40007"/>
    <w:rsid w:val="00F40083"/>
    <w:rsid w:val="00F40F4B"/>
    <w:rsid w:val="00F42025"/>
    <w:rsid w:val="00F43203"/>
    <w:rsid w:val="00F435D1"/>
    <w:rsid w:val="00F465ED"/>
    <w:rsid w:val="00F47660"/>
    <w:rsid w:val="00F514CF"/>
    <w:rsid w:val="00F526C4"/>
    <w:rsid w:val="00F52AF7"/>
    <w:rsid w:val="00F61358"/>
    <w:rsid w:val="00F613B2"/>
    <w:rsid w:val="00F638D5"/>
    <w:rsid w:val="00F67CAE"/>
    <w:rsid w:val="00F769CF"/>
    <w:rsid w:val="00F82FDB"/>
    <w:rsid w:val="00F83BEB"/>
    <w:rsid w:val="00F87113"/>
    <w:rsid w:val="00F87929"/>
    <w:rsid w:val="00F87D8C"/>
    <w:rsid w:val="00F90110"/>
    <w:rsid w:val="00F9065E"/>
    <w:rsid w:val="00F942E0"/>
    <w:rsid w:val="00F96B25"/>
    <w:rsid w:val="00FA2B20"/>
    <w:rsid w:val="00FA3004"/>
    <w:rsid w:val="00FA3F6D"/>
    <w:rsid w:val="00FA64F6"/>
    <w:rsid w:val="00FA652B"/>
    <w:rsid w:val="00FA6CD2"/>
    <w:rsid w:val="00FB5717"/>
    <w:rsid w:val="00FB5BD2"/>
    <w:rsid w:val="00FB6427"/>
    <w:rsid w:val="00FB74B6"/>
    <w:rsid w:val="00FB760E"/>
    <w:rsid w:val="00FB7AF7"/>
    <w:rsid w:val="00FC2529"/>
    <w:rsid w:val="00FC4E96"/>
    <w:rsid w:val="00FC5735"/>
    <w:rsid w:val="00FC7E52"/>
    <w:rsid w:val="00FD0489"/>
    <w:rsid w:val="00FD331E"/>
    <w:rsid w:val="00FF4276"/>
    <w:rsid w:val="00FF52EE"/>
    <w:rsid w:val="00FF5BBE"/>
    <w:rsid w:val="00FF5F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A9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451"/>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51"/>
    <w:pPr>
      <w:ind w:left="720"/>
      <w:contextualSpacing/>
    </w:pPr>
  </w:style>
  <w:style w:type="character" w:styleId="Hyperlink">
    <w:name w:val="Hyperlink"/>
    <w:basedOn w:val="DefaultParagraphFont"/>
    <w:uiPriority w:val="99"/>
    <w:rsid w:val="00CE3451"/>
    <w:rPr>
      <w:color w:val="0563C1" w:themeColor="hyperlink"/>
      <w:u w:val="single"/>
    </w:rPr>
  </w:style>
  <w:style w:type="character" w:customStyle="1" w:styleId="sb8d990e2">
    <w:name w:val="sb8d990e2"/>
    <w:basedOn w:val="DefaultParagraphFont"/>
    <w:rsid w:val="00CE3451"/>
  </w:style>
  <w:style w:type="character" w:customStyle="1" w:styleId="s6b621b36">
    <w:name w:val="s6b621b36"/>
    <w:basedOn w:val="DefaultParagraphFont"/>
    <w:rsid w:val="00CE3451"/>
  </w:style>
  <w:style w:type="paragraph" w:styleId="FootnoteText">
    <w:name w:val="footnote text"/>
    <w:basedOn w:val="Normal"/>
    <w:link w:val="FootnoteTextChar"/>
    <w:uiPriority w:val="99"/>
    <w:semiHidden/>
    <w:unhideWhenUsed/>
    <w:rsid w:val="00CE3451"/>
    <w:rPr>
      <w:sz w:val="20"/>
      <w:szCs w:val="20"/>
    </w:rPr>
  </w:style>
  <w:style w:type="character" w:customStyle="1" w:styleId="FootnoteTextChar">
    <w:name w:val="Footnote Text Char"/>
    <w:basedOn w:val="DefaultParagraphFont"/>
    <w:link w:val="FootnoteText"/>
    <w:uiPriority w:val="99"/>
    <w:semiHidden/>
    <w:rsid w:val="00CE3451"/>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E3451"/>
    <w:rPr>
      <w:vertAlign w:val="superscript"/>
    </w:rPr>
  </w:style>
  <w:style w:type="paragraph" w:styleId="EndnoteText">
    <w:name w:val="endnote text"/>
    <w:basedOn w:val="Normal"/>
    <w:link w:val="EndnoteTextChar"/>
    <w:uiPriority w:val="99"/>
    <w:semiHidden/>
    <w:unhideWhenUsed/>
    <w:rsid w:val="00CE3451"/>
    <w:rPr>
      <w:sz w:val="20"/>
      <w:szCs w:val="20"/>
    </w:rPr>
  </w:style>
  <w:style w:type="character" w:customStyle="1" w:styleId="EndnoteTextChar">
    <w:name w:val="Endnote Text Char"/>
    <w:basedOn w:val="DefaultParagraphFont"/>
    <w:link w:val="EndnoteText"/>
    <w:uiPriority w:val="99"/>
    <w:semiHidden/>
    <w:rsid w:val="00CE3451"/>
    <w:rPr>
      <w:rFonts w:ascii="Times New Roman" w:eastAsia="Times New Roman" w:hAnsi="Times New Roman" w:cs="Times New Roman"/>
      <w:sz w:val="20"/>
      <w:szCs w:val="20"/>
      <w:lang w:eastAsia="en-IE"/>
    </w:rPr>
  </w:style>
  <w:style w:type="character" w:styleId="EndnoteReference">
    <w:name w:val="endnote reference"/>
    <w:basedOn w:val="DefaultParagraphFont"/>
    <w:uiPriority w:val="99"/>
    <w:semiHidden/>
    <w:unhideWhenUsed/>
    <w:rsid w:val="00CE3451"/>
    <w:rPr>
      <w:vertAlign w:val="superscript"/>
    </w:rPr>
  </w:style>
  <w:style w:type="paragraph" w:styleId="Footer">
    <w:name w:val="footer"/>
    <w:basedOn w:val="Normal"/>
    <w:link w:val="FooterChar"/>
    <w:uiPriority w:val="99"/>
    <w:unhideWhenUsed/>
    <w:rsid w:val="00CE3451"/>
    <w:pPr>
      <w:tabs>
        <w:tab w:val="center" w:pos="4513"/>
        <w:tab w:val="right" w:pos="9026"/>
      </w:tabs>
    </w:pPr>
  </w:style>
  <w:style w:type="character" w:customStyle="1" w:styleId="FooterChar">
    <w:name w:val="Footer Char"/>
    <w:basedOn w:val="DefaultParagraphFont"/>
    <w:link w:val="Footer"/>
    <w:uiPriority w:val="99"/>
    <w:rsid w:val="00CE3451"/>
    <w:rPr>
      <w:rFonts w:ascii="Times New Roman" w:eastAsia="Times New Roman" w:hAnsi="Times New Roman" w:cs="Times New Roman"/>
      <w:sz w:val="24"/>
      <w:szCs w:val="24"/>
      <w:lang w:eastAsia="en-IE"/>
    </w:rPr>
  </w:style>
  <w:style w:type="character" w:customStyle="1" w:styleId="link-name">
    <w:name w:val="link-name"/>
    <w:basedOn w:val="DefaultParagraphFont"/>
    <w:rsid w:val="00614502"/>
  </w:style>
  <w:style w:type="paragraph" w:styleId="Header">
    <w:name w:val="header"/>
    <w:basedOn w:val="Normal"/>
    <w:link w:val="HeaderChar"/>
    <w:uiPriority w:val="99"/>
    <w:rsid w:val="002E2A80"/>
    <w:pPr>
      <w:tabs>
        <w:tab w:val="center" w:pos="4153"/>
        <w:tab w:val="right" w:pos="8306"/>
      </w:tabs>
    </w:pPr>
    <w:rPr>
      <w:lang w:val="en-GB" w:eastAsia="en-GB"/>
    </w:rPr>
  </w:style>
  <w:style w:type="character" w:customStyle="1" w:styleId="HeaderChar">
    <w:name w:val="Header Char"/>
    <w:basedOn w:val="DefaultParagraphFont"/>
    <w:link w:val="Header"/>
    <w:uiPriority w:val="99"/>
    <w:rsid w:val="002E2A80"/>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542E84"/>
    <w:pPr>
      <w:spacing w:before="100" w:beforeAutospacing="1" w:after="100" w:afterAutospacing="1"/>
    </w:pPr>
  </w:style>
  <w:style w:type="paragraph" w:styleId="BalloonText">
    <w:name w:val="Balloon Text"/>
    <w:basedOn w:val="Normal"/>
    <w:link w:val="BalloonTextChar"/>
    <w:uiPriority w:val="99"/>
    <w:semiHidden/>
    <w:unhideWhenUsed/>
    <w:rsid w:val="00C841E8"/>
    <w:rPr>
      <w:sz w:val="18"/>
      <w:szCs w:val="18"/>
    </w:rPr>
  </w:style>
  <w:style w:type="character" w:customStyle="1" w:styleId="BalloonTextChar">
    <w:name w:val="Balloon Text Char"/>
    <w:basedOn w:val="DefaultParagraphFont"/>
    <w:link w:val="BalloonText"/>
    <w:uiPriority w:val="99"/>
    <w:semiHidden/>
    <w:rsid w:val="00C841E8"/>
    <w:rPr>
      <w:rFonts w:ascii="Times New Roman" w:eastAsia="Times New Roman" w:hAnsi="Times New Roman" w:cs="Times New Roman"/>
      <w:sz w:val="18"/>
      <w:szCs w:val="18"/>
      <w:lang w:eastAsia="en-IE"/>
    </w:rPr>
  </w:style>
  <w:style w:type="character" w:styleId="CommentReference">
    <w:name w:val="annotation reference"/>
    <w:basedOn w:val="DefaultParagraphFont"/>
    <w:uiPriority w:val="99"/>
    <w:semiHidden/>
    <w:unhideWhenUsed/>
    <w:rsid w:val="00D70BE9"/>
    <w:rPr>
      <w:sz w:val="16"/>
      <w:szCs w:val="16"/>
    </w:rPr>
  </w:style>
  <w:style w:type="paragraph" w:styleId="CommentText">
    <w:name w:val="annotation text"/>
    <w:basedOn w:val="Normal"/>
    <w:link w:val="CommentTextChar"/>
    <w:uiPriority w:val="99"/>
    <w:unhideWhenUsed/>
    <w:rsid w:val="00D70BE9"/>
    <w:rPr>
      <w:sz w:val="20"/>
      <w:szCs w:val="20"/>
    </w:rPr>
  </w:style>
  <w:style w:type="character" w:customStyle="1" w:styleId="CommentTextChar">
    <w:name w:val="Comment Text Char"/>
    <w:basedOn w:val="DefaultParagraphFont"/>
    <w:link w:val="CommentText"/>
    <w:uiPriority w:val="99"/>
    <w:rsid w:val="00D70BE9"/>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70BE9"/>
    <w:rPr>
      <w:b/>
      <w:bCs/>
    </w:rPr>
  </w:style>
  <w:style w:type="character" w:customStyle="1" w:styleId="CommentSubjectChar">
    <w:name w:val="Comment Subject Char"/>
    <w:basedOn w:val="CommentTextChar"/>
    <w:link w:val="CommentSubject"/>
    <w:uiPriority w:val="99"/>
    <w:semiHidden/>
    <w:rsid w:val="00D70BE9"/>
    <w:rPr>
      <w:rFonts w:ascii="Times New Roman" w:eastAsia="Times New Roman" w:hAnsi="Times New Roman" w:cs="Times New Roman"/>
      <w:b/>
      <w:bCs/>
      <w:sz w:val="20"/>
      <w:szCs w:val="20"/>
      <w:lang w:eastAsia="en-IE"/>
    </w:rPr>
  </w:style>
  <w:style w:type="paragraph" w:styleId="Revision">
    <w:name w:val="Revision"/>
    <w:hidden/>
    <w:uiPriority w:val="99"/>
    <w:semiHidden/>
    <w:rsid w:val="005A1006"/>
    <w:pPr>
      <w:spacing w:after="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popRef('fn16-09240519198443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doc.echr.coe.int/e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doc.echr.coe.int/eng" TargetMode="External"/><Relationship Id="rId4" Type="http://schemas.openxmlformats.org/officeDocument/2006/relationships/settings" Target="settings.xml"/><Relationship Id="rId9" Type="http://schemas.openxmlformats.org/officeDocument/2006/relationships/hyperlink" Target="http://WWW.INIS.GOV.I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hudoc.echr.coe.int/eng" TargetMode="External"/><Relationship Id="rId7" Type="http://schemas.openxmlformats.org/officeDocument/2006/relationships/hyperlink" Target="https://hudoc.echr.coe.int/eng" TargetMode="External"/><Relationship Id="rId2" Type="http://schemas.openxmlformats.org/officeDocument/2006/relationships/hyperlink" Target="https://hudoc.echr.coe.int/eng" TargetMode="External"/><Relationship Id="rId1" Type="http://schemas.openxmlformats.org/officeDocument/2006/relationships/hyperlink" Target="https://hudoc.echr.coe.int/eng" TargetMode="External"/><Relationship Id="rId6" Type="http://schemas.openxmlformats.org/officeDocument/2006/relationships/hyperlink" Target="https://hudoc.echr.coe.int/eng" TargetMode="External"/><Relationship Id="rId5" Type="http://schemas.openxmlformats.org/officeDocument/2006/relationships/hyperlink" Target="https://hudoc.echr.coe.int/eng" TargetMode="External"/><Relationship Id="rId4" Type="http://schemas.openxmlformats.org/officeDocument/2006/relationships/hyperlink" Target="https://hudoc.echr.coe.int/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A8096-AB96-4B73-BC75-07A2EE79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12813</Words>
  <Characters>73035</Characters>
  <Application>Microsoft Office Word</Application>
  <DocSecurity>0</DocSecurity>
  <Lines>608</Lines>
  <Paragraphs>171</Paragraphs>
  <ScaleCrop>false</ScaleCrop>
  <Company/>
  <LinksUpToDate>false</LinksUpToDate>
  <CharactersWithSpaces>85677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2021-06-11T09:44:00Z</dcterms:created>
  <dcterms:modified xsi:type="dcterms:W3CDTF">2021-06-11T09:45:00Z</dcterms:modified>
</cp:coreProperties>
</file>