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DFA63" w14:textId="77777777" w:rsidR="007C6E0A" w:rsidRPr="00666D9B" w:rsidRDefault="007C6E0A" w:rsidP="007C6E0A">
      <w:pPr>
        <w:spacing w:after="0" w:line="276" w:lineRule="auto"/>
        <w:contextualSpacing/>
        <w:jc w:val="center"/>
        <w:rPr>
          <w:rFonts w:ascii="Times New Roman" w:eastAsia="Times New Roman" w:hAnsi="Times New Roman" w:cs="Times New Roman"/>
          <w:sz w:val="24"/>
          <w:szCs w:val="24"/>
          <w:lang w:val="en-IE" w:eastAsia="en-IE"/>
        </w:rPr>
      </w:pPr>
      <w:r w:rsidRPr="00666D9B">
        <w:rPr>
          <w:rFonts w:ascii="Times New Roman" w:eastAsia="Times New Roman" w:hAnsi="Times New Roman" w:cs="Times New Roman"/>
          <w:noProof/>
          <w:sz w:val="24"/>
          <w:szCs w:val="24"/>
          <w:lang w:val="en-IE" w:eastAsia="en-IE"/>
        </w:rPr>
        <w:drawing>
          <wp:inline distT="0" distB="0" distL="0" distR="0" wp14:anchorId="42103E37" wp14:editId="042F8C11">
            <wp:extent cx="390525" cy="60515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 cy="605155"/>
                    </a:xfrm>
                    <a:prstGeom prst="rect">
                      <a:avLst/>
                    </a:prstGeom>
                    <a:noFill/>
                    <a:ln>
                      <a:noFill/>
                    </a:ln>
                  </pic:spPr>
                </pic:pic>
              </a:graphicData>
            </a:graphic>
          </wp:inline>
        </w:drawing>
      </w:r>
    </w:p>
    <w:p w14:paraId="59FB98F5" w14:textId="77777777" w:rsidR="007C6E0A" w:rsidRPr="00666D9B" w:rsidRDefault="007C6E0A" w:rsidP="007C6E0A">
      <w:pPr>
        <w:spacing w:after="0" w:line="276" w:lineRule="auto"/>
        <w:contextualSpacing/>
        <w:jc w:val="center"/>
        <w:rPr>
          <w:rFonts w:ascii="Times New Roman" w:eastAsia="Times New Roman" w:hAnsi="Times New Roman" w:cs="Times New Roman"/>
          <w:sz w:val="24"/>
          <w:szCs w:val="24"/>
          <w:lang w:val="en-IE" w:eastAsia="en-IE"/>
        </w:rPr>
      </w:pPr>
    </w:p>
    <w:p w14:paraId="2427C58C" w14:textId="77777777" w:rsidR="007C6E0A" w:rsidRPr="00666D9B" w:rsidRDefault="007C6E0A" w:rsidP="007C6E0A">
      <w:pPr>
        <w:spacing w:after="0" w:line="276" w:lineRule="auto"/>
        <w:contextualSpacing/>
        <w:jc w:val="center"/>
        <w:rPr>
          <w:rFonts w:ascii="Times New Roman" w:eastAsia="Times New Roman" w:hAnsi="Times New Roman" w:cs="Times New Roman"/>
          <w:b/>
          <w:sz w:val="24"/>
          <w:szCs w:val="24"/>
          <w:lang w:val="en-IE" w:eastAsia="en-IE"/>
        </w:rPr>
      </w:pPr>
      <w:r w:rsidRPr="00666D9B">
        <w:rPr>
          <w:rFonts w:ascii="Times New Roman" w:eastAsia="Times New Roman" w:hAnsi="Times New Roman" w:cs="Times New Roman"/>
          <w:b/>
          <w:sz w:val="24"/>
          <w:szCs w:val="24"/>
          <w:lang w:val="en-IE" w:eastAsia="en-IE"/>
        </w:rPr>
        <w:t>THE SUPREME COURT</w:t>
      </w:r>
    </w:p>
    <w:p w14:paraId="24D25DD5" w14:textId="77777777" w:rsidR="007C6E0A" w:rsidRPr="00666D9B" w:rsidRDefault="007C6E0A" w:rsidP="007C6E0A">
      <w:pPr>
        <w:spacing w:after="0" w:line="276" w:lineRule="auto"/>
        <w:contextualSpacing/>
        <w:jc w:val="center"/>
        <w:rPr>
          <w:rFonts w:ascii="Times New Roman" w:eastAsia="Times New Roman" w:hAnsi="Times New Roman" w:cs="Times New Roman"/>
          <w:b/>
          <w:sz w:val="24"/>
          <w:szCs w:val="24"/>
          <w:lang w:val="en-IE" w:eastAsia="en-IE"/>
        </w:rPr>
      </w:pPr>
    </w:p>
    <w:p w14:paraId="35668348" w14:textId="77777777" w:rsidR="007C6E0A" w:rsidRPr="00666D9B" w:rsidRDefault="007C6E0A" w:rsidP="007C6E0A">
      <w:pPr>
        <w:spacing w:after="0" w:line="276" w:lineRule="auto"/>
        <w:contextualSpacing/>
        <w:jc w:val="right"/>
        <w:rPr>
          <w:rFonts w:ascii="Times New Roman" w:eastAsia="Times New Roman" w:hAnsi="Times New Roman" w:cs="Times New Roman"/>
          <w:b/>
          <w:sz w:val="24"/>
          <w:szCs w:val="24"/>
          <w:lang w:val="en-IE" w:eastAsia="en-IE"/>
        </w:rPr>
      </w:pPr>
      <w:r w:rsidRPr="00666D9B">
        <w:rPr>
          <w:rFonts w:ascii="Times New Roman" w:eastAsia="Times New Roman" w:hAnsi="Times New Roman" w:cs="Times New Roman"/>
          <w:b/>
          <w:sz w:val="24"/>
          <w:szCs w:val="24"/>
          <w:lang w:val="en-IE" w:eastAsia="en-IE"/>
        </w:rPr>
        <w:t>[Record No. 2019/000</w:t>
      </w:r>
      <w:r w:rsidRPr="00DA511A">
        <w:rPr>
          <w:rFonts w:ascii="Times New Roman" w:eastAsia="Times New Roman" w:hAnsi="Times New Roman" w:cs="Times New Roman"/>
          <w:b/>
          <w:sz w:val="24"/>
          <w:szCs w:val="24"/>
          <w:lang w:val="en-IE" w:eastAsia="en-IE"/>
        </w:rPr>
        <w:t>200</w:t>
      </w:r>
      <w:r w:rsidRPr="00666D9B">
        <w:rPr>
          <w:rFonts w:ascii="Times New Roman" w:eastAsia="Times New Roman" w:hAnsi="Times New Roman" w:cs="Times New Roman"/>
          <w:b/>
          <w:sz w:val="24"/>
          <w:szCs w:val="24"/>
          <w:lang w:val="en-IE" w:eastAsia="en-IE"/>
        </w:rPr>
        <w:t>]</w:t>
      </w:r>
    </w:p>
    <w:p w14:paraId="38C71EE6" w14:textId="77777777" w:rsidR="007C6E0A" w:rsidRPr="00666D9B" w:rsidRDefault="007C6E0A" w:rsidP="007C6E0A">
      <w:pPr>
        <w:spacing w:after="0" w:line="276" w:lineRule="auto"/>
        <w:contextualSpacing/>
        <w:jc w:val="right"/>
        <w:rPr>
          <w:rFonts w:ascii="Times New Roman" w:eastAsia="Times New Roman" w:hAnsi="Times New Roman" w:cs="Times New Roman"/>
          <w:b/>
          <w:sz w:val="24"/>
          <w:szCs w:val="24"/>
          <w:lang w:val="en-IE" w:eastAsia="en-IE"/>
        </w:rPr>
      </w:pPr>
    </w:p>
    <w:p w14:paraId="49F92ACE" w14:textId="77777777" w:rsidR="007C6E0A" w:rsidRPr="00666D9B" w:rsidRDefault="007C6E0A" w:rsidP="007C6E0A">
      <w:pPr>
        <w:spacing w:after="0" w:line="276" w:lineRule="auto"/>
        <w:contextualSpacing/>
        <w:rPr>
          <w:rFonts w:ascii="Times New Roman" w:eastAsia="Times New Roman" w:hAnsi="Times New Roman" w:cs="Times New Roman"/>
          <w:b/>
          <w:sz w:val="24"/>
          <w:szCs w:val="24"/>
          <w:lang w:val="en-IE" w:eastAsia="en-IE"/>
        </w:rPr>
      </w:pPr>
      <w:r>
        <w:rPr>
          <w:rFonts w:ascii="Times New Roman" w:eastAsia="Times New Roman" w:hAnsi="Times New Roman" w:cs="Times New Roman"/>
          <w:b/>
          <w:sz w:val="24"/>
          <w:szCs w:val="24"/>
          <w:lang w:val="en-IE" w:eastAsia="en-IE"/>
        </w:rPr>
        <w:t>Clarke CJ</w:t>
      </w:r>
      <w:r w:rsidRPr="00666D9B">
        <w:rPr>
          <w:rFonts w:ascii="Times New Roman" w:eastAsia="Times New Roman" w:hAnsi="Times New Roman" w:cs="Times New Roman"/>
          <w:b/>
          <w:sz w:val="24"/>
          <w:szCs w:val="24"/>
          <w:lang w:val="en-IE" w:eastAsia="en-IE"/>
        </w:rPr>
        <w:t>.</w:t>
      </w:r>
    </w:p>
    <w:p w14:paraId="76EC0516" w14:textId="77777777" w:rsidR="007C6E0A" w:rsidRPr="00666D9B" w:rsidRDefault="007C6E0A" w:rsidP="007C6E0A">
      <w:pPr>
        <w:spacing w:after="0" w:line="276" w:lineRule="auto"/>
        <w:contextualSpacing/>
        <w:rPr>
          <w:rFonts w:ascii="Times New Roman" w:eastAsia="Times New Roman" w:hAnsi="Times New Roman" w:cs="Times New Roman"/>
          <w:b/>
          <w:sz w:val="24"/>
          <w:szCs w:val="24"/>
          <w:lang w:val="en-IE" w:eastAsia="en-IE"/>
        </w:rPr>
      </w:pPr>
      <w:r>
        <w:rPr>
          <w:rFonts w:ascii="Times New Roman" w:eastAsia="Times New Roman" w:hAnsi="Times New Roman" w:cs="Times New Roman"/>
          <w:b/>
          <w:sz w:val="24"/>
          <w:szCs w:val="24"/>
          <w:lang w:val="en-IE" w:eastAsia="en-IE"/>
        </w:rPr>
        <w:t xml:space="preserve">O’Donnell </w:t>
      </w:r>
      <w:r w:rsidRPr="00666D9B">
        <w:rPr>
          <w:rFonts w:ascii="Times New Roman" w:eastAsia="Times New Roman" w:hAnsi="Times New Roman" w:cs="Times New Roman"/>
          <w:b/>
          <w:sz w:val="24"/>
          <w:szCs w:val="24"/>
          <w:lang w:val="en-IE" w:eastAsia="en-IE"/>
        </w:rPr>
        <w:t>J.</w:t>
      </w:r>
    </w:p>
    <w:p w14:paraId="578C1E8B" w14:textId="77777777" w:rsidR="007C6E0A" w:rsidRPr="00666D9B" w:rsidRDefault="007C6E0A" w:rsidP="007C6E0A">
      <w:pPr>
        <w:spacing w:after="0" w:line="276" w:lineRule="auto"/>
        <w:contextualSpacing/>
        <w:rPr>
          <w:rFonts w:ascii="Times New Roman" w:eastAsia="Times New Roman" w:hAnsi="Times New Roman" w:cs="Times New Roman"/>
          <w:b/>
          <w:sz w:val="24"/>
          <w:szCs w:val="24"/>
          <w:lang w:val="en-IE" w:eastAsia="en-IE"/>
        </w:rPr>
      </w:pPr>
      <w:r>
        <w:rPr>
          <w:rFonts w:ascii="Times New Roman" w:eastAsia="Times New Roman" w:hAnsi="Times New Roman" w:cs="Times New Roman"/>
          <w:b/>
          <w:sz w:val="24"/>
          <w:szCs w:val="24"/>
          <w:lang w:val="en-IE" w:eastAsia="en-IE"/>
        </w:rPr>
        <w:t xml:space="preserve">Dunne </w:t>
      </w:r>
      <w:r w:rsidRPr="00666D9B">
        <w:rPr>
          <w:rFonts w:ascii="Times New Roman" w:eastAsia="Times New Roman" w:hAnsi="Times New Roman" w:cs="Times New Roman"/>
          <w:b/>
          <w:sz w:val="24"/>
          <w:szCs w:val="24"/>
          <w:lang w:val="en-IE" w:eastAsia="en-IE"/>
        </w:rPr>
        <w:t>J.</w:t>
      </w:r>
    </w:p>
    <w:p w14:paraId="357C9695" w14:textId="77777777" w:rsidR="007C6E0A" w:rsidRPr="00666D9B" w:rsidRDefault="007C6E0A" w:rsidP="007C6E0A">
      <w:pPr>
        <w:spacing w:after="0" w:line="276" w:lineRule="auto"/>
        <w:contextualSpacing/>
        <w:rPr>
          <w:rFonts w:ascii="Times New Roman" w:eastAsia="Times New Roman" w:hAnsi="Times New Roman" w:cs="Times New Roman"/>
          <w:b/>
          <w:sz w:val="24"/>
          <w:szCs w:val="24"/>
          <w:lang w:val="en-IE" w:eastAsia="en-IE"/>
        </w:rPr>
      </w:pPr>
      <w:r>
        <w:rPr>
          <w:rFonts w:ascii="Times New Roman" w:eastAsia="Times New Roman" w:hAnsi="Times New Roman" w:cs="Times New Roman"/>
          <w:b/>
          <w:sz w:val="24"/>
          <w:szCs w:val="24"/>
          <w:lang w:val="en-IE" w:eastAsia="en-IE"/>
        </w:rPr>
        <w:t xml:space="preserve">Charleton </w:t>
      </w:r>
      <w:r w:rsidRPr="00666D9B">
        <w:rPr>
          <w:rFonts w:ascii="Times New Roman" w:eastAsia="Times New Roman" w:hAnsi="Times New Roman" w:cs="Times New Roman"/>
          <w:b/>
          <w:sz w:val="24"/>
          <w:szCs w:val="24"/>
          <w:lang w:val="en-IE" w:eastAsia="en-IE"/>
        </w:rPr>
        <w:t>J.</w:t>
      </w:r>
    </w:p>
    <w:p w14:paraId="07A9B50A" w14:textId="77777777" w:rsidR="007C6E0A" w:rsidRPr="00666D9B" w:rsidRDefault="007C6E0A" w:rsidP="007C6E0A">
      <w:pPr>
        <w:spacing w:after="0" w:line="276" w:lineRule="auto"/>
        <w:contextualSpacing/>
        <w:rPr>
          <w:rFonts w:ascii="Times New Roman" w:eastAsia="Times New Roman" w:hAnsi="Times New Roman" w:cs="Times New Roman"/>
          <w:b/>
          <w:sz w:val="24"/>
          <w:szCs w:val="24"/>
          <w:lang w:val="en-IE" w:eastAsia="en-IE"/>
        </w:rPr>
      </w:pPr>
      <w:r>
        <w:rPr>
          <w:rFonts w:ascii="Times New Roman" w:eastAsia="Times New Roman" w:hAnsi="Times New Roman" w:cs="Times New Roman"/>
          <w:b/>
          <w:sz w:val="24"/>
          <w:szCs w:val="24"/>
          <w:lang w:val="en-IE" w:eastAsia="en-IE"/>
        </w:rPr>
        <w:t xml:space="preserve">Baker </w:t>
      </w:r>
      <w:r w:rsidRPr="00666D9B">
        <w:rPr>
          <w:rFonts w:ascii="Times New Roman" w:eastAsia="Times New Roman" w:hAnsi="Times New Roman" w:cs="Times New Roman"/>
          <w:b/>
          <w:sz w:val="24"/>
          <w:szCs w:val="24"/>
          <w:lang w:val="en-IE" w:eastAsia="en-IE"/>
        </w:rPr>
        <w:t>J.</w:t>
      </w:r>
    </w:p>
    <w:p w14:paraId="1492EB1F" w14:textId="77777777" w:rsidR="007C6E0A" w:rsidRPr="00666D9B" w:rsidRDefault="007C6E0A" w:rsidP="007C6E0A">
      <w:pPr>
        <w:spacing w:after="0" w:line="276" w:lineRule="auto"/>
        <w:contextualSpacing/>
        <w:rPr>
          <w:rFonts w:ascii="Times New Roman" w:eastAsia="Times New Roman" w:hAnsi="Times New Roman" w:cs="Times New Roman"/>
          <w:b/>
          <w:sz w:val="24"/>
          <w:szCs w:val="24"/>
          <w:lang w:val="en-IE" w:eastAsia="en-IE"/>
        </w:rPr>
      </w:pPr>
    </w:p>
    <w:p w14:paraId="6352B75C" w14:textId="77777777" w:rsidR="007C6E0A" w:rsidRPr="00666D9B" w:rsidRDefault="007C6E0A" w:rsidP="007C6E0A">
      <w:pPr>
        <w:spacing w:after="0" w:line="276" w:lineRule="auto"/>
        <w:contextualSpacing/>
        <w:rPr>
          <w:rFonts w:ascii="Times New Roman" w:eastAsia="Times New Roman" w:hAnsi="Times New Roman" w:cs="Times New Roman"/>
          <w:b/>
          <w:sz w:val="24"/>
          <w:szCs w:val="24"/>
          <w:lang w:val="en-IE" w:eastAsia="en-IE"/>
        </w:rPr>
      </w:pPr>
      <w:r w:rsidRPr="00666D9B">
        <w:rPr>
          <w:rFonts w:ascii="Times New Roman" w:eastAsia="Times New Roman" w:hAnsi="Times New Roman" w:cs="Times New Roman"/>
          <w:b/>
          <w:sz w:val="24"/>
          <w:szCs w:val="24"/>
          <w:lang w:val="en-IE" w:eastAsia="en-IE"/>
        </w:rPr>
        <w:t>BETWEEN</w:t>
      </w:r>
    </w:p>
    <w:p w14:paraId="77513FFA" w14:textId="77777777" w:rsidR="007C6E0A" w:rsidRPr="00666D9B" w:rsidRDefault="007C6E0A" w:rsidP="007C6E0A">
      <w:pPr>
        <w:spacing w:after="0" w:line="276" w:lineRule="auto"/>
        <w:contextualSpacing/>
        <w:rPr>
          <w:rFonts w:ascii="Times New Roman" w:eastAsia="Times New Roman" w:hAnsi="Times New Roman" w:cs="Times New Roman"/>
          <w:b/>
          <w:sz w:val="24"/>
          <w:szCs w:val="24"/>
          <w:lang w:val="en-IE" w:eastAsia="en-IE"/>
        </w:rPr>
      </w:pPr>
    </w:p>
    <w:p w14:paraId="031047D2" w14:textId="10BBA0B8" w:rsidR="007C6E0A" w:rsidRDefault="007C6E0A" w:rsidP="007C6E0A">
      <w:pPr>
        <w:pStyle w:val="NoSpacing"/>
        <w:spacing w:line="276" w:lineRule="auto"/>
        <w:contextualSpacing/>
        <w:jc w:val="center"/>
        <w:rPr>
          <w:b/>
          <w:bCs/>
          <w:sz w:val="24"/>
          <w:szCs w:val="24"/>
        </w:rPr>
      </w:pPr>
      <w:r w:rsidRPr="00DA511A">
        <w:rPr>
          <w:b/>
          <w:bCs/>
          <w:sz w:val="24"/>
          <w:szCs w:val="24"/>
        </w:rPr>
        <w:t>A</w:t>
      </w:r>
    </w:p>
    <w:p w14:paraId="09117BFA" w14:textId="77777777" w:rsidR="001F7227" w:rsidRPr="00DA511A" w:rsidRDefault="001F7227" w:rsidP="007C6E0A">
      <w:pPr>
        <w:pStyle w:val="NoSpacing"/>
        <w:spacing w:line="276" w:lineRule="auto"/>
        <w:contextualSpacing/>
        <w:jc w:val="center"/>
        <w:rPr>
          <w:b/>
          <w:bCs/>
          <w:sz w:val="24"/>
          <w:szCs w:val="24"/>
        </w:rPr>
      </w:pPr>
    </w:p>
    <w:p w14:paraId="0E01738E" w14:textId="6F6E4519" w:rsidR="00015B10" w:rsidRDefault="007C6E0A" w:rsidP="00015B10">
      <w:pPr>
        <w:pStyle w:val="NoSpacing"/>
        <w:spacing w:line="276" w:lineRule="auto"/>
        <w:contextualSpacing/>
        <w:jc w:val="right"/>
        <w:rPr>
          <w:b/>
          <w:bCs/>
          <w:sz w:val="24"/>
          <w:szCs w:val="24"/>
        </w:rPr>
      </w:pPr>
      <w:r w:rsidRPr="00DA511A">
        <w:rPr>
          <w:b/>
          <w:bCs/>
          <w:sz w:val="24"/>
          <w:szCs w:val="24"/>
        </w:rPr>
        <w:t>Applicant</w:t>
      </w:r>
      <w:r>
        <w:rPr>
          <w:b/>
          <w:bCs/>
          <w:sz w:val="24"/>
          <w:szCs w:val="24"/>
        </w:rPr>
        <w:t>/</w:t>
      </w:r>
      <w:r w:rsidR="00015B10">
        <w:rPr>
          <w:b/>
          <w:bCs/>
          <w:sz w:val="24"/>
          <w:szCs w:val="24"/>
        </w:rPr>
        <w:t>Respondent</w:t>
      </w:r>
    </w:p>
    <w:p w14:paraId="745DD048" w14:textId="77777777" w:rsidR="00015B10" w:rsidRPr="00DA511A" w:rsidRDefault="00015B10" w:rsidP="00015B10">
      <w:pPr>
        <w:pStyle w:val="NoSpacing"/>
        <w:spacing w:line="276" w:lineRule="auto"/>
        <w:contextualSpacing/>
        <w:jc w:val="right"/>
        <w:rPr>
          <w:b/>
          <w:bCs/>
          <w:sz w:val="24"/>
          <w:szCs w:val="24"/>
        </w:rPr>
      </w:pPr>
    </w:p>
    <w:p w14:paraId="6BC52627" w14:textId="77777777" w:rsidR="007C6E0A" w:rsidRPr="00DA511A" w:rsidRDefault="007C6E0A" w:rsidP="007C6E0A">
      <w:pPr>
        <w:pStyle w:val="NoSpacing"/>
        <w:spacing w:line="276" w:lineRule="auto"/>
        <w:contextualSpacing/>
        <w:jc w:val="center"/>
        <w:rPr>
          <w:b/>
          <w:bCs/>
          <w:sz w:val="24"/>
          <w:szCs w:val="24"/>
          <w:lang w:val="en-GB"/>
        </w:rPr>
      </w:pPr>
      <w:r w:rsidRPr="00DA511A">
        <w:rPr>
          <w:b/>
          <w:bCs/>
          <w:sz w:val="24"/>
          <w:szCs w:val="24"/>
          <w:lang w:val="en-GB"/>
        </w:rPr>
        <w:t>AND</w:t>
      </w:r>
    </w:p>
    <w:p w14:paraId="0555A374" w14:textId="77777777" w:rsidR="007C6E0A" w:rsidRPr="00DA511A" w:rsidRDefault="007C6E0A" w:rsidP="007C6E0A">
      <w:pPr>
        <w:pStyle w:val="NoSpacing"/>
        <w:spacing w:line="276" w:lineRule="auto"/>
        <w:contextualSpacing/>
        <w:rPr>
          <w:b/>
          <w:bCs/>
          <w:sz w:val="24"/>
          <w:szCs w:val="24"/>
        </w:rPr>
      </w:pPr>
    </w:p>
    <w:p w14:paraId="416C413A" w14:textId="77777777" w:rsidR="007C6E0A" w:rsidRPr="00DA511A" w:rsidRDefault="007C6E0A" w:rsidP="007C6E0A">
      <w:pPr>
        <w:pStyle w:val="NoSpacing"/>
        <w:spacing w:line="276" w:lineRule="auto"/>
        <w:contextualSpacing/>
        <w:jc w:val="center"/>
        <w:rPr>
          <w:b/>
          <w:bCs/>
          <w:sz w:val="24"/>
          <w:szCs w:val="24"/>
        </w:rPr>
      </w:pPr>
      <w:r w:rsidRPr="00DA511A">
        <w:rPr>
          <w:b/>
          <w:bCs/>
          <w:sz w:val="24"/>
          <w:szCs w:val="24"/>
        </w:rPr>
        <w:t>THE MINISTER FOR JUSTICE AND EQUALITY</w:t>
      </w:r>
    </w:p>
    <w:p w14:paraId="710F2EBA" w14:textId="77777777" w:rsidR="007C6E0A" w:rsidRPr="00DA511A" w:rsidRDefault="007C6E0A" w:rsidP="007C6E0A">
      <w:pPr>
        <w:pStyle w:val="NoSpacing"/>
        <w:spacing w:line="276" w:lineRule="auto"/>
        <w:contextualSpacing/>
        <w:jc w:val="center"/>
        <w:rPr>
          <w:b/>
          <w:bCs/>
          <w:sz w:val="24"/>
          <w:szCs w:val="24"/>
        </w:rPr>
      </w:pPr>
      <w:r w:rsidRPr="00DA511A">
        <w:rPr>
          <w:b/>
          <w:bCs/>
          <w:sz w:val="24"/>
          <w:szCs w:val="24"/>
        </w:rPr>
        <w:t>THE ATTORNEY GENERAL</w:t>
      </w:r>
    </w:p>
    <w:p w14:paraId="121444F8" w14:textId="7ECDE415" w:rsidR="001F7227" w:rsidRDefault="007C6E0A" w:rsidP="001F7227">
      <w:pPr>
        <w:pStyle w:val="NoSpacing"/>
        <w:spacing w:line="276" w:lineRule="auto"/>
        <w:contextualSpacing/>
        <w:jc w:val="center"/>
        <w:rPr>
          <w:b/>
          <w:bCs/>
          <w:sz w:val="24"/>
          <w:szCs w:val="24"/>
        </w:rPr>
      </w:pPr>
      <w:r w:rsidRPr="00DA511A">
        <w:rPr>
          <w:b/>
          <w:bCs/>
          <w:sz w:val="24"/>
          <w:szCs w:val="24"/>
        </w:rPr>
        <w:t>IRELAND</w:t>
      </w:r>
    </w:p>
    <w:p w14:paraId="3BB3F7A9" w14:textId="77777777" w:rsidR="001F7227" w:rsidRPr="00DA511A" w:rsidRDefault="001F7227" w:rsidP="001F7227">
      <w:pPr>
        <w:pStyle w:val="NoSpacing"/>
        <w:spacing w:line="276" w:lineRule="auto"/>
        <w:contextualSpacing/>
        <w:jc w:val="center"/>
        <w:rPr>
          <w:b/>
          <w:bCs/>
          <w:sz w:val="24"/>
          <w:szCs w:val="24"/>
        </w:rPr>
      </w:pPr>
    </w:p>
    <w:p w14:paraId="52108BF1" w14:textId="4E0C5244" w:rsidR="007C6E0A" w:rsidRDefault="007C6E0A" w:rsidP="007C6E0A">
      <w:pPr>
        <w:pStyle w:val="NoSpacing"/>
        <w:spacing w:line="276" w:lineRule="auto"/>
        <w:contextualSpacing/>
        <w:jc w:val="right"/>
        <w:rPr>
          <w:b/>
          <w:bCs/>
          <w:sz w:val="24"/>
          <w:szCs w:val="24"/>
        </w:rPr>
      </w:pPr>
      <w:r w:rsidRPr="00DA511A">
        <w:rPr>
          <w:b/>
          <w:bCs/>
          <w:sz w:val="24"/>
          <w:szCs w:val="24"/>
        </w:rPr>
        <w:t>Respondents</w:t>
      </w:r>
      <w:r>
        <w:rPr>
          <w:b/>
          <w:bCs/>
          <w:sz w:val="24"/>
          <w:szCs w:val="24"/>
        </w:rPr>
        <w:t>/Appellants</w:t>
      </w:r>
    </w:p>
    <w:p w14:paraId="49BCDB23" w14:textId="77777777" w:rsidR="00015B10" w:rsidRPr="00DA511A" w:rsidRDefault="00015B10" w:rsidP="007C6E0A">
      <w:pPr>
        <w:pStyle w:val="NoSpacing"/>
        <w:spacing w:line="276" w:lineRule="auto"/>
        <w:contextualSpacing/>
        <w:jc w:val="right"/>
        <w:rPr>
          <w:b/>
          <w:bCs/>
          <w:sz w:val="24"/>
          <w:szCs w:val="24"/>
        </w:rPr>
      </w:pPr>
    </w:p>
    <w:p w14:paraId="5FD56D8C" w14:textId="77777777" w:rsidR="007C6E0A" w:rsidRPr="00DA511A" w:rsidRDefault="007C6E0A" w:rsidP="007C6E0A">
      <w:pPr>
        <w:pStyle w:val="NoSpacing"/>
        <w:spacing w:line="276" w:lineRule="auto"/>
        <w:contextualSpacing/>
        <w:jc w:val="center"/>
        <w:rPr>
          <w:b/>
          <w:bCs/>
          <w:sz w:val="24"/>
          <w:szCs w:val="24"/>
          <w:lang w:val="en-IE"/>
        </w:rPr>
      </w:pPr>
      <w:r w:rsidRPr="00DA511A">
        <w:rPr>
          <w:b/>
          <w:bCs/>
          <w:sz w:val="24"/>
          <w:szCs w:val="24"/>
          <w:lang w:val="en-IE"/>
        </w:rPr>
        <w:t>AND</w:t>
      </w:r>
    </w:p>
    <w:p w14:paraId="19D87B43" w14:textId="77777777" w:rsidR="007C6E0A" w:rsidRPr="00DA511A" w:rsidRDefault="007C6E0A" w:rsidP="007C6E0A">
      <w:pPr>
        <w:pStyle w:val="NoSpacing"/>
        <w:spacing w:line="276" w:lineRule="auto"/>
        <w:contextualSpacing/>
        <w:rPr>
          <w:b/>
          <w:bCs/>
          <w:sz w:val="24"/>
          <w:szCs w:val="24"/>
          <w:lang w:val="en-IE"/>
        </w:rPr>
      </w:pPr>
    </w:p>
    <w:p w14:paraId="268CB707" w14:textId="6CA9E57F" w:rsidR="001F7227" w:rsidRPr="00DA511A" w:rsidRDefault="007C6E0A" w:rsidP="007C6E0A">
      <w:pPr>
        <w:pStyle w:val="NoSpacing"/>
        <w:spacing w:line="276" w:lineRule="auto"/>
        <w:contextualSpacing/>
        <w:jc w:val="center"/>
        <w:rPr>
          <w:b/>
          <w:bCs/>
          <w:sz w:val="24"/>
          <w:szCs w:val="24"/>
          <w:lang w:val="en-IE"/>
        </w:rPr>
      </w:pPr>
      <w:r w:rsidRPr="00DA511A">
        <w:rPr>
          <w:b/>
          <w:bCs/>
          <w:sz w:val="24"/>
          <w:szCs w:val="24"/>
          <w:lang w:val="en-IE"/>
        </w:rPr>
        <w:t>THE IRISH HUMAN RIGHTS AND EQUALITY COMMISSION</w:t>
      </w:r>
    </w:p>
    <w:p w14:paraId="3915B3A1" w14:textId="77777777" w:rsidR="007C6E0A" w:rsidRPr="00DA511A" w:rsidRDefault="007C6E0A" w:rsidP="002204EA">
      <w:pPr>
        <w:pStyle w:val="NoSpacing"/>
        <w:spacing w:line="276" w:lineRule="auto"/>
        <w:contextualSpacing/>
        <w:jc w:val="center"/>
        <w:rPr>
          <w:b/>
          <w:bCs/>
          <w:sz w:val="24"/>
          <w:szCs w:val="24"/>
          <w:lang w:val="en-IE"/>
        </w:rPr>
      </w:pPr>
    </w:p>
    <w:p w14:paraId="1098ECCD" w14:textId="77777777" w:rsidR="007C6E0A" w:rsidRPr="00DA511A" w:rsidRDefault="007C6E0A" w:rsidP="007C6E0A">
      <w:pPr>
        <w:pStyle w:val="NoSpacing"/>
        <w:spacing w:line="276" w:lineRule="auto"/>
        <w:contextualSpacing/>
        <w:jc w:val="right"/>
        <w:rPr>
          <w:b/>
          <w:bCs/>
          <w:sz w:val="24"/>
          <w:szCs w:val="24"/>
          <w:lang w:val="en-IE"/>
        </w:rPr>
      </w:pPr>
      <w:r w:rsidRPr="00DA511A">
        <w:rPr>
          <w:b/>
          <w:bCs/>
          <w:sz w:val="24"/>
          <w:szCs w:val="24"/>
          <w:lang w:val="en-IE"/>
        </w:rPr>
        <w:t>Notice Party</w:t>
      </w:r>
    </w:p>
    <w:p w14:paraId="55C1289F" w14:textId="77777777" w:rsidR="007C6E0A" w:rsidRDefault="007C6E0A" w:rsidP="007C6E0A">
      <w:pPr>
        <w:pStyle w:val="NoSpacing"/>
        <w:suppressAutoHyphens/>
        <w:spacing w:line="276" w:lineRule="auto"/>
        <w:ind w:left="1" w:firstLine="1"/>
        <w:contextualSpacing/>
        <w:rPr>
          <w:b/>
          <w:bCs/>
          <w:sz w:val="24"/>
          <w:szCs w:val="24"/>
        </w:rPr>
      </w:pPr>
    </w:p>
    <w:p w14:paraId="6E4045C8" w14:textId="77777777" w:rsidR="007C6E0A" w:rsidRDefault="007C6E0A" w:rsidP="007C6E0A">
      <w:pPr>
        <w:pStyle w:val="NoSpacing"/>
        <w:suppressAutoHyphens/>
        <w:spacing w:line="276" w:lineRule="auto"/>
        <w:ind w:left="1" w:firstLine="1"/>
        <w:contextualSpacing/>
        <w:rPr>
          <w:b/>
          <w:bCs/>
          <w:sz w:val="24"/>
          <w:szCs w:val="24"/>
        </w:rPr>
      </w:pPr>
    </w:p>
    <w:p w14:paraId="32C20AAF" w14:textId="77777777" w:rsidR="007C6E0A" w:rsidRPr="00666D9B" w:rsidRDefault="007C6E0A" w:rsidP="007C6E0A">
      <w:pPr>
        <w:spacing w:after="0" w:line="276" w:lineRule="auto"/>
        <w:contextualSpacing/>
        <w:jc w:val="right"/>
        <w:rPr>
          <w:rFonts w:ascii="Times New Roman" w:eastAsia="Times New Roman" w:hAnsi="Times New Roman" w:cs="Times New Roman"/>
          <w:b/>
          <w:sz w:val="24"/>
          <w:szCs w:val="24"/>
          <w:lang w:val="en-IE" w:eastAsia="en-IE"/>
        </w:rPr>
      </w:pPr>
      <w:r w:rsidRPr="00666D9B">
        <w:rPr>
          <w:rFonts w:ascii="Times New Roman" w:eastAsia="Times New Roman" w:hAnsi="Times New Roman" w:cs="Times New Roman"/>
          <w:b/>
          <w:sz w:val="24"/>
          <w:szCs w:val="24"/>
          <w:lang w:val="en-IE" w:eastAsia="en-IE"/>
        </w:rPr>
        <w:t>[Record No. 2019/000</w:t>
      </w:r>
      <w:r w:rsidRPr="00DA511A">
        <w:rPr>
          <w:rFonts w:ascii="Times New Roman" w:eastAsia="Times New Roman" w:hAnsi="Times New Roman" w:cs="Times New Roman"/>
          <w:b/>
          <w:sz w:val="24"/>
          <w:szCs w:val="24"/>
          <w:lang w:val="en-IE" w:eastAsia="en-IE"/>
        </w:rPr>
        <w:t>201</w:t>
      </w:r>
      <w:r w:rsidRPr="00666D9B">
        <w:rPr>
          <w:rFonts w:ascii="Times New Roman" w:eastAsia="Times New Roman" w:hAnsi="Times New Roman" w:cs="Times New Roman"/>
          <w:b/>
          <w:sz w:val="24"/>
          <w:szCs w:val="24"/>
          <w:lang w:val="en-IE" w:eastAsia="en-IE"/>
        </w:rPr>
        <w:t>]</w:t>
      </w:r>
    </w:p>
    <w:p w14:paraId="5920AD52" w14:textId="77777777" w:rsidR="007C6E0A" w:rsidRDefault="007C6E0A" w:rsidP="007C6E0A">
      <w:pPr>
        <w:spacing w:after="0" w:line="276" w:lineRule="auto"/>
        <w:contextualSpacing/>
        <w:rPr>
          <w:rFonts w:ascii="Times New Roman" w:eastAsia="Times New Roman" w:hAnsi="Times New Roman" w:cs="Times New Roman"/>
          <w:b/>
          <w:sz w:val="24"/>
          <w:szCs w:val="24"/>
          <w:lang w:val="en-IE" w:eastAsia="en-IE"/>
        </w:rPr>
      </w:pPr>
    </w:p>
    <w:p w14:paraId="55A60325" w14:textId="77777777" w:rsidR="007C6E0A" w:rsidRPr="00666D9B" w:rsidRDefault="007C6E0A" w:rsidP="007C6E0A">
      <w:pPr>
        <w:spacing w:after="0" w:line="276" w:lineRule="auto"/>
        <w:contextualSpacing/>
        <w:rPr>
          <w:rFonts w:ascii="Times New Roman" w:eastAsia="Times New Roman" w:hAnsi="Times New Roman" w:cs="Times New Roman"/>
          <w:b/>
          <w:sz w:val="24"/>
          <w:szCs w:val="24"/>
          <w:lang w:val="en-IE" w:eastAsia="en-IE"/>
        </w:rPr>
      </w:pPr>
      <w:r w:rsidRPr="00666D9B">
        <w:rPr>
          <w:rFonts w:ascii="Times New Roman" w:eastAsia="Times New Roman" w:hAnsi="Times New Roman" w:cs="Times New Roman"/>
          <w:b/>
          <w:sz w:val="24"/>
          <w:szCs w:val="24"/>
          <w:lang w:val="en-IE" w:eastAsia="en-IE"/>
        </w:rPr>
        <w:t>BETWEEN</w:t>
      </w:r>
    </w:p>
    <w:p w14:paraId="5CD392E8" w14:textId="77777777" w:rsidR="007C6E0A" w:rsidRDefault="007C6E0A" w:rsidP="007C6E0A">
      <w:pPr>
        <w:pStyle w:val="NoSpacing"/>
        <w:suppressAutoHyphens/>
        <w:spacing w:line="276" w:lineRule="auto"/>
        <w:contextualSpacing/>
        <w:rPr>
          <w:b/>
          <w:bCs/>
          <w:sz w:val="24"/>
          <w:szCs w:val="24"/>
        </w:rPr>
      </w:pPr>
    </w:p>
    <w:p w14:paraId="20F31BB0" w14:textId="4CD6252F" w:rsidR="001F7227" w:rsidRPr="00DA511A" w:rsidRDefault="007C6E0A" w:rsidP="007C6E0A">
      <w:pPr>
        <w:pStyle w:val="NoSpacing"/>
        <w:suppressAutoHyphens/>
        <w:spacing w:line="276" w:lineRule="auto"/>
        <w:ind w:left="1" w:firstLine="1"/>
        <w:contextualSpacing/>
        <w:jc w:val="center"/>
        <w:rPr>
          <w:b/>
          <w:bCs/>
          <w:sz w:val="24"/>
          <w:szCs w:val="24"/>
        </w:rPr>
      </w:pPr>
      <w:r w:rsidRPr="00DA511A">
        <w:rPr>
          <w:b/>
          <w:bCs/>
          <w:sz w:val="24"/>
          <w:szCs w:val="24"/>
        </w:rPr>
        <w:t>S AND S</w:t>
      </w:r>
    </w:p>
    <w:p w14:paraId="136B3463" w14:textId="77777777" w:rsidR="007C6E0A" w:rsidRPr="00DA511A" w:rsidRDefault="007C6E0A" w:rsidP="002204EA">
      <w:pPr>
        <w:pStyle w:val="NoSpacing"/>
        <w:suppressAutoHyphens/>
        <w:spacing w:line="276" w:lineRule="auto"/>
        <w:ind w:left="1" w:firstLine="1"/>
        <w:contextualSpacing/>
        <w:jc w:val="center"/>
        <w:rPr>
          <w:b/>
          <w:bCs/>
          <w:sz w:val="24"/>
          <w:szCs w:val="24"/>
        </w:rPr>
      </w:pPr>
    </w:p>
    <w:p w14:paraId="3EBBCEEB" w14:textId="797158AD" w:rsidR="007C6E0A" w:rsidRDefault="007C6E0A" w:rsidP="00015B10">
      <w:pPr>
        <w:pStyle w:val="NoSpacing"/>
        <w:suppressAutoHyphens/>
        <w:spacing w:line="276" w:lineRule="auto"/>
        <w:contextualSpacing/>
        <w:jc w:val="right"/>
        <w:rPr>
          <w:b/>
          <w:bCs/>
          <w:sz w:val="24"/>
          <w:szCs w:val="24"/>
        </w:rPr>
      </w:pPr>
      <w:r>
        <w:rPr>
          <w:b/>
          <w:bCs/>
          <w:sz w:val="24"/>
          <w:szCs w:val="24"/>
        </w:rPr>
        <w:t>Applicants/Respondents</w:t>
      </w:r>
    </w:p>
    <w:p w14:paraId="0C63D997" w14:textId="77777777" w:rsidR="00015B10" w:rsidRPr="00015B10" w:rsidRDefault="00015B10" w:rsidP="00015B10">
      <w:pPr>
        <w:pStyle w:val="NoSpacing"/>
        <w:suppressAutoHyphens/>
        <w:spacing w:line="276" w:lineRule="auto"/>
        <w:contextualSpacing/>
        <w:jc w:val="center"/>
        <w:rPr>
          <w:b/>
          <w:bCs/>
          <w:sz w:val="24"/>
          <w:szCs w:val="24"/>
        </w:rPr>
      </w:pPr>
    </w:p>
    <w:p w14:paraId="45FDD168" w14:textId="77777777" w:rsidR="007C6E0A" w:rsidRPr="00DA511A" w:rsidRDefault="007C6E0A" w:rsidP="007C6E0A">
      <w:pPr>
        <w:pStyle w:val="NoSpacing"/>
        <w:suppressAutoHyphens/>
        <w:spacing w:line="276" w:lineRule="auto"/>
        <w:contextualSpacing/>
        <w:jc w:val="center"/>
        <w:rPr>
          <w:b/>
          <w:bCs/>
          <w:sz w:val="24"/>
          <w:szCs w:val="24"/>
          <w:lang w:val="en-GB"/>
        </w:rPr>
      </w:pPr>
      <w:r w:rsidRPr="00DA511A">
        <w:rPr>
          <w:b/>
          <w:bCs/>
          <w:sz w:val="24"/>
          <w:szCs w:val="24"/>
          <w:lang w:val="en-GB"/>
        </w:rPr>
        <w:lastRenderedPageBreak/>
        <w:t>AND</w:t>
      </w:r>
    </w:p>
    <w:p w14:paraId="355759ED" w14:textId="77777777" w:rsidR="007C6E0A" w:rsidRPr="00DA511A" w:rsidRDefault="007C6E0A" w:rsidP="007C6E0A">
      <w:pPr>
        <w:pStyle w:val="NoSpacing"/>
        <w:suppressAutoHyphens/>
        <w:spacing w:line="276" w:lineRule="auto"/>
        <w:contextualSpacing/>
        <w:rPr>
          <w:b/>
          <w:bCs/>
          <w:sz w:val="24"/>
          <w:szCs w:val="24"/>
        </w:rPr>
      </w:pPr>
    </w:p>
    <w:p w14:paraId="73219616" w14:textId="77777777" w:rsidR="007C6E0A" w:rsidRPr="00DA511A" w:rsidRDefault="007C6E0A" w:rsidP="007C6E0A">
      <w:pPr>
        <w:pStyle w:val="NoSpacing"/>
        <w:suppressAutoHyphens/>
        <w:spacing w:line="276" w:lineRule="auto"/>
        <w:contextualSpacing/>
        <w:jc w:val="center"/>
        <w:rPr>
          <w:b/>
          <w:bCs/>
          <w:sz w:val="24"/>
          <w:szCs w:val="24"/>
        </w:rPr>
      </w:pPr>
      <w:r w:rsidRPr="00DA511A">
        <w:rPr>
          <w:b/>
          <w:bCs/>
          <w:sz w:val="24"/>
          <w:szCs w:val="24"/>
        </w:rPr>
        <w:t>THE MINISTER FOR JUSTICE AND EQUALITY</w:t>
      </w:r>
    </w:p>
    <w:p w14:paraId="6A87C4A6" w14:textId="77777777" w:rsidR="007C6E0A" w:rsidRPr="00DA511A" w:rsidRDefault="007C6E0A" w:rsidP="007C6E0A">
      <w:pPr>
        <w:pStyle w:val="NoSpacing"/>
        <w:suppressAutoHyphens/>
        <w:spacing w:line="276" w:lineRule="auto"/>
        <w:contextualSpacing/>
        <w:jc w:val="center"/>
        <w:rPr>
          <w:b/>
          <w:bCs/>
          <w:sz w:val="24"/>
          <w:szCs w:val="24"/>
        </w:rPr>
      </w:pPr>
      <w:r w:rsidRPr="00DA511A">
        <w:rPr>
          <w:b/>
          <w:bCs/>
          <w:sz w:val="24"/>
          <w:szCs w:val="24"/>
        </w:rPr>
        <w:t>THE ATTORNEY GENERAL</w:t>
      </w:r>
    </w:p>
    <w:p w14:paraId="758FFB7A" w14:textId="7F5642A9" w:rsidR="007C6E0A" w:rsidRDefault="007C6E0A" w:rsidP="007C6E0A">
      <w:pPr>
        <w:pStyle w:val="NoSpacing"/>
        <w:suppressAutoHyphens/>
        <w:spacing w:line="276" w:lineRule="auto"/>
        <w:contextualSpacing/>
        <w:jc w:val="center"/>
        <w:rPr>
          <w:b/>
          <w:bCs/>
          <w:sz w:val="24"/>
          <w:szCs w:val="24"/>
        </w:rPr>
      </w:pPr>
      <w:r w:rsidRPr="00DA511A">
        <w:rPr>
          <w:b/>
          <w:bCs/>
          <w:sz w:val="24"/>
          <w:szCs w:val="24"/>
        </w:rPr>
        <w:t>IRELAND</w:t>
      </w:r>
    </w:p>
    <w:p w14:paraId="2B484A4D" w14:textId="77777777" w:rsidR="001F7227" w:rsidRPr="00DA511A" w:rsidRDefault="001F7227" w:rsidP="007C6E0A">
      <w:pPr>
        <w:pStyle w:val="NoSpacing"/>
        <w:suppressAutoHyphens/>
        <w:spacing w:line="276" w:lineRule="auto"/>
        <w:contextualSpacing/>
        <w:jc w:val="center"/>
        <w:rPr>
          <w:b/>
          <w:bCs/>
          <w:sz w:val="24"/>
          <w:szCs w:val="24"/>
        </w:rPr>
      </w:pPr>
    </w:p>
    <w:p w14:paraId="2FAF7C18" w14:textId="77777777" w:rsidR="007C6E0A" w:rsidRPr="00DA511A" w:rsidRDefault="007C6E0A" w:rsidP="007C6E0A">
      <w:pPr>
        <w:pStyle w:val="NoSpacing"/>
        <w:suppressAutoHyphens/>
        <w:spacing w:line="276" w:lineRule="auto"/>
        <w:contextualSpacing/>
        <w:jc w:val="right"/>
        <w:rPr>
          <w:b/>
          <w:bCs/>
          <w:sz w:val="24"/>
          <w:szCs w:val="24"/>
        </w:rPr>
      </w:pPr>
      <w:r>
        <w:rPr>
          <w:b/>
          <w:bCs/>
          <w:sz w:val="24"/>
          <w:szCs w:val="24"/>
        </w:rPr>
        <w:t>Respondents/Appellants</w:t>
      </w:r>
    </w:p>
    <w:p w14:paraId="7A387976" w14:textId="77777777" w:rsidR="007C6E0A" w:rsidRPr="00DA511A" w:rsidRDefault="007C6E0A" w:rsidP="007C6E0A">
      <w:pPr>
        <w:pStyle w:val="NoSpacing"/>
        <w:suppressAutoHyphens/>
        <w:spacing w:line="276" w:lineRule="auto"/>
        <w:contextualSpacing/>
        <w:jc w:val="right"/>
        <w:rPr>
          <w:b/>
          <w:bCs/>
          <w:sz w:val="24"/>
          <w:szCs w:val="24"/>
        </w:rPr>
      </w:pPr>
    </w:p>
    <w:p w14:paraId="63988E6A" w14:textId="77777777" w:rsidR="007C6E0A" w:rsidRPr="00DA511A" w:rsidRDefault="007C6E0A" w:rsidP="007C6E0A">
      <w:pPr>
        <w:pStyle w:val="NoSpacing"/>
        <w:suppressAutoHyphens/>
        <w:spacing w:line="276" w:lineRule="auto"/>
        <w:contextualSpacing/>
        <w:jc w:val="center"/>
        <w:rPr>
          <w:b/>
          <w:bCs/>
          <w:sz w:val="24"/>
          <w:szCs w:val="24"/>
          <w:lang w:val="en-IE"/>
        </w:rPr>
      </w:pPr>
      <w:r w:rsidRPr="00DA511A">
        <w:rPr>
          <w:b/>
          <w:bCs/>
          <w:sz w:val="24"/>
          <w:szCs w:val="24"/>
          <w:lang w:val="en-IE"/>
        </w:rPr>
        <w:t>AND</w:t>
      </w:r>
    </w:p>
    <w:p w14:paraId="6E9C5DBC" w14:textId="77777777" w:rsidR="007C6E0A" w:rsidRPr="00DA511A" w:rsidRDefault="007C6E0A" w:rsidP="007C6E0A">
      <w:pPr>
        <w:pStyle w:val="NoSpacing"/>
        <w:suppressAutoHyphens/>
        <w:spacing w:line="276" w:lineRule="auto"/>
        <w:contextualSpacing/>
        <w:rPr>
          <w:b/>
          <w:bCs/>
          <w:sz w:val="24"/>
          <w:szCs w:val="24"/>
          <w:lang w:val="en-IE"/>
        </w:rPr>
      </w:pPr>
    </w:p>
    <w:p w14:paraId="180847EA" w14:textId="4E5D5337" w:rsidR="001F7227" w:rsidRPr="00DA511A" w:rsidRDefault="007C6E0A" w:rsidP="007C6E0A">
      <w:pPr>
        <w:pStyle w:val="NoSpacing"/>
        <w:suppressAutoHyphens/>
        <w:spacing w:line="276" w:lineRule="auto"/>
        <w:contextualSpacing/>
        <w:jc w:val="center"/>
        <w:rPr>
          <w:b/>
          <w:bCs/>
          <w:sz w:val="24"/>
          <w:szCs w:val="24"/>
          <w:lang w:val="en-IE"/>
        </w:rPr>
      </w:pPr>
      <w:r w:rsidRPr="00DA511A">
        <w:rPr>
          <w:b/>
          <w:bCs/>
          <w:sz w:val="24"/>
          <w:szCs w:val="24"/>
          <w:lang w:val="en-IE"/>
        </w:rPr>
        <w:t>THE IRISH HUMAN RIGHTS AND EQUALITY COMMISSION</w:t>
      </w:r>
    </w:p>
    <w:p w14:paraId="2040BDFA" w14:textId="77777777" w:rsidR="007C6E0A" w:rsidRPr="00DA511A" w:rsidRDefault="007C6E0A" w:rsidP="002204EA">
      <w:pPr>
        <w:pStyle w:val="NoSpacing"/>
        <w:suppressAutoHyphens/>
        <w:spacing w:line="276" w:lineRule="auto"/>
        <w:contextualSpacing/>
        <w:jc w:val="center"/>
        <w:rPr>
          <w:b/>
          <w:bCs/>
          <w:sz w:val="24"/>
          <w:szCs w:val="24"/>
          <w:lang w:val="en-IE"/>
        </w:rPr>
      </w:pPr>
    </w:p>
    <w:p w14:paraId="6EC4EC18" w14:textId="77777777" w:rsidR="007C6E0A" w:rsidRPr="00DA511A" w:rsidRDefault="007C6E0A" w:rsidP="007C6E0A">
      <w:pPr>
        <w:pStyle w:val="NoSpacing"/>
        <w:suppressAutoHyphens/>
        <w:spacing w:line="276" w:lineRule="auto"/>
        <w:contextualSpacing/>
        <w:jc w:val="right"/>
        <w:rPr>
          <w:b/>
          <w:bCs/>
          <w:sz w:val="24"/>
          <w:szCs w:val="24"/>
          <w:lang w:val="en-IE"/>
        </w:rPr>
      </w:pPr>
      <w:r>
        <w:rPr>
          <w:b/>
          <w:bCs/>
          <w:sz w:val="24"/>
          <w:szCs w:val="24"/>
          <w:lang w:val="en-IE"/>
        </w:rPr>
        <w:t>Notice Party</w:t>
      </w:r>
    </w:p>
    <w:p w14:paraId="13A2517A" w14:textId="77777777" w:rsidR="007C6E0A" w:rsidRDefault="007C6E0A" w:rsidP="007C6E0A">
      <w:pPr>
        <w:spacing w:after="0" w:line="276" w:lineRule="auto"/>
        <w:contextualSpacing/>
        <w:jc w:val="right"/>
        <w:rPr>
          <w:rFonts w:ascii="Times New Roman" w:eastAsia="Times New Roman" w:hAnsi="Times New Roman" w:cs="Times New Roman"/>
          <w:b/>
          <w:sz w:val="24"/>
          <w:szCs w:val="24"/>
          <w:lang w:val="en-IE" w:eastAsia="en-IE"/>
        </w:rPr>
      </w:pPr>
    </w:p>
    <w:p w14:paraId="551C796E" w14:textId="77777777" w:rsidR="007C6E0A" w:rsidRDefault="007C6E0A" w:rsidP="007C6E0A">
      <w:pPr>
        <w:spacing w:after="0" w:line="276" w:lineRule="auto"/>
        <w:contextualSpacing/>
        <w:jc w:val="right"/>
        <w:rPr>
          <w:rFonts w:ascii="Times New Roman" w:eastAsia="Times New Roman" w:hAnsi="Times New Roman" w:cs="Times New Roman"/>
          <w:b/>
          <w:sz w:val="24"/>
          <w:szCs w:val="24"/>
          <w:lang w:val="en-IE" w:eastAsia="en-IE"/>
        </w:rPr>
      </w:pPr>
    </w:p>
    <w:p w14:paraId="406B4F12" w14:textId="77777777" w:rsidR="007C6E0A" w:rsidRPr="00666D9B" w:rsidRDefault="007C6E0A" w:rsidP="007C6E0A">
      <w:pPr>
        <w:spacing w:after="0" w:line="276" w:lineRule="auto"/>
        <w:contextualSpacing/>
        <w:jc w:val="right"/>
        <w:rPr>
          <w:rFonts w:ascii="Times New Roman" w:eastAsia="Times New Roman" w:hAnsi="Times New Roman" w:cs="Times New Roman"/>
          <w:b/>
          <w:sz w:val="24"/>
          <w:szCs w:val="24"/>
          <w:lang w:val="en-IE" w:eastAsia="en-IE"/>
        </w:rPr>
      </w:pPr>
      <w:r w:rsidRPr="00666D9B">
        <w:rPr>
          <w:rFonts w:ascii="Times New Roman" w:eastAsia="Times New Roman" w:hAnsi="Times New Roman" w:cs="Times New Roman"/>
          <w:b/>
          <w:sz w:val="24"/>
          <w:szCs w:val="24"/>
          <w:lang w:val="en-IE" w:eastAsia="en-IE"/>
        </w:rPr>
        <w:t>[Record No. 2019/000</w:t>
      </w:r>
      <w:r w:rsidRPr="00DA511A">
        <w:rPr>
          <w:rFonts w:ascii="Times New Roman" w:eastAsia="Times New Roman" w:hAnsi="Times New Roman" w:cs="Times New Roman"/>
          <w:b/>
          <w:sz w:val="24"/>
          <w:szCs w:val="24"/>
          <w:lang w:val="en-IE" w:eastAsia="en-IE"/>
        </w:rPr>
        <w:t>209</w:t>
      </w:r>
      <w:r w:rsidRPr="00666D9B">
        <w:rPr>
          <w:rFonts w:ascii="Times New Roman" w:eastAsia="Times New Roman" w:hAnsi="Times New Roman" w:cs="Times New Roman"/>
          <w:b/>
          <w:sz w:val="24"/>
          <w:szCs w:val="24"/>
          <w:lang w:val="en-IE" w:eastAsia="en-IE"/>
        </w:rPr>
        <w:t>]</w:t>
      </w:r>
    </w:p>
    <w:p w14:paraId="6FC544C5" w14:textId="77777777" w:rsidR="007C6E0A" w:rsidRPr="00DA511A" w:rsidRDefault="007C6E0A" w:rsidP="007C6E0A">
      <w:pPr>
        <w:spacing w:line="276" w:lineRule="auto"/>
        <w:contextualSpacing/>
        <w:rPr>
          <w:rFonts w:ascii="Times New Roman" w:hAnsi="Times New Roman" w:cs="Times New Roman"/>
          <w:b/>
          <w:sz w:val="24"/>
          <w:szCs w:val="24"/>
        </w:rPr>
      </w:pPr>
    </w:p>
    <w:p w14:paraId="7DEC3498" w14:textId="77777777" w:rsidR="007C6E0A" w:rsidRDefault="007C6E0A" w:rsidP="007C6E0A">
      <w:pPr>
        <w:pStyle w:val="DefaultText"/>
        <w:tabs>
          <w:tab w:val="left" w:pos="1350"/>
          <w:tab w:val="left" w:pos="5310"/>
        </w:tabs>
        <w:spacing w:line="276" w:lineRule="auto"/>
        <w:ind w:left="91"/>
        <w:contextualSpacing/>
        <w:rPr>
          <w:b/>
        </w:rPr>
      </w:pPr>
      <w:r w:rsidRPr="00DA511A">
        <w:rPr>
          <w:b/>
        </w:rPr>
        <w:t>BETWEEN</w:t>
      </w:r>
    </w:p>
    <w:p w14:paraId="69AAB54F" w14:textId="77777777" w:rsidR="007C6E0A" w:rsidRDefault="007C6E0A" w:rsidP="007C6E0A">
      <w:pPr>
        <w:pStyle w:val="DefaultText"/>
        <w:tabs>
          <w:tab w:val="left" w:pos="1350"/>
          <w:tab w:val="left" w:pos="5310"/>
        </w:tabs>
        <w:spacing w:line="276" w:lineRule="auto"/>
        <w:ind w:left="91"/>
        <w:contextualSpacing/>
        <w:rPr>
          <w:b/>
        </w:rPr>
      </w:pPr>
    </w:p>
    <w:p w14:paraId="54FA8EE9" w14:textId="2979E88F" w:rsidR="007C6E0A" w:rsidRDefault="007C6E0A" w:rsidP="007C6E0A">
      <w:pPr>
        <w:pStyle w:val="DefaultText"/>
        <w:tabs>
          <w:tab w:val="left" w:pos="1350"/>
          <w:tab w:val="left" w:pos="5310"/>
        </w:tabs>
        <w:spacing w:line="276" w:lineRule="auto"/>
        <w:ind w:left="91"/>
        <w:contextualSpacing/>
        <w:jc w:val="center"/>
        <w:rPr>
          <w:b/>
          <w:bCs/>
        </w:rPr>
      </w:pPr>
      <w:r w:rsidRPr="00DA511A">
        <w:rPr>
          <w:b/>
          <w:bCs/>
        </w:rPr>
        <w:t>I. I. (NIGERIA)</w:t>
      </w:r>
    </w:p>
    <w:p w14:paraId="44DB8393" w14:textId="77777777" w:rsidR="001F7227" w:rsidRPr="00DA511A" w:rsidRDefault="001F7227" w:rsidP="007C6E0A">
      <w:pPr>
        <w:pStyle w:val="DefaultText"/>
        <w:tabs>
          <w:tab w:val="left" w:pos="1350"/>
          <w:tab w:val="left" w:pos="5310"/>
        </w:tabs>
        <w:spacing w:line="276" w:lineRule="auto"/>
        <w:ind w:left="91"/>
        <w:contextualSpacing/>
        <w:jc w:val="center"/>
      </w:pPr>
    </w:p>
    <w:p w14:paraId="2B495A1C" w14:textId="68BAC1C3" w:rsidR="007C6E0A" w:rsidRDefault="007C6E0A" w:rsidP="007C6E0A">
      <w:pPr>
        <w:pStyle w:val="NoSpacing"/>
        <w:spacing w:line="276" w:lineRule="auto"/>
        <w:contextualSpacing/>
        <w:jc w:val="right"/>
        <w:rPr>
          <w:b/>
          <w:bCs/>
          <w:sz w:val="24"/>
          <w:szCs w:val="24"/>
        </w:rPr>
      </w:pPr>
      <w:r w:rsidRPr="00DA511A">
        <w:rPr>
          <w:b/>
          <w:bCs/>
          <w:sz w:val="24"/>
          <w:szCs w:val="24"/>
        </w:rPr>
        <w:t>Applicant</w:t>
      </w:r>
      <w:r>
        <w:rPr>
          <w:b/>
          <w:bCs/>
          <w:sz w:val="24"/>
          <w:szCs w:val="24"/>
        </w:rPr>
        <w:t>/Respondent</w:t>
      </w:r>
    </w:p>
    <w:p w14:paraId="5FA83200" w14:textId="77777777" w:rsidR="00015B10" w:rsidRPr="00DA511A" w:rsidRDefault="00015B10" w:rsidP="00015B10">
      <w:pPr>
        <w:pStyle w:val="NoSpacing"/>
        <w:spacing w:line="276" w:lineRule="auto"/>
        <w:contextualSpacing/>
        <w:jc w:val="center"/>
        <w:rPr>
          <w:b/>
          <w:bCs/>
          <w:sz w:val="24"/>
          <w:szCs w:val="24"/>
        </w:rPr>
      </w:pPr>
    </w:p>
    <w:p w14:paraId="3812B95E" w14:textId="77777777" w:rsidR="007C6E0A" w:rsidRPr="00DA511A" w:rsidRDefault="007C6E0A" w:rsidP="007C6E0A">
      <w:pPr>
        <w:pStyle w:val="NoSpacing"/>
        <w:spacing w:line="276" w:lineRule="auto"/>
        <w:contextualSpacing/>
        <w:jc w:val="center"/>
        <w:rPr>
          <w:b/>
          <w:bCs/>
          <w:sz w:val="24"/>
          <w:szCs w:val="24"/>
          <w:lang w:val="en-GB"/>
        </w:rPr>
      </w:pPr>
      <w:r w:rsidRPr="00DA511A">
        <w:rPr>
          <w:b/>
          <w:bCs/>
          <w:sz w:val="24"/>
          <w:szCs w:val="24"/>
          <w:lang w:val="en-GB"/>
        </w:rPr>
        <w:t>AND</w:t>
      </w:r>
    </w:p>
    <w:p w14:paraId="415E12C8" w14:textId="77777777" w:rsidR="007C6E0A" w:rsidRPr="00DA511A" w:rsidRDefault="007C6E0A" w:rsidP="007C6E0A">
      <w:pPr>
        <w:pStyle w:val="NoSpacing"/>
        <w:spacing w:line="276" w:lineRule="auto"/>
        <w:contextualSpacing/>
        <w:rPr>
          <w:b/>
          <w:bCs/>
          <w:sz w:val="24"/>
          <w:szCs w:val="24"/>
        </w:rPr>
      </w:pPr>
    </w:p>
    <w:p w14:paraId="51034F02" w14:textId="77777777" w:rsidR="007C6E0A" w:rsidRPr="00DA511A" w:rsidRDefault="007C6E0A" w:rsidP="007C6E0A">
      <w:pPr>
        <w:pStyle w:val="NoSpacing"/>
        <w:spacing w:line="276" w:lineRule="auto"/>
        <w:contextualSpacing/>
        <w:jc w:val="center"/>
        <w:rPr>
          <w:b/>
          <w:bCs/>
          <w:sz w:val="24"/>
          <w:szCs w:val="24"/>
        </w:rPr>
      </w:pPr>
      <w:r w:rsidRPr="00DA511A">
        <w:rPr>
          <w:b/>
          <w:bCs/>
          <w:sz w:val="24"/>
          <w:szCs w:val="24"/>
        </w:rPr>
        <w:t>THE MINISTER FOR JUSTICE AND EQUALITY</w:t>
      </w:r>
    </w:p>
    <w:p w14:paraId="06FADD17" w14:textId="77777777" w:rsidR="007C6E0A" w:rsidRPr="00DA511A" w:rsidRDefault="007C6E0A" w:rsidP="007C6E0A">
      <w:pPr>
        <w:pStyle w:val="NoSpacing"/>
        <w:spacing w:line="276" w:lineRule="auto"/>
        <w:contextualSpacing/>
        <w:jc w:val="center"/>
        <w:rPr>
          <w:b/>
          <w:bCs/>
          <w:sz w:val="24"/>
          <w:szCs w:val="24"/>
        </w:rPr>
      </w:pPr>
      <w:r w:rsidRPr="00DA511A">
        <w:rPr>
          <w:b/>
          <w:bCs/>
          <w:sz w:val="24"/>
          <w:szCs w:val="24"/>
        </w:rPr>
        <w:t>THE ATTORNEY GENERAL AND</w:t>
      </w:r>
    </w:p>
    <w:p w14:paraId="61007B45" w14:textId="34537F23" w:rsidR="007C6E0A" w:rsidRDefault="007C6E0A" w:rsidP="007C6E0A">
      <w:pPr>
        <w:pStyle w:val="NoSpacing"/>
        <w:spacing w:line="276" w:lineRule="auto"/>
        <w:contextualSpacing/>
        <w:jc w:val="center"/>
        <w:rPr>
          <w:b/>
          <w:bCs/>
          <w:sz w:val="24"/>
          <w:szCs w:val="24"/>
        </w:rPr>
      </w:pPr>
      <w:r w:rsidRPr="00DA511A">
        <w:rPr>
          <w:b/>
          <w:bCs/>
          <w:sz w:val="24"/>
          <w:szCs w:val="24"/>
        </w:rPr>
        <w:t>IRELAND</w:t>
      </w:r>
    </w:p>
    <w:p w14:paraId="0241284D" w14:textId="77777777" w:rsidR="001F7227" w:rsidRPr="00DA511A" w:rsidRDefault="001F7227" w:rsidP="007C6E0A">
      <w:pPr>
        <w:pStyle w:val="NoSpacing"/>
        <w:spacing w:line="276" w:lineRule="auto"/>
        <w:contextualSpacing/>
        <w:jc w:val="center"/>
        <w:rPr>
          <w:b/>
          <w:bCs/>
          <w:sz w:val="24"/>
          <w:szCs w:val="24"/>
        </w:rPr>
      </w:pPr>
      <w:bookmarkStart w:id="0" w:name="_GoBack"/>
      <w:bookmarkEnd w:id="0"/>
    </w:p>
    <w:p w14:paraId="6A85DD95" w14:textId="6D2F9EC9" w:rsidR="007C6E0A" w:rsidRDefault="007C6E0A" w:rsidP="007C6E0A">
      <w:pPr>
        <w:pStyle w:val="NoSpacing"/>
        <w:spacing w:line="276" w:lineRule="auto"/>
        <w:contextualSpacing/>
        <w:jc w:val="right"/>
        <w:rPr>
          <w:b/>
          <w:bCs/>
          <w:sz w:val="24"/>
          <w:szCs w:val="24"/>
        </w:rPr>
      </w:pPr>
      <w:r w:rsidRPr="00DA511A">
        <w:rPr>
          <w:b/>
          <w:bCs/>
          <w:sz w:val="24"/>
          <w:szCs w:val="24"/>
        </w:rPr>
        <w:t>Respondents</w:t>
      </w:r>
    </w:p>
    <w:p w14:paraId="56EB7363" w14:textId="77777777" w:rsidR="00015B10" w:rsidRPr="00DA511A" w:rsidRDefault="00015B10" w:rsidP="00015B10">
      <w:pPr>
        <w:pStyle w:val="NoSpacing"/>
        <w:spacing w:line="276" w:lineRule="auto"/>
        <w:contextualSpacing/>
        <w:jc w:val="center"/>
        <w:rPr>
          <w:b/>
          <w:bCs/>
          <w:sz w:val="24"/>
          <w:szCs w:val="24"/>
        </w:rPr>
      </w:pPr>
    </w:p>
    <w:p w14:paraId="2C927CF7" w14:textId="77777777" w:rsidR="007C6E0A" w:rsidRPr="00DA511A" w:rsidRDefault="007C6E0A" w:rsidP="007C6E0A">
      <w:pPr>
        <w:pStyle w:val="NoSpacing"/>
        <w:spacing w:line="276" w:lineRule="auto"/>
        <w:contextualSpacing/>
        <w:jc w:val="center"/>
        <w:rPr>
          <w:b/>
          <w:bCs/>
          <w:sz w:val="24"/>
          <w:szCs w:val="24"/>
          <w:lang w:val="en-IE"/>
        </w:rPr>
      </w:pPr>
      <w:r w:rsidRPr="00DA511A">
        <w:rPr>
          <w:b/>
          <w:bCs/>
          <w:sz w:val="24"/>
          <w:szCs w:val="24"/>
          <w:lang w:val="en-IE"/>
        </w:rPr>
        <w:t>AND</w:t>
      </w:r>
    </w:p>
    <w:p w14:paraId="0AD0CF6C" w14:textId="77777777" w:rsidR="007C6E0A" w:rsidRPr="00DA511A" w:rsidRDefault="007C6E0A" w:rsidP="007C6E0A">
      <w:pPr>
        <w:pStyle w:val="NoSpacing"/>
        <w:spacing w:line="276" w:lineRule="auto"/>
        <w:contextualSpacing/>
        <w:rPr>
          <w:b/>
          <w:bCs/>
          <w:sz w:val="24"/>
          <w:szCs w:val="24"/>
          <w:lang w:val="en-IE"/>
        </w:rPr>
      </w:pPr>
    </w:p>
    <w:p w14:paraId="07B224D9" w14:textId="77777777" w:rsidR="007C6E0A" w:rsidRPr="00DA511A" w:rsidRDefault="007C6E0A" w:rsidP="007C6E0A">
      <w:pPr>
        <w:pStyle w:val="NoSpacing"/>
        <w:spacing w:line="276" w:lineRule="auto"/>
        <w:contextualSpacing/>
        <w:jc w:val="center"/>
        <w:rPr>
          <w:b/>
          <w:bCs/>
          <w:sz w:val="24"/>
          <w:szCs w:val="24"/>
          <w:lang w:val="en-IE"/>
        </w:rPr>
      </w:pPr>
      <w:r w:rsidRPr="00DA511A">
        <w:rPr>
          <w:b/>
          <w:bCs/>
          <w:sz w:val="24"/>
          <w:szCs w:val="24"/>
          <w:lang w:val="en-IE"/>
        </w:rPr>
        <w:t>THE IRISH HUMAN RIGHTS AND EQUALITY COMMISSION</w:t>
      </w:r>
    </w:p>
    <w:p w14:paraId="583C5EAA" w14:textId="77777777" w:rsidR="007C6E0A" w:rsidRPr="00DA511A" w:rsidRDefault="007C6E0A" w:rsidP="007C6E0A">
      <w:pPr>
        <w:pStyle w:val="NoSpacing"/>
        <w:spacing w:line="276" w:lineRule="auto"/>
        <w:contextualSpacing/>
        <w:jc w:val="right"/>
        <w:rPr>
          <w:b/>
          <w:bCs/>
          <w:sz w:val="24"/>
          <w:szCs w:val="24"/>
          <w:lang w:val="en-IE"/>
        </w:rPr>
      </w:pPr>
    </w:p>
    <w:p w14:paraId="1F0884B0" w14:textId="77777777" w:rsidR="007C6E0A" w:rsidRPr="00DA511A" w:rsidRDefault="007C6E0A" w:rsidP="007C6E0A">
      <w:pPr>
        <w:pStyle w:val="NoSpacing"/>
        <w:spacing w:line="276" w:lineRule="auto"/>
        <w:contextualSpacing/>
        <w:jc w:val="right"/>
        <w:rPr>
          <w:b/>
          <w:bCs/>
          <w:sz w:val="24"/>
          <w:szCs w:val="24"/>
          <w:lang w:val="en-IE"/>
        </w:rPr>
      </w:pPr>
      <w:r w:rsidRPr="00DA511A">
        <w:rPr>
          <w:b/>
          <w:bCs/>
          <w:sz w:val="24"/>
          <w:szCs w:val="24"/>
          <w:lang w:val="en-IE"/>
        </w:rPr>
        <w:t>Notice Party</w:t>
      </w:r>
    </w:p>
    <w:p w14:paraId="24D7211E" w14:textId="77777777" w:rsidR="007C6E0A" w:rsidRPr="00666D9B" w:rsidRDefault="007C6E0A" w:rsidP="007C6E0A">
      <w:pPr>
        <w:spacing w:after="0" w:line="276" w:lineRule="auto"/>
        <w:contextualSpacing/>
        <w:rPr>
          <w:rFonts w:ascii="Times New Roman" w:eastAsia="Times New Roman" w:hAnsi="Times New Roman" w:cs="Times New Roman"/>
          <w:b/>
          <w:sz w:val="24"/>
          <w:szCs w:val="24"/>
          <w:u w:val="single"/>
          <w:lang w:val="en-IE" w:eastAsia="en-IE"/>
        </w:rPr>
      </w:pPr>
    </w:p>
    <w:p w14:paraId="6C1E32D2" w14:textId="77777777" w:rsidR="007C6E0A" w:rsidRPr="00DA511A" w:rsidRDefault="007C6E0A" w:rsidP="007C6E0A">
      <w:pPr>
        <w:spacing w:after="0" w:line="276" w:lineRule="auto"/>
        <w:contextualSpacing/>
        <w:rPr>
          <w:rFonts w:ascii="Times New Roman" w:eastAsia="Times New Roman" w:hAnsi="Times New Roman" w:cs="Times New Roman"/>
          <w:b/>
          <w:sz w:val="24"/>
          <w:szCs w:val="24"/>
          <w:u w:val="single"/>
          <w:lang w:val="en-IE" w:eastAsia="en-IE"/>
        </w:rPr>
      </w:pPr>
    </w:p>
    <w:p w14:paraId="0BC8A639" w14:textId="14FD13BD" w:rsidR="007C6E0A" w:rsidRDefault="007C6E0A" w:rsidP="00015B10">
      <w:pPr>
        <w:spacing w:line="480" w:lineRule="auto"/>
        <w:jc w:val="both"/>
        <w:rPr>
          <w:rFonts w:ascii="Times New Roman" w:hAnsi="Times New Roman" w:cs="Times New Roman"/>
          <w:b/>
          <w:u w:val="single"/>
        </w:rPr>
      </w:pPr>
      <w:r w:rsidRPr="007C6E0A">
        <w:rPr>
          <w:rFonts w:ascii="Times New Roman" w:hAnsi="Times New Roman" w:cs="Times New Roman"/>
          <w:b/>
          <w:u w:val="single"/>
        </w:rPr>
        <w:t xml:space="preserve">RULING </w:t>
      </w:r>
      <w:r w:rsidR="0011279B">
        <w:rPr>
          <w:rFonts w:ascii="Times New Roman" w:hAnsi="Times New Roman" w:cs="Times New Roman"/>
          <w:b/>
          <w:u w:val="single"/>
        </w:rPr>
        <w:t xml:space="preserve">OF THE COURT </w:t>
      </w:r>
      <w:r w:rsidRPr="007C6E0A">
        <w:rPr>
          <w:rFonts w:ascii="Times New Roman" w:hAnsi="Times New Roman" w:cs="Times New Roman"/>
          <w:b/>
          <w:u w:val="single"/>
        </w:rPr>
        <w:t>ON COSTS</w:t>
      </w:r>
      <w:r w:rsidR="0011279B">
        <w:rPr>
          <w:rFonts w:ascii="Times New Roman" w:hAnsi="Times New Roman" w:cs="Times New Roman"/>
          <w:b/>
          <w:u w:val="single"/>
        </w:rPr>
        <w:t xml:space="preserve"> DATED THE 15</w:t>
      </w:r>
      <w:r w:rsidR="0011279B" w:rsidRPr="0011279B">
        <w:rPr>
          <w:rFonts w:ascii="Times New Roman" w:hAnsi="Times New Roman" w:cs="Times New Roman"/>
          <w:b/>
          <w:u w:val="single"/>
          <w:vertAlign w:val="superscript"/>
        </w:rPr>
        <w:t>th</w:t>
      </w:r>
      <w:r w:rsidR="0011279B">
        <w:rPr>
          <w:rFonts w:ascii="Times New Roman" w:hAnsi="Times New Roman" w:cs="Times New Roman"/>
          <w:b/>
          <w:u w:val="single"/>
        </w:rPr>
        <w:t xml:space="preserve"> MARCH, 2021</w:t>
      </w:r>
    </w:p>
    <w:p w14:paraId="2B9D91CE" w14:textId="6F39DF89" w:rsidR="007C6E0A" w:rsidRDefault="007C6E0A" w:rsidP="00015B10">
      <w:pPr>
        <w:spacing w:line="480" w:lineRule="auto"/>
        <w:jc w:val="both"/>
        <w:rPr>
          <w:rFonts w:ascii="Times New Roman" w:hAnsi="Times New Roman" w:cs="Times New Roman"/>
        </w:rPr>
      </w:pPr>
      <w:r>
        <w:rPr>
          <w:rFonts w:ascii="Times New Roman" w:hAnsi="Times New Roman" w:cs="Times New Roman"/>
        </w:rPr>
        <w:t>The Applicants/Respondents in the first two cases referred to in the title of these proceedings, namely, Mr. A and Mr. S.</w:t>
      </w:r>
      <w:r w:rsidR="00015B10">
        <w:rPr>
          <w:rFonts w:ascii="Times New Roman" w:hAnsi="Times New Roman" w:cs="Times New Roman"/>
        </w:rPr>
        <w:t xml:space="preserve"> </w:t>
      </w:r>
      <w:r>
        <w:rPr>
          <w:rFonts w:ascii="Times New Roman" w:hAnsi="Times New Roman" w:cs="Times New Roman"/>
        </w:rPr>
        <w:t xml:space="preserve">and S. (hereinafter referred to as the Applicants) were amongst a number of parties </w:t>
      </w:r>
      <w:r>
        <w:rPr>
          <w:rFonts w:ascii="Times New Roman" w:hAnsi="Times New Roman" w:cs="Times New Roman"/>
        </w:rPr>
        <w:lastRenderedPageBreak/>
        <w:t xml:space="preserve">who sought to challenge the provisions of </w:t>
      </w:r>
      <w:r w:rsidR="004673C7">
        <w:rPr>
          <w:rFonts w:ascii="Times New Roman" w:hAnsi="Times New Roman" w:cs="Times New Roman"/>
        </w:rPr>
        <w:t>s</w:t>
      </w:r>
      <w:r>
        <w:rPr>
          <w:rFonts w:ascii="Times New Roman" w:hAnsi="Times New Roman" w:cs="Times New Roman"/>
        </w:rPr>
        <w:t xml:space="preserve">ection 56(9)(a) of the International Protection Act, 2015 </w:t>
      </w:r>
      <w:r w:rsidR="002B74ED">
        <w:rPr>
          <w:rFonts w:ascii="Times New Roman" w:hAnsi="Times New Roman" w:cs="Times New Roman"/>
        </w:rPr>
        <w:t xml:space="preserve">(hereinafter referred to as the Act) </w:t>
      </w:r>
      <w:r>
        <w:rPr>
          <w:rFonts w:ascii="Times New Roman" w:hAnsi="Times New Roman" w:cs="Times New Roman"/>
        </w:rPr>
        <w:t>on the basis that it was repugnant to the Constitution or incompatible with the European Convention on Human Rights</w:t>
      </w:r>
      <w:r w:rsidR="002B74ED">
        <w:rPr>
          <w:rFonts w:ascii="Times New Roman" w:hAnsi="Times New Roman" w:cs="Times New Roman"/>
        </w:rPr>
        <w:t xml:space="preserve">. The Applicants succeeded in their challenge to the provisions of the Act in the High Court notwithstanding that the same issue had been determined in an earlier judgment of the High Court in the case of </w:t>
      </w:r>
      <w:r w:rsidR="002B74ED">
        <w:rPr>
          <w:rFonts w:ascii="Times New Roman" w:hAnsi="Times New Roman" w:cs="Times New Roman"/>
          <w:i/>
        </w:rPr>
        <w:t>RC (Afghanistan) v</w:t>
      </w:r>
      <w:r w:rsidR="00433558">
        <w:rPr>
          <w:rFonts w:ascii="Times New Roman" w:hAnsi="Times New Roman" w:cs="Times New Roman"/>
          <w:i/>
        </w:rPr>
        <w:t>.</w:t>
      </w:r>
      <w:r w:rsidR="002B74ED">
        <w:rPr>
          <w:rFonts w:ascii="Times New Roman" w:hAnsi="Times New Roman" w:cs="Times New Roman"/>
          <w:i/>
        </w:rPr>
        <w:t xml:space="preserve"> Minister for Justice</w:t>
      </w:r>
      <w:r w:rsidR="002B74ED">
        <w:rPr>
          <w:rFonts w:ascii="Times New Roman" w:hAnsi="Times New Roman" w:cs="Times New Roman"/>
        </w:rPr>
        <w:t xml:space="preserve"> </w:t>
      </w:r>
      <w:r w:rsidR="00015B10">
        <w:rPr>
          <w:rFonts w:ascii="Times New Roman" w:hAnsi="Times New Roman" w:cs="Times New Roman"/>
        </w:rPr>
        <w:t>[</w:t>
      </w:r>
      <w:r w:rsidR="002B74ED">
        <w:rPr>
          <w:rFonts w:ascii="Times New Roman" w:hAnsi="Times New Roman" w:cs="Times New Roman"/>
        </w:rPr>
        <w:t>2019</w:t>
      </w:r>
      <w:r w:rsidR="00015B10">
        <w:rPr>
          <w:rFonts w:ascii="Times New Roman" w:hAnsi="Times New Roman" w:cs="Times New Roman"/>
        </w:rPr>
        <w:t>]</w:t>
      </w:r>
      <w:r w:rsidR="002B74ED">
        <w:rPr>
          <w:rFonts w:ascii="Times New Roman" w:hAnsi="Times New Roman" w:cs="Times New Roman"/>
        </w:rPr>
        <w:t xml:space="preserve"> IEHC 65, in which the learned High Court judge (Humphreys J.) had found the relevant provision of the Act to be constitutional and not incompatible with the European Convention on Human Rights. The Respondents/Appellants were granted leave to appeal to this Court and in a judgment of the 8</w:t>
      </w:r>
      <w:r w:rsidR="002B74ED" w:rsidRPr="002B74ED">
        <w:rPr>
          <w:rFonts w:ascii="Times New Roman" w:hAnsi="Times New Roman" w:cs="Times New Roman"/>
          <w:vertAlign w:val="superscript"/>
        </w:rPr>
        <w:t>th</w:t>
      </w:r>
      <w:r w:rsidR="002B74ED">
        <w:rPr>
          <w:rFonts w:ascii="Times New Roman" w:hAnsi="Times New Roman" w:cs="Times New Roman"/>
        </w:rPr>
        <w:t xml:space="preserve"> December 2020, (</w:t>
      </w:r>
      <w:r w:rsidR="00015B10">
        <w:rPr>
          <w:rFonts w:ascii="Times New Roman" w:hAnsi="Times New Roman" w:cs="Times New Roman"/>
        </w:rPr>
        <w:t>[</w:t>
      </w:r>
      <w:r w:rsidR="002B74ED">
        <w:rPr>
          <w:rFonts w:ascii="Times New Roman" w:hAnsi="Times New Roman" w:cs="Times New Roman"/>
        </w:rPr>
        <w:t>2020</w:t>
      </w:r>
      <w:r w:rsidR="00015B10">
        <w:rPr>
          <w:rFonts w:ascii="Times New Roman" w:hAnsi="Times New Roman" w:cs="Times New Roman"/>
        </w:rPr>
        <w:t>]</w:t>
      </w:r>
      <w:r w:rsidR="002B74ED">
        <w:rPr>
          <w:rFonts w:ascii="Times New Roman" w:hAnsi="Times New Roman" w:cs="Times New Roman"/>
        </w:rPr>
        <w:t xml:space="preserve"> IESC 70), this Court found that the provisions of the Act were not unconstitutional and were not incompatible with the European Convention on Human Rights.</w:t>
      </w:r>
      <w:r w:rsidR="00DE0A3B">
        <w:rPr>
          <w:rFonts w:ascii="Times New Roman" w:hAnsi="Times New Roman" w:cs="Times New Roman"/>
        </w:rPr>
        <w:t xml:space="preserve"> Thus, the Appellants were successful in their appeal.</w:t>
      </w:r>
    </w:p>
    <w:p w14:paraId="56EF4F0C" w14:textId="77777777" w:rsidR="00DE0A3B" w:rsidRDefault="00DE0A3B" w:rsidP="00015B10">
      <w:pPr>
        <w:spacing w:line="480" w:lineRule="auto"/>
        <w:jc w:val="both"/>
        <w:rPr>
          <w:rFonts w:ascii="Times New Roman" w:hAnsi="Times New Roman" w:cs="Times New Roman"/>
        </w:rPr>
      </w:pPr>
      <w:r>
        <w:rPr>
          <w:rFonts w:ascii="Times New Roman" w:hAnsi="Times New Roman" w:cs="Times New Roman"/>
        </w:rPr>
        <w:t>Despite the fact that the Applicants have ultimately been unsuccessful in these proceedings, the Applicants have sought the costs of the appeal against the Appellants. Not surprisingly, the Appellants have also sought the costs of the appeal and of the proceedings before the High Court. Both parties have furnished the Court with written submissions in relation to the issue of costs.</w:t>
      </w:r>
    </w:p>
    <w:p w14:paraId="35B85694" w14:textId="65F840A1" w:rsidR="00DE0A3B" w:rsidRDefault="00DE0A3B" w:rsidP="00015B10">
      <w:pPr>
        <w:spacing w:line="480" w:lineRule="auto"/>
        <w:jc w:val="both"/>
        <w:rPr>
          <w:rFonts w:ascii="Times New Roman" w:hAnsi="Times New Roman" w:cs="Times New Roman"/>
        </w:rPr>
      </w:pPr>
      <w:r>
        <w:rPr>
          <w:rFonts w:ascii="Times New Roman" w:hAnsi="Times New Roman" w:cs="Times New Roman"/>
        </w:rPr>
        <w:t>In their submissions, the Applicants made a number of points. They stated that the position in law concerning the treatment of pre-application and post-application marriages under the Act</w:t>
      </w:r>
      <w:r w:rsidR="009A291D">
        <w:rPr>
          <w:rFonts w:ascii="Times New Roman" w:hAnsi="Times New Roman" w:cs="Times New Roman"/>
        </w:rPr>
        <w:t xml:space="preserve"> and in particular, s. 56(9)(a) of the Act has been clarified. They noted that following the judgment of the High Court in these</w:t>
      </w:r>
      <w:r w:rsidR="001009AE">
        <w:rPr>
          <w:rFonts w:ascii="Times New Roman" w:hAnsi="Times New Roman" w:cs="Times New Roman"/>
        </w:rPr>
        <w:t xml:space="preserve"> </w:t>
      </w:r>
      <w:r w:rsidR="009A291D">
        <w:rPr>
          <w:rFonts w:ascii="Times New Roman" w:hAnsi="Times New Roman" w:cs="Times New Roman"/>
        </w:rPr>
        <w:t xml:space="preserve">proceedings, there were two conflicting High Court judgments regarding the constitutionality of the section, this decision and that in the case of </w:t>
      </w:r>
      <w:r w:rsidR="009A291D">
        <w:rPr>
          <w:rFonts w:ascii="Times New Roman" w:hAnsi="Times New Roman" w:cs="Times New Roman"/>
          <w:i/>
        </w:rPr>
        <w:t xml:space="preserve">RC, </w:t>
      </w:r>
      <w:r w:rsidR="009A291D">
        <w:rPr>
          <w:rFonts w:ascii="Times New Roman" w:hAnsi="Times New Roman" w:cs="Times New Roman"/>
        </w:rPr>
        <w:t xml:space="preserve">referred to above. They also pointed out that the Appellants in the </w:t>
      </w:r>
      <w:r w:rsidR="001240A2">
        <w:rPr>
          <w:rFonts w:ascii="Times New Roman" w:hAnsi="Times New Roman" w:cs="Times New Roman"/>
        </w:rPr>
        <w:t>a</w:t>
      </w:r>
      <w:r w:rsidR="009A291D">
        <w:rPr>
          <w:rFonts w:ascii="Times New Roman" w:hAnsi="Times New Roman" w:cs="Times New Roman"/>
        </w:rPr>
        <w:t xml:space="preserve">pplication for leave accepted that the appeals raised points of serious public importance which justified a leapfrog appeal. It was also contended that these were test cases and that there were a number of similar cases in the High Court which were awaiting the outcome of these appeals. They added that the effect of the judgments of the High Court in this case and in </w:t>
      </w:r>
      <w:r w:rsidR="009A291D">
        <w:rPr>
          <w:rFonts w:ascii="Times New Roman" w:hAnsi="Times New Roman" w:cs="Times New Roman"/>
          <w:i/>
        </w:rPr>
        <w:t>RC</w:t>
      </w:r>
      <w:r w:rsidR="009A291D">
        <w:rPr>
          <w:rFonts w:ascii="Times New Roman" w:hAnsi="Times New Roman" w:cs="Times New Roman"/>
        </w:rPr>
        <w:t xml:space="preserve"> together with this judgment have clarified the law in this area. Finally, they pointed out that not all of the arguments put forward by the </w:t>
      </w:r>
      <w:r w:rsidR="00271FAD">
        <w:rPr>
          <w:rFonts w:ascii="Times New Roman" w:hAnsi="Times New Roman" w:cs="Times New Roman"/>
        </w:rPr>
        <w:t>Appellants as to the justification for a difference in treatment as between pre-application marriages and post-application marriages were successful.</w:t>
      </w:r>
    </w:p>
    <w:p w14:paraId="7BDE2FB9" w14:textId="4FD479F4" w:rsidR="00271FAD" w:rsidRDefault="00271FAD" w:rsidP="00015B10">
      <w:pPr>
        <w:spacing w:line="480" w:lineRule="auto"/>
        <w:jc w:val="both"/>
        <w:rPr>
          <w:rFonts w:ascii="Times New Roman" w:hAnsi="Times New Roman" w:cs="Times New Roman"/>
        </w:rPr>
      </w:pPr>
      <w:r>
        <w:rPr>
          <w:rFonts w:ascii="Times New Roman" w:hAnsi="Times New Roman" w:cs="Times New Roman"/>
        </w:rPr>
        <w:lastRenderedPageBreak/>
        <w:t>They included in their submissions a summary of the legal principles on the award of costs. Thus</w:t>
      </w:r>
      <w:r w:rsidR="001240A2">
        <w:rPr>
          <w:rFonts w:ascii="Times New Roman" w:hAnsi="Times New Roman" w:cs="Times New Roman"/>
        </w:rPr>
        <w:t>,</w:t>
      </w:r>
      <w:r>
        <w:rPr>
          <w:rFonts w:ascii="Times New Roman" w:hAnsi="Times New Roman" w:cs="Times New Roman"/>
        </w:rPr>
        <w:t xml:space="preserve"> they sought an order for their costs or </w:t>
      </w:r>
      <w:r w:rsidR="00E11894">
        <w:rPr>
          <w:rFonts w:ascii="Times New Roman" w:hAnsi="Times New Roman" w:cs="Times New Roman"/>
        </w:rPr>
        <w:t>a</w:t>
      </w:r>
      <w:r w:rsidR="00DB0443">
        <w:rPr>
          <w:rFonts w:ascii="Times New Roman" w:hAnsi="Times New Roman" w:cs="Times New Roman"/>
        </w:rPr>
        <w:t xml:space="preserve"> </w:t>
      </w:r>
      <w:r w:rsidR="00E11894">
        <w:rPr>
          <w:rFonts w:ascii="Times New Roman" w:hAnsi="Times New Roman" w:cs="Times New Roman"/>
        </w:rPr>
        <w:t xml:space="preserve">portion </w:t>
      </w:r>
      <w:r>
        <w:rPr>
          <w:rFonts w:ascii="Times New Roman" w:hAnsi="Times New Roman" w:cs="Times New Roman"/>
        </w:rPr>
        <w:t xml:space="preserve">thereof. </w:t>
      </w:r>
    </w:p>
    <w:p w14:paraId="15D9C2BF" w14:textId="6111CB81" w:rsidR="00271FAD" w:rsidRDefault="00271FAD" w:rsidP="00015B10">
      <w:pPr>
        <w:spacing w:line="480" w:lineRule="auto"/>
        <w:jc w:val="both"/>
        <w:rPr>
          <w:rFonts w:ascii="Times New Roman" w:hAnsi="Times New Roman" w:cs="Times New Roman"/>
        </w:rPr>
      </w:pPr>
      <w:r>
        <w:rPr>
          <w:rFonts w:ascii="Times New Roman" w:hAnsi="Times New Roman" w:cs="Times New Roman"/>
        </w:rPr>
        <w:t xml:space="preserve">The Appellants in their submissions took issue with the points raised by the Applicants. They pointed out that following the decision in </w:t>
      </w:r>
      <w:r>
        <w:rPr>
          <w:rFonts w:ascii="Times New Roman" w:hAnsi="Times New Roman" w:cs="Times New Roman"/>
          <w:i/>
        </w:rPr>
        <w:t xml:space="preserve">RC, </w:t>
      </w:r>
      <w:r>
        <w:rPr>
          <w:rFonts w:ascii="Times New Roman" w:hAnsi="Times New Roman" w:cs="Times New Roman"/>
        </w:rPr>
        <w:t xml:space="preserve">some of those who had brought cases making similar arguments withdrew their cases but it is accepted that some additional cases sought to raise the issue. </w:t>
      </w:r>
      <w:r w:rsidR="00355BC3">
        <w:rPr>
          <w:rFonts w:ascii="Times New Roman" w:hAnsi="Times New Roman" w:cs="Times New Roman"/>
        </w:rPr>
        <w:t xml:space="preserve">It was not accepted that these were test cases. </w:t>
      </w:r>
      <w:r>
        <w:rPr>
          <w:rFonts w:ascii="Times New Roman" w:hAnsi="Times New Roman" w:cs="Times New Roman"/>
        </w:rPr>
        <w:t>It was stated that when the Applicants</w:t>
      </w:r>
      <w:r w:rsidR="00E11894">
        <w:rPr>
          <w:rFonts w:ascii="Times New Roman" w:hAnsi="Times New Roman" w:cs="Times New Roman"/>
        </w:rPr>
        <w:t>’</w:t>
      </w:r>
      <w:r>
        <w:rPr>
          <w:rFonts w:ascii="Times New Roman" w:hAnsi="Times New Roman" w:cs="Times New Roman"/>
        </w:rPr>
        <w:t xml:space="preserve"> cases came before the High Court</w:t>
      </w:r>
      <w:r w:rsidR="00355BC3">
        <w:rPr>
          <w:rFonts w:ascii="Times New Roman" w:hAnsi="Times New Roman" w:cs="Times New Roman"/>
        </w:rPr>
        <w:t xml:space="preserve">, the matter had been determined in </w:t>
      </w:r>
      <w:r w:rsidR="00355BC3">
        <w:rPr>
          <w:rFonts w:ascii="Times New Roman" w:hAnsi="Times New Roman" w:cs="Times New Roman"/>
          <w:i/>
        </w:rPr>
        <w:t>RC</w:t>
      </w:r>
      <w:r w:rsidR="00355BC3">
        <w:rPr>
          <w:rFonts w:ascii="Times New Roman" w:hAnsi="Times New Roman" w:cs="Times New Roman"/>
        </w:rPr>
        <w:t xml:space="preserve"> and they urged that that case should not be followed. Thus, the point was not a novel one but had already been </w:t>
      </w:r>
      <w:r w:rsidR="00015B10">
        <w:rPr>
          <w:rFonts w:ascii="Times New Roman" w:hAnsi="Times New Roman" w:cs="Times New Roman"/>
        </w:rPr>
        <w:t>decided. This</w:t>
      </w:r>
      <w:r w:rsidR="00355BC3">
        <w:rPr>
          <w:rFonts w:ascii="Times New Roman" w:hAnsi="Times New Roman" w:cs="Times New Roman"/>
        </w:rPr>
        <w:t xml:space="preserve"> led to the necessity for this Court to consider the jurisprudence in cases such as </w:t>
      </w:r>
      <w:r w:rsidR="00355BC3">
        <w:rPr>
          <w:rFonts w:ascii="Times New Roman" w:hAnsi="Times New Roman" w:cs="Times New Roman"/>
          <w:i/>
        </w:rPr>
        <w:t>Worldport</w:t>
      </w:r>
      <w:r w:rsidR="00355BC3">
        <w:rPr>
          <w:rFonts w:ascii="Times New Roman" w:hAnsi="Times New Roman" w:cs="Times New Roman"/>
        </w:rPr>
        <w:t xml:space="preserve"> as to when a judge of the High Court may depart from a decision of a colleague. They went on to make a number of submissions as to principles to be applied in considering the question of costs and referred in particular to Order 99 of the R</w:t>
      </w:r>
      <w:r w:rsidR="00776A7B">
        <w:rPr>
          <w:rFonts w:ascii="Times New Roman" w:hAnsi="Times New Roman" w:cs="Times New Roman"/>
        </w:rPr>
        <w:t xml:space="preserve">ules of the </w:t>
      </w:r>
      <w:r w:rsidR="00355BC3">
        <w:rPr>
          <w:rFonts w:ascii="Times New Roman" w:hAnsi="Times New Roman" w:cs="Times New Roman"/>
        </w:rPr>
        <w:t>S</w:t>
      </w:r>
      <w:r w:rsidR="00776A7B">
        <w:rPr>
          <w:rFonts w:ascii="Times New Roman" w:hAnsi="Times New Roman" w:cs="Times New Roman"/>
        </w:rPr>
        <w:t xml:space="preserve">uperior </w:t>
      </w:r>
      <w:r w:rsidR="00355BC3">
        <w:rPr>
          <w:rFonts w:ascii="Times New Roman" w:hAnsi="Times New Roman" w:cs="Times New Roman"/>
        </w:rPr>
        <w:t>C</w:t>
      </w:r>
      <w:r w:rsidR="00776A7B">
        <w:rPr>
          <w:rFonts w:ascii="Times New Roman" w:hAnsi="Times New Roman" w:cs="Times New Roman"/>
        </w:rPr>
        <w:t>ourts</w:t>
      </w:r>
      <w:r w:rsidR="00355BC3">
        <w:rPr>
          <w:rFonts w:ascii="Times New Roman" w:hAnsi="Times New Roman" w:cs="Times New Roman"/>
        </w:rPr>
        <w:t xml:space="preserve"> and </w:t>
      </w:r>
      <w:r w:rsidR="004673C7">
        <w:rPr>
          <w:rFonts w:ascii="Times New Roman" w:hAnsi="Times New Roman" w:cs="Times New Roman"/>
        </w:rPr>
        <w:t>s</w:t>
      </w:r>
      <w:r w:rsidR="00355BC3">
        <w:rPr>
          <w:rFonts w:ascii="Times New Roman" w:hAnsi="Times New Roman" w:cs="Times New Roman"/>
        </w:rPr>
        <w:t>ection 169 of the Legal Services Regulation Act</w:t>
      </w:r>
      <w:r w:rsidR="00776A7B">
        <w:rPr>
          <w:rFonts w:ascii="Times New Roman" w:hAnsi="Times New Roman" w:cs="Times New Roman"/>
        </w:rPr>
        <w:t>,</w:t>
      </w:r>
      <w:r w:rsidR="00355BC3">
        <w:rPr>
          <w:rFonts w:ascii="Times New Roman" w:hAnsi="Times New Roman" w:cs="Times New Roman"/>
        </w:rPr>
        <w:t xml:space="preserve"> 2015.</w:t>
      </w:r>
      <w:r w:rsidR="002204EA">
        <w:rPr>
          <w:rFonts w:ascii="Times New Roman" w:hAnsi="Times New Roman" w:cs="Times New Roman"/>
        </w:rPr>
        <w:t xml:space="preserve"> They sought an order for their costs. However, they added that if the Court saw fit to depart from the normal rule as to costs, that the appropriate order to make would be no order as to costs as opposed to awarding costs to the applicants.</w:t>
      </w:r>
    </w:p>
    <w:p w14:paraId="5E10DAA6" w14:textId="4FCA95CD" w:rsidR="00355BC3" w:rsidRPr="00815C78" w:rsidRDefault="002A14C0" w:rsidP="00015B10">
      <w:pPr>
        <w:spacing w:line="480" w:lineRule="auto"/>
        <w:jc w:val="both"/>
        <w:rPr>
          <w:rFonts w:ascii="Times New Roman" w:hAnsi="Times New Roman" w:cs="Times New Roman"/>
          <w:b/>
          <w:u w:val="single"/>
        </w:rPr>
      </w:pPr>
      <w:r>
        <w:rPr>
          <w:rFonts w:ascii="Times New Roman" w:hAnsi="Times New Roman" w:cs="Times New Roman"/>
          <w:b/>
          <w:u w:val="single"/>
        </w:rPr>
        <w:t>Decision a</w:t>
      </w:r>
      <w:r w:rsidR="002204EA">
        <w:rPr>
          <w:rFonts w:ascii="Times New Roman" w:hAnsi="Times New Roman" w:cs="Times New Roman"/>
          <w:b/>
          <w:u w:val="single"/>
        </w:rPr>
        <w:t xml:space="preserve">nd </w:t>
      </w:r>
      <w:r w:rsidR="00815C78" w:rsidRPr="00815C78">
        <w:rPr>
          <w:rFonts w:ascii="Times New Roman" w:hAnsi="Times New Roman" w:cs="Times New Roman"/>
          <w:b/>
          <w:u w:val="single"/>
        </w:rPr>
        <w:t>Conclusion</w:t>
      </w:r>
    </w:p>
    <w:p w14:paraId="47A0F429" w14:textId="60C629C2" w:rsidR="0009029B" w:rsidRDefault="00815C78" w:rsidP="00015B10">
      <w:pPr>
        <w:spacing w:line="480" w:lineRule="auto"/>
        <w:jc w:val="both"/>
        <w:rPr>
          <w:rFonts w:ascii="Times New Roman" w:hAnsi="Times New Roman" w:cs="Times New Roman"/>
        </w:rPr>
      </w:pPr>
      <w:r>
        <w:rPr>
          <w:rFonts w:ascii="Times New Roman" w:hAnsi="Times New Roman" w:cs="Times New Roman"/>
        </w:rPr>
        <w:t xml:space="preserve">The normal rule is that a successful party is entitled to their costs. In this case, the Appellants have been successful and therefore it would appear that they should be entitled to their costs in this Court </w:t>
      </w:r>
      <w:r w:rsidR="00DB0443">
        <w:rPr>
          <w:rFonts w:ascii="Times New Roman" w:hAnsi="Times New Roman" w:cs="Times New Roman"/>
        </w:rPr>
        <w:t>together with</w:t>
      </w:r>
      <w:r>
        <w:rPr>
          <w:rFonts w:ascii="Times New Roman" w:hAnsi="Times New Roman" w:cs="Times New Roman"/>
        </w:rPr>
        <w:t xml:space="preserve"> an order for the costs of the proceedings in the High Court. This was </w:t>
      </w:r>
      <w:r w:rsidR="0009029B">
        <w:rPr>
          <w:rFonts w:ascii="Times New Roman" w:hAnsi="Times New Roman" w:cs="Times New Roman"/>
        </w:rPr>
        <w:t xml:space="preserve">not a test case as the question at issue had been decided in a similar case, </w:t>
      </w:r>
      <w:r w:rsidR="0009029B">
        <w:rPr>
          <w:rFonts w:ascii="Times New Roman" w:hAnsi="Times New Roman" w:cs="Times New Roman"/>
          <w:i/>
        </w:rPr>
        <w:t>RC,</w:t>
      </w:r>
      <w:r w:rsidR="0009029B">
        <w:rPr>
          <w:rFonts w:ascii="Times New Roman" w:hAnsi="Times New Roman" w:cs="Times New Roman"/>
        </w:rPr>
        <w:t xml:space="preserve"> just a few months earlier and, indeed, th</w:t>
      </w:r>
      <w:r w:rsidR="002204EA">
        <w:rPr>
          <w:rFonts w:ascii="Times New Roman" w:hAnsi="Times New Roman" w:cs="Times New Roman"/>
        </w:rPr>
        <w:t>e</w:t>
      </w:r>
      <w:r w:rsidR="0009029B">
        <w:rPr>
          <w:rFonts w:ascii="Times New Roman" w:hAnsi="Times New Roman" w:cs="Times New Roman"/>
        </w:rPr>
        <w:t xml:space="preserve"> </w:t>
      </w:r>
      <w:r w:rsidR="002204EA">
        <w:rPr>
          <w:rFonts w:ascii="Times New Roman" w:hAnsi="Times New Roman" w:cs="Times New Roman"/>
        </w:rPr>
        <w:t xml:space="preserve">fact that the </w:t>
      </w:r>
      <w:proofErr w:type="spellStart"/>
      <w:r w:rsidR="002204EA">
        <w:rPr>
          <w:rFonts w:ascii="Times New Roman" w:hAnsi="Times New Roman" w:cs="Times New Roman"/>
        </w:rPr>
        <w:t>judgemnt</w:t>
      </w:r>
      <w:proofErr w:type="spellEnd"/>
      <w:r w:rsidR="002204EA">
        <w:rPr>
          <w:rFonts w:ascii="Times New Roman" w:hAnsi="Times New Roman" w:cs="Times New Roman"/>
        </w:rPr>
        <w:t xml:space="preserve"> of the High Court came to a different conclusion </w:t>
      </w:r>
      <w:r w:rsidR="000C4DFB">
        <w:rPr>
          <w:rFonts w:ascii="Times New Roman" w:hAnsi="Times New Roman" w:cs="Times New Roman"/>
        </w:rPr>
        <w:t xml:space="preserve"> resulted in</w:t>
      </w:r>
      <w:r w:rsidR="0009029B">
        <w:rPr>
          <w:rFonts w:ascii="Times New Roman" w:hAnsi="Times New Roman" w:cs="Times New Roman"/>
        </w:rPr>
        <w:t xml:space="preserve"> a lengthy consideration of the circumstances in which one judge of the High Court could depart from the decision of another judge of the High Court in this appeal. </w:t>
      </w:r>
    </w:p>
    <w:p w14:paraId="618E8939" w14:textId="745F5003" w:rsidR="00DE0A3B" w:rsidRDefault="0009029B" w:rsidP="00015B10">
      <w:pPr>
        <w:spacing w:line="480" w:lineRule="auto"/>
        <w:jc w:val="both"/>
        <w:rPr>
          <w:rFonts w:ascii="Times New Roman" w:hAnsi="Times New Roman" w:cs="Times New Roman"/>
        </w:rPr>
      </w:pPr>
      <w:r>
        <w:rPr>
          <w:rFonts w:ascii="Times New Roman" w:hAnsi="Times New Roman" w:cs="Times New Roman"/>
        </w:rPr>
        <w:t xml:space="preserve">The fact that the appeal was a leapfrog appeal and thus met the constitutional threshold for such an appeal is not a decisive factor in deciding an application for costs. </w:t>
      </w:r>
      <w:r w:rsidR="00815C78">
        <w:rPr>
          <w:rFonts w:ascii="Times New Roman" w:hAnsi="Times New Roman" w:cs="Times New Roman"/>
        </w:rPr>
        <w:t xml:space="preserve"> </w:t>
      </w:r>
      <w:r w:rsidR="002473BC">
        <w:rPr>
          <w:rFonts w:ascii="Times New Roman" w:hAnsi="Times New Roman" w:cs="Times New Roman"/>
        </w:rPr>
        <w:t xml:space="preserve">(See </w:t>
      </w:r>
      <w:r w:rsidR="002473BC">
        <w:rPr>
          <w:rFonts w:ascii="Times New Roman" w:hAnsi="Times New Roman" w:cs="Times New Roman"/>
          <w:i/>
        </w:rPr>
        <w:t>Simpson v Governor of Mountjoy</w:t>
      </w:r>
      <w:r w:rsidR="001009AE">
        <w:rPr>
          <w:rFonts w:ascii="Times New Roman" w:hAnsi="Times New Roman" w:cs="Times New Roman"/>
          <w:i/>
        </w:rPr>
        <w:t xml:space="preserve"> Prison </w:t>
      </w:r>
      <w:r w:rsidR="001009AE">
        <w:rPr>
          <w:rFonts w:ascii="Times New Roman" w:hAnsi="Times New Roman" w:cs="Times New Roman"/>
          <w:iCs/>
        </w:rPr>
        <w:t>[2020] IESC 52</w:t>
      </w:r>
      <w:r w:rsidR="002473BC" w:rsidRPr="002204EA">
        <w:rPr>
          <w:rFonts w:ascii="Times New Roman" w:hAnsi="Times New Roman" w:cs="Times New Roman"/>
          <w:iCs/>
        </w:rPr>
        <w:t>)</w:t>
      </w:r>
      <w:r w:rsidR="001009AE">
        <w:rPr>
          <w:rFonts w:ascii="Times New Roman" w:hAnsi="Times New Roman" w:cs="Times New Roman"/>
          <w:iCs/>
        </w:rPr>
        <w:t>.</w:t>
      </w:r>
      <w:r w:rsidR="002204EA">
        <w:rPr>
          <w:rFonts w:ascii="Times New Roman" w:hAnsi="Times New Roman" w:cs="Times New Roman"/>
          <w:iCs/>
        </w:rPr>
        <w:t xml:space="preserve"> </w:t>
      </w:r>
      <w:r w:rsidR="0015179E">
        <w:rPr>
          <w:rFonts w:ascii="Times New Roman" w:hAnsi="Times New Roman" w:cs="Times New Roman"/>
        </w:rPr>
        <w:t xml:space="preserve">It was obviously necessary to determine the issue of the </w:t>
      </w:r>
      <w:r w:rsidR="0015179E">
        <w:rPr>
          <w:rFonts w:ascii="Times New Roman" w:hAnsi="Times New Roman" w:cs="Times New Roman"/>
        </w:rPr>
        <w:lastRenderedPageBreak/>
        <w:t>constitutionality and compatibility of the impugned section and resolve the conflict that had arisen by virtue of the existence of two separate judgments coming to different conclusions but that is not a reason for a departure from the normal rule that costs follow the event.</w:t>
      </w:r>
    </w:p>
    <w:p w14:paraId="34334605" w14:textId="69495942" w:rsidR="00DE0A3B" w:rsidRDefault="0015179E" w:rsidP="00015B10">
      <w:pPr>
        <w:spacing w:line="480" w:lineRule="auto"/>
        <w:jc w:val="both"/>
        <w:rPr>
          <w:rFonts w:ascii="Times New Roman" w:hAnsi="Times New Roman" w:cs="Times New Roman"/>
        </w:rPr>
      </w:pPr>
      <w:r>
        <w:rPr>
          <w:rFonts w:ascii="Times New Roman" w:hAnsi="Times New Roman" w:cs="Times New Roman"/>
        </w:rPr>
        <w:t xml:space="preserve">Finally, the fact that the Court did not accept all of the reasons put forward by the Appellants to justify the difference in treatment between pre-application and post-application marriages is likewise not a factor </w:t>
      </w:r>
      <w:r w:rsidR="00CA187F">
        <w:rPr>
          <w:rFonts w:ascii="Times New Roman" w:hAnsi="Times New Roman" w:cs="Times New Roman"/>
        </w:rPr>
        <w:t xml:space="preserve">in this case </w:t>
      </w:r>
      <w:r>
        <w:rPr>
          <w:rFonts w:ascii="Times New Roman" w:hAnsi="Times New Roman" w:cs="Times New Roman"/>
        </w:rPr>
        <w:t xml:space="preserve">which would alter the normal position. </w:t>
      </w:r>
      <w:r w:rsidR="002204EA">
        <w:rPr>
          <w:rFonts w:ascii="Times New Roman" w:hAnsi="Times New Roman" w:cs="Times New Roman"/>
        </w:rPr>
        <w:t xml:space="preserve">It should be borne in mind that the </w:t>
      </w:r>
      <w:r>
        <w:rPr>
          <w:rFonts w:ascii="Times New Roman" w:hAnsi="Times New Roman" w:cs="Times New Roman"/>
        </w:rPr>
        <w:t>Applicants</w:t>
      </w:r>
      <w:r w:rsidR="00BF5AEE">
        <w:rPr>
          <w:rFonts w:ascii="Times New Roman" w:hAnsi="Times New Roman" w:cs="Times New Roman"/>
        </w:rPr>
        <w:t>’</w:t>
      </w:r>
      <w:r>
        <w:rPr>
          <w:rFonts w:ascii="Times New Roman" w:hAnsi="Times New Roman" w:cs="Times New Roman"/>
        </w:rPr>
        <w:t xml:space="preserve"> claim failed in its entirety.</w:t>
      </w:r>
    </w:p>
    <w:p w14:paraId="074D7864" w14:textId="02741786" w:rsidR="002B74ED" w:rsidRPr="002B74ED" w:rsidRDefault="0015179E" w:rsidP="00015B10">
      <w:pPr>
        <w:spacing w:line="480" w:lineRule="auto"/>
        <w:jc w:val="both"/>
        <w:rPr>
          <w:rFonts w:ascii="Times New Roman" w:hAnsi="Times New Roman" w:cs="Times New Roman"/>
        </w:rPr>
      </w:pPr>
      <w:r>
        <w:rPr>
          <w:rFonts w:ascii="Times New Roman" w:hAnsi="Times New Roman" w:cs="Times New Roman"/>
        </w:rPr>
        <w:t>In the circumstances,</w:t>
      </w:r>
      <w:r w:rsidR="002204EA">
        <w:rPr>
          <w:rFonts w:ascii="Times New Roman" w:hAnsi="Times New Roman" w:cs="Times New Roman"/>
        </w:rPr>
        <w:t xml:space="preserve"> there is no reason to depart from the normal rule as to costs and accordingly</w:t>
      </w:r>
      <w:r>
        <w:rPr>
          <w:rFonts w:ascii="Times New Roman" w:hAnsi="Times New Roman" w:cs="Times New Roman"/>
        </w:rPr>
        <w:t xml:space="preserve"> the </w:t>
      </w:r>
      <w:r w:rsidR="00F04E23">
        <w:rPr>
          <w:rFonts w:ascii="Times New Roman" w:hAnsi="Times New Roman" w:cs="Times New Roman"/>
        </w:rPr>
        <w:t>Appellants are entitled to their costs on the basis that costs follow the event.</w:t>
      </w:r>
    </w:p>
    <w:sectPr w:rsidR="002B74ED" w:rsidRPr="002B74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B18C8" w14:textId="77777777" w:rsidR="000578A4" w:rsidRDefault="000578A4" w:rsidP="000578A4">
      <w:pPr>
        <w:spacing w:after="0" w:line="240" w:lineRule="auto"/>
      </w:pPr>
      <w:r>
        <w:separator/>
      </w:r>
    </w:p>
  </w:endnote>
  <w:endnote w:type="continuationSeparator" w:id="0">
    <w:p w14:paraId="0B9E8B9B" w14:textId="77777777" w:rsidR="000578A4" w:rsidRDefault="000578A4" w:rsidP="00057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E1108" w14:textId="77777777" w:rsidR="000578A4" w:rsidRDefault="000578A4" w:rsidP="000578A4">
      <w:pPr>
        <w:spacing w:after="0" w:line="240" w:lineRule="auto"/>
      </w:pPr>
      <w:r>
        <w:separator/>
      </w:r>
    </w:p>
  </w:footnote>
  <w:footnote w:type="continuationSeparator" w:id="0">
    <w:p w14:paraId="66BB0E84" w14:textId="77777777" w:rsidR="000578A4" w:rsidRDefault="000578A4" w:rsidP="00057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E0A"/>
    <w:rsid w:val="00015B10"/>
    <w:rsid w:val="000578A4"/>
    <w:rsid w:val="00082EBE"/>
    <w:rsid w:val="0009029B"/>
    <w:rsid w:val="000C4DFB"/>
    <w:rsid w:val="000D083E"/>
    <w:rsid w:val="000F234C"/>
    <w:rsid w:val="001009AE"/>
    <w:rsid w:val="0011279B"/>
    <w:rsid w:val="001240A2"/>
    <w:rsid w:val="0015179E"/>
    <w:rsid w:val="001F7227"/>
    <w:rsid w:val="002204EA"/>
    <w:rsid w:val="002473BC"/>
    <w:rsid w:val="00271FAD"/>
    <w:rsid w:val="002A14C0"/>
    <w:rsid w:val="002B74ED"/>
    <w:rsid w:val="00355BC3"/>
    <w:rsid w:val="00433558"/>
    <w:rsid w:val="004673C7"/>
    <w:rsid w:val="004D4E63"/>
    <w:rsid w:val="00754B9D"/>
    <w:rsid w:val="00776A7B"/>
    <w:rsid w:val="007C6E0A"/>
    <w:rsid w:val="00815C78"/>
    <w:rsid w:val="009A291D"/>
    <w:rsid w:val="00BF5AEE"/>
    <w:rsid w:val="00CA187F"/>
    <w:rsid w:val="00D25FD4"/>
    <w:rsid w:val="00DB0443"/>
    <w:rsid w:val="00DD751C"/>
    <w:rsid w:val="00DE0A3B"/>
    <w:rsid w:val="00E11894"/>
    <w:rsid w:val="00E12FD7"/>
    <w:rsid w:val="00EC03B6"/>
    <w:rsid w:val="00F04E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720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E0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7C6E0A"/>
    <w:pPr>
      <w:autoSpaceDE w:val="0"/>
      <w:autoSpaceDN w:val="0"/>
      <w:adjustRightInd w:val="0"/>
      <w:spacing w:after="0" w:line="240" w:lineRule="auto"/>
      <w:ind w:firstLine="360"/>
      <w:jc w:val="both"/>
    </w:pPr>
    <w:rPr>
      <w:rFonts w:ascii="Times New Roman" w:eastAsia="Times New Roman" w:hAnsi="Times New Roman" w:cs="Times New Roman"/>
      <w:sz w:val="24"/>
      <w:szCs w:val="24"/>
      <w:lang w:val="en-IE" w:eastAsia="en-IE"/>
    </w:rPr>
  </w:style>
  <w:style w:type="paragraph" w:styleId="NoSpacing">
    <w:name w:val="No Spacing"/>
    <w:uiPriority w:val="1"/>
    <w:qFormat/>
    <w:rsid w:val="007C6E0A"/>
    <w:pPr>
      <w:spacing w:after="0" w:line="240" w:lineRule="auto"/>
    </w:pPr>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15B10"/>
    <w:rPr>
      <w:sz w:val="16"/>
      <w:szCs w:val="16"/>
    </w:rPr>
  </w:style>
  <w:style w:type="paragraph" w:styleId="CommentText">
    <w:name w:val="annotation text"/>
    <w:basedOn w:val="Normal"/>
    <w:link w:val="CommentTextChar"/>
    <w:uiPriority w:val="99"/>
    <w:semiHidden/>
    <w:unhideWhenUsed/>
    <w:rsid w:val="00015B10"/>
    <w:pPr>
      <w:spacing w:line="240" w:lineRule="auto"/>
    </w:pPr>
    <w:rPr>
      <w:sz w:val="20"/>
      <w:szCs w:val="20"/>
    </w:rPr>
  </w:style>
  <w:style w:type="character" w:customStyle="1" w:styleId="CommentTextChar">
    <w:name w:val="Comment Text Char"/>
    <w:basedOn w:val="DefaultParagraphFont"/>
    <w:link w:val="CommentText"/>
    <w:uiPriority w:val="99"/>
    <w:semiHidden/>
    <w:rsid w:val="00015B10"/>
    <w:rPr>
      <w:sz w:val="20"/>
      <w:szCs w:val="20"/>
      <w:lang w:val="en-GB"/>
    </w:rPr>
  </w:style>
  <w:style w:type="paragraph" w:styleId="CommentSubject">
    <w:name w:val="annotation subject"/>
    <w:basedOn w:val="CommentText"/>
    <w:next w:val="CommentText"/>
    <w:link w:val="CommentSubjectChar"/>
    <w:uiPriority w:val="99"/>
    <w:semiHidden/>
    <w:unhideWhenUsed/>
    <w:rsid w:val="00015B10"/>
    <w:rPr>
      <w:b/>
      <w:bCs/>
    </w:rPr>
  </w:style>
  <w:style w:type="character" w:customStyle="1" w:styleId="CommentSubjectChar">
    <w:name w:val="Comment Subject Char"/>
    <w:basedOn w:val="CommentTextChar"/>
    <w:link w:val="CommentSubject"/>
    <w:uiPriority w:val="99"/>
    <w:semiHidden/>
    <w:rsid w:val="00015B10"/>
    <w:rPr>
      <w:b/>
      <w:bCs/>
      <w:sz w:val="20"/>
      <w:szCs w:val="20"/>
      <w:lang w:val="en-GB"/>
    </w:rPr>
  </w:style>
  <w:style w:type="paragraph" w:styleId="BalloonText">
    <w:name w:val="Balloon Text"/>
    <w:basedOn w:val="Normal"/>
    <w:link w:val="BalloonTextChar"/>
    <w:uiPriority w:val="99"/>
    <w:semiHidden/>
    <w:unhideWhenUsed/>
    <w:rsid w:val="00015B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B10"/>
    <w:rPr>
      <w:rFonts w:ascii="Segoe UI" w:hAnsi="Segoe UI" w:cs="Segoe UI"/>
      <w:sz w:val="18"/>
      <w:szCs w:val="18"/>
      <w:lang w:val="en-GB"/>
    </w:rPr>
  </w:style>
  <w:style w:type="paragraph" w:styleId="Header">
    <w:name w:val="header"/>
    <w:basedOn w:val="Normal"/>
    <w:link w:val="HeaderChar"/>
    <w:uiPriority w:val="99"/>
    <w:unhideWhenUsed/>
    <w:rsid w:val="00057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8A4"/>
    <w:rPr>
      <w:lang w:val="en-GB"/>
    </w:rPr>
  </w:style>
  <w:style w:type="paragraph" w:styleId="Footer">
    <w:name w:val="footer"/>
    <w:basedOn w:val="Normal"/>
    <w:link w:val="FooterChar"/>
    <w:uiPriority w:val="99"/>
    <w:unhideWhenUsed/>
    <w:rsid w:val="00057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8A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1020</Words>
  <Characters>5815</Characters>
  <Application>Microsoft Office Word</Application>
  <DocSecurity>0</DocSecurity>
  <Lines>48</Lines>
  <Paragraphs>13</Paragraphs>
  <ScaleCrop>false</ScaleCrop>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2021-03-15T14:56:00Z</dcterms:created>
  <dcterms:modified xsi:type="dcterms:W3CDTF">2021-03-15T14:57:00Z</dcterms:modified>
</cp:coreProperties>
</file>