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856E5" w14:textId="77777777" w:rsidR="00DB4DD0" w:rsidRDefault="00DB4DD0" w:rsidP="00DB4DD0">
      <w:pPr>
        <w:spacing w:line="360" w:lineRule="auto"/>
        <w:jc w:val="center"/>
        <w:rPr>
          <w:rFonts w:eastAsia="Calibri"/>
          <w:b/>
          <w:sz w:val="32"/>
          <w:szCs w:val="32"/>
          <w:lang w:eastAsia="en-US"/>
        </w:rPr>
      </w:pPr>
      <w:bookmarkStart w:id="0" w:name="_GoBack"/>
      <w:bookmarkEnd w:id="0"/>
      <w:r w:rsidRPr="00DB4DD0">
        <w:rPr>
          <w:rFonts w:eastAsia="Calibri"/>
          <w:b/>
          <w:sz w:val="32"/>
          <w:szCs w:val="32"/>
          <w:lang w:eastAsia="en-US"/>
        </w:rPr>
        <w:t>THE COURT OF APPEAL</w:t>
      </w:r>
    </w:p>
    <w:p w14:paraId="386A4A76" w14:textId="1FA68511" w:rsidR="00D217A0" w:rsidRPr="0045759E" w:rsidRDefault="00D217A0" w:rsidP="008A2F76">
      <w:pPr>
        <w:spacing w:line="360" w:lineRule="auto"/>
        <w:rPr>
          <w:rFonts w:eastAsia="Calibri"/>
          <w:b/>
          <w:u w:val="single"/>
          <w:lang w:eastAsia="en-US"/>
        </w:rPr>
      </w:pPr>
    </w:p>
    <w:p w14:paraId="60B75E57" w14:textId="77777777" w:rsidR="00DB4DD0" w:rsidRPr="00DB4DD0" w:rsidRDefault="00DB4DD0" w:rsidP="00DB4DD0">
      <w:pPr>
        <w:spacing w:line="360" w:lineRule="auto"/>
        <w:jc w:val="right"/>
        <w:rPr>
          <w:rFonts w:eastAsia="Calibri"/>
          <w:b/>
          <w:szCs w:val="22"/>
          <w:lang w:eastAsia="en-US"/>
        </w:rPr>
      </w:pPr>
      <w:r w:rsidRPr="00DB4DD0">
        <w:rPr>
          <w:rFonts w:eastAsia="Calibri"/>
          <w:b/>
          <w:szCs w:val="22"/>
          <w:lang w:eastAsia="en-US"/>
        </w:rPr>
        <w:t xml:space="preserve">Record No. </w:t>
      </w:r>
      <w:r w:rsidR="00C4426F">
        <w:rPr>
          <w:rFonts w:eastAsia="Calibri"/>
          <w:b/>
          <w:szCs w:val="22"/>
          <w:lang w:eastAsia="en-US"/>
        </w:rPr>
        <w:t>2014/1015</w:t>
      </w:r>
    </w:p>
    <w:p w14:paraId="75AB28C3" w14:textId="25F8129A" w:rsidR="00DB4DD0" w:rsidRPr="00DB4DD0" w:rsidRDefault="00C4421D" w:rsidP="00DB4DD0">
      <w:pPr>
        <w:spacing w:line="360" w:lineRule="auto"/>
        <w:jc w:val="right"/>
        <w:rPr>
          <w:rFonts w:eastAsia="Calibri"/>
          <w:b/>
          <w:szCs w:val="22"/>
          <w:lang w:eastAsia="en-US"/>
        </w:rPr>
      </w:pPr>
      <w:r>
        <w:rPr>
          <w:rFonts w:eastAsia="Calibri"/>
          <w:b/>
          <w:szCs w:val="22"/>
          <w:lang w:eastAsia="en-US"/>
        </w:rPr>
        <w:t xml:space="preserve">Neutral Citation </w:t>
      </w:r>
      <w:r w:rsidRPr="00C4421D">
        <w:rPr>
          <w:rFonts w:eastAsia="Calibri"/>
          <w:b/>
          <w:szCs w:val="22"/>
          <w:lang w:eastAsia="en-US"/>
        </w:rPr>
        <w:t>[2022] IECA 21</w:t>
      </w:r>
    </w:p>
    <w:p w14:paraId="4247B607" w14:textId="77777777" w:rsidR="00AB47FA" w:rsidRDefault="00486A53" w:rsidP="002857A9">
      <w:pPr>
        <w:spacing w:line="276" w:lineRule="auto"/>
        <w:jc w:val="both"/>
        <w:rPr>
          <w:rFonts w:eastAsia="Calibri"/>
          <w:b/>
          <w:szCs w:val="22"/>
          <w:lang w:eastAsia="en-US"/>
        </w:rPr>
      </w:pPr>
      <w:r>
        <w:rPr>
          <w:rFonts w:eastAsia="Calibri"/>
          <w:b/>
          <w:szCs w:val="22"/>
          <w:lang w:eastAsia="en-US"/>
        </w:rPr>
        <w:t>Haughton</w:t>
      </w:r>
      <w:r w:rsidR="009F08C4">
        <w:rPr>
          <w:rFonts w:eastAsia="Calibri"/>
          <w:b/>
          <w:szCs w:val="22"/>
          <w:lang w:eastAsia="en-US"/>
        </w:rPr>
        <w:t xml:space="preserve"> </w:t>
      </w:r>
      <w:r w:rsidR="002857A9" w:rsidRPr="00DB4DD0">
        <w:rPr>
          <w:rFonts w:eastAsia="Calibri"/>
          <w:b/>
          <w:szCs w:val="22"/>
          <w:lang w:eastAsia="en-US"/>
        </w:rPr>
        <w:t>J.</w:t>
      </w:r>
    </w:p>
    <w:p w14:paraId="541F07AE" w14:textId="77777777" w:rsidR="002857A9" w:rsidRDefault="00486A53" w:rsidP="002857A9">
      <w:pPr>
        <w:spacing w:line="276" w:lineRule="auto"/>
        <w:jc w:val="both"/>
        <w:rPr>
          <w:rFonts w:eastAsia="Calibri"/>
          <w:b/>
          <w:szCs w:val="22"/>
          <w:lang w:eastAsia="en-US"/>
        </w:rPr>
      </w:pPr>
      <w:proofErr w:type="spellStart"/>
      <w:r>
        <w:rPr>
          <w:rFonts w:eastAsia="Calibri"/>
          <w:b/>
          <w:szCs w:val="22"/>
          <w:lang w:eastAsia="en-US"/>
        </w:rPr>
        <w:t>Binchy</w:t>
      </w:r>
      <w:proofErr w:type="spellEnd"/>
      <w:r>
        <w:rPr>
          <w:rFonts w:eastAsia="Calibri"/>
          <w:b/>
          <w:szCs w:val="22"/>
          <w:lang w:eastAsia="en-US"/>
        </w:rPr>
        <w:t xml:space="preserve"> </w:t>
      </w:r>
      <w:r w:rsidR="002857A9">
        <w:rPr>
          <w:rFonts w:eastAsia="Calibri"/>
          <w:b/>
          <w:szCs w:val="22"/>
          <w:lang w:eastAsia="en-US"/>
        </w:rPr>
        <w:t>J.</w:t>
      </w:r>
    </w:p>
    <w:p w14:paraId="45766F95" w14:textId="77777777" w:rsidR="002857A9" w:rsidRDefault="00486A53" w:rsidP="002857A9">
      <w:pPr>
        <w:spacing w:line="276" w:lineRule="auto"/>
        <w:jc w:val="both"/>
        <w:rPr>
          <w:rFonts w:eastAsia="Calibri"/>
          <w:b/>
          <w:szCs w:val="22"/>
          <w:lang w:eastAsia="en-US"/>
        </w:rPr>
      </w:pPr>
      <w:r>
        <w:rPr>
          <w:rFonts w:eastAsia="Calibri"/>
          <w:b/>
          <w:szCs w:val="22"/>
          <w:lang w:eastAsia="en-US"/>
        </w:rPr>
        <w:t xml:space="preserve">Pilkington </w:t>
      </w:r>
      <w:r w:rsidR="002857A9">
        <w:rPr>
          <w:rFonts w:eastAsia="Calibri"/>
          <w:b/>
          <w:szCs w:val="22"/>
          <w:lang w:eastAsia="en-US"/>
        </w:rPr>
        <w:t>J.</w:t>
      </w:r>
    </w:p>
    <w:p w14:paraId="6BA38B02" w14:textId="77777777" w:rsidR="00D31B01" w:rsidRPr="00DB4DD0" w:rsidRDefault="00D31B01" w:rsidP="002857A9">
      <w:pPr>
        <w:spacing w:line="276" w:lineRule="auto"/>
        <w:jc w:val="both"/>
        <w:rPr>
          <w:rFonts w:eastAsia="Calibri"/>
          <w:b/>
          <w:szCs w:val="22"/>
          <w:lang w:eastAsia="en-US"/>
        </w:rPr>
      </w:pPr>
    </w:p>
    <w:p w14:paraId="7C18AA6F" w14:textId="77777777" w:rsidR="00DB4DD0" w:rsidRDefault="00DB4DD0" w:rsidP="002857A9">
      <w:pPr>
        <w:spacing w:line="360" w:lineRule="auto"/>
        <w:rPr>
          <w:rFonts w:eastAsia="Calibri"/>
          <w:b/>
          <w:szCs w:val="22"/>
          <w:lang w:eastAsia="en-US"/>
        </w:rPr>
      </w:pPr>
    </w:p>
    <w:p w14:paraId="594F54F1" w14:textId="77777777" w:rsidR="00C4426F" w:rsidRDefault="00C4426F" w:rsidP="00C4426F">
      <w:pPr>
        <w:spacing w:line="360" w:lineRule="auto"/>
        <w:jc w:val="center"/>
        <w:rPr>
          <w:rFonts w:eastAsia="Calibri"/>
          <w:b/>
          <w:szCs w:val="22"/>
          <w:lang w:eastAsia="en-US"/>
        </w:rPr>
      </w:pPr>
      <w:r w:rsidRPr="00C4426F">
        <w:rPr>
          <w:rFonts w:eastAsia="Calibri"/>
          <w:b/>
          <w:szCs w:val="22"/>
          <w:lang w:eastAsia="en-US"/>
        </w:rPr>
        <w:t>IN THE MATTER OF PERMANENT TSB GROUP HOLDINGS PUBLIC LIMITED COMPANY</w:t>
      </w:r>
    </w:p>
    <w:p w14:paraId="537A7BB0" w14:textId="77777777" w:rsidR="00C4426F" w:rsidRDefault="00C4426F" w:rsidP="00C4426F">
      <w:pPr>
        <w:spacing w:line="360" w:lineRule="auto"/>
        <w:jc w:val="center"/>
        <w:rPr>
          <w:rFonts w:eastAsia="Calibri"/>
          <w:b/>
          <w:szCs w:val="22"/>
          <w:lang w:eastAsia="en-US"/>
        </w:rPr>
      </w:pPr>
      <w:r w:rsidRPr="00C4426F">
        <w:rPr>
          <w:rFonts w:eastAsia="Calibri"/>
          <w:b/>
          <w:szCs w:val="22"/>
          <w:lang w:eastAsia="en-US"/>
        </w:rPr>
        <w:t xml:space="preserve">AND IN THE MATTER OF THE COMPANIES ACTS 1963 – 2012 </w:t>
      </w:r>
    </w:p>
    <w:p w14:paraId="1CE7FC7C" w14:textId="77777777" w:rsidR="00C4426F" w:rsidRDefault="00C4426F" w:rsidP="00C4426F">
      <w:pPr>
        <w:spacing w:line="360" w:lineRule="auto"/>
        <w:jc w:val="center"/>
        <w:rPr>
          <w:rFonts w:eastAsia="Calibri"/>
          <w:b/>
          <w:szCs w:val="22"/>
          <w:lang w:eastAsia="en-US"/>
        </w:rPr>
      </w:pPr>
      <w:r w:rsidRPr="00C4426F">
        <w:rPr>
          <w:rFonts w:eastAsia="Calibri"/>
          <w:b/>
          <w:szCs w:val="22"/>
          <w:lang w:eastAsia="en-US"/>
        </w:rPr>
        <w:t xml:space="preserve">AND IN THE MATTER OF SECTION 205 OF THE COMPANIES ACT 1963 </w:t>
      </w:r>
    </w:p>
    <w:p w14:paraId="0ACDE9F5" w14:textId="77777777" w:rsidR="00C4426F" w:rsidRDefault="00C4426F" w:rsidP="00C4426F">
      <w:pPr>
        <w:spacing w:line="360" w:lineRule="auto"/>
        <w:jc w:val="center"/>
        <w:rPr>
          <w:rFonts w:eastAsia="Calibri"/>
          <w:b/>
          <w:szCs w:val="22"/>
          <w:lang w:eastAsia="en-US"/>
        </w:rPr>
      </w:pPr>
      <w:r w:rsidRPr="00C4426F">
        <w:rPr>
          <w:rFonts w:eastAsia="Calibri"/>
          <w:b/>
          <w:szCs w:val="22"/>
          <w:lang w:eastAsia="en-US"/>
        </w:rPr>
        <w:t xml:space="preserve">AND IN THE MATTER OF SECOND COUNCIL DIRECTIVE 77/91/EEC </w:t>
      </w:r>
    </w:p>
    <w:p w14:paraId="1895055E" w14:textId="77777777" w:rsidR="00C4426F" w:rsidRDefault="00C4426F" w:rsidP="00C4426F">
      <w:pPr>
        <w:spacing w:line="360" w:lineRule="auto"/>
        <w:jc w:val="center"/>
        <w:rPr>
          <w:rFonts w:eastAsia="Calibri"/>
          <w:b/>
          <w:szCs w:val="22"/>
          <w:lang w:eastAsia="en-US"/>
        </w:rPr>
      </w:pPr>
      <w:r w:rsidRPr="00C4426F">
        <w:rPr>
          <w:rFonts w:eastAsia="Calibri"/>
          <w:b/>
          <w:szCs w:val="22"/>
          <w:lang w:eastAsia="en-US"/>
        </w:rPr>
        <w:t xml:space="preserve">AND IN THE MATTER OF DIRECTIVE 2001/34/EC OF THE EUROPEAN PARLIAMENT AND OF THE COUNCIL </w:t>
      </w:r>
    </w:p>
    <w:p w14:paraId="27FBA4D1" w14:textId="77777777" w:rsidR="00C4426F" w:rsidRDefault="00C4426F" w:rsidP="00C4426F">
      <w:pPr>
        <w:spacing w:line="360" w:lineRule="auto"/>
        <w:jc w:val="center"/>
        <w:rPr>
          <w:rFonts w:eastAsia="Calibri"/>
          <w:b/>
          <w:szCs w:val="22"/>
          <w:lang w:eastAsia="en-US"/>
        </w:rPr>
      </w:pPr>
      <w:r w:rsidRPr="00C4426F">
        <w:rPr>
          <w:rFonts w:eastAsia="Calibri"/>
          <w:b/>
          <w:szCs w:val="22"/>
          <w:lang w:eastAsia="en-US"/>
        </w:rPr>
        <w:t xml:space="preserve">AND IN THE MATTER OF DIRECTIVE 2009/101/EC OF THE EUROPEAN PARLIAMENT AND OF THE COUNCIL </w:t>
      </w:r>
    </w:p>
    <w:p w14:paraId="7BEEAC35" w14:textId="77777777" w:rsidR="00C4426F" w:rsidRDefault="00C4426F" w:rsidP="00C4426F">
      <w:pPr>
        <w:spacing w:line="360" w:lineRule="auto"/>
        <w:jc w:val="center"/>
        <w:rPr>
          <w:rFonts w:eastAsia="Calibri"/>
          <w:b/>
          <w:szCs w:val="22"/>
          <w:lang w:eastAsia="en-US"/>
        </w:rPr>
      </w:pPr>
      <w:r w:rsidRPr="00C4426F">
        <w:rPr>
          <w:rFonts w:eastAsia="Calibri"/>
          <w:b/>
          <w:szCs w:val="22"/>
          <w:lang w:eastAsia="en-US"/>
        </w:rPr>
        <w:t xml:space="preserve">AND IN THE MATTER OF DIRECTIVE 2004/25/EC OF THE EUROPEAN PARLIAMENT AND OF THE COUNCIL </w:t>
      </w:r>
    </w:p>
    <w:p w14:paraId="0E5155A2" w14:textId="77777777" w:rsidR="00C4426F" w:rsidRDefault="00C4426F" w:rsidP="00C4426F">
      <w:pPr>
        <w:spacing w:line="360" w:lineRule="auto"/>
        <w:jc w:val="center"/>
        <w:rPr>
          <w:rFonts w:eastAsia="Calibri"/>
          <w:b/>
          <w:szCs w:val="22"/>
          <w:lang w:eastAsia="en-US"/>
        </w:rPr>
      </w:pPr>
      <w:r w:rsidRPr="00C4426F">
        <w:rPr>
          <w:rFonts w:eastAsia="Calibri"/>
          <w:b/>
          <w:szCs w:val="22"/>
          <w:lang w:eastAsia="en-US"/>
        </w:rPr>
        <w:t xml:space="preserve">AND IN THE MATTER OF DIRECTIVE 2004/39/EC OF THE EUROPEAN PARLIAMENT AND OF THE COUNCIL </w:t>
      </w:r>
    </w:p>
    <w:p w14:paraId="614EDC60" w14:textId="77777777" w:rsidR="00C4426F" w:rsidRDefault="00C4426F" w:rsidP="00C4426F">
      <w:pPr>
        <w:spacing w:line="360" w:lineRule="auto"/>
        <w:jc w:val="center"/>
        <w:rPr>
          <w:rFonts w:eastAsia="Calibri"/>
          <w:b/>
          <w:szCs w:val="22"/>
          <w:lang w:eastAsia="en-US"/>
        </w:rPr>
      </w:pPr>
      <w:r w:rsidRPr="00C4426F">
        <w:rPr>
          <w:rFonts w:eastAsia="Calibri"/>
          <w:b/>
          <w:szCs w:val="22"/>
          <w:lang w:eastAsia="en-US"/>
        </w:rPr>
        <w:t>AND IN THE MATTE</w:t>
      </w:r>
      <w:r>
        <w:rPr>
          <w:rFonts w:eastAsia="Calibri"/>
          <w:b/>
          <w:szCs w:val="22"/>
          <w:lang w:eastAsia="en-US"/>
        </w:rPr>
        <w:t>R OF ARTICLE 63 OF THE TREATY ON</w:t>
      </w:r>
      <w:r w:rsidRPr="00C4426F">
        <w:rPr>
          <w:rFonts w:eastAsia="Calibri"/>
          <w:b/>
          <w:szCs w:val="22"/>
          <w:lang w:eastAsia="en-US"/>
        </w:rPr>
        <w:t xml:space="preserve"> THE FUNCTIONING OF THE EUROPEAN UNION </w:t>
      </w:r>
    </w:p>
    <w:p w14:paraId="29693561" w14:textId="77777777" w:rsidR="00C4426F" w:rsidRDefault="00C4426F" w:rsidP="00C4426F">
      <w:pPr>
        <w:spacing w:line="360" w:lineRule="auto"/>
        <w:jc w:val="center"/>
        <w:rPr>
          <w:rFonts w:eastAsia="Calibri"/>
          <w:b/>
          <w:szCs w:val="22"/>
          <w:lang w:eastAsia="en-US"/>
        </w:rPr>
      </w:pPr>
      <w:r w:rsidRPr="00C4426F">
        <w:rPr>
          <w:rFonts w:eastAsia="Calibri"/>
          <w:b/>
          <w:szCs w:val="22"/>
          <w:lang w:eastAsia="en-US"/>
        </w:rPr>
        <w:t>AND IN THE MATTER OF ARTICLE 267 OF THE TREATY ON THE FUNCTIONING OF THE EUROPEAN UNION</w:t>
      </w:r>
    </w:p>
    <w:p w14:paraId="4431904C" w14:textId="77777777" w:rsidR="00C4426F" w:rsidRPr="00DB4DD0" w:rsidRDefault="00C4426F" w:rsidP="002857A9">
      <w:pPr>
        <w:spacing w:line="360" w:lineRule="auto"/>
        <w:rPr>
          <w:rFonts w:eastAsia="Calibri"/>
          <w:b/>
          <w:szCs w:val="22"/>
          <w:lang w:eastAsia="en-US"/>
        </w:rPr>
      </w:pPr>
    </w:p>
    <w:p w14:paraId="3C798714" w14:textId="77777777" w:rsidR="00DB4DD0" w:rsidRPr="00DB4DD0" w:rsidRDefault="00DB4DD0" w:rsidP="00DB4DD0">
      <w:pPr>
        <w:spacing w:line="360" w:lineRule="auto"/>
        <w:jc w:val="both"/>
        <w:rPr>
          <w:rFonts w:eastAsia="Calibri"/>
          <w:b/>
          <w:szCs w:val="22"/>
          <w:lang w:eastAsia="en-US"/>
        </w:rPr>
      </w:pPr>
    </w:p>
    <w:p w14:paraId="1D3FF172" w14:textId="77777777" w:rsidR="00DB4DD0" w:rsidRDefault="00DB4DD0" w:rsidP="00DB4DD0">
      <w:pPr>
        <w:spacing w:line="360" w:lineRule="auto"/>
        <w:rPr>
          <w:rFonts w:eastAsia="Calibri"/>
          <w:b/>
          <w:szCs w:val="22"/>
          <w:lang w:eastAsia="en-US"/>
        </w:rPr>
      </w:pPr>
      <w:r w:rsidRPr="00DB4DD0">
        <w:rPr>
          <w:rFonts w:eastAsia="Calibri"/>
          <w:b/>
          <w:szCs w:val="22"/>
          <w:lang w:eastAsia="en-US"/>
        </w:rPr>
        <w:t>BETWEEN/</w:t>
      </w:r>
    </w:p>
    <w:p w14:paraId="391E5A76" w14:textId="77777777" w:rsidR="00D31B01" w:rsidRPr="00DB4DD0" w:rsidRDefault="00D31B01" w:rsidP="00DB4DD0">
      <w:pPr>
        <w:spacing w:line="360" w:lineRule="auto"/>
        <w:rPr>
          <w:rFonts w:eastAsia="Calibri"/>
          <w:b/>
          <w:szCs w:val="22"/>
          <w:lang w:eastAsia="en-US"/>
        </w:rPr>
      </w:pPr>
    </w:p>
    <w:p w14:paraId="5C81359C" w14:textId="3BBA8FA4" w:rsidR="00DB4DD0" w:rsidRDefault="00D31B01" w:rsidP="00DB4DD0">
      <w:pPr>
        <w:spacing w:line="360" w:lineRule="auto"/>
        <w:jc w:val="center"/>
        <w:rPr>
          <w:rFonts w:eastAsia="Calibri"/>
          <w:b/>
          <w:szCs w:val="22"/>
          <w:lang w:eastAsia="en-US"/>
        </w:rPr>
      </w:pPr>
      <w:r w:rsidRPr="00D31B01">
        <w:rPr>
          <w:rFonts w:eastAsia="Calibri"/>
          <w:b/>
          <w:szCs w:val="22"/>
          <w:lang w:eastAsia="en-US"/>
        </w:rPr>
        <w:t>GERARD DOWLING, PADRAIG M</w:t>
      </w:r>
      <w:r w:rsidR="000C221C">
        <w:rPr>
          <w:rFonts w:eastAsia="Calibri"/>
          <w:b/>
          <w:szCs w:val="22"/>
          <w:lang w:eastAsia="en-US"/>
        </w:rPr>
        <w:t>C</w:t>
      </w:r>
      <w:r w:rsidRPr="00D31B01">
        <w:rPr>
          <w:rFonts w:eastAsia="Calibri"/>
          <w:b/>
          <w:szCs w:val="22"/>
          <w:lang w:eastAsia="en-US"/>
        </w:rPr>
        <w:t>MANUS, JOHN PAUL M</w:t>
      </w:r>
      <w:r w:rsidR="000C221C">
        <w:rPr>
          <w:rFonts w:eastAsia="Calibri"/>
          <w:b/>
          <w:szCs w:val="22"/>
          <w:lang w:eastAsia="en-US"/>
        </w:rPr>
        <w:t>C</w:t>
      </w:r>
      <w:r w:rsidRPr="00D31B01">
        <w:rPr>
          <w:rFonts w:eastAsia="Calibri"/>
          <w:b/>
          <w:szCs w:val="22"/>
          <w:lang w:eastAsia="en-US"/>
        </w:rPr>
        <w:t>GANN, TIBOR NEUGEBAUER, PIOTR SKOCZYLAS, MURIEL SCORER AND GEORG HAUG</w:t>
      </w:r>
    </w:p>
    <w:p w14:paraId="63F28C38" w14:textId="77777777" w:rsidR="00D31B01" w:rsidRPr="00D31B01" w:rsidRDefault="00D31B01" w:rsidP="00DB4DD0">
      <w:pPr>
        <w:spacing w:line="360" w:lineRule="auto"/>
        <w:jc w:val="center"/>
        <w:rPr>
          <w:rFonts w:eastAsia="Calibri"/>
          <w:b/>
          <w:szCs w:val="22"/>
          <w:lang w:eastAsia="en-US"/>
        </w:rPr>
      </w:pPr>
    </w:p>
    <w:p w14:paraId="6AFA256B" w14:textId="3659472C" w:rsidR="00DB4DD0" w:rsidRPr="00DB4DD0" w:rsidRDefault="00D31B01" w:rsidP="00D31B01">
      <w:pPr>
        <w:spacing w:line="360" w:lineRule="auto"/>
        <w:jc w:val="right"/>
        <w:rPr>
          <w:rFonts w:eastAsia="Calibri"/>
          <w:b/>
          <w:szCs w:val="22"/>
          <w:lang w:eastAsia="en-US"/>
        </w:rPr>
      </w:pPr>
      <w:r>
        <w:rPr>
          <w:rFonts w:eastAsia="Calibri"/>
          <w:b/>
          <w:szCs w:val="22"/>
          <w:lang w:eastAsia="en-US"/>
        </w:rPr>
        <w:t>PETITIONERS</w:t>
      </w:r>
      <w:r w:rsidR="00FF76C1">
        <w:rPr>
          <w:rFonts w:eastAsia="Calibri"/>
          <w:b/>
          <w:szCs w:val="22"/>
          <w:lang w:eastAsia="en-US"/>
        </w:rPr>
        <w:t>/APPELLANTS</w:t>
      </w:r>
    </w:p>
    <w:p w14:paraId="197A7B5A" w14:textId="77777777" w:rsidR="00DB4DD0" w:rsidRPr="00DB4DD0" w:rsidRDefault="00DB4DD0" w:rsidP="00DB4DD0">
      <w:pPr>
        <w:spacing w:line="360" w:lineRule="auto"/>
        <w:jc w:val="center"/>
        <w:rPr>
          <w:rFonts w:eastAsia="Calibri"/>
          <w:b/>
          <w:szCs w:val="22"/>
          <w:lang w:eastAsia="en-US"/>
        </w:rPr>
      </w:pPr>
      <w:r w:rsidRPr="00DB4DD0">
        <w:rPr>
          <w:rFonts w:eastAsia="Calibri"/>
          <w:b/>
          <w:szCs w:val="22"/>
          <w:lang w:eastAsia="en-US"/>
        </w:rPr>
        <w:lastRenderedPageBreak/>
        <w:t>- AND -</w:t>
      </w:r>
    </w:p>
    <w:p w14:paraId="0ADADA61" w14:textId="77777777" w:rsidR="00DB4DD0" w:rsidRPr="00DB4DD0" w:rsidRDefault="00DB4DD0" w:rsidP="00A30584">
      <w:pPr>
        <w:tabs>
          <w:tab w:val="left" w:pos="1390"/>
        </w:tabs>
        <w:spacing w:line="360" w:lineRule="auto"/>
        <w:rPr>
          <w:rFonts w:eastAsia="Calibri"/>
          <w:b/>
          <w:szCs w:val="22"/>
          <w:lang w:eastAsia="en-US"/>
        </w:rPr>
      </w:pPr>
    </w:p>
    <w:p w14:paraId="08F874F0" w14:textId="23BB6A46" w:rsidR="00DB4DD0" w:rsidRPr="00DB4DD0" w:rsidRDefault="00D31B01" w:rsidP="00DB4DD0">
      <w:pPr>
        <w:spacing w:line="360" w:lineRule="auto"/>
        <w:jc w:val="center"/>
        <w:rPr>
          <w:rFonts w:eastAsia="Calibri"/>
          <w:b/>
          <w:szCs w:val="22"/>
          <w:lang w:eastAsia="en-US"/>
        </w:rPr>
      </w:pPr>
      <w:r w:rsidRPr="00D31B01">
        <w:rPr>
          <w:rFonts w:eastAsia="Calibri"/>
          <w:b/>
          <w:szCs w:val="22"/>
          <w:lang w:eastAsia="en-US"/>
        </w:rPr>
        <w:t>ALAN COOK, JEREMY MASDING, EMER DALY, MARGARET HAYES, SANDY KINNEY, RAY M</w:t>
      </w:r>
      <w:r w:rsidR="00FF76C1">
        <w:rPr>
          <w:rFonts w:eastAsia="Calibri"/>
          <w:b/>
          <w:szCs w:val="22"/>
          <w:lang w:eastAsia="en-US"/>
        </w:rPr>
        <w:t>AC</w:t>
      </w:r>
      <w:r w:rsidRPr="00D31B01">
        <w:rPr>
          <w:rFonts w:eastAsia="Calibri"/>
          <w:b/>
          <w:szCs w:val="22"/>
          <w:lang w:eastAsia="en-US"/>
        </w:rPr>
        <w:t>SHARRY, PAT RYAN, KEVIN MURPHY, DAVID M</w:t>
      </w:r>
      <w:r w:rsidR="00FF76C1">
        <w:rPr>
          <w:rFonts w:eastAsia="Calibri"/>
          <w:b/>
          <w:szCs w:val="22"/>
          <w:lang w:eastAsia="en-US"/>
        </w:rPr>
        <w:t>C</w:t>
      </w:r>
      <w:r w:rsidRPr="00D31B01">
        <w:rPr>
          <w:rFonts w:eastAsia="Calibri"/>
          <w:b/>
          <w:szCs w:val="22"/>
          <w:lang w:eastAsia="en-US"/>
        </w:rPr>
        <w:t>CARTHY, BERNARD COLLINS, ROY KEENAN, THE MINISTER FOR FINANCE OF THE REPUBLIC OF IRELAND</w:t>
      </w:r>
    </w:p>
    <w:p w14:paraId="3EAAC96B" w14:textId="77777777" w:rsidR="00DB4DD0" w:rsidRPr="00DB4DD0" w:rsidRDefault="00DB4DD0" w:rsidP="00DB4DD0">
      <w:pPr>
        <w:spacing w:line="360" w:lineRule="auto"/>
        <w:jc w:val="center"/>
        <w:rPr>
          <w:rFonts w:eastAsia="Calibri"/>
          <w:b/>
          <w:szCs w:val="22"/>
          <w:lang w:eastAsia="en-US"/>
        </w:rPr>
      </w:pPr>
    </w:p>
    <w:p w14:paraId="38FDEA7C" w14:textId="0F4ADD4C" w:rsidR="00DB4DD0" w:rsidRDefault="00B05269" w:rsidP="00DB4DD0">
      <w:pPr>
        <w:spacing w:line="360" w:lineRule="auto"/>
        <w:jc w:val="right"/>
        <w:rPr>
          <w:rFonts w:eastAsia="Calibri"/>
          <w:b/>
          <w:szCs w:val="22"/>
          <w:lang w:eastAsia="en-US"/>
        </w:rPr>
      </w:pPr>
      <w:r>
        <w:rPr>
          <w:rFonts w:eastAsia="Calibri"/>
          <w:b/>
          <w:szCs w:val="22"/>
          <w:lang w:eastAsia="en-US"/>
        </w:rPr>
        <w:t>RESPONDENT</w:t>
      </w:r>
      <w:r w:rsidR="00D31B01">
        <w:rPr>
          <w:rFonts w:eastAsia="Calibri"/>
          <w:b/>
          <w:szCs w:val="22"/>
          <w:lang w:eastAsia="en-US"/>
        </w:rPr>
        <w:t>S</w:t>
      </w:r>
    </w:p>
    <w:p w14:paraId="683826BA" w14:textId="77777777" w:rsidR="00DB4DD0" w:rsidRPr="00DB4DD0" w:rsidRDefault="00DB4DD0" w:rsidP="00DB4DD0">
      <w:pPr>
        <w:spacing w:line="360" w:lineRule="auto"/>
        <w:jc w:val="both"/>
        <w:rPr>
          <w:rFonts w:eastAsia="Calibri"/>
          <w:szCs w:val="22"/>
          <w:lang w:eastAsia="en-US"/>
        </w:rPr>
      </w:pPr>
    </w:p>
    <w:p w14:paraId="4D3289A8" w14:textId="7BC90C61" w:rsidR="00081285" w:rsidRDefault="00166F9B" w:rsidP="00DB4DD0">
      <w:pPr>
        <w:widowControl w:val="0"/>
        <w:rPr>
          <w:b/>
          <w:u w:val="single"/>
        </w:rPr>
      </w:pPr>
      <w:r>
        <w:rPr>
          <w:rFonts w:eastAsia="Calibri"/>
          <w:b/>
          <w:szCs w:val="22"/>
          <w:u w:val="single"/>
          <w:lang w:eastAsia="en-US"/>
        </w:rPr>
        <w:t xml:space="preserve">JUDGMENT of Mr. Justice </w:t>
      </w:r>
      <w:proofErr w:type="spellStart"/>
      <w:r>
        <w:rPr>
          <w:rFonts w:eastAsia="Calibri"/>
          <w:b/>
          <w:szCs w:val="22"/>
          <w:u w:val="single"/>
          <w:lang w:eastAsia="en-US"/>
        </w:rPr>
        <w:t>Binchy</w:t>
      </w:r>
      <w:proofErr w:type="spellEnd"/>
      <w:r w:rsidR="00DB4DD0" w:rsidRPr="00DB4DD0">
        <w:rPr>
          <w:rFonts w:eastAsia="Calibri"/>
          <w:b/>
          <w:szCs w:val="22"/>
          <w:u w:val="single"/>
          <w:lang w:eastAsia="en-US"/>
        </w:rPr>
        <w:t xml:space="preserve"> delivered on the </w:t>
      </w:r>
      <w:r w:rsidR="00F8673C">
        <w:rPr>
          <w:rFonts w:eastAsia="Calibri"/>
          <w:b/>
          <w:szCs w:val="22"/>
          <w:u w:val="single"/>
          <w:lang w:eastAsia="en-US"/>
        </w:rPr>
        <w:t>31</w:t>
      </w:r>
      <w:r w:rsidR="00F8673C" w:rsidRPr="00F8673C">
        <w:rPr>
          <w:rFonts w:eastAsia="Calibri"/>
          <w:b/>
          <w:szCs w:val="22"/>
          <w:u w:val="single"/>
          <w:vertAlign w:val="superscript"/>
          <w:lang w:eastAsia="en-US"/>
        </w:rPr>
        <w:t>st</w:t>
      </w:r>
      <w:r w:rsidR="00DB4DD0" w:rsidRPr="00DB4DD0">
        <w:rPr>
          <w:rFonts w:eastAsia="Calibri"/>
          <w:b/>
          <w:szCs w:val="22"/>
          <w:u w:val="single"/>
          <w:lang w:eastAsia="en-US"/>
        </w:rPr>
        <w:t xml:space="preserve"> day of </w:t>
      </w:r>
      <w:r w:rsidR="00F8673C">
        <w:rPr>
          <w:rFonts w:eastAsia="Calibri"/>
          <w:b/>
          <w:szCs w:val="22"/>
          <w:u w:val="single"/>
          <w:lang w:eastAsia="en-US"/>
        </w:rPr>
        <w:t>January</w:t>
      </w:r>
      <w:r w:rsidR="00DB4DD0" w:rsidRPr="00DB4DD0">
        <w:rPr>
          <w:rFonts w:eastAsia="Calibri"/>
          <w:b/>
          <w:szCs w:val="22"/>
          <w:u w:val="single"/>
          <w:lang w:eastAsia="en-US"/>
        </w:rPr>
        <w:t xml:space="preserve"> 202</w:t>
      </w:r>
      <w:r w:rsidR="00F8673C">
        <w:rPr>
          <w:rFonts w:eastAsia="Calibri"/>
          <w:b/>
          <w:szCs w:val="22"/>
          <w:u w:val="single"/>
          <w:lang w:eastAsia="en-US"/>
        </w:rPr>
        <w:t>2</w:t>
      </w:r>
      <w:r w:rsidR="00081285">
        <w:rPr>
          <w:b/>
          <w:u w:val="single"/>
        </w:rPr>
        <w:t xml:space="preserve">  </w:t>
      </w:r>
    </w:p>
    <w:p w14:paraId="26D7E293" w14:textId="77777777" w:rsidR="001E4AAF" w:rsidRPr="001E4AAF" w:rsidRDefault="001E4AAF" w:rsidP="001E4AAF">
      <w:pPr>
        <w:widowControl w:val="0"/>
        <w:rPr>
          <w:b/>
          <w:u w:val="single"/>
        </w:rPr>
      </w:pPr>
    </w:p>
    <w:p w14:paraId="431BF47F" w14:textId="555DE969" w:rsidR="00800BAC" w:rsidRPr="00800BAC" w:rsidRDefault="00486A53" w:rsidP="00463A20">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The appellants in this appeal are the third, fourth and fifth named of the petitioners referred to above.  They are all shareholders in </w:t>
      </w:r>
      <w:r w:rsidR="009E5D4B">
        <w:rPr>
          <w:rFonts w:ascii="Times New Roman" w:hAnsi="Times New Roman"/>
          <w:sz w:val="24"/>
        </w:rPr>
        <w:t>P</w:t>
      </w:r>
      <w:r>
        <w:rPr>
          <w:rFonts w:ascii="Times New Roman" w:hAnsi="Times New Roman"/>
          <w:sz w:val="24"/>
        </w:rPr>
        <w:t>ermanent</w:t>
      </w:r>
      <w:r w:rsidR="009E5D4B">
        <w:rPr>
          <w:rFonts w:ascii="Times New Roman" w:hAnsi="Times New Roman"/>
          <w:sz w:val="24"/>
        </w:rPr>
        <w:t xml:space="preserve"> TSB</w:t>
      </w:r>
      <w:r>
        <w:rPr>
          <w:rFonts w:ascii="Times New Roman" w:hAnsi="Times New Roman"/>
          <w:sz w:val="24"/>
        </w:rPr>
        <w:t xml:space="preserve"> Group Holdings </w:t>
      </w:r>
      <w:r w:rsidR="00CA6ADC">
        <w:rPr>
          <w:rFonts w:ascii="Times New Roman" w:hAnsi="Times New Roman"/>
          <w:sz w:val="24"/>
        </w:rPr>
        <w:t>p</w:t>
      </w:r>
      <w:r>
        <w:rPr>
          <w:rFonts w:ascii="Times New Roman" w:hAnsi="Times New Roman"/>
          <w:sz w:val="24"/>
        </w:rPr>
        <w:t xml:space="preserve">lc (“Holdings”).  The </w:t>
      </w:r>
      <w:r w:rsidR="00FA7C8E">
        <w:rPr>
          <w:rFonts w:ascii="Times New Roman" w:hAnsi="Times New Roman"/>
          <w:sz w:val="24"/>
        </w:rPr>
        <w:t xml:space="preserve">first to eleventh </w:t>
      </w:r>
      <w:r>
        <w:rPr>
          <w:rFonts w:ascii="Times New Roman" w:hAnsi="Times New Roman"/>
          <w:sz w:val="24"/>
        </w:rPr>
        <w:t>respondents</w:t>
      </w:r>
      <w:r w:rsidR="00FA7C8E">
        <w:rPr>
          <w:rFonts w:ascii="Times New Roman" w:hAnsi="Times New Roman"/>
          <w:sz w:val="24"/>
        </w:rPr>
        <w:t xml:space="preserve"> (the “Director Respondents”)</w:t>
      </w:r>
      <w:r>
        <w:rPr>
          <w:rFonts w:ascii="Times New Roman" w:hAnsi="Times New Roman"/>
          <w:sz w:val="24"/>
        </w:rPr>
        <w:t xml:space="preserve"> in this appeal were at the relevant time all directors of Holdings</w:t>
      </w:r>
      <w:r w:rsidR="00A61114">
        <w:rPr>
          <w:rFonts w:ascii="Times New Roman" w:hAnsi="Times New Roman"/>
          <w:sz w:val="24"/>
        </w:rPr>
        <w:t>.</w:t>
      </w:r>
      <w:r w:rsidR="003F14DC">
        <w:rPr>
          <w:rFonts w:ascii="Times New Roman" w:hAnsi="Times New Roman"/>
          <w:sz w:val="24"/>
        </w:rPr>
        <w:t xml:space="preserve"> </w:t>
      </w:r>
      <w:r>
        <w:rPr>
          <w:rFonts w:ascii="Times New Roman" w:hAnsi="Times New Roman"/>
          <w:sz w:val="24"/>
        </w:rPr>
        <w:t xml:space="preserve">The appellants appeal from a judgment of </w:t>
      </w:r>
      <w:proofErr w:type="spellStart"/>
      <w:r>
        <w:rPr>
          <w:rFonts w:ascii="Times New Roman" w:hAnsi="Times New Roman"/>
          <w:sz w:val="24"/>
        </w:rPr>
        <w:t>La</w:t>
      </w:r>
      <w:r w:rsidR="00977370">
        <w:rPr>
          <w:rFonts w:ascii="Times New Roman" w:hAnsi="Times New Roman"/>
          <w:sz w:val="24"/>
        </w:rPr>
        <w:t>f</w:t>
      </w:r>
      <w:r>
        <w:rPr>
          <w:rFonts w:ascii="Times New Roman" w:hAnsi="Times New Roman"/>
          <w:sz w:val="24"/>
        </w:rPr>
        <w:t>foy</w:t>
      </w:r>
      <w:proofErr w:type="spellEnd"/>
      <w:r>
        <w:rPr>
          <w:rFonts w:ascii="Times New Roman" w:hAnsi="Times New Roman"/>
          <w:sz w:val="24"/>
        </w:rPr>
        <w:t xml:space="preserve"> J. in the High Court delivered on 23</w:t>
      </w:r>
      <w:r w:rsidRPr="0013796C">
        <w:rPr>
          <w:rFonts w:ascii="Times New Roman" w:hAnsi="Times New Roman"/>
          <w:sz w:val="24"/>
          <w:vertAlign w:val="superscript"/>
        </w:rPr>
        <w:t>rd</w:t>
      </w:r>
      <w:r w:rsidR="0013796C">
        <w:rPr>
          <w:rFonts w:ascii="Times New Roman" w:hAnsi="Times New Roman"/>
          <w:sz w:val="24"/>
        </w:rPr>
        <w:t xml:space="preserve"> </w:t>
      </w:r>
      <w:r>
        <w:rPr>
          <w:rFonts w:ascii="Times New Roman" w:hAnsi="Times New Roman"/>
          <w:sz w:val="24"/>
        </w:rPr>
        <w:t xml:space="preserve">August 2013, in which she refused interlocutory reliefs sought by the appellants within High Court proceedings </w:t>
      </w:r>
      <w:r w:rsidR="007C228E">
        <w:rPr>
          <w:rFonts w:ascii="Times New Roman" w:hAnsi="Times New Roman"/>
          <w:sz w:val="24"/>
        </w:rPr>
        <w:t xml:space="preserve">(Record no. </w:t>
      </w:r>
      <w:r>
        <w:rPr>
          <w:rFonts w:ascii="Times New Roman" w:hAnsi="Times New Roman"/>
          <w:sz w:val="24"/>
        </w:rPr>
        <w:t>2013 36 Cos</w:t>
      </w:r>
      <w:r w:rsidR="007C228E">
        <w:rPr>
          <w:rFonts w:ascii="Times New Roman" w:hAnsi="Times New Roman"/>
          <w:sz w:val="24"/>
        </w:rPr>
        <w:t>)</w:t>
      </w:r>
      <w:r>
        <w:rPr>
          <w:rFonts w:ascii="Times New Roman" w:hAnsi="Times New Roman"/>
          <w:sz w:val="24"/>
        </w:rPr>
        <w:t>, which proceedings are brought by way of a petition pursuant to s.</w:t>
      </w:r>
      <w:r w:rsidR="000A6F81">
        <w:rPr>
          <w:rFonts w:ascii="Times New Roman" w:hAnsi="Times New Roman"/>
          <w:sz w:val="24"/>
        </w:rPr>
        <w:t xml:space="preserve"> </w:t>
      </w:r>
      <w:r w:rsidR="00B71C41">
        <w:rPr>
          <w:rFonts w:ascii="Times New Roman" w:hAnsi="Times New Roman"/>
          <w:sz w:val="24"/>
        </w:rPr>
        <w:t xml:space="preserve">205 of the Companies Act, 1963.  </w:t>
      </w:r>
    </w:p>
    <w:p w14:paraId="227F96D6" w14:textId="1BBC7E2C" w:rsidR="0091693D" w:rsidRPr="0087719F" w:rsidRDefault="00B71C41" w:rsidP="00463A20">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By these proceedings, the petitioners seek a range of reliefs against the </w:t>
      </w:r>
      <w:r w:rsidR="00261167">
        <w:rPr>
          <w:rFonts w:ascii="Times New Roman" w:hAnsi="Times New Roman"/>
          <w:sz w:val="24"/>
        </w:rPr>
        <w:t>Director R</w:t>
      </w:r>
      <w:r>
        <w:rPr>
          <w:rFonts w:ascii="Times New Roman" w:hAnsi="Times New Roman"/>
          <w:sz w:val="24"/>
        </w:rPr>
        <w:t xml:space="preserve">espondents, the first of which is that “It be declared that the powers of the first eleven named respondents while directors of ILPGH are being and/or had been exercised in a manner oppressive to the members of ILPGH, including the petitioners, and/or in disregard of their interests as members”.  The second relief sought is that it be declared that the affairs of Holdings </w:t>
      </w:r>
      <w:r w:rsidR="00053F9A">
        <w:rPr>
          <w:rFonts w:ascii="Times New Roman" w:hAnsi="Times New Roman"/>
          <w:sz w:val="24"/>
        </w:rPr>
        <w:t>have,</w:t>
      </w:r>
      <w:r>
        <w:rPr>
          <w:rFonts w:ascii="Times New Roman" w:hAnsi="Times New Roman"/>
          <w:sz w:val="24"/>
        </w:rPr>
        <w:t xml:space="preserve"> by virtue of the conduct of the Minister for Finance in his capacity of 99.2% majority shareholder of Holdings, be</w:t>
      </w:r>
      <w:r w:rsidR="00800BAC">
        <w:rPr>
          <w:rFonts w:ascii="Times New Roman" w:hAnsi="Times New Roman"/>
          <w:sz w:val="24"/>
        </w:rPr>
        <w:t>en</w:t>
      </w:r>
      <w:r>
        <w:rPr>
          <w:rFonts w:ascii="Times New Roman" w:hAnsi="Times New Roman"/>
          <w:sz w:val="24"/>
        </w:rPr>
        <w:t xml:space="preserve"> conducted in a manner oppressive to the members of Holdings, including the petitioners.  There then follows a series of claims for declarations arising out of the reorganisation and recapitali</w:t>
      </w:r>
      <w:r w:rsidR="00053F9A">
        <w:rPr>
          <w:rFonts w:ascii="Times New Roman" w:hAnsi="Times New Roman"/>
          <w:sz w:val="24"/>
        </w:rPr>
        <w:t>s</w:t>
      </w:r>
      <w:r>
        <w:rPr>
          <w:rFonts w:ascii="Times New Roman" w:hAnsi="Times New Roman"/>
          <w:sz w:val="24"/>
        </w:rPr>
        <w:t xml:space="preserve">ation of Holdings pursuant to direction orders made by the </w:t>
      </w:r>
      <w:r w:rsidR="009F6B2E">
        <w:rPr>
          <w:rFonts w:ascii="Times New Roman" w:hAnsi="Times New Roman"/>
          <w:sz w:val="24"/>
        </w:rPr>
        <w:t>c</w:t>
      </w:r>
      <w:r>
        <w:rPr>
          <w:rFonts w:ascii="Times New Roman" w:hAnsi="Times New Roman"/>
          <w:sz w:val="24"/>
        </w:rPr>
        <w:t xml:space="preserve">ourt </w:t>
      </w:r>
      <w:r w:rsidR="0067789E">
        <w:rPr>
          <w:rFonts w:ascii="Times New Roman" w:hAnsi="Times New Roman"/>
          <w:sz w:val="24"/>
        </w:rPr>
        <w:t>(</w:t>
      </w:r>
      <w:r>
        <w:rPr>
          <w:rFonts w:ascii="Times New Roman" w:hAnsi="Times New Roman"/>
          <w:sz w:val="24"/>
        </w:rPr>
        <w:t>on the application of the Minister</w:t>
      </w:r>
      <w:r w:rsidR="00053F9A">
        <w:rPr>
          <w:rFonts w:ascii="Times New Roman" w:hAnsi="Times New Roman"/>
          <w:sz w:val="24"/>
        </w:rPr>
        <w:t xml:space="preserve"> for Finance</w:t>
      </w:r>
      <w:r>
        <w:rPr>
          <w:rFonts w:ascii="Times New Roman" w:hAnsi="Times New Roman"/>
          <w:sz w:val="24"/>
        </w:rPr>
        <w:t>) on 26</w:t>
      </w:r>
      <w:r w:rsidRPr="00B71C41">
        <w:rPr>
          <w:rFonts w:ascii="Times New Roman" w:hAnsi="Times New Roman"/>
          <w:sz w:val="24"/>
          <w:vertAlign w:val="superscript"/>
        </w:rPr>
        <w:t>th</w:t>
      </w:r>
      <w:r>
        <w:rPr>
          <w:rFonts w:ascii="Times New Roman" w:hAnsi="Times New Roman"/>
          <w:sz w:val="24"/>
        </w:rPr>
        <w:t xml:space="preserve"> </w:t>
      </w:r>
      <w:r>
        <w:rPr>
          <w:rFonts w:ascii="Times New Roman" w:hAnsi="Times New Roman"/>
          <w:sz w:val="24"/>
        </w:rPr>
        <w:lastRenderedPageBreak/>
        <w:t>July 2011</w:t>
      </w:r>
      <w:r w:rsidR="00837161">
        <w:rPr>
          <w:rFonts w:ascii="Times New Roman" w:hAnsi="Times New Roman"/>
          <w:sz w:val="24"/>
        </w:rPr>
        <w:t xml:space="preserve"> (the “2011 Direction Order”)</w:t>
      </w:r>
      <w:r>
        <w:rPr>
          <w:rFonts w:ascii="Times New Roman" w:hAnsi="Times New Roman"/>
          <w:sz w:val="24"/>
        </w:rPr>
        <w:t xml:space="preserve"> and 28</w:t>
      </w:r>
      <w:r w:rsidRPr="00B71C41">
        <w:rPr>
          <w:rFonts w:ascii="Times New Roman" w:hAnsi="Times New Roman"/>
          <w:sz w:val="24"/>
          <w:vertAlign w:val="superscript"/>
        </w:rPr>
        <w:t>th</w:t>
      </w:r>
      <w:r>
        <w:rPr>
          <w:rFonts w:ascii="Times New Roman" w:hAnsi="Times New Roman"/>
          <w:sz w:val="24"/>
        </w:rPr>
        <w:t xml:space="preserve"> March 2012</w:t>
      </w:r>
      <w:r w:rsidR="0063777F">
        <w:rPr>
          <w:rFonts w:ascii="Times New Roman" w:hAnsi="Times New Roman"/>
          <w:sz w:val="24"/>
        </w:rPr>
        <w:t xml:space="preserve"> (the “2012 Direction Order”)</w:t>
      </w:r>
      <w:r>
        <w:rPr>
          <w:rFonts w:ascii="Times New Roman" w:hAnsi="Times New Roman"/>
          <w:sz w:val="24"/>
        </w:rPr>
        <w:t>, pursuant to the Credit Institutions (Stabili</w:t>
      </w:r>
      <w:r w:rsidR="00053F9A">
        <w:rPr>
          <w:rFonts w:ascii="Times New Roman" w:hAnsi="Times New Roman"/>
          <w:sz w:val="24"/>
        </w:rPr>
        <w:t>s</w:t>
      </w:r>
      <w:r>
        <w:rPr>
          <w:rFonts w:ascii="Times New Roman" w:hAnsi="Times New Roman"/>
          <w:sz w:val="24"/>
        </w:rPr>
        <w:t>ation) Act 2010.  More specifically, the petitioners seek orders that the terms of</w:t>
      </w:r>
      <w:r w:rsidR="00800BAC">
        <w:rPr>
          <w:rFonts w:ascii="Times New Roman" w:hAnsi="Times New Roman"/>
          <w:sz w:val="24"/>
        </w:rPr>
        <w:t xml:space="preserve"> th</w:t>
      </w:r>
      <w:r w:rsidR="00AC4C8F">
        <w:rPr>
          <w:rFonts w:ascii="Times New Roman" w:hAnsi="Times New Roman"/>
          <w:sz w:val="24"/>
        </w:rPr>
        <w:t>e</w:t>
      </w:r>
      <w:r>
        <w:rPr>
          <w:rFonts w:ascii="Times New Roman" w:hAnsi="Times New Roman"/>
          <w:sz w:val="24"/>
        </w:rPr>
        <w:t xml:space="preserve"> </w:t>
      </w:r>
      <w:r w:rsidR="00AC4C8F">
        <w:rPr>
          <w:rFonts w:ascii="Times New Roman" w:hAnsi="Times New Roman"/>
          <w:sz w:val="24"/>
        </w:rPr>
        <w:t>said d</w:t>
      </w:r>
      <w:r>
        <w:rPr>
          <w:rFonts w:ascii="Times New Roman" w:hAnsi="Times New Roman"/>
          <w:sz w:val="24"/>
        </w:rPr>
        <w:t xml:space="preserve">irection orders be declared incompatible </w:t>
      </w:r>
      <w:r w:rsidR="00977370">
        <w:rPr>
          <w:rFonts w:ascii="Times New Roman" w:hAnsi="Times New Roman"/>
          <w:sz w:val="24"/>
        </w:rPr>
        <w:t>with</w:t>
      </w:r>
      <w:r w:rsidR="00800BAC">
        <w:rPr>
          <w:rFonts w:ascii="Times New Roman" w:hAnsi="Times New Roman"/>
          <w:sz w:val="24"/>
        </w:rPr>
        <w:t xml:space="preserve"> various p</w:t>
      </w:r>
      <w:r>
        <w:rPr>
          <w:rFonts w:ascii="Times New Roman" w:hAnsi="Times New Roman"/>
          <w:sz w:val="24"/>
        </w:rPr>
        <w:t xml:space="preserve">rovisions of European Union </w:t>
      </w:r>
      <w:r w:rsidR="0063777F">
        <w:rPr>
          <w:rFonts w:ascii="Times New Roman" w:hAnsi="Times New Roman"/>
          <w:sz w:val="24"/>
        </w:rPr>
        <w:t>l</w:t>
      </w:r>
      <w:r>
        <w:rPr>
          <w:rFonts w:ascii="Times New Roman" w:hAnsi="Times New Roman"/>
          <w:sz w:val="24"/>
        </w:rPr>
        <w:t xml:space="preserve">aw and </w:t>
      </w:r>
      <w:r w:rsidR="00800BAC">
        <w:rPr>
          <w:rFonts w:ascii="Times New Roman" w:hAnsi="Times New Roman"/>
          <w:sz w:val="24"/>
        </w:rPr>
        <w:t xml:space="preserve">are </w:t>
      </w:r>
      <w:r>
        <w:rPr>
          <w:rFonts w:ascii="Times New Roman" w:hAnsi="Times New Roman"/>
          <w:sz w:val="24"/>
        </w:rPr>
        <w:t xml:space="preserve">oppressive to the members of Holdings and in disregard of their </w:t>
      </w:r>
      <w:r w:rsidR="00096B10">
        <w:rPr>
          <w:rFonts w:ascii="Times New Roman" w:hAnsi="Times New Roman"/>
          <w:sz w:val="24"/>
        </w:rPr>
        <w:t>interests</w:t>
      </w:r>
      <w:r>
        <w:rPr>
          <w:rFonts w:ascii="Times New Roman" w:hAnsi="Times New Roman"/>
          <w:sz w:val="24"/>
        </w:rPr>
        <w:t xml:space="preserve"> as </w:t>
      </w:r>
      <w:r w:rsidR="00096B10">
        <w:rPr>
          <w:rFonts w:ascii="Times New Roman" w:hAnsi="Times New Roman"/>
          <w:sz w:val="24"/>
        </w:rPr>
        <w:t>members</w:t>
      </w:r>
      <w:r>
        <w:rPr>
          <w:rFonts w:ascii="Times New Roman" w:hAnsi="Times New Roman"/>
          <w:sz w:val="24"/>
        </w:rPr>
        <w:t xml:space="preserve"> of Holdings. </w:t>
      </w:r>
      <w:r w:rsidR="00096B10">
        <w:rPr>
          <w:rFonts w:ascii="Times New Roman" w:hAnsi="Times New Roman"/>
          <w:sz w:val="24"/>
        </w:rPr>
        <w:t xml:space="preserve"> Six of the fifteen reliefs claimed by petitioners seek orders of this kind.  The petiti</w:t>
      </w:r>
      <w:r w:rsidR="009B6400">
        <w:rPr>
          <w:rFonts w:ascii="Times New Roman" w:hAnsi="Times New Roman"/>
          <w:sz w:val="24"/>
        </w:rPr>
        <w:t>on was filed in the High Court Central O</w:t>
      </w:r>
      <w:r w:rsidR="00096B10">
        <w:rPr>
          <w:rFonts w:ascii="Times New Roman" w:hAnsi="Times New Roman"/>
          <w:sz w:val="24"/>
        </w:rPr>
        <w:t>ffice on 25</w:t>
      </w:r>
      <w:r w:rsidR="00096B10" w:rsidRPr="00096B10">
        <w:rPr>
          <w:rFonts w:ascii="Times New Roman" w:hAnsi="Times New Roman"/>
          <w:sz w:val="24"/>
          <w:vertAlign w:val="superscript"/>
        </w:rPr>
        <w:t>th</w:t>
      </w:r>
      <w:r w:rsidR="00096B10">
        <w:rPr>
          <w:rFonts w:ascii="Times New Roman" w:hAnsi="Times New Roman"/>
          <w:sz w:val="24"/>
        </w:rPr>
        <w:t xml:space="preserve"> January 2013.</w:t>
      </w:r>
    </w:p>
    <w:p w14:paraId="3E62881F" w14:textId="318A5543" w:rsidR="0087719F" w:rsidRPr="0087719F" w:rsidRDefault="0087719F" w:rsidP="00463A20">
      <w:pPr>
        <w:pStyle w:val="ListParagraph"/>
        <w:numPr>
          <w:ilvl w:val="0"/>
          <w:numId w:val="1"/>
        </w:numPr>
        <w:tabs>
          <w:tab w:val="left" w:pos="567"/>
        </w:tabs>
        <w:spacing w:line="480" w:lineRule="auto"/>
        <w:ind w:left="0" w:firstLine="0"/>
        <w:rPr>
          <w:rFonts w:ascii="Times New Roman" w:hAnsi="Times New Roman"/>
          <w:sz w:val="24"/>
        </w:rPr>
      </w:pPr>
      <w:r w:rsidRPr="0087719F">
        <w:rPr>
          <w:rFonts w:ascii="Times New Roman" w:hAnsi="Times New Roman"/>
          <w:sz w:val="24"/>
        </w:rPr>
        <w:t xml:space="preserve">An </w:t>
      </w:r>
      <w:r>
        <w:rPr>
          <w:rFonts w:ascii="Times New Roman" w:hAnsi="Times New Roman"/>
          <w:sz w:val="24"/>
        </w:rPr>
        <w:t xml:space="preserve">important feature to the background to these proceedings is that, at the time of their issue, and at the time of the hearing of the application before </w:t>
      </w:r>
      <w:proofErr w:type="spellStart"/>
      <w:r>
        <w:rPr>
          <w:rFonts w:ascii="Times New Roman" w:hAnsi="Times New Roman"/>
          <w:sz w:val="24"/>
        </w:rPr>
        <w:t>Laffoy</w:t>
      </w:r>
      <w:proofErr w:type="spellEnd"/>
      <w:r>
        <w:rPr>
          <w:rFonts w:ascii="Times New Roman" w:hAnsi="Times New Roman"/>
          <w:sz w:val="24"/>
        </w:rPr>
        <w:t xml:space="preserve"> J., there were then in existence separate proceedings also brought by </w:t>
      </w:r>
      <w:r w:rsidR="005F1AF7">
        <w:rPr>
          <w:rFonts w:ascii="Times New Roman" w:hAnsi="Times New Roman"/>
          <w:sz w:val="24"/>
        </w:rPr>
        <w:t>some (but not all</w:t>
      </w:r>
      <w:r w:rsidR="00317234">
        <w:rPr>
          <w:rFonts w:ascii="Times New Roman" w:hAnsi="Times New Roman"/>
          <w:sz w:val="24"/>
        </w:rPr>
        <w:t>)</w:t>
      </w:r>
      <w:r w:rsidR="005F1AF7">
        <w:rPr>
          <w:rFonts w:ascii="Times New Roman" w:hAnsi="Times New Roman"/>
          <w:sz w:val="24"/>
        </w:rPr>
        <w:t xml:space="preserve"> of</w:t>
      </w:r>
      <w:r w:rsidR="00A61114">
        <w:rPr>
          <w:rFonts w:ascii="Times New Roman" w:hAnsi="Times New Roman"/>
          <w:sz w:val="24"/>
        </w:rPr>
        <w:t xml:space="preserve"> </w:t>
      </w:r>
      <w:r>
        <w:rPr>
          <w:rFonts w:ascii="Times New Roman" w:hAnsi="Times New Roman"/>
          <w:sz w:val="24"/>
        </w:rPr>
        <w:t xml:space="preserve">the </w:t>
      </w:r>
      <w:r w:rsidR="00561755">
        <w:rPr>
          <w:rFonts w:ascii="Times New Roman" w:hAnsi="Times New Roman"/>
          <w:sz w:val="24"/>
        </w:rPr>
        <w:t>p</w:t>
      </w:r>
      <w:r>
        <w:rPr>
          <w:rFonts w:ascii="Times New Roman" w:hAnsi="Times New Roman"/>
          <w:sz w:val="24"/>
        </w:rPr>
        <w:t>etitioners herein</w:t>
      </w:r>
      <w:r w:rsidR="005F1AF7">
        <w:rPr>
          <w:rFonts w:ascii="Times New Roman" w:hAnsi="Times New Roman"/>
          <w:sz w:val="24"/>
        </w:rPr>
        <w:t xml:space="preserve"> and other parties</w:t>
      </w:r>
      <w:r>
        <w:rPr>
          <w:rFonts w:ascii="Times New Roman" w:hAnsi="Times New Roman"/>
          <w:sz w:val="24"/>
        </w:rPr>
        <w:t>, seeking reliefs of a very similar kind, as respects the 2011</w:t>
      </w:r>
      <w:r w:rsidR="000D530F">
        <w:rPr>
          <w:rFonts w:ascii="Times New Roman" w:hAnsi="Times New Roman"/>
          <w:sz w:val="24"/>
        </w:rPr>
        <w:t xml:space="preserve"> </w:t>
      </w:r>
      <w:r>
        <w:rPr>
          <w:rFonts w:ascii="Times New Roman" w:hAnsi="Times New Roman"/>
          <w:sz w:val="24"/>
        </w:rPr>
        <w:t>and 2012 Direction Orders (and in any case to the intent of having those orders quashed or set aside). Those proceedings</w:t>
      </w:r>
      <w:r w:rsidR="005F1AF7">
        <w:rPr>
          <w:rFonts w:ascii="Times New Roman" w:hAnsi="Times New Roman"/>
          <w:sz w:val="24"/>
        </w:rPr>
        <w:t>, and other proceedings</w:t>
      </w:r>
      <w:r w:rsidR="00E51B20">
        <w:rPr>
          <w:rFonts w:ascii="Times New Roman" w:hAnsi="Times New Roman"/>
          <w:sz w:val="24"/>
        </w:rPr>
        <w:t xml:space="preserve"> arising out of the same events are</w:t>
      </w:r>
      <w:r w:rsidR="005F1AF7">
        <w:rPr>
          <w:rFonts w:ascii="Times New Roman" w:hAnsi="Times New Roman"/>
          <w:sz w:val="24"/>
        </w:rPr>
        <w:t xml:space="preserve"> referred to by the trial judge in the judgment under appeal as the “Related Proceedings”</w:t>
      </w:r>
      <w:r w:rsidR="00E51B20">
        <w:rPr>
          <w:rFonts w:ascii="Times New Roman" w:hAnsi="Times New Roman"/>
          <w:sz w:val="24"/>
        </w:rPr>
        <w:t>,</w:t>
      </w:r>
      <w:r w:rsidR="005F1AF7">
        <w:rPr>
          <w:rFonts w:ascii="Times New Roman" w:hAnsi="Times New Roman"/>
          <w:sz w:val="24"/>
        </w:rPr>
        <w:t xml:space="preserve"> a term I will adopt in this judgment in reference to the same proceedings</w:t>
      </w:r>
      <w:r w:rsidR="00E51B20">
        <w:rPr>
          <w:rFonts w:ascii="Times New Roman" w:hAnsi="Times New Roman"/>
          <w:sz w:val="24"/>
        </w:rPr>
        <w:t>. The proceedings challenging the lawfulness of the 2011 Direction Order</w:t>
      </w:r>
      <w:r w:rsidR="005F1AF7">
        <w:rPr>
          <w:rFonts w:ascii="Times New Roman" w:hAnsi="Times New Roman"/>
          <w:sz w:val="24"/>
        </w:rPr>
        <w:t xml:space="preserve"> </w:t>
      </w:r>
      <w:r>
        <w:rPr>
          <w:rFonts w:ascii="Times New Roman" w:hAnsi="Times New Roman"/>
          <w:sz w:val="24"/>
        </w:rPr>
        <w:t xml:space="preserve">resulted in a reference to the Court of Justice of the European Union, following the decision of which the petitioners were unsuccessful in the High Court in both sets of proceedings. The petitioners appealed both decisions of the High Court, and were unsuccessful in their </w:t>
      </w:r>
      <w:r w:rsidR="00E40411">
        <w:rPr>
          <w:rFonts w:ascii="Times New Roman" w:hAnsi="Times New Roman"/>
          <w:sz w:val="24"/>
        </w:rPr>
        <w:t xml:space="preserve">application for leave to </w:t>
      </w:r>
      <w:r>
        <w:rPr>
          <w:rFonts w:ascii="Times New Roman" w:hAnsi="Times New Roman"/>
          <w:sz w:val="24"/>
        </w:rPr>
        <w:t>appeal to the Supreme Court relating to the 2011</w:t>
      </w:r>
      <w:r w:rsidR="005F1AF7">
        <w:rPr>
          <w:rFonts w:ascii="Times New Roman" w:hAnsi="Times New Roman"/>
          <w:sz w:val="24"/>
        </w:rPr>
        <w:t xml:space="preserve"> </w:t>
      </w:r>
      <w:r>
        <w:rPr>
          <w:rFonts w:ascii="Times New Roman" w:hAnsi="Times New Roman"/>
          <w:sz w:val="24"/>
        </w:rPr>
        <w:t>Direction Order (from a dec</w:t>
      </w:r>
      <w:r w:rsidR="005F1AF7">
        <w:rPr>
          <w:rFonts w:ascii="Times New Roman" w:hAnsi="Times New Roman"/>
          <w:sz w:val="24"/>
        </w:rPr>
        <w:t>isio</w:t>
      </w:r>
      <w:r>
        <w:rPr>
          <w:rFonts w:ascii="Times New Roman" w:hAnsi="Times New Roman"/>
          <w:sz w:val="24"/>
        </w:rPr>
        <w:t>n of O’</w:t>
      </w:r>
      <w:r w:rsidR="005F1AF7">
        <w:rPr>
          <w:rFonts w:ascii="Times New Roman" w:hAnsi="Times New Roman"/>
          <w:sz w:val="24"/>
        </w:rPr>
        <w:t>M</w:t>
      </w:r>
      <w:r>
        <w:rPr>
          <w:rFonts w:ascii="Times New Roman" w:hAnsi="Times New Roman"/>
          <w:sz w:val="24"/>
        </w:rPr>
        <w:t xml:space="preserve">alley J. of </w:t>
      </w:r>
      <w:r w:rsidR="00710837">
        <w:rPr>
          <w:rFonts w:ascii="Times New Roman" w:hAnsi="Times New Roman"/>
          <w:sz w:val="24"/>
        </w:rPr>
        <w:t>31</w:t>
      </w:r>
      <w:r w:rsidR="00710837" w:rsidRPr="00710837">
        <w:rPr>
          <w:rFonts w:ascii="Times New Roman" w:hAnsi="Times New Roman"/>
          <w:sz w:val="24"/>
          <w:vertAlign w:val="superscript"/>
        </w:rPr>
        <w:t>st</w:t>
      </w:r>
      <w:r w:rsidR="00710837">
        <w:rPr>
          <w:rFonts w:ascii="Times New Roman" w:hAnsi="Times New Roman"/>
          <w:sz w:val="24"/>
        </w:rPr>
        <w:t xml:space="preserve"> July 2017</w:t>
      </w:r>
      <w:r>
        <w:rPr>
          <w:rFonts w:ascii="Times New Roman" w:hAnsi="Times New Roman"/>
          <w:sz w:val="24"/>
        </w:rPr>
        <w:t>)</w:t>
      </w:r>
      <w:r w:rsidR="005F1AF7">
        <w:rPr>
          <w:rFonts w:ascii="Times New Roman" w:hAnsi="Times New Roman"/>
          <w:sz w:val="24"/>
        </w:rPr>
        <w:t>, while</w:t>
      </w:r>
      <w:r>
        <w:rPr>
          <w:rFonts w:ascii="Times New Roman" w:hAnsi="Times New Roman"/>
          <w:sz w:val="24"/>
        </w:rPr>
        <w:t xml:space="preserve"> an appeal from the decision of Peart J. </w:t>
      </w:r>
      <w:r w:rsidR="005F1AF7">
        <w:rPr>
          <w:rFonts w:ascii="Times New Roman" w:hAnsi="Times New Roman"/>
          <w:sz w:val="24"/>
        </w:rPr>
        <w:t xml:space="preserve">of </w:t>
      </w:r>
      <w:r w:rsidR="00E51B20">
        <w:rPr>
          <w:rFonts w:ascii="Times New Roman" w:hAnsi="Times New Roman"/>
          <w:sz w:val="24"/>
        </w:rPr>
        <w:t>28</w:t>
      </w:r>
      <w:r w:rsidR="00E51B20" w:rsidRPr="00E51B20">
        <w:rPr>
          <w:rFonts w:ascii="Times New Roman" w:hAnsi="Times New Roman"/>
          <w:sz w:val="24"/>
          <w:vertAlign w:val="superscript"/>
        </w:rPr>
        <w:t>th</w:t>
      </w:r>
      <w:r w:rsidR="00E51B20">
        <w:rPr>
          <w:rFonts w:ascii="Times New Roman" w:hAnsi="Times New Roman"/>
          <w:sz w:val="24"/>
        </w:rPr>
        <w:t xml:space="preserve"> June 2012</w:t>
      </w:r>
      <w:r w:rsidR="005F1AF7">
        <w:rPr>
          <w:rFonts w:ascii="Times New Roman" w:hAnsi="Times New Roman"/>
          <w:sz w:val="24"/>
        </w:rPr>
        <w:t xml:space="preserve"> </w:t>
      </w:r>
      <w:r>
        <w:rPr>
          <w:rFonts w:ascii="Times New Roman" w:hAnsi="Times New Roman"/>
          <w:sz w:val="24"/>
        </w:rPr>
        <w:t xml:space="preserve">relating to the 2012 Direction </w:t>
      </w:r>
      <w:r w:rsidR="006B4CCC">
        <w:rPr>
          <w:rFonts w:ascii="Times New Roman" w:hAnsi="Times New Roman"/>
          <w:sz w:val="24"/>
        </w:rPr>
        <w:t>O</w:t>
      </w:r>
      <w:r>
        <w:rPr>
          <w:rFonts w:ascii="Times New Roman" w:hAnsi="Times New Roman"/>
          <w:sz w:val="24"/>
        </w:rPr>
        <w:t>rder has been heard, and judgment is pending.</w:t>
      </w:r>
    </w:p>
    <w:p w14:paraId="13CA5C66" w14:textId="77777777" w:rsidR="00096B10" w:rsidRPr="009B6400" w:rsidRDefault="009B6400" w:rsidP="00463A20">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By Notice of Motion dated 3</w:t>
      </w:r>
      <w:r w:rsidRPr="009B6400">
        <w:rPr>
          <w:rFonts w:ascii="Times New Roman" w:hAnsi="Times New Roman"/>
          <w:sz w:val="24"/>
          <w:vertAlign w:val="superscript"/>
        </w:rPr>
        <w:t>rd</w:t>
      </w:r>
      <w:r>
        <w:rPr>
          <w:rFonts w:ascii="Times New Roman" w:hAnsi="Times New Roman"/>
          <w:sz w:val="24"/>
        </w:rPr>
        <w:t xml:space="preserve"> April 2013, the petitioners sought the following interlocutory orders, which are the subject of the judgment of </w:t>
      </w:r>
      <w:proofErr w:type="spellStart"/>
      <w:r>
        <w:rPr>
          <w:rFonts w:ascii="Times New Roman" w:hAnsi="Times New Roman"/>
          <w:sz w:val="24"/>
        </w:rPr>
        <w:t>Laffoy</w:t>
      </w:r>
      <w:proofErr w:type="spellEnd"/>
      <w:r>
        <w:rPr>
          <w:rFonts w:ascii="Times New Roman" w:hAnsi="Times New Roman"/>
          <w:sz w:val="24"/>
        </w:rPr>
        <w:t xml:space="preserve"> J. from which the appellants appeal:</w:t>
      </w:r>
    </w:p>
    <w:p w14:paraId="55476190" w14:textId="77777777" w:rsidR="009B6400" w:rsidRPr="00977370" w:rsidRDefault="00977370" w:rsidP="00463A20">
      <w:pPr>
        <w:pStyle w:val="ListParagraph"/>
        <w:numPr>
          <w:ilvl w:val="0"/>
          <w:numId w:val="2"/>
        </w:numPr>
        <w:tabs>
          <w:tab w:val="left" w:pos="567"/>
        </w:tabs>
        <w:spacing w:line="480" w:lineRule="auto"/>
        <w:ind w:left="1134" w:hanging="567"/>
        <w:rPr>
          <w:rFonts w:ascii="Times New Roman" w:hAnsi="Times New Roman"/>
          <w:sz w:val="24"/>
        </w:rPr>
      </w:pPr>
      <w:r w:rsidRPr="00977370">
        <w:rPr>
          <w:rFonts w:ascii="Times New Roman" w:hAnsi="Times New Roman"/>
          <w:sz w:val="24"/>
        </w:rPr>
        <w:lastRenderedPageBreak/>
        <w:t>That the first eleven named respondents</w:t>
      </w:r>
      <w:r w:rsidR="009B6400" w:rsidRPr="00977370">
        <w:rPr>
          <w:rFonts w:ascii="Times New Roman" w:hAnsi="Times New Roman"/>
          <w:sz w:val="24"/>
        </w:rPr>
        <w:t xml:space="preserve"> or any of them be precluded from being repre</w:t>
      </w:r>
      <w:r w:rsidRPr="00977370">
        <w:rPr>
          <w:rFonts w:ascii="Times New Roman" w:hAnsi="Times New Roman"/>
          <w:sz w:val="24"/>
        </w:rPr>
        <w:t>sented in the within proceedings</w:t>
      </w:r>
      <w:r w:rsidR="009B6400" w:rsidRPr="00977370">
        <w:rPr>
          <w:rFonts w:ascii="Times New Roman" w:hAnsi="Times New Roman"/>
          <w:sz w:val="24"/>
        </w:rPr>
        <w:t xml:space="preserve"> at the</w:t>
      </w:r>
      <w:r w:rsidRPr="00977370">
        <w:rPr>
          <w:rFonts w:ascii="Times New Roman" w:hAnsi="Times New Roman"/>
          <w:sz w:val="24"/>
        </w:rPr>
        <w:t xml:space="preserve"> </w:t>
      </w:r>
      <w:r w:rsidR="009B6400" w:rsidRPr="00977370">
        <w:rPr>
          <w:rFonts w:ascii="Times New Roman" w:hAnsi="Times New Roman"/>
          <w:sz w:val="24"/>
        </w:rPr>
        <w:t xml:space="preserve">expense of </w:t>
      </w:r>
      <w:r w:rsidRPr="00977370">
        <w:rPr>
          <w:rFonts w:ascii="Times New Roman" w:hAnsi="Times New Roman"/>
          <w:sz w:val="24"/>
        </w:rPr>
        <w:t xml:space="preserve">Permanent TSB Group </w:t>
      </w:r>
      <w:r w:rsidR="009B6400" w:rsidRPr="00977370">
        <w:rPr>
          <w:rFonts w:ascii="Times New Roman" w:hAnsi="Times New Roman"/>
          <w:sz w:val="24"/>
        </w:rPr>
        <w:t xml:space="preserve">Holdings </w:t>
      </w:r>
      <w:r>
        <w:rPr>
          <w:rFonts w:ascii="Times New Roman" w:hAnsi="Times New Roman"/>
          <w:sz w:val="24"/>
        </w:rPr>
        <w:t>p</w:t>
      </w:r>
      <w:r w:rsidRPr="00977370">
        <w:rPr>
          <w:rFonts w:ascii="Times New Roman" w:hAnsi="Times New Roman"/>
          <w:sz w:val="24"/>
        </w:rPr>
        <w:t xml:space="preserve">lc </w:t>
      </w:r>
      <w:r w:rsidR="009B6400" w:rsidRPr="00977370">
        <w:rPr>
          <w:rFonts w:ascii="Times New Roman" w:hAnsi="Times New Roman"/>
          <w:sz w:val="24"/>
        </w:rPr>
        <w:t xml:space="preserve">or </w:t>
      </w:r>
      <w:r w:rsidRPr="00977370">
        <w:rPr>
          <w:rFonts w:ascii="Times New Roman" w:hAnsi="Times New Roman"/>
          <w:sz w:val="24"/>
        </w:rPr>
        <w:t>Permanent</w:t>
      </w:r>
      <w:r>
        <w:rPr>
          <w:rFonts w:ascii="Times New Roman" w:hAnsi="Times New Roman"/>
          <w:sz w:val="24"/>
        </w:rPr>
        <w:t xml:space="preserve"> TSB p</w:t>
      </w:r>
      <w:r w:rsidRPr="00977370">
        <w:rPr>
          <w:rFonts w:ascii="Times New Roman" w:hAnsi="Times New Roman"/>
          <w:sz w:val="24"/>
        </w:rPr>
        <w:t>lc or any of its subsidiaries;</w:t>
      </w:r>
    </w:p>
    <w:p w14:paraId="2E76A71B" w14:textId="77777777" w:rsidR="009B6400" w:rsidRDefault="00977370" w:rsidP="00463A20">
      <w:pPr>
        <w:pStyle w:val="ListParagraph"/>
        <w:numPr>
          <w:ilvl w:val="0"/>
          <w:numId w:val="2"/>
        </w:numPr>
        <w:tabs>
          <w:tab w:val="left" w:pos="567"/>
        </w:tabs>
        <w:spacing w:line="480" w:lineRule="auto"/>
        <w:ind w:left="1134" w:hanging="567"/>
        <w:rPr>
          <w:rFonts w:ascii="Times New Roman" w:hAnsi="Times New Roman"/>
          <w:sz w:val="24"/>
        </w:rPr>
      </w:pPr>
      <w:r w:rsidRPr="00977370">
        <w:rPr>
          <w:rFonts w:ascii="Times New Roman" w:hAnsi="Times New Roman"/>
          <w:sz w:val="24"/>
        </w:rPr>
        <w:t>That the first eleven named respondents</w:t>
      </w:r>
      <w:r w:rsidR="009B6400" w:rsidRPr="00977370">
        <w:rPr>
          <w:rFonts w:ascii="Times New Roman" w:hAnsi="Times New Roman"/>
          <w:sz w:val="24"/>
        </w:rPr>
        <w:t xml:space="preserve"> or any of them be precluded from utilising the resources </w:t>
      </w:r>
      <w:r w:rsidRPr="00977370">
        <w:rPr>
          <w:rFonts w:ascii="Times New Roman" w:hAnsi="Times New Roman"/>
          <w:sz w:val="24"/>
        </w:rPr>
        <w:t xml:space="preserve">of Permanent TSB Group Holdings plc or Permanent TSB plc or any of its subsidiaries </w:t>
      </w:r>
      <w:r w:rsidR="009B6400" w:rsidRPr="00977370">
        <w:rPr>
          <w:rFonts w:ascii="Times New Roman" w:hAnsi="Times New Roman"/>
          <w:sz w:val="24"/>
        </w:rPr>
        <w:t>to a</w:t>
      </w:r>
      <w:r>
        <w:rPr>
          <w:rFonts w:ascii="Times New Roman" w:hAnsi="Times New Roman"/>
          <w:sz w:val="24"/>
        </w:rPr>
        <w:t xml:space="preserve">id their defence in the within proceedings; </w:t>
      </w:r>
    </w:p>
    <w:p w14:paraId="18F58FD3" w14:textId="77777777" w:rsidR="009B6400" w:rsidRDefault="00977370" w:rsidP="00463A20">
      <w:pPr>
        <w:pStyle w:val="ListParagraph"/>
        <w:numPr>
          <w:ilvl w:val="0"/>
          <w:numId w:val="2"/>
        </w:numPr>
        <w:tabs>
          <w:tab w:val="left" w:pos="567"/>
        </w:tabs>
        <w:spacing w:line="480" w:lineRule="auto"/>
        <w:ind w:left="1134" w:hanging="567"/>
        <w:rPr>
          <w:rFonts w:ascii="Times New Roman" w:hAnsi="Times New Roman"/>
          <w:sz w:val="24"/>
        </w:rPr>
      </w:pPr>
      <w:r w:rsidRPr="00977370">
        <w:rPr>
          <w:rFonts w:ascii="Times New Roman" w:hAnsi="Times New Roman"/>
          <w:sz w:val="24"/>
        </w:rPr>
        <w:t>T</w:t>
      </w:r>
      <w:r>
        <w:rPr>
          <w:rFonts w:ascii="Times New Roman" w:hAnsi="Times New Roman"/>
          <w:sz w:val="24"/>
        </w:rPr>
        <w:t>hat the first eleven named r</w:t>
      </w:r>
      <w:r w:rsidR="009B6400" w:rsidRPr="00977370">
        <w:rPr>
          <w:rFonts w:ascii="Times New Roman" w:hAnsi="Times New Roman"/>
          <w:sz w:val="24"/>
        </w:rPr>
        <w:t xml:space="preserve">espondents reimburse any monies that </w:t>
      </w:r>
      <w:r w:rsidRPr="00977370">
        <w:rPr>
          <w:rFonts w:ascii="Times New Roman" w:hAnsi="Times New Roman"/>
          <w:sz w:val="24"/>
        </w:rPr>
        <w:t xml:space="preserve">Permanent TSB Group Holdings </w:t>
      </w:r>
      <w:r>
        <w:rPr>
          <w:rFonts w:ascii="Times New Roman" w:hAnsi="Times New Roman"/>
          <w:sz w:val="24"/>
        </w:rPr>
        <w:t>p</w:t>
      </w:r>
      <w:r w:rsidRPr="00977370">
        <w:rPr>
          <w:rFonts w:ascii="Times New Roman" w:hAnsi="Times New Roman"/>
          <w:sz w:val="24"/>
        </w:rPr>
        <w:t>lc or Permanent</w:t>
      </w:r>
      <w:r>
        <w:rPr>
          <w:rFonts w:ascii="Times New Roman" w:hAnsi="Times New Roman"/>
          <w:sz w:val="24"/>
        </w:rPr>
        <w:t xml:space="preserve"> TSB p</w:t>
      </w:r>
      <w:r w:rsidRPr="00977370">
        <w:rPr>
          <w:rFonts w:ascii="Times New Roman" w:hAnsi="Times New Roman"/>
          <w:sz w:val="24"/>
        </w:rPr>
        <w:t xml:space="preserve">lc or any of its subsidiaries </w:t>
      </w:r>
      <w:r w:rsidR="009B6400" w:rsidRPr="00977370">
        <w:rPr>
          <w:rFonts w:ascii="Times New Roman" w:hAnsi="Times New Roman"/>
          <w:sz w:val="24"/>
        </w:rPr>
        <w:t>has paid on</w:t>
      </w:r>
      <w:r w:rsidRPr="00977370">
        <w:rPr>
          <w:rFonts w:ascii="Times New Roman" w:hAnsi="Times New Roman"/>
          <w:sz w:val="24"/>
        </w:rPr>
        <w:t xml:space="preserve"> </w:t>
      </w:r>
      <w:r>
        <w:rPr>
          <w:rFonts w:ascii="Times New Roman" w:hAnsi="Times New Roman"/>
          <w:sz w:val="24"/>
        </w:rPr>
        <w:t>behalf of or for the first eleven r</w:t>
      </w:r>
      <w:r w:rsidR="009B6400" w:rsidRPr="00977370">
        <w:rPr>
          <w:rFonts w:ascii="Times New Roman" w:hAnsi="Times New Roman"/>
          <w:sz w:val="24"/>
        </w:rPr>
        <w:t>espondents or an</w:t>
      </w:r>
      <w:r>
        <w:rPr>
          <w:rFonts w:ascii="Times New Roman" w:hAnsi="Times New Roman"/>
          <w:sz w:val="24"/>
        </w:rPr>
        <w:t>y of them regarding the within proceedings.</w:t>
      </w:r>
    </w:p>
    <w:p w14:paraId="1C6FE21D" w14:textId="6845571C" w:rsidR="00A820AD" w:rsidRDefault="00977370" w:rsidP="00463A20">
      <w:pPr>
        <w:pStyle w:val="ListParagraph"/>
        <w:numPr>
          <w:ilvl w:val="0"/>
          <w:numId w:val="1"/>
        </w:numPr>
        <w:tabs>
          <w:tab w:val="left" w:pos="567"/>
        </w:tabs>
        <w:spacing w:line="480" w:lineRule="auto"/>
        <w:ind w:left="0" w:firstLine="0"/>
        <w:rPr>
          <w:rFonts w:ascii="Times New Roman" w:hAnsi="Times New Roman"/>
          <w:sz w:val="24"/>
        </w:rPr>
      </w:pPr>
      <w:r w:rsidRPr="00085229">
        <w:rPr>
          <w:rFonts w:ascii="Times New Roman" w:hAnsi="Times New Roman"/>
          <w:sz w:val="24"/>
        </w:rPr>
        <w:t xml:space="preserve">This motion was grounded on the affidavit of the fifth named petitioner, Mr. </w:t>
      </w:r>
      <w:proofErr w:type="spellStart"/>
      <w:r w:rsidRPr="00085229">
        <w:rPr>
          <w:rFonts w:ascii="Times New Roman" w:hAnsi="Times New Roman"/>
          <w:sz w:val="24"/>
        </w:rPr>
        <w:t>Skoczylas</w:t>
      </w:r>
      <w:proofErr w:type="spellEnd"/>
      <w:r w:rsidRPr="00085229">
        <w:rPr>
          <w:rFonts w:ascii="Times New Roman" w:hAnsi="Times New Roman"/>
          <w:sz w:val="24"/>
        </w:rPr>
        <w:t xml:space="preserve"> dated 3</w:t>
      </w:r>
      <w:r w:rsidRPr="00675600">
        <w:rPr>
          <w:rFonts w:ascii="Times New Roman" w:hAnsi="Times New Roman"/>
          <w:sz w:val="24"/>
          <w:vertAlign w:val="superscript"/>
        </w:rPr>
        <w:t>rd</w:t>
      </w:r>
      <w:r w:rsidRPr="00085229">
        <w:rPr>
          <w:rFonts w:ascii="Times New Roman" w:hAnsi="Times New Roman"/>
          <w:sz w:val="24"/>
        </w:rPr>
        <w:t xml:space="preserve"> April 2013. </w:t>
      </w:r>
      <w:r w:rsidR="005F1AF7">
        <w:rPr>
          <w:rFonts w:ascii="Times New Roman" w:hAnsi="Times New Roman"/>
          <w:sz w:val="24"/>
        </w:rPr>
        <w:t>(At this point I should say that Mr.</w:t>
      </w:r>
      <w:r w:rsidR="00303755">
        <w:rPr>
          <w:rFonts w:ascii="Times New Roman" w:hAnsi="Times New Roman"/>
          <w:sz w:val="24"/>
        </w:rPr>
        <w:t xml:space="preserve"> </w:t>
      </w:r>
      <w:proofErr w:type="spellStart"/>
      <w:r w:rsidR="005F1AF7">
        <w:rPr>
          <w:rFonts w:ascii="Times New Roman" w:hAnsi="Times New Roman"/>
          <w:sz w:val="24"/>
        </w:rPr>
        <w:t>Skoczylas</w:t>
      </w:r>
      <w:proofErr w:type="spellEnd"/>
      <w:r w:rsidR="005F1AF7">
        <w:rPr>
          <w:rFonts w:ascii="Times New Roman" w:hAnsi="Times New Roman"/>
          <w:sz w:val="24"/>
        </w:rPr>
        <w:t xml:space="preserve"> represented himself at the hearing of this appeal, and the other appellants adopted his submissions)</w:t>
      </w:r>
      <w:r w:rsidR="00303755">
        <w:rPr>
          <w:rFonts w:ascii="Times New Roman" w:hAnsi="Times New Roman"/>
          <w:sz w:val="24"/>
        </w:rPr>
        <w:t>.</w:t>
      </w:r>
      <w:r w:rsidRPr="00085229">
        <w:rPr>
          <w:rFonts w:ascii="Times New Roman" w:hAnsi="Times New Roman"/>
          <w:sz w:val="24"/>
        </w:rPr>
        <w:t xml:space="preserve"> In this affidavit, Mr. </w:t>
      </w:r>
      <w:proofErr w:type="spellStart"/>
      <w:r w:rsidRPr="00085229">
        <w:rPr>
          <w:rFonts w:ascii="Times New Roman" w:hAnsi="Times New Roman"/>
          <w:sz w:val="24"/>
        </w:rPr>
        <w:t>Skoczylas</w:t>
      </w:r>
      <w:proofErr w:type="spellEnd"/>
      <w:r w:rsidRPr="00085229">
        <w:rPr>
          <w:rFonts w:ascii="Times New Roman" w:hAnsi="Times New Roman"/>
          <w:sz w:val="24"/>
        </w:rPr>
        <w:t xml:space="preserve"> complains that the </w:t>
      </w:r>
      <w:r w:rsidR="00261167" w:rsidRPr="00261167">
        <w:rPr>
          <w:rFonts w:ascii="Times New Roman" w:hAnsi="Times New Roman"/>
          <w:sz w:val="24"/>
        </w:rPr>
        <w:t>Director Respondents</w:t>
      </w:r>
      <w:r w:rsidRPr="00085229">
        <w:rPr>
          <w:rFonts w:ascii="Times New Roman" w:hAnsi="Times New Roman"/>
          <w:sz w:val="24"/>
        </w:rPr>
        <w:t xml:space="preserve"> are misusing and misappropriating the resources of Holdings, and its subsidiary, Permanent TSB plc (the </w:t>
      </w:r>
      <w:r w:rsidR="00384E2B">
        <w:rPr>
          <w:rFonts w:ascii="Times New Roman" w:hAnsi="Times New Roman"/>
          <w:sz w:val="24"/>
        </w:rPr>
        <w:t>“</w:t>
      </w:r>
      <w:r w:rsidRPr="00085229">
        <w:rPr>
          <w:rFonts w:ascii="Times New Roman" w:hAnsi="Times New Roman"/>
          <w:sz w:val="24"/>
        </w:rPr>
        <w:t>Bank”)</w:t>
      </w:r>
      <w:r w:rsidR="00312BEA" w:rsidRPr="00085229">
        <w:rPr>
          <w:rFonts w:ascii="Times New Roman" w:hAnsi="Times New Roman"/>
          <w:sz w:val="24"/>
        </w:rPr>
        <w:t xml:space="preserve"> in connection with the defence of these proceedings by the first eleven named respondents.  He asserts that the provision of such assistance is unlawful.  </w:t>
      </w:r>
      <w:r w:rsidR="00312BEA" w:rsidRPr="00766E49">
        <w:rPr>
          <w:rFonts w:ascii="Times New Roman" w:hAnsi="Times New Roman"/>
          <w:sz w:val="24"/>
        </w:rPr>
        <w:t xml:space="preserve">He quotes a passage from an affidavit sworn </w:t>
      </w:r>
      <w:r w:rsidR="000D3EB3" w:rsidRPr="00766E49">
        <w:rPr>
          <w:rFonts w:ascii="Times New Roman" w:hAnsi="Times New Roman"/>
          <w:sz w:val="24"/>
        </w:rPr>
        <w:t>on 21</w:t>
      </w:r>
      <w:r w:rsidR="000D3EB3" w:rsidRPr="00766E49">
        <w:rPr>
          <w:rFonts w:ascii="Times New Roman" w:hAnsi="Times New Roman"/>
          <w:sz w:val="24"/>
          <w:vertAlign w:val="superscript"/>
        </w:rPr>
        <w:t>st</w:t>
      </w:r>
      <w:r w:rsidR="000D3EB3" w:rsidRPr="00766E49">
        <w:rPr>
          <w:rFonts w:ascii="Times New Roman" w:hAnsi="Times New Roman"/>
          <w:sz w:val="24"/>
        </w:rPr>
        <w:t xml:space="preserve"> March 2013, </w:t>
      </w:r>
      <w:r w:rsidR="00312BEA" w:rsidRPr="00766E49">
        <w:rPr>
          <w:rFonts w:ascii="Times New Roman" w:hAnsi="Times New Roman"/>
          <w:sz w:val="24"/>
        </w:rPr>
        <w:t>by Holdings</w:t>
      </w:r>
      <w:r w:rsidR="00782BE9" w:rsidRPr="00766E49">
        <w:rPr>
          <w:rFonts w:ascii="Times New Roman" w:hAnsi="Times New Roman"/>
          <w:sz w:val="24"/>
        </w:rPr>
        <w:t>’</w:t>
      </w:r>
      <w:r w:rsidR="00312BEA" w:rsidRPr="00766E49">
        <w:rPr>
          <w:rFonts w:ascii="Times New Roman" w:hAnsi="Times New Roman"/>
          <w:sz w:val="24"/>
        </w:rPr>
        <w:t xml:space="preserve"> then secretary, Mr. Ciaran Long, </w:t>
      </w:r>
      <w:r w:rsidR="009A50F0" w:rsidRPr="00766E49">
        <w:rPr>
          <w:rFonts w:ascii="Times New Roman" w:hAnsi="Times New Roman"/>
          <w:sz w:val="24"/>
        </w:rPr>
        <w:t>sworn in the context of a different application in these proceedings</w:t>
      </w:r>
      <w:r w:rsidR="00312BEA" w:rsidRPr="00085229">
        <w:rPr>
          <w:rFonts w:ascii="Times New Roman" w:hAnsi="Times New Roman"/>
          <w:sz w:val="24"/>
        </w:rPr>
        <w:t>, in which Mr. Long acknowledges that the Chief Legal Officer of the Bank represents the first to eleven</w:t>
      </w:r>
      <w:r w:rsidR="00800BAC" w:rsidRPr="00085229">
        <w:rPr>
          <w:rFonts w:ascii="Times New Roman" w:hAnsi="Times New Roman"/>
          <w:sz w:val="24"/>
        </w:rPr>
        <w:t>th</w:t>
      </w:r>
      <w:r w:rsidR="00312BEA" w:rsidRPr="00085229">
        <w:rPr>
          <w:rFonts w:ascii="Times New Roman" w:hAnsi="Times New Roman"/>
          <w:sz w:val="24"/>
        </w:rPr>
        <w:t xml:space="preserve"> named respondents, and in which Mr. Long states that under the </w:t>
      </w:r>
      <w:r w:rsidR="004B36A6">
        <w:rPr>
          <w:rFonts w:ascii="Times New Roman" w:hAnsi="Times New Roman"/>
          <w:sz w:val="24"/>
        </w:rPr>
        <w:t>A</w:t>
      </w:r>
      <w:r w:rsidR="00312BEA" w:rsidRPr="00085229">
        <w:rPr>
          <w:rFonts w:ascii="Times New Roman" w:hAnsi="Times New Roman"/>
          <w:sz w:val="24"/>
        </w:rPr>
        <w:t xml:space="preserve">rticles of </w:t>
      </w:r>
      <w:r w:rsidR="004B36A6">
        <w:rPr>
          <w:rFonts w:ascii="Times New Roman" w:hAnsi="Times New Roman"/>
          <w:sz w:val="24"/>
        </w:rPr>
        <w:t>A</w:t>
      </w:r>
      <w:r w:rsidR="00312BEA" w:rsidRPr="00085229">
        <w:rPr>
          <w:rFonts w:ascii="Times New Roman" w:hAnsi="Times New Roman"/>
          <w:sz w:val="24"/>
        </w:rPr>
        <w:t xml:space="preserve">ssociation of Holdings and the </w:t>
      </w:r>
      <w:r w:rsidR="004B36A6">
        <w:rPr>
          <w:rFonts w:ascii="Times New Roman" w:hAnsi="Times New Roman"/>
          <w:sz w:val="24"/>
        </w:rPr>
        <w:t>A</w:t>
      </w:r>
      <w:r w:rsidR="00312BEA" w:rsidRPr="00085229">
        <w:rPr>
          <w:rFonts w:ascii="Times New Roman" w:hAnsi="Times New Roman"/>
          <w:sz w:val="24"/>
        </w:rPr>
        <w:t xml:space="preserve">rticles of </w:t>
      </w:r>
      <w:r w:rsidR="004B36A6">
        <w:rPr>
          <w:rFonts w:ascii="Times New Roman" w:hAnsi="Times New Roman"/>
          <w:sz w:val="24"/>
        </w:rPr>
        <w:t>A</w:t>
      </w:r>
      <w:r w:rsidR="00312BEA" w:rsidRPr="00085229">
        <w:rPr>
          <w:rFonts w:ascii="Times New Roman" w:hAnsi="Times New Roman"/>
          <w:sz w:val="24"/>
        </w:rPr>
        <w:t xml:space="preserve">ssociation of the Bank, the first to eleventh named defendants are entitled to be indemnified by Holdings and the Bank in regard to such proceedings. </w:t>
      </w:r>
      <w:r w:rsidR="00A820AD" w:rsidRPr="00766E49">
        <w:rPr>
          <w:rFonts w:ascii="Times New Roman" w:hAnsi="Times New Roman"/>
          <w:sz w:val="24"/>
        </w:rPr>
        <w:t>Mr. Long states, at para. 5 of that affidavit:</w:t>
      </w:r>
    </w:p>
    <w:p w14:paraId="09AAFDFB" w14:textId="4BDDD683" w:rsidR="00A820AD" w:rsidRDefault="002C3056" w:rsidP="00A820AD">
      <w:pPr>
        <w:pStyle w:val="ListParagraph"/>
        <w:tabs>
          <w:tab w:val="left" w:pos="567"/>
        </w:tabs>
        <w:spacing w:line="480" w:lineRule="auto"/>
        <w:ind w:left="567"/>
        <w:rPr>
          <w:rFonts w:ascii="Times New Roman" w:hAnsi="Times New Roman"/>
          <w:sz w:val="24"/>
        </w:rPr>
      </w:pPr>
      <w:r>
        <w:rPr>
          <w:rFonts w:ascii="Times New Roman" w:hAnsi="Times New Roman"/>
          <w:sz w:val="24"/>
        </w:rPr>
        <w:lastRenderedPageBreak/>
        <w:tab/>
      </w:r>
      <w:r w:rsidR="00A820AD">
        <w:rPr>
          <w:rFonts w:ascii="Times New Roman" w:hAnsi="Times New Roman"/>
          <w:sz w:val="24"/>
        </w:rPr>
        <w:t xml:space="preserve">“[…] I do not accept that the fact that the Chief Legal Officer of the Bank represents the first-eleventh named Respondents who at relevant times have been the Directors of the Bank and Directors of Group Holdings is inappropriate and illegal. Under the Articles of Group Holdings and under the Articles of the Bank the first-eleventh named Respondents are entitled to be indemnified by Group Holdings and the Bank in regard to proceedings such as this. Mr. </w:t>
      </w:r>
      <w:proofErr w:type="spellStart"/>
      <w:r w:rsidR="00A820AD">
        <w:rPr>
          <w:rFonts w:ascii="Times New Roman" w:hAnsi="Times New Roman"/>
          <w:sz w:val="24"/>
        </w:rPr>
        <w:t>Skoczylas</w:t>
      </w:r>
      <w:proofErr w:type="spellEnd"/>
      <w:r w:rsidR="00A820AD">
        <w:rPr>
          <w:rFonts w:ascii="Times New Roman" w:hAnsi="Times New Roman"/>
          <w:sz w:val="24"/>
        </w:rPr>
        <w:t xml:space="preserve"> is of the view that the first–eleventh named Respondents who are being sued as Directors, not shareholders, should instruct a new firm of Solicitors who </w:t>
      </w:r>
      <w:proofErr w:type="spellStart"/>
      <w:r w:rsidR="00A820AD">
        <w:rPr>
          <w:rFonts w:ascii="Times New Roman" w:hAnsi="Times New Roman"/>
          <w:sz w:val="24"/>
        </w:rPr>
        <w:t>who</w:t>
      </w:r>
      <w:proofErr w:type="spellEnd"/>
      <w:r w:rsidR="00A820AD">
        <w:rPr>
          <w:rFonts w:ascii="Times New Roman" w:hAnsi="Times New Roman"/>
          <w:sz w:val="24"/>
        </w:rPr>
        <w:t xml:space="preserve"> [sic] would not be familiar with all the litigation, bear the costs of the Solicitors reading themselves into the proceedings which refer back to other proceedings in which the Chief Legal Officer would be on record for Group Holdings and/or the Bank, </w:t>
      </w:r>
      <w:r w:rsidR="00EC143F">
        <w:rPr>
          <w:rFonts w:ascii="Times New Roman" w:hAnsi="Times New Roman"/>
          <w:sz w:val="24"/>
        </w:rPr>
        <w:t xml:space="preserve">discharge their costs and when they are successful in the proceedings that Group Holdings and the Bank would have to pay the Solicitors’ fees on foot of the indemnities. I as Company Secretary </w:t>
      </w:r>
      <w:r w:rsidR="00B20AAE">
        <w:rPr>
          <w:rFonts w:ascii="Times New Roman" w:hAnsi="Times New Roman"/>
          <w:sz w:val="24"/>
        </w:rPr>
        <w:t xml:space="preserve">of Group Holdings and the Bank am of the view that the most economic and cost effective way of dealing with the matter is to have the Group Chief Legal Officer of the Bank represent the first-eleventh named Respondents as he has represented Group Holdings and the Bank in four other cases involving some or all of the Petitioners arising </w:t>
      </w:r>
      <w:r w:rsidR="003F4B70">
        <w:rPr>
          <w:rFonts w:ascii="Times New Roman" w:hAnsi="Times New Roman"/>
          <w:sz w:val="24"/>
        </w:rPr>
        <w:t>out of two Direction Orders and the issues are substantially the same in the four cases. This issued [sic] was raised by the Petitioners as Defendants in the Section 160 Application. Mr. Justice Cooke did not consider this fact to be relevant in his Judgement in which he granted the first- eleventh named Respondents an Interlocutory Injunction against the Petitioners.”</w:t>
      </w:r>
    </w:p>
    <w:p w14:paraId="1F9B6367" w14:textId="359348B8" w:rsidR="00977370" w:rsidRPr="00085229" w:rsidRDefault="00312BEA" w:rsidP="00A820AD">
      <w:pPr>
        <w:pStyle w:val="ListParagraph"/>
        <w:tabs>
          <w:tab w:val="left" w:pos="567"/>
        </w:tabs>
        <w:spacing w:line="480" w:lineRule="auto"/>
        <w:ind w:left="0"/>
        <w:rPr>
          <w:rFonts w:ascii="Times New Roman" w:hAnsi="Times New Roman"/>
          <w:sz w:val="24"/>
        </w:rPr>
      </w:pPr>
      <w:r w:rsidRPr="00085229">
        <w:rPr>
          <w:rFonts w:ascii="Times New Roman" w:hAnsi="Times New Roman"/>
          <w:sz w:val="24"/>
        </w:rPr>
        <w:t xml:space="preserve">Mr. </w:t>
      </w:r>
      <w:proofErr w:type="spellStart"/>
      <w:r w:rsidRPr="00085229">
        <w:rPr>
          <w:rFonts w:ascii="Times New Roman" w:hAnsi="Times New Roman"/>
          <w:sz w:val="24"/>
        </w:rPr>
        <w:t>Skoczylas</w:t>
      </w:r>
      <w:proofErr w:type="spellEnd"/>
      <w:r w:rsidRPr="00085229">
        <w:rPr>
          <w:rFonts w:ascii="Times New Roman" w:hAnsi="Times New Roman"/>
          <w:sz w:val="24"/>
        </w:rPr>
        <w:t xml:space="preserve"> expresses his disagreement with th</w:t>
      </w:r>
      <w:r w:rsidR="00C97850">
        <w:rPr>
          <w:rFonts w:ascii="Times New Roman" w:hAnsi="Times New Roman"/>
          <w:sz w:val="24"/>
        </w:rPr>
        <w:t>e</w:t>
      </w:r>
      <w:r w:rsidRPr="00085229">
        <w:rPr>
          <w:rFonts w:ascii="Times New Roman" w:hAnsi="Times New Roman"/>
          <w:sz w:val="24"/>
        </w:rPr>
        <w:t xml:space="preserve"> proposition</w:t>
      </w:r>
      <w:r w:rsidR="00C97850">
        <w:rPr>
          <w:rFonts w:ascii="Times New Roman" w:hAnsi="Times New Roman"/>
          <w:sz w:val="24"/>
        </w:rPr>
        <w:t xml:space="preserve"> that the Director Respondents are entitled to any such indemnity in respect of their costs from Holdings or the Bank</w:t>
      </w:r>
      <w:r w:rsidRPr="00085229">
        <w:rPr>
          <w:rFonts w:ascii="Times New Roman" w:hAnsi="Times New Roman"/>
          <w:sz w:val="24"/>
        </w:rPr>
        <w:t xml:space="preserve">, and on the basis that Mr. Long has acknowledged that the first to eleventh named </w:t>
      </w:r>
      <w:r w:rsidRPr="00085229">
        <w:rPr>
          <w:rFonts w:ascii="Times New Roman" w:hAnsi="Times New Roman"/>
          <w:sz w:val="24"/>
        </w:rPr>
        <w:lastRenderedPageBreak/>
        <w:t xml:space="preserve">respondents are being represented by the Chief Legal Officer of the Bank, the petitioners issued the motion seeking the reliefs described above. </w:t>
      </w:r>
    </w:p>
    <w:p w14:paraId="2741206A" w14:textId="6AA47D95" w:rsidR="0091693D" w:rsidRPr="00312BEA" w:rsidRDefault="00800BAC" w:rsidP="00463A20">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Mr. </w:t>
      </w:r>
      <w:r w:rsidR="00D85E19">
        <w:rPr>
          <w:rFonts w:ascii="Times New Roman" w:hAnsi="Times New Roman"/>
          <w:sz w:val="24"/>
        </w:rPr>
        <w:t>L</w:t>
      </w:r>
      <w:r>
        <w:rPr>
          <w:rFonts w:ascii="Times New Roman" w:hAnsi="Times New Roman"/>
          <w:sz w:val="24"/>
        </w:rPr>
        <w:t>ong swore an</w:t>
      </w:r>
      <w:r w:rsidR="00312BEA">
        <w:rPr>
          <w:rFonts w:ascii="Times New Roman" w:hAnsi="Times New Roman"/>
          <w:sz w:val="24"/>
        </w:rPr>
        <w:t xml:space="preserve"> affidavit </w:t>
      </w:r>
      <w:r>
        <w:rPr>
          <w:rFonts w:ascii="Times New Roman" w:hAnsi="Times New Roman"/>
          <w:sz w:val="24"/>
        </w:rPr>
        <w:t>in opposition to this application</w:t>
      </w:r>
      <w:r w:rsidR="00312BEA">
        <w:rPr>
          <w:rFonts w:ascii="Times New Roman" w:hAnsi="Times New Roman"/>
          <w:sz w:val="24"/>
        </w:rPr>
        <w:t xml:space="preserve"> on 22</w:t>
      </w:r>
      <w:r w:rsidR="00312BEA" w:rsidRPr="00312BEA">
        <w:rPr>
          <w:rFonts w:ascii="Times New Roman" w:hAnsi="Times New Roman"/>
          <w:sz w:val="24"/>
          <w:vertAlign w:val="superscript"/>
        </w:rPr>
        <w:t>nd</w:t>
      </w:r>
      <w:r w:rsidR="00312BEA">
        <w:rPr>
          <w:rFonts w:ascii="Times New Roman" w:hAnsi="Times New Roman"/>
          <w:sz w:val="24"/>
        </w:rPr>
        <w:t xml:space="preserve"> April 2013.  Three further affidavits were then exchanged between the parties, being an affidavit of Mr. </w:t>
      </w:r>
      <w:proofErr w:type="spellStart"/>
      <w:r w:rsidR="00312BEA">
        <w:rPr>
          <w:rFonts w:ascii="Times New Roman" w:hAnsi="Times New Roman"/>
          <w:sz w:val="24"/>
        </w:rPr>
        <w:t>Skoczylas</w:t>
      </w:r>
      <w:proofErr w:type="spellEnd"/>
      <w:r w:rsidR="00312BEA">
        <w:rPr>
          <w:rFonts w:ascii="Times New Roman" w:hAnsi="Times New Roman"/>
          <w:sz w:val="24"/>
        </w:rPr>
        <w:t xml:space="preserve"> of 26</w:t>
      </w:r>
      <w:r w:rsidR="00312BEA" w:rsidRPr="00312BEA">
        <w:rPr>
          <w:rFonts w:ascii="Times New Roman" w:hAnsi="Times New Roman"/>
          <w:sz w:val="24"/>
          <w:vertAlign w:val="superscript"/>
        </w:rPr>
        <w:t>th</w:t>
      </w:r>
      <w:r w:rsidR="00312BEA">
        <w:rPr>
          <w:rFonts w:ascii="Times New Roman" w:hAnsi="Times New Roman"/>
          <w:sz w:val="24"/>
        </w:rPr>
        <w:t xml:space="preserve"> April 2013, an affidavit of Mr. Long sworn on 3</w:t>
      </w:r>
      <w:r w:rsidR="00312BEA" w:rsidRPr="00312BEA">
        <w:rPr>
          <w:rFonts w:ascii="Times New Roman" w:hAnsi="Times New Roman"/>
          <w:sz w:val="24"/>
          <w:vertAlign w:val="superscript"/>
        </w:rPr>
        <w:t>rd</w:t>
      </w:r>
      <w:r w:rsidR="00312BEA">
        <w:rPr>
          <w:rFonts w:ascii="Times New Roman" w:hAnsi="Times New Roman"/>
          <w:sz w:val="24"/>
        </w:rPr>
        <w:t xml:space="preserve"> May 2013 and an affidavit of Mr. </w:t>
      </w:r>
      <w:proofErr w:type="spellStart"/>
      <w:r w:rsidR="00312BEA">
        <w:rPr>
          <w:rFonts w:ascii="Times New Roman" w:hAnsi="Times New Roman"/>
          <w:sz w:val="24"/>
        </w:rPr>
        <w:t>Skoczylas</w:t>
      </w:r>
      <w:proofErr w:type="spellEnd"/>
      <w:r w:rsidR="00312BEA">
        <w:rPr>
          <w:rFonts w:ascii="Times New Roman" w:hAnsi="Times New Roman"/>
          <w:sz w:val="24"/>
        </w:rPr>
        <w:t xml:space="preserve"> sworn on 8</w:t>
      </w:r>
      <w:r w:rsidR="00312BEA" w:rsidRPr="00312BEA">
        <w:rPr>
          <w:rFonts w:ascii="Times New Roman" w:hAnsi="Times New Roman"/>
          <w:sz w:val="24"/>
          <w:vertAlign w:val="superscript"/>
        </w:rPr>
        <w:t>th</w:t>
      </w:r>
      <w:r w:rsidR="00312BEA">
        <w:rPr>
          <w:rFonts w:ascii="Times New Roman" w:hAnsi="Times New Roman"/>
          <w:sz w:val="24"/>
        </w:rPr>
        <w:t xml:space="preserve"> May 2013.</w:t>
      </w:r>
    </w:p>
    <w:p w14:paraId="3F01FBEF" w14:textId="3E197C28" w:rsidR="00BB00BA" w:rsidRPr="00BB00BA" w:rsidRDefault="00312BEA" w:rsidP="00463A20">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In his </w:t>
      </w:r>
      <w:r w:rsidR="00D658E9">
        <w:rPr>
          <w:rFonts w:ascii="Times New Roman" w:hAnsi="Times New Roman"/>
          <w:sz w:val="24"/>
        </w:rPr>
        <w:t>affidavit of 22</w:t>
      </w:r>
      <w:r w:rsidR="00D658E9" w:rsidRPr="00D658E9">
        <w:rPr>
          <w:rFonts w:ascii="Times New Roman" w:hAnsi="Times New Roman"/>
          <w:sz w:val="24"/>
          <w:vertAlign w:val="superscript"/>
        </w:rPr>
        <w:t>nd</w:t>
      </w:r>
      <w:r w:rsidR="00D658E9">
        <w:rPr>
          <w:rFonts w:ascii="Times New Roman" w:hAnsi="Times New Roman"/>
          <w:sz w:val="24"/>
        </w:rPr>
        <w:t xml:space="preserve"> April 2013</w:t>
      </w:r>
      <w:r>
        <w:rPr>
          <w:rFonts w:ascii="Times New Roman" w:hAnsi="Times New Roman"/>
          <w:sz w:val="24"/>
        </w:rPr>
        <w:t xml:space="preserve">, Mr. Long deposes that the provision of legal representation to the first to eleventh named respondents by Holdings and the Bank (through the Chief Legal Officer of the Bank) is not causing either Holdings or the Bank any loss or expense because all costs or expenses associated with the provision of </w:t>
      </w:r>
      <w:r w:rsidR="00C26C55">
        <w:rPr>
          <w:rFonts w:ascii="Times New Roman" w:hAnsi="Times New Roman"/>
          <w:sz w:val="24"/>
        </w:rPr>
        <w:t>those</w:t>
      </w:r>
      <w:r>
        <w:rPr>
          <w:rFonts w:ascii="Times New Roman" w:hAnsi="Times New Roman"/>
          <w:sz w:val="24"/>
        </w:rPr>
        <w:t xml:space="preserve"> services are defrayed by a Directors and Officers Liability Policy</w:t>
      </w:r>
      <w:r w:rsidR="00A72BF8">
        <w:rPr>
          <w:rFonts w:ascii="Times New Roman" w:hAnsi="Times New Roman"/>
          <w:sz w:val="24"/>
        </w:rPr>
        <w:t xml:space="preserve"> (the “Policy”) </w:t>
      </w:r>
      <w:r>
        <w:rPr>
          <w:rFonts w:ascii="Times New Roman" w:hAnsi="Times New Roman"/>
          <w:sz w:val="24"/>
        </w:rPr>
        <w:t xml:space="preserve">underwritten by </w:t>
      </w:r>
      <w:proofErr w:type="spellStart"/>
      <w:r>
        <w:rPr>
          <w:rFonts w:ascii="Times New Roman" w:hAnsi="Times New Roman"/>
          <w:sz w:val="24"/>
        </w:rPr>
        <w:t>Chartis</w:t>
      </w:r>
      <w:proofErr w:type="spellEnd"/>
      <w:r>
        <w:rPr>
          <w:rFonts w:ascii="Times New Roman" w:hAnsi="Times New Roman"/>
          <w:sz w:val="24"/>
        </w:rPr>
        <w:t xml:space="preserve"> Insurance Ireland Limited.  </w:t>
      </w:r>
      <w:r w:rsidR="00BB00BA">
        <w:rPr>
          <w:rFonts w:ascii="Times New Roman" w:hAnsi="Times New Roman"/>
          <w:sz w:val="24"/>
        </w:rPr>
        <w:t>Mr. Long exhibits a letter</w:t>
      </w:r>
      <w:r w:rsidR="00D85E19">
        <w:rPr>
          <w:rFonts w:ascii="Times New Roman" w:hAnsi="Times New Roman"/>
          <w:sz w:val="24"/>
        </w:rPr>
        <w:t xml:space="preserve">, dated </w:t>
      </w:r>
      <w:r w:rsidR="0060759C">
        <w:rPr>
          <w:rFonts w:ascii="Times New Roman" w:hAnsi="Times New Roman"/>
          <w:sz w:val="24"/>
        </w:rPr>
        <w:t>19</w:t>
      </w:r>
      <w:r w:rsidR="0060759C" w:rsidRPr="005401F0">
        <w:rPr>
          <w:rFonts w:ascii="Times New Roman" w:hAnsi="Times New Roman"/>
          <w:sz w:val="24"/>
          <w:vertAlign w:val="superscript"/>
        </w:rPr>
        <w:t>th</w:t>
      </w:r>
      <w:r w:rsidR="0060759C">
        <w:rPr>
          <w:rFonts w:ascii="Times New Roman" w:hAnsi="Times New Roman"/>
          <w:sz w:val="24"/>
        </w:rPr>
        <w:t xml:space="preserve"> April 2013,</w:t>
      </w:r>
      <w:r w:rsidR="00BB00BA">
        <w:rPr>
          <w:rFonts w:ascii="Times New Roman" w:hAnsi="Times New Roman"/>
          <w:sz w:val="24"/>
        </w:rPr>
        <w:t xml:space="preserve"> from the insurers confirming that they will provide indemnity under the Policy to the Director Respondents in respect of the costs incurred by them in defending the proceedings, while being represented by the Chief Legal Officer of the Bank and counsel instructed by him.  </w:t>
      </w:r>
    </w:p>
    <w:p w14:paraId="3946605D" w14:textId="13045AEC" w:rsidR="00BB00BA" w:rsidRPr="00BB00BA" w:rsidRDefault="00BB00BA" w:rsidP="00463A20">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Mr. Long also refers to Article 139 of the Articles of Association of Holdings which expressly provides for an indemnity to the directors of </w:t>
      </w:r>
      <w:r w:rsidR="005401F0">
        <w:rPr>
          <w:rFonts w:ascii="Times New Roman" w:hAnsi="Times New Roman"/>
          <w:sz w:val="24"/>
        </w:rPr>
        <w:t>H</w:t>
      </w:r>
      <w:r>
        <w:rPr>
          <w:rFonts w:ascii="Times New Roman" w:hAnsi="Times New Roman"/>
          <w:sz w:val="24"/>
        </w:rPr>
        <w:t>oldings in the following terms:</w:t>
      </w:r>
    </w:p>
    <w:p w14:paraId="4497110C" w14:textId="58B9A03D" w:rsidR="00BB00BA" w:rsidRDefault="00BB00BA" w:rsidP="00463A20">
      <w:pPr>
        <w:pStyle w:val="ListParagraph"/>
        <w:tabs>
          <w:tab w:val="left" w:pos="567"/>
        </w:tabs>
        <w:spacing w:line="480" w:lineRule="auto"/>
        <w:ind w:left="567"/>
        <w:rPr>
          <w:rFonts w:ascii="Times New Roman" w:hAnsi="Times New Roman"/>
          <w:sz w:val="24"/>
        </w:rPr>
      </w:pPr>
      <w:r>
        <w:rPr>
          <w:rFonts w:ascii="Times New Roman" w:hAnsi="Times New Roman"/>
          <w:sz w:val="24"/>
        </w:rPr>
        <w:tab/>
        <w:t xml:space="preserve">“Subject to the provisions of and so far as may be permitted by the </w:t>
      </w:r>
      <w:r w:rsidR="00553182">
        <w:rPr>
          <w:rFonts w:ascii="Times New Roman" w:hAnsi="Times New Roman"/>
          <w:sz w:val="24"/>
        </w:rPr>
        <w:t>A</w:t>
      </w:r>
      <w:r>
        <w:rPr>
          <w:rFonts w:ascii="Times New Roman" w:hAnsi="Times New Roman"/>
          <w:sz w:val="24"/>
        </w:rPr>
        <w:t>cts</w:t>
      </w:r>
      <w:r w:rsidR="004917B2">
        <w:rPr>
          <w:rFonts w:ascii="Times New Roman" w:hAnsi="Times New Roman"/>
          <w:sz w:val="24"/>
        </w:rPr>
        <w:t xml:space="preserve">, every </w:t>
      </w:r>
      <w:r w:rsidR="00156EF2">
        <w:rPr>
          <w:rFonts w:ascii="Times New Roman" w:hAnsi="Times New Roman"/>
          <w:sz w:val="24"/>
        </w:rPr>
        <w:t>D</w:t>
      </w:r>
      <w:r w:rsidR="004917B2">
        <w:rPr>
          <w:rFonts w:ascii="Times New Roman" w:hAnsi="Times New Roman"/>
          <w:sz w:val="24"/>
        </w:rPr>
        <w:t xml:space="preserve">irector, </w:t>
      </w:r>
      <w:r w:rsidR="00156EF2">
        <w:rPr>
          <w:rFonts w:ascii="Times New Roman" w:hAnsi="Times New Roman"/>
          <w:sz w:val="24"/>
        </w:rPr>
        <w:t>C</w:t>
      </w:r>
      <w:r w:rsidR="004917B2">
        <w:rPr>
          <w:rFonts w:ascii="Times New Roman" w:hAnsi="Times New Roman"/>
          <w:sz w:val="24"/>
        </w:rPr>
        <w:t xml:space="preserve">hief </w:t>
      </w:r>
      <w:r w:rsidR="00156EF2">
        <w:rPr>
          <w:rFonts w:ascii="Times New Roman" w:hAnsi="Times New Roman"/>
          <w:sz w:val="24"/>
        </w:rPr>
        <w:t>E</w:t>
      </w:r>
      <w:r w:rsidR="004917B2">
        <w:rPr>
          <w:rFonts w:ascii="Times New Roman" w:hAnsi="Times New Roman"/>
          <w:sz w:val="24"/>
        </w:rPr>
        <w:t xml:space="preserve">xecutive, </w:t>
      </w:r>
      <w:r w:rsidR="00156EF2">
        <w:rPr>
          <w:rFonts w:ascii="Times New Roman" w:hAnsi="Times New Roman"/>
          <w:sz w:val="24"/>
        </w:rPr>
        <w:t>A</w:t>
      </w:r>
      <w:r w:rsidR="004917B2">
        <w:rPr>
          <w:rFonts w:ascii="Times New Roman" w:hAnsi="Times New Roman"/>
          <w:sz w:val="24"/>
        </w:rPr>
        <w:t xml:space="preserve">uditor, </w:t>
      </w:r>
      <w:r w:rsidR="00156EF2">
        <w:rPr>
          <w:rFonts w:ascii="Times New Roman" w:hAnsi="Times New Roman"/>
          <w:sz w:val="24"/>
        </w:rPr>
        <w:t>S</w:t>
      </w:r>
      <w:r w:rsidR="004917B2">
        <w:rPr>
          <w:rFonts w:ascii="Times New Roman" w:hAnsi="Times New Roman"/>
          <w:sz w:val="24"/>
        </w:rPr>
        <w:t xml:space="preserve">ecretary or other officer of the Company shall be entitled to be indemnified by the Company against all costs, charges, losses, expenses and liabilities incurred by him in the execution and discharge of his duties or in relation thereto including any liability incurred by him in defending any proceedings, civil or criminal which relate to anything done or omitted or alleged to have been done or omitted by him as an officer or employee of the Company and in which judgment is given in his favour (or the proceedings are otherwise disposed of without any finding </w:t>
      </w:r>
      <w:r w:rsidR="004917B2">
        <w:rPr>
          <w:rFonts w:ascii="Times New Roman" w:hAnsi="Times New Roman"/>
          <w:sz w:val="24"/>
        </w:rPr>
        <w:lastRenderedPageBreak/>
        <w:t xml:space="preserve">or admission of any material breach of duty on his part) or in which he is acquitted or in connection with any application under any statute for relief from liability in respect of any such act or omissions in which relief is granted to him by the </w:t>
      </w:r>
      <w:r w:rsidR="00980367">
        <w:rPr>
          <w:rFonts w:ascii="Times New Roman" w:hAnsi="Times New Roman"/>
          <w:sz w:val="24"/>
        </w:rPr>
        <w:t>C</w:t>
      </w:r>
      <w:r w:rsidR="004917B2">
        <w:rPr>
          <w:rFonts w:ascii="Times New Roman" w:hAnsi="Times New Roman"/>
          <w:sz w:val="24"/>
        </w:rPr>
        <w:t>ourt.</w:t>
      </w:r>
      <w:r w:rsidR="00980367">
        <w:rPr>
          <w:rFonts w:ascii="Times New Roman" w:hAnsi="Times New Roman"/>
          <w:sz w:val="24"/>
        </w:rPr>
        <w:t xml:space="preserve"> …</w:t>
      </w:r>
    </w:p>
    <w:p w14:paraId="2C463FD9" w14:textId="6507C657" w:rsidR="004B20B0" w:rsidRPr="00BB00BA" w:rsidRDefault="004B20B0" w:rsidP="00463A20">
      <w:pPr>
        <w:pStyle w:val="ListParagraph"/>
        <w:tabs>
          <w:tab w:val="left" w:pos="567"/>
        </w:tabs>
        <w:spacing w:line="480" w:lineRule="auto"/>
        <w:ind w:left="567"/>
        <w:rPr>
          <w:rFonts w:ascii="Times New Roman" w:hAnsi="Times New Roman"/>
          <w:b/>
          <w:sz w:val="24"/>
          <w:u w:val="single"/>
        </w:rPr>
      </w:pPr>
      <w:r>
        <w:rPr>
          <w:rFonts w:ascii="Times New Roman" w:hAnsi="Times New Roman"/>
          <w:sz w:val="24"/>
        </w:rPr>
        <w:t xml:space="preserve">To the extent permitted by law, the </w:t>
      </w:r>
      <w:r w:rsidR="00980367">
        <w:rPr>
          <w:rFonts w:ascii="Times New Roman" w:hAnsi="Times New Roman"/>
          <w:sz w:val="24"/>
        </w:rPr>
        <w:t>D</w:t>
      </w:r>
      <w:r>
        <w:rPr>
          <w:rFonts w:ascii="Times New Roman" w:hAnsi="Times New Roman"/>
          <w:sz w:val="24"/>
        </w:rPr>
        <w:t xml:space="preserve">irectors may arrange insurance cover at the cost of the Company in respect of any liability, loss or expenditure incurred by any </w:t>
      </w:r>
      <w:r w:rsidR="00980367">
        <w:rPr>
          <w:rFonts w:ascii="Times New Roman" w:hAnsi="Times New Roman"/>
          <w:sz w:val="24"/>
        </w:rPr>
        <w:t>D</w:t>
      </w:r>
      <w:r>
        <w:rPr>
          <w:rFonts w:ascii="Times New Roman" w:hAnsi="Times New Roman"/>
          <w:sz w:val="24"/>
        </w:rPr>
        <w:t xml:space="preserve">irector, officer or the </w:t>
      </w:r>
      <w:r w:rsidR="00980367">
        <w:rPr>
          <w:rFonts w:ascii="Times New Roman" w:hAnsi="Times New Roman"/>
          <w:sz w:val="24"/>
        </w:rPr>
        <w:t>A</w:t>
      </w:r>
      <w:r>
        <w:rPr>
          <w:rFonts w:ascii="Times New Roman" w:hAnsi="Times New Roman"/>
          <w:sz w:val="24"/>
        </w:rPr>
        <w:t xml:space="preserve">uditors in relation to anything done or alleged to have been done or omitted to be done by him or them as </w:t>
      </w:r>
      <w:r w:rsidR="00980367">
        <w:rPr>
          <w:rFonts w:ascii="Times New Roman" w:hAnsi="Times New Roman"/>
          <w:sz w:val="24"/>
        </w:rPr>
        <w:t>D</w:t>
      </w:r>
      <w:r>
        <w:rPr>
          <w:rFonts w:ascii="Times New Roman" w:hAnsi="Times New Roman"/>
          <w:sz w:val="24"/>
        </w:rPr>
        <w:t xml:space="preserve">irector, officer or </w:t>
      </w:r>
      <w:r w:rsidR="00980367">
        <w:rPr>
          <w:rFonts w:ascii="Times New Roman" w:hAnsi="Times New Roman"/>
          <w:sz w:val="24"/>
        </w:rPr>
        <w:t>A</w:t>
      </w:r>
      <w:r>
        <w:rPr>
          <w:rFonts w:ascii="Times New Roman" w:hAnsi="Times New Roman"/>
          <w:sz w:val="24"/>
        </w:rPr>
        <w:t>uditor</w:t>
      </w:r>
      <w:r w:rsidR="004730C4">
        <w:rPr>
          <w:rFonts w:ascii="Times New Roman" w:hAnsi="Times New Roman"/>
          <w:sz w:val="24"/>
        </w:rPr>
        <w:t>s</w:t>
      </w:r>
      <w:r>
        <w:rPr>
          <w:rFonts w:ascii="Times New Roman" w:hAnsi="Times New Roman"/>
          <w:sz w:val="24"/>
        </w:rPr>
        <w:t>.</w:t>
      </w:r>
      <w:r w:rsidR="00790E86">
        <w:rPr>
          <w:rFonts w:ascii="Times New Roman" w:hAnsi="Times New Roman"/>
          <w:sz w:val="24"/>
        </w:rPr>
        <w:t>”</w:t>
      </w:r>
    </w:p>
    <w:p w14:paraId="709F662B" w14:textId="2B84EA1C" w:rsidR="00BB00BA" w:rsidRDefault="004917B2" w:rsidP="00463A20">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Mr. Long avers that there is an identical Article in the Articles of Association of the Bank, and he exhibits both Articles and then further avers:</w:t>
      </w:r>
    </w:p>
    <w:p w14:paraId="25160FBC" w14:textId="4CC47880" w:rsidR="004917B2" w:rsidRDefault="004917B2" w:rsidP="00463A20">
      <w:pPr>
        <w:pStyle w:val="ListParagraph"/>
        <w:tabs>
          <w:tab w:val="left" w:pos="567"/>
        </w:tabs>
        <w:spacing w:line="480" w:lineRule="auto"/>
        <w:ind w:left="567"/>
        <w:rPr>
          <w:rFonts w:ascii="Times New Roman" w:hAnsi="Times New Roman"/>
          <w:sz w:val="24"/>
        </w:rPr>
      </w:pPr>
      <w:r>
        <w:rPr>
          <w:rFonts w:ascii="Times New Roman" w:hAnsi="Times New Roman"/>
          <w:sz w:val="24"/>
        </w:rPr>
        <w:tab/>
        <w:t>“In circumstances where the directors have an entitlement to an indemnity from Group Holdings and the Bank, it is a matter for Group Holdings, the Bank and the insurer to instruct appropriat</w:t>
      </w:r>
      <w:r w:rsidR="00DF7F7E">
        <w:rPr>
          <w:rFonts w:ascii="Times New Roman" w:hAnsi="Times New Roman"/>
          <w:sz w:val="24"/>
        </w:rPr>
        <w:t>e legal representation for the Director R</w:t>
      </w:r>
      <w:r>
        <w:rPr>
          <w:rFonts w:ascii="Times New Roman" w:hAnsi="Times New Roman"/>
          <w:sz w:val="24"/>
        </w:rPr>
        <w:t xml:space="preserve">espondents.  The Chief Legal Officer is employed to provide legal services to Group Holdings and the Bank </w:t>
      </w:r>
      <w:r w:rsidR="0092008B">
        <w:rPr>
          <w:rFonts w:ascii="Times New Roman" w:hAnsi="Times New Roman"/>
          <w:sz w:val="24"/>
        </w:rPr>
        <w:t>and having represented both Group Holdings and the Bank in other proceedings where substantially similar complaints have been raised against Group Holdings and the Bank, is the most appropriate and economic choice of legal representative.”</w:t>
      </w:r>
    </w:p>
    <w:p w14:paraId="08854C9E" w14:textId="09EE744F" w:rsidR="00312BEA" w:rsidRPr="00C26C55" w:rsidRDefault="00C26C55" w:rsidP="00463A20">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Mr. Long further deposes that both Holdings and the Bank have a vital interest in these proceedings, by reason of certain of the reliefs sought by the petitioners whereby they indirectly attack the validity of the 2011 and 2012 </w:t>
      </w:r>
      <w:r w:rsidR="00837161">
        <w:rPr>
          <w:rFonts w:ascii="Times New Roman" w:hAnsi="Times New Roman"/>
          <w:sz w:val="24"/>
        </w:rPr>
        <w:t>D</w:t>
      </w:r>
      <w:r>
        <w:rPr>
          <w:rFonts w:ascii="Times New Roman" w:hAnsi="Times New Roman"/>
          <w:sz w:val="24"/>
        </w:rPr>
        <w:t xml:space="preserve">irection </w:t>
      </w:r>
      <w:r w:rsidR="00837161">
        <w:rPr>
          <w:rFonts w:ascii="Times New Roman" w:hAnsi="Times New Roman"/>
          <w:sz w:val="24"/>
        </w:rPr>
        <w:t>O</w:t>
      </w:r>
      <w:r>
        <w:rPr>
          <w:rFonts w:ascii="Times New Roman" w:hAnsi="Times New Roman"/>
          <w:sz w:val="24"/>
        </w:rPr>
        <w:t>rders.  Accordingly, Mr. Long argues, the s.205 proceedings</w:t>
      </w:r>
      <w:r w:rsidR="00C43D64">
        <w:rPr>
          <w:rFonts w:ascii="Times New Roman" w:hAnsi="Times New Roman"/>
          <w:sz w:val="24"/>
        </w:rPr>
        <w:t xml:space="preserve"> [i.e. these proceedings]</w:t>
      </w:r>
      <w:r>
        <w:rPr>
          <w:rFonts w:ascii="Times New Roman" w:hAnsi="Times New Roman"/>
          <w:sz w:val="24"/>
        </w:rPr>
        <w:t xml:space="preserve"> could have profound consequences for Holdings and the Bank such that Holdings and the Bank would be entitled to pay for the costs of the </w:t>
      </w:r>
      <w:r w:rsidR="00DF7F7E">
        <w:rPr>
          <w:rFonts w:ascii="Times New Roman" w:hAnsi="Times New Roman"/>
          <w:sz w:val="24"/>
        </w:rPr>
        <w:t>Director R</w:t>
      </w:r>
      <w:r>
        <w:rPr>
          <w:rFonts w:ascii="Times New Roman" w:hAnsi="Times New Roman"/>
          <w:sz w:val="24"/>
        </w:rPr>
        <w:t xml:space="preserve">espondents in resisting the petition, even if it were the case that such costs were not being met by the Policy.  </w:t>
      </w:r>
    </w:p>
    <w:p w14:paraId="2AA83473" w14:textId="04EFD20A" w:rsidR="00DD771B" w:rsidRPr="00DD771B" w:rsidRDefault="0092008B" w:rsidP="00463A20">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Mr. </w:t>
      </w:r>
      <w:proofErr w:type="spellStart"/>
      <w:r>
        <w:rPr>
          <w:rFonts w:ascii="Times New Roman" w:hAnsi="Times New Roman"/>
          <w:sz w:val="24"/>
        </w:rPr>
        <w:t>Skoczylas</w:t>
      </w:r>
      <w:proofErr w:type="spellEnd"/>
      <w:r>
        <w:rPr>
          <w:rFonts w:ascii="Times New Roman" w:hAnsi="Times New Roman"/>
          <w:sz w:val="24"/>
        </w:rPr>
        <w:t xml:space="preserve"> swore an affidavit of 8</w:t>
      </w:r>
      <w:r w:rsidRPr="0092008B">
        <w:rPr>
          <w:rFonts w:ascii="Times New Roman" w:hAnsi="Times New Roman"/>
          <w:sz w:val="24"/>
          <w:vertAlign w:val="superscript"/>
        </w:rPr>
        <w:t>th</w:t>
      </w:r>
      <w:r>
        <w:rPr>
          <w:rFonts w:ascii="Times New Roman" w:hAnsi="Times New Roman"/>
          <w:sz w:val="24"/>
        </w:rPr>
        <w:t xml:space="preserve"> </w:t>
      </w:r>
      <w:r w:rsidR="00A02045">
        <w:rPr>
          <w:rFonts w:ascii="Times New Roman" w:hAnsi="Times New Roman"/>
          <w:sz w:val="24"/>
        </w:rPr>
        <w:t>May</w:t>
      </w:r>
      <w:r>
        <w:rPr>
          <w:rFonts w:ascii="Times New Roman" w:hAnsi="Times New Roman"/>
          <w:sz w:val="24"/>
        </w:rPr>
        <w:t xml:space="preserve"> 2013 in reply to the affidavit of Mr. Long of 3</w:t>
      </w:r>
      <w:r w:rsidRPr="0092008B">
        <w:rPr>
          <w:rFonts w:ascii="Times New Roman" w:hAnsi="Times New Roman"/>
          <w:sz w:val="24"/>
          <w:vertAlign w:val="superscript"/>
        </w:rPr>
        <w:t>rd</w:t>
      </w:r>
      <w:r>
        <w:rPr>
          <w:rFonts w:ascii="Times New Roman" w:hAnsi="Times New Roman"/>
          <w:sz w:val="24"/>
        </w:rPr>
        <w:t xml:space="preserve"> May 2013.  In this affidavit, Mr. </w:t>
      </w:r>
      <w:proofErr w:type="spellStart"/>
      <w:r>
        <w:rPr>
          <w:rFonts w:ascii="Times New Roman" w:hAnsi="Times New Roman"/>
          <w:sz w:val="24"/>
        </w:rPr>
        <w:t>Skoczylas</w:t>
      </w:r>
      <w:proofErr w:type="spellEnd"/>
      <w:r>
        <w:rPr>
          <w:rFonts w:ascii="Times New Roman" w:hAnsi="Times New Roman"/>
          <w:sz w:val="24"/>
        </w:rPr>
        <w:t xml:space="preserve"> acknowledges the Policy but contends that </w:t>
      </w:r>
      <w:r>
        <w:rPr>
          <w:rFonts w:ascii="Times New Roman" w:hAnsi="Times New Roman"/>
          <w:sz w:val="24"/>
        </w:rPr>
        <w:lastRenderedPageBreak/>
        <w:t>this is no answer to th</w:t>
      </w:r>
      <w:r w:rsidR="00C43D64">
        <w:rPr>
          <w:rFonts w:ascii="Times New Roman" w:hAnsi="Times New Roman"/>
          <w:sz w:val="24"/>
        </w:rPr>
        <w:t>is application</w:t>
      </w:r>
      <w:r>
        <w:rPr>
          <w:rFonts w:ascii="Times New Roman" w:hAnsi="Times New Roman"/>
          <w:sz w:val="24"/>
        </w:rPr>
        <w:t>.  Firstly, he says</w:t>
      </w:r>
      <w:r w:rsidR="00C26C55">
        <w:rPr>
          <w:rFonts w:ascii="Times New Roman" w:hAnsi="Times New Roman"/>
          <w:sz w:val="24"/>
        </w:rPr>
        <w:t xml:space="preserve"> that th</w:t>
      </w:r>
      <w:r w:rsidR="00A72BF8">
        <w:rPr>
          <w:rFonts w:ascii="Times New Roman" w:hAnsi="Times New Roman"/>
          <w:sz w:val="24"/>
        </w:rPr>
        <w:t>e</w:t>
      </w:r>
      <w:r w:rsidR="00C26C55">
        <w:rPr>
          <w:rFonts w:ascii="Times New Roman" w:hAnsi="Times New Roman"/>
          <w:sz w:val="24"/>
        </w:rPr>
        <w:t xml:space="preserve"> </w:t>
      </w:r>
      <w:r w:rsidR="00A72BF8">
        <w:rPr>
          <w:rFonts w:ascii="Times New Roman" w:hAnsi="Times New Roman"/>
          <w:sz w:val="24"/>
        </w:rPr>
        <w:t>P</w:t>
      </w:r>
      <w:r w:rsidR="00C26C55">
        <w:rPr>
          <w:rFonts w:ascii="Times New Roman" w:hAnsi="Times New Roman"/>
          <w:sz w:val="24"/>
        </w:rPr>
        <w:t xml:space="preserve">olicy will not cover the cost to Holdings and/or the Bank that arises by reason of staff and other resources </w:t>
      </w:r>
      <w:r w:rsidR="00A72BF8">
        <w:rPr>
          <w:rFonts w:ascii="Times New Roman" w:hAnsi="Times New Roman"/>
          <w:sz w:val="24"/>
        </w:rPr>
        <w:t xml:space="preserve">of Holdings and/or the Bank </w:t>
      </w:r>
      <w:r w:rsidR="00C26C55">
        <w:rPr>
          <w:rFonts w:ascii="Times New Roman" w:hAnsi="Times New Roman"/>
          <w:sz w:val="24"/>
        </w:rPr>
        <w:t>being diverted t</w:t>
      </w:r>
      <w:r w:rsidR="00CF5538">
        <w:rPr>
          <w:rFonts w:ascii="Times New Roman" w:hAnsi="Times New Roman"/>
          <w:sz w:val="24"/>
        </w:rPr>
        <w:t>o</w:t>
      </w:r>
      <w:r w:rsidR="00C26C55">
        <w:rPr>
          <w:rFonts w:ascii="Times New Roman" w:hAnsi="Times New Roman"/>
          <w:sz w:val="24"/>
        </w:rPr>
        <w:t xml:space="preserve"> address these proceedings.  This includes not just staff within the legal department of the Chief Legal Officer, but also the time spent upon the matter by the secretary of both Holdings and the Bank, namely Mr. Long, and </w:t>
      </w:r>
      <w:r w:rsidR="00CF5538">
        <w:rPr>
          <w:rFonts w:ascii="Times New Roman" w:hAnsi="Times New Roman"/>
          <w:sz w:val="24"/>
        </w:rPr>
        <w:t>staff working within his department</w:t>
      </w:r>
      <w:r w:rsidR="00875089">
        <w:rPr>
          <w:rFonts w:ascii="Times New Roman" w:hAnsi="Times New Roman"/>
          <w:sz w:val="24"/>
        </w:rPr>
        <w:t xml:space="preserve">.  </w:t>
      </w:r>
      <w:r w:rsidR="00CF5538">
        <w:rPr>
          <w:rFonts w:ascii="Times New Roman" w:hAnsi="Times New Roman"/>
          <w:sz w:val="24"/>
        </w:rPr>
        <w:t>Moreover,</w:t>
      </w:r>
      <w:r>
        <w:rPr>
          <w:rFonts w:ascii="Times New Roman" w:hAnsi="Times New Roman"/>
          <w:sz w:val="24"/>
        </w:rPr>
        <w:t xml:space="preserve"> </w:t>
      </w:r>
      <w:r w:rsidR="00875089">
        <w:rPr>
          <w:rFonts w:ascii="Times New Roman" w:hAnsi="Times New Roman"/>
          <w:sz w:val="24"/>
        </w:rPr>
        <w:t xml:space="preserve">Mr. </w:t>
      </w:r>
      <w:proofErr w:type="spellStart"/>
      <w:r w:rsidR="00875089">
        <w:rPr>
          <w:rFonts w:ascii="Times New Roman" w:hAnsi="Times New Roman"/>
          <w:sz w:val="24"/>
        </w:rPr>
        <w:t>Skoczylas</w:t>
      </w:r>
      <w:proofErr w:type="spellEnd"/>
      <w:r w:rsidR="00875089">
        <w:rPr>
          <w:rFonts w:ascii="Times New Roman" w:hAnsi="Times New Roman"/>
          <w:sz w:val="24"/>
        </w:rPr>
        <w:t xml:space="preserve"> argues</w:t>
      </w:r>
      <w:r w:rsidR="00CF5538">
        <w:rPr>
          <w:rFonts w:ascii="Times New Roman" w:hAnsi="Times New Roman"/>
          <w:sz w:val="24"/>
        </w:rPr>
        <w:t>,</w:t>
      </w:r>
      <w:r w:rsidR="00875089">
        <w:rPr>
          <w:rFonts w:ascii="Times New Roman" w:hAnsi="Times New Roman"/>
          <w:sz w:val="24"/>
        </w:rPr>
        <w:t xml:space="preserve"> it is clear from the terms of the Policy that such expenses are not covered, and he goes further and argues that some of the actions of the </w:t>
      </w:r>
      <w:r w:rsidR="00261167" w:rsidRPr="00261167">
        <w:rPr>
          <w:rFonts w:ascii="Times New Roman" w:hAnsi="Times New Roman"/>
          <w:sz w:val="24"/>
        </w:rPr>
        <w:t>Director Respondents</w:t>
      </w:r>
      <w:r w:rsidR="00875089">
        <w:rPr>
          <w:rFonts w:ascii="Times New Roman" w:hAnsi="Times New Roman"/>
          <w:sz w:val="24"/>
        </w:rPr>
        <w:t xml:space="preserve"> to which the petition relates are outside the liability period covered by the </w:t>
      </w:r>
      <w:r w:rsidR="00CF5538">
        <w:rPr>
          <w:rFonts w:ascii="Times New Roman" w:hAnsi="Times New Roman"/>
          <w:sz w:val="24"/>
        </w:rPr>
        <w:t>P</w:t>
      </w:r>
      <w:r w:rsidR="00875089">
        <w:rPr>
          <w:rFonts w:ascii="Times New Roman" w:hAnsi="Times New Roman"/>
          <w:sz w:val="24"/>
        </w:rPr>
        <w:t xml:space="preserve">olicy.  Mr. </w:t>
      </w:r>
      <w:proofErr w:type="spellStart"/>
      <w:r w:rsidR="00875089">
        <w:rPr>
          <w:rFonts w:ascii="Times New Roman" w:hAnsi="Times New Roman"/>
          <w:sz w:val="24"/>
        </w:rPr>
        <w:t>Skoczylas</w:t>
      </w:r>
      <w:proofErr w:type="spellEnd"/>
      <w:r w:rsidR="00875089">
        <w:rPr>
          <w:rFonts w:ascii="Times New Roman" w:hAnsi="Times New Roman"/>
          <w:sz w:val="24"/>
        </w:rPr>
        <w:t xml:space="preserve"> also argues that the provision of the assistance concerned by Holdings and the Bank to the first to eleventh named respondents is contrary to statute and common law.  </w:t>
      </w:r>
    </w:p>
    <w:p w14:paraId="48C2DA28" w14:textId="78A4DF4D" w:rsidR="0092008B" w:rsidRPr="006351BB" w:rsidRDefault="00DF7F7E" w:rsidP="00463A20">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Insofar as the Director R</w:t>
      </w:r>
      <w:r w:rsidR="0092008B">
        <w:rPr>
          <w:rFonts w:ascii="Times New Roman" w:hAnsi="Times New Roman"/>
          <w:sz w:val="24"/>
        </w:rPr>
        <w:t xml:space="preserve">espondents rely upon the Articles of Association of Holdings and the Bank, Mr. </w:t>
      </w:r>
      <w:proofErr w:type="spellStart"/>
      <w:r w:rsidR="0092008B">
        <w:rPr>
          <w:rFonts w:ascii="Times New Roman" w:hAnsi="Times New Roman"/>
          <w:sz w:val="24"/>
        </w:rPr>
        <w:t>Skoczylas</w:t>
      </w:r>
      <w:proofErr w:type="spellEnd"/>
      <w:r w:rsidR="0092008B">
        <w:rPr>
          <w:rFonts w:ascii="Times New Roman" w:hAnsi="Times New Roman"/>
          <w:sz w:val="24"/>
        </w:rPr>
        <w:t xml:space="preserve"> submits that those Articles are</w:t>
      </w:r>
      <w:r w:rsidR="00C43D64">
        <w:rPr>
          <w:rFonts w:ascii="Times New Roman" w:hAnsi="Times New Roman"/>
          <w:sz w:val="24"/>
        </w:rPr>
        <w:t>, on their face,</w:t>
      </w:r>
      <w:r w:rsidR="0092008B">
        <w:rPr>
          <w:rFonts w:ascii="Times New Roman" w:hAnsi="Times New Roman"/>
          <w:sz w:val="24"/>
        </w:rPr>
        <w:t xml:space="preserve"> subject to restrictions, and in particular are contingent upon the directors being successful</w:t>
      </w:r>
      <w:r w:rsidR="00C43D64">
        <w:rPr>
          <w:rFonts w:ascii="Times New Roman" w:hAnsi="Times New Roman"/>
          <w:sz w:val="24"/>
        </w:rPr>
        <w:t xml:space="preserve"> in the proceedings</w:t>
      </w:r>
      <w:r w:rsidR="0092008B">
        <w:rPr>
          <w:rFonts w:ascii="Times New Roman" w:hAnsi="Times New Roman"/>
          <w:sz w:val="24"/>
        </w:rPr>
        <w:t xml:space="preserve">.  Furthermore, he argues, that the Articles </w:t>
      </w:r>
      <w:r w:rsidR="00DD771B">
        <w:rPr>
          <w:rFonts w:ascii="Times New Roman" w:hAnsi="Times New Roman"/>
          <w:sz w:val="24"/>
        </w:rPr>
        <w:t xml:space="preserve">of Association </w:t>
      </w:r>
      <w:r w:rsidR="0092008B">
        <w:rPr>
          <w:rFonts w:ascii="Times New Roman" w:hAnsi="Times New Roman"/>
          <w:sz w:val="24"/>
        </w:rPr>
        <w:t xml:space="preserve">do not permit Holdings to pay, upfront, any expenses that may be reimbursed by an insurer, and he claims that these proceedings are being “bankrolled” by Holdings. </w:t>
      </w:r>
    </w:p>
    <w:p w14:paraId="295BE6B7" w14:textId="79BFA422" w:rsidR="00CF5538" w:rsidRPr="00A4253F" w:rsidRDefault="00A4253F" w:rsidP="00463A20">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Mr. Long addressed these issues in his further affidavit of </w:t>
      </w:r>
      <w:r w:rsidR="005F52C5">
        <w:rPr>
          <w:rFonts w:ascii="Times New Roman" w:hAnsi="Times New Roman"/>
          <w:sz w:val="24"/>
        </w:rPr>
        <w:t>17</w:t>
      </w:r>
      <w:r w:rsidR="005F52C5" w:rsidRPr="005F52C5">
        <w:rPr>
          <w:rFonts w:ascii="Times New Roman" w:hAnsi="Times New Roman"/>
          <w:sz w:val="24"/>
          <w:vertAlign w:val="superscript"/>
        </w:rPr>
        <w:t>th</w:t>
      </w:r>
      <w:r w:rsidR="005F52C5">
        <w:rPr>
          <w:rFonts w:ascii="Times New Roman" w:hAnsi="Times New Roman"/>
          <w:sz w:val="24"/>
        </w:rPr>
        <w:t xml:space="preserve"> May </w:t>
      </w:r>
      <w:r>
        <w:rPr>
          <w:rFonts w:ascii="Times New Roman" w:hAnsi="Times New Roman"/>
          <w:sz w:val="24"/>
        </w:rPr>
        <w:t xml:space="preserve">2013.  Mr Long avers </w:t>
      </w:r>
      <w:r w:rsidR="00DF7F7E">
        <w:rPr>
          <w:rFonts w:ascii="Times New Roman" w:hAnsi="Times New Roman"/>
          <w:sz w:val="24"/>
        </w:rPr>
        <w:t>that the costs incurred by the Director R</w:t>
      </w:r>
      <w:r>
        <w:rPr>
          <w:rFonts w:ascii="Times New Roman" w:hAnsi="Times New Roman"/>
          <w:sz w:val="24"/>
        </w:rPr>
        <w:t>espondents in these proceedings will be reimbursed by the insurers under the Policy as the costs a</w:t>
      </w:r>
      <w:r w:rsidR="00AE2754">
        <w:rPr>
          <w:rFonts w:ascii="Times New Roman" w:hAnsi="Times New Roman"/>
          <w:sz w:val="24"/>
        </w:rPr>
        <w:t>re</w:t>
      </w:r>
      <w:r>
        <w:rPr>
          <w:rFonts w:ascii="Times New Roman" w:hAnsi="Times New Roman"/>
          <w:sz w:val="24"/>
        </w:rPr>
        <w:t xml:space="preserve"> incurred, so that neither Holdings or the Bank will have to pay the costs in the first instance, and await reimbursement from the insurer.  He also addresses the arguments made by Mr. </w:t>
      </w:r>
      <w:proofErr w:type="spellStart"/>
      <w:r>
        <w:rPr>
          <w:rFonts w:ascii="Times New Roman" w:hAnsi="Times New Roman"/>
          <w:sz w:val="24"/>
        </w:rPr>
        <w:t>Skoczylas</w:t>
      </w:r>
      <w:proofErr w:type="spellEnd"/>
      <w:r>
        <w:rPr>
          <w:rFonts w:ascii="Times New Roman" w:hAnsi="Times New Roman"/>
          <w:sz w:val="24"/>
        </w:rPr>
        <w:t xml:space="preserve"> that the Policy does not cover these proceedings, and he </w:t>
      </w:r>
      <w:r w:rsidR="000C378A">
        <w:rPr>
          <w:rFonts w:ascii="Times New Roman" w:hAnsi="Times New Roman"/>
          <w:sz w:val="24"/>
        </w:rPr>
        <w:t xml:space="preserve">refers </w:t>
      </w:r>
      <w:r w:rsidR="0001664D">
        <w:rPr>
          <w:rFonts w:ascii="Times New Roman" w:hAnsi="Times New Roman"/>
          <w:sz w:val="24"/>
        </w:rPr>
        <w:t>to a</w:t>
      </w:r>
      <w:r>
        <w:rPr>
          <w:rFonts w:ascii="Times New Roman" w:hAnsi="Times New Roman"/>
          <w:sz w:val="24"/>
        </w:rPr>
        <w:t xml:space="preserve"> letter from the insurers, AIG</w:t>
      </w:r>
      <w:r w:rsidR="00324BB7">
        <w:rPr>
          <w:rFonts w:ascii="Times New Roman" w:hAnsi="Times New Roman"/>
          <w:sz w:val="24"/>
        </w:rPr>
        <w:t xml:space="preserve"> </w:t>
      </w:r>
      <w:r w:rsidR="00324BB7" w:rsidRPr="00324BB7">
        <w:rPr>
          <w:rFonts w:ascii="Times New Roman" w:hAnsi="Times New Roman"/>
          <w:sz w:val="24"/>
        </w:rPr>
        <w:t xml:space="preserve">(who succeeded to </w:t>
      </w:r>
      <w:proofErr w:type="spellStart"/>
      <w:r w:rsidR="00324BB7" w:rsidRPr="00324BB7">
        <w:rPr>
          <w:rFonts w:ascii="Times New Roman" w:hAnsi="Times New Roman"/>
          <w:sz w:val="24"/>
        </w:rPr>
        <w:t>Chartis</w:t>
      </w:r>
      <w:proofErr w:type="spellEnd"/>
      <w:r w:rsidR="00C43D64">
        <w:rPr>
          <w:rFonts w:ascii="Times New Roman" w:hAnsi="Times New Roman"/>
          <w:sz w:val="24"/>
        </w:rPr>
        <w:t xml:space="preserve"> as indemnifiers of the Policy</w:t>
      </w:r>
      <w:r w:rsidR="00324BB7" w:rsidRPr="00324BB7">
        <w:rPr>
          <w:rFonts w:ascii="Times New Roman" w:hAnsi="Times New Roman"/>
          <w:sz w:val="24"/>
        </w:rPr>
        <w:t>)</w:t>
      </w:r>
      <w:r>
        <w:rPr>
          <w:rFonts w:ascii="Times New Roman" w:hAnsi="Times New Roman"/>
          <w:sz w:val="24"/>
        </w:rPr>
        <w:t>,</w:t>
      </w:r>
      <w:r w:rsidR="00766E49">
        <w:rPr>
          <w:rFonts w:ascii="Times New Roman" w:hAnsi="Times New Roman"/>
          <w:sz w:val="24"/>
        </w:rPr>
        <w:t xml:space="preserve"> </w:t>
      </w:r>
      <w:r w:rsidR="0001664D">
        <w:rPr>
          <w:rFonts w:ascii="Times New Roman" w:hAnsi="Times New Roman"/>
          <w:sz w:val="24"/>
        </w:rPr>
        <w:t>being a letter</w:t>
      </w:r>
      <w:r>
        <w:rPr>
          <w:rFonts w:ascii="Times New Roman" w:hAnsi="Times New Roman"/>
          <w:sz w:val="24"/>
        </w:rPr>
        <w:t xml:space="preserve"> dated 3</w:t>
      </w:r>
      <w:r w:rsidRPr="00A4253F">
        <w:rPr>
          <w:rFonts w:ascii="Times New Roman" w:hAnsi="Times New Roman"/>
          <w:sz w:val="24"/>
          <w:vertAlign w:val="superscript"/>
        </w:rPr>
        <w:t>rd</w:t>
      </w:r>
      <w:r>
        <w:rPr>
          <w:rFonts w:ascii="Times New Roman" w:hAnsi="Times New Roman"/>
          <w:sz w:val="24"/>
        </w:rPr>
        <w:t xml:space="preserve"> May 2013</w:t>
      </w:r>
      <w:r w:rsidR="0001664D">
        <w:rPr>
          <w:rFonts w:ascii="Times New Roman" w:hAnsi="Times New Roman"/>
          <w:sz w:val="24"/>
        </w:rPr>
        <w:t>,</w:t>
      </w:r>
      <w:r w:rsidR="00766E49">
        <w:rPr>
          <w:rFonts w:ascii="Times New Roman" w:hAnsi="Times New Roman"/>
          <w:sz w:val="24"/>
        </w:rPr>
        <w:t xml:space="preserve"> </w:t>
      </w:r>
      <w:r>
        <w:rPr>
          <w:rFonts w:ascii="Times New Roman" w:hAnsi="Times New Roman"/>
          <w:sz w:val="24"/>
        </w:rPr>
        <w:t xml:space="preserve">which was provided expressly in response to the affidavit of Mr. </w:t>
      </w:r>
      <w:proofErr w:type="spellStart"/>
      <w:r>
        <w:rPr>
          <w:rFonts w:ascii="Times New Roman" w:hAnsi="Times New Roman"/>
          <w:sz w:val="24"/>
        </w:rPr>
        <w:t>Skoczylas</w:t>
      </w:r>
      <w:proofErr w:type="spellEnd"/>
      <w:r>
        <w:rPr>
          <w:rFonts w:ascii="Times New Roman" w:hAnsi="Times New Roman"/>
          <w:sz w:val="24"/>
        </w:rPr>
        <w:t xml:space="preserve"> of 26</w:t>
      </w:r>
      <w:r w:rsidRPr="00A4253F">
        <w:rPr>
          <w:rFonts w:ascii="Times New Roman" w:hAnsi="Times New Roman"/>
          <w:sz w:val="24"/>
          <w:vertAlign w:val="superscript"/>
        </w:rPr>
        <w:t>th</w:t>
      </w:r>
      <w:r>
        <w:rPr>
          <w:rFonts w:ascii="Times New Roman" w:hAnsi="Times New Roman"/>
          <w:sz w:val="24"/>
        </w:rPr>
        <w:t xml:space="preserve"> April 2013</w:t>
      </w:r>
      <w:r w:rsidR="0001664D">
        <w:rPr>
          <w:rFonts w:ascii="Times New Roman" w:hAnsi="Times New Roman"/>
          <w:sz w:val="24"/>
        </w:rPr>
        <w:t xml:space="preserve"> (this letter </w:t>
      </w:r>
      <w:r w:rsidR="0001664D">
        <w:rPr>
          <w:rFonts w:ascii="Times New Roman" w:hAnsi="Times New Roman"/>
          <w:sz w:val="24"/>
        </w:rPr>
        <w:lastRenderedPageBreak/>
        <w:t>was actually exhibited by Mr. Long to his affidavit of 3</w:t>
      </w:r>
      <w:r w:rsidR="0001664D" w:rsidRPr="00766E49">
        <w:rPr>
          <w:rFonts w:ascii="Times New Roman" w:hAnsi="Times New Roman"/>
          <w:sz w:val="24"/>
          <w:vertAlign w:val="superscript"/>
        </w:rPr>
        <w:t>rd</w:t>
      </w:r>
      <w:r w:rsidR="0001664D">
        <w:rPr>
          <w:rFonts w:ascii="Times New Roman" w:hAnsi="Times New Roman"/>
          <w:sz w:val="24"/>
        </w:rPr>
        <w:t xml:space="preserve"> May 2013)</w:t>
      </w:r>
      <w:r>
        <w:rPr>
          <w:rFonts w:ascii="Times New Roman" w:hAnsi="Times New Roman"/>
          <w:sz w:val="24"/>
        </w:rPr>
        <w:t>.  In this letter, the insurer confirms:</w:t>
      </w:r>
    </w:p>
    <w:p w14:paraId="3824257B" w14:textId="032ED348" w:rsidR="00A4253F" w:rsidRDefault="00A4253F" w:rsidP="00463A20">
      <w:pPr>
        <w:pStyle w:val="ListParagraph"/>
        <w:numPr>
          <w:ilvl w:val="0"/>
          <w:numId w:val="7"/>
        </w:numPr>
        <w:tabs>
          <w:tab w:val="left" w:pos="567"/>
        </w:tabs>
        <w:spacing w:line="480" w:lineRule="auto"/>
        <w:ind w:left="1134" w:hanging="567"/>
        <w:rPr>
          <w:rFonts w:ascii="Times New Roman" w:hAnsi="Times New Roman"/>
          <w:sz w:val="24"/>
        </w:rPr>
      </w:pPr>
      <w:r>
        <w:rPr>
          <w:rFonts w:ascii="Times New Roman" w:hAnsi="Times New Roman"/>
          <w:sz w:val="24"/>
        </w:rPr>
        <w:t>AIG will pay the defence costs of t</w:t>
      </w:r>
      <w:r w:rsidR="00DF7F7E">
        <w:rPr>
          <w:rFonts w:ascii="Times New Roman" w:hAnsi="Times New Roman"/>
          <w:sz w:val="24"/>
        </w:rPr>
        <w:t>he insurable parties (i.e. the Director R</w:t>
      </w:r>
      <w:r>
        <w:rPr>
          <w:rFonts w:ascii="Times New Roman" w:hAnsi="Times New Roman"/>
          <w:sz w:val="24"/>
        </w:rPr>
        <w:t>espondents) as and when such fees are incurred and the relevant fee notes are presented for discharge;</w:t>
      </w:r>
    </w:p>
    <w:p w14:paraId="33D2B846" w14:textId="78318F23" w:rsidR="00A4253F" w:rsidRDefault="00A4253F" w:rsidP="00463A20">
      <w:pPr>
        <w:pStyle w:val="ListParagraph"/>
        <w:numPr>
          <w:ilvl w:val="0"/>
          <w:numId w:val="7"/>
        </w:numPr>
        <w:tabs>
          <w:tab w:val="left" w:pos="567"/>
        </w:tabs>
        <w:spacing w:line="480" w:lineRule="auto"/>
        <w:ind w:left="1134" w:hanging="567"/>
        <w:rPr>
          <w:rFonts w:ascii="Times New Roman" w:hAnsi="Times New Roman"/>
          <w:sz w:val="24"/>
        </w:rPr>
      </w:pPr>
      <w:r>
        <w:rPr>
          <w:rFonts w:ascii="Times New Roman" w:hAnsi="Times New Roman"/>
          <w:sz w:val="24"/>
        </w:rPr>
        <w:t>These proceedings are covered by the Policy from 25</w:t>
      </w:r>
      <w:r w:rsidRPr="00A4253F">
        <w:rPr>
          <w:rFonts w:ascii="Times New Roman" w:hAnsi="Times New Roman"/>
          <w:sz w:val="24"/>
          <w:vertAlign w:val="superscript"/>
        </w:rPr>
        <w:t>th</w:t>
      </w:r>
      <w:r>
        <w:rPr>
          <w:rFonts w:ascii="Times New Roman" w:hAnsi="Times New Roman"/>
          <w:sz w:val="24"/>
        </w:rPr>
        <w:t xml:space="preserve"> </w:t>
      </w:r>
      <w:r w:rsidR="006F0117">
        <w:rPr>
          <w:rFonts w:ascii="Times New Roman" w:hAnsi="Times New Roman"/>
          <w:sz w:val="24"/>
        </w:rPr>
        <w:t>January</w:t>
      </w:r>
      <w:r>
        <w:rPr>
          <w:rFonts w:ascii="Times New Roman" w:hAnsi="Times New Roman"/>
          <w:sz w:val="24"/>
        </w:rPr>
        <w:t xml:space="preserve"> 2013;</w:t>
      </w:r>
    </w:p>
    <w:p w14:paraId="0C9AFE9B" w14:textId="4DEE8072" w:rsidR="00A4253F" w:rsidRDefault="006F0117" w:rsidP="00463A20">
      <w:pPr>
        <w:pStyle w:val="ListParagraph"/>
        <w:numPr>
          <w:ilvl w:val="0"/>
          <w:numId w:val="7"/>
        </w:numPr>
        <w:tabs>
          <w:tab w:val="left" w:pos="567"/>
        </w:tabs>
        <w:spacing w:line="480" w:lineRule="auto"/>
        <w:ind w:left="1134" w:hanging="567"/>
        <w:rPr>
          <w:rFonts w:ascii="Times New Roman" w:hAnsi="Times New Roman"/>
          <w:sz w:val="24"/>
        </w:rPr>
      </w:pPr>
      <w:r>
        <w:rPr>
          <w:rFonts w:ascii="Times New Roman" w:hAnsi="Times New Roman"/>
          <w:sz w:val="24"/>
        </w:rPr>
        <w:t>There</w:t>
      </w:r>
      <w:r w:rsidR="00A4253F">
        <w:rPr>
          <w:rFonts w:ascii="Times New Roman" w:hAnsi="Times New Roman"/>
          <w:sz w:val="24"/>
        </w:rPr>
        <w:t xml:space="preserve"> is a standard form “wrongful act exclusion”.  This applies in the event</w:t>
      </w:r>
      <w:r>
        <w:rPr>
          <w:rFonts w:ascii="Times New Roman" w:hAnsi="Times New Roman"/>
          <w:sz w:val="24"/>
        </w:rPr>
        <w:t xml:space="preserve"> that a director should admit the commission of a wrongful act or that a court should determine that there has been a wrongful act on the part of a director.  However, until such an event occurs, a full indemnity is provided;</w:t>
      </w:r>
    </w:p>
    <w:p w14:paraId="45AEC6D5" w14:textId="31BC8C98" w:rsidR="00875089" w:rsidRPr="00017507" w:rsidRDefault="006F0117" w:rsidP="00463A20">
      <w:pPr>
        <w:pStyle w:val="ListParagraph"/>
        <w:numPr>
          <w:ilvl w:val="0"/>
          <w:numId w:val="7"/>
        </w:numPr>
        <w:tabs>
          <w:tab w:val="left" w:pos="567"/>
        </w:tabs>
        <w:spacing w:line="480" w:lineRule="auto"/>
        <w:ind w:left="1134" w:hanging="567"/>
        <w:rPr>
          <w:rFonts w:ascii="Times New Roman" w:hAnsi="Times New Roman"/>
          <w:sz w:val="24"/>
        </w:rPr>
      </w:pPr>
      <w:r>
        <w:rPr>
          <w:rFonts w:ascii="Times New Roman" w:hAnsi="Times New Roman"/>
          <w:sz w:val="24"/>
        </w:rPr>
        <w:t>The policy holder is required under the Policy to act on behalf of all insureds in relation to matters relevant to the Policy.  Accordingly, AIG expects the compan</w:t>
      </w:r>
      <w:r w:rsidR="00017507">
        <w:rPr>
          <w:rFonts w:ascii="Times New Roman" w:hAnsi="Times New Roman"/>
          <w:sz w:val="24"/>
        </w:rPr>
        <w:t>y</w:t>
      </w:r>
      <w:r>
        <w:rPr>
          <w:rFonts w:ascii="Times New Roman" w:hAnsi="Times New Roman"/>
          <w:sz w:val="24"/>
        </w:rPr>
        <w:t xml:space="preserve"> secretary of the policy holder to be the person who will liaise with the insurer during the course of the proceedings.  It is a prerequisite of all policies of insurance that the policy holder provides and exhibits full cooperation with insurers, and such cooperation is expected in these proceedings.</w:t>
      </w:r>
    </w:p>
    <w:p w14:paraId="188556F1" w14:textId="77777777" w:rsidR="00875089" w:rsidRPr="00875089" w:rsidRDefault="00875089" w:rsidP="00463A20">
      <w:pPr>
        <w:pStyle w:val="ListParagraph"/>
        <w:tabs>
          <w:tab w:val="left" w:pos="567"/>
        </w:tabs>
        <w:spacing w:line="480" w:lineRule="auto"/>
        <w:ind w:left="0"/>
        <w:rPr>
          <w:rFonts w:ascii="Times New Roman" w:hAnsi="Times New Roman"/>
          <w:b/>
          <w:sz w:val="24"/>
          <w:u w:val="single"/>
        </w:rPr>
      </w:pPr>
      <w:r>
        <w:rPr>
          <w:rFonts w:ascii="Times New Roman" w:hAnsi="Times New Roman"/>
          <w:b/>
          <w:sz w:val="24"/>
          <w:u w:val="single"/>
        </w:rPr>
        <w:t xml:space="preserve">Judgment of the High Court </w:t>
      </w:r>
    </w:p>
    <w:p w14:paraId="4E650CB4" w14:textId="748AF9AB" w:rsidR="0091693D" w:rsidRPr="00875089" w:rsidRDefault="00875089" w:rsidP="00463A20">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Having summarised the background to the application, and the application itself, the trial judge noted that the application was not made on the basis that it was an interlocutory application which would endure only until the determination of the s.</w:t>
      </w:r>
      <w:r w:rsidR="005D633C">
        <w:rPr>
          <w:rFonts w:ascii="Times New Roman" w:hAnsi="Times New Roman"/>
          <w:sz w:val="24"/>
        </w:rPr>
        <w:t xml:space="preserve"> </w:t>
      </w:r>
      <w:r>
        <w:rPr>
          <w:rFonts w:ascii="Times New Roman" w:hAnsi="Times New Roman"/>
          <w:sz w:val="24"/>
        </w:rPr>
        <w:t xml:space="preserve">205 proceedings.  Accordingly, the petitioners were seeking permanent orders in the terms sought.  </w:t>
      </w:r>
      <w:proofErr w:type="spellStart"/>
      <w:r>
        <w:rPr>
          <w:rFonts w:ascii="Times New Roman" w:hAnsi="Times New Roman"/>
          <w:sz w:val="24"/>
        </w:rPr>
        <w:t>Laffoy</w:t>
      </w:r>
      <w:proofErr w:type="spellEnd"/>
      <w:r>
        <w:rPr>
          <w:rFonts w:ascii="Times New Roman" w:hAnsi="Times New Roman"/>
          <w:sz w:val="24"/>
        </w:rPr>
        <w:t xml:space="preserve"> J. noted that the petitioners proffered no undertaking as to damages.  She </w:t>
      </w:r>
      <w:r w:rsidR="00DF7F7E">
        <w:rPr>
          <w:rFonts w:ascii="Times New Roman" w:hAnsi="Times New Roman"/>
          <w:sz w:val="24"/>
        </w:rPr>
        <w:t>noted that the position of the Director R</w:t>
      </w:r>
      <w:r>
        <w:rPr>
          <w:rFonts w:ascii="Times New Roman" w:hAnsi="Times New Roman"/>
          <w:sz w:val="24"/>
        </w:rPr>
        <w:t>espondents as regard</w:t>
      </w:r>
      <w:r w:rsidR="007E5D65">
        <w:rPr>
          <w:rFonts w:ascii="Times New Roman" w:hAnsi="Times New Roman"/>
          <w:sz w:val="24"/>
        </w:rPr>
        <w:t>s</w:t>
      </w:r>
      <w:r>
        <w:rPr>
          <w:rFonts w:ascii="Times New Roman" w:hAnsi="Times New Roman"/>
          <w:sz w:val="24"/>
        </w:rPr>
        <w:t xml:space="preserve"> the first two orders sought was that they were not necessary</w:t>
      </w:r>
      <w:r w:rsidR="00DF7F7E">
        <w:rPr>
          <w:rFonts w:ascii="Times New Roman" w:hAnsi="Times New Roman"/>
          <w:sz w:val="24"/>
        </w:rPr>
        <w:t xml:space="preserve"> because, on the evidence, the Director R</w:t>
      </w:r>
      <w:r>
        <w:rPr>
          <w:rFonts w:ascii="Times New Roman" w:hAnsi="Times New Roman"/>
          <w:sz w:val="24"/>
        </w:rPr>
        <w:t xml:space="preserve">espondents were not being represented at </w:t>
      </w:r>
      <w:r>
        <w:rPr>
          <w:rFonts w:ascii="Times New Roman" w:hAnsi="Times New Roman"/>
          <w:sz w:val="24"/>
        </w:rPr>
        <w:lastRenderedPageBreak/>
        <w:t>the expense of or by utilising the resources of either Holdings or the Bank or any of their subsidiaries.</w:t>
      </w:r>
    </w:p>
    <w:p w14:paraId="15A5353A" w14:textId="294DA26D" w:rsidR="00875089" w:rsidRPr="00875089" w:rsidRDefault="00875089" w:rsidP="00463A20">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The trial judge then went on to summarise the reliefs sought in the petition.  She noted that the reliefs sought at paras. 3, 4 and 5 of the petition relate to the 2011 Direction Order.  She stated:</w:t>
      </w:r>
    </w:p>
    <w:p w14:paraId="7DF7B1C2" w14:textId="591039C8" w:rsidR="00875089" w:rsidRDefault="00875089" w:rsidP="00463A20">
      <w:pPr>
        <w:pStyle w:val="ListParagraph"/>
        <w:tabs>
          <w:tab w:val="left" w:pos="567"/>
        </w:tabs>
        <w:spacing w:line="480" w:lineRule="auto"/>
        <w:ind w:left="567"/>
        <w:rPr>
          <w:rFonts w:ascii="Times New Roman" w:hAnsi="Times New Roman"/>
          <w:sz w:val="24"/>
        </w:rPr>
      </w:pPr>
      <w:r>
        <w:rPr>
          <w:rFonts w:ascii="Times New Roman" w:hAnsi="Times New Roman"/>
          <w:sz w:val="24"/>
        </w:rPr>
        <w:tab/>
        <w:t>“</w:t>
      </w:r>
      <w:r w:rsidRPr="00875089">
        <w:rPr>
          <w:rFonts w:ascii="Times New Roman" w:hAnsi="Times New Roman"/>
          <w:sz w:val="24"/>
        </w:rPr>
        <w:t xml:space="preserve">The relief sought in paragraph (3) is that the July 2011 Direction Order </w:t>
      </w:r>
      <w:r w:rsidR="003825C1">
        <w:rPr>
          <w:rFonts w:ascii="Times New Roman" w:hAnsi="Times New Roman"/>
          <w:sz w:val="24"/>
        </w:rPr>
        <w:t>‘</w:t>
      </w:r>
      <w:r w:rsidRPr="00875089">
        <w:rPr>
          <w:rFonts w:ascii="Times New Roman" w:hAnsi="Times New Roman"/>
          <w:sz w:val="24"/>
        </w:rPr>
        <w:t>be declared incompatible with the said provisions of European Union law</w:t>
      </w:r>
      <w:r w:rsidR="003825C1">
        <w:rPr>
          <w:rFonts w:ascii="Times New Roman" w:hAnsi="Times New Roman"/>
          <w:sz w:val="24"/>
        </w:rPr>
        <w:t>’</w:t>
      </w:r>
      <w:r w:rsidRPr="00875089">
        <w:rPr>
          <w:rFonts w:ascii="Times New Roman" w:hAnsi="Times New Roman"/>
          <w:sz w:val="24"/>
        </w:rPr>
        <w:t>, which on a plain reading one is entitled to construe as a challenge to its validity, and that it is oppressive to the members of Holdings and in disregard of their interests.</w:t>
      </w:r>
      <w:r w:rsidR="00382712">
        <w:rPr>
          <w:rFonts w:ascii="Times New Roman" w:hAnsi="Times New Roman"/>
          <w:sz w:val="24"/>
        </w:rPr>
        <w:t>”</w:t>
      </w:r>
    </w:p>
    <w:p w14:paraId="226B4874" w14:textId="306F015E" w:rsidR="00382712" w:rsidRPr="00875089" w:rsidRDefault="00382712" w:rsidP="00463A20">
      <w:pPr>
        <w:pStyle w:val="ListParagraph"/>
        <w:tabs>
          <w:tab w:val="left" w:pos="567"/>
        </w:tabs>
        <w:spacing w:line="480" w:lineRule="auto"/>
        <w:ind w:left="0"/>
        <w:rPr>
          <w:rFonts w:ascii="Times New Roman" w:hAnsi="Times New Roman"/>
          <w:b/>
          <w:sz w:val="24"/>
          <w:u w:val="single"/>
        </w:rPr>
      </w:pPr>
      <w:r>
        <w:rPr>
          <w:rFonts w:ascii="Times New Roman" w:hAnsi="Times New Roman"/>
          <w:sz w:val="24"/>
        </w:rPr>
        <w:t xml:space="preserve">She noted that similar relief was sought in relation to the 2012 Direction Order.  She also noted that at para. 13 of the petition, the petitioners seek an order referring </w:t>
      </w:r>
      <w:r w:rsidR="009D2939">
        <w:rPr>
          <w:rFonts w:ascii="Times New Roman" w:hAnsi="Times New Roman"/>
          <w:sz w:val="24"/>
        </w:rPr>
        <w:t>fifty two</w:t>
      </w:r>
      <w:r>
        <w:rPr>
          <w:rFonts w:ascii="Times New Roman" w:hAnsi="Times New Roman"/>
          <w:sz w:val="24"/>
        </w:rPr>
        <w:t xml:space="preserve"> questions outlined in a schedule to the petition to the Court of Justice of the European Union for a preliminary ruling under Article 267 of the Treaty on the functioning of the European Union.  </w:t>
      </w:r>
    </w:p>
    <w:p w14:paraId="08C7500D" w14:textId="77777777" w:rsidR="0091693D" w:rsidRPr="00382712" w:rsidRDefault="00382712" w:rsidP="00463A20">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At para. 28, the trial judge stated:</w:t>
      </w:r>
    </w:p>
    <w:p w14:paraId="6156C841" w14:textId="6FFBB75A" w:rsidR="00382712" w:rsidRPr="00382712" w:rsidRDefault="00382712" w:rsidP="00463A20">
      <w:pPr>
        <w:pStyle w:val="ListParagraph"/>
        <w:tabs>
          <w:tab w:val="left" w:pos="567"/>
        </w:tabs>
        <w:spacing w:line="480" w:lineRule="auto"/>
        <w:ind w:left="567"/>
        <w:rPr>
          <w:rFonts w:ascii="Times New Roman" w:hAnsi="Times New Roman"/>
          <w:b/>
          <w:sz w:val="24"/>
          <w:u w:val="single"/>
        </w:rPr>
      </w:pPr>
      <w:r>
        <w:rPr>
          <w:rFonts w:ascii="Times New Roman" w:hAnsi="Times New Roman"/>
          <w:sz w:val="24"/>
        </w:rPr>
        <w:tab/>
        <w:t>“</w:t>
      </w:r>
      <w:r w:rsidRPr="00382712">
        <w:rPr>
          <w:rFonts w:ascii="Times New Roman" w:hAnsi="Times New Roman"/>
          <w:sz w:val="24"/>
        </w:rPr>
        <w:t>The reliefs sought on this application, as formulated,</w:t>
      </w:r>
      <w:r w:rsidR="00DF7F7E">
        <w:rPr>
          <w:rFonts w:ascii="Times New Roman" w:hAnsi="Times New Roman"/>
          <w:sz w:val="24"/>
        </w:rPr>
        <w:t xml:space="preserve"> are expressly directed at the Director R</w:t>
      </w:r>
      <w:r w:rsidRPr="00382712">
        <w:rPr>
          <w:rFonts w:ascii="Times New Roman" w:hAnsi="Times New Roman"/>
          <w:sz w:val="24"/>
        </w:rPr>
        <w:t>espondents</w:t>
      </w:r>
      <w:r w:rsidR="00DF7F7E">
        <w:rPr>
          <w:rFonts w:ascii="Times New Roman" w:hAnsi="Times New Roman"/>
          <w:sz w:val="24"/>
        </w:rPr>
        <w:t xml:space="preserve"> only and only the Director R</w:t>
      </w:r>
      <w:r w:rsidRPr="00382712">
        <w:rPr>
          <w:rFonts w:ascii="Times New Roman" w:hAnsi="Times New Roman"/>
          <w:sz w:val="24"/>
        </w:rPr>
        <w:t>espondents were before the Court to respond to the application. However, in reality, the first two orders sought on the application, if granted, will preclude both Holdings (of which the Minister is a 99.2% shareholder) and the</w:t>
      </w:r>
      <w:r w:rsidR="00DF7F7E">
        <w:rPr>
          <w:rFonts w:ascii="Times New Roman" w:hAnsi="Times New Roman"/>
          <w:sz w:val="24"/>
        </w:rPr>
        <w:t xml:space="preserve"> Bank from assisting the Director R</w:t>
      </w:r>
      <w:r w:rsidRPr="00382712">
        <w:rPr>
          <w:rFonts w:ascii="Times New Roman" w:hAnsi="Times New Roman"/>
          <w:sz w:val="24"/>
        </w:rPr>
        <w:t>espondents in the defence of the s. 205 Proceedings. As already noted, neither Holdings nor the Bank is a party to the s. 205 Proceedings or the application.</w:t>
      </w:r>
      <w:r>
        <w:rPr>
          <w:rFonts w:ascii="Times New Roman" w:hAnsi="Times New Roman"/>
          <w:sz w:val="24"/>
        </w:rPr>
        <w:t>”</w:t>
      </w:r>
    </w:p>
    <w:p w14:paraId="594D5508" w14:textId="77777777" w:rsidR="0091693D" w:rsidRPr="00382712" w:rsidRDefault="00382712" w:rsidP="00463A20">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At para. 32, the trial judge summarised the principal ground relied upon by the petitioners on this application as follows:</w:t>
      </w:r>
    </w:p>
    <w:p w14:paraId="06C3F192" w14:textId="7A44CC42" w:rsidR="00382712" w:rsidRDefault="00382712" w:rsidP="00463A20">
      <w:pPr>
        <w:pStyle w:val="ListParagraph"/>
        <w:tabs>
          <w:tab w:val="left" w:pos="567"/>
        </w:tabs>
        <w:spacing w:line="480" w:lineRule="auto"/>
        <w:ind w:left="567"/>
        <w:rPr>
          <w:rFonts w:ascii="Times New Roman" w:hAnsi="Times New Roman"/>
          <w:sz w:val="24"/>
        </w:rPr>
      </w:pPr>
      <w:r>
        <w:rPr>
          <w:rFonts w:ascii="Times New Roman" w:hAnsi="Times New Roman"/>
          <w:sz w:val="24"/>
        </w:rPr>
        <w:tab/>
        <w:t>“</w:t>
      </w:r>
      <w:r w:rsidRPr="00382712">
        <w:rPr>
          <w:rFonts w:ascii="Times New Roman" w:hAnsi="Times New Roman"/>
          <w:sz w:val="24"/>
        </w:rPr>
        <w:t xml:space="preserve">The principal ground on which the petitioners advanced this application, as deposed to in Mr. </w:t>
      </w:r>
      <w:proofErr w:type="spellStart"/>
      <w:r w:rsidRPr="00382712">
        <w:rPr>
          <w:rFonts w:ascii="Times New Roman" w:hAnsi="Times New Roman"/>
          <w:sz w:val="24"/>
        </w:rPr>
        <w:t>Skoczylas</w:t>
      </w:r>
      <w:proofErr w:type="spellEnd"/>
      <w:r w:rsidRPr="00382712">
        <w:rPr>
          <w:rFonts w:ascii="Times New Roman" w:hAnsi="Times New Roman"/>
          <w:sz w:val="24"/>
        </w:rPr>
        <w:t xml:space="preserve">’ grounding affidavit, was that what the Director </w:t>
      </w:r>
      <w:r w:rsidRPr="00382712">
        <w:rPr>
          <w:rFonts w:ascii="Times New Roman" w:hAnsi="Times New Roman"/>
          <w:sz w:val="24"/>
        </w:rPr>
        <w:lastRenderedPageBreak/>
        <w:t xml:space="preserve">Respondents are doing </w:t>
      </w:r>
      <w:r w:rsidR="00111109">
        <w:rPr>
          <w:rFonts w:ascii="Times New Roman" w:hAnsi="Times New Roman"/>
          <w:sz w:val="24"/>
        </w:rPr>
        <w:t>‘</w:t>
      </w:r>
      <w:r w:rsidRPr="00382712">
        <w:rPr>
          <w:rFonts w:ascii="Times New Roman" w:hAnsi="Times New Roman"/>
          <w:sz w:val="24"/>
        </w:rPr>
        <w:t>is an expropriation of the resources of the company that they control for their personal benefit and convenience</w:t>
      </w:r>
      <w:r w:rsidR="00111109">
        <w:rPr>
          <w:rFonts w:ascii="Times New Roman" w:hAnsi="Times New Roman"/>
          <w:sz w:val="24"/>
        </w:rPr>
        <w:t>’</w:t>
      </w:r>
      <w:r w:rsidRPr="00382712">
        <w:rPr>
          <w:rFonts w:ascii="Times New Roman" w:hAnsi="Times New Roman"/>
          <w:sz w:val="24"/>
        </w:rPr>
        <w:t>. That ground was expande</w:t>
      </w:r>
      <w:r>
        <w:rPr>
          <w:rFonts w:ascii="Times New Roman" w:hAnsi="Times New Roman"/>
          <w:sz w:val="24"/>
        </w:rPr>
        <w:t xml:space="preserve">d on in a document entitled </w:t>
      </w:r>
      <w:r w:rsidR="00111109">
        <w:rPr>
          <w:rFonts w:ascii="Times New Roman" w:hAnsi="Times New Roman"/>
          <w:sz w:val="24"/>
        </w:rPr>
        <w:t>‘</w:t>
      </w:r>
      <w:r w:rsidRPr="00382712">
        <w:rPr>
          <w:rFonts w:ascii="Times New Roman" w:hAnsi="Times New Roman"/>
          <w:sz w:val="24"/>
        </w:rPr>
        <w:t xml:space="preserve">Summary Oral Submissions of Piotr </w:t>
      </w:r>
      <w:proofErr w:type="spellStart"/>
      <w:r w:rsidRPr="00382712">
        <w:rPr>
          <w:rFonts w:ascii="Times New Roman" w:hAnsi="Times New Roman"/>
          <w:sz w:val="24"/>
        </w:rPr>
        <w:t>Skoc</w:t>
      </w:r>
      <w:r>
        <w:rPr>
          <w:rFonts w:ascii="Times New Roman" w:hAnsi="Times New Roman"/>
          <w:sz w:val="24"/>
        </w:rPr>
        <w:t>zylas</w:t>
      </w:r>
      <w:proofErr w:type="spellEnd"/>
      <w:r w:rsidR="00111109">
        <w:rPr>
          <w:rFonts w:ascii="Times New Roman" w:hAnsi="Times New Roman"/>
          <w:sz w:val="24"/>
        </w:rPr>
        <w:t>’</w:t>
      </w:r>
      <w:r>
        <w:rPr>
          <w:rFonts w:ascii="Times New Roman" w:hAnsi="Times New Roman"/>
          <w:sz w:val="24"/>
        </w:rPr>
        <w:t xml:space="preserve"> furnished to the Court at</w:t>
      </w:r>
      <w:r w:rsidRPr="00382712">
        <w:rPr>
          <w:rFonts w:ascii="Times New Roman" w:hAnsi="Times New Roman"/>
          <w:sz w:val="24"/>
        </w:rPr>
        <w:t xml:space="preserve"> the hearing of the application in which, having asserted that Holdings </w:t>
      </w:r>
      <w:r w:rsidR="00111109">
        <w:rPr>
          <w:rFonts w:ascii="Times New Roman" w:hAnsi="Times New Roman"/>
          <w:sz w:val="24"/>
        </w:rPr>
        <w:t>‘</w:t>
      </w:r>
      <w:r w:rsidRPr="00382712">
        <w:rPr>
          <w:rFonts w:ascii="Times New Roman" w:hAnsi="Times New Roman"/>
          <w:sz w:val="24"/>
        </w:rPr>
        <w:t>is not the fiefdom of the Director Respondents</w:t>
      </w:r>
      <w:r w:rsidR="00111109">
        <w:rPr>
          <w:rFonts w:ascii="Times New Roman" w:hAnsi="Times New Roman"/>
          <w:sz w:val="24"/>
        </w:rPr>
        <w:t>’</w:t>
      </w:r>
      <w:r w:rsidRPr="00382712">
        <w:rPr>
          <w:rFonts w:ascii="Times New Roman" w:hAnsi="Times New Roman"/>
          <w:sz w:val="24"/>
        </w:rPr>
        <w:t>, it was asserted that –</w:t>
      </w:r>
    </w:p>
    <w:p w14:paraId="26172377" w14:textId="77777777" w:rsidR="00382712" w:rsidRPr="00382712" w:rsidRDefault="00382712" w:rsidP="00463A20">
      <w:pPr>
        <w:pStyle w:val="ListParagraph"/>
        <w:tabs>
          <w:tab w:val="left" w:pos="567"/>
        </w:tabs>
        <w:spacing w:line="480" w:lineRule="auto"/>
        <w:ind w:left="1134"/>
        <w:rPr>
          <w:rFonts w:ascii="Times New Roman" w:hAnsi="Times New Roman"/>
          <w:sz w:val="24"/>
        </w:rPr>
      </w:pPr>
      <w:r>
        <w:rPr>
          <w:rFonts w:ascii="Times New Roman" w:hAnsi="Times New Roman"/>
          <w:sz w:val="24"/>
        </w:rPr>
        <w:tab/>
      </w:r>
      <w:r w:rsidRPr="00382712">
        <w:rPr>
          <w:rFonts w:ascii="Times New Roman" w:hAnsi="Times New Roman"/>
          <w:sz w:val="24"/>
        </w:rPr>
        <w:t>(a) Holdings must not participate in funding the defence of the Director Respondents in any way;</w:t>
      </w:r>
    </w:p>
    <w:p w14:paraId="60B85343" w14:textId="44D5EAED" w:rsidR="00382712" w:rsidRPr="00382712" w:rsidRDefault="00382712" w:rsidP="00463A20">
      <w:pPr>
        <w:pStyle w:val="ListParagraph"/>
        <w:tabs>
          <w:tab w:val="left" w:pos="567"/>
        </w:tabs>
        <w:spacing w:line="480" w:lineRule="auto"/>
        <w:ind w:left="1134"/>
        <w:rPr>
          <w:rFonts w:ascii="Times New Roman" w:hAnsi="Times New Roman"/>
          <w:sz w:val="24"/>
        </w:rPr>
      </w:pPr>
      <w:r>
        <w:rPr>
          <w:rFonts w:ascii="Times New Roman" w:hAnsi="Times New Roman"/>
          <w:sz w:val="24"/>
        </w:rPr>
        <w:tab/>
      </w:r>
      <w:r w:rsidR="00B65C72">
        <w:rPr>
          <w:rFonts w:ascii="Times New Roman" w:hAnsi="Times New Roman"/>
          <w:sz w:val="24"/>
        </w:rPr>
        <w:t xml:space="preserve">(b) Mr. </w:t>
      </w:r>
      <w:proofErr w:type="spellStart"/>
      <w:r w:rsidR="00B65C72">
        <w:rPr>
          <w:rFonts w:ascii="Times New Roman" w:hAnsi="Times New Roman"/>
          <w:sz w:val="24"/>
        </w:rPr>
        <w:t>M</w:t>
      </w:r>
      <w:r w:rsidR="00C646E0">
        <w:rPr>
          <w:rFonts w:ascii="Times New Roman" w:hAnsi="Times New Roman"/>
          <w:sz w:val="24"/>
        </w:rPr>
        <w:t>a</w:t>
      </w:r>
      <w:r w:rsidRPr="00382712">
        <w:rPr>
          <w:rFonts w:ascii="Times New Roman" w:hAnsi="Times New Roman"/>
          <w:sz w:val="24"/>
        </w:rPr>
        <w:t>cCarthy</w:t>
      </w:r>
      <w:proofErr w:type="spellEnd"/>
      <w:r w:rsidRPr="00382712">
        <w:rPr>
          <w:rFonts w:ascii="Times New Roman" w:hAnsi="Times New Roman"/>
          <w:sz w:val="24"/>
        </w:rPr>
        <w:t>, as Chief Legal Office</w:t>
      </w:r>
      <w:r>
        <w:rPr>
          <w:rFonts w:ascii="Times New Roman" w:hAnsi="Times New Roman"/>
          <w:sz w:val="24"/>
        </w:rPr>
        <w:t>r</w:t>
      </w:r>
      <w:r w:rsidRPr="00382712">
        <w:rPr>
          <w:rFonts w:ascii="Times New Roman" w:hAnsi="Times New Roman"/>
          <w:sz w:val="24"/>
        </w:rPr>
        <w:t xml:space="preserve"> of Holdings, and his team must not act on behalf of the Director Respondents;</w:t>
      </w:r>
    </w:p>
    <w:p w14:paraId="1A5F12AD" w14:textId="77777777" w:rsidR="00382712" w:rsidRPr="00382712" w:rsidRDefault="00382712" w:rsidP="00463A20">
      <w:pPr>
        <w:pStyle w:val="ListParagraph"/>
        <w:tabs>
          <w:tab w:val="left" w:pos="567"/>
        </w:tabs>
        <w:spacing w:line="480" w:lineRule="auto"/>
        <w:ind w:left="567"/>
        <w:rPr>
          <w:rFonts w:ascii="Times New Roman" w:hAnsi="Times New Roman"/>
          <w:sz w:val="24"/>
        </w:rPr>
      </w:pPr>
      <w:r>
        <w:rPr>
          <w:rFonts w:ascii="Times New Roman" w:hAnsi="Times New Roman"/>
          <w:sz w:val="24"/>
        </w:rPr>
        <w:tab/>
      </w:r>
      <w:r w:rsidRPr="00382712">
        <w:rPr>
          <w:rFonts w:ascii="Times New Roman" w:hAnsi="Times New Roman"/>
          <w:sz w:val="24"/>
        </w:rPr>
        <w:t>and</w:t>
      </w:r>
    </w:p>
    <w:p w14:paraId="4C5C2873" w14:textId="77777777" w:rsidR="00382712" w:rsidRPr="00382712" w:rsidRDefault="00382712" w:rsidP="00463A20">
      <w:pPr>
        <w:pStyle w:val="ListParagraph"/>
        <w:tabs>
          <w:tab w:val="left" w:pos="567"/>
        </w:tabs>
        <w:spacing w:line="480" w:lineRule="auto"/>
        <w:ind w:left="1134"/>
        <w:rPr>
          <w:rFonts w:ascii="Times New Roman" w:hAnsi="Times New Roman"/>
          <w:b/>
          <w:sz w:val="24"/>
          <w:u w:val="single"/>
        </w:rPr>
      </w:pPr>
      <w:r>
        <w:rPr>
          <w:rFonts w:ascii="Times New Roman" w:hAnsi="Times New Roman"/>
          <w:sz w:val="24"/>
        </w:rPr>
        <w:tab/>
      </w:r>
      <w:r w:rsidRPr="00382712">
        <w:rPr>
          <w:rFonts w:ascii="Times New Roman" w:hAnsi="Times New Roman"/>
          <w:sz w:val="24"/>
        </w:rPr>
        <w:t>(c) Mr. Long, as Group Secretary of Holdings, and his team must not aid the defence of the Director Respondents</w:t>
      </w:r>
      <w:r>
        <w:rPr>
          <w:rFonts w:ascii="Times New Roman" w:hAnsi="Times New Roman"/>
          <w:sz w:val="24"/>
        </w:rPr>
        <w:t>.</w:t>
      </w:r>
    </w:p>
    <w:p w14:paraId="0688A710" w14:textId="77777777" w:rsidR="00382712" w:rsidRPr="00382712" w:rsidRDefault="00382712" w:rsidP="00463A20">
      <w:pPr>
        <w:tabs>
          <w:tab w:val="left" w:pos="567"/>
        </w:tabs>
        <w:spacing w:line="480" w:lineRule="auto"/>
        <w:ind w:left="567"/>
        <w:jc w:val="both"/>
      </w:pPr>
      <w:r>
        <w:t>Further, it was the petitioners’ case that it is inappropriate for Mr. Long to swear affidavits on behalf of the Director Respondents in the s. 205 Proceedings.”</w:t>
      </w:r>
    </w:p>
    <w:p w14:paraId="437DB7C6" w14:textId="6D24DF7E" w:rsidR="0091693D" w:rsidRPr="00224F5C" w:rsidRDefault="00382712" w:rsidP="00463A20">
      <w:pPr>
        <w:pStyle w:val="ListParagraph"/>
        <w:numPr>
          <w:ilvl w:val="0"/>
          <w:numId w:val="1"/>
        </w:numPr>
        <w:tabs>
          <w:tab w:val="left" w:pos="567"/>
        </w:tabs>
        <w:spacing w:line="480" w:lineRule="auto"/>
        <w:ind w:left="0" w:firstLine="0"/>
        <w:rPr>
          <w:rFonts w:ascii="Times New Roman" w:hAnsi="Times New Roman"/>
          <w:b/>
          <w:sz w:val="24"/>
          <w:u w:val="single"/>
        </w:rPr>
      </w:pPr>
      <w:r w:rsidRPr="00224F5C">
        <w:rPr>
          <w:rFonts w:ascii="Times New Roman" w:hAnsi="Times New Roman"/>
          <w:sz w:val="24"/>
        </w:rPr>
        <w:t>The trial judge noted that the retention by the Director Respondents of Mr.</w:t>
      </w:r>
      <w:r w:rsidR="00B65C72" w:rsidRPr="00224F5C">
        <w:rPr>
          <w:rFonts w:ascii="Times New Roman" w:hAnsi="Times New Roman"/>
          <w:sz w:val="24"/>
        </w:rPr>
        <w:t xml:space="preserve"> </w:t>
      </w:r>
      <w:proofErr w:type="spellStart"/>
      <w:r w:rsidR="00B65C72" w:rsidRPr="00224F5C">
        <w:rPr>
          <w:rFonts w:ascii="Times New Roman" w:hAnsi="Times New Roman"/>
          <w:sz w:val="24"/>
        </w:rPr>
        <w:t>M</w:t>
      </w:r>
      <w:r w:rsidR="00C646E0">
        <w:rPr>
          <w:rFonts w:ascii="Times New Roman" w:hAnsi="Times New Roman"/>
          <w:sz w:val="24"/>
        </w:rPr>
        <w:t>a</w:t>
      </w:r>
      <w:r w:rsidR="00B65C72" w:rsidRPr="00224F5C">
        <w:rPr>
          <w:rFonts w:ascii="Times New Roman" w:hAnsi="Times New Roman"/>
          <w:sz w:val="24"/>
        </w:rPr>
        <w:t>c</w:t>
      </w:r>
      <w:r w:rsidRPr="00224F5C">
        <w:rPr>
          <w:rFonts w:ascii="Times New Roman" w:hAnsi="Times New Roman"/>
          <w:sz w:val="24"/>
        </w:rPr>
        <w:t>Carthy</w:t>
      </w:r>
      <w:proofErr w:type="spellEnd"/>
      <w:r w:rsidRPr="00224F5C">
        <w:rPr>
          <w:rFonts w:ascii="Times New Roman" w:hAnsi="Times New Roman"/>
          <w:sz w:val="24"/>
        </w:rPr>
        <w:t xml:space="preserve"> and counsel instructed by him in relation to the </w:t>
      </w:r>
      <w:r w:rsidR="00B65C72" w:rsidRPr="00224F5C">
        <w:rPr>
          <w:rFonts w:ascii="Times New Roman" w:hAnsi="Times New Roman"/>
          <w:sz w:val="24"/>
        </w:rPr>
        <w:t xml:space="preserve">s.205 Proceedings was ratified by the Board of Directors of the </w:t>
      </w:r>
      <w:r w:rsidR="00B65C72" w:rsidRPr="00224F5C">
        <w:rPr>
          <w:rFonts w:ascii="Times New Roman" w:hAnsi="Times New Roman"/>
          <w:sz w:val="24"/>
          <w:u w:val="single"/>
        </w:rPr>
        <w:t>Bank</w:t>
      </w:r>
      <w:r w:rsidR="00B65C72" w:rsidRPr="00A65703">
        <w:rPr>
          <w:rFonts w:ascii="Times New Roman" w:hAnsi="Times New Roman"/>
          <w:sz w:val="24"/>
        </w:rPr>
        <w:t xml:space="preserve"> </w:t>
      </w:r>
      <w:r w:rsidR="00B65C72" w:rsidRPr="00224F5C">
        <w:rPr>
          <w:rFonts w:ascii="Times New Roman" w:hAnsi="Times New Roman"/>
          <w:sz w:val="24"/>
        </w:rPr>
        <w:t>(my emphasis) at a meeting held on 25</w:t>
      </w:r>
      <w:r w:rsidR="00B65C72" w:rsidRPr="00224F5C">
        <w:rPr>
          <w:rFonts w:ascii="Times New Roman" w:hAnsi="Times New Roman"/>
          <w:sz w:val="24"/>
          <w:vertAlign w:val="superscript"/>
        </w:rPr>
        <w:t>th</w:t>
      </w:r>
      <w:r w:rsidR="00B65C72" w:rsidRPr="00224F5C">
        <w:rPr>
          <w:rFonts w:ascii="Times New Roman" w:hAnsi="Times New Roman"/>
          <w:sz w:val="24"/>
        </w:rPr>
        <w:t xml:space="preserve"> January 2013.  She further noted (later </w:t>
      </w:r>
      <w:r w:rsidR="00261167">
        <w:rPr>
          <w:rFonts w:ascii="Times New Roman" w:hAnsi="Times New Roman"/>
          <w:sz w:val="24"/>
        </w:rPr>
        <w:t>i</w:t>
      </w:r>
      <w:r w:rsidR="00B65C72" w:rsidRPr="00224F5C">
        <w:rPr>
          <w:rFonts w:ascii="Times New Roman" w:hAnsi="Times New Roman"/>
          <w:sz w:val="24"/>
        </w:rPr>
        <w:t xml:space="preserve">n her judgment) that the petitioners took exception to the fact that this resolution was passed by the Board of Directors of the Bank, and not Holdings since the petition relates to the latter company, and not the former, and that this was a deliberate strategy on the part of the </w:t>
      </w:r>
      <w:r w:rsidR="00261167" w:rsidRPr="00261167">
        <w:rPr>
          <w:rFonts w:ascii="Times New Roman" w:hAnsi="Times New Roman"/>
          <w:sz w:val="24"/>
        </w:rPr>
        <w:t>Director Respondents</w:t>
      </w:r>
      <w:r w:rsidR="00B65C72" w:rsidRPr="00224F5C">
        <w:rPr>
          <w:rFonts w:ascii="Times New Roman" w:hAnsi="Times New Roman"/>
          <w:sz w:val="24"/>
        </w:rPr>
        <w:t xml:space="preserve"> to the petition to exclude Mr. </w:t>
      </w:r>
      <w:proofErr w:type="spellStart"/>
      <w:r w:rsidR="00B65C72" w:rsidRPr="00224F5C">
        <w:rPr>
          <w:rFonts w:ascii="Times New Roman" w:hAnsi="Times New Roman"/>
          <w:sz w:val="24"/>
        </w:rPr>
        <w:t>Skoczylas</w:t>
      </w:r>
      <w:proofErr w:type="spellEnd"/>
      <w:r w:rsidR="00B65C72" w:rsidRPr="00224F5C">
        <w:rPr>
          <w:rFonts w:ascii="Times New Roman" w:hAnsi="Times New Roman"/>
          <w:sz w:val="24"/>
        </w:rPr>
        <w:t>, a director of Holdings, from what should have been a discussion and decision to be taken by Holdings, and not the Bank.  The trial judge went on to record that the Director Respondents opposed the application on two grounds:  firstly, that the legal costs of the defence of the petition are being borne by an insurer, AIG</w:t>
      </w:r>
      <w:r w:rsidR="008E44C4">
        <w:rPr>
          <w:rFonts w:ascii="Times New Roman" w:hAnsi="Times New Roman"/>
          <w:sz w:val="24"/>
        </w:rPr>
        <w:t>,</w:t>
      </w:r>
      <w:r w:rsidR="00B65C72" w:rsidRPr="00224F5C">
        <w:rPr>
          <w:rFonts w:ascii="Times New Roman" w:hAnsi="Times New Roman"/>
          <w:sz w:val="24"/>
        </w:rPr>
        <w:t xml:space="preserve"> pursuant to a lawful Directors and Officers Liability Policy, </w:t>
      </w:r>
      <w:r w:rsidR="00B65C72" w:rsidRPr="00224F5C">
        <w:rPr>
          <w:rFonts w:ascii="Times New Roman" w:hAnsi="Times New Roman"/>
          <w:sz w:val="24"/>
        </w:rPr>
        <w:lastRenderedPageBreak/>
        <w:t>and</w:t>
      </w:r>
      <w:r w:rsidR="008E44C4">
        <w:rPr>
          <w:rFonts w:ascii="Times New Roman" w:hAnsi="Times New Roman"/>
          <w:sz w:val="24"/>
        </w:rPr>
        <w:t>,</w:t>
      </w:r>
      <w:r w:rsidR="00B65C72" w:rsidRPr="00224F5C">
        <w:rPr>
          <w:rFonts w:ascii="Times New Roman" w:hAnsi="Times New Roman"/>
          <w:sz w:val="24"/>
        </w:rPr>
        <w:t xml:space="preserve"> secondly</w:t>
      </w:r>
      <w:r w:rsidR="008E44C4">
        <w:rPr>
          <w:rFonts w:ascii="Times New Roman" w:hAnsi="Times New Roman"/>
          <w:sz w:val="24"/>
        </w:rPr>
        <w:t>,</w:t>
      </w:r>
      <w:r w:rsidR="0069762D">
        <w:rPr>
          <w:rFonts w:ascii="Times New Roman" w:hAnsi="Times New Roman"/>
          <w:sz w:val="24"/>
        </w:rPr>
        <w:t xml:space="preserve"> </w:t>
      </w:r>
      <w:r w:rsidR="00B65C72" w:rsidRPr="00224F5C">
        <w:rPr>
          <w:rFonts w:ascii="Times New Roman" w:hAnsi="Times New Roman"/>
          <w:sz w:val="24"/>
        </w:rPr>
        <w:t>that in the unique circumstances of these proceedings, and in particular the vital interest which Holdings and the Bank have in the outcome of the same, both Holdings and the Bank would be entitled in any event to fund the defence of the Director Respondents.</w:t>
      </w:r>
      <w:r w:rsidR="00224F5C" w:rsidRPr="00224F5C">
        <w:rPr>
          <w:rFonts w:ascii="Times New Roman" w:hAnsi="Times New Roman"/>
          <w:sz w:val="24"/>
        </w:rPr>
        <w:t xml:space="preserve">  </w:t>
      </w:r>
      <w:r w:rsidR="00B65C72" w:rsidRPr="00224F5C">
        <w:rPr>
          <w:rFonts w:ascii="Times New Roman" w:hAnsi="Times New Roman"/>
          <w:sz w:val="24"/>
        </w:rPr>
        <w:t>At</w:t>
      </w:r>
      <w:r w:rsidR="00224F5C" w:rsidRPr="00224F5C">
        <w:rPr>
          <w:rFonts w:ascii="Times New Roman" w:hAnsi="Times New Roman"/>
          <w:sz w:val="24"/>
        </w:rPr>
        <w:t xml:space="preserve"> para. 3</w:t>
      </w:r>
      <w:r w:rsidR="00CF5538">
        <w:rPr>
          <w:rFonts w:ascii="Times New Roman" w:hAnsi="Times New Roman"/>
          <w:sz w:val="24"/>
        </w:rPr>
        <w:t>8</w:t>
      </w:r>
      <w:r w:rsidR="00224F5C" w:rsidRPr="00224F5C">
        <w:rPr>
          <w:rFonts w:ascii="Times New Roman" w:hAnsi="Times New Roman"/>
          <w:sz w:val="24"/>
        </w:rPr>
        <w:t>, the trial judge, in summarising the arguments of the Director Respondents stated:</w:t>
      </w:r>
    </w:p>
    <w:p w14:paraId="49001227" w14:textId="77777777" w:rsidR="00382712" w:rsidRDefault="00224F5C" w:rsidP="00463A20">
      <w:pPr>
        <w:pStyle w:val="ListParagraph"/>
        <w:tabs>
          <w:tab w:val="left" w:pos="567"/>
        </w:tabs>
        <w:spacing w:line="480" w:lineRule="auto"/>
        <w:ind w:left="567"/>
        <w:rPr>
          <w:rFonts w:ascii="Times New Roman" w:hAnsi="Times New Roman"/>
          <w:b/>
          <w:sz w:val="24"/>
          <w:u w:val="single"/>
        </w:rPr>
      </w:pPr>
      <w:r>
        <w:rPr>
          <w:rFonts w:ascii="Times New Roman" w:hAnsi="Times New Roman"/>
          <w:sz w:val="24"/>
        </w:rPr>
        <w:tab/>
        <w:t>“</w:t>
      </w:r>
      <w:r w:rsidRPr="00224F5C">
        <w:rPr>
          <w:rFonts w:ascii="Times New Roman" w:hAnsi="Times New Roman"/>
          <w:sz w:val="24"/>
        </w:rPr>
        <w:t>The dispute between the petitioners and the Director Respondents is not a shareholder dispute. The claims against the Director Respondents relate to decisions taken by them in relation to the recapitalisation of the Bank and the July 2011 Direction Order and the March 2012 Direction Order. In particular, it was emphasised that the Director Respondents have no personal interest in the shares in Holdings and the</w:t>
      </w:r>
      <w:r>
        <w:rPr>
          <w:rFonts w:ascii="Times New Roman" w:hAnsi="Times New Roman"/>
          <w:sz w:val="24"/>
        </w:rPr>
        <w:t xml:space="preserve"> decisions taken by them were</w:t>
      </w:r>
      <w:r w:rsidRPr="00224F5C">
        <w:rPr>
          <w:rFonts w:ascii="Times New Roman" w:hAnsi="Times New Roman"/>
          <w:sz w:val="24"/>
        </w:rPr>
        <w:t xml:space="preserve"> decisions of the Board as a whole, taken </w:t>
      </w:r>
      <w:r w:rsidRPr="00224F5C">
        <w:rPr>
          <w:rFonts w:ascii="Times New Roman" w:hAnsi="Times New Roman"/>
          <w:i/>
          <w:sz w:val="24"/>
        </w:rPr>
        <w:t>bona fide</w:t>
      </w:r>
      <w:r w:rsidRPr="00224F5C">
        <w:rPr>
          <w:rFonts w:ascii="Times New Roman" w:hAnsi="Times New Roman"/>
          <w:sz w:val="24"/>
        </w:rPr>
        <w:t xml:space="preserve"> in the interests of Holdings and the Bank, which affected all shareholders equally.</w:t>
      </w:r>
      <w:r>
        <w:rPr>
          <w:rFonts w:ascii="Times New Roman" w:hAnsi="Times New Roman"/>
          <w:sz w:val="24"/>
        </w:rPr>
        <w:t>”</w:t>
      </w:r>
    </w:p>
    <w:p w14:paraId="22C5393D" w14:textId="353B89B0" w:rsidR="00224F5C" w:rsidRPr="00C52FD9" w:rsidRDefault="00224F5C" w:rsidP="00463A20">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The trial judge then went on to summarise the response of the petitioners to the grounds of opposition of the Director Respondents.  She noted that Mr. </w:t>
      </w:r>
      <w:proofErr w:type="spellStart"/>
      <w:r>
        <w:rPr>
          <w:rFonts w:ascii="Times New Roman" w:hAnsi="Times New Roman"/>
          <w:sz w:val="24"/>
        </w:rPr>
        <w:t>Skoczylas</w:t>
      </w:r>
      <w:proofErr w:type="spellEnd"/>
      <w:r>
        <w:rPr>
          <w:rFonts w:ascii="Times New Roman" w:hAnsi="Times New Roman"/>
          <w:sz w:val="24"/>
        </w:rPr>
        <w:t xml:space="preserve"> maintained that the Director Respondents were misrepresenting the position as regards the insurance cover and in particular</w:t>
      </w:r>
      <w:r w:rsidR="006130BE">
        <w:rPr>
          <w:rFonts w:ascii="Times New Roman" w:hAnsi="Times New Roman"/>
          <w:sz w:val="24"/>
        </w:rPr>
        <w:t xml:space="preserve"> that</w:t>
      </w:r>
      <w:r>
        <w:rPr>
          <w:rFonts w:ascii="Times New Roman" w:hAnsi="Times New Roman"/>
          <w:sz w:val="24"/>
        </w:rPr>
        <w:t xml:space="preserve"> he asserted that the wrongful acts committed by the Director Respondents </w:t>
      </w:r>
      <w:r w:rsidR="007E5D65">
        <w:rPr>
          <w:rFonts w:ascii="Times New Roman" w:hAnsi="Times New Roman"/>
          <w:sz w:val="24"/>
        </w:rPr>
        <w:t>occurred</w:t>
      </w:r>
      <w:r>
        <w:rPr>
          <w:rFonts w:ascii="Times New Roman" w:hAnsi="Times New Roman"/>
          <w:sz w:val="24"/>
        </w:rPr>
        <w:t xml:space="preserve"> outside of the insured period (i.e. they were after 27</w:t>
      </w:r>
      <w:r w:rsidRPr="00224F5C">
        <w:rPr>
          <w:rFonts w:ascii="Times New Roman" w:hAnsi="Times New Roman"/>
          <w:sz w:val="24"/>
          <w:vertAlign w:val="superscript"/>
        </w:rPr>
        <w:t>th</w:t>
      </w:r>
      <w:r>
        <w:rPr>
          <w:rFonts w:ascii="Times New Roman" w:hAnsi="Times New Roman"/>
          <w:sz w:val="24"/>
        </w:rPr>
        <w:t xml:space="preserve"> July 2011) and were not covered by the </w:t>
      </w:r>
      <w:r w:rsidR="00CF5538">
        <w:rPr>
          <w:rFonts w:ascii="Times New Roman" w:hAnsi="Times New Roman"/>
          <w:sz w:val="24"/>
        </w:rPr>
        <w:t>P</w:t>
      </w:r>
      <w:r>
        <w:rPr>
          <w:rFonts w:ascii="Times New Roman" w:hAnsi="Times New Roman"/>
          <w:sz w:val="24"/>
        </w:rPr>
        <w:t xml:space="preserve">olicy.  As regards the second ground, Mr. </w:t>
      </w:r>
      <w:proofErr w:type="spellStart"/>
      <w:r>
        <w:rPr>
          <w:rFonts w:ascii="Times New Roman" w:hAnsi="Times New Roman"/>
          <w:sz w:val="24"/>
        </w:rPr>
        <w:t>Skoczylas</w:t>
      </w:r>
      <w:proofErr w:type="spellEnd"/>
      <w:r>
        <w:rPr>
          <w:rFonts w:ascii="Times New Roman" w:hAnsi="Times New Roman"/>
          <w:sz w:val="24"/>
        </w:rPr>
        <w:t xml:space="preserve"> submitted that the s.205 Proceedings are not about the recapitalisation of the Bank.</w:t>
      </w:r>
    </w:p>
    <w:p w14:paraId="1F4ED67E" w14:textId="5DB43061" w:rsidR="00382712" w:rsidRPr="002A48C8" w:rsidRDefault="002B07F5" w:rsidP="00463A20">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The trial judge then went on to consider the principles applicable to applications of this kind, before proceeding to determine the relevance of the Policy to this application.  She noted that of the authorities relied upon by the parties, with one exception (a decision of her own in the case on </w:t>
      </w:r>
      <w:r w:rsidRPr="002A48C8">
        <w:rPr>
          <w:rFonts w:ascii="Times New Roman" w:hAnsi="Times New Roman"/>
          <w:sz w:val="24"/>
        </w:rPr>
        <w:t>in</w:t>
      </w:r>
      <w:r w:rsidRPr="002B07F5">
        <w:rPr>
          <w:rFonts w:ascii="Times New Roman" w:hAnsi="Times New Roman"/>
          <w:i/>
          <w:sz w:val="24"/>
        </w:rPr>
        <w:t xml:space="preserve"> Re Charles Kelly Limited; Kelly v. Kelly &amp; Anor</w:t>
      </w:r>
      <w:r>
        <w:rPr>
          <w:rFonts w:ascii="Times New Roman" w:hAnsi="Times New Roman"/>
          <w:sz w:val="24"/>
        </w:rPr>
        <w:t>. [2011] IEHC 349</w:t>
      </w:r>
      <w:r w:rsidR="00766E49">
        <w:rPr>
          <w:rFonts w:ascii="Times New Roman" w:hAnsi="Times New Roman"/>
          <w:sz w:val="24"/>
        </w:rPr>
        <w:t>,</w:t>
      </w:r>
      <w:r w:rsidR="000C378A">
        <w:rPr>
          <w:rFonts w:ascii="Times New Roman" w:hAnsi="Times New Roman"/>
          <w:sz w:val="24"/>
        </w:rPr>
        <w:t xml:space="preserve"> which decision was affirmed by this Court, since the hearing of this appeal,</w:t>
      </w:r>
      <w:r w:rsidR="00766E49">
        <w:rPr>
          <w:rFonts w:ascii="Times New Roman" w:hAnsi="Times New Roman"/>
          <w:sz w:val="24"/>
        </w:rPr>
        <w:t xml:space="preserve"> </w:t>
      </w:r>
      <w:r w:rsidR="000C378A">
        <w:rPr>
          <w:rFonts w:ascii="Times New Roman" w:hAnsi="Times New Roman"/>
          <w:sz w:val="24"/>
        </w:rPr>
        <w:t>per Haughton J. [2021] IECA</w:t>
      </w:r>
      <w:r w:rsidR="00766E49">
        <w:rPr>
          <w:rFonts w:ascii="Times New Roman" w:hAnsi="Times New Roman"/>
          <w:sz w:val="24"/>
        </w:rPr>
        <w:t xml:space="preserve"> 244</w:t>
      </w:r>
      <w:r>
        <w:rPr>
          <w:rFonts w:ascii="Times New Roman" w:hAnsi="Times New Roman"/>
          <w:sz w:val="24"/>
        </w:rPr>
        <w:t xml:space="preserve">), all of the authorities relied upon by the parties were decisions of the </w:t>
      </w:r>
      <w:r w:rsidR="006130BE">
        <w:rPr>
          <w:rFonts w:ascii="Times New Roman" w:hAnsi="Times New Roman"/>
          <w:sz w:val="24"/>
        </w:rPr>
        <w:t>c</w:t>
      </w:r>
      <w:r>
        <w:rPr>
          <w:rFonts w:ascii="Times New Roman" w:hAnsi="Times New Roman"/>
          <w:sz w:val="24"/>
        </w:rPr>
        <w:t xml:space="preserve">ourts of the United Kingdom.  Of those, the most recent, and the decision upon which she </w:t>
      </w:r>
      <w:r>
        <w:rPr>
          <w:rFonts w:ascii="Times New Roman" w:hAnsi="Times New Roman"/>
          <w:sz w:val="24"/>
        </w:rPr>
        <w:lastRenderedPageBreak/>
        <w:t xml:space="preserve">placed greatest reliance, was that of in </w:t>
      </w:r>
      <w:r w:rsidRPr="002B07F5">
        <w:rPr>
          <w:rFonts w:ascii="Times New Roman" w:hAnsi="Times New Roman"/>
          <w:i/>
          <w:sz w:val="24"/>
        </w:rPr>
        <w:t xml:space="preserve">Re </w:t>
      </w:r>
      <w:r w:rsidR="006130BE">
        <w:rPr>
          <w:rFonts w:ascii="Times New Roman" w:hAnsi="Times New Roman"/>
          <w:i/>
          <w:sz w:val="24"/>
        </w:rPr>
        <w:t>a</w:t>
      </w:r>
      <w:r w:rsidRPr="002B07F5">
        <w:rPr>
          <w:rFonts w:ascii="Times New Roman" w:hAnsi="Times New Roman"/>
          <w:i/>
          <w:sz w:val="24"/>
        </w:rPr>
        <w:t xml:space="preserve"> Company No. 001126 of 1992</w:t>
      </w:r>
      <w:r>
        <w:rPr>
          <w:rFonts w:ascii="Times New Roman" w:hAnsi="Times New Roman"/>
          <w:sz w:val="24"/>
        </w:rPr>
        <w:t xml:space="preserve"> [1993] BCC 325.  </w:t>
      </w:r>
      <w:r w:rsidR="002A48C8">
        <w:rPr>
          <w:rFonts w:ascii="Times New Roman" w:hAnsi="Times New Roman"/>
          <w:sz w:val="24"/>
        </w:rPr>
        <w:t>That case involved a petition brought under</w:t>
      </w:r>
      <w:r w:rsidR="007E5D65">
        <w:rPr>
          <w:rFonts w:ascii="Times New Roman" w:hAnsi="Times New Roman"/>
          <w:sz w:val="24"/>
        </w:rPr>
        <w:t xml:space="preserve"> s.459 of the Companies Act 19</w:t>
      </w:r>
      <w:r w:rsidR="006130BE">
        <w:rPr>
          <w:rFonts w:ascii="Times New Roman" w:hAnsi="Times New Roman"/>
          <w:sz w:val="24"/>
        </w:rPr>
        <w:t>85</w:t>
      </w:r>
      <w:r w:rsidR="005D633C">
        <w:rPr>
          <w:rFonts w:ascii="Times New Roman" w:hAnsi="Times New Roman"/>
          <w:sz w:val="24"/>
        </w:rPr>
        <w:t>,</w:t>
      </w:r>
      <w:r w:rsidR="007E5D65">
        <w:rPr>
          <w:rFonts w:ascii="Times New Roman" w:hAnsi="Times New Roman"/>
          <w:sz w:val="24"/>
        </w:rPr>
        <w:t xml:space="preserve"> </w:t>
      </w:r>
      <w:r w:rsidR="002A48C8">
        <w:rPr>
          <w:rFonts w:ascii="Times New Roman" w:hAnsi="Times New Roman"/>
          <w:sz w:val="24"/>
        </w:rPr>
        <w:t xml:space="preserve">the </w:t>
      </w:r>
      <w:r w:rsidR="006130BE">
        <w:rPr>
          <w:rFonts w:ascii="Times New Roman" w:hAnsi="Times New Roman"/>
          <w:sz w:val="24"/>
        </w:rPr>
        <w:t xml:space="preserve">then </w:t>
      </w:r>
      <w:r w:rsidR="002A48C8">
        <w:rPr>
          <w:rFonts w:ascii="Times New Roman" w:hAnsi="Times New Roman"/>
          <w:sz w:val="24"/>
        </w:rPr>
        <w:t>equivalent of s.</w:t>
      </w:r>
      <w:r w:rsidR="00790E86">
        <w:rPr>
          <w:rFonts w:ascii="Times New Roman" w:hAnsi="Times New Roman"/>
          <w:sz w:val="24"/>
        </w:rPr>
        <w:t xml:space="preserve"> </w:t>
      </w:r>
      <w:r w:rsidR="002A48C8">
        <w:rPr>
          <w:rFonts w:ascii="Times New Roman" w:hAnsi="Times New Roman"/>
          <w:sz w:val="24"/>
        </w:rPr>
        <w:t xml:space="preserve">205 in the United Kingdom. </w:t>
      </w:r>
      <w:r w:rsidR="00BA25DF">
        <w:rPr>
          <w:rFonts w:ascii="Times New Roman" w:hAnsi="Times New Roman"/>
          <w:sz w:val="24"/>
        </w:rPr>
        <w:t xml:space="preserve">The application before the </w:t>
      </w:r>
      <w:r w:rsidR="006130BE">
        <w:rPr>
          <w:rFonts w:ascii="Times New Roman" w:hAnsi="Times New Roman"/>
          <w:sz w:val="24"/>
        </w:rPr>
        <w:t>c</w:t>
      </w:r>
      <w:r w:rsidR="00BA25DF">
        <w:rPr>
          <w:rFonts w:ascii="Times New Roman" w:hAnsi="Times New Roman"/>
          <w:sz w:val="24"/>
        </w:rPr>
        <w:t xml:space="preserve">ourt was one brought by the company for approval to incur expenditure in representation in a s.459 petition, </w:t>
      </w:r>
      <w:r w:rsidR="00D26845">
        <w:rPr>
          <w:rFonts w:ascii="Times New Roman" w:hAnsi="Times New Roman"/>
          <w:sz w:val="24"/>
        </w:rPr>
        <w:t xml:space="preserve">to </w:t>
      </w:r>
      <w:r w:rsidR="00BA25DF">
        <w:rPr>
          <w:rFonts w:ascii="Times New Roman" w:hAnsi="Times New Roman"/>
          <w:sz w:val="24"/>
        </w:rPr>
        <w:t>which action</w:t>
      </w:r>
      <w:r w:rsidR="00D26845">
        <w:rPr>
          <w:rFonts w:ascii="Times New Roman" w:hAnsi="Times New Roman"/>
          <w:sz w:val="24"/>
        </w:rPr>
        <w:t xml:space="preserve"> the company was a respondent but where no reliefs were sought against the company</w:t>
      </w:r>
      <w:r w:rsidR="00FA7C8E">
        <w:rPr>
          <w:rFonts w:ascii="Times New Roman" w:hAnsi="Times New Roman"/>
          <w:sz w:val="24"/>
        </w:rPr>
        <w:t>, as the dispute was one between the shareholders</w:t>
      </w:r>
      <w:r w:rsidR="00BA25DF">
        <w:rPr>
          <w:rFonts w:ascii="Times New Roman" w:hAnsi="Times New Roman"/>
          <w:sz w:val="24"/>
        </w:rPr>
        <w:t>.</w:t>
      </w:r>
      <w:r w:rsidR="002A48C8">
        <w:rPr>
          <w:rFonts w:ascii="Times New Roman" w:hAnsi="Times New Roman"/>
          <w:sz w:val="24"/>
        </w:rPr>
        <w:t xml:space="preserve"> Lindsay J., having analysed the authorities</w:t>
      </w:r>
      <w:r w:rsidR="006130BE">
        <w:rPr>
          <w:rFonts w:ascii="Times New Roman" w:hAnsi="Times New Roman"/>
          <w:sz w:val="24"/>
        </w:rPr>
        <w:t xml:space="preserve"> extrapolated a number of principles to be applied in</w:t>
      </w:r>
      <w:r w:rsidR="009E42BB">
        <w:rPr>
          <w:rFonts w:ascii="Times New Roman" w:hAnsi="Times New Roman"/>
          <w:sz w:val="24"/>
        </w:rPr>
        <w:t xml:space="preserve"> the</w:t>
      </w:r>
      <w:r w:rsidR="006130BE">
        <w:rPr>
          <w:rFonts w:ascii="Times New Roman" w:hAnsi="Times New Roman"/>
          <w:sz w:val="24"/>
        </w:rPr>
        <w:t xml:space="preserve"> consideratio</w:t>
      </w:r>
      <w:r w:rsidR="009E42BB">
        <w:rPr>
          <w:rFonts w:ascii="Times New Roman" w:hAnsi="Times New Roman"/>
          <w:sz w:val="24"/>
        </w:rPr>
        <w:t>n of such matters</w:t>
      </w:r>
      <w:r w:rsidR="002A48C8">
        <w:rPr>
          <w:rFonts w:ascii="Times New Roman" w:hAnsi="Times New Roman"/>
          <w:sz w:val="24"/>
        </w:rPr>
        <w:t xml:space="preserve">, and the trial judge quoted from </w:t>
      </w:r>
      <w:r w:rsidR="009E42BB">
        <w:rPr>
          <w:rFonts w:ascii="Times New Roman" w:hAnsi="Times New Roman"/>
          <w:sz w:val="24"/>
        </w:rPr>
        <w:t>his</w:t>
      </w:r>
      <w:r w:rsidR="002A48C8">
        <w:rPr>
          <w:rFonts w:ascii="Times New Roman" w:hAnsi="Times New Roman"/>
          <w:sz w:val="24"/>
        </w:rPr>
        <w:t xml:space="preserve"> decision </w:t>
      </w:r>
      <w:r w:rsidR="009E42BB">
        <w:rPr>
          <w:rFonts w:ascii="Times New Roman" w:hAnsi="Times New Roman"/>
          <w:sz w:val="24"/>
        </w:rPr>
        <w:t>(</w:t>
      </w:r>
      <w:r w:rsidR="002A48C8">
        <w:rPr>
          <w:rFonts w:ascii="Times New Roman" w:hAnsi="Times New Roman"/>
          <w:sz w:val="24"/>
        </w:rPr>
        <w:t>at p. 333</w:t>
      </w:r>
      <w:r w:rsidR="009E42BB">
        <w:rPr>
          <w:rFonts w:ascii="Times New Roman" w:hAnsi="Times New Roman"/>
          <w:sz w:val="24"/>
        </w:rPr>
        <w:t>)</w:t>
      </w:r>
      <w:r w:rsidR="002A48C8">
        <w:rPr>
          <w:rFonts w:ascii="Times New Roman" w:hAnsi="Times New Roman"/>
          <w:sz w:val="24"/>
        </w:rPr>
        <w:t xml:space="preserve"> as follows:</w:t>
      </w:r>
    </w:p>
    <w:p w14:paraId="22582540" w14:textId="1BA842DC" w:rsidR="002A48C8" w:rsidRDefault="002A48C8" w:rsidP="00463A20">
      <w:pPr>
        <w:pStyle w:val="ListParagraph"/>
        <w:tabs>
          <w:tab w:val="left" w:pos="567"/>
        </w:tabs>
        <w:spacing w:line="480" w:lineRule="auto"/>
        <w:ind w:left="0"/>
        <w:rPr>
          <w:rFonts w:ascii="Times New Roman" w:hAnsi="Times New Roman"/>
          <w:sz w:val="24"/>
        </w:rPr>
      </w:pPr>
      <w:r>
        <w:rPr>
          <w:rFonts w:ascii="Times New Roman" w:hAnsi="Times New Roman"/>
          <w:sz w:val="24"/>
        </w:rPr>
        <w:tab/>
      </w:r>
      <w:r w:rsidR="00A65703">
        <w:rPr>
          <w:rFonts w:ascii="Times New Roman" w:hAnsi="Times New Roman"/>
          <w:sz w:val="24"/>
        </w:rPr>
        <w:tab/>
      </w:r>
      <w:r>
        <w:rPr>
          <w:rFonts w:ascii="Times New Roman" w:hAnsi="Times New Roman"/>
          <w:sz w:val="24"/>
        </w:rPr>
        <w:t>“</w:t>
      </w:r>
      <w:r w:rsidR="00B73C97">
        <w:rPr>
          <w:rFonts w:ascii="Times New Roman" w:hAnsi="Times New Roman"/>
          <w:sz w:val="24"/>
        </w:rPr>
        <w:t>As a body they suggest to me the following.</w:t>
      </w:r>
    </w:p>
    <w:p w14:paraId="46298F12" w14:textId="598876F7" w:rsidR="00B73C97" w:rsidRDefault="00B73C97" w:rsidP="00463A20">
      <w:pPr>
        <w:pStyle w:val="ListParagraph"/>
        <w:tabs>
          <w:tab w:val="left" w:pos="567"/>
        </w:tabs>
        <w:spacing w:line="480" w:lineRule="auto"/>
        <w:ind w:left="567"/>
        <w:rPr>
          <w:rFonts w:ascii="Times New Roman" w:hAnsi="Times New Roman"/>
          <w:sz w:val="24"/>
        </w:rPr>
      </w:pPr>
      <w:r>
        <w:rPr>
          <w:rFonts w:ascii="Times New Roman" w:hAnsi="Times New Roman"/>
          <w:sz w:val="24"/>
        </w:rPr>
        <w:t>Firstly, there may be cases (although it is unlikely nowadays when wide object</w:t>
      </w:r>
      <w:r w:rsidR="00DE57D5">
        <w:rPr>
          <w:rFonts w:ascii="Times New Roman" w:hAnsi="Times New Roman"/>
          <w:sz w:val="24"/>
        </w:rPr>
        <w:t>s</w:t>
      </w:r>
      <w:r>
        <w:rPr>
          <w:rFonts w:ascii="Times New Roman" w:hAnsi="Times New Roman"/>
          <w:sz w:val="24"/>
        </w:rPr>
        <w:t xml:space="preserve"> clauses are the norm) where a company’s active participation in or payment of its own costs in respect of active participation in a s.459 petition as to its own affairs is </w:t>
      </w:r>
      <w:r w:rsidRPr="00B73C97">
        <w:rPr>
          <w:rFonts w:ascii="Times New Roman" w:hAnsi="Times New Roman"/>
          <w:i/>
          <w:sz w:val="24"/>
        </w:rPr>
        <w:t>ultra vires</w:t>
      </w:r>
      <w:r>
        <w:rPr>
          <w:rFonts w:ascii="Times New Roman" w:hAnsi="Times New Roman"/>
          <w:i/>
          <w:sz w:val="24"/>
        </w:rPr>
        <w:t xml:space="preserve"> </w:t>
      </w:r>
      <w:r>
        <w:rPr>
          <w:rFonts w:ascii="Times New Roman" w:hAnsi="Times New Roman"/>
          <w:sz w:val="24"/>
        </w:rPr>
        <w:t xml:space="preserve">in the strict sense. </w:t>
      </w:r>
    </w:p>
    <w:p w14:paraId="27150C0C" w14:textId="5C71CC14" w:rsidR="00B73C97" w:rsidRDefault="00B73C97" w:rsidP="00463A20">
      <w:pPr>
        <w:pStyle w:val="ListParagraph"/>
        <w:tabs>
          <w:tab w:val="left" w:pos="567"/>
        </w:tabs>
        <w:spacing w:line="480" w:lineRule="auto"/>
        <w:ind w:left="567"/>
        <w:rPr>
          <w:rFonts w:ascii="Times New Roman" w:hAnsi="Times New Roman"/>
          <w:sz w:val="24"/>
        </w:rPr>
      </w:pPr>
      <w:r>
        <w:rPr>
          <w:rFonts w:ascii="Times New Roman" w:hAnsi="Times New Roman"/>
          <w:sz w:val="24"/>
        </w:rPr>
        <w:t>Secondly, leaving aside that possible class, there is no rule that necessarily</w:t>
      </w:r>
      <w:r w:rsidR="00DE57D5">
        <w:rPr>
          <w:rFonts w:ascii="Times New Roman" w:hAnsi="Times New Roman"/>
          <w:sz w:val="24"/>
        </w:rPr>
        <w:t xml:space="preserve"> and</w:t>
      </w:r>
      <w:r>
        <w:rPr>
          <w:rFonts w:ascii="Times New Roman" w:hAnsi="Times New Roman"/>
          <w:sz w:val="24"/>
        </w:rPr>
        <w:t xml:space="preserve"> in all cases such active participation and such expenditure is improper.  </w:t>
      </w:r>
    </w:p>
    <w:p w14:paraId="58017134" w14:textId="14AEFD80" w:rsidR="00B73C97" w:rsidRDefault="00B73C97" w:rsidP="00463A20">
      <w:pPr>
        <w:pStyle w:val="ListParagraph"/>
        <w:tabs>
          <w:tab w:val="left" w:pos="567"/>
        </w:tabs>
        <w:spacing w:line="480" w:lineRule="auto"/>
        <w:ind w:left="567"/>
        <w:rPr>
          <w:rFonts w:ascii="Times New Roman" w:hAnsi="Times New Roman"/>
          <w:sz w:val="24"/>
        </w:rPr>
      </w:pPr>
      <w:r>
        <w:rPr>
          <w:rFonts w:ascii="Times New Roman" w:hAnsi="Times New Roman"/>
          <w:sz w:val="24"/>
        </w:rPr>
        <w:t xml:space="preserve">Thirdly, the test of whether such participation and expenditure is proper is whether it is necessary or expedient in the interests of the company as a whole (to borrow from Harman J. in </w:t>
      </w:r>
      <w:r w:rsidRPr="00B73C97">
        <w:rPr>
          <w:rFonts w:ascii="Times New Roman" w:hAnsi="Times New Roman"/>
          <w:i/>
          <w:sz w:val="24"/>
        </w:rPr>
        <w:t xml:space="preserve">Ex </w:t>
      </w:r>
      <w:proofErr w:type="spellStart"/>
      <w:r w:rsidRPr="00B73C97">
        <w:rPr>
          <w:rFonts w:ascii="Times New Roman" w:hAnsi="Times New Roman"/>
          <w:i/>
          <w:sz w:val="24"/>
        </w:rPr>
        <w:t>Parte</w:t>
      </w:r>
      <w:proofErr w:type="spellEnd"/>
      <w:r w:rsidRPr="00B73C97">
        <w:rPr>
          <w:rFonts w:ascii="Times New Roman" w:hAnsi="Times New Roman"/>
          <w:i/>
          <w:sz w:val="24"/>
        </w:rPr>
        <w:t xml:space="preserve"> Johnson</w:t>
      </w:r>
      <w:r>
        <w:rPr>
          <w:rFonts w:ascii="Times New Roman" w:hAnsi="Times New Roman"/>
          <w:sz w:val="24"/>
        </w:rPr>
        <w:t xml:space="preserve">).  </w:t>
      </w:r>
    </w:p>
    <w:p w14:paraId="40BC19B8" w14:textId="3CE13F39" w:rsidR="00B73C97" w:rsidRDefault="00B73C97" w:rsidP="00463A20">
      <w:pPr>
        <w:pStyle w:val="ListParagraph"/>
        <w:tabs>
          <w:tab w:val="left" w:pos="567"/>
        </w:tabs>
        <w:spacing w:line="480" w:lineRule="auto"/>
        <w:ind w:left="567"/>
        <w:rPr>
          <w:rFonts w:ascii="Times New Roman" w:hAnsi="Times New Roman"/>
          <w:sz w:val="24"/>
        </w:rPr>
      </w:pPr>
      <w:r>
        <w:rPr>
          <w:rFonts w:ascii="Times New Roman" w:hAnsi="Times New Roman"/>
          <w:sz w:val="24"/>
        </w:rPr>
        <w:t xml:space="preserve">Fourthly, that in considering that test the court’s starting point is a sort of rebuttable distaste for such participation and expenditure, </w:t>
      </w:r>
      <w:r w:rsidR="00DE57D5">
        <w:rPr>
          <w:rFonts w:ascii="Times New Roman" w:hAnsi="Times New Roman"/>
          <w:sz w:val="24"/>
        </w:rPr>
        <w:t>i</w:t>
      </w:r>
      <w:r>
        <w:rPr>
          <w:rFonts w:ascii="Times New Roman" w:hAnsi="Times New Roman"/>
          <w:sz w:val="24"/>
        </w:rPr>
        <w:t xml:space="preserve">nitial scepticism as to its necessity or expediency.  The chorus of disapproval in the cases puts a heavy onus on a company which has actively participated or has so incurred costs to satisfy the court with evidence of the necessity or expedience in the particular case.  What will be necessary to discharge that onus will obviously vary greatly from case to case.  </w:t>
      </w:r>
    </w:p>
    <w:p w14:paraId="4D3DEDDC" w14:textId="5E29DC00" w:rsidR="00B73C97" w:rsidRPr="00136CD5" w:rsidRDefault="00B73C97" w:rsidP="00463A20">
      <w:pPr>
        <w:pStyle w:val="ListParagraph"/>
        <w:tabs>
          <w:tab w:val="left" w:pos="567"/>
        </w:tabs>
        <w:spacing w:line="480" w:lineRule="auto"/>
        <w:ind w:left="567"/>
        <w:rPr>
          <w:rFonts w:ascii="Times New Roman" w:hAnsi="Times New Roman"/>
          <w:b/>
          <w:sz w:val="24"/>
          <w:u w:val="single"/>
        </w:rPr>
      </w:pPr>
      <w:r>
        <w:rPr>
          <w:rFonts w:ascii="Times New Roman" w:hAnsi="Times New Roman"/>
          <w:sz w:val="24"/>
        </w:rPr>
        <w:lastRenderedPageBreak/>
        <w:t xml:space="preserve">Fifthly, </w:t>
      </w:r>
      <w:r w:rsidR="00136CD5">
        <w:rPr>
          <w:rFonts w:ascii="Times New Roman" w:hAnsi="Times New Roman"/>
          <w:sz w:val="24"/>
        </w:rPr>
        <w:t xml:space="preserve">if a company seeks approval by the court of such participation or expenditure </w:t>
      </w:r>
      <w:r w:rsidR="00136CD5">
        <w:rPr>
          <w:rFonts w:ascii="Times New Roman" w:hAnsi="Times New Roman"/>
          <w:i/>
          <w:sz w:val="24"/>
        </w:rPr>
        <w:t xml:space="preserve">in advance </w:t>
      </w:r>
      <w:r w:rsidR="00136CD5">
        <w:rPr>
          <w:rFonts w:ascii="Times New Roman" w:hAnsi="Times New Roman"/>
          <w:sz w:val="24"/>
        </w:rPr>
        <w:t>then, in the absence of the most compelling circumstances proven by cogent evidence, such advance approval is very unlikely.”</w:t>
      </w:r>
    </w:p>
    <w:p w14:paraId="1B826C4A" w14:textId="303A671B" w:rsidR="002B07F5" w:rsidRPr="00136CD5" w:rsidRDefault="00136CD5" w:rsidP="00463A20">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The trial judge noted that the oldest authority relied upon by the parties was </w:t>
      </w:r>
      <w:r w:rsidRPr="00136CD5">
        <w:rPr>
          <w:rFonts w:ascii="Times New Roman" w:hAnsi="Times New Roman"/>
          <w:i/>
          <w:sz w:val="24"/>
        </w:rPr>
        <w:t>Pickering v. Stephenson</w:t>
      </w:r>
      <w:r>
        <w:rPr>
          <w:rFonts w:ascii="Times New Roman" w:hAnsi="Times New Roman"/>
          <w:sz w:val="24"/>
        </w:rPr>
        <w:t xml:space="preserve"> (1872) LR 14 </w:t>
      </w:r>
      <w:proofErr w:type="spellStart"/>
      <w:r>
        <w:rPr>
          <w:rFonts w:ascii="Times New Roman" w:hAnsi="Times New Roman"/>
          <w:sz w:val="24"/>
        </w:rPr>
        <w:t>E</w:t>
      </w:r>
      <w:r w:rsidR="00884E76">
        <w:rPr>
          <w:rFonts w:ascii="Times New Roman" w:hAnsi="Times New Roman"/>
          <w:sz w:val="24"/>
        </w:rPr>
        <w:t>q</w:t>
      </w:r>
      <w:proofErr w:type="spellEnd"/>
      <w:r>
        <w:rPr>
          <w:rFonts w:ascii="Times New Roman" w:hAnsi="Times New Roman"/>
          <w:sz w:val="24"/>
        </w:rPr>
        <w:t xml:space="preserve"> 322, which was approved in a more recent </w:t>
      </w:r>
      <w:r w:rsidR="00A65703">
        <w:rPr>
          <w:rFonts w:ascii="Times New Roman" w:hAnsi="Times New Roman"/>
          <w:sz w:val="24"/>
        </w:rPr>
        <w:t xml:space="preserve">decision </w:t>
      </w:r>
      <w:r>
        <w:rPr>
          <w:rFonts w:ascii="Times New Roman" w:hAnsi="Times New Roman"/>
          <w:sz w:val="24"/>
        </w:rPr>
        <w:t xml:space="preserve">of Hoffman J. in </w:t>
      </w:r>
      <w:r w:rsidRPr="00136CD5">
        <w:rPr>
          <w:rFonts w:ascii="Times New Roman" w:hAnsi="Times New Roman"/>
          <w:i/>
          <w:sz w:val="24"/>
        </w:rPr>
        <w:t xml:space="preserve">Re </w:t>
      </w:r>
      <w:proofErr w:type="spellStart"/>
      <w:r w:rsidRPr="00136CD5">
        <w:rPr>
          <w:rFonts w:ascii="Times New Roman" w:hAnsi="Times New Roman"/>
          <w:i/>
          <w:sz w:val="24"/>
        </w:rPr>
        <w:t>Crossmore</w:t>
      </w:r>
      <w:proofErr w:type="spellEnd"/>
      <w:r w:rsidRPr="00136CD5">
        <w:rPr>
          <w:rFonts w:ascii="Times New Roman" w:hAnsi="Times New Roman"/>
          <w:i/>
          <w:sz w:val="24"/>
        </w:rPr>
        <w:t xml:space="preserve"> Electrical and Civil Engineering Limited</w:t>
      </w:r>
      <w:r>
        <w:rPr>
          <w:rFonts w:ascii="Times New Roman" w:hAnsi="Times New Roman"/>
          <w:sz w:val="24"/>
        </w:rPr>
        <w:t xml:space="preserve"> [1989] 5 BCC 37 in which Hoffman</w:t>
      </w:r>
      <w:r w:rsidR="000A24A9">
        <w:rPr>
          <w:rFonts w:ascii="Times New Roman" w:hAnsi="Times New Roman"/>
          <w:sz w:val="24"/>
        </w:rPr>
        <w:t>n</w:t>
      </w:r>
      <w:r>
        <w:rPr>
          <w:rFonts w:ascii="Times New Roman" w:hAnsi="Times New Roman"/>
          <w:sz w:val="24"/>
        </w:rPr>
        <w:t xml:space="preserve"> J. stated:</w:t>
      </w:r>
    </w:p>
    <w:p w14:paraId="67CB24C9" w14:textId="40683220" w:rsidR="00136CD5" w:rsidRPr="000A24A9" w:rsidRDefault="00AD73AB" w:rsidP="00463A20">
      <w:pPr>
        <w:pStyle w:val="ListParagraph"/>
        <w:tabs>
          <w:tab w:val="left" w:pos="567"/>
        </w:tabs>
        <w:spacing w:line="480" w:lineRule="auto"/>
        <w:ind w:left="567"/>
        <w:rPr>
          <w:rFonts w:ascii="Times New Roman" w:hAnsi="Times New Roman"/>
          <w:b/>
          <w:sz w:val="24"/>
          <w:u w:val="single"/>
        </w:rPr>
      </w:pPr>
      <w:r>
        <w:rPr>
          <w:rFonts w:ascii="Times New Roman" w:hAnsi="Times New Roman"/>
          <w:sz w:val="24"/>
        </w:rPr>
        <w:tab/>
      </w:r>
      <w:r w:rsidR="00136CD5">
        <w:rPr>
          <w:rFonts w:ascii="Times New Roman" w:hAnsi="Times New Roman"/>
          <w:sz w:val="24"/>
        </w:rPr>
        <w:t>“</w:t>
      </w:r>
      <w:r w:rsidR="00136CD5" w:rsidRPr="00136CD5">
        <w:rPr>
          <w:rFonts w:ascii="Times New Roman" w:hAnsi="Times New Roman"/>
          <w:sz w:val="24"/>
        </w:rPr>
        <w:t>It is a general principle of company law that the company’s money should not be expended on disputes between</w:t>
      </w:r>
      <w:r w:rsidR="00136CD5">
        <w:rPr>
          <w:rFonts w:ascii="Times New Roman" w:hAnsi="Times New Roman"/>
          <w:sz w:val="24"/>
        </w:rPr>
        <w:t xml:space="preserve"> </w:t>
      </w:r>
      <w:r w:rsidR="00136CD5" w:rsidRPr="00136CD5">
        <w:rPr>
          <w:rFonts w:ascii="Times New Roman" w:hAnsi="Times New Roman"/>
          <w:sz w:val="24"/>
        </w:rPr>
        <w:t>shareholders: s</w:t>
      </w:r>
      <w:r w:rsidR="000A24A9">
        <w:rPr>
          <w:rFonts w:ascii="Times New Roman" w:hAnsi="Times New Roman"/>
          <w:sz w:val="24"/>
        </w:rPr>
        <w:t xml:space="preserve">ee </w:t>
      </w:r>
      <w:r w:rsidR="000A24A9" w:rsidRPr="000A24A9">
        <w:rPr>
          <w:rFonts w:ascii="Times New Roman" w:hAnsi="Times New Roman"/>
          <w:i/>
          <w:sz w:val="24"/>
        </w:rPr>
        <w:t>Pickering v. Stephenson</w:t>
      </w:r>
      <w:r w:rsidR="000A24A9">
        <w:rPr>
          <w:rFonts w:ascii="Times New Roman" w:hAnsi="Times New Roman"/>
          <w:i/>
          <w:sz w:val="24"/>
        </w:rPr>
        <w:t>…</w:t>
      </w:r>
      <w:r w:rsidR="000A24A9">
        <w:rPr>
          <w:rFonts w:ascii="Times New Roman" w:hAnsi="Times New Roman"/>
          <w:sz w:val="24"/>
        </w:rPr>
        <w:t>”</w:t>
      </w:r>
    </w:p>
    <w:p w14:paraId="711C0808" w14:textId="10AA8B8E" w:rsidR="002B07F5" w:rsidRPr="000D6EFD" w:rsidRDefault="008F1B56" w:rsidP="00463A20">
      <w:pPr>
        <w:pStyle w:val="ListParagraph"/>
        <w:numPr>
          <w:ilvl w:val="0"/>
          <w:numId w:val="1"/>
        </w:numPr>
        <w:tabs>
          <w:tab w:val="left" w:pos="567"/>
        </w:tabs>
        <w:spacing w:line="480" w:lineRule="auto"/>
        <w:ind w:left="0" w:firstLine="0"/>
        <w:rPr>
          <w:rFonts w:ascii="Times New Roman" w:hAnsi="Times New Roman"/>
          <w:i/>
          <w:sz w:val="24"/>
        </w:rPr>
      </w:pPr>
      <w:r>
        <w:rPr>
          <w:rFonts w:ascii="Times New Roman" w:hAnsi="Times New Roman"/>
          <w:sz w:val="24"/>
        </w:rPr>
        <w:t xml:space="preserve">The trial judge noted that  the relief being considered by Lindsay J. in </w:t>
      </w:r>
      <w:r w:rsidRPr="008F1B56">
        <w:rPr>
          <w:rFonts w:ascii="Times New Roman" w:hAnsi="Times New Roman"/>
          <w:i/>
          <w:sz w:val="24"/>
        </w:rPr>
        <w:t xml:space="preserve">Re </w:t>
      </w:r>
      <w:r w:rsidR="00E345B7">
        <w:rPr>
          <w:rFonts w:ascii="Times New Roman" w:hAnsi="Times New Roman"/>
          <w:i/>
          <w:sz w:val="24"/>
        </w:rPr>
        <w:t>a</w:t>
      </w:r>
      <w:r w:rsidRPr="008F1B56">
        <w:rPr>
          <w:rFonts w:ascii="Times New Roman" w:hAnsi="Times New Roman"/>
          <w:i/>
          <w:sz w:val="24"/>
        </w:rPr>
        <w:t xml:space="preserve"> Company</w:t>
      </w:r>
      <w:r>
        <w:rPr>
          <w:rFonts w:ascii="Times New Roman" w:hAnsi="Times New Roman"/>
          <w:i/>
          <w:sz w:val="24"/>
        </w:rPr>
        <w:t xml:space="preserve"> </w:t>
      </w:r>
      <w:r>
        <w:rPr>
          <w:rFonts w:ascii="Times New Roman" w:hAnsi="Times New Roman"/>
          <w:sz w:val="24"/>
        </w:rPr>
        <w:t xml:space="preserve">was different to that being sought in this application, in that on this application the petitioners seek orders to prohibit the assets of Holdings or the Bank being used to fund the </w:t>
      </w:r>
      <w:r w:rsidR="00E66C6D">
        <w:rPr>
          <w:rFonts w:ascii="Times New Roman" w:hAnsi="Times New Roman"/>
          <w:sz w:val="24"/>
        </w:rPr>
        <w:t>D</w:t>
      </w:r>
      <w:r>
        <w:rPr>
          <w:rFonts w:ascii="Times New Roman" w:hAnsi="Times New Roman"/>
          <w:sz w:val="24"/>
        </w:rPr>
        <w:t xml:space="preserve">irector </w:t>
      </w:r>
      <w:r w:rsidR="00E66C6D">
        <w:rPr>
          <w:rFonts w:ascii="Times New Roman" w:hAnsi="Times New Roman"/>
          <w:sz w:val="24"/>
        </w:rPr>
        <w:t>R</w:t>
      </w:r>
      <w:r>
        <w:rPr>
          <w:rFonts w:ascii="Times New Roman" w:hAnsi="Times New Roman"/>
          <w:sz w:val="24"/>
        </w:rPr>
        <w:t xml:space="preserve">espondents’ defence of the s.205 proceedings, whereas in </w:t>
      </w:r>
      <w:r w:rsidRPr="008F1B56">
        <w:rPr>
          <w:rFonts w:ascii="Times New Roman" w:hAnsi="Times New Roman"/>
          <w:i/>
          <w:sz w:val="24"/>
        </w:rPr>
        <w:t xml:space="preserve">Re </w:t>
      </w:r>
      <w:r w:rsidR="00E345B7">
        <w:rPr>
          <w:rFonts w:ascii="Times New Roman" w:hAnsi="Times New Roman"/>
          <w:i/>
          <w:sz w:val="24"/>
        </w:rPr>
        <w:t>a</w:t>
      </w:r>
      <w:r w:rsidRPr="008F1B56">
        <w:rPr>
          <w:rFonts w:ascii="Times New Roman" w:hAnsi="Times New Roman"/>
          <w:i/>
          <w:sz w:val="24"/>
        </w:rPr>
        <w:t xml:space="preserve"> Company</w:t>
      </w:r>
      <w:r>
        <w:rPr>
          <w:rFonts w:ascii="Times New Roman" w:hAnsi="Times New Roman"/>
          <w:i/>
          <w:sz w:val="24"/>
        </w:rPr>
        <w:t xml:space="preserve"> </w:t>
      </w:r>
      <w:r>
        <w:rPr>
          <w:rFonts w:ascii="Times New Roman" w:hAnsi="Times New Roman"/>
          <w:sz w:val="24"/>
        </w:rPr>
        <w:t xml:space="preserve">the company in the position of Holdings was seeking to be permitted to participate actively in similar proceedings and to fund that participation out of the company’s assets. </w:t>
      </w:r>
      <w:r w:rsidR="00E345B7">
        <w:rPr>
          <w:rFonts w:ascii="Times New Roman" w:hAnsi="Times New Roman"/>
          <w:sz w:val="24"/>
        </w:rPr>
        <w:t xml:space="preserve"> </w:t>
      </w:r>
      <w:r>
        <w:rPr>
          <w:rFonts w:ascii="Times New Roman" w:hAnsi="Times New Roman"/>
          <w:sz w:val="24"/>
        </w:rPr>
        <w:t>Nonetheless, the trial judge was of the view that the principles identified by Lindsay J. were appropriate to the resolution of the application in this case, adapted so far as necessary.  She then went on to apply those principles</w:t>
      </w:r>
      <w:r w:rsidR="00E345B7">
        <w:rPr>
          <w:rFonts w:ascii="Times New Roman" w:hAnsi="Times New Roman"/>
          <w:sz w:val="24"/>
        </w:rPr>
        <w:t>, at para. 52,</w:t>
      </w:r>
      <w:r>
        <w:rPr>
          <w:rFonts w:ascii="Times New Roman" w:hAnsi="Times New Roman"/>
          <w:sz w:val="24"/>
        </w:rPr>
        <w:t xml:space="preserve"> as follows:</w:t>
      </w:r>
    </w:p>
    <w:p w14:paraId="040BBE2D" w14:textId="33ED97F8" w:rsidR="000D6EFD" w:rsidRDefault="000D6EFD" w:rsidP="00463A20">
      <w:pPr>
        <w:pStyle w:val="ListParagraph"/>
        <w:numPr>
          <w:ilvl w:val="0"/>
          <w:numId w:val="3"/>
        </w:numPr>
        <w:tabs>
          <w:tab w:val="left" w:pos="709"/>
        </w:tabs>
        <w:spacing w:line="480" w:lineRule="auto"/>
        <w:ind w:left="567" w:firstLine="0"/>
        <w:rPr>
          <w:rFonts w:ascii="Times New Roman" w:hAnsi="Times New Roman"/>
          <w:sz w:val="24"/>
        </w:rPr>
      </w:pPr>
      <w:r w:rsidRPr="000D6EFD">
        <w:rPr>
          <w:rFonts w:ascii="Times New Roman" w:hAnsi="Times New Roman"/>
          <w:sz w:val="24"/>
        </w:rPr>
        <w:t xml:space="preserve">The trial judge noted that it was not argued that the </w:t>
      </w:r>
      <w:r w:rsidR="008F1B56" w:rsidRPr="000D6EFD">
        <w:rPr>
          <w:rFonts w:ascii="Times New Roman" w:hAnsi="Times New Roman"/>
          <w:sz w:val="24"/>
        </w:rPr>
        <w:t>Articles of Association of either Holdings or the Bank are limited in a manner which would render funding by either company of the Director Resp</w:t>
      </w:r>
      <w:r>
        <w:rPr>
          <w:rFonts w:ascii="Times New Roman" w:hAnsi="Times New Roman"/>
          <w:sz w:val="24"/>
        </w:rPr>
        <w:t>ondents’ defence of the s. 205 p</w:t>
      </w:r>
      <w:r w:rsidR="008F1B56" w:rsidRPr="000D6EFD">
        <w:rPr>
          <w:rFonts w:ascii="Times New Roman" w:hAnsi="Times New Roman"/>
          <w:sz w:val="24"/>
        </w:rPr>
        <w:t>roceedings</w:t>
      </w:r>
      <w:r w:rsidRPr="000D6EFD">
        <w:rPr>
          <w:rFonts w:ascii="Times New Roman" w:hAnsi="Times New Roman"/>
          <w:sz w:val="24"/>
        </w:rPr>
        <w:t xml:space="preserve"> </w:t>
      </w:r>
      <w:r w:rsidR="008F1B56" w:rsidRPr="000D6EFD">
        <w:rPr>
          <w:rFonts w:ascii="Times New Roman" w:hAnsi="Times New Roman"/>
          <w:i/>
          <w:sz w:val="24"/>
        </w:rPr>
        <w:t>ultra vires</w:t>
      </w:r>
      <w:r w:rsidRPr="000D6EFD">
        <w:rPr>
          <w:rFonts w:ascii="Times New Roman" w:hAnsi="Times New Roman"/>
          <w:sz w:val="24"/>
        </w:rPr>
        <w:t>;</w:t>
      </w:r>
    </w:p>
    <w:p w14:paraId="6E7520B5" w14:textId="39992DA9" w:rsidR="000D6EFD" w:rsidRDefault="000D6EFD" w:rsidP="00463A20">
      <w:pPr>
        <w:pStyle w:val="ListParagraph"/>
        <w:numPr>
          <w:ilvl w:val="0"/>
          <w:numId w:val="3"/>
        </w:numPr>
        <w:tabs>
          <w:tab w:val="left" w:pos="567"/>
        </w:tabs>
        <w:spacing w:line="480" w:lineRule="auto"/>
        <w:ind w:left="567" w:firstLine="0"/>
        <w:rPr>
          <w:rFonts w:ascii="Times New Roman" w:hAnsi="Times New Roman"/>
          <w:sz w:val="24"/>
        </w:rPr>
      </w:pPr>
      <w:r>
        <w:rPr>
          <w:rFonts w:ascii="Times New Roman" w:hAnsi="Times New Roman"/>
          <w:sz w:val="24"/>
        </w:rPr>
        <w:t xml:space="preserve">Aside from the possibility of being </w:t>
      </w:r>
      <w:r>
        <w:rPr>
          <w:rFonts w:ascii="Times New Roman" w:hAnsi="Times New Roman"/>
          <w:i/>
          <w:sz w:val="24"/>
        </w:rPr>
        <w:t xml:space="preserve">ultra vires, </w:t>
      </w:r>
      <w:r>
        <w:rPr>
          <w:rFonts w:ascii="Times New Roman" w:hAnsi="Times New Roman"/>
          <w:sz w:val="24"/>
        </w:rPr>
        <w:t xml:space="preserve">which she noted could not be ruled out in every case, the trial judge noted that there is no rule of Irish law relied upon by the parties which would necessarily and in all cases preclude a company from </w:t>
      </w:r>
      <w:r>
        <w:rPr>
          <w:rFonts w:ascii="Times New Roman" w:hAnsi="Times New Roman"/>
          <w:sz w:val="24"/>
        </w:rPr>
        <w:lastRenderedPageBreak/>
        <w:t>funding the defence of s.205 proceedings against its directors on the grounds that such funding would be improper;</w:t>
      </w:r>
    </w:p>
    <w:p w14:paraId="44798350" w14:textId="3B60D5FE" w:rsidR="000D6EFD" w:rsidRDefault="000D6EFD" w:rsidP="00463A20">
      <w:pPr>
        <w:pStyle w:val="ListParagraph"/>
        <w:numPr>
          <w:ilvl w:val="0"/>
          <w:numId w:val="3"/>
        </w:numPr>
        <w:tabs>
          <w:tab w:val="left" w:pos="567"/>
        </w:tabs>
        <w:spacing w:line="480" w:lineRule="auto"/>
        <w:ind w:left="567" w:firstLine="0"/>
        <w:rPr>
          <w:rFonts w:ascii="Times New Roman" w:hAnsi="Times New Roman"/>
          <w:sz w:val="24"/>
        </w:rPr>
      </w:pPr>
      <w:r>
        <w:rPr>
          <w:rFonts w:ascii="Times New Roman" w:hAnsi="Times New Roman"/>
          <w:sz w:val="24"/>
        </w:rPr>
        <w:t xml:space="preserve">Whether such funding is necessary or expedient in the interests of Holdings as a whole is the proper test to apply in determining whether the funding of the </w:t>
      </w:r>
      <w:r w:rsidR="00E66C6D">
        <w:rPr>
          <w:rFonts w:ascii="Times New Roman" w:hAnsi="Times New Roman"/>
          <w:sz w:val="24"/>
        </w:rPr>
        <w:t>D</w:t>
      </w:r>
      <w:r>
        <w:rPr>
          <w:rFonts w:ascii="Times New Roman" w:hAnsi="Times New Roman"/>
          <w:sz w:val="24"/>
        </w:rPr>
        <w:t xml:space="preserve">irector </w:t>
      </w:r>
      <w:r w:rsidR="00E66C6D">
        <w:rPr>
          <w:rFonts w:ascii="Times New Roman" w:hAnsi="Times New Roman"/>
          <w:sz w:val="24"/>
        </w:rPr>
        <w:t>R</w:t>
      </w:r>
      <w:r>
        <w:rPr>
          <w:rFonts w:ascii="Times New Roman" w:hAnsi="Times New Roman"/>
          <w:sz w:val="24"/>
        </w:rPr>
        <w:t>espondents’ defence of the s.205 proceedings is proper, or, as contended for by the appellants, improper</w:t>
      </w:r>
      <w:r w:rsidR="00886270">
        <w:rPr>
          <w:rFonts w:ascii="Times New Roman" w:hAnsi="Times New Roman"/>
          <w:sz w:val="24"/>
        </w:rPr>
        <w:t>;</w:t>
      </w:r>
    </w:p>
    <w:p w14:paraId="21C4FE61" w14:textId="100D6803" w:rsidR="000D6EFD" w:rsidRPr="000D6EFD" w:rsidRDefault="000D6EFD" w:rsidP="00463A20">
      <w:pPr>
        <w:pStyle w:val="ListParagraph"/>
        <w:numPr>
          <w:ilvl w:val="0"/>
          <w:numId w:val="3"/>
        </w:numPr>
        <w:tabs>
          <w:tab w:val="left" w:pos="567"/>
        </w:tabs>
        <w:spacing w:line="480" w:lineRule="auto"/>
        <w:ind w:left="567" w:firstLine="0"/>
        <w:rPr>
          <w:rFonts w:ascii="Times New Roman" w:hAnsi="Times New Roman"/>
          <w:sz w:val="24"/>
        </w:rPr>
      </w:pPr>
      <w:r>
        <w:rPr>
          <w:rFonts w:ascii="Times New Roman" w:hAnsi="Times New Roman"/>
          <w:sz w:val="24"/>
        </w:rPr>
        <w:t xml:space="preserve">As far as the fourth principle is concerned, the trial judge did not think that one necessarily starts with the sort of “rebuttable distaste” described by Lindsay J. in </w:t>
      </w:r>
      <w:r>
        <w:rPr>
          <w:rFonts w:ascii="Times New Roman" w:hAnsi="Times New Roman"/>
          <w:i/>
          <w:sz w:val="24"/>
        </w:rPr>
        <w:t xml:space="preserve">Re </w:t>
      </w:r>
      <w:r w:rsidR="00BA25DF">
        <w:rPr>
          <w:rFonts w:ascii="Times New Roman" w:hAnsi="Times New Roman"/>
          <w:i/>
          <w:sz w:val="24"/>
        </w:rPr>
        <w:t>a</w:t>
      </w:r>
      <w:r>
        <w:rPr>
          <w:rFonts w:ascii="Times New Roman" w:hAnsi="Times New Roman"/>
          <w:i/>
          <w:sz w:val="24"/>
        </w:rPr>
        <w:t xml:space="preserve"> Company </w:t>
      </w:r>
      <w:r>
        <w:rPr>
          <w:rFonts w:ascii="Times New Roman" w:hAnsi="Times New Roman"/>
          <w:sz w:val="24"/>
        </w:rPr>
        <w:t xml:space="preserve">in circumstances where the situation is the converse that </w:t>
      </w:r>
      <w:r w:rsidR="00886270">
        <w:rPr>
          <w:rFonts w:ascii="Times New Roman" w:hAnsi="Times New Roman"/>
          <w:sz w:val="24"/>
        </w:rPr>
        <w:t xml:space="preserve">that arose in </w:t>
      </w:r>
      <w:r w:rsidR="00886270">
        <w:rPr>
          <w:rFonts w:ascii="Times New Roman" w:hAnsi="Times New Roman"/>
          <w:i/>
          <w:sz w:val="24"/>
        </w:rPr>
        <w:t xml:space="preserve">Re </w:t>
      </w:r>
      <w:r w:rsidR="00BA25DF">
        <w:rPr>
          <w:rFonts w:ascii="Times New Roman" w:hAnsi="Times New Roman"/>
          <w:i/>
          <w:sz w:val="24"/>
        </w:rPr>
        <w:t>a</w:t>
      </w:r>
      <w:r w:rsidR="00886270">
        <w:rPr>
          <w:rFonts w:ascii="Times New Roman" w:hAnsi="Times New Roman"/>
          <w:i/>
          <w:sz w:val="24"/>
        </w:rPr>
        <w:t xml:space="preserve"> Company, </w:t>
      </w:r>
      <w:r w:rsidR="00886270">
        <w:rPr>
          <w:rFonts w:ascii="Times New Roman" w:hAnsi="Times New Roman"/>
          <w:sz w:val="24"/>
        </w:rPr>
        <w:t xml:space="preserve">in which case the </w:t>
      </w:r>
      <w:r w:rsidR="00A82D04">
        <w:rPr>
          <w:rFonts w:ascii="Times New Roman" w:hAnsi="Times New Roman"/>
          <w:sz w:val="24"/>
        </w:rPr>
        <w:t>c</w:t>
      </w:r>
      <w:r w:rsidR="00886270">
        <w:rPr>
          <w:rFonts w:ascii="Times New Roman" w:hAnsi="Times New Roman"/>
          <w:sz w:val="24"/>
        </w:rPr>
        <w:t xml:space="preserve">ompany was seeking to be permitted to participate in the proceedings.  </w:t>
      </w:r>
    </w:p>
    <w:p w14:paraId="61CEFC3B" w14:textId="6E4DF33D" w:rsidR="000D6EFD" w:rsidRDefault="00886270" w:rsidP="00463A20">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The trial judge </w:t>
      </w:r>
      <w:r w:rsidR="00DC2662">
        <w:rPr>
          <w:rFonts w:ascii="Times New Roman" w:hAnsi="Times New Roman"/>
          <w:sz w:val="24"/>
        </w:rPr>
        <w:t>then concluded as follows</w:t>
      </w:r>
      <w:r>
        <w:rPr>
          <w:rFonts w:ascii="Times New Roman" w:hAnsi="Times New Roman"/>
          <w:sz w:val="24"/>
        </w:rPr>
        <w:t>, at para. 52, p.</w:t>
      </w:r>
      <w:r w:rsidR="00CC6668">
        <w:rPr>
          <w:rFonts w:ascii="Times New Roman" w:hAnsi="Times New Roman"/>
          <w:sz w:val="24"/>
        </w:rPr>
        <w:t xml:space="preserve"> </w:t>
      </w:r>
      <w:r>
        <w:rPr>
          <w:rFonts w:ascii="Times New Roman" w:hAnsi="Times New Roman"/>
          <w:sz w:val="24"/>
        </w:rPr>
        <w:t>26 of the judgment</w:t>
      </w:r>
      <w:r w:rsidR="00DC2662">
        <w:rPr>
          <w:rFonts w:ascii="Times New Roman" w:hAnsi="Times New Roman"/>
          <w:sz w:val="24"/>
        </w:rPr>
        <w:t>:</w:t>
      </w:r>
    </w:p>
    <w:p w14:paraId="283DF1C5" w14:textId="1DF5EB9D" w:rsidR="00886270" w:rsidRDefault="0063264E" w:rsidP="00463A20">
      <w:pPr>
        <w:pStyle w:val="ListParagraph"/>
        <w:tabs>
          <w:tab w:val="left" w:pos="567"/>
        </w:tabs>
        <w:spacing w:line="480" w:lineRule="auto"/>
        <w:ind w:left="567"/>
        <w:rPr>
          <w:rFonts w:ascii="Times New Roman" w:hAnsi="Times New Roman"/>
          <w:sz w:val="24"/>
        </w:rPr>
      </w:pPr>
      <w:r>
        <w:rPr>
          <w:rFonts w:ascii="Times New Roman" w:hAnsi="Times New Roman"/>
          <w:sz w:val="24"/>
        </w:rPr>
        <w:tab/>
      </w:r>
      <w:r w:rsidR="00886270">
        <w:rPr>
          <w:rFonts w:ascii="Times New Roman" w:hAnsi="Times New Roman"/>
          <w:sz w:val="24"/>
        </w:rPr>
        <w:t>“</w:t>
      </w:r>
      <w:r w:rsidR="00886270" w:rsidRPr="00886270">
        <w:rPr>
          <w:rFonts w:ascii="Times New Roman" w:hAnsi="Times New Roman"/>
          <w:sz w:val="24"/>
        </w:rPr>
        <w:t>On this application, I consider that the Court’s function is to assess all of the evidence and make a determination as to whether, in the particular circumstances of this case, the Court can conclude, on the</w:t>
      </w:r>
      <w:r w:rsidR="00886270">
        <w:rPr>
          <w:rFonts w:ascii="Times New Roman" w:hAnsi="Times New Roman"/>
          <w:sz w:val="24"/>
        </w:rPr>
        <w:t xml:space="preserve"> balance of probabilities, that</w:t>
      </w:r>
      <w:r w:rsidR="00886270" w:rsidRPr="00886270">
        <w:rPr>
          <w:rFonts w:ascii="Times New Roman" w:hAnsi="Times New Roman"/>
          <w:sz w:val="24"/>
        </w:rPr>
        <w:t xml:space="preserve"> in their response to the petitioners’ contention that the use of the resources of Holdings by the Director Respondents to fund their defence would constitute a misfeasance, the Director Respondents have met the necessity or expediency test.</w:t>
      </w:r>
    </w:p>
    <w:p w14:paraId="5C2706D6" w14:textId="6BE7DA5D" w:rsidR="00886270" w:rsidRDefault="00886270" w:rsidP="00463A20">
      <w:pPr>
        <w:pStyle w:val="ListParagraph"/>
        <w:tabs>
          <w:tab w:val="left" w:pos="567"/>
        </w:tabs>
        <w:spacing w:line="480" w:lineRule="auto"/>
        <w:ind w:left="567"/>
        <w:rPr>
          <w:rFonts w:ascii="Times New Roman" w:hAnsi="Times New Roman"/>
          <w:sz w:val="24"/>
        </w:rPr>
      </w:pPr>
      <w:r w:rsidRPr="00886270">
        <w:rPr>
          <w:rFonts w:ascii="Times New Roman" w:hAnsi="Times New Roman"/>
          <w:sz w:val="24"/>
        </w:rPr>
        <w:t>It is probably not an exaggeration to state that the s. 205 Proceedings are unique having regard to the existence of the Related Proceedings</w:t>
      </w:r>
      <w:r>
        <w:rPr>
          <w:rFonts w:ascii="Times New Roman" w:hAnsi="Times New Roman"/>
          <w:sz w:val="24"/>
        </w:rPr>
        <w:t xml:space="preserve"> </w:t>
      </w:r>
      <w:r w:rsidRPr="00886270">
        <w:rPr>
          <w:rFonts w:ascii="Times New Roman" w:hAnsi="Times New Roman"/>
          <w:sz w:val="24"/>
        </w:rPr>
        <w:t xml:space="preserve">and the connection between some of the reliefs sought on the petition and the objective of the Related Proceedings. What cannot be gainsaid is that, in the overall context of all of the proceedings before the Court, the s. 205 Proceedings are very unusual. The fact is that Holdings and the Bank are participating in the 2011 </w:t>
      </w:r>
      <w:r w:rsidR="00DC2662">
        <w:rPr>
          <w:rFonts w:ascii="Times New Roman" w:hAnsi="Times New Roman"/>
          <w:sz w:val="24"/>
        </w:rPr>
        <w:t>a</w:t>
      </w:r>
      <w:r w:rsidRPr="00886270">
        <w:rPr>
          <w:rFonts w:ascii="Times New Roman" w:hAnsi="Times New Roman"/>
          <w:sz w:val="24"/>
        </w:rPr>
        <w:t xml:space="preserve">pplication, albeit for a </w:t>
      </w:r>
      <w:r w:rsidR="0063264E">
        <w:rPr>
          <w:rFonts w:ascii="Times New Roman" w:hAnsi="Times New Roman"/>
          <w:sz w:val="24"/>
        </w:rPr>
        <w:t>‘</w:t>
      </w:r>
      <w:r w:rsidRPr="00886270">
        <w:rPr>
          <w:rFonts w:ascii="Times New Roman" w:hAnsi="Times New Roman"/>
          <w:sz w:val="24"/>
        </w:rPr>
        <w:t>limited an</w:t>
      </w:r>
      <w:r>
        <w:rPr>
          <w:rFonts w:ascii="Times New Roman" w:hAnsi="Times New Roman"/>
          <w:sz w:val="24"/>
        </w:rPr>
        <w:t>d specific role</w:t>
      </w:r>
      <w:r w:rsidR="0063264E">
        <w:rPr>
          <w:rFonts w:ascii="Times New Roman" w:hAnsi="Times New Roman"/>
          <w:sz w:val="24"/>
        </w:rPr>
        <w:t>’</w:t>
      </w:r>
      <w:r>
        <w:rPr>
          <w:rFonts w:ascii="Times New Roman" w:hAnsi="Times New Roman"/>
          <w:sz w:val="24"/>
        </w:rPr>
        <w:t xml:space="preserve">, unless, in </w:t>
      </w:r>
      <w:r w:rsidRPr="00886270">
        <w:rPr>
          <w:rFonts w:ascii="Times New Roman" w:hAnsi="Times New Roman"/>
          <w:sz w:val="24"/>
        </w:rPr>
        <w:t xml:space="preserve">sequence of the appeal to the Supreme Court which is pending, that role is </w:t>
      </w:r>
      <w:r w:rsidRPr="00886270">
        <w:rPr>
          <w:rFonts w:ascii="Times New Roman" w:hAnsi="Times New Roman"/>
          <w:sz w:val="24"/>
        </w:rPr>
        <w:lastRenderedPageBreak/>
        <w:t xml:space="preserve">broadened. The Bank, which is the only asset of Holdings, was a notice party on the 2012 Application which, for present purposes, it is assumed will be the subject of an appeal to the Supreme Court. Irrespective of the contention of Mr. </w:t>
      </w:r>
      <w:proofErr w:type="spellStart"/>
      <w:r w:rsidRPr="00886270">
        <w:rPr>
          <w:rFonts w:ascii="Times New Roman" w:hAnsi="Times New Roman"/>
          <w:sz w:val="24"/>
        </w:rPr>
        <w:t>Skoczylas</w:t>
      </w:r>
      <w:proofErr w:type="spellEnd"/>
      <w:r w:rsidRPr="00886270">
        <w:rPr>
          <w:rFonts w:ascii="Times New Roman" w:hAnsi="Times New Roman"/>
          <w:sz w:val="24"/>
        </w:rPr>
        <w:t xml:space="preserve"> to the contrary, the reliefs which the petitioners seek in the s. 205 Proceedings are framed in a manner w</w:t>
      </w:r>
      <w:r>
        <w:rPr>
          <w:rFonts w:ascii="Times New Roman" w:hAnsi="Times New Roman"/>
          <w:sz w:val="24"/>
        </w:rPr>
        <w:t xml:space="preserve">hich </w:t>
      </w:r>
      <w:r w:rsidRPr="00886270">
        <w:rPr>
          <w:rFonts w:ascii="Times New Roman" w:hAnsi="Times New Roman"/>
          <w:sz w:val="24"/>
        </w:rPr>
        <w:t xml:space="preserve">would appear is intended to impugn the validity of the July 2011 Direction Order, which is the subject of the 2011 Application, and of the March 2012 Direction Order, which is the subject of the 2012 Application. In those circumstances, it has to be expedient and it is probably necessary that Mr. </w:t>
      </w:r>
      <w:proofErr w:type="spellStart"/>
      <w:r w:rsidRPr="00886270">
        <w:rPr>
          <w:rFonts w:ascii="Times New Roman" w:hAnsi="Times New Roman"/>
          <w:sz w:val="24"/>
        </w:rPr>
        <w:t>MacCarthy</w:t>
      </w:r>
      <w:proofErr w:type="spellEnd"/>
      <w:r w:rsidRPr="00886270">
        <w:rPr>
          <w:rFonts w:ascii="Times New Roman" w:hAnsi="Times New Roman"/>
          <w:sz w:val="24"/>
        </w:rPr>
        <w:t>, who has appeared for Holdings and the Bank on the 2011 Application and for the Bank on the 2012 Application, should appear for the Director Respondents in the s. 205 Proceedings.</w:t>
      </w:r>
      <w:r>
        <w:rPr>
          <w:rFonts w:ascii="Times New Roman" w:hAnsi="Times New Roman"/>
          <w:sz w:val="24"/>
        </w:rPr>
        <w:t>”</w:t>
      </w:r>
    </w:p>
    <w:p w14:paraId="6D6761EF" w14:textId="18D68DAA" w:rsidR="00886270" w:rsidRPr="0063264E" w:rsidRDefault="00DC2662" w:rsidP="00463A20">
      <w:pPr>
        <w:pStyle w:val="ListParagraph"/>
        <w:numPr>
          <w:ilvl w:val="0"/>
          <w:numId w:val="1"/>
        </w:numPr>
        <w:tabs>
          <w:tab w:val="left" w:pos="567"/>
        </w:tabs>
        <w:spacing w:line="480" w:lineRule="auto"/>
        <w:ind w:left="0" w:firstLine="0"/>
        <w:rPr>
          <w:rFonts w:ascii="Times New Roman" w:hAnsi="Times New Roman" w:cs="Times New Roman"/>
          <w:sz w:val="24"/>
          <w:szCs w:val="24"/>
        </w:rPr>
      </w:pPr>
      <w:r w:rsidRPr="0063264E">
        <w:rPr>
          <w:rFonts w:ascii="Times New Roman" w:hAnsi="Times New Roman" w:cs="Times New Roman"/>
          <w:sz w:val="24"/>
          <w:szCs w:val="24"/>
        </w:rPr>
        <w:t>The trial judge then resumed with consideration of t</w:t>
      </w:r>
      <w:r w:rsidR="00886270" w:rsidRPr="0063264E">
        <w:rPr>
          <w:rFonts w:ascii="Times New Roman" w:hAnsi="Times New Roman" w:cs="Times New Roman"/>
          <w:sz w:val="24"/>
          <w:szCs w:val="24"/>
        </w:rPr>
        <w:t>he fifth of the principles referred to by Lindsay J.</w:t>
      </w:r>
      <w:r w:rsidRPr="0063264E">
        <w:rPr>
          <w:rFonts w:ascii="Times New Roman" w:hAnsi="Times New Roman" w:cs="Times New Roman"/>
          <w:sz w:val="24"/>
          <w:szCs w:val="24"/>
        </w:rPr>
        <w:t>, noting that it</w:t>
      </w:r>
      <w:r w:rsidR="00886270" w:rsidRPr="0063264E">
        <w:rPr>
          <w:rFonts w:ascii="Times New Roman" w:hAnsi="Times New Roman" w:cs="Times New Roman"/>
          <w:sz w:val="24"/>
          <w:szCs w:val="24"/>
        </w:rPr>
        <w:t xml:space="preserve"> was not directly relevant insofar as in this case </w:t>
      </w:r>
      <w:r w:rsidR="00F078A5" w:rsidRPr="0063264E">
        <w:rPr>
          <w:rFonts w:ascii="Times New Roman" w:hAnsi="Times New Roman" w:cs="Times New Roman"/>
          <w:sz w:val="24"/>
          <w:szCs w:val="24"/>
        </w:rPr>
        <w:t>the company concerned was not seeking approval from the court for participation o</w:t>
      </w:r>
      <w:r w:rsidR="0017169B">
        <w:rPr>
          <w:rFonts w:ascii="Times New Roman" w:hAnsi="Times New Roman" w:cs="Times New Roman"/>
          <w:sz w:val="24"/>
          <w:szCs w:val="24"/>
        </w:rPr>
        <w:t xml:space="preserve">r </w:t>
      </w:r>
      <w:r w:rsidR="00F078A5" w:rsidRPr="0063264E">
        <w:rPr>
          <w:rFonts w:ascii="Times New Roman" w:hAnsi="Times New Roman" w:cs="Times New Roman"/>
          <w:sz w:val="24"/>
          <w:szCs w:val="24"/>
        </w:rPr>
        <w:t>expenditure in advance of the s.205 proceedings.  However, the trial judge noted that the petitioners</w:t>
      </w:r>
      <w:r w:rsidR="0017169B">
        <w:rPr>
          <w:rFonts w:ascii="Times New Roman" w:hAnsi="Times New Roman" w:cs="Times New Roman"/>
          <w:sz w:val="24"/>
          <w:szCs w:val="24"/>
        </w:rPr>
        <w:t>, by this application,</w:t>
      </w:r>
      <w:r w:rsidR="00F078A5" w:rsidRPr="0063264E">
        <w:rPr>
          <w:rFonts w:ascii="Times New Roman" w:hAnsi="Times New Roman" w:cs="Times New Roman"/>
          <w:sz w:val="24"/>
          <w:szCs w:val="24"/>
        </w:rPr>
        <w:t xml:space="preserve"> are seeking not interlocutory relief, but orders of a permanent nature.  This was most particularly the case as regards the third order sought.  </w:t>
      </w:r>
      <w:r w:rsidRPr="0063264E">
        <w:rPr>
          <w:rFonts w:ascii="Times New Roman" w:hAnsi="Times New Roman" w:cs="Times New Roman"/>
          <w:sz w:val="24"/>
          <w:szCs w:val="24"/>
        </w:rPr>
        <w:t>The trial judge held</w:t>
      </w:r>
      <w:r w:rsidR="00F078A5" w:rsidRPr="0063264E">
        <w:rPr>
          <w:rFonts w:ascii="Times New Roman" w:hAnsi="Times New Roman" w:cs="Times New Roman"/>
          <w:sz w:val="24"/>
          <w:szCs w:val="24"/>
        </w:rPr>
        <w:t>:</w:t>
      </w:r>
    </w:p>
    <w:p w14:paraId="66E8B911" w14:textId="09EDFBD7" w:rsidR="00F078A5" w:rsidRPr="00F078A5" w:rsidRDefault="00F078A5" w:rsidP="00463A20">
      <w:pPr>
        <w:pStyle w:val="ListParagraph"/>
        <w:tabs>
          <w:tab w:val="left" w:pos="567"/>
        </w:tabs>
        <w:spacing w:line="480" w:lineRule="auto"/>
        <w:ind w:left="567"/>
        <w:rPr>
          <w:rFonts w:ascii="Times New Roman" w:hAnsi="Times New Roman"/>
          <w:sz w:val="24"/>
        </w:rPr>
      </w:pPr>
      <w:r>
        <w:rPr>
          <w:rFonts w:ascii="Times New Roman" w:hAnsi="Times New Roman"/>
          <w:sz w:val="24"/>
        </w:rPr>
        <w:tab/>
        <w:t>“</w:t>
      </w:r>
      <w:r w:rsidRPr="00F078A5">
        <w:rPr>
          <w:rFonts w:ascii="Times New Roman" w:hAnsi="Times New Roman"/>
          <w:sz w:val="24"/>
        </w:rPr>
        <w:t xml:space="preserve">If it were the case that the petitioners were merely seeking to preclude the Director Respondents from obtaining financial assistance from Holdings or the Bank in aid of the defence of the proceedings pending the determination of the s. 205 Proceedings, it would be necessary for the Court to determine whether the balance of justice favoured the grant or refusal of such a </w:t>
      </w:r>
      <w:proofErr w:type="spellStart"/>
      <w:r w:rsidRPr="00F078A5">
        <w:rPr>
          <w:rFonts w:ascii="Times New Roman" w:hAnsi="Times New Roman"/>
          <w:sz w:val="24"/>
        </w:rPr>
        <w:t>prohibitory</w:t>
      </w:r>
      <w:proofErr w:type="spellEnd"/>
      <w:r w:rsidRPr="00F078A5">
        <w:rPr>
          <w:rFonts w:ascii="Times New Roman" w:hAnsi="Times New Roman"/>
          <w:sz w:val="24"/>
        </w:rPr>
        <w:t xml:space="preserve"> order. I cannot see how the balance of justice would favour granting such an order, given that liability for costs would have to be determined by the trial judge in due course. If it is the case that the petitioners are successful </w:t>
      </w:r>
      <w:r>
        <w:rPr>
          <w:rFonts w:ascii="Times New Roman" w:hAnsi="Times New Roman"/>
          <w:sz w:val="24"/>
        </w:rPr>
        <w:t xml:space="preserve">as </w:t>
      </w:r>
      <w:r w:rsidRPr="00F078A5">
        <w:rPr>
          <w:rFonts w:ascii="Times New Roman" w:hAnsi="Times New Roman"/>
          <w:sz w:val="24"/>
        </w:rPr>
        <w:t xml:space="preserve">against the Director Respondents in the substantive </w:t>
      </w:r>
      <w:r w:rsidRPr="00F078A5">
        <w:rPr>
          <w:rFonts w:ascii="Times New Roman" w:hAnsi="Times New Roman"/>
          <w:sz w:val="24"/>
        </w:rPr>
        <w:lastRenderedPageBreak/>
        <w:t xml:space="preserve">proceedings, insofar as it is necessary to do so, an application may be made to the trial judge at that stage for an order directing the Director Respondents to reimburse Holdings or the Bank as the case may be, as happened in the case of </w:t>
      </w:r>
      <w:r w:rsidRPr="00F078A5">
        <w:rPr>
          <w:rFonts w:ascii="Times New Roman" w:hAnsi="Times New Roman"/>
          <w:i/>
          <w:sz w:val="24"/>
        </w:rPr>
        <w:t>Charles Kelly Limited</w:t>
      </w:r>
      <w:r>
        <w:rPr>
          <w:rFonts w:ascii="Times New Roman" w:hAnsi="Times New Roman"/>
          <w:sz w:val="24"/>
        </w:rPr>
        <w:t>.”</w:t>
      </w:r>
    </w:p>
    <w:p w14:paraId="4FB61D07" w14:textId="077FC925" w:rsidR="002B07F5" w:rsidRDefault="00F078A5" w:rsidP="00463A20">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The trial judge went on to say that even if this application is treated as one seeking interlocutory </w:t>
      </w:r>
      <w:proofErr w:type="spellStart"/>
      <w:r>
        <w:rPr>
          <w:rFonts w:ascii="Times New Roman" w:hAnsi="Times New Roman"/>
          <w:sz w:val="24"/>
        </w:rPr>
        <w:t>prohibitory</w:t>
      </w:r>
      <w:proofErr w:type="spellEnd"/>
      <w:r>
        <w:rPr>
          <w:rFonts w:ascii="Times New Roman" w:hAnsi="Times New Roman"/>
          <w:sz w:val="24"/>
        </w:rPr>
        <w:t xml:space="preserve"> injunctions, there could be no injustice to the petitioners in refusing the application.  At para. 53, she stated:</w:t>
      </w:r>
    </w:p>
    <w:p w14:paraId="4C54493D" w14:textId="70F82DAB" w:rsidR="00F078A5" w:rsidRPr="000A24A9" w:rsidRDefault="00BD2F0B" w:rsidP="00463A20">
      <w:pPr>
        <w:pStyle w:val="ListParagraph"/>
        <w:tabs>
          <w:tab w:val="left" w:pos="567"/>
        </w:tabs>
        <w:spacing w:line="480" w:lineRule="auto"/>
        <w:ind w:left="567"/>
        <w:rPr>
          <w:rFonts w:ascii="Times New Roman" w:hAnsi="Times New Roman"/>
          <w:sz w:val="24"/>
        </w:rPr>
      </w:pPr>
      <w:r>
        <w:rPr>
          <w:rFonts w:ascii="Times New Roman" w:hAnsi="Times New Roman"/>
          <w:sz w:val="24"/>
        </w:rPr>
        <w:tab/>
      </w:r>
      <w:r w:rsidR="00F078A5">
        <w:rPr>
          <w:rFonts w:ascii="Times New Roman" w:hAnsi="Times New Roman"/>
          <w:sz w:val="24"/>
        </w:rPr>
        <w:t>“</w:t>
      </w:r>
      <w:r w:rsidR="00F078A5" w:rsidRPr="00F078A5">
        <w:rPr>
          <w:rFonts w:ascii="Times New Roman" w:hAnsi="Times New Roman"/>
          <w:sz w:val="24"/>
        </w:rPr>
        <w:t xml:space="preserve">On the other hand, if the petitioners are unsuccessful and costs are awarded against them in favour of the Director Respondents, and the orders sought have been granted on an interlocutory basis, but without any undertaking as to damages having been proffered by the petitioners, the Director Respondents could suffer injustice by being without a remedy. If the circumstances were such that the Director Respondents would have required to have been funded by Holdings or the Bank but could not be so funded because of the existence of the </w:t>
      </w:r>
      <w:proofErr w:type="spellStart"/>
      <w:r w:rsidR="00F078A5" w:rsidRPr="00F078A5">
        <w:rPr>
          <w:rFonts w:ascii="Times New Roman" w:hAnsi="Times New Roman"/>
          <w:sz w:val="24"/>
        </w:rPr>
        <w:t>prohibitory</w:t>
      </w:r>
      <w:proofErr w:type="spellEnd"/>
      <w:r w:rsidR="00F078A5" w:rsidRPr="00F078A5">
        <w:rPr>
          <w:rFonts w:ascii="Times New Roman" w:hAnsi="Times New Roman"/>
          <w:sz w:val="24"/>
        </w:rPr>
        <w:t xml:space="preserve"> orders, and if they incurred loss in consequence in respect of which they would have no remedy against the petitioners, the Director Respondents would have been treated unjustly by the making of the </w:t>
      </w:r>
      <w:proofErr w:type="spellStart"/>
      <w:r w:rsidR="00F078A5" w:rsidRPr="00F078A5">
        <w:rPr>
          <w:rFonts w:ascii="Times New Roman" w:hAnsi="Times New Roman"/>
          <w:sz w:val="24"/>
        </w:rPr>
        <w:t>prohibitory</w:t>
      </w:r>
      <w:proofErr w:type="spellEnd"/>
      <w:r w:rsidR="00F078A5" w:rsidRPr="00F078A5">
        <w:rPr>
          <w:rFonts w:ascii="Times New Roman" w:hAnsi="Times New Roman"/>
          <w:sz w:val="24"/>
        </w:rPr>
        <w:t xml:space="preserve"> orders. However, all of that is hypothetical if the Director Respondents’ position that they do not have to have recourse to either Holdings or the Bank to fund their defence of the s. 205 Proceedings because they have insurance cover is correct.</w:t>
      </w:r>
      <w:r w:rsidR="00F078A5">
        <w:rPr>
          <w:rFonts w:ascii="Times New Roman" w:hAnsi="Times New Roman"/>
          <w:sz w:val="24"/>
        </w:rPr>
        <w:t>”</w:t>
      </w:r>
    </w:p>
    <w:p w14:paraId="07772DF6" w14:textId="59DA6ABA" w:rsidR="00FD17D4" w:rsidRDefault="00F078A5" w:rsidP="00463A20">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As </w:t>
      </w:r>
      <w:r w:rsidR="00FD17D4">
        <w:rPr>
          <w:rFonts w:ascii="Times New Roman" w:hAnsi="Times New Roman"/>
          <w:sz w:val="24"/>
        </w:rPr>
        <w:t>regards the application of the P</w:t>
      </w:r>
      <w:r>
        <w:rPr>
          <w:rFonts w:ascii="Times New Roman" w:hAnsi="Times New Roman"/>
          <w:sz w:val="24"/>
        </w:rPr>
        <w:t xml:space="preserve">olicy, </w:t>
      </w:r>
      <w:r w:rsidR="00FD17D4">
        <w:rPr>
          <w:rFonts w:ascii="Times New Roman" w:hAnsi="Times New Roman"/>
          <w:sz w:val="24"/>
        </w:rPr>
        <w:t xml:space="preserve">the trial judge considered the arguments advanced by the petitioners as to why this could not be relied upon by the Director Respondents in answer to this application.  She noted the primary argument advanced by Mr. </w:t>
      </w:r>
      <w:proofErr w:type="spellStart"/>
      <w:r w:rsidR="00FD17D4">
        <w:rPr>
          <w:rFonts w:ascii="Times New Roman" w:hAnsi="Times New Roman"/>
          <w:sz w:val="24"/>
        </w:rPr>
        <w:t>Skoczylas</w:t>
      </w:r>
      <w:proofErr w:type="spellEnd"/>
      <w:r w:rsidR="00FD17D4">
        <w:rPr>
          <w:rFonts w:ascii="Times New Roman" w:hAnsi="Times New Roman"/>
          <w:sz w:val="24"/>
        </w:rPr>
        <w:t xml:space="preserve"> was that the Policy is a limited “</w:t>
      </w:r>
      <w:r w:rsidR="005942B9">
        <w:rPr>
          <w:rFonts w:ascii="Times New Roman" w:hAnsi="Times New Roman"/>
          <w:sz w:val="24"/>
        </w:rPr>
        <w:t>‘</w:t>
      </w:r>
      <w:r w:rsidR="00FD17D4">
        <w:rPr>
          <w:rFonts w:ascii="Times New Roman" w:hAnsi="Times New Roman"/>
          <w:sz w:val="24"/>
        </w:rPr>
        <w:t>run</w:t>
      </w:r>
      <w:r w:rsidR="005942B9">
        <w:rPr>
          <w:rFonts w:ascii="Times New Roman" w:hAnsi="Times New Roman"/>
          <w:sz w:val="24"/>
        </w:rPr>
        <w:t>-</w:t>
      </w:r>
      <w:r w:rsidR="00FD17D4">
        <w:rPr>
          <w:rFonts w:ascii="Times New Roman" w:hAnsi="Times New Roman"/>
          <w:sz w:val="24"/>
        </w:rPr>
        <w:t>o</w:t>
      </w:r>
      <w:r w:rsidR="005942B9">
        <w:rPr>
          <w:rFonts w:ascii="Times New Roman" w:hAnsi="Times New Roman"/>
          <w:sz w:val="24"/>
        </w:rPr>
        <w:t>f</w:t>
      </w:r>
      <w:r w:rsidR="00FD17D4">
        <w:rPr>
          <w:rFonts w:ascii="Times New Roman" w:hAnsi="Times New Roman"/>
          <w:sz w:val="24"/>
        </w:rPr>
        <w:t>f</w:t>
      </w:r>
      <w:r w:rsidR="005942B9">
        <w:rPr>
          <w:rFonts w:ascii="Times New Roman" w:hAnsi="Times New Roman"/>
          <w:sz w:val="24"/>
        </w:rPr>
        <w:t>’</w:t>
      </w:r>
      <w:r w:rsidR="00FD17D4">
        <w:rPr>
          <w:rFonts w:ascii="Times New Roman" w:hAnsi="Times New Roman"/>
          <w:sz w:val="24"/>
        </w:rPr>
        <w:t xml:space="preserve"> policy that does not cover any wrongful act committed after 27</w:t>
      </w:r>
      <w:r w:rsidR="00FD17D4" w:rsidRPr="00FD17D4">
        <w:rPr>
          <w:rFonts w:ascii="Times New Roman" w:hAnsi="Times New Roman"/>
          <w:sz w:val="24"/>
          <w:vertAlign w:val="superscript"/>
        </w:rPr>
        <w:t>th</w:t>
      </w:r>
      <w:r w:rsidR="00FD17D4">
        <w:rPr>
          <w:rFonts w:ascii="Times New Roman" w:hAnsi="Times New Roman"/>
          <w:sz w:val="24"/>
        </w:rPr>
        <w:t xml:space="preserve"> July</w:t>
      </w:r>
      <w:r w:rsidR="005942B9">
        <w:rPr>
          <w:rFonts w:ascii="Times New Roman" w:hAnsi="Times New Roman"/>
          <w:sz w:val="24"/>
        </w:rPr>
        <w:t>,</w:t>
      </w:r>
      <w:r w:rsidR="00FD17D4">
        <w:rPr>
          <w:rFonts w:ascii="Times New Roman" w:hAnsi="Times New Roman"/>
          <w:sz w:val="24"/>
        </w:rPr>
        <w:t xml:space="preserve"> 2011</w:t>
      </w:r>
      <w:r w:rsidR="005942B9">
        <w:rPr>
          <w:rFonts w:ascii="Times New Roman" w:hAnsi="Times New Roman"/>
          <w:sz w:val="24"/>
        </w:rPr>
        <w:t>”</w:t>
      </w:r>
      <w:r w:rsidR="00FD17D4">
        <w:rPr>
          <w:rFonts w:ascii="Times New Roman" w:hAnsi="Times New Roman"/>
          <w:sz w:val="24"/>
        </w:rPr>
        <w:t xml:space="preserve">, </w:t>
      </w:r>
      <w:r w:rsidR="005942B9">
        <w:rPr>
          <w:rFonts w:ascii="Times New Roman" w:hAnsi="Times New Roman"/>
          <w:sz w:val="24"/>
        </w:rPr>
        <w:t>and</w:t>
      </w:r>
      <w:r w:rsidR="00FD17D4">
        <w:rPr>
          <w:rFonts w:ascii="Times New Roman" w:hAnsi="Times New Roman"/>
          <w:sz w:val="24"/>
        </w:rPr>
        <w:t xml:space="preserve"> in the submission of Mr. </w:t>
      </w:r>
      <w:proofErr w:type="spellStart"/>
      <w:r w:rsidR="00FD17D4">
        <w:rPr>
          <w:rFonts w:ascii="Times New Roman" w:hAnsi="Times New Roman"/>
          <w:sz w:val="24"/>
        </w:rPr>
        <w:t>Skoczylas</w:t>
      </w:r>
      <w:proofErr w:type="spellEnd"/>
      <w:r w:rsidR="00FD17D4">
        <w:rPr>
          <w:rFonts w:ascii="Times New Roman" w:hAnsi="Times New Roman"/>
          <w:sz w:val="24"/>
        </w:rPr>
        <w:t xml:space="preserve">, most of the wrongful acts were committed after that date.  The trial judge noted that there was a </w:t>
      </w:r>
      <w:r w:rsidR="00FD17D4">
        <w:rPr>
          <w:rFonts w:ascii="Times New Roman" w:hAnsi="Times New Roman"/>
          <w:sz w:val="24"/>
        </w:rPr>
        <w:lastRenderedPageBreak/>
        <w:t>dispute as to the accuracy of this contention, but in any case she determined that it was not the function of the court, in the absence of the insurer concerned</w:t>
      </w:r>
      <w:r w:rsidR="007848EE">
        <w:rPr>
          <w:rFonts w:ascii="Times New Roman" w:hAnsi="Times New Roman"/>
          <w:sz w:val="24"/>
        </w:rPr>
        <w:t>,</w:t>
      </w:r>
      <w:r w:rsidR="002829EE">
        <w:rPr>
          <w:rFonts w:ascii="Times New Roman" w:hAnsi="Times New Roman"/>
          <w:sz w:val="24"/>
        </w:rPr>
        <w:t xml:space="preserve"> </w:t>
      </w:r>
      <w:r w:rsidR="00FD17D4">
        <w:rPr>
          <w:rFonts w:ascii="Times New Roman" w:hAnsi="Times New Roman"/>
          <w:sz w:val="24"/>
        </w:rPr>
        <w:t>to construe the terms of the Policy, and that it would be entirely inappropriate for the court to purport to do so.  What she considered was appropriate was to have regard to the unequivocal commitment on the part of the insurer, AIG, in its letter of 3</w:t>
      </w:r>
      <w:r w:rsidR="00FD17D4" w:rsidRPr="00FD17D4">
        <w:rPr>
          <w:rFonts w:ascii="Times New Roman" w:hAnsi="Times New Roman"/>
          <w:sz w:val="24"/>
          <w:vertAlign w:val="superscript"/>
        </w:rPr>
        <w:t>rd</w:t>
      </w:r>
      <w:r w:rsidR="00FD17D4">
        <w:rPr>
          <w:rFonts w:ascii="Times New Roman" w:hAnsi="Times New Roman"/>
          <w:sz w:val="24"/>
        </w:rPr>
        <w:t xml:space="preserve"> May 2013 that:</w:t>
      </w:r>
    </w:p>
    <w:p w14:paraId="051C36E0" w14:textId="5315B4B4" w:rsidR="002B07F5" w:rsidRPr="000A24A9" w:rsidRDefault="009E3257" w:rsidP="00463A20">
      <w:pPr>
        <w:pStyle w:val="ListParagraph"/>
        <w:tabs>
          <w:tab w:val="left" w:pos="567"/>
        </w:tabs>
        <w:spacing w:line="480" w:lineRule="auto"/>
        <w:ind w:left="567"/>
        <w:rPr>
          <w:rFonts w:ascii="Times New Roman" w:hAnsi="Times New Roman"/>
          <w:sz w:val="24"/>
        </w:rPr>
      </w:pPr>
      <w:r>
        <w:rPr>
          <w:rFonts w:ascii="Times New Roman" w:hAnsi="Times New Roman"/>
          <w:sz w:val="24"/>
        </w:rPr>
        <w:tab/>
      </w:r>
      <w:r w:rsidR="00FD17D4">
        <w:rPr>
          <w:rFonts w:ascii="Times New Roman" w:hAnsi="Times New Roman"/>
          <w:sz w:val="24"/>
        </w:rPr>
        <w:t xml:space="preserve">“Until there is a judicial determination against all or some of the Director Respondents, or an admission of a wrongful act by the beneficiary of the indemnification under the Policy, full indemnity will be provided so that the costs of the defence of the s.205 proceedings will not be borne by Holdings, even in respect of the involvement of Mr. </w:t>
      </w:r>
      <w:proofErr w:type="spellStart"/>
      <w:r w:rsidR="00FD17D4">
        <w:rPr>
          <w:rFonts w:ascii="Times New Roman" w:hAnsi="Times New Roman"/>
          <w:sz w:val="24"/>
        </w:rPr>
        <w:t>MacCarthy</w:t>
      </w:r>
      <w:proofErr w:type="spellEnd"/>
      <w:r w:rsidR="00FD17D4">
        <w:rPr>
          <w:rFonts w:ascii="Times New Roman" w:hAnsi="Times New Roman"/>
          <w:sz w:val="24"/>
        </w:rPr>
        <w:t xml:space="preserve"> and his legal team.  If it ultimately transpires that the trial judge determines that some or all of the Director Respondents have committed wrongful acts and, as between AIG and Holdings, the indemnity is withdrawn, at that stage the petitioners may apply to the trial judge for such order as may be appropriate for the proper protection of the assets of Holdings.”</w:t>
      </w:r>
    </w:p>
    <w:p w14:paraId="0C4EA764" w14:textId="03872072" w:rsidR="002B07F5" w:rsidRDefault="00FD17D4" w:rsidP="00463A20">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Finally, the trial judge considered and took into account other arguments advanced </w:t>
      </w:r>
      <w:r w:rsidR="00B162DB">
        <w:rPr>
          <w:rFonts w:ascii="Times New Roman" w:hAnsi="Times New Roman"/>
          <w:sz w:val="24"/>
        </w:rPr>
        <w:t xml:space="preserve">on behalf of the petitioners.  These included an argument that the representation of the Director Respondents by Mr. </w:t>
      </w:r>
      <w:proofErr w:type="spellStart"/>
      <w:r w:rsidR="00B162DB">
        <w:rPr>
          <w:rFonts w:ascii="Times New Roman" w:hAnsi="Times New Roman"/>
          <w:sz w:val="24"/>
        </w:rPr>
        <w:t>MacCarthy</w:t>
      </w:r>
      <w:proofErr w:type="spellEnd"/>
      <w:r w:rsidR="00B162DB">
        <w:rPr>
          <w:rFonts w:ascii="Times New Roman" w:hAnsi="Times New Roman"/>
          <w:sz w:val="24"/>
        </w:rPr>
        <w:t xml:space="preserve"> involved a conflict of interest; that the resolution passed by the Bank on 29</w:t>
      </w:r>
      <w:r w:rsidR="00B162DB" w:rsidRPr="00B162DB">
        <w:rPr>
          <w:rFonts w:ascii="Times New Roman" w:hAnsi="Times New Roman"/>
          <w:sz w:val="24"/>
          <w:vertAlign w:val="superscript"/>
        </w:rPr>
        <w:t>th</w:t>
      </w:r>
      <w:r w:rsidR="00B162DB">
        <w:rPr>
          <w:rFonts w:ascii="Times New Roman" w:hAnsi="Times New Roman"/>
          <w:sz w:val="24"/>
        </w:rPr>
        <w:t xml:space="preserve"> January 2013 gave rise to a conflict of interest; </w:t>
      </w:r>
      <w:r w:rsidR="004D4E0D">
        <w:rPr>
          <w:rFonts w:ascii="Times New Roman" w:hAnsi="Times New Roman"/>
          <w:sz w:val="24"/>
        </w:rPr>
        <w:t xml:space="preserve">and </w:t>
      </w:r>
      <w:r w:rsidR="00B162DB">
        <w:rPr>
          <w:rFonts w:ascii="Times New Roman" w:hAnsi="Times New Roman"/>
          <w:sz w:val="24"/>
        </w:rPr>
        <w:t xml:space="preserve">that it was the </w:t>
      </w:r>
      <w:r w:rsidR="007848EE">
        <w:rPr>
          <w:rFonts w:ascii="Times New Roman" w:hAnsi="Times New Roman"/>
          <w:sz w:val="24"/>
        </w:rPr>
        <w:t>b</w:t>
      </w:r>
      <w:r w:rsidR="00B162DB">
        <w:rPr>
          <w:rFonts w:ascii="Times New Roman" w:hAnsi="Times New Roman"/>
          <w:sz w:val="24"/>
        </w:rPr>
        <w:t>oard of Holdings</w:t>
      </w:r>
      <w:r w:rsidR="004D4E0D">
        <w:rPr>
          <w:rFonts w:ascii="Times New Roman" w:hAnsi="Times New Roman"/>
          <w:sz w:val="24"/>
        </w:rPr>
        <w:t xml:space="preserve"> (and not the Bank)</w:t>
      </w:r>
      <w:r w:rsidR="00B162DB">
        <w:rPr>
          <w:rFonts w:ascii="Times New Roman" w:hAnsi="Times New Roman"/>
          <w:sz w:val="24"/>
        </w:rPr>
        <w:t xml:space="preserve">, of which Mr. </w:t>
      </w:r>
      <w:proofErr w:type="spellStart"/>
      <w:r w:rsidR="00B162DB">
        <w:rPr>
          <w:rFonts w:ascii="Times New Roman" w:hAnsi="Times New Roman"/>
          <w:sz w:val="24"/>
        </w:rPr>
        <w:t>Skoczylas</w:t>
      </w:r>
      <w:proofErr w:type="spellEnd"/>
      <w:r w:rsidR="00B162DB">
        <w:rPr>
          <w:rFonts w:ascii="Times New Roman" w:hAnsi="Times New Roman"/>
          <w:sz w:val="24"/>
        </w:rPr>
        <w:t xml:space="preserve"> was a member at that time</w:t>
      </w:r>
      <w:r w:rsidR="004D4E0D">
        <w:rPr>
          <w:rFonts w:ascii="Times New Roman" w:hAnsi="Times New Roman"/>
          <w:sz w:val="24"/>
        </w:rPr>
        <w:t xml:space="preserve">, that </w:t>
      </w:r>
      <w:r w:rsidR="00B162DB">
        <w:rPr>
          <w:rFonts w:ascii="Times New Roman" w:hAnsi="Times New Roman"/>
          <w:sz w:val="24"/>
        </w:rPr>
        <w:t xml:space="preserve">should have made that decision.  The trial judge considered that it was open to the petitioners to advance those arguments in the course of the hearing of the s.205 proceedings, if they wished to do so.  She did not consider it appropriate for her to address those arguments for the purpose of this application.  </w:t>
      </w:r>
    </w:p>
    <w:p w14:paraId="252958B7" w14:textId="69DB32CD" w:rsidR="00B162DB" w:rsidRPr="000A24A9" w:rsidRDefault="00B162DB" w:rsidP="00463A20">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The trial judge also considered </w:t>
      </w:r>
      <w:r w:rsidR="004D4E0D">
        <w:rPr>
          <w:rFonts w:ascii="Times New Roman" w:hAnsi="Times New Roman"/>
          <w:sz w:val="24"/>
        </w:rPr>
        <w:t>an</w:t>
      </w:r>
      <w:r>
        <w:rPr>
          <w:rFonts w:ascii="Times New Roman" w:hAnsi="Times New Roman"/>
          <w:sz w:val="24"/>
        </w:rPr>
        <w:t xml:space="preserve"> argument advanced by Mr. </w:t>
      </w:r>
      <w:proofErr w:type="spellStart"/>
      <w:r>
        <w:rPr>
          <w:rFonts w:ascii="Times New Roman" w:hAnsi="Times New Roman"/>
          <w:sz w:val="24"/>
        </w:rPr>
        <w:t>Skoczylas</w:t>
      </w:r>
      <w:proofErr w:type="spellEnd"/>
      <w:r>
        <w:rPr>
          <w:rFonts w:ascii="Times New Roman" w:hAnsi="Times New Roman"/>
          <w:sz w:val="24"/>
        </w:rPr>
        <w:t xml:space="preserve"> that the petitioners would be prejudiced if the Director Respondents are aided by Holdings because </w:t>
      </w:r>
      <w:r>
        <w:rPr>
          <w:rFonts w:ascii="Times New Roman" w:hAnsi="Times New Roman"/>
          <w:sz w:val="24"/>
        </w:rPr>
        <w:lastRenderedPageBreak/>
        <w:t xml:space="preserve">that would involve Holdings and its subsidiaries being engaged, </w:t>
      </w:r>
      <w:r w:rsidRPr="00B162DB">
        <w:rPr>
          <w:rFonts w:ascii="Times New Roman" w:hAnsi="Times New Roman"/>
          <w:i/>
          <w:sz w:val="24"/>
        </w:rPr>
        <w:t>de facto</w:t>
      </w:r>
      <w:r>
        <w:rPr>
          <w:rFonts w:ascii="Times New Roman" w:hAnsi="Times New Roman"/>
          <w:sz w:val="24"/>
        </w:rPr>
        <w:t xml:space="preserve">, in the s.205 proceedings against the wishes of the petitioners, who have not joined Holdings to the proceedings.  The trial judge noted the reliance by the petitioners on the decision of Clarke J. in </w:t>
      </w:r>
      <w:r>
        <w:rPr>
          <w:rFonts w:ascii="Times New Roman" w:hAnsi="Times New Roman"/>
          <w:i/>
          <w:sz w:val="24"/>
        </w:rPr>
        <w:t xml:space="preserve">Fitzpatrick &amp; Others v. F.K. &amp; Others </w:t>
      </w:r>
      <w:r>
        <w:rPr>
          <w:rFonts w:ascii="Times New Roman" w:hAnsi="Times New Roman"/>
          <w:sz w:val="24"/>
        </w:rPr>
        <w:t>[2007] 2 IR 406.  However, the trial judge determined that this was not relevant because neither Holdings nor the Bank are parties to the proceedings in any capacity, and in any event this argument is irrelevant if it is the case that the Director Respondents are not being aided by Holdings, but are relying on the Policy, which she considered to be the case.</w:t>
      </w:r>
    </w:p>
    <w:p w14:paraId="20101DAF" w14:textId="7B2AD8EF" w:rsidR="002B07F5" w:rsidRPr="00351380" w:rsidRDefault="00351380" w:rsidP="00463A20">
      <w:pPr>
        <w:pStyle w:val="ListParagraph"/>
        <w:tabs>
          <w:tab w:val="left" w:pos="567"/>
        </w:tabs>
        <w:spacing w:line="480" w:lineRule="auto"/>
        <w:ind w:left="0"/>
        <w:rPr>
          <w:rFonts w:ascii="Times New Roman" w:hAnsi="Times New Roman"/>
          <w:b/>
          <w:sz w:val="24"/>
          <w:u w:val="single"/>
        </w:rPr>
      </w:pPr>
      <w:r w:rsidRPr="00351380">
        <w:rPr>
          <w:rFonts w:ascii="Times New Roman" w:hAnsi="Times New Roman"/>
          <w:b/>
          <w:sz w:val="24"/>
          <w:u w:val="single"/>
        </w:rPr>
        <w:t>Notice of Appeal</w:t>
      </w:r>
      <w:r w:rsidR="00FD17D4" w:rsidRPr="00351380">
        <w:rPr>
          <w:rFonts w:ascii="Times New Roman" w:hAnsi="Times New Roman"/>
          <w:b/>
          <w:sz w:val="24"/>
          <w:u w:val="single"/>
        </w:rPr>
        <w:t xml:space="preserve"> </w:t>
      </w:r>
    </w:p>
    <w:p w14:paraId="5295FC93" w14:textId="7DED7D4F" w:rsidR="00FD17D4" w:rsidRDefault="00351380" w:rsidP="00463A20">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In their notice of appeal delivered on 11</w:t>
      </w:r>
      <w:r w:rsidRPr="00351380">
        <w:rPr>
          <w:rFonts w:ascii="Times New Roman" w:hAnsi="Times New Roman"/>
          <w:sz w:val="24"/>
          <w:vertAlign w:val="superscript"/>
        </w:rPr>
        <w:t>th</w:t>
      </w:r>
      <w:r>
        <w:rPr>
          <w:rFonts w:ascii="Times New Roman" w:hAnsi="Times New Roman"/>
          <w:sz w:val="24"/>
        </w:rPr>
        <w:t xml:space="preserve"> November 2013, the appellants identify eight grounds of appeal.  In their written submissions on this appeal, they reduce those grounds to four key issues as follows:</w:t>
      </w:r>
    </w:p>
    <w:p w14:paraId="71A781CA" w14:textId="2D2FBDB5" w:rsidR="00351380" w:rsidRDefault="00351380" w:rsidP="00463A20">
      <w:pPr>
        <w:pStyle w:val="ListParagraph"/>
        <w:numPr>
          <w:ilvl w:val="0"/>
          <w:numId w:val="4"/>
        </w:numPr>
        <w:tabs>
          <w:tab w:val="left" w:pos="567"/>
        </w:tabs>
        <w:spacing w:line="480" w:lineRule="auto"/>
        <w:ind w:left="1134" w:hanging="567"/>
        <w:rPr>
          <w:rFonts w:ascii="Times New Roman" w:hAnsi="Times New Roman"/>
          <w:sz w:val="24"/>
        </w:rPr>
      </w:pPr>
      <w:r>
        <w:rPr>
          <w:rFonts w:ascii="Times New Roman" w:hAnsi="Times New Roman"/>
          <w:sz w:val="24"/>
        </w:rPr>
        <w:t>Is it lawful for the Director Respondents to use the resources of Holdings</w:t>
      </w:r>
      <w:r w:rsidR="009561A1">
        <w:rPr>
          <w:rFonts w:ascii="Times New Roman" w:hAnsi="Times New Roman"/>
          <w:sz w:val="24"/>
        </w:rPr>
        <w:t>,</w:t>
      </w:r>
      <w:r>
        <w:rPr>
          <w:rFonts w:ascii="Times New Roman" w:hAnsi="Times New Roman"/>
          <w:sz w:val="24"/>
        </w:rPr>
        <w:t xml:space="preserve"> i.e. resources comprising salaried full time employees of Holdings to assist the Director Respondents in their defence of these proceedings in circumstances where neither Holdings nor the Bank are parties to these proceedings?;</w:t>
      </w:r>
    </w:p>
    <w:p w14:paraId="735302E1" w14:textId="2367AF85" w:rsidR="00351380" w:rsidRDefault="00351380" w:rsidP="00463A20">
      <w:pPr>
        <w:pStyle w:val="ListParagraph"/>
        <w:numPr>
          <w:ilvl w:val="0"/>
          <w:numId w:val="4"/>
        </w:numPr>
        <w:tabs>
          <w:tab w:val="left" w:pos="567"/>
        </w:tabs>
        <w:spacing w:line="480" w:lineRule="auto"/>
        <w:ind w:left="1134" w:hanging="567"/>
        <w:rPr>
          <w:rFonts w:ascii="Times New Roman" w:hAnsi="Times New Roman"/>
          <w:sz w:val="24"/>
        </w:rPr>
      </w:pPr>
      <w:r>
        <w:rPr>
          <w:rFonts w:ascii="Times New Roman" w:hAnsi="Times New Roman"/>
          <w:sz w:val="24"/>
        </w:rPr>
        <w:t xml:space="preserve">Did the trial judge err in taking into account the existence of the Policy, thereby disregarding the following principle articulated in </w:t>
      </w:r>
      <w:r w:rsidRPr="001B6339">
        <w:rPr>
          <w:rFonts w:ascii="Times New Roman" w:hAnsi="Times New Roman"/>
          <w:i/>
          <w:sz w:val="24"/>
        </w:rPr>
        <w:t>Regal (Hastings) v. Gulliver</w:t>
      </w:r>
      <w:r>
        <w:rPr>
          <w:rFonts w:ascii="Times New Roman" w:hAnsi="Times New Roman"/>
          <w:sz w:val="24"/>
        </w:rPr>
        <w:t xml:space="preserve"> [1942] 1 A</w:t>
      </w:r>
      <w:r w:rsidR="00E64CA0">
        <w:rPr>
          <w:rFonts w:ascii="Times New Roman" w:hAnsi="Times New Roman"/>
          <w:sz w:val="24"/>
        </w:rPr>
        <w:t xml:space="preserve">ll </w:t>
      </w:r>
      <w:r>
        <w:rPr>
          <w:rFonts w:ascii="Times New Roman" w:hAnsi="Times New Roman"/>
          <w:sz w:val="24"/>
        </w:rPr>
        <w:t xml:space="preserve">ER 378: </w:t>
      </w:r>
      <w:r w:rsidR="001B6339">
        <w:rPr>
          <w:rFonts w:ascii="Times New Roman" w:hAnsi="Times New Roman"/>
          <w:sz w:val="24"/>
        </w:rPr>
        <w:t>“</w:t>
      </w:r>
      <w:r>
        <w:rPr>
          <w:rFonts w:ascii="Times New Roman" w:hAnsi="Times New Roman"/>
          <w:sz w:val="24"/>
        </w:rPr>
        <w:t xml:space="preserve">[The] general principle that in this </w:t>
      </w:r>
      <w:r w:rsidR="00E65681">
        <w:rPr>
          <w:rFonts w:ascii="Times New Roman" w:hAnsi="Times New Roman"/>
          <w:sz w:val="24"/>
        </w:rPr>
        <w:t>c</w:t>
      </w:r>
      <w:r>
        <w:rPr>
          <w:rFonts w:ascii="Times New Roman" w:hAnsi="Times New Roman"/>
          <w:sz w:val="24"/>
        </w:rPr>
        <w:t>ourt, no agent in the course of his agency, in the matter of his agency, can be allowed to make any profit without the knowledge and consent of his principal</w:t>
      </w:r>
      <w:r w:rsidR="00E65681">
        <w:rPr>
          <w:rFonts w:ascii="Times New Roman" w:hAnsi="Times New Roman"/>
          <w:sz w:val="24"/>
        </w:rPr>
        <w:t>;</w:t>
      </w:r>
      <w:r>
        <w:rPr>
          <w:rFonts w:ascii="Times New Roman" w:hAnsi="Times New Roman"/>
          <w:sz w:val="24"/>
        </w:rPr>
        <w:t xml:space="preserve"> [which the appellants submit requires the consent of the company concerned in general meeting] that </w:t>
      </w:r>
      <w:r w:rsidR="00E65681">
        <w:rPr>
          <w:rFonts w:ascii="Times New Roman" w:hAnsi="Times New Roman"/>
          <w:sz w:val="24"/>
        </w:rPr>
        <w:t xml:space="preserve">the </w:t>
      </w:r>
      <w:r>
        <w:rPr>
          <w:rFonts w:ascii="Times New Roman" w:hAnsi="Times New Roman"/>
          <w:sz w:val="24"/>
        </w:rPr>
        <w:t xml:space="preserve">rule is an inflexible rule, and must be applied inexorably by this </w:t>
      </w:r>
      <w:r w:rsidR="00E65681">
        <w:rPr>
          <w:rFonts w:ascii="Times New Roman" w:hAnsi="Times New Roman"/>
          <w:sz w:val="24"/>
        </w:rPr>
        <w:t>c</w:t>
      </w:r>
      <w:r>
        <w:rPr>
          <w:rFonts w:ascii="Times New Roman" w:hAnsi="Times New Roman"/>
          <w:sz w:val="24"/>
        </w:rPr>
        <w:t xml:space="preserve">ourt, which is not entitled in my judgment to receive evidence, or suggestion, </w:t>
      </w:r>
      <w:r w:rsidR="001B6339">
        <w:rPr>
          <w:rFonts w:ascii="Times New Roman" w:hAnsi="Times New Roman"/>
          <w:sz w:val="24"/>
        </w:rPr>
        <w:t xml:space="preserve">or argument, as to whether the principal did or did not suffer any injury in fact, by reason of </w:t>
      </w:r>
      <w:r w:rsidR="001B6339">
        <w:rPr>
          <w:rFonts w:ascii="Times New Roman" w:hAnsi="Times New Roman"/>
          <w:sz w:val="24"/>
        </w:rPr>
        <w:lastRenderedPageBreak/>
        <w:t>the dealing of the agent, for the safety of mankind requires that no agent shall be able to put his principal to the danger of such an inquiry as that.”</w:t>
      </w:r>
      <w:r w:rsidR="00E65681">
        <w:rPr>
          <w:rFonts w:ascii="Times New Roman" w:hAnsi="Times New Roman"/>
          <w:sz w:val="24"/>
        </w:rPr>
        <w:t>?</w:t>
      </w:r>
    </w:p>
    <w:p w14:paraId="418ECB53" w14:textId="3AEB3A5D" w:rsidR="001B6339" w:rsidRDefault="001B6339" w:rsidP="00463A20">
      <w:pPr>
        <w:pStyle w:val="ListParagraph"/>
        <w:numPr>
          <w:ilvl w:val="0"/>
          <w:numId w:val="4"/>
        </w:numPr>
        <w:tabs>
          <w:tab w:val="left" w:pos="567"/>
        </w:tabs>
        <w:spacing w:line="480" w:lineRule="auto"/>
        <w:ind w:left="1134" w:hanging="567"/>
        <w:rPr>
          <w:rFonts w:ascii="Times New Roman" w:hAnsi="Times New Roman"/>
          <w:sz w:val="24"/>
        </w:rPr>
      </w:pPr>
      <w:r>
        <w:rPr>
          <w:rFonts w:ascii="Times New Roman" w:hAnsi="Times New Roman"/>
          <w:sz w:val="24"/>
        </w:rPr>
        <w:t>Did the trial judge err in failing to recognise that the position of the Director Respondents was either unsupported by evidence or supported only by what the appellants contend is inadmissible hearsay evidence</w:t>
      </w:r>
      <w:r w:rsidR="00E65681">
        <w:rPr>
          <w:rFonts w:ascii="Times New Roman" w:hAnsi="Times New Roman"/>
          <w:sz w:val="24"/>
        </w:rPr>
        <w:t>?</w:t>
      </w:r>
      <w:r>
        <w:rPr>
          <w:rFonts w:ascii="Times New Roman" w:hAnsi="Times New Roman"/>
          <w:sz w:val="24"/>
        </w:rPr>
        <w:t xml:space="preserve">  This ground relates to the claim advanced by the Director Respondents that any costs associated with the defence of the proceedings are covered by the Policy, and will therefore not cause any loss to Holdings or the Bank.  It is the contention of the appellants that the evidence of the Director Respondents in relation to this issue is erroneous, misleading and false, as well as being hearsay.  </w:t>
      </w:r>
    </w:p>
    <w:p w14:paraId="1C1412D1" w14:textId="00AC6811" w:rsidR="00532EC1" w:rsidRDefault="001B6339" w:rsidP="00463A20">
      <w:pPr>
        <w:pStyle w:val="ListParagraph"/>
        <w:numPr>
          <w:ilvl w:val="0"/>
          <w:numId w:val="4"/>
        </w:numPr>
        <w:tabs>
          <w:tab w:val="left" w:pos="567"/>
        </w:tabs>
        <w:spacing w:line="480" w:lineRule="auto"/>
        <w:ind w:left="1134" w:hanging="567"/>
        <w:rPr>
          <w:rFonts w:ascii="Times New Roman" w:hAnsi="Times New Roman"/>
          <w:sz w:val="24"/>
        </w:rPr>
      </w:pPr>
      <w:r>
        <w:rPr>
          <w:rFonts w:ascii="Times New Roman" w:hAnsi="Times New Roman"/>
          <w:sz w:val="24"/>
        </w:rPr>
        <w:t xml:space="preserve">Did the trial judge err in failing to recognise that the Board of the </w:t>
      </w:r>
      <w:r w:rsidR="00097625">
        <w:rPr>
          <w:rFonts w:ascii="Times New Roman" w:hAnsi="Times New Roman"/>
          <w:sz w:val="24"/>
        </w:rPr>
        <w:t>B</w:t>
      </w:r>
      <w:r>
        <w:rPr>
          <w:rFonts w:ascii="Times New Roman" w:hAnsi="Times New Roman"/>
          <w:sz w:val="24"/>
        </w:rPr>
        <w:t xml:space="preserve">ank acted </w:t>
      </w:r>
      <w:r w:rsidRPr="001B6339">
        <w:rPr>
          <w:rFonts w:ascii="Times New Roman" w:hAnsi="Times New Roman"/>
          <w:i/>
          <w:sz w:val="24"/>
        </w:rPr>
        <w:t>ultra vires</w:t>
      </w:r>
      <w:r>
        <w:rPr>
          <w:rFonts w:ascii="Times New Roman" w:hAnsi="Times New Roman"/>
          <w:sz w:val="24"/>
        </w:rPr>
        <w:t xml:space="preserve"> in approving the use of the resources of the Bank and Holdings, by the Director Respondents, for the purposes of defending these proceedings</w:t>
      </w:r>
      <w:r w:rsidR="00E65681">
        <w:rPr>
          <w:rFonts w:ascii="Times New Roman" w:hAnsi="Times New Roman"/>
          <w:sz w:val="24"/>
        </w:rPr>
        <w:t>?</w:t>
      </w:r>
    </w:p>
    <w:p w14:paraId="1C2250E9" w14:textId="5942E2CA" w:rsidR="007321C9" w:rsidRDefault="007321C9" w:rsidP="00463A20">
      <w:pPr>
        <w:tabs>
          <w:tab w:val="left" w:pos="567"/>
        </w:tabs>
        <w:spacing w:line="480" w:lineRule="auto"/>
        <w:jc w:val="both"/>
        <w:rPr>
          <w:b/>
          <w:u w:val="single"/>
        </w:rPr>
      </w:pPr>
      <w:r>
        <w:rPr>
          <w:b/>
          <w:u w:val="single"/>
        </w:rPr>
        <w:t>Affidavits filed after</w:t>
      </w:r>
      <w:r w:rsidR="00E65681">
        <w:rPr>
          <w:b/>
          <w:u w:val="single"/>
        </w:rPr>
        <w:t xml:space="preserve"> </w:t>
      </w:r>
      <w:r>
        <w:rPr>
          <w:b/>
          <w:u w:val="single"/>
        </w:rPr>
        <w:t xml:space="preserve">High Court </w:t>
      </w:r>
      <w:r w:rsidR="00412415">
        <w:rPr>
          <w:b/>
          <w:u w:val="single"/>
        </w:rPr>
        <w:t>d</w:t>
      </w:r>
      <w:r>
        <w:rPr>
          <w:b/>
          <w:u w:val="single"/>
        </w:rPr>
        <w:t>ecision</w:t>
      </w:r>
    </w:p>
    <w:p w14:paraId="01884268" w14:textId="01B585DA" w:rsidR="007321C9" w:rsidRDefault="007321C9" w:rsidP="00463A20">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Mr. </w:t>
      </w:r>
      <w:proofErr w:type="spellStart"/>
      <w:r>
        <w:rPr>
          <w:rFonts w:ascii="Times New Roman" w:hAnsi="Times New Roman"/>
          <w:sz w:val="24"/>
        </w:rPr>
        <w:t>Skoczylas</w:t>
      </w:r>
      <w:proofErr w:type="spellEnd"/>
      <w:r>
        <w:rPr>
          <w:rFonts w:ascii="Times New Roman" w:hAnsi="Times New Roman"/>
          <w:sz w:val="24"/>
        </w:rPr>
        <w:t xml:space="preserve"> swore an affidavit dated 18</w:t>
      </w:r>
      <w:r w:rsidRPr="007321C9">
        <w:rPr>
          <w:rFonts w:ascii="Times New Roman" w:hAnsi="Times New Roman"/>
          <w:sz w:val="24"/>
          <w:vertAlign w:val="superscript"/>
        </w:rPr>
        <w:t>th</w:t>
      </w:r>
      <w:r>
        <w:rPr>
          <w:rFonts w:ascii="Times New Roman" w:hAnsi="Times New Roman"/>
          <w:sz w:val="24"/>
        </w:rPr>
        <w:t xml:space="preserve"> July 2019, relying upon O. 86</w:t>
      </w:r>
      <w:r w:rsidR="00D03113">
        <w:rPr>
          <w:rFonts w:ascii="Times New Roman" w:hAnsi="Times New Roman"/>
          <w:sz w:val="24"/>
        </w:rPr>
        <w:t>A</w:t>
      </w:r>
      <w:r w:rsidR="001D2CAD">
        <w:rPr>
          <w:rFonts w:ascii="Times New Roman" w:hAnsi="Times New Roman"/>
          <w:sz w:val="24"/>
        </w:rPr>
        <w:t>,</w:t>
      </w:r>
      <w:r>
        <w:rPr>
          <w:rFonts w:ascii="Times New Roman" w:hAnsi="Times New Roman"/>
          <w:sz w:val="24"/>
        </w:rPr>
        <w:t xml:space="preserve"> r</w:t>
      </w:r>
      <w:r w:rsidR="001D2CAD">
        <w:rPr>
          <w:rFonts w:ascii="Times New Roman" w:hAnsi="Times New Roman"/>
          <w:sz w:val="24"/>
        </w:rPr>
        <w:t>.</w:t>
      </w:r>
      <w:r>
        <w:rPr>
          <w:rFonts w:ascii="Times New Roman" w:hAnsi="Times New Roman"/>
          <w:sz w:val="24"/>
        </w:rPr>
        <w:t xml:space="preserve"> 4(b) of the Rules of the Superior Courts. That order provides:</w:t>
      </w:r>
    </w:p>
    <w:p w14:paraId="723829AA" w14:textId="2865B0BA" w:rsidR="007321C9" w:rsidRPr="000A24A9" w:rsidRDefault="001D2CAD" w:rsidP="00463A20">
      <w:pPr>
        <w:pStyle w:val="ListParagraph"/>
        <w:tabs>
          <w:tab w:val="left" w:pos="567"/>
        </w:tabs>
        <w:spacing w:line="480" w:lineRule="auto"/>
        <w:ind w:left="567"/>
        <w:rPr>
          <w:rFonts w:ascii="Times New Roman" w:hAnsi="Times New Roman"/>
          <w:sz w:val="24"/>
        </w:rPr>
      </w:pPr>
      <w:r>
        <w:rPr>
          <w:rFonts w:ascii="Times New Roman" w:hAnsi="Times New Roman"/>
          <w:sz w:val="24"/>
        </w:rPr>
        <w:tab/>
      </w:r>
      <w:r w:rsidR="007321C9">
        <w:rPr>
          <w:rFonts w:ascii="Times New Roman" w:hAnsi="Times New Roman"/>
          <w:sz w:val="24"/>
        </w:rPr>
        <w:t>“</w:t>
      </w:r>
      <w:r>
        <w:rPr>
          <w:rFonts w:ascii="Times New Roman" w:hAnsi="Times New Roman"/>
          <w:sz w:val="24"/>
        </w:rPr>
        <w:t>[F]</w:t>
      </w:r>
      <w:proofErr w:type="spellStart"/>
      <w:r w:rsidR="007321C9" w:rsidRPr="007321C9">
        <w:rPr>
          <w:rFonts w:ascii="Times New Roman" w:hAnsi="Times New Roman"/>
          <w:sz w:val="24"/>
        </w:rPr>
        <w:t>urther</w:t>
      </w:r>
      <w:proofErr w:type="spellEnd"/>
      <w:r w:rsidR="007321C9" w:rsidRPr="007321C9">
        <w:rPr>
          <w:rFonts w:ascii="Times New Roman" w:hAnsi="Times New Roman"/>
          <w:sz w:val="24"/>
        </w:rPr>
        <w:t xml:space="preserve"> evidence may be given without special leave on any appeal from an interlocutory judgment or order or in any case as to matters which have occurred after the date of the decision f</w:t>
      </w:r>
      <w:r w:rsidR="007321C9">
        <w:rPr>
          <w:rFonts w:ascii="Times New Roman" w:hAnsi="Times New Roman"/>
          <w:sz w:val="24"/>
        </w:rPr>
        <w:t>rom which the appeal is brought.”</w:t>
      </w:r>
    </w:p>
    <w:p w14:paraId="5B3AC5F3" w14:textId="2FDECE1C" w:rsidR="00E60002" w:rsidRDefault="007321C9" w:rsidP="00EE1473">
      <w:pPr>
        <w:pStyle w:val="ListParagraph"/>
        <w:tabs>
          <w:tab w:val="left" w:pos="567"/>
        </w:tabs>
        <w:spacing w:line="480" w:lineRule="auto"/>
        <w:ind w:left="0"/>
        <w:rPr>
          <w:rFonts w:ascii="Times New Roman" w:hAnsi="Times New Roman"/>
          <w:sz w:val="24"/>
        </w:rPr>
      </w:pPr>
      <w:r>
        <w:rPr>
          <w:rFonts w:ascii="Times New Roman" w:hAnsi="Times New Roman"/>
          <w:sz w:val="24"/>
        </w:rPr>
        <w:t xml:space="preserve">This affidavit runs to thirty pages of dense typescript.  The vast majority of this affidavit has nothing at all to do with anything that happened subsequent to the delivery of the decision of the High Court. Indeed, one has to get to para. 23, the end of the </w:t>
      </w:r>
      <w:r w:rsidR="00DC397B">
        <w:rPr>
          <w:rFonts w:ascii="Times New Roman" w:hAnsi="Times New Roman"/>
          <w:sz w:val="24"/>
        </w:rPr>
        <w:t>eight</w:t>
      </w:r>
      <w:r>
        <w:rPr>
          <w:rFonts w:ascii="Times New Roman" w:hAnsi="Times New Roman"/>
          <w:sz w:val="24"/>
        </w:rPr>
        <w:t xml:space="preserve"> page of the affidavit to discover the event that Mr. </w:t>
      </w:r>
      <w:proofErr w:type="spellStart"/>
      <w:r>
        <w:rPr>
          <w:rFonts w:ascii="Times New Roman" w:hAnsi="Times New Roman"/>
          <w:sz w:val="24"/>
        </w:rPr>
        <w:t>Skoczylas</w:t>
      </w:r>
      <w:proofErr w:type="spellEnd"/>
      <w:r w:rsidR="00DC397B">
        <w:rPr>
          <w:rFonts w:ascii="Times New Roman" w:hAnsi="Times New Roman"/>
          <w:sz w:val="24"/>
        </w:rPr>
        <w:t xml:space="preserve"> relie</w:t>
      </w:r>
      <w:r w:rsidR="00EE1473">
        <w:rPr>
          <w:rFonts w:ascii="Times New Roman" w:hAnsi="Times New Roman"/>
          <w:sz w:val="24"/>
        </w:rPr>
        <w:t xml:space="preserve">d </w:t>
      </w:r>
      <w:r w:rsidR="00DC397B">
        <w:rPr>
          <w:rFonts w:ascii="Times New Roman" w:hAnsi="Times New Roman"/>
          <w:sz w:val="24"/>
        </w:rPr>
        <w:t>upon</w:t>
      </w:r>
      <w:r>
        <w:rPr>
          <w:rFonts w:ascii="Times New Roman" w:hAnsi="Times New Roman"/>
          <w:sz w:val="24"/>
        </w:rPr>
        <w:t xml:space="preserve"> to file this affidavit, and that is that very soon after the decision of the High Court, Mr. </w:t>
      </w:r>
      <w:proofErr w:type="spellStart"/>
      <w:r>
        <w:rPr>
          <w:rFonts w:ascii="Times New Roman" w:hAnsi="Times New Roman"/>
          <w:sz w:val="24"/>
        </w:rPr>
        <w:t>M</w:t>
      </w:r>
      <w:r w:rsidR="00DC397B">
        <w:rPr>
          <w:rFonts w:ascii="Times New Roman" w:hAnsi="Times New Roman"/>
          <w:sz w:val="24"/>
        </w:rPr>
        <w:t>a</w:t>
      </w:r>
      <w:r>
        <w:rPr>
          <w:rFonts w:ascii="Times New Roman" w:hAnsi="Times New Roman"/>
          <w:sz w:val="24"/>
        </w:rPr>
        <w:t>cCarthy</w:t>
      </w:r>
      <w:proofErr w:type="spellEnd"/>
      <w:r>
        <w:rPr>
          <w:rFonts w:ascii="Times New Roman" w:hAnsi="Times New Roman"/>
          <w:sz w:val="24"/>
        </w:rPr>
        <w:t xml:space="preserve"> (the Chief Legal Officer of the Bank) filed an application in the Companies Registration Office to register as a sole trader </w:t>
      </w:r>
      <w:r>
        <w:rPr>
          <w:rFonts w:ascii="Times New Roman" w:hAnsi="Times New Roman"/>
          <w:sz w:val="24"/>
        </w:rPr>
        <w:lastRenderedPageBreak/>
        <w:t xml:space="preserve">under the name of Bloom Solicitors.  Mr. </w:t>
      </w:r>
      <w:proofErr w:type="spellStart"/>
      <w:r>
        <w:rPr>
          <w:rFonts w:ascii="Times New Roman" w:hAnsi="Times New Roman"/>
          <w:sz w:val="24"/>
        </w:rPr>
        <w:t>Skoczylas</w:t>
      </w:r>
      <w:proofErr w:type="spellEnd"/>
      <w:r>
        <w:rPr>
          <w:rFonts w:ascii="Times New Roman" w:hAnsi="Times New Roman"/>
          <w:sz w:val="24"/>
        </w:rPr>
        <w:t xml:space="preserve"> </w:t>
      </w:r>
      <w:r w:rsidR="00E60002">
        <w:rPr>
          <w:rFonts w:ascii="Times New Roman" w:hAnsi="Times New Roman"/>
          <w:sz w:val="24"/>
        </w:rPr>
        <w:t xml:space="preserve">then </w:t>
      </w:r>
      <w:r>
        <w:rPr>
          <w:rFonts w:ascii="Times New Roman" w:hAnsi="Times New Roman"/>
          <w:sz w:val="24"/>
        </w:rPr>
        <w:t xml:space="preserve">goes on to </w:t>
      </w:r>
      <w:r w:rsidR="00E60002">
        <w:rPr>
          <w:rFonts w:ascii="Times New Roman" w:hAnsi="Times New Roman"/>
          <w:sz w:val="24"/>
        </w:rPr>
        <w:t xml:space="preserve">refer to the involvement of Mr. </w:t>
      </w:r>
      <w:proofErr w:type="spellStart"/>
      <w:r w:rsidR="00E60002">
        <w:rPr>
          <w:rFonts w:ascii="Times New Roman" w:hAnsi="Times New Roman"/>
          <w:sz w:val="24"/>
        </w:rPr>
        <w:t>M</w:t>
      </w:r>
      <w:r w:rsidR="00DC397B">
        <w:rPr>
          <w:rFonts w:ascii="Times New Roman" w:hAnsi="Times New Roman"/>
          <w:sz w:val="24"/>
        </w:rPr>
        <w:t>a</w:t>
      </w:r>
      <w:r w:rsidR="00E60002">
        <w:rPr>
          <w:rFonts w:ascii="Times New Roman" w:hAnsi="Times New Roman"/>
          <w:sz w:val="24"/>
        </w:rPr>
        <w:t>cCarthy</w:t>
      </w:r>
      <w:proofErr w:type="spellEnd"/>
      <w:r w:rsidR="00E60002">
        <w:rPr>
          <w:rFonts w:ascii="Times New Roman" w:hAnsi="Times New Roman"/>
          <w:sz w:val="24"/>
        </w:rPr>
        <w:t xml:space="preserve"> in an entity known as First Citizen Finance, an entity in which other former officers of Holdings are involved.  He then describes how Bloom Solicitors is now solicitor </w:t>
      </w:r>
      <w:r w:rsidR="00EE1473">
        <w:rPr>
          <w:rFonts w:ascii="Times New Roman" w:hAnsi="Times New Roman"/>
          <w:sz w:val="24"/>
        </w:rPr>
        <w:t xml:space="preserve">on record </w:t>
      </w:r>
      <w:r w:rsidR="00E60002">
        <w:rPr>
          <w:rFonts w:ascii="Times New Roman" w:hAnsi="Times New Roman"/>
          <w:sz w:val="24"/>
        </w:rPr>
        <w:t>for Holdings and separately, the Director Respondents</w:t>
      </w:r>
      <w:r w:rsidR="00EE1473">
        <w:rPr>
          <w:rFonts w:ascii="Times New Roman" w:hAnsi="Times New Roman"/>
          <w:sz w:val="24"/>
        </w:rPr>
        <w:t>,</w:t>
      </w:r>
      <w:r w:rsidR="00E60002">
        <w:rPr>
          <w:rFonts w:ascii="Times New Roman" w:hAnsi="Times New Roman"/>
          <w:sz w:val="24"/>
        </w:rPr>
        <w:t xml:space="preserve"> in eight High Court proceedings and seven appeals.  In a short paragraph, in bold type for emphasis, Mr. </w:t>
      </w:r>
      <w:proofErr w:type="spellStart"/>
      <w:r w:rsidR="00E60002">
        <w:rPr>
          <w:rFonts w:ascii="Times New Roman" w:hAnsi="Times New Roman"/>
          <w:sz w:val="24"/>
        </w:rPr>
        <w:t>Skoczylas</w:t>
      </w:r>
      <w:proofErr w:type="spellEnd"/>
      <w:r w:rsidR="00E60002">
        <w:rPr>
          <w:rFonts w:ascii="Times New Roman" w:hAnsi="Times New Roman"/>
          <w:sz w:val="24"/>
        </w:rPr>
        <w:t xml:space="preserve"> states: “Mr. </w:t>
      </w:r>
      <w:proofErr w:type="spellStart"/>
      <w:r w:rsidR="00E60002">
        <w:rPr>
          <w:rFonts w:ascii="Times New Roman" w:hAnsi="Times New Roman"/>
          <w:sz w:val="24"/>
        </w:rPr>
        <w:t>M</w:t>
      </w:r>
      <w:r w:rsidR="00C646E0">
        <w:rPr>
          <w:rFonts w:ascii="Times New Roman" w:hAnsi="Times New Roman"/>
          <w:sz w:val="24"/>
        </w:rPr>
        <w:t>a</w:t>
      </w:r>
      <w:r w:rsidR="00E60002">
        <w:rPr>
          <w:rFonts w:ascii="Times New Roman" w:hAnsi="Times New Roman"/>
          <w:sz w:val="24"/>
        </w:rPr>
        <w:t>cCarthy</w:t>
      </w:r>
      <w:proofErr w:type="spellEnd"/>
      <w:r w:rsidR="00E60002">
        <w:rPr>
          <w:rFonts w:ascii="Times New Roman" w:hAnsi="Times New Roman"/>
          <w:sz w:val="24"/>
        </w:rPr>
        <w:t xml:space="preserve"> thus continues to represent the ILPGH Director Respondents in the s. 205 proceedings as a solicitor, now behind the </w:t>
      </w:r>
      <w:r w:rsidR="00E60002">
        <w:rPr>
          <w:rFonts w:ascii="Times New Roman" w:hAnsi="Times New Roman"/>
          <w:i/>
          <w:sz w:val="24"/>
        </w:rPr>
        <w:t xml:space="preserve">façade </w:t>
      </w:r>
      <w:r w:rsidR="00E60002">
        <w:rPr>
          <w:rFonts w:ascii="Times New Roman" w:hAnsi="Times New Roman"/>
          <w:sz w:val="24"/>
        </w:rPr>
        <w:t xml:space="preserve">of the sole trader </w:t>
      </w:r>
      <w:r w:rsidR="00DC397B">
        <w:rPr>
          <w:rFonts w:ascii="Times New Roman" w:hAnsi="Times New Roman"/>
          <w:sz w:val="24"/>
        </w:rPr>
        <w:t>‘</w:t>
      </w:r>
      <w:r w:rsidR="00E60002">
        <w:rPr>
          <w:rFonts w:ascii="Times New Roman" w:hAnsi="Times New Roman"/>
          <w:sz w:val="24"/>
        </w:rPr>
        <w:t>Bloom Solicitors</w:t>
      </w:r>
      <w:r w:rsidR="00DC397B">
        <w:rPr>
          <w:rFonts w:ascii="Times New Roman" w:hAnsi="Times New Roman"/>
          <w:sz w:val="24"/>
        </w:rPr>
        <w:t>’</w:t>
      </w:r>
      <w:r w:rsidR="00E60002">
        <w:rPr>
          <w:rFonts w:ascii="Times New Roman" w:hAnsi="Times New Roman"/>
          <w:sz w:val="24"/>
        </w:rPr>
        <w:t>.</w:t>
      </w:r>
      <w:r w:rsidR="00DC397B">
        <w:rPr>
          <w:rFonts w:ascii="Times New Roman" w:hAnsi="Times New Roman"/>
          <w:sz w:val="24"/>
        </w:rPr>
        <w:t>”</w:t>
      </w:r>
      <w:r w:rsidR="00E60002">
        <w:rPr>
          <w:rFonts w:ascii="Times New Roman" w:hAnsi="Times New Roman"/>
          <w:sz w:val="24"/>
        </w:rPr>
        <w:t xml:space="preserve">  He then goes on to refer to bills issued by Bloom Solicitors that were referred for taxation and states that they have managed to generate enormous fees from Holdings and the Bank.  He refers to bills of costs presented for taxation by Bloom Solicitors and does so in the most critical of terms.  He asserts that Bloom Solicitors are, at the expense of Holdings and/or the Bank, advising the Director Respondents in the defence of these proceedings.</w:t>
      </w:r>
      <w:r w:rsidR="00744D19">
        <w:rPr>
          <w:rFonts w:ascii="Times New Roman" w:hAnsi="Times New Roman"/>
          <w:sz w:val="24"/>
        </w:rPr>
        <w:t xml:space="preserve"> </w:t>
      </w:r>
      <w:r w:rsidR="00E60002">
        <w:rPr>
          <w:rFonts w:ascii="Times New Roman" w:hAnsi="Times New Roman"/>
          <w:sz w:val="24"/>
        </w:rPr>
        <w:t xml:space="preserve">The remainder of this affidavit requires no comment at all because it does not relate to matters </w:t>
      </w:r>
      <w:r w:rsidR="009E7FEF">
        <w:rPr>
          <w:rFonts w:ascii="Times New Roman" w:hAnsi="Times New Roman"/>
          <w:sz w:val="24"/>
        </w:rPr>
        <w:t>relevant to this appeal</w:t>
      </w:r>
      <w:r w:rsidR="00EE1473">
        <w:rPr>
          <w:rFonts w:ascii="Times New Roman" w:hAnsi="Times New Roman"/>
          <w:sz w:val="24"/>
        </w:rPr>
        <w:t>,</w:t>
      </w:r>
      <w:r w:rsidR="009E7FEF">
        <w:rPr>
          <w:rFonts w:ascii="Times New Roman" w:hAnsi="Times New Roman"/>
          <w:sz w:val="24"/>
        </w:rPr>
        <w:t xml:space="preserve"> </w:t>
      </w:r>
      <w:r w:rsidR="00E60002">
        <w:rPr>
          <w:rFonts w:ascii="Times New Roman" w:hAnsi="Times New Roman"/>
          <w:sz w:val="24"/>
        </w:rPr>
        <w:t>that occurred after the delivery of the High Court judgment.</w:t>
      </w:r>
    </w:p>
    <w:p w14:paraId="12F9E8B2" w14:textId="09FA92A5" w:rsidR="00E740A9" w:rsidRDefault="00E740A9" w:rsidP="00463A20">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The delivery of this affidavit necessitated the delivery of replying affidavits, which were delivered by Mr. </w:t>
      </w:r>
      <w:proofErr w:type="spellStart"/>
      <w:r>
        <w:rPr>
          <w:rFonts w:ascii="Times New Roman" w:hAnsi="Times New Roman"/>
          <w:sz w:val="24"/>
        </w:rPr>
        <w:t>M</w:t>
      </w:r>
      <w:r w:rsidR="009E7FEF">
        <w:rPr>
          <w:rFonts w:ascii="Times New Roman" w:hAnsi="Times New Roman"/>
          <w:sz w:val="24"/>
        </w:rPr>
        <w:t>a</w:t>
      </w:r>
      <w:r>
        <w:rPr>
          <w:rFonts w:ascii="Times New Roman" w:hAnsi="Times New Roman"/>
          <w:sz w:val="24"/>
        </w:rPr>
        <w:t>cCarthy</w:t>
      </w:r>
      <w:proofErr w:type="spellEnd"/>
      <w:r>
        <w:rPr>
          <w:rFonts w:ascii="Times New Roman" w:hAnsi="Times New Roman"/>
          <w:sz w:val="24"/>
        </w:rPr>
        <w:t>, who swore an affidavit of 16</w:t>
      </w:r>
      <w:r w:rsidRPr="00E740A9">
        <w:rPr>
          <w:rFonts w:ascii="Times New Roman" w:hAnsi="Times New Roman"/>
          <w:sz w:val="24"/>
          <w:vertAlign w:val="superscript"/>
        </w:rPr>
        <w:t>th</w:t>
      </w:r>
      <w:r>
        <w:rPr>
          <w:rFonts w:ascii="Times New Roman" w:hAnsi="Times New Roman"/>
          <w:sz w:val="24"/>
        </w:rPr>
        <w:t xml:space="preserve"> January 2020, and a Mr. Jeremy </w:t>
      </w:r>
      <w:proofErr w:type="spellStart"/>
      <w:r>
        <w:rPr>
          <w:rFonts w:ascii="Times New Roman" w:hAnsi="Times New Roman"/>
          <w:sz w:val="24"/>
        </w:rPr>
        <w:t>Masding</w:t>
      </w:r>
      <w:proofErr w:type="spellEnd"/>
      <w:r w:rsidR="009E7FEF">
        <w:rPr>
          <w:rFonts w:ascii="Times New Roman" w:hAnsi="Times New Roman"/>
          <w:sz w:val="24"/>
        </w:rPr>
        <w:t>,</w:t>
      </w:r>
      <w:r>
        <w:rPr>
          <w:rFonts w:ascii="Times New Roman" w:hAnsi="Times New Roman"/>
          <w:sz w:val="24"/>
        </w:rPr>
        <w:t xml:space="preserve"> Chief Executive of Holdings and the second named respondent</w:t>
      </w:r>
      <w:r w:rsidR="009E7FEF">
        <w:rPr>
          <w:rFonts w:ascii="Times New Roman" w:hAnsi="Times New Roman"/>
          <w:sz w:val="24"/>
        </w:rPr>
        <w:t>, sworn on 20</w:t>
      </w:r>
      <w:r w:rsidR="009E7FEF" w:rsidRPr="009E7FEF">
        <w:rPr>
          <w:rFonts w:ascii="Times New Roman" w:hAnsi="Times New Roman"/>
          <w:sz w:val="24"/>
          <w:vertAlign w:val="superscript"/>
        </w:rPr>
        <w:t>th</w:t>
      </w:r>
      <w:r w:rsidR="009E7FEF">
        <w:rPr>
          <w:rFonts w:ascii="Times New Roman" w:hAnsi="Times New Roman"/>
          <w:sz w:val="24"/>
        </w:rPr>
        <w:t xml:space="preserve"> January 2020</w:t>
      </w:r>
      <w:r>
        <w:rPr>
          <w:rFonts w:ascii="Times New Roman" w:hAnsi="Times New Roman"/>
          <w:sz w:val="24"/>
        </w:rPr>
        <w:t xml:space="preserve">.  Mr. </w:t>
      </w:r>
      <w:proofErr w:type="spellStart"/>
      <w:r>
        <w:rPr>
          <w:rFonts w:ascii="Times New Roman" w:hAnsi="Times New Roman"/>
          <w:sz w:val="24"/>
        </w:rPr>
        <w:t>Masding</w:t>
      </w:r>
      <w:proofErr w:type="spellEnd"/>
      <w:r>
        <w:rPr>
          <w:rFonts w:ascii="Times New Roman" w:hAnsi="Times New Roman"/>
          <w:sz w:val="24"/>
        </w:rPr>
        <w:t xml:space="preserve"> takes exception to allegations made by Mr. </w:t>
      </w:r>
      <w:proofErr w:type="spellStart"/>
      <w:r>
        <w:rPr>
          <w:rFonts w:ascii="Times New Roman" w:hAnsi="Times New Roman"/>
          <w:sz w:val="24"/>
        </w:rPr>
        <w:t>Skoczylas</w:t>
      </w:r>
      <w:proofErr w:type="spellEnd"/>
      <w:r>
        <w:rPr>
          <w:rFonts w:ascii="Times New Roman" w:hAnsi="Times New Roman"/>
          <w:sz w:val="24"/>
        </w:rPr>
        <w:t xml:space="preserve"> in his affidavit, which include allegations as to the commission of criminal offences, which Mr. </w:t>
      </w:r>
      <w:proofErr w:type="spellStart"/>
      <w:r>
        <w:rPr>
          <w:rFonts w:ascii="Times New Roman" w:hAnsi="Times New Roman"/>
          <w:sz w:val="24"/>
        </w:rPr>
        <w:t>Masding</w:t>
      </w:r>
      <w:proofErr w:type="spellEnd"/>
      <w:r>
        <w:rPr>
          <w:rFonts w:ascii="Times New Roman" w:hAnsi="Times New Roman"/>
          <w:sz w:val="24"/>
        </w:rPr>
        <w:t xml:space="preserve"> strenuously refutes.  Mr. </w:t>
      </w:r>
      <w:proofErr w:type="spellStart"/>
      <w:r>
        <w:rPr>
          <w:rFonts w:ascii="Times New Roman" w:hAnsi="Times New Roman"/>
          <w:sz w:val="24"/>
        </w:rPr>
        <w:t>Masding</w:t>
      </w:r>
      <w:proofErr w:type="spellEnd"/>
      <w:r>
        <w:rPr>
          <w:rFonts w:ascii="Times New Roman" w:hAnsi="Times New Roman"/>
          <w:sz w:val="24"/>
        </w:rPr>
        <w:t xml:space="preserve"> avers that Holdings and the Bank have incurred huge cost and expense in dealing with the litigation in which Mr. </w:t>
      </w:r>
      <w:proofErr w:type="spellStart"/>
      <w:r>
        <w:rPr>
          <w:rFonts w:ascii="Times New Roman" w:hAnsi="Times New Roman"/>
          <w:sz w:val="24"/>
        </w:rPr>
        <w:t>Skoczylas</w:t>
      </w:r>
      <w:proofErr w:type="spellEnd"/>
      <w:r>
        <w:rPr>
          <w:rFonts w:ascii="Times New Roman" w:hAnsi="Times New Roman"/>
          <w:sz w:val="24"/>
        </w:rPr>
        <w:t xml:space="preserve"> in particular, but also the other appellants, have repeatedly raised the same issues.  He refers to the judgments already delivered both by the High Court and by the Court of Appeal in which Mr. </w:t>
      </w:r>
      <w:proofErr w:type="spellStart"/>
      <w:r>
        <w:rPr>
          <w:rFonts w:ascii="Times New Roman" w:hAnsi="Times New Roman"/>
          <w:sz w:val="24"/>
        </w:rPr>
        <w:t>Skoczylas</w:t>
      </w:r>
      <w:proofErr w:type="spellEnd"/>
      <w:r>
        <w:rPr>
          <w:rFonts w:ascii="Times New Roman" w:hAnsi="Times New Roman"/>
          <w:sz w:val="24"/>
        </w:rPr>
        <w:t xml:space="preserve"> ha</w:t>
      </w:r>
      <w:r w:rsidR="00887EDD">
        <w:rPr>
          <w:rFonts w:ascii="Times New Roman" w:hAnsi="Times New Roman"/>
          <w:sz w:val="24"/>
        </w:rPr>
        <w:t>s</w:t>
      </w:r>
      <w:r>
        <w:rPr>
          <w:rFonts w:ascii="Times New Roman" w:hAnsi="Times New Roman"/>
          <w:sz w:val="24"/>
        </w:rPr>
        <w:t xml:space="preserve"> been unsuccessful.  He avers that it is evident from those judgments that </w:t>
      </w:r>
      <w:r>
        <w:rPr>
          <w:rFonts w:ascii="Times New Roman" w:hAnsi="Times New Roman"/>
          <w:sz w:val="24"/>
        </w:rPr>
        <w:lastRenderedPageBreak/>
        <w:t xml:space="preserve">the allegations of wrongdoing advanced by Mr. </w:t>
      </w:r>
      <w:proofErr w:type="spellStart"/>
      <w:r>
        <w:rPr>
          <w:rFonts w:ascii="Times New Roman" w:hAnsi="Times New Roman"/>
          <w:sz w:val="24"/>
        </w:rPr>
        <w:t>Skoczylas</w:t>
      </w:r>
      <w:proofErr w:type="spellEnd"/>
      <w:r>
        <w:rPr>
          <w:rFonts w:ascii="Times New Roman" w:hAnsi="Times New Roman"/>
          <w:sz w:val="24"/>
        </w:rPr>
        <w:t xml:space="preserve"> have no basis whatsoever and should be withdrawn by him and by the other petitioners.</w:t>
      </w:r>
    </w:p>
    <w:p w14:paraId="231ACD95" w14:textId="6CD88248" w:rsidR="00E740A9" w:rsidRDefault="00E740A9" w:rsidP="00463A20">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In his affidavit, Mr. </w:t>
      </w:r>
      <w:proofErr w:type="spellStart"/>
      <w:r>
        <w:rPr>
          <w:rFonts w:ascii="Times New Roman" w:hAnsi="Times New Roman"/>
          <w:sz w:val="24"/>
        </w:rPr>
        <w:t>M</w:t>
      </w:r>
      <w:r w:rsidR="009E7FEF">
        <w:rPr>
          <w:rFonts w:ascii="Times New Roman" w:hAnsi="Times New Roman"/>
          <w:sz w:val="24"/>
        </w:rPr>
        <w:t>a</w:t>
      </w:r>
      <w:r>
        <w:rPr>
          <w:rFonts w:ascii="Times New Roman" w:hAnsi="Times New Roman"/>
          <w:sz w:val="24"/>
        </w:rPr>
        <w:t>cCarthy</w:t>
      </w:r>
      <w:proofErr w:type="spellEnd"/>
      <w:r>
        <w:rPr>
          <w:rFonts w:ascii="Times New Roman" w:hAnsi="Times New Roman"/>
          <w:sz w:val="24"/>
        </w:rPr>
        <w:t xml:space="preserve"> describes how, having reached the age of</w:t>
      </w:r>
      <w:r w:rsidR="00887EDD">
        <w:rPr>
          <w:rFonts w:ascii="Times New Roman" w:hAnsi="Times New Roman"/>
          <w:sz w:val="24"/>
        </w:rPr>
        <w:t xml:space="preserve"> sixty</w:t>
      </w:r>
      <w:r>
        <w:rPr>
          <w:rFonts w:ascii="Times New Roman" w:hAnsi="Times New Roman"/>
          <w:sz w:val="24"/>
        </w:rPr>
        <w:t xml:space="preserve"> on 25</w:t>
      </w:r>
      <w:r w:rsidRPr="00E740A9">
        <w:rPr>
          <w:rFonts w:ascii="Times New Roman" w:hAnsi="Times New Roman"/>
          <w:sz w:val="24"/>
          <w:vertAlign w:val="superscript"/>
        </w:rPr>
        <w:t>th</w:t>
      </w:r>
      <w:r>
        <w:rPr>
          <w:rFonts w:ascii="Times New Roman" w:hAnsi="Times New Roman"/>
          <w:sz w:val="24"/>
        </w:rPr>
        <w:t xml:space="preserve"> April 2013, he was entitled to retire from the Bank, but was given a one year rolling contract.  He decided to retire from the Bank in early June 2013, and, having given the required six months’ notice, the Bank set about recruiting his replacement, a Mr. Andrew Walsh, who commenced employment with the Bank in September 2013.  Mr. </w:t>
      </w:r>
      <w:proofErr w:type="spellStart"/>
      <w:r>
        <w:rPr>
          <w:rFonts w:ascii="Times New Roman" w:hAnsi="Times New Roman"/>
          <w:sz w:val="24"/>
        </w:rPr>
        <w:t>M</w:t>
      </w:r>
      <w:r w:rsidR="00887EDD">
        <w:rPr>
          <w:rFonts w:ascii="Times New Roman" w:hAnsi="Times New Roman"/>
          <w:sz w:val="24"/>
        </w:rPr>
        <w:t>a</w:t>
      </w:r>
      <w:r>
        <w:rPr>
          <w:rFonts w:ascii="Times New Roman" w:hAnsi="Times New Roman"/>
          <w:sz w:val="24"/>
        </w:rPr>
        <w:t>cCarthy</w:t>
      </w:r>
      <w:proofErr w:type="spellEnd"/>
      <w:r>
        <w:rPr>
          <w:rFonts w:ascii="Times New Roman" w:hAnsi="Times New Roman"/>
          <w:sz w:val="24"/>
        </w:rPr>
        <w:t xml:space="preserve"> retired from the Bank with effect from 31</w:t>
      </w:r>
      <w:r w:rsidRPr="00E740A9">
        <w:rPr>
          <w:rFonts w:ascii="Times New Roman" w:hAnsi="Times New Roman"/>
          <w:sz w:val="24"/>
          <w:vertAlign w:val="superscript"/>
        </w:rPr>
        <w:t>st</w:t>
      </w:r>
      <w:r>
        <w:rPr>
          <w:rFonts w:ascii="Times New Roman" w:hAnsi="Times New Roman"/>
          <w:sz w:val="24"/>
        </w:rPr>
        <w:t xml:space="preserve"> October 2013.</w:t>
      </w:r>
    </w:p>
    <w:p w14:paraId="1E22D62C" w14:textId="53C0A47C" w:rsidR="00A04483" w:rsidRPr="00887EDD" w:rsidRDefault="00E740A9" w:rsidP="00463A20">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Mr. </w:t>
      </w:r>
      <w:proofErr w:type="spellStart"/>
      <w:r>
        <w:rPr>
          <w:rFonts w:ascii="Times New Roman" w:hAnsi="Times New Roman"/>
          <w:sz w:val="24"/>
        </w:rPr>
        <w:t>M</w:t>
      </w:r>
      <w:r w:rsidR="00887EDD">
        <w:rPr>
          <w:rFonts w:ascii="Times New Roman" w:hAnsi="Times New Roman"/>
          <w:sz w:val="24"/>
        </w:rPr>
        <w:t>a</w:t>
      </w:r>
      <w:r>
        <w:rPr>
          <w:rFonts w:ascii="Times New Roman" w:hAnsi="Times New Roman"/>
          <w:sz w:val="24"/>
        </w:rPr>
        <w:t>cCarthy</w:t>
      </w:r>
      <w:proofErr w:type="spellEnd"/>
      <w:r>
        <w:rPr>
          <w:rFonts w:ascii="Times New Roman" w:hAnsi="Times New Roman"/>
          <w:sz w:val="24"/>
        </w:rPr>
        <w:t xml:space="preserve"> avers that he took up employment with First Citizen Finance in November 2013.  Mr. </w:t>
      </w:r>
      <w:proofErr w:type="spellStart"/>
      <w:r>
        <w:rPr>
          <w:rFonts w:ascii="Times New Roman" w:hAnsi="Times New Roman"/>
          <w:sz w:val="24"/>
        </w:rPr>
        <w:t>M</w:t>
      </w:r>
      <w:r w:rsidR="00887EDD">
        <w:rPr>
          <w:rFonts w:ascii="Times New Roman" w:hAnsi="Times New Roman"/>
          <w:sz w:val="24"/>
        </w:rPr>
        <w:t>a</w:t>
      </w:r>
      <w:r>
        <w:rPr>
          <w:rFonts w:ascii="Times New Roman" w:hAnsi="Times New Roman"/>
          <w:sz w:val="24"/>
        </w:rPr>
        <w:t>cCarthy</w:t>
      </w:r>
      <w:proofErr w:type="spellEnd"/>
      <w:r>
        <w:rPr>
          <w:rFonts w:ascii="Times New Roman" w:hAnsi="Times New Roman"/>
          <w:sz w:val="24"/>
        </w:rPr>
        <w:t xml:space="preserve"> describes how, in </w:t>
      </w:r>
      <w:r w:rsidR="00A04483">
        <w:rPr>
          <w:rFonts w:ascii="Times New Roman" w:hAnsi="Times New Roman"/>
          <w:sz w:val="24"/>
        </w:rPr>
        <w:t xml:space="preserve">September 2013, he registered as a sole trader under the name of Bloom Solicitors.  He avers that he provides legal services to Holdings as an independent sole trader, but that so far as these proceedings are concerned, his fees are being paid by the insurers, AIG.  Mr. </w:t>
      </w:r>
      <w:proofErr w:type="spellStart"/>
      <w:r w:rsidR="00A04483">
        <w:rPr>
          <w:rFonts w:ascii="Times New Roman" w:hAnsi="Times New Roman"/>
          <w:sz w:val="24"/>
        </w:rPr>
        <w:t>M</w:t>
      </w:r>
      <w:r w:rsidR="00887EDD">
        <w:rPr>
          <w:rFonts w:ascii="Times New Roman" w:hAnsi="Times New Roman"/>
          <w:sz w:val="24"/>
        </w:rPr>
        <w:t>a</w:t>
      </w:r>
      <w:r w:rsidR="00A04483">
        <w:rPr>
          <w:rFonts w:ascii="Times New Roman" w:hAnsi="Times New Roman"/>
          <w:sz w:val="24"/>
        </w:rPr>
        <w:t>cCarthy</w:t>
      </w:r>
      <w:proofErr w:type="spellEnd"/>
      <w:r w:rsidR="00A04483">
        <w:rPr>
          <w:rFonts w:ascii="Times New Roman" w:hAnsi="Times New Roman"/>
          <w:sz w:val="24"/>
        </w:rPr>
        <w:t xml:space="preserve"> rejects the allegation that Bloom Solicitors i</w:t>
      </w:r>
      <w:r w:rsidR="00887EDD">
        <w:rPr>
          <w:rFonts w:ascii="Times New Roman" w:hAnsi="Times New Roman"/>
          <w:sz w:val="24"/>
        </w:rPr>
        <w:t>s</w:t>
      </w:r>
      <w:r w:rsidR="00A04483">
        <w:rPr>
          <w:rFonts w:ascii="Times New Roman" w:hAnsi="Times New Roman"/>
          <w:sz w:val="24"/>
        </w:rPr>
        <w:t xml:space="preserve"> a </w:t>
      </w:r>
      <w:r w:rsidR="00A04483">
        <w:rPr>
          <w:rFonts w:ascii="Times New Roman" w:hAnsi="Times New Roman"/>
          <w:i/>
          <w:sz w:val="24"/>
        </w:rPr>
        <w:t xml:space="preserve">façade </w:t>
      </w:r>
      <w:r w:rsidR="00A04483">
        <w:rPr>
          <w:rFonts w:ascii="Times New Roman" w:hAnsi="Times New Roman"/>
          <w:sz w:val="24"/>
        </w:rPr>
        <w:t xml:space="preserve">as claimed by Mr. </w:t>
      </w:r>
      <w:proofErr w:type="spellStart"/>
      <w:r w:rsidR="00A04483">
        <w:rPr>
          <w:rFonts w:ascii="Times New Roman" w:hAnsi="Times New Roman"/>
          <w:sz w:val="24"/>
        </w:rPr>
        <w:t>S</w:t>
      </w:r>
      <w:r w:rsidR="00FE794E">
        <w:rPr>
          <w:rFonts w:ascii="Times New Roman" w:hAnsi="Times New Roman"/>
          <w:sz w:val="24"/>
        </w:rPr>
        <w:t>k</w:t>
      </w:r>
      <w:r w:rsidR="00A04483">
        <w:rPr>
          <w:rFonts w:ascii="Times New Roman" w:hAnsi="Times New Roman"/>
          <w:sz w:val="24"/>
        </w:rPr>
        <w:t>oczylas</w:t>
      </w:r>
      <w:proofErr w:type="spellEnd"/>
      <w:r w:rsidR="00A04483">
        <w:rPr>
          <w:rFonts w:ascii="Times New Roman" w:hAnsi="Times New Roman"/>
          <w:sz w:val="24"/>
        </w:rPr>
        <w:t xml:space="preserve">.  He avers that </w:t>
      </w:r>
      <w:r w:rsidR="00887EDD">
        <w:rPr>
          <w:rFonts w:ascii="Times New Roman" w:hAnsi="Times New Roman"/>
          <w:sz w:val="24"/>
        </w:rPr>
        <w:t xml:space="preserve">(at the relevant time) </w:t>
      </w:r>
      <w:r w:rsidR="00A04483">
        <w:rPr>
          <w:rFonts w:ascii="Times New Roman" w:hAnsi="Times New Roman"/>
          <w:sz w:val="24"/>
        </w:rPr>
        <w:t>he was leaving the employment of the Bank and starting at the next phase of his own career.</w:t>
      </w:r>
    </w:p>
    <w:p w14:paraId="5DCB0921" w14:textId="1DDC9026" w:rsidR="00532EC1" w:rsidRPr="00FF4DCC" w:rsidRDefault="00532EC1" w:rsidP="00463A20">
      <w:pPr>
        <w:tabs>
          <w:tab w:val="left" w:pos="567"/>
        </w:tabs>
        <w:spacing w:line="480" w:lineRule="auto"/>
        <w:jc w:val="both"/>
        <w:rPr>
          <w:b/>
          <w:u w:val="single"/>
        </w:rPr>
      </w:pPr>
      <w:r w:rsidRPr="00FF4DCC">
        <w:rPr>
          <w:b/>
          <w:u w:val="single"/>
        </w:rPr>
        <w:t xml:space="preserve">Submissions of </w:t>
      </w:r>
      <w:r w:rsidR="00FF4DCC">
        <w:rPr>
          <w:b/>
          <w:u w:val="single"/>
        </w:rPr>
        <w:t xml:space="preserve">the </w:t>
      </w:r>
      <w:r w:rsidRPr="00FF4DCC">
        <w:rPr>
          <w:b/>
          <w:u w:val="single"/>
        </w:rPr>
        <w:t>Appellants</w:t>
      </w:r>
    </w:p>
    <w:p w14:paraId="62132698" w14:textId="5B97C5BC" w:rsidR="00351380" w:rsidRDefault="001B6339" w:rsidP="00463A20">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In his oral submissions to the Court, Mr. </w:t>
      </w:r>
      <w:proofErr w:type="spellStart"/>
      <w:r>
        <w:rPr>
          <w:rFonts w:ascii="Times New Roman" w:hAnsi="Times New Roman"/>
          <w:sz w:val="24"/>
        </w:rPr>
        <w:t>Skoczylas</w:t>
      </w:r>
      <w:proofErr w:type="spellEnd"/>
      <w:r>
        <w:rPr>
          <w:rFonts w:ascii="Times New Roman" w:hAnsi="Times New Roman"/>
          <w:sz w:val="24"/>
        </w:rPr>
        <w:t xml:space="preserve"> emphasised again and again that the peti</w:t>
      </w:r>
      <w:r w:rsidR="00E7647F">
        <w:rPr>
          <w:rFonts w:ascii="Times New Roman" w:hAnsi="Times New Roman"/>
          <w:sz w:val="24"/>
        </w:rPr>
        <w:t>ti</w:t>
      </w:r>
      <w:r>
        <w:rPr>
          <w:rFonts w:ascii="Times New Roman" w:hAnsi="Times New Roman"/>
          <w:sz w:val="24"/>
        </w:rPr>
        <w:t xml:space="preserve">oners </w:t>
      </w:r>
      <w:r w:rsidR="00E7647F">
        <w:rPr>
          <w:rFonts w:ascii="Times New Roman" w:hAnsi="Times New Roman"/>
          <w:sz w:val="24"/>
        </w:rPr>
        <w:t xml:space="preserve">are not seeking to prevent the Director Respondents from availing of Directors and Officers Liability insurance in accordance with the terms of the Policy.  While I will come back to this point, this assertion is somewhat at odds with the length to which Mr. </w:t>
      </w:r>
      <w:proofErr w:type="spellStart"/>
      <w:r w:rsidR="00E7647F">
        <w:rPr>
          <w:rFonts w:ascii="Times New Roman" w:hAnsi="Times New Roman"/>
          <w:sz w:val="24"/>
        </w:rPr>
        <w:t>Skoczylas</w:t>
      </w:r>
      <w:proofErr w:type="spellEnd"/>
      <w:r w:rsidR="00E7647F">
        <w:rPr>
          <w:rFonts w:ascii="Times New Roman" w:hAnsi="Times New Roman"/>
          <w:sz w:val="24"/>
        </w:rPr>
        <w:t xml:space="preserve"> has gone to try and persuade the </w:t>
      </w:r>
      <w:r w:rsidR="00887EDD">
        <w:rPr>
          <w:rFonts w:ascii="Times New Roman" w:hAnsi="Times New Roman"/>
          <w:sz w:val="24"/>
        </w:rPr>
        <w:t>C</w:t>
      </w:r>
      <w:r w:rsidR="00E7647F">
        <w:rPr>
          <w:rFonts w:ascii="Times New Roman" w:hAnsi="Times New Roman"/>
          <w:sz w:val="24"/>
        </w:rPr>
        <w:t>ourt that the Policy does not provide the indemnity which the underwriters have agreed in correspondence to provide to the Director Respondents.  It can hardly be for the petitioners to argue that the insurers are not obliged, under the terms of the Policy to indemnify, when the insurers themselves have agreed to do so.</w:t>
      </w:r>
    </w:p>
    <w:p w14:paraId="36C699AE" w14:textId="75AFCE6A" w:rsidR="00E7647F" w:rsidRDefault="00E7647F" w:rsidP="00463A20">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lastRenderedPageBreak/>
        <w:t xml:space="preserve">Mr. </w:t>
      </w:r>
      <w:proofErr w:type="spellStart"/>
      <w:r>
        <w:rPr>
          <w:rFonts w:ascii="Times New Roman" w:hAnsi="Times New Roman"/>
          <w:sz w:val="24"/>
        </w:rPr>
        <w:t>Skoczylas</w:t>
      </w:r>
      <w:proofErr w:type="spellEnd"/>
      <w:r>
        <w:rPr>
          <w:rFonts w:ascii="Times New Roman" w:hAnsi="Times New Roman"/>
          <w:sz w:val="24"/>
        </w:rPr>
        <w:t xml:space="preserve"> submitted to the Court that the petitioners are not seeking injunctive relief to prevent the Director Respondents from availing of the Policy or otherwise.  He submits that all the petitioners seek from the Court are declaratory reliefs in light of the express admission (as he characterises it) that the Director Respondents are using the resources of Holdings and/or the Bank in the defence of these proceedings.  </w:t>
      </w:r>
      <w:r w:rsidRPr="00766E49">
        <w:rPr>
          <w:rFonts w:ascii="Times New Roman" w:hAnsi="Times New Roman"/>
          <w:sz w:val="24"/>
        </w:rPr>
        <w:t xml:space="preserve">The reference to such admissions </w:t>
      </w:r>
      <w:r w:rsidR="000D3EB3" w:rsidRPr="00766E49">
        <w:rPr>
          <w:rFonts w:ascii="Times New Roman" w:hAnsi="Times New Roman"/>
          <w:sz w:val="24"/>
        </w:rPr>
        <w:t xml:space="preserve">I take to be </w:t>
      </w:r>
      <w:r w:rsidRPr="00766E49">
        <w:rPr>
          <w:rFonts w:ascii="Times New Roman" w:hAnsi="Times New Roman"/>
          <w:sz w:val="24"/>
        </w:rPr>
        <w:t>a reference to</w:t>
      </w:r>
      <w:r w:rsidR="009A50F0" w:rsidRPr="00766E49">
        <w:rPr>
          <w:rFonts w:ascii="Times New Roman" w:hAnsi="Times New Roman"/>
          <w:sz w:val="24"/>
        </w:rPr>
        <w:t xml:space="preserve"> the averment </w:t>
      </w:r>
      <w:r w:rsidRPr="00766E49">
        <w:rPr>
          <w:rFonts w:ascii="Times New Roman" w:hAnsi="Times New Roman"/>
          <w:sz w:val="24"/>
        </w:rPr>
        <w:t xml:space="preserve">in the affidavit of Mr. Long of </w:t>
      </w:r>
      <w:r w:rsidR="009A50F0" w:rsidRPr="00766E49">
        <w:rPr>
          <w:rFonts w:ascii="Times New Roman" w:hAnsi="Times New Roman"/>
          <w:sz w:val="24"/>
        </w:rPr>
        <w:t>21</w:t>
      </w:r>
      <w:r w:rsidR="009A50F0" w:rsidRPr="00766E49">
        <w:rPr>
          <w:rFonts w:ascii="Times New Roman" w:hAnsi="Times New Roman"/>
          <w:sz w:val="24"/>
          <w:vertAlign w:val="superscript"/>
        </w:rPr>
        <w:t>st</w:t>
      </w:r>
      <w:r w:rsidR="009A50F0" w:rsidRPr="00766E49">
        <w:rPr>
          <w:rFonts w:ascii="Times New Roman" w:hAnsi="Times New Roman"/>
          <w:sz w:val="24"/>
        </w:rPr>
        <w:t xml:space="preserve"> March 2013, referred to at para.</w:t>
      </w:r>
      <w:r w:rsidR="00766E49">
        <w:rPr>
          <w:rFonts w:ascii="Times New Roman" w:hAnsi="Times New Roman"/>
          <w:sz w:val="24"/>
        </w:rPr>
        <w:t xml:space="preserve"> </w:t>
      </w:r>
      <w:r w:rsidR="009A50F0" w:rsidRPr="00766E49">
        <w:rPr>
          <w:rFonts w:ascii="Times New Roman" w:hAnsi="Times New Roman"/>
          <w:sz w:val="24"/>
        </w:rPr>
        <w:t>5 above, and possibly also</w:t>
      </w:r>
      <w:r w:rsidR="009A50F0">
        <w:rPr>
          <w:rFonts w:ascii="Times New Roman" w:hAnsi="Times New Roman"/>
          <w:sz w:val="24"/>
        </w:rPr>
        <w:t xml:space="preserve"> a reference to the statement in Mr. Long’s affidavit of </w:t>
      </w:r>
      <w:r>
        <w:rPr>
          <w:rFonts w:ascii="Times New Roman" w:hAnsi="Times New Roman"/>
          <w:sz w:val="24"/>
        </w:rPr>
        <w:t>22</w:t>
      </w:r>
      <w:r w:rsidRPr="00E7647F">
        <w:rPr>
          <w:rFonts w:ascii="Times New Roman" w:hAnsi="Times New Roman"/>
          <w:sz w:val="24"/>
          <w:vertAlign w:val="superscript"/>
        </w:rPr>
        <w:t>nd</w:t>
      </w:r>
      <w:r>
        <w:rPr>
          <w:rFonts w:ascii="Times New Roman" w:hAnsi="Times New Roman"/>
          <w:sz w:val="24"/>
        </w:rPr>
        <w:t xml:space="preserve"> April 2013</w:t>
      </w:r>
      <w:r w:rsidR="009A50F0">
        <w:rPr>
          <w:rFonts w:ascii="Times New Roman" w:hAnsi="Times New Roman"/>
          <w:sz w:val="24"/>
        </w:rPr>
        <w:t xml:space="preserve"> (</w:t>
      </w:r>
      <w:r w:rsidR="009A50F0" w:rsidRPr="00766E49">
        <w:rPr>
          <w:rFonts w:ascii="Times New Roman" w:hAnsi="Times New Roman"/>
          <w:sz w:val="24"/>
        </w:rPr>
        <w:t>in connection with this application</w:t>
      </w:r>
      <w:r w:rsidR="009A50F0">
        <w:rPr>
          <w:rFonts w:ascii="Times New Roman" w:hAnsi="Times New Roman"/>
          <w:sz w:val="24"/>
        </w:rPr>
        <w:t>)</w:t>
      </w:r>
      <w:r>
        <w:rPr>
          <w:rFonts w:ascii="Times New Roman" w:hAnsi="Times New Roman"/>
          <w:sz w:val="24"/>
        </w:rPr>
        <w:t xml:space="preserve"> that: </w:t>
      </w:r>
      <w:r w:rsidRPr="003C2166">
        <w:rPr>
          <w:rFonts w:ascii="Times New Roman" w:hAnsi="Times New Roman"/>
          <w:iCs/>
          <w:sz w:val="24"/>
        </w:rPr>
        <w:t>“the circumstances of these proceedings are so unique that having regard to the vital interest which Group Holdings and the Bank have in the proceedings, they are entitled to fund the defence of the Director Respondents to the proceedings</w:t>
      </w:r>
      <w:r w:rsidR="002D7587">
        <w:rPr>
          <w:rFonts w:ascii="Times New Roman" w:hAnsi="Times New Roman"/>
          <w:iCs/>
          <w:sz w:val="24"/>
        </w:rPr>
        <w:t>.</w:t>
      </w:r>
      <w:r w:rsidRPr="003C2166">
        <w:rPr>
          <w:rFonts w:ascii="Times New Roman" w:hAnsi="Times New Roman"/>
          <w:iCs/>
          <w:sz w:val="24"/>
        </w:rPr>
        <w:t>”</w:t>
      </w:r>
      <w:r>
        <w:rPr>
          <w:rFonts w:ascii="Times New Roman" w:hAnsi="Times New Roman"/>
          <w:i/>
          <w:sz w:val="24"/>
        </w:rPr>
        <w:t xml:space="preserve"> </w:t>
      </w:r>
    </w:p>
    <w:p w14:paraId="3014108C" w14:textId="77609823" w:rsidR="00351380" w:rsidRDefault="00626FCA" w:rsidP="00463A20">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Mr. </w:t>
      </w:r>
      <w:proofErr w:type="spellStart"/>
      <w:r>
        <w:rPr>
          <w:rFonts w:ascii="Times New Roman" w:hAnsi="Times New Roman"/>
          <w:sz w:val="24"/>
        </w:rPr>
        <w:t>Skoczylas</w:t>
      </w:r>
      <w:proofErr w:type="spellEnd"/>
      <w:r>
        <w:rPr>
          <w:rFonts w:ascii="Times New Roman" w:hAnsi="Times New Roman"/>
          <w:sz w:val="24"/>
        </w:rPr>
        <w:t xml:space="preserve"> further submitted that the Director Respondents are fiduciaries and as such must not enrich themselves at the expense of the company, and must not put themselves in situations where their personal interests and those of Holdings and/or the Bank are in conflict.  By availing of the services of Mr. </w:t>
      </w:r>
      <w:proofErr w:type="spellStart"/>
      <w:r>
        <w:rPr>
          <w:rFonts w:ascii="Times New Roman" w:hAnsi="Times New Roman"/>
          <w:sz w:val="24"/>
        </w:rPr>
        <w:t>MacCarthy</w:t>
      </w:r>
      <w:proofErr w:type="spellEnd"/>
      <w:r>
        <w:rPr>
          <w:rFonts w:ascii="Times New Roman" w:hAnsi="Times New Roman"/>
          <w:sz w:val="24"/>
        </w:rPr>
        <w:t>, and others operating within the internal legal department of Holdings and/or the Bank, and corresponding services of Mr</w:t>
      </w:r>
      <w:r w:rsidR="001F153D">
        <w:rPr>
          <w:rFonts w:ascii="Times New Roman" w:hAnsi="Times New Roman"/>
          <w:sz w:val="24"/>
        </w:rPr>
        <w:t>.</w:t>
      </w:r>
      <w:r>
        <w:rPr>
          <w:rFonts w:ascii="Times New Roman" w:hAnsi="Times New Roman"/>
          <w:sz w:val="24"/>
        </w:rPr>
        <w:t xml:space="preserve"> Long, the </w:t>
      </w:r>
      <w:r w:rsidR="00A82D04">
        <w:rPr>
          <w:rFonts w:ascii="Times New Roman" w:hAnsi="Times New Roman"/>
          <w:sz w:val="24"/>
        </w:rPr>
        <w:t>c</w:t>
      </w:r>
      <w:r>
        <w:rPr>
          <w:rFonts w:ascii="Times New Roman" w:hAnsi="Times New Roman"/>
          <w:sz w:val="24"/>
        </w:rPr>
        <w:t xml:space="preserve">ompany </w:t>
      </w:r>
      <w:r w:rsidR="00A82D04">
        <w:rPr>
          <w:rFonts w:ascii="Times New Roman" w:hAnsi="Times New Roman"/>
          <w:sz w:val="24"/>
        </w:rPr>
        <w:t>s</w:t>
      </w:r>
      <w:r>
        <w:rPr>
          <w:rFonts w:ascii="Times New Roman" w:hAnsi="Times New Roman"/>
          <w:sz w:val="24"/>
        </w:rPr>
        <w:t xml:space="preserve">ecretary, and those working within his sphere, the Director Respondents are obtaining benefits at the expense of the </w:t>
      </w:r>
      <w:r w:rsidR="00A82D04">
        <w:rPr>
          <w:rFonts w:ascii="Times New Roman" w:hAnsi="Times New Roman"/>
          <w:sz w:val="24"/>
        </w:rPr>
        <w:t>c</w:t>
      </w:r>
      <w:r>
        <w:rPr>
          <w:rFonts w:ascii="Times New Roman" w:hAnsi="Times New Roman"/>
          <w:sz w:val="24"/>
        </w:rPr>
        <w:t xml:space="preserve">ompany which they are not entitled to obtain without the sanction of the </w:t>
      </w:r>
      <w:r w:rsidR="00A82D04">
        <w:rPr>
          <w:rFonts w:ascii="Times New Roman" w:hAnsi="Times New Roman"/>
          <w:sz w:val="24"/>
        </w:rPr>
        <w:t>c</w:t>
      </w:r>
      <w:r>
        <w:rPr>
          <w:rFonts w:ascii="Times New Roman" w:hAnsi="Times New Roman"/>
          <w:sz w:val="24"/>
        </w:rPr>
        <w:t xml:space="preserve">ompany in general meeting.  Furthermore, the fact that neither Holdings nor the Bank may be at a loss owing to the operation of the Policy (which is not a fact that Mr. </w:t>
      </w:r>
      <w:proofErr w:type="spellStart"/>
      <w:r>
        <w:rPr>
          <w:rFonts w:ascii="Times New Roman" w:hAnsi="Times New Roman"/>
          <w:sz w:val="24"/>
        </w:rPr>
        <w:t>Skoczylas</w:t>
      </w:r>
      <w:proofErr w:type="spellEnd"/>
      <w:r>
        <w:rPr>
          <w:rFonts w:ascii="Times New Roman" w:hAnsi="Times New Roman"/>
          <w:sz w:val="24"/>
        </w:rPr>
        <w:t xml:space="preserve"> concedes) is not a factor which the Court may take into account, having regard to the principles enunciated in </w:t>
      </w:r>
      <w:r w:rsidR="00906B7C">
        <w:rPr>
          <w:rFonts w:ascii="Times New Roman" w:hAnsi="Times New Roman"/>
          <w:i/>
          <w:sz w:val="24"/>
        </w:rPr>
        <w:t xml:space="preserve">Regal </w:t>
      </w:r>
      <w:r w:rsidR="003409F2">
        <w:rPr>
          <w:rFonts w:ascii="Times New Roman" w:hAnsi="Times New Roman"/>
          <w:i/>
          <w:sz w:val="24"/>
        </w:rPr>
        <w:t xml:space="preserve">(Hastings) </w:t>
      </w:r>
      <w:r w:rsidR="00906B7C">
        <w:rPr>
          <w:rFonts w:ascii="Times New Roman" w:hAnsi="Times New Roman"/>
          <w:i/>
          <w:sz w:val="24"/>
        </w:rPr>
        <w:t xml:space="preserve">v. Gulliver, </w:t>
      </w:r>
      <w:r w:rsidR="00906B7C">
        <w:rPr>
          <w:rFonts w:ascii="Times New Roman" w:hAnsi="Times New Roman"/>
          <w:sz w:val="24"/>
        </w:rPr>
        <w:t xml:space="preserve">a decision upon which Mr. </w:t>
      </w:r>
      <w:proofErr w:type="spellStart"/>
      <w:r w:rsidR="00906B7C">
        <w:rPr>
          <w:rFonts w:ascii="Times New Roman" w:hAnsi="Times New Roman"/>
          <w:sz w:val="24"/>
        </w:rPr>
        <w:t>Skoczylas</w:t>
      </w:r>
      <w:proofErr w:type="spellEnd"/>
      <w:r w:rsidR="00906B7C">
        <w:rPr>
          <w:rFonts w:ascii="Times New Roman" w:hAnsi="Times New Roman"/>
          <w:sz w:val="24"/>
        </w:rPr>
        <w:t xml:space="preserve"> placed great emphasis in his written submissions to this Court, on appeal, but which</w:t>
      </w:r>
      <w:r w:rsidR="00223612">
        <w:rPr>
          <w:rFonts w:ascii="Times New Roman" w:hAnsi="Times New Roman"/>
          <w:sz w:val="24"/>
        </w:rPr>
        <w:t xml:space="preserve"> (so far as is apparent from the papers before this Court)</w:t>
      </w:r>
      <w:r w:rsidR="00906B7C">
        <w:rPr>
          <w:rFonts w:ascii="Times New Roman" w:hAnsi="Times New Roman"/>
          <w:sz w:val="24"/>
        </w:rPr>
        <w:t xml:space="preserve"> he does not appear to have referred to at all in the </w:t>
      </w:r>
      <w:r w:rsidR="001F153D">
        <w:rPr>
          <w:rFonts w:ascii="Times New Roman" w:hAnsi="Times New Roman"/>
          <w:sz w:val="24"/>
        </w:rPr>
        <w:t>c</w:t>
      </w:r>
      <w:r w:rsidR="00906B7C">
        <w:rPr>
          <w:rFonts w:ascii="Times New Roman" w:hAnsi="Times New Roman"/>
          <w:sz w:val="24"/>
        </w:rPr>
        <w:t xml:space="preserve">ourt below.  </w:t>
      </w:r>
    </w:p>
    <w:p w14:paraId="0E882630" w14:textId="2BD26B2F" w:rsidR="00906B7C" w:rsidRDefault="00906B7C" w:rsidP="00463A20">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lastRenderedPageBreak/>
        <w:t xml:space="preserve">In his written submissions, Mr. </w:t>
      </w:r>
      <w:proofErr w:type="spellStart"/>
      <w:r>
        <w:rPr>
          <w:rFonts w:ascii="Times New Roman" w:hAnsi="Times New Roman"/>
          <w:sz w:val="24"/>
        </w:rPr>
        <w:t>Skoczylas</w:t>
      </w:r>
      <w:proofErr w:type="spellEnd"/>
      <w:r>
        <w:rPr>
          <w:rFonts w:ascii="Times New Roman" w:hAnsi="Times New Roman"/>
          <w:sz w:val="24"/>
        </w:rPr>
        <w:t xml:space="preserve"> submits that the trial judge erred in the following respects:</w:t>
      </w:r>
    </w:p>
    <w:p w14:paraId="4266AC76" w14:textId="213BF806" w:rsidR="00906B7C" w:rsidRDefault="00906B7C" w:rsidP="00463A20">
      <w:pPr>
        <w:pStyle w:val="ListParagraph"/>
        <w:numPr>
          <w:ilvl w:val="0"/>
          <w:numId w:val="5"/>
        </w:numPr>
        <w:tabs>
          <w:tab w:val="left" w:pos="567"/>
        </w:tabs>
        <w:spacing w:line="480" w:lineRule="auto"/>
        <w:ind w:left="1134" w:hanging="567"/>
        <w:rPr>
          <w:rFonts w:ascii="Times New Roman" w:hAnsi="Times New Roman"/>
          <w:sz w:val="24"/>
        </w:rPr>
      </w:pPr>
      <w:r>
        <w:rPr>
          <w:rFonts w:ascii="Times New Roman" w:hAnsi="Times New Roman"/>
          <w:sz w:val="24"/>
        </w:rPr>
        <w:t xml:space="preserve">Disregarding the admissions made by Mr. </w:t>
      </w:r>
      <w:proofErr w:type="spellStart"/>
      <w:r>
        <w:rPr>
          <w:rFonts w:ascii="Times New Roman" w:hAnsi="Times New Roman"/>
          <w:sz w:val="24"/>
        </w:rPr>
        <w:t>MacCarthy</w:t>
      </w:r>
      <w:proofErr w:type="spellEnd"/>
      <w:r>
        <w:rPr>
          <w:rFonts w:ascii="Times New Roman" w:hAnsi="Times New Roman"/>
          <w:sz w:val="24"/>
        </w:rPr>
        <w:t xml:space="preserve"> and Mr. Long that the Director Respondents have used the resources of Holdings in their defence of the s. 205 proceedings;</w:t>
      </w:r>
    </w:p>
    <w:p w14:paraId="14A6CD15" w14:textId="288A785D" w:rsidR="00906B7C" w:rsidRDefault="00BA2E3E" w:rsidP="00463A20">
      <w:pPr>
        <w:pStyle w:val="ListParagraph"/>
        <w:numPr>
          <w:ilvl w:val="0"/>
          <w:numId w:val="5"/>
        </w:numPr>
        <w:tabs>
          <w:tab w:val="left" w:pos="567"/>
        </w:tabs>
        <w:spacing w:line="480" w:lineRule="auto"/>
        <w:ind w:left="1134" w:hanging="567"/>
        <w:rPr>
          <w:rFonts w:ascii="Times New Roman" w:hAnsi="Times New Roman"/>
          <w:sz w:val="24"/>
        </w:rPr>
      </w:pPr>
      <w:r>
        <w:rPr>
          <w:rFonts w:ascii="Times New Roman" w:hAnsi="Times New Roman"/>
          <w:sz w:val="24"/>
        </w:rPr>
        <w:t>I</w:t>
      </w:r>
      <w:r w:rsidR="00906B7C">
        <w:rPr>
          <w:rFonts w:ascii="Times New Roman" w:hAnsi="Times New Roman"/>
          <w:sz w:val="24"/>
        </w:rPr>
        <w:t xml:space="preserve">n determining the application on the basis that any expenses incurred by Holdings in the defence of the proceedings would be reimbursed by the Policy and in particular by accepting what was stated in the letters received by AIG.  It was submitted that nothing in those letters exonerates the Director Respondents from breaching the “inflexible” and “inexorable” prohibition of the use of the resources of a company for the personal benefit of the Directors.  Moreover, the trial judge fell into error in failing to have regard to the terms of the Policy which states that it does not cover the salaries of employees of the insured.  The appellants refer to the definition of “defence costs” in the Policy in which it is stated that those costs </w:t>
      </w:r>
      <w:r w:rsidR="00906B7C" w:rsidRPr="00F70D92">
        <w:rPr>
          <w:rFonts w:ascii="Times New Roman" w:hAnsi="Times New Roman"/>
          <w:iCs/>
          <w:sz w:val="24"/>
        </w:rPr>
        <w:t>“shall not include remuneration of any insured, cost of their time or costs or overheads of any company.”</w:t>
      </w:r>
      <w:r w:rsidR="00906B7C" w:rsidRPr="007818A7">
        <w:rPr>
          <w:rFonts w:ascii="Times New Roman" w:hAnsi="Times New Roman"/>
          <w:i/>
          <w:sz w:val="24"/>
        </w:rPr>
        <w:t xml:space="preserve"> </w:t>
      </w:r>
      <w:r w:rsidR="00906B7C">
        <w:rPr>
          <w:rFonts w:ascii="Times New Roman" w:hAnsi="Times New Roman"/>
          <w:sz w:val="24"/>
        </w:rPr>
        <w:t xml:space="preserve"> The appellants also rely on other provisions of the Policy which they argue have the effect either of entitling the insurer to </w:t>
      </w:r>
      <w:r w:rsidR="0055455B">
        <w:rPr>
          <w:rFonts w:ascii="Times New Roman" w:hAnsi="Times New Roman"/>
          <w:sz w:val="24"/>
        </w:rPr>
        <w:t xml:space="preserve">refuse cover – if, for example, the </w:t>
      </w:r>
      <w:r w:rsidR="00D7118D">
        <w:rPr>
          <w:rFonts w:ascii="Times New Roman" w:hAnsi="Times New Roman"/>
          <w:sz w:val="24"/>
        </w:rPr>
        <w:t>d</w:t>
      </w:r>
      <w:r w:rsidR="0055455B">
        <w:rPr>
          <w:rFonts w:ascii="Times New Roman" w:hAnsi="Times New Roman"/>
          <w:sz w:val="24"/>
        </w:rPr>
        <w:t>irectors are found in the s.205 proceedings to have committed a wrongdoing, or to decline cover altogether, for example, on the basis that the events concerned occurred outside the period to which the insurance relates.</w:t>
      </w:r>
    </w:p>
    <w:p w14:paraId="3D2086C4" w14:textId="0FACA751" w:rsidR="00351380" w:rsidRDefault="00F70D92" w:rsidP="00463A20">
      <w:pPr>
        <w:pStyle w:val="ListParagraph"/>
        <w:numPr>
          <w:ilvl w:val="0"/>
          <w:numId w:val="5"/>
        </w:numPr>
        <w:tabs>
          <w:tab w:val="left" w:pos="567"/>
        </w:tabs>
        <w:spacing w:line="480" w:lineRule="auto"/>
        <w:ind w:left="1134" w:hanging="567"/>
        <w:rPr>
          <w:rFonts w:ascii="Times New Roman" w:hAnsi="Times New Roman"/>
          <w:sz w:val="24"/>
        </w:rPr>
      </w:pPr>
      <w:r>
        <w:rPr>
          <w:rFonts w:ascii="Times New Roman" w:hAnsi="Times New Roman"/>
          <w:sz w:val="24"/>
        </w:rPr>
        <w:t>I</w:t>
      </w:r>
      <w:r w:rsidR="0055455B" w:rsidRPr="0055455B">
        <w:rPr>
          <w:rFonts w:ascii="Times New Roman" w:hAnsi="Times New Roman"/>
          <w:sz w:val="24"/>
        </w:rPr>
        <w:t xml:space="preserve">n receiving into evidence the affidavits sworn by Mr. Long (which exhibit the letters from the insurers) which the appellants contend is inadmissible hearsay.  </w:t>
      </w:r>
    </w:p>
    <w:p w14:paraId="02270910" w14:textId="007CBD0C" w:rsidR="0055455B" w:rsidRDefault="0055455B" w:rsidP="00463A20">
      <w:pPr>
        <w:pStyle w:val="ListParagraph"/>
        <w:numPr>
          <w:ilvl w:val="0"/>
          <w:numId w:val="5"/>
        </w:numPr>
        <w:tabs>
          <w:tab w:val="left" w:pos="567"/>
        </w:tabs>
        <w:spacing w:line="480" w:lineRule="auto"/>
        <w:ind w:left="1134" w:hanging="567"/>
        <w:rPr>
          <w:rFonts w:ascii="Times New Roman" w:hAnsi="Times New Roman"/>
          <w:sz w:val="24"/>
        </w:rPr>
      </w:pPr>
      <w:r w:rsidRPr="0055455B">
        <w:rPr>
          <w:rFonts w:ascii="Times New Roman" w:hAnsi="Times New Roman"/>
          <w:sz w:val="24"/>
        </w:rPr>
        <w:t xml:space="preserve">In disregarding the duties of directors both under common law and under the Companies Acts.  The trial judge had evidence before her as to the breach of </w:t>
      </w:r>
      <w:r w:rsidRPr="0055455B">
        <w:rPr>
          <w:rFonts w:ascii="Times New Roman" w:hAnsi="Times New Roman"/>
          <w:sz w:val="24"/>
        </w:rPr>
        <w:lastRenderedPageBreak/>
        <w:t xml:space="preserve">their duties by the </w:t>
      </w:r>
      <w:r w:rsidR="00D7118D">
        <w:rPr>
          <w:rFonts w:ascii="Times New Roman" w:hAnsi="Times New Roman"/>
          <w:sz w:val="24"/>
        </w:rPr>
        <w:t>d</w:t>
      </w:r>
      <w:r w:rsidRPr="0055455B">
        <w:rPr>
          <w:rFonts w:ascii="Times New Roman" w:hAnsi="Times New Roman"/>
          <w:sz w:val="24"/>
        </w:rPr>
        <w:t xml:space="preserve">irectors which she failed to take into account in arriving at her decision.  </w:t>
      </w:r>
    </w:p>
    <w:p w14:paraId="77851881" w14:textId="11C0FD92" w:rsidR="0055455B" w:rsidRDefault="009A7B1D" w:rsidP="00463A20">
      <w:pPr>
        <w:pStyle w:val="ListParagraph"/>
        <w:numPr>
          <w:ilvl w:val="0"/>
          <w:numId w:val="5"/>
        </w:numPr>
        <w:tabs>
          <w:tab w:val="left" w:pos="567"/>
        </w:tabs>
        <w:spacing w:line="480" w:lineRule="auto"/>
        <w:ind w:left="1134" w:hanging="567"/>
        <w:rPr>
          <w:rFonts w:ascii="Times New Roman" w:hAnsi="Times New Roman"/>
          <w:sz w:val="24"/>
        </w:rPr>
      </w:pPr>
      <w:r>
        <w:rPr>
          <w:rFonts w:ascii="Times New Roman" w:hAnsi="Times New Roman"/>
          <w:sz w:val="24"/>
        </w:rPr>
        <w:t>I</w:t>
      </w:r>
      <w:r w:rsidR="0055455B">
        <w:rPr>
          <w:rFonts w:ascii="Times New Roman" w:hAnsi="Times New Roman"/>
          <w:sz w:val="24"/>
        </w:rPr>
        <w:t xml:space="preserve">n failing to apply the principles identified as far back as </w:t>
      </w:r>
      <w:r w:rsidR="0055455B" w:rsidRPr="0055455B">
        <w:rPr>
          <w:rFonts w:ascii="Times New Roman" w:hAnsi="Times New Roman"/>
          <w:i/>
          <w:sz w:val="24"/>
        </w:rPr>
        <w:t>Pickering v. Stephenson</w:t>
      </w:r>
      <w:r w:rsidR="0055455B">
        <w:rPr>
          <w:rFonts w:ascii="Times New Roman" w:hAnsi="Times New Roman"/>
          <w:sz w:val="24"/>
        </w:rPr>
        <w:t xml:space="preserve"> and </w:t>
      </w:r>
      <w:r>
        <w:rPr>
          <w:rFonts w:ascii="Times New Roman" w:hAnsi="Times New Roman"/>
          <w:sz w:val="24"/>
        </w:rPr>
        <w:t>re</w:t>
      </w:r>
      <w:r w:rsidR="0055455B">
        <w:rPr>
          <w:rFonts w:ascii="Times New Roman" w:hAnsi="Times New Roman"/>
          <w:sz w:val="24"/>
        </w:rPr>
        <w:t xml:space="preserve">stated in cases such as </w:t>
      </w:r>
      <w:r w:rsidR="0055455B">
        <w:rPr>
          <w:rFonts w:ascii="Times New Roman" w:hAnsi="Times New Roman"/>
          <w:i/>
          <w:sz w:val="24"/>
        </w:rPr>
        <w:t xml:space="preserve">Re </w:t>
      </w:r>
      <w:proofErr w:type="spellStart"/>
      <w:r w:rsidR="0055455B">
        <w:rPr>
          <w:rFonts w:ascii="Times New Roman" w:hAnsi="Times New Roman"/>
          <w:i/>
          <w:sz w:val="24"/>
        </w:rPr>
        <w:t>Crossmore</w:t>
      </w:r>
      <w:proofErr w:type="spellEnd"/>
      <w:r w:rsidR="0055455B">
        <w:rPr>
          <w:rFonts w:ascii="Times New Roman" w:hAnsi="Times New Roman"/>
          <w:i/>
          <w:sz w:val="24"/>
        </w:rPr>
        <w:t xml:space="preserve"> Electric and Civil Engineering Limited </w:t>
      </w:r>
      <w:r w:rsidR="0055455B">
        <w:rPr>
          <w:rFonts w:ascii="Times New Roman" w:hAnsi="Times New Roman"/>
          <w:sz w:val="24"/>
        </w:rPr>
        <w:t xml:space="preserve">(see </w:t>
      </w:r>
      <w:r w:rsidR="00223612">
        <w:rPr>
          <w:rFonts w:ascii="Times New Roman" w:hAnsi="Times New Roman"/>
          <w:sz w:val="24"/>
        </w:rPr>
        <w:t xml:space="preserve">quotation from </w:t>
      </w:r>
      <w:r w:rsidR="00C13BCF">
        <w:rPr>
          <w:rFonts w:ascii="Times New Roman" w:hAnsi="Times New Roman"/>
          <w:sz w:val="24"/>
        </w:rPr>
        <w:t xml:space="preserve">the </w:t>
      </w:r>
      <w:r w:rsidR="00223612">
        <w:rPr>
          <w:rFonts w:ascii="Times New Roman" w:hAnsi="Times New Roman"/>
          <w:sz w:val="24"/>
        </w:rPr>
        <w:t xml:space="preserve">judgment of </w:t>
      </w:r>
      <w:r w:rsidR="0055455B">
        <w:rPr>
          <w:rFonts w:ascii="Times New Roman" w:hAnsi="Times New Roman"/>
          <w:sz w:val="24"/>
        </w:rPr>
        <w:t xml:space="preserve">Hoffman J. at para. </w:t>
      </w:r>
      <w:r w:rsidR="00D7118D">
        <w:rPr>
          <w:rFonts w:ascii="Times New Roman" w:hAnsi="Times New Roman"/>
          <w:sz w:val="24"/>
        </w:rPr>
        <w:t>2</w:t>
      </w:r>
      <w:r w:rsidR="00C13BCF">
        <w:rPr>
          <w:rFonts w:ascii="Times New Roman" w:hAnsi="Times New Roman"/>
          <w:sz w:val="24"/>
        </w:rPr>
        <w:t>1</w:t>
      </w:r>
      <w:r w:rsidR="0055455B">
        <w:rPr>
          <w:rFonts w:ascii="Times New Roman" w:hAnsi="Times New Roman"/>
          <w:sz w:val="24"/>
        </w:rPr>
        <w:t xml:space="preserve"> above)</w:t>
      </w:r>
      <w:r w:rsidR="00CD5851">
        <w:rPr>
          <w:rFonts w:ascii="Times New Roman" w:hAnsi="Times New Roman"/>
          <w:sz w:val="24"/>
        </w:rPr>
        <w:t>,</w:t>
      </w:r>
      <w:r w:rsidR="0055455B">
        <w:rPr>
          <w:rFonts w:ascii="Times New Roman" w:hAnsi="Times New Roman"/>
          <w:sz w:val="24"/>
        </w:rPr>
        <w:t xml:space="preserve"> </w:t>
      </w:r>
      <w:r w:rsidR="009B1710">
        <w:rPr>
          <w:rFonts w:ascii="Times New Roman" w:hAnsi="Times New Roman"/>
          <w:iCs/>
          <w:sz w:val="24"/>
        </w:rPr>
        <w:t>i</w:t>
      </w:r>
      <w:r w:rsidR="0055455B" w:rsidRPr="009B1710">
        <w:rPr>
          <w:rFonts w:ascii="Times New Roman" w:hAnsi="Times New Roman"/>
          <w:iCs/>
          <w:sz w:val="24"/>
        </w:rPr>
        <w:t>n</w:t>
      </w:r>
      <w:r w:rsidR="0055455B">
        <w:rPr>
          <w:rFonts w:ascii="Times New Roman" w:hAnsi="Times New Roman"/>
          <w:i/>
          <w:sz w:val="24"/>
        </w:rPr>
        <w:t xml:space="preserve"> Re </w:t>
      </w:r>
      <w:r w:rsidR="00CD5851">
        <w:rPr>
          <w:rFonts w:ascii="Times New Roman" w:hAnsi="Times New Roman"/>
          <w:i/>
          <w:sz w:val="24"/>
        </w:rPr>
        <w:t>a</w:t>
      </w:r>
      <w:r w:rsidR="0055455B">
        <w:rPr>
          <w:rFonts w:ascii="Times New Roman" w:hAnsi="Times New Roman"/>
          <w:i/>
          <w:sz w:val="24"/>
        </w:rPr>
        <w:t xml:space="preserve"> Company </w:t>
      </w:r>
      <w:r w:rsidR="0055455B">
        <w:rPr>
          <w:rFonts w:ascii="Times New Roman" w:hAnsi="Times New Roman"/>
          <w:sz w:val="24"/>
        </w:rPr>
        <w:t xml:space="preserve">and </w:t>
      </w:r>
      <w:r w:rsidR="0055455B">
        <w:rPr>
          <w:rFonts w:ascii="Times New Roman" w:hAnsi="Times New Roman"/>
          <w:i/>
          <w:sz w:val="24"/>
        </w:rPr>
        <w:t xml:space="preserve">Regal </w:t>
      </w:r>
      <w:r w:rsidR="003409F2" w:rsidRPr="003409F2">
        <w:rPr>
          <w:rFonts w:ascii="Times New Roman" w:hAnsi="Times New Roman"/>
          <w:i/>
          <w:sz w:val="24"/>
        </w:rPr>
        <w:t xml:space="preserve">(Hastings) </w:t>
      </w:r>
      <w:r w:rsidR="0055455B">
        <w:rPr>
          <w:rFonts w:ascii="Times New Roman" w:hAnsi="Times New Roman"/>
          <w:i/>
          <w:sz w:val="24"/>
        </w:rPr>
        <w:t>v. Gulliver</w:t>
      </w:r>
      <w:r w:rsidR="0055455B">
        <w:rPr>
          <w:rFonts w:ascii="Times New Roman" w:hAnsi="Times New Roman"/>
          <w:sz w:val="24"/>
        </w:rPr>
        <w:t>.</w:t>
      </w:r>
    </w:p>
    <w:p w14:paraId="5E9F8C7F" w14:textId="681833C5" w:rsidR="0055455B" w:rsidRDefault="0055455B" w:rsidP="00463A20">
      <w:pPr>
        <w:pStyle w:val="ListParagraph"/>
        <w:numPr>
          <w:ilvl w:val="0"/>
          <w:numId w:val="5"/>
        </w:numPr>
        <w:tabs>
          <w:tab w:val="left" w:pos="567"/>
        </w:tabs>
        <w:spacing w:line="480" w:lineRule="auto"/>
        <w:ind w:left="1134" w:hanging="567"/>
        <w:rPr>
          <w:rFonts w:ascii="Times New Roman" w:hAnsi="Times New Roman"/>
          <w:sz w:val="24"/>
        </w:rPr>
      </w:pPr>
      <w:r>
        <w:rPr>
          <w:rFonts w:ascii="Times New Roman" w:hAnsi="Times New Roman"/>
          <w:sz w:val="24"/>
        </w:rPr>
        <w:t>The appellants take issue with the test applied by the trial judge in para. 52 of her judgment (</w:t>
      </w:r>
      <w:r w:rsidR="00F13ABB">
        <w:rPr>
          <w:rFonts w:ascii="Times New Roman" w:hAnsi="Times New Roman"/>
          <w:sz w:val="24"/>
        </w:rPr>
        <w:t>see</w:t>
      </w:r>
      <w:r>
        <w:rPr>
          <w:rFonts w:ascii="Times New Roman" w:hAnsi="Times New Roman"/>
          <w:sz w:val="24"/>
        </w:rPr>
        <w:t xml:space="preserve"> para. </w:t>
      </w:r>
      <w:r w:rsidR="00E913BC">
        <w:rPr>
          <w:rFonts w:ascii="Times New Roman" w:hAnsi="Times New Roman"/>
          <w:sz w:val="24"/>
        </w:rPr>
        <w:t>2</w:t>
      </w:r>
      <w:r w:rsidR="00C13BCF">
        <w:rPr>
          <w:rFonts w:ascii="Times New Roman" w:hAnsi="Times New Roman"/>
          <w:sz w:val="24"/>
        </w:rPr>
        <w:t>2</w:t>
      </w:r>
      <w:r>
        <w:rPr>
          <w:rFonts w:ascii="Times New Roman" w:hAnsi="Times New Roman"/>
          <w:sz w:val="24"/>
        </w:rPr>
        <w:t xml:space="preserve"> above), in which the trial judge applied the “necessity and expediency test” referred to </w:t>
      </w:r>
      <w:r w:rsidR="00322D5C">
        <w:rPr>
          <w:rFonts w:ascii="Times New Roman" w:hAnsi="Times New Roman"/>
          <w:sz w:val="24"/>
        </w:rPr>
        <w:t>i</w:t>
      </w:r>
      <w:r w:rsidRPr="00322D5C">
        <w:rPr>
          <w:rFonts w:ascii="Times New Roman" w:hAnsi="Times New Roman"/>
          <w:sz w:val="24"/>
        </w:rPr>
        <w:t>n</w:t>
      </w:r>
      <w:r w:rsidRPr="005A6963">
        <w:rPr>
          <w:rFonts w:ascii="Times New Roman" w:hAnsi="Times New Roman"/>
          <w:i/>
          <w:iCs/>
          <w:sz w:val="24"/>
        </w:rPr>
        <w:t xml:space="preserve"> </w:t>
      </w:r>
      <w:r>
        <w:rPr>
          <w:rFonts w:ascii="Times New Roman" w:hAnsi="Times New Roman"/>
          <w:i/>
          <w:sz w:val="24"/>
        </w:rPr>
        <w:t xml:space="preserve">Re </w:t>
      </w:r>
      <w:r w:rsidR="00B14CD6">
        <w:rPr>
          <w:rFonts w:ascii="Times New Roman" w:hAnsi="Times New Roman"/>
          <w:i/>
          <w:sz w:val="24"/>
        </w:rPr>
        <w:t>a</w:t>
      </w:r>
      <w:r>
        <w:rPr>
          <w:rFonts w:ascii="Times New Roman" w:hAnsi="Times New Roman"/>
          <w:i/>
          <w:sz w:val="24"/>
        </w:rPr>
        <w:t xml:space="preserve"> Company</w:t>
      </w:r>
      <w:r>
        <w:rPr>
          <w:rFonts w:ascii="Times New Roman" w:hAnsi="Times New Roman"/>
          <w:sz w:val="24"/>
        </w:rPr>
        <w:t xml:space="preserve">.  The appellants submit that there can be no question of applying that test for the purpose of authorising the use of the resources of a company for the personal benefit of its directors.  </w:t>
      </w:r>
    </w:p>
    <w:p w14:paraId="1D29AF45" w14:textId="77777777" w:rsidR="009253D1" w:rsidRDefault="00A44341" w:rsidP="00463A20">
      <w:pPr>
        <w:pStyle w:val="ListParagraph"/>
        <w:numPr>
          <w:ilvl w:val="0"/>
          <w:numId w:val="5"/>
        </w:numPr>
        <w:tabs>
          <w:tab w:val="left" w:pos="567"/>
        </w:tabs>
        <w:spacing w:line="480" w:lineRule="auto"/>
        <w:ind w:left="1134" w:hanging="567"/>
        <w:rPr>
          <w:rFonts w:ascii="Times New Roman" w:hAnsi="Times New Roman"/>
          <w:sz w:val="24"/>
        </w:rPr>
      </w:pPr>
      <w:r>
        <w:rPr>
          <w:rFonts w:ascii="Times New Roman" w:hAnsi="Times New Roman"/>
          <w:sz w:val="24"/>
        </w:rPr>
        <w:t xml:space="preserve">The appellants further submit that the trial judge fell into error in concluding that “the petitioners on this application appear to be attempting to pre-empt the decision which would normally be made by the trial judge as to who should bear the burden of the costs of the s.205 proceedings”.  </w:t>
      </w:r>
      <w:r w:rsidR="00B14CD6">
        <w:rPr>
          <w:rFonts w:ascii="Times New Roman" w:hAnsi="Times New Roman"/>
          <w:sz w:val="24"/>
        </w:rPr>
        <w:t>T</w:t>
      </w:r>
      <w:r>
        <w:rPr>
          <w:rFonts w:ascii="Times New Roman" w:hAnsi="Times New Roman"/>
          <w:sz w:val="24"/>
        </w:rPr>
        <w:t>he appellants submit:</w:t>
      </w:r>
    </w:p>
    <w:p w14:paraId="055A6175" w14:textId="1D64F297" w:rsidR="00A44341" w:rsidRDefault="00A44341" w:rsidP="00463A20">
      <w:pPr>
        <w:pStyle w:val="ListParagraph"/>
        <w:tabs>
          <w:tab w:val="left" w:pos="567"/>
        </w:tabs>
        <w:spacing w:line="480" w:lineRule="auto"/>
        <w:ind w:left="1134"/>
        <w:rPr>
          <w:rFonts w:ascii="Times New Roman" w:hAnsi="Times New Roman"/>
          <w:sz w:val="24"/>
        </w:rPr>
      </w:pPr>
      <w:r w:rsidRPr="00B14CD6">
        <w:rPr>
          <w:rFonts w:ascii="Times New Roman" w:hAnsi="Times New Roman"/>
          <w:iCs/>
          <w:sz w:val="24"/>
        </w:rPr>
        <w:t>“</w:t>
      </w:r>
      <w:r w:rsidR="009253D1">
        <w:rPr>
          <w:rFonts w:ascii="Times New Roman" w:hAnsi="Times New Roman"/>
          <w:iCs/>
          <w:sz w:val="24"/>
        </w:rPr>
        <w:t>R</w:t>
      </w:r>
      <w:r w:rsidRPr="00B14CD6">
        <w:rPr>
          <w:rFonts w:ascii="Times New Roman" w:hAnsi="Times New Roman"/>
          <w:iCs/>
          <w:sz w:val="24"/>
        </w:rPr>
        <w:t xml:space="preserve">espectfully, the learned trial judge either failed to understand those reliefs [i.e. the reliefs sought on this application] or patently misrepresented them and turned them into the false, conjured notion quoted above, in order to justify her manifestly erroneous judgment.  </w:t>
      </w:r>
      <w:r w:rsidR="00B14CD6">
        <w:rPr>
          <w:rFonts w:ascii="Times New Roman" w:hAnsi="Times New Roman"/>
          <w:iCs/>
          <w:sz w:val="24"/>
        </w:rPr>
        <w:t>I</w:t>
      </w:r>
      <w:r w:rsidRPr="00B14CD6">
        <w:rPr>
          <w:rFonts w:ascii="Times New Roman" w:hAnsi="Times New Roman"/>
          <w:iCs/>
          <w:sz w:val="24"/>
        </w:rPr>
        <w:t xml:space="preserve">ndeed, by law, the reliefs sought herein should be granted irrespective of </w:t>
      </w:r>
      <w:r w:rsidR="00B14CD6">
        <w:rPr>
          <w:rFonts w:ascii="Times New Roman" w:hAnsi="Times New Roman"/>
          <w:iCs/>
          <w:sz w:val="24"/>
        </w:rPr>
        <w:t>‘</w:t>
      </w:r>
      <w:r w:rsidRPr="00B14CD6">
        <w:rPr>
          <w:rFonts w:ascii="Times New Roman" w:hAnsi="Times New Roman"/>
          <w:iCs/>
          <w:sz w:val="24"/>
        </w:rPr>
        <w:t>who should bear the burden of the costs of the s.205 proceedings</w:t>
      </w:r>
      <w:r w:rsidR="009253D1">
        <w:rPr>
          <w:rFonts w:ascii="Times New Roman" w:hAnsi="Times New Roman"/>
          <w:iCs/>
          <w:sz w:val="24"/>
        </w:rPr>
        <w:t>.</w:t>
      </w:r>
      <w:r w:rsidR="00B14CD6">
        <w:rPr>
          <w:rFonts w:ascii="Times New Roman" w:hAnsi="Times New Roman"/>
          <w:iCs/>
          <w:sz w:val="24"/>
        </w:rPr>
        <w:t>’</w:t>
      </w:r>
      <w:r w:rsidRPr="00B14CD6">
        <w:rPr>
          <w:rFonts w:ascii="Times New Roman" w:hAnsi="Times New Roman"/>
          <w:iCs/>
          <w:sz w:val="24"/>
        </w:rPr>
        <w:t>”</w:t>
      </w:r>
    </w:p>
    <w:p w14:paraId="7FF74416" w14:textId="0AB6CB2F" w:rsidR="00A44341" w:rsidRPr="00FE4AB1" w:rsidRDefault="00A44341" w:rsidP="00463A20">
      <w:pPr>
        <w:pStyle w:val="ListParagraph"/>
        <w:numPr>
          <w:ilvl w:val="0"/>
          <w:numId w:val="5"/>
        </w:numPr>
        <w:tabs>
          <w:tab w:val="left" w:pos="567"/>
        </w:tabs>
        <w:spacing w:line="480" w:lineRule="auto"/>
        <w:ind w:left="1134" w:hanging="567"/>
        <w:rPr>
          <w:rFonts w:ascii="Times New Roman" w:hAnsi="Times New Roman"/>
          <w:sz w:val="24"/>
        </w:rPr>
      </w:pPr>
      <w:r>
        <w:rPr>
          <w:rFonts w:ascii="Times New Roman" w:hAnsi="Times New Roman"/>
          <w:sz w:val="24"/>
        </w:rPr>
        <w:t xml:space="preserve">The appellants also took issue with the analysis of the trial judge in para. 53 of her judgment (see para. </w:t>
      </w:r>
      <w:r w:rsidR="00EF2B99">
        <w:rPr>
          <w:rFonts w:ascii="Times New Roman" w:hAnsi="Times New Roman"/>
          <w:sz w:val="24"/>
        </w:rPr>
        <w:t>2</w:t>
      </w:r>
      <w:r w:rsidR="00C13BCF">
        <w:rPr>
          <w:rFonts w:ascii="Times New Roman" w:hAnsi="Times New Roman"/>
          <w:sz w:val="24"/>
        </w:rPr>
        <w:t>5</w:t>
      </w:r>
      <w:r>
        <w:rPr>
          <w:rFonts w:ascii="Times New Roman" w:hAnsi="Times New Roman"/>
          <w:sz w:val="24"/>
        </w:rPr>
        <w:t xml:space="preserve"> above).  It is submitted that </w:t>
      </w:r>
      <w:r w:rsidRPr="00357571">
        <w:rPr>
          <w:rFonts w:ascii="Times New Roman" w:hAnsi="Times New Roman"/>
          <w:iCs/>
          <w:sz w:val="24"/>
        </w:rPr>
        <w:t xml:space="preserve">“it is clear that directors as company agents are </w:t>
      </w:r>
      <w:r w:rsidR="00357571">
        <w:rPr>
          <w:rFonts w:ascii="Times New Roman" w:hAnsi="Times New Roman"/>
          <w:iCs/>
          <w:sz w:val="24"/>
        </w:rPr>
        <w:t>‘</w:t>
      </w:r>
      <w:r w:rsidRPr="00357571">
        <w:rPr>
          <w:rFonts w:ascii="Times New Roman" w:hAnsi="Times New Roman"/>
          <w:iCs/>
          <w:sz w:val="24"/>
        </w:rPr>
        <w:t>inflexibly</w:t>
      </w:r>
      <w:r w:rsidR="00357571">
        <w:rPr>
          <w:rFonts w:ascii="Times New Roman" w:hAnsi="Times New Roman"/>
          <w:iCs/>
          <w:sz w:val="24"/>
        </w:rPr>
        <w:t>’</w:t>
      </w:r>
      <w:r w:rsidRPr="00357571">
        <w:rPr>
          <w:rFonts w:ascii="Times New Roman" w:hAnsi="Times New Roman"/>
          <w:iCs/>
          <w:sz w:val="24"/>
        </w:rPr>
        <w:t xml:space="preserve"> and </w:t>
      </w:r>
      <w:r w:rsidR="00357571">
        <w:rPr>
          <w:rFonts w:ascii="Times New Roman" w:hAnsi="Times New Roman"/>
          <w:iCs/>
          <w:sz w:val="24"/>
        </w:rPr>
        <w:t>‘</w:t>
      </w:r>
      <w:r w:rsidRPr="00357571">
        <w:rPr>
          <w:rFonts w:ascii="Times New Roman" w:hAnsi="Times New Roman"/>
          <w:iCs/>
          <w:sz w:val="24"/>
        </w:rPr>
        <w:t>inexorably</w:t>
      </w:r>
      <w:r w:rsidR="00357571">
        <w:rPr>
          <w:rFonts w:ascii="Times New Roman" w:hAnsi="Times New Roman"/>
          <w:iCs/>
          <w:sz w:val="24"/>
        </w:rPr>
        <w:t>’</w:t>
      </w:r>
      <w:r w:rsidRPr="00357571">
        <w:rPr>
          <w:rFonts w:ascii="Times New Roman" w:hAnsi="Times New Roman"/>
          <w:iCs/>
          <w:sz w:val="24"/>
        </w:rPr>
        <w:t xml:space="preserve"> prohibited from using company resources for their personal benefit.  Thus, to allege that an injustice </w:t>
      </w:r>
      <w:r w:rsidRPr="00357571">
        <w:rPr>
          <w:rFonts w:ascii="Times New Roman" w:hAnsi="Times New Roman"/>
          <w:iCs/>
          <w:sz w:val="24"/>
        </w:rPr>
        <w:lastRenderedPageBreak/>
        <w:t>could have been done to the Director Respondents by precluding them from utilising the company resources for personal benefit is manifestly incongruous and patently flies in the face of the law</w:t>
      </w:r>
      <w:r w:rsidR="00357571">
        <w:rPr>
          <w:rFonts w:ascii="Times New Roman" w:hAnsi="Times New Roman"/>
          <w:iCs/>
          <w:sz w:val="24"/>
        </w:rPr>
        <w:t>.</w:t>
      </w:r>
      <w:r w:rsidRPr="00357571">
        <w:rPr>
          <w:rFonts w:ascii="Times New Roman" w:hAnsi="Times New Roman"/>
          <w:iCs/>
          <w:sz w:val="24"/>
        </w:rPr>
        <w:t>”</w:t>
      </w:r>
      <w:r>
        <w:rPr>
          <w:rFonts w:ascii="Times New Roman" w:hAnsi="Times New Roman"/>
          <w:i/>
          <w:sz w:val="24"/>
        </w:rPr>
        <w:t xml:space="preserve">  </w:t>
      </w:r>
      <w:r>
        <w:rPr>
          <w:rFonts w:ascii="Times New Roman" w:hAnsi="Times New Roman"/>
          <w:sz w:val="24"/>
        </w:rPr>
        <w:t xml:space="preserve">There are other passages in which the written submissions prepared by Mr. </w:t>
      </w:r>
      <w:proofErr w:type="spellStart"/>
      <w:r>
        <w:rPr>
          <w:rFonts w:ascii="Times New Roman" w:hAnsi="Times New Roman"/>
          <w:sz w:val="24"/>
        </w:rPr>
        <w:t>Skoczylas</w:t>
      </w:r>
      <w:proofErr w:type="spellEnd"/>
      <w:r>
        <w:rPr>
          <w:rFonts w:ascii="Times New Roman" w:hAnsi="Times New Roman"/>
          <w:sz w:val="24"/>
        </w:rPr>
        <w:t xml:space="preserve"> assert that the trial judge </w:t>
      </w:r>
      <w:r w:rsidR="00FE4AB1" w:rsidRPr="008B73F5">
        <w:rPr>
          <w:rFonts w:ascii="Times New Roman" w:hAnsi="Times New Roman"/>
          <w:iCs/>
          <w:sz w:val="24"/>
        </w:rPr>
        <w:t xml:space="preserve">selectively used </w:t>
      </w:r>
      <w:r w:rsidR="00B072D2">
        <w:rPr>
          <w:rFonts w:ascii="Times New Roman" w:hAnsi="Times New Roman"/>
          <w:iCs/>
          <w:sz w:val="24"/>
        </w:rPr>
        <w:t>i</w:t>
      </w:r>
      <w:r w:rsidR="00FE4AB1" w:rsidRPr="00B072D2">
        <w:rPr>
          <w:rFonts w:ascii="Times New Roman" w:hAnsi="Times New Roman"/>
          <w:iCs/>
          <w:sz w:val="24"/>
        </w:rPr>
        <w:t>n</w:t>
      </w:r>
      <w:r w:rsidR="00FE4AB1" w:rsidRPr="008B73F5">
        <w:rPr>
          <w:rFonts w:ascii="Times New Roman" w:hAnsi="Times New Roman"/>
          <w:i/>
          <w:sz w:val="24"/>
        </w:rPr>
        <w:t xml:space="preserve"> Re </w:t>
      </w:r>
      <w:r w:rsidR="00E913BC">
        <w:rPr>
          <w:rFonts w:ascii="Times New Roman" w:hAnsi="Times New Roman"/>
          <w:i/>
          <w:sz w:val="24"/>
        </w:rPr>
        <w:t>a</w:t>
      </w:r>
      <w:r w:rsidR="00FE4AB1" w:rsidRPr="008B73F5">
        <w:rPr>
          <w:rFonts w:ascii="Times New Roman" w:hAnsi="Times New Roman"/>
          <w:i/>
          <w:sz w:val="24"/>
        </w:rPr>
        <w:t xml:space="preserve"> Company</w:t>
      </w:r>
      <w:r w:rsidR="00FE4AB1" w:rsidRPr="008B73F5">
        <w:rPr>
          <w:rFonts w:ascii="Times New Roman" w:hAnsi="Times New Roman"/>
          <w:iCs/>
          <w:sz w:val="24"/>
        </w:rPr>
        <w:t xml:space="preserve"> as a basis for her judgment, and that she also “cherry picked” from that judgment to justify her conclusions</w:t>
      </w:r>
      <w:r w:rsidR="008B73F5">
        <w:rPr>
          <w:rFonts w:ascii="Times New Roman" w:hAnsi="Times New Roman"/>
          <w:iCs/>
          <w:sz w:val="24"/>
        </w:rPr>
        <w:t>.</w:t>
      </w:r>
    </w:p>
    <w:p w14:paraId="1476E119" w14:textId="0987BC31" w:rsidR="0055455B" w:rsidRPr="00AA3BAE" w:rsidRDefault="00FE4AB1" w:rsidP="00463A20">
      <w:pPr>
        <w:pStyle w:val="ListParagraph"/>
        <w:numPr>
          <w:ilvl w:val="0"/>
          <w:numId w:val="5"/>
        </w:numPr>
        <w:tabs>
          <w:tab w:val="left" w:pos="567"/>
        </w:tabs>
        <w:spacing w:line="480" w:lineRule="auto"/>
        <w:ind w:left="1134" w:hanging="567"/>
        <w:rPr>
          <w:rFonts w:ascii="Times New Roman" w:hAnsi="Times New Roman"/>
          <w:sz w:val="24"/>
        </w:rPr>
      </w:pPr>
      <w:r>
        <w:rPr>
          <w:rFonts w:ascii="Times New Roman" w:hAnsi="Times New Roman"/>
          <w:sz w:val="24"/>
        </w:rPr>
        <w:t xml:space="preserve">The appellants </w:t>
      </w:r>
      <w:r w:rsidR="008B73F5">
        <w:rPr>
          <w:rFonts w:ascii="Times New Roman" w:hAnsi="Times New Roman"/>
          <w:sz w:val="24"/>
        </w:rPr>
        <w:t>further</w:t>
      </w:r>
      <w:r>
        <w:rPr>
          <w:rFonts w:ascii="Times New Roman" w:hAnsi="Times New Roman"/>
          <w:sz w:val="24"/>
        </w:rPr>
        <w:t xml:space="preserve"> submit that the trial judge fell into error in suggesting that an interlocutory order could have been sought pending the determination of the proceedings, having regard to the outright prohibition on directors using the resources of a company for their personal benefit.  </w:t>
      </w:r>
    </w:p>
    <w:p w14:paraId="7456C244" w14:textId="68C8E757" w:rsidR="00351380" w:rsidRPr="00772DD0" w:rsidRDefault="00772DD0" w:rsidP="00463A20">
      <w:pPr>
        <w:pStyle w:val="ListParagraph"/>
        <w:tabs>
          <w:tab w:val="left" w:pos="567"/>
        </w:tabs>
        <w:spacing w:line="480" w:lineRule="auto"/>
        <w:ind w:left="0"/>
        <w:rPr>
          <w:rFonts w:ascii="Times New Roman" w:hAnsi="Times New Roman"/>
          <w:b/>
          <w:sz w:val="24"/>
          <w:u w:val="single"/>
        </w:rPr>
      </w:pPr>
      <w:r>
        <w:rPr>
          <w:rFonts w:ascii="Times New Roman" w:hAnsi="Times New Roman"/>
          <w:b/>
          <w:sz w:val="24"/>
          <w:u w:val="single"/>
        </w:rPr>
        <w:t xml:space="preserve">Submissions of </w:t>
      </w:r>
      <w:r w:rsidR="00A46D4A">
        <w:rPr>
          <w:rFonts w:ascii="Times New Roman" w:hAnsi="Times New Roman"/>
          <w:b/>
          <w:sz w:val="24"/>
          <w:u w:val="single"/>
        </w:rPr>
        <w:t>the Director R</w:t>
      </w:r>
      <w:r>
        <w:rPr>
          <w:rFonts w:ascii="Times New Roman" w:hAnsi="Times New Roman"/>
          <w:b/>
          <w:sz w:val="24"/>
          <w:u w:val="single"/>
        </w:rPr>
        <w:t>espondents</w:t>
      </w:r>
    </w:p>
    <w:p w14:paraId="782487C6" w14:textId="46AC7EF4" w:rsidR="00720F50" w:rsidRDefault="00772DD0" w:rsidP="00463A20">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In summary, the </w:t>
      </w:r>
      <w:r w:rsidR="006E0AA6">
        <w:rPr>
          <w:rFonts w:ascii="Times New Roman" w:hAnsi="Times New Roman"/>
          <w:sz w:val="24"/>
        </w:rPr>
        <w:t>Director R</w:t>
      </w:r>
      <w:r>
        <w:rPr>
          <w:rFonts w:ascii="Times New Roman" w:hAnsi="Times New Roman"/>
          <w:sz w:val="24"/>
        </w:rPr>
        <w:t>espondents submit that there was no error in the judgment of the High Court for the following reasons:</w:t>
      </w:r>
    </w:p>
    <w:p w14:paraId="3EFFACBB" w14:textId="7EAE7F34" w:rsidR="00772DD0" w:rsidRDefault="00772DD0" w:rsidP="00463A20">
      <w:pPr>
        <w:pStyle w:val="ListParagraph"/>
        <w:numPr>
          <w:ilvl w:val="0"/>
          <w:numId w:val="6"/>
        </w:numPr>
        <w:tabs>
          <w:tab w:val="left" w:pos="567"/>
        </w:tabs>
        <w:spacing w:line="480" w:lineRule="auto"/>
        <w:ind w:left="1134" w:hanging="567"/>
        <w:rPr>
          <w:rFonts w:ascii="Times New Roman" w:hAnsi="Times New Roman"/>
          <w:sz w:val="24"/>
        </w:rPr>
      </w:pPr>
      <w:r>
        <w:rPr>
          <w:rFonts w:ascii="Times New Roman" w:hAnsi="Times New Roman"/>
          <w:sz w:val="24"/>
        </w:rPr>
        <w:t>The Director Respondents are not being represented at the expense of or using the resources of Holdings or the Bank.  The defence costs of these proceedings are being indemnified under the Policy.</w:t>
      </w:r>
    </w:p>
    <w:p w14:paraId="0752E0AF" w14:textId="302B58F0" w:rsidR="00772DD0" w:rsidRDefault="00772DD0" w:rsidP="00463A20">
      <w:pPr>
        <w:pStyle w:val="ListParagraph"/>
        <w:numPr>
          <w:ilvl w:val="0"/>
          <w:numId w:val="6"/>
        </w:numPr>
        <w:tabs>
          <w:tab w:val="left" w:pos="567"/>
        </w:tabs>
        <w:spacing w:line="480" w:lineRule="auto"/>
        <w:ind w:left="1134" w:hanging="567"/>
        <w:rPr>
          <w:rFonts w:ascii="Times New Roman" w:hAnsi="Times New Roman"/>
          <w:sz w:val="24"/>
        </w:rPr>
      </w:pPr>
      <w:r>
        <w:rPr>
          <w:rFonts w:ascii="Times New Roman" w:hAnsi="Times New Roman"/>
          <w:sz w:val="24"/>
        </w:rPr>
        <w:t>There is no basis in law or in equity for granting the reliefs sought, even if the indemnity under the Policy did not exist at this stage in the proceedings.</w:t>
      </w:r>
    </w:p>
    <w:p w14:paraId="5781DBB3" w14:textId="566A2D98" w:rsidR="00772DD0" w:rsidRDefault="00772DD0" w:rsidP="00463A20">
      <w:pPr>
        <w:pStyle w:val="ListParagraph"/>
        <w:numPr>
          <w:ilvl w:val="0"/>
          <w:numId w:val="6"/>
        </w:numPr>
        <w:tabs>
          <w:tab w:val="left" w:pos="567"/>
        </w:tabs>
        <w:spacing w:line="480" w:lineRule="auto"/>
        <w:ind w:left="1134" w:hanging="567"/>
        <w:rPr>
          <w:rFonts w:ascii="Times New Roman" w:hAnsi="Times New Roman"/>
          <w:sz w:val="24"/>
        </w:rPr>
      </w:pPr>
      <w:r>
        <w:rPr>
          <w:rFonts w:ascii="Times New Roman" w:hAnsi="Times New Roman"/>
          <w:sz w:val="24"/>
        </w:rPr>
        <w:t>These proceedings are very different to the usual type of s.</w:t>
      </w:r>
      <w:r w:rsidR="006E4FE5">
        <w:rPr>
          <w:rFonts w:ascii="Times New Roman" w:hAnsi="Times New Roman"/>
          <w:sz w:val="24"/>
        </w:rPr>
        <w:t xml:space="preserve"> </w:t>
      </w:r>
      <w:r>
        <w:rPr>
          <w:rFonts w:ascii="Times New Roman" w:hAnsi="Times New Roman"/>
          <w:sz w:val="24"/>
        </w:rPr>
        <w:t xml:space="preserve">205 proceedings.  The reliefs sought by these proceedings, which were initiated prior to the conclusion of the 2011 Direction Order proceedings and 2012 Direction Order proceedings, were of vital concern to Holdings and the Bank and for that reason, those companies would be entitled to fund the defence of the Director Respondents in these proceedings.  </w:t>
      </w:r>
    </w:p>
    <w:p w14:paraId="0C456E4A" w14:textId="66C8D75D" w:rsidR="00772DD0" w:rsidRPr="006E0AA6" w:rsidRDefault="00772DD0" w:rsidP="00463A20">
      <w:pPr>
        <w:pStyle w:val="ListParagraph"/>
        <w:numPr>
          <w:ilvl w:val="0"/>
          <w:numId w:val="6"/>
        </w:numPr>
        <w:tabs>
          <w:tab w:val="left" w:pos="567"/>
        </w:tabs>
        <w:spacing w:line="480" w:lineRule="auto"/>
        <w:ind w:left="1134" w:hanging="567"/>
        <w:rPr>
          <w:rFonts w:ascii="Times New Roman" w:hAnsi="Times New Roman"/>
          <w:sz w:val="24"/>
        </w:rPr>
      </w:pPr>
      <w:r>
        <w:rPr>
          <w:rFonts w:ascii="Times New Roman" w:hAnsi="Times New Roman"/>
          <w:sz w:val="24"/>
        </w:rPr>
        <w:lastRenderedPageBreak/>
        <w:t>These conclusions are reinforced in circumstances where the challenge brought to the 2011 Direction Order has failed.</w:t>
      </w:r>
    </w:p>
    <w:p w14:paraId="48C301C7" w14:textId="3AC4C6D3" w:rsidR="00772DD0" w:rsidRPr="00DA4852" w:rsidRDefault="00772DD0" w:rsidP="00463A20">
      <w:pPr>
        <w:tabs>
          <w:tab w:val="left" w:pos="567"/>
        </w:tabs>
        <w:spacing w:line="480" w:lineRule="auto"/>
        <w:jc w:val="both"/>
        <w:rPr>
          <w:u w:val="single"/>
        </w:rPr>
      </w:pPr>
      <w:r w:rsidRPr="00DA4852">
        <w:rPr>
          <w:u w:val="single"/>
        </w:rPr>
        <w:t>Indemnity under the Policy</w:t>
      </w:r>
    </w:p>
    <w:p w14:paraId="2938E0C2" w14:textId="5CB07928" w:rsidR="00720F50" w:rsidRDefault="00772DD0" w:rsidP="00463A20">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The </w:t>
      </w:r>
      <w:r w:rsidR="001C4ED7" w:rsidRPr="001C4ED7">
        <w:rPr>
          <w:rFonts w:ascii="Times New Roman" w:hAnsi="Times New Roman"/>
          <w:sz w:val="24"/>
        </w:rPr>
        <w:t xml:space="preserve">Director Respondents </w:t>
      </w:r>
      <w:r>
        <w:rPr>
          <w:rFonts w:ascii="Times New Roman" w:hAnsi="Times New Roman"/>
          <w:sz w:val="24"/>
        </w:rPr>
        <w:t xml:space="preserve">refer to the correspondence received from the insurers which they submit make it plain that indemnity in respect of the costs of these proceedings is being provided by the insurers, and the High Court was correct to hold that in the absence of the insurer and the policy holder (Holdings) it was not open to the court to enter upon interpretation of the Policy.  </w:t>
      </w:r>
      <w:r w:rsidR="007E1C9E">
        <w:rPr>
          <w:rFonts w:ascii="Times New Roman" w:hAnsi="Times New Roman"/>
          <w:sz w:val="24"/>
        </w:rPr>
        <w:t>The appropriate course for the court to take was to have due regard to the unequivocal commitment of the insurer as set out in its letter of 3</w:t>
      </w:r>
      <w:r w:rsidR="007E1C9E" w:rsidRPr="007E1C9E">
        <w:rPr>
          <w:rFonts w:ascii="Times New Roman" w:hAnsi="Times New Roman"/>
          <w:sz w:val="24"/>
          <w:vertAlign w:val="superscript"/>
        </w:rPr>
        <w:t>rd</w:t>
      </w:r>
      <w:r w:rsidR="007E1C9E">
        <w:rPr>
          <w:rFonts w:ascii="Times New Roman" w:hAnsi="Times New Roman"/>
          <w:sz w:val="24"/>
        </w:rPr>
        <w:t xml:space="preserve"> May 2013.  </w:t>
      </w:r>
    </w:p>
    <w:p w14:paraId="5EFDD973" w14:textId="7792CD4E" w:rsidR="00720F50" w:rsidRDefault="007E1C9E" w:rsidP="00463A20">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Without prejudice to that position, the </w:t>
      </w:r>
      <w:r w:rsidR="006E4FE5" w:rsidRPr="006E4FE5">
        <w:rPr>
          <w:rFonts w:ascii="Times New Roman" w:hAnsi="Times New Roman"/>
          <w:sz w:val="24"/>
        </w:rPr>
        <w:t>Director Respondents</w:t>
      </w:r>
      <w:r>
        <w:rPr>
          <w:rFonts w:ascii="Times New Roman" w:hAnsi="Times New Roman"/>
          <w:sz w:val="24"/>
        </w:rPr>
        <w:t xml:space="preserve"> make detailed submissions as regards the interpretation of the Policy in response to those of the appellants.  In response to a submission on the part of the appellants, the </w:t>
      </w:r>
      <w:r w:rsidR="006E4FE5" w:rsidRPr="006E4FE5">
        <w:rPr>
          <w:rFonts w:ascii="Times New Roman" w:hAnsi="Times New Roman"/>
          <w:sz w:val="24"/>
        </w:rPr>
        <w:t xml:space="preserve">Director Respondents </w:t>
      </w:r>
      <w:r>
        <w:rPr>
          <w:rFonts w:ascii="Times New Roman" w:hAnsi="Times New Roman"/>
          <w:sz w:val="24"/>
        </w:rPr>
        <w:t xml:space="preserve">submit that the Policy is consistent with Article 139 of the Articles of Association of Holdings, and Article 141 of the Articles of Association of the Bank, which provide for an indemnity to the directors of each company in respect of all costs incurred in the execution and discharge of their duties, including any liability incurred in defending any proceedings in which judgment is given in favour of the director or the proceedings are otherwise disposed of.  </w:t>
      </w:r>
    </w:p>
    <w:p w14:paraId="31759A50" w14:textId="6670F713" w:rsidR="00720F50" w:rsidRDefault="007E1C9E" w:rsidP="00463A20">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In so far as it is contended that the authorities prohibit consideration of the fact that indemnity is being provided under the Policy, the </w:t>
      </w:r>
      <w:r w:rsidR="006E4FE5" w:rsidRPr="006E4FE5">
        <w:rPr>
          <w:rFonts w:ascii="Times New Roman" w:hAnsi="Times New Roman"/>
          <w:sz w:val="24"/>
        </w:rPr>
        <w:t>Director Respondents</w:t>
      </w:r>
      <w:r>
        <w:rPr>
          <w:rFonts w:ascii="Times New Roman" w:hAnsi="Times New Roman"/>
          <w:sz w:val="24"/>
        </w:rPr>
        <w:t xml:space="preserve"> rely upon the express statutory </w:t>
      </w:r>
      <w:r w:rsidR="00533D31">
        <w:rPr>
          <w:rFonts w:ascii="Times New Roman" w:hAnsi="Times New Roman"/>
          <w:sz w:val="24"/>
        </w:rPr>
        <w:t>provision</w:t>
      </w:r>
      <w:r>
        <w:rPr>
          <w:rFonts w:ascii="Times New Roman" w:hAnsi="Times New Roman"/>
          <w:sz w:val="24"/>
        </w:rPr>
        <w:t xml:space="preserve"> for </w:t>
      </w:r>
      <w:r w:rsidR="00533D31">
        <w:rPr>
          <w:rFonts w:ascii="Times New Roman" w:hAnsi="Times New Roman"/>
          <w:sz w:val="24"/>
        </w:rPr>
        <w:t>such</w:t>
      </w:r>
      <w:r>
        <w:rPr>
          <w:rFonts w:ascii="Times New Roman" w:hAnsi="Times New Roman"/>
          <w:sz w:val="24"/>
        </w:rPr>
        <w:t xml:space="preserve"> policies, now to be found in s.</w:t>
      </w:r>
      <w:r w:rsidR="006E4FE5">
        <w:rPr>
          <w:rFonts w:ascii="Times New Roman" w:hAnsi="Times New Roman"/>
          <w:sz w:val="24"/>
        </w:rPr>
        <w:t xml:space="preserve"> </w:t>
      </w:r>
      <w:r>
        <w:rPr>
          <w:rFonts w:ascii="Times New Roman" w:hAnsi="Times New Roman"/>
          <w:sz w:val="24"/>
        </w:rPr>
        <w:t>235 of the Companies Act 2014, but prior to that to be found in s.</w:t>
      </w:r>
      <w:r w:rsidR="006E4FE5">
        <w:rPr>
          <w:rFonts w:ascii="Times New Roman" w:hAnsi="Times New Roman"/>
          <w:sz w:val="24"/>
        </w:rPr>
        <w:t xml:space="preserve"> </w:t>
      </w:r>
      <w:r>
        <w:rPr>
          <w:rFonts w:ascii="Times New Roman" w:hAnsi="Times New Roman"/>
          <w:sz w:val="24"/>
        </w:rPr>
        <w:t xml:space="preserve">200 of the Companies Act, 1963 (as </w:t>
      </w:r>
      <w:r w:rsidR="00533D31">
        <w:rPr>
          <w:rFonts w:ascii="Times New Roman" w:hAnsi="Times New Roman"/>
          <w:sz w:val="24"/>
        </w:rPr>
        <w:t>a</w:t>
      </w:r>
      <w:r>
        <w:rPr>
          <w:rFonts w:ascii="Times New Roman" w:hAnsi="Times New Roman"/>
          <w:sz w:val="24"/>
        </w:rPr>
        <w:t xml:space="preserve">mended by the </w:t>
      </w:r>
      <w:r w:rsidR="00533D31">
        <w:rPr>
          <w:rFonts w:ascii="Times New Roman" w:hAnsi="Times New Roman"/>
          <w:sz w:val="24"/>
        </w:rPr>
        <w:t>C</w:t>
      </w:r>
      <w:r>
        <w:rPr>
          <w:rFonts w:ascii="Times New Roman" w:hAnsi="Times New Roman"/>
          <w:sz w:val="24"/>
        </w:rPr>
        <w:t xml:space="preserve">ompanies Act </w:t>
      </w:r>
      <w:r w:rsidR="00533D31">
        <w:rPr>
          <w:rFonts w:ascii="Times New Roman" w:hAnsi="Times New Roman"/>
          <w:sz w:val="24"/>
        </w:rPr>
        <w:t>2003</w:t>
      </w:r>
      <w:r w:rsidR="006E4FE5">
        <w:rPr>
          <w:rFonts w:ascii="Times New Roman" w:hAnsi="Times New Roman"/>
          <w:sz w:val="24"/>
        </w:rPr>
        <w:t>)</w:t>
      </w:r>
      <w:r w:rsidR="00533D31">
        <w:rPr>
          <w:rFonts w:ascii="Times New Roman" w:hAnsi="Times New Roman"/>
          <w:sz w:val="24"/>
        </w:rPr>
        <w:t xml:space="preserve">.  </w:t>
      </w:r>
      <w:r w:rsidR="0023165A">
        <w:rPr>
          <w:rFonts w:ascii="Times New Roman" w:hAnsi="Times New Roman"/>
          <w:sz w:val="24"/>
        </w:rPr>
        <w:t>Section 235 of the Companies Act 2014</w:t>
      </w:r>
      <w:r w:rsidR="00DA4852">
        <w:rPr>
          <w:rFonts w:ascii="Times New Roman" w:hAnsi="Times New Roman"/>
          <w:sz w:val="24"/>
        </w:rPr>
        <w:t>, so far as relevant</w:t>
      </w:r>
      <w:r w:rsidR="00F31396">
        <w:rPr>
          <w:rFonts w:ascii="Times New Roman" w:hAnsi="Times New Roman"/>
          <w:sz w:val="24"/>
        </w:rPr>
        <w:t>,</w:t>
      </w:r>
      <w:r w:rsidR="0023165A">
        <w:rPr>
          <w:rFonts w:ascii="Times New Roman" w:hAnsi="Times New Roman"/>
          <w:sz w:val="24"/>
        </w:rPr>
        <w:t xml:space="preserve"> provides:</w:t>
      </w:r>
    </w:p>
    <w:p w14:paraId="0F7A3EDD" w14:textId="4B923333" w:rsidR="0023165A" w:rsidRPr="0023165A" w:rsidRDefault="00884E76" w:rsidP="00463A20">
      <w:pPr>
        <w:pStyle w:val="ListParagraph"/>
        <w:tabs>
          <w:tab w:val="left" w:pos="567"/>
        </w:tabs>
        <w:spacing w:line="480" w:lineRule="auto"/>
        <w:rPr>
          <w:rFonts w:ascii="Times New Roman" w:hAnsi="Times New Roman"/>
          <w:sz w:val="24"/>
        </w:rPr>
      </w:pPr>
      <w:r>
        <w:rPr>
          <w:rFonts w:ascii="Times New Roman" w:hAnsi="Times New Roman"/>
          <w:sz w:val="24"/>
        </w:rPr>
        <w:tab/>
      </w:r>
      <w:r w:rsidR="000771FE">
        <w:rPr>
          <w:rFonts w:ascii="Times New Roman" w:hAnsi="Times New Roman"/>
          <w:sz w:val="24"/>
        </w:rPr>
        <w:t>“</w:t>
      </w:r>
      <w:r w:rsidR="0023165A" w:rsidRPr="0023165A">
        <w:rPr>
          <w:rFonts w:ascii="Times New Roman" w:hAnsi="Times New Roman"/>
          <w:sz w:val="24"/>
        </w:rPr>
        <w:t>235. (1) Subject to the provisions of this section, the following provision shall be void, namely, any provision:</w:t>
      </w:r>
    </w:p>
    <w:p w14:paraId="6F5973BC" w14:textId="0F4B86E0" w:rsidR="0023165A" w:rsidRPr="0023165A" w:rsidRDefault="000771FE" w:rsidP="00463A20">
      <w:pPr>
        <w:pStyle w:val="ListParagraph"/>
        <w:tabs>
          <w:tab w:val="left" w:pos="567"/>
        </w:tabs>
        <w:spacing w:line="480" w:lineRule="auto"/>
        <w:rPr>
          <w:rFonts w:ascii="Times New Roman" w:hAnsi="Times New Roman"/>
          <w:sz w:val="24"/>
        </w:rPr>
      </w:pPr>
      <w:r>
        <w:rPr>
          <w:rFonts w:ascii="Times New Roman" w:hAnsi="Times New Roman"/>
          <w:sz w:val="24"/>
        </w:rPr>
        <w:lastRenderedPageBreak/>
        <w:tab/>
      </w:r>
      <w:r w:rsidR="0023165A" w:rsidRPr="0023165A">
        <w:rPr>
          <w:rFonts w:ascii="Times New Roman" w:hAnsi="Times New Roman"/>
          <w:sz w:val="24"/>
        </w:rPr>
        <w:t>(a) purporting to exempt any officer of a company from; or</w:t>
      </w:r>
    </w:p>
    <w:p w14:paraId="589FD42E" w14:textId="5F82001D" w:rsidR="0023165A" w:rsidRPr="0023165A" w:rsidRDefault="000771FE" w:rsidP="00463A20">
      <w:pPr>
        <w:pStyle w:val="ListParagraph"/>
        <w:tabs>
          <w:tab w:val="left" w:pos="567"/>
        </w:tabs>
        <w:spacing w:line="480" w:lineRule="auto"/>
        <w:rPr>
          <w:rFonts w:ascii="Times New Roman" w:hAnsi="Times New Roman"/>
          <w:sz w:val="24"/>
        </w:rPr>
      </w:pPr>
      <w:r>
        <w:rPr>
          <w:rFonts w:ascii="Times New Roman" w:hAnsi="Times New Roman"/>
          <w:sz w:val="24"/>
        </w:rPr>
        <w:tab/>
      </w:r>
      <w:r w:rsidR="0023165A" w:rsidRPr="0023165A">
        <w:rPr>
          <w:rFonts w:ascii="Times New Roman" w:hAnsi="Times New Roman"/>
          <w:sz w:val="24"/>
        </w:rPr>
        <w:t>(b) purporting to indemnify such an officer against;</w:t>
      </w:r>
    </w:p>
    <w:p w14:paraId="200212B7" w14:textId="77777777" w:rsidR="0023165A" w:rsidRPr="0023165A" w:rsidRDefault="0023165A" w:rsidP="00463A20">
      <w:pPr>
        <w:pStyle w:val="ListParagraph"/>
        <w:tabs>
          <w:tab w:val="left" w:pos="567"/>
        </w:tabs>
        <w:spacing w:line="480" w:lineRule="auto"/>
        <w:rPr>
          <w:rFonts w:ascii="Times New Roman" w:hAnsi="Times New Roman"/>
          <w:sz w:val="24"/>
        </w:rPr>
      </w:pPr>
      <w:r w:rsidRPr="0023165A">
        <w:rPr>
          <w:rFonts w:ascii="Times New Roman" w:hAnsi="Times New Roman"/>
          <w:sz w:val="24"/>
        </w:rPr>
        <w:t>any liability which by virtue of any enactment or rule of law would otherwise attach to him or her in respect of any negligence, default, breach of duty or breach of trust of which he or she may be guilty in relation to the company.</w:t>
      </w:r>
    </w:p>
    <w:p w14:paraId="0903173C" w14:textId="77777777" w:rsidR="0023165A" w:rsidRPr="0023165A" w:rsidRDefault="0023165A" w:rsidP="00463A20">
      <w:pPr>
        <w:pStyle w:val="ListParagraph"/>
        <w:tabs>
          <w:tab w:val="left" w:pos="567"/>
        </w:tabs>
        <w:spacing w:line="480" w:lineRule="auto"/>
        <w:rPr>
          <w:rFonts w:ascii="Times New Roman" w:hAnsi="Times New Roman"/>
          <w:sz w:val="24"/>
        </w:rPr>
      </w:pPr>
      <w:r w:rsidRPr="0023165A">
        <w:rPr>
          <w:rFonts w:ascii="Times New Roman" w:hAnsi="Times New Roman"/>
          <w:sz w:val="24"/>
        </w:rPr>
        <w:t>(2) Subsection (1) applies whether the provision concerned is contained in the constitution of a company or a contract with a company or otherwise.</w:t>
      </w:r>
    </w:p>
    <w:p w14:paraId="2D4ADAC0" w14:textId="77777777" w:rsidR="0023165A" w:rsidRPr="0023165A" w:rsidRDefault="0023165A" w:rsidP="00463A20">
      <w:pPr>
        <w:pStyle w:val="ListParagraph"/>
        <w:tabs>
          <w:tab w:val="left" w:pos="567"/>
        </w:tabs>
        <w:spacing w:line="480" w:lineRule="auto"/>
        <w:rPr>
          <w:rFonts w:ascii="Times New Roman" w:hAnsi="Times New Roman"/>
          <w:sz w:val="24"/>
        </w:rPr>
      </w:pPr>
      <w:r w:rsidRPr="0023165A">
        <w:rPr>
          <w:rFonts w:ascii="Times New Roman" w:hAnsi="Times New Roman"/>
          <w:sz w:val="24"/>
        </w:rPr>
        <w:t>(3) Notwithstanding subsection (1), a company may, in pursuance of any such provision as is mentioned in that subsection, indemnify any officer of the company against any liability incurred by him or her—</w:t>
      </w:r>
    </w:p>
    <w:p w14:paraId="1F7F406F" w14:textId="194B2FFB" w:rsidR="0023165A" w:rsidRPr="0023165A" w:rsidRDefault="000771FE" w:rsidP="00463A20">
      <w:pPr>
        <w:pStyle w:val="ListParagraph"/>
        <w:tabs>
          <w:tab w:val="left" w:pos="567"/>
        </w:tabs>
        <w:spacing w:line="480" w:lineRule="auto"/>
        <w:ind w:left="1134"/>
        <w:rPr>
          <w:rFonts w:ascii="Times New Roman" w:hAnsi="Times New Roman"/>
          <w:sz w:val="24"/>
        </w:rPr>
      </w:pPr>
      <w:r>
        <w:rPr>
          <w:rFonts w:ascii="Times New Roman" w:hAnsi="Times New Roman"/>
          <w:sz w:val="24"/>
        </w:rPr>
        <w:tab/>
      </w:r>
      <w:r w:rsidR="0023165A" w:rsidRPr="0023165A">
        <w:rPr>
          <w:rFonts w:ascii="Times New Roman" w:hAnsi="Times New Roman"/>
          <w:sz w:val="24"/>
        </w:rPr>
        <w:t>(a) in defending proceedings, whether civil or criminal, in which judgment is given in his or her favour or in which he or she is acquitted; or</w:t>
      </w:r>
    </w:p>
    <w:p w14:paraId="40DC1A21" w14:textId="747C62AF" w:rsidR="0023165A" w:rsidRPr="0023165A" w:rsidRDefault="000771FE" w:rsidP="00463A20">
      <w:pPr>
        <w:pStyle w:val="ListParagraph"/>
        <w:tabs>
          <w:tab w:val="left" w:pos="567"/>
        </w:tabs>
        <w:spacing w:line="480" w:lineRule="auto"/>
        <w:ind w:left="1134"/>
        <w:rPr>
          <w:rFonts w:ascii="Times New Roman" w:hAnsi="Times New Roman"/>
          <w:sz w:val="24"/>
        </w:rPr>
      </w:pPr>
      <w:r>
        <w:rPr>
          <w:rFonts w:ascii="Times New Roman" w:hAnsi="Times New Roman"/>
          <w:sz w:val="24"/>
        </w:rPr>
        <w:tab/>
      </w:r>
      <w:r w:rsidR="0023165A" w:rsidRPr="0023165A">
        <w:rPr>
          <w:rFonts w:ascii="Times New Roman" w:hAnsi="Times New Roman"/>
          <w:sz w:val="24"/>
        </w:rPr>
        <w:t>(b) in connection with any proceedings or application referred to in, or under, section 233 or 234 in which relief is granted to him or her by the court.</w:t>
      </w:r>
    </w:p>
    <w:p w14:paraId="685FED52" w14:textId="77777777" w:rsidR="0023165A" w:rsidRPr="0023165A" w:rsidRDefault="0023165A" w:rsidP="00463A20">
      <w:pPr>
        <w:pStyle w:val="ListParagraph"/>
        <w:tabs>
          <w:tab w:val="left" w:pos="567"/>
        </w:tabs>
        <w:spacing w:line="480" w:lineRule="auto"/>
        <w:rPr>
          <w:rFonts w:ascii="Times New Roman" w:hAnsi="Times New Roman"/>
          <w:sz w:val="24"/>
        </w:rPr>
      </w:pPr>
      <w:r w:rsidRPr="0023165A">
        <w:rPr>
          <w:rFonts w:ascii="Times New Roman" w:hAnsi="Times New Roman"/>
          <w:sz w:val="24"/>
        </w:rPr>
        <w:t>(4) Notwithstanding subsection (1), a company may purchase and maintain for any of its officers insurance in respect of any liability referred to in that subsection.</w:t>
      </w:r>
    </w:p>
    <w:p w14:paraId="4AFB8D89" w14:textId="138CCF61" w:rsidR="0023165A" w:rsidRPr="0023165A" w:rsidRDefault="0023165A" w:rsidP="00463A20">
      <w:pPr>
        <w:pStyle w:val="ListParagraph"/>
        <w:tabs>
          <w:tab w:val="left" w:pos="567"/>
        </w:tabs>
        <w:spacing w:line="480" w:lineRule="auto"/>
        <w:rPr>
          <w:rFonts w:ascii="Times New Roman" w:hAnsi="Times New Roman"/>
          <w:sz w:val="24"/>
        </w:rPr>
      </w:pPr>
      <w:r w:rsidRPr="0023165A">
        <w:rPr>
          <w:rFonts w:ascii="Times New Roman" w:hAnsi="Times New Roman"/>
          <w:sz w:val="24"/>
        </w:rPr>
        <w:t>(5) Notwithstanding any provision contained in any enactment, the constitution of a company or otherwise, a director may be counted in the quorum and may vote on any resolution to purchase or maintain any insurance under which the director might benefit.</w:t>
      </w:r>
      <w:r w:rsidR="00A97E4D">
        <w:rPr>
          <w:rFonts w:ascii="Times New Roman" w:hAnsi="Times New Roman"/>
          <w:sz w:val="24"/>
        </w:rPr>
        <w:t>”</w:t>
      </w:r>
    </w:p>
    <w:p w14:paraId="77839E55" w14:textId="75A6ABD6" w:rsidR="00720F50" w:rsidRDefault="002F23DB" w:rsidP="00463A20">
      <w:pPr>
        <w:pStyle w:val="ListParagraph"/>
        <w:tabs>
          <w:tab w:val="left" w:pos="567"/>
        </w:tabs>
        <w:spacing w:line="480" w:lineRule="auto"/>
        <w:ind w:left="0"/>
        <w:rPr>
          <w:rFonts w:ascii="Times New Roman" w:hAnsi="Times New Roman"/>
          <w:iCs/>
          <w:sz w:val="24"/>
          <w:u w:val="single"/>
        </w:rPr>
      </w:pPr>
      <w:r w:rsidRPr="00DA4852">
        <w:rPr>
          <w:rFonts w:ascii="Times New Roman" w:hAnsi="Times New Roman"/>
          <w:iCs/>
          <w:sz w:val="24"/>
          <w:u w:val="single"/>
        </w:rPr>
        <w:t>Holdings and the Bank would be entitled to fund the defence of the Director Respondents</w:t>
      </w:r>
    </w:p>
    <w:p w14:paraId="61915319" w14:textId="55CA1ECA" w:rsidR="00720F50" w:rsidRPr="00DC7155" w:rsidRDefault="002F23DB" w:rsidP="00463A20">
      <w:pPr>
        <w:pStyle w:val="ListParagraph"/>
        <w:numPr>
          <w:ilvl w:val="0"/>
          <w:numId w:val="1"/>
        </w:numPr>
        <w:tabs>
          <w:tab w:val="left" w:pos="567"/>
        </w:tabs>
        <w:spacing w:line="480" w:lineRule="auto"/>
        <w:ind w:left="0" w:firstLine="0"/>
        <w:rPr>
          <w:rFonts w:ascii="Times New Roman" w:hAnsi="Times New Roman"/>
          <w:b/>
          <w:bCs/>
          <w:sz w:val="24"/>
        </w:rPr>
      </w:pPr>
      <w:r>
        <w:rPr>
          <w:rFonts w:ascii="Times New Roman" w:hAnsi="Times New Roman"/>
          <w:sz w:val="24"/>
        </w:rPr>
        <w:t xml:space="preserve">The </w:t>
      </w:r>
      <w:r w:rsidR="00EF05FA" w:rsidRPr="00EF05FA">
        <w:rPr>
          <w:rFonts w:ascii="Times New Roman" w:hAnsi="Times New Roman"/>
          <w:sz w:val="24"/>
        </w:rPr>
        <w:t xml:space="preserve">Director Respondents </w:t>
      </w:r>
      <w:r>
        <w:rPr>
          <w:rFonts w:ascii="Times New Roman" w:hAnsi="Times New Roman"/>
          <w:sz w:val="24"/>
        </w:rPr>
        <w:t>submit that the trial judge correctly applied the principles summarised by Lindsay J.</w:t>
      </w:r>
      <w:r w:rsidRPr="00E94713">
        <w:rPr>
          <w:rFonts w:ascii="Times New Roman" w:hAnsi="Times New Roman"/>
          <w:sz w:val="24"/>
        </w:rPr>
        <w:t xml:space="preserve"> </w:t>
      </w:r>
      <w:r w:rsidR="00E94713">
        <w:rPr>
          <w:rFonts w:ascii="Times New Roman" w:hAnsi="Times New Roman"/>
          <w:sz w:val="24"/>
        </w:rPr>
        <w:t>in</w:t>
      </w:r>
      <w:r w:rsidRPr="00E94713">
        <w:rPr>
          <w:rFonts w:ascii="Times New Roman" w:hAnsi="Times New Roman"/>
          <w:i/>
          <w:sz w:val="24"/>
        </w:rPr>
        <w:t xml:space="preserve"> </w:t>
      </w:r>
      <w:r>
        <w:rPr>
          <w:rFonts w:ascii="Times New Roman" w:hAnsi="Times New Roman"/>
          <w:i/>
          <w:sz w:val="24"/>
        </w:rPr>
        <w:t xml:space="preserve">Re </w:t>
      </w:r>
      <w:r w:rsidR="00721E2A">
        <w:rPr>
          <w:rFonts w:ascii="Times New Roman" w:hAnsi="Times New Roman"/>
          <w:i/>
          <w:sz w:val="24"/>
        </w:rPr>
        <w:t>a</w:t>
      </w:r>
      <w:r>
        <w:rPr>
          <w:rFonts w:ascii="Times New Roman" w:hAnsi="Times New Roman"/>
          <w:i/>
          <w:sz w:val="24"/>
        </w:rPr>
        <w:t xml:space="preserve"> Company </w:t>
      </w:r>
      <w:r>
        <w:rPr>
          <w:rFonts w:ascii="Times New Roman" w:hAnsi="Times New Roman"/>
          <w:sz w:val="24"/>
        </w:rPr>
        <w:t xml:space="preserve">and in concluding that having regard to the vital interests of Holdings and the Bank in these proceedings, they would be entitled both to pay for the costs of the Director Respondents in defending the proceedings, and to decide that </w:t>
      </w:r>
      <w:r>
        <w:rPr>
          <w:rFonts w:ascii="Times New Roman" w:hAnsi="Times New Roman"/>
          <w:sz w:val="24"/>
        </w:rPr>
        <w:lastRenderedPageBreak/>
        <w:t>the Chief Legal Officer should act as legal representative of the Director Respondents in the proceedings.  The Director Respondents argue that there is a significant distinction between these proceedings and the kind of proceedings that were more usually brought pursuant to s.</w:t>
      </w:r>
      <w:r w:rsidR="005430AC">
        <w:rPr>
          <w:rFonts w:ascii="Times New Roman" w:hAnsi="Times New Roman"/>
          <w:sz w:val="24"/>
        </w:rPr>
        <w:t xml:space="preserve"> </w:t>
      </w:r>
      <w:r>
        <w:rPr>
          <w:rFonts w:ascii="Times New Roman" w:hAnsi="Times New Roman"/>
          <w:sz w:val="24"/>
        </w:rPr>
        <w:t>205 of the Act</w:t>
      </w:r>
      <w:r w:rsidR="00836997">
        <w:rPr>
          <w:rFonts w:ascii="Times New Roman" w:hAnsi="Times New Roman"/>
          <w:sz w:val="24"/>
        </w:rPr>
        <w:t xml:space="preserve"> of 1963</w:t>
      </w:r>
      <w:r>
        <w:rPr>
          <w:rFonts w:ascii="Times New Roman" w:hAnsi="Times New Roman"/>
          <w:sz w:val="24"/>
        </w:rPr>
        <w:t xml:space="preserve"> (the equivalent now being s.</w:t>
      </w:r>
      <w:r w:rsidR="005430AC">
        <w:rPr>
          <w:rFonts w:ascii="Times New Roman" w:hAnsi="Times New Roman"/>
          <w:sz w:val="24"/>
        </w:rPr>
        <w:t xml:space="preserve"> 212</w:t>
      </w:r>
      <w:r>
        <w:rPr>
          <w:rFonts w:ascii="Times New Roman" w:hAnsi="Times New Roman"/>
          <w:sz w:val="24"/>
        </w:rPr>
        <w:t xml:space="preserve"> of the Companies Act 2014).  The nature of the reliefs sought by these proceedings would, if granted, impact upon the vital interests of the companies, as distinct from their shareholders and directors.  The decisions taken by the Director Respondents were subsequently vindicated by</w:t>
      </w:r>
      <w:r w:rsidR="00A72FE3">
        <w:rPr>
          <w:rFonts w:ascii="Times New Roman" w:hAnsi="Times New Roman"/>
          <w:sz w:val="24"/>
        </w:rPr>
        <w:t xml:space="preserve"> the decision of</w:t>
      </w:r>
      <w:r>
        <w:rPr>
          <w:rFonts w:ascii="Times New Roman" w:hAnsi="Times New Roman"/>
          <w:sz w:val="24"/>
        </w:rPr>
        <w:t xml:space="preserve"> O’Malley J. in the 2011 Direction Order proceedings</w:t>
      </w:r>
      <w:r w:rsidR="00A72FE3">
        <w:rPr>
          <w:rFonts w:ascii="Times New Roman" w:hAnsi="Times New Roman"/>
          <w:sz w:val="24"/>
        </w:rPr>
        <w:t xml:space="preserve"> (</w:t>
      </w:r>
      <w:r w:rsidR="00E44901" w:rsidRPr="00E44901">
        <w:rPr>
          <w:rFonts w:ascii="Times New Roman" w:hAnsi="Times New Roman"/>
          <w:i/>
          <w:iCs/>
          <w:sz w:val="24"/>
        </w:rPr>
        <w:t xml:space="preserve">Dowling </w:t>
      </w:r>
      <w:r w:rsidR="00E44901">
        <w:rPr>
          <w:rFonts w:ascii="Times New Roman" w:hAnsi="Times New Roman"/>
          <w:i/>
          <w:iCs/>
          <w:sz w:val="24"/>
        </w:rPr>
        <w:t>&amp;</w:t>
      </w:r>
      <w:r w:rsidR="00E44901" w:rsidRPr="00E44901">
        <w:rPr>
          <w:rFonts w:ascii="Times New Roman" w:hAnsi="Times New Roman"/>
          <w:i/>
          <w:iCs/>
          <w:sz w:val="24"/>
        </w:rPr>
        <w:t xml:space="preserve"> </w:t>
      </w:r>
      <w:proofErr w:type="spellStart"/>
      <w:r w:rsidR="00E44901" w:rsidRPr="00E44901">
        <w:rPr>
          <w:rFonts w:ascii="Times New Roman" w:hAnsi="Times New Roman"/>
          <w:i/>
          <w:iCs/>
          <w:sz w:val="24"/>
        </w:rPr>
        <w:t>O</w:t>
      </w:r>
      <w:r w:rsidR="00E44901">
        <w:rPr>
          <w:rFonts w:ascii="Times New Roman" w:hAnsi="Times New Roman"/>
          <w:i/>
          <w:iCs/>
          <w:sz w:val="24"/>
        </w:rPr>
        <w:t>rs</w:t>
      </w:r>
      <w:proofErr w:type="spellEnd"/>
      <w:r w:rsidR="00E44901">
        <w:rPr>
          <w:rFonts w:ascii="Times New Roman" w:hAnsi="Times New Roman"/>
          <w:i/>
          <w:iCs/>
          <w:sz w:val="24"/>
        </w:rPr>
        <w:t>.</w:t>
      </w:r>
      <w:r w:rsidR="00E44901" w:rsidRPr="00E44901">
        <w:rPr>
          <w:rFonts w:ascii="Times New Roman" w:hAnsi="Times New Roman"/>
          <w:i/>
          <w:iCs/>
          <w:sz w:val="24"/>
        </w:rPr>
        <w:t xml:space="preserve"> v</w:t>
      </w:r>
      <w:r w:rsidR="00E44901">
        <w:rPr>
          <w:rFonts w:ascii="Times New Roman" w:hAnsi="Times New Roman"/>
          <w:i/>
          <w:iCs/>
          <w:sz w:val="24"/>
        </w:rPr>
        <w:t>.</w:t>
      </w:r>
      <w:r w:rsidR="00E44901" w:rsidRPr="00E44901">
        <w:rPr>
          <w:rFonts w:ascii="Times New Roman" w:hAnsi="Times New Roman"/>
          <w:i/>
          <w:iCs/>
          <w:sz w:val="24"/>
        </w:rPr>
        <w:t xml:space="preserve"> Minister for Finance </w:t>
      </w:r>
      <w:r w:rsidR="00E44901">
        <w:rPr>
          <w:rFonts w:ascii="Times New Roman" w:hAnsi="Times New Roman"/>
          <w:i/>
          <w:iCs/>
          <w:sz w:val="24"/>
        </w:rPr>
        <w:t>&amp;</w:t>
      </w:r>
      <w:r w:rsidR="00E44901" w:rsidRPr="00E44901">
        <w:rPr>
          <w:rFonts w:ascii="Times New Roman" w:hAnsi="Times New Roman"/>
          <w:i/>
          <w:iCs/>
          <w:sz w:val="24"/>
        </w:rPr>
        <w:t xml:space="preserve"> </w:t>
      </w:r>
      <w:proofErr w:type="spellStart"/>
      <w:r w:rsidR="00E44901" w:rsidRPr="00E44901">
        <w:rPr>
          <w:rFonts w:ascii="Times New Roman" w:hAnsi="Times New Roman"/>
          <w:i/>
          <w:iCs/>
          <w:sz w:val="24"/>
        </w:rPr>
        <w:t>O</w:t>
      </w:r>
      <w:r w:rsidR="00E44901">
        <w:rPr>
          <w:rFonts w:ascii="Times New Roman" w:hAnsi="Times New Roman"/>
          <w:i/>
          <w:iCs/>
          <w:sz w:val="24"/>
        </w:rPr>
        <w:t>r</w:t>
      </w:r>
      <w:r w:rsidR="00E44901" w:rsidRPr="00E44901">
        <w:rPr>
          <w:rFonts w:ascii="Times New Roman" w:hAnsi="Times New Roman"/>
          <w:i/>
          <w:iCs/>
          <w:sz w:val="24"/>
        </w:rPr>
        <w:t>s</w:t>
      </w:r>
      <w:proofErr w:type="spellEnd"/>
      <w:r w:rsidR="00E44901">
        <w:rPr>
          <w:rFonts w:ascii="Times New Roman" w:hAnsi="Times New Roman"/>
          <w:i/>
          <w:iCs/>
          <w:sz w:val="24"/>
        </w:rPr>
        <w:t>.</w:t>
      </w:r>
      <w:r w:rsidR="00E44901" w:rsidRPr="00E44901">
        <w:rPr>
          <w:rFonts w:ascii="Times New Roman" w:hAnsi="Times New Roman"/>
          <w:sz w:val="24"/>
        </w:rPr>
        <w:t> [2014] IEHC 418</w:t>
      </w:r>
      <w:r w:rsidR="00E44901">
        <w:rPr>
          <w:rFonts w:ascii="Times New Roman" w:hAnsi="Times New Roman"/>
          <w:b/>
          <w:bCs/>
          <w:sz w:val="24"/>
        </w:rPr>
        <w:t>)</w:t>
      </w:r>
      <w:r w:rsidRPr="00E44901">
        <w:rPr>
          <w:rFonts w:ascii="Times New Roman" w:hAnsi="Times New Roman"/>
          <w:sz w:val="24"/>
        </w:rPr>
        <w:t>, and in her decision she concluded that without the recapitali</w:t>
      </w:r>
      <w:r w:rsidR="006E6AD8" w:rsidRPr="00E44901">
        <w:rPr>
          <w:rFonts w:ascii="Times New Roman" w:hAnsi="Times New Roman"/>
          <w:sz w:val="24"/>
        </w:rPr>
        <w:t>s</w:t>
      </w:r>
      <w:r w:rsidRPr="00E44901">
        <w:rPr>
          <w:rFonts w:ascii="Times New Roman" w:hAnsi="Times New Roman"/>
          <w:sz w:val="24"/>
        </w:rPr>
        <w:t xml:space="preserve">ation of Holdings – the approval of which by the Director Respondents has given rise to these and the Related Proceedings – Holdings would have failed.  That being the case the trial judge was correct to conclude that it was expedient and necessary that Mr. </w:t>
      </w:r>
      <w:proofErr w:type="spellStart"/>
      <w:r w:rsidRPr="00E44901">
        <w:rPr>
          <w:rFonts w:ascii="Times New Roman" w:hAnsi="Times New Roman"/>
          <w:sz w:val="24"/>
        </w:rPr>
        <w:t>M</w:t>
      </w:r>
      <w:r w:rsidR="006E6AD8" w:rsidRPr="00E44901">
        <w:rPr>
          <w:rFonts w:ascii="Times New Roman" w:hAnsi="Times New Roman"/>
          <w:sz w:val="24"/>
        </w:rPr>
        <w:t>a</w:t>
      </w:r>
      <w:r w:rsidRPr="00E44901">
        <w:rPr>
          <w:rFonts w:ascii="Times New Roman" w:hAnsi="Times New Roman"/>
          <w:sz w:val="24"/>
        </w:rPr>
        <w:t>cCarthy</w:t>
      </w:r>
      <w:proofErr w:type="spellEnd"/>
      <w:r w:rsidRPr="00E44901">
        <w:rPr>
          <w:rFonts w:ascii="Times New Roman" w:hAnsi="Times New Roman"/>
          <w:sz w:val="24"/>
        </w:rPr>
        <w:t>, who appear</w:t>
      </w:r>
      <w:r w:rsidR="009B67B2" w:rsidRPr="00E44901">
        <w:rPr>
          <w:rFonts w:ascii="Times New Roman" w:hAnsi="Times New Roman"/>
          <w:sz w:val="24"/>
        </w:rPr>
        <w:t>s</w:t>
      </w:r>
      <w:r w:rsidRPr="00E44901">
        <w:rPr>
          <w:rFonts w:ascii="Times New Roman" w:hAnsi="Times New Roman"/>
          <w:sz w:val="24"/>
        </w:rPr>
        <w:t xml:space="preserve"> for Holdings and the Bank in the Related Proceedings, should also appear on behalf of the Director Respondents, even if there was no indemnity under the Policy.</w:t>
      </w:r>
    </w:p>
    <w:p w14:paraId="03259299" w14:textId="280435C6" w:rsidR="002F23DB" w:rsidRDefault="002F23DB" w:rsidP="00463A20">
      <w:pPr>
        <w:pStyle w:val="ListParagraph"/>
        <w:tabs>
          <w:tab w:val="left" w:pos="567"/>
        </w:tabs>
        <w:spacing w:line="480" w:lineRule="auto"/>
        <w:ind w:left="0"/>
        <w:rPr>
          <w:rFonts w:ascii="Times New Roman" w:hAnsi="Times New Roman"/>
          <w:sz w:val="24"/>
          <w:u w:val="single"/>
        </w:rPr>
      </w:pPr>
      <w:r w:rsidRPr="00DA4852">
        <w:rPr>
          <w:rFonts w:ascii="Times New Roman" w:hAnsi="Times New Roman"/>
          <w:sz w:val="24"/>
          <w:u w:val="single"/>
        </w:rPr>
        <w:t xml:space="preserve">Interlocutory </w:t>
      </w:r>
      <w:proofErr w:type="spellStart"/>
      <w:r w:rsidRPr="00DA4852">
        <w:rPr>
          <w:rFonts w:ascii="Times New Roman" w:hAnsi="Times New Roman"/>
          <w:sz w:val="24"/>
          <w:u w:val="single"/>
        </w:rPr>
        <w:t>p</w:t>
      </w:r>
      <w:r w:rsidR="00245AFD" w:rsidRPr="00DA4852">
        <w:rPr>
          <w:rFonts w:ascii="Times New Roman" w:hAnsi="Times New Roman"/>
          <w:sz w:val="24"/>
          <w:u w:val="single"/>
        </w:rPr>
        <w:t>rohibito</w:t>
      </w:r>
      <w:r w:rsidRPr="00DA4852">
        <w:rPr>
          <w:rFonts w:ascii="Times New Roman" w:hAnsi="Times New Roman"/>
          <w:sz w:val="24"/>
          <w:u w:val="single"/>
        </w:rPr>
        <w:t>ry</w:t>
      </w:r>
      <w:proofErr w:type="spellEnd"/>
      <w:r w:rsidRPr="00DA4852">
        <w:rPr>
          <w:rFonts w:ascii="Times New Roman" w:hAnsi="Times New Roman"/>
          <w:sz w:val="24"/>
          <w:u w:val="single"/>
        </w:rPr>
        <w:t xml:space="preserve"> injunctions </w:t>
      </w:r>
    </w:p>
    <w:p w14:paraId="6D043348" w14:textId="07058D65" w:rsidR="00720F50" w:rsidRDefault="00245AFD" w:rsidP="00463A20">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The </w:t>
      </w:r>
      <w:r w:rsidR="004A4E0F" w:rsidRPr="004A4E0F">
        <w:rPr>
          <w:rFonts w:ascii="Times New Roman" w:hAnsi="Times New Roman"/>
          <w:sz w:val="24"/>
        </w:rPr>
        <w:t>Director Respondents</w:t>
      </w:r>
      <w:r>
        <w:rPr>
          <w:rFonts w:ascii="Times New Roman" w:hAnsi="Times New Roman"/>
          <w:sz w:val="24"/>
        </w:rPr>
        <w:t xml:space="preserve"> submit that the trial judge was correct in her alternative analysis, that the orders sought are in the nature of interlocutory </w:t>
      </w:r>
      <w:proofErr w:type="spellStart"/>
      <w:r>
        <w:rPr>
          <w:rFonts w:ascii="Times New Roman" w:hAnsi="Times New Roman"/>
          <w:sz w:val="24"/>
        </w:rPr>
        <w:t>prohibitory</w:t>
      </w:r>
      <w:proofErr w:type="spellEnd"/>
      <w:r>
        <w:rPr>
          <w:rFonts w:ascii="Times New Roman" w:hAnsi="Times New Roman"/>
          <w:sz w:val="24"/>
        </w:rPr>
        <w:t xml:space="preserve"> injunctions, even though the appellants sought to characterise the same as declaratory relief.  The analysis of the trial judge in this regard was correct</w:t>
      </w:r>
      <w:r w:rsidR="00CB2BCD">
        <w:rPr>
          <w:rFonts w:ascii="Times New Roman" w:hAnsi="Times New Roman"/>
          <w:sz w:val="24"/>
        </w:rPr>
        <w:t>,</w:t>
      </w:r>
      <w:r>
        <w:rPr>
          <w:rFonts w:ascii="Times New Roman" w:hAnsi="Times New Roman"/>
          <w:sz w:val="24"/>
        </w:rPr>
        <w:t xml:space="preserve"> i.e. if the orders sought were granted, on an interlocutory basis, the Director Respondents would be treated unjustly in being required to fund themselves the costs of the defence of these proceedings, in circumstances where there was no undertaking as to damages, and the Director Respondents might not recover </w:t>
      </w:r>
      <w:r w:rsidR="009B67B2">
        <w:rPr>
          <w:rFonts w:ascii="Times New Roman" w:hAnsi="Times New Roman"/>
          <w:sz w:val="24"/>
        </w:rPr>
        <w:t xml:space="preserve">from the appellants </w:t>
      </w:r>
      <w:r>
        <w:rPr>
          <w:rFonts w:ascii="Times New Roman" w:hAnsi="Times New Roman"/>
          <w:sz w:val="24"/>
        </w:rPr>
        <w:t xml:space="preserve">the costs incurred by them in defending the proceedings.  </w:t>
      </w:r>
    </w:p>
    <w:p w14:paraId="20387954" w14:textId="77777777" w:rsidR="00DC7155" w:rsidRDefault="00245AFD" w:rsidP="00463A20">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lastRenderedPageBreak/>
        <w:t xml:space="preserve">Finally, the </w:t>
      </w:r>
      <w:r w:rsidR="00CB2BCD" w:rsidRPr="00CB2BCD">
        <w:rPr>
          <w:rFonts w:ascii="Times New Roman" w:hAnsi="Times New Roman"/>
          <w:sz w:val="24"/>
        </w:rPr>
        <w:t>Director Respondents</w:t>
      </w:r>
      <w:r>
        <w:rPr>
          <w:rFonts w:ascii="Times New Roman" w:hAnsi="Times New Roman"/>
          <w:sz w:val="24"/>
        </w:rPr>
        <w:t xml:space="preserve"> submit that it is unclear why the appellants are pursing this appeal in circumstances where Mr. </w:t>
      </w:r>
      <w:proofErr w:type="spellStart"/>
      <w:r>
        <w:rPr>
          <w:rFonts w:ascii="Times New Roman" w:hAnsi="Times New Roman"/>
          <w:sz w:val="24"/>
        </w:rPr>
        <w:t>M</w:t>
      </w:r>
      <w:r w:rsidR="00CB2BCD">
        <w:rPr>
          <w:rFonts w:ascii="Times New Roman" w:hAnsi="Times New Roman"/>
          <w:sz w:val="24"/>
        </w:rPr>
        <w:t>a</w:t>
      </w:r>
      <w:r>
        <w:rPr>
          <w:rFonts w:ascii="Times New Roman" w:hAnsi="Times New Roman"/>
          <w:sz w:val="24"/>
        </w:rPr>
        <w:t>cCarthy</w:t>
      </w:r>
      <w:proofErr w:type="spellEnd"/>
      <w:r>
        <w:rPr>
          <w:rFonts w:ascii="Times New Roman" w:hAnsi="Times New Roman"/>
          <w:sz w:val="24"/>
        </w:rPr>
        <w:t xml:space="preserve"> has retired from his position as Chief Legal Officer at the Bank, but continues to provide the legal services privately under the style of his firm Bloom Solicitors</w:t>
      </w:r>
      <w:r w:rsidR="00D262FE">
        <w:rPr>
          <w:rFonts w:ascii="Times New Roman" w:hAnsi="Times New Roman"/>
          <w:sz w:val="24"/>
        </w:rPr>
        <w:t xml:space="preserve">, in circumstances where the fees of Bloom </w:t>
      </w:r>
      <w:r w:rsidR="00CA6250">
        <w:rPr>
          <w:rFonts w:ascii="Times New Roman" w:hAnsi="Times New Roman"/>
          <w:sz w:val="24"/>
        </w:rPr>
        <w:t>S</w:t>
      </w:r>
      <w:r w:rsidR="00D262FE">
        <w:rPr>
          <w:rFonts w:ascii="Times New Roman" w:hAnsi="Times New Roman"/>
          <w:sz w:val="24"/>
        </w:rPr>
        <w:t>olicitors are being paid for by AIG under the Policy.</w:t>
      </w:r>
      <w:r>
        <w:rPr>
          <w:rFonts w:ascii="Times New Roman" w:hAnsi="Times New Roman"/>
          <w:sz w:val="24"/>
        </w:rPr>
        <w:t xml:space="preserve">  This removes any argument that the resources of Holdings and/or the Bank are being deployed in the defence of the proceedings.  The Director Respondents are critical of the allegations made by Mr. </w:t>
      </w:r>
      <w:proofErr w:type="spellStart"/>
      <w:r>
        <w:rPr>
          <w:rFonts w:ascii="Times New Roman" w:hAnsi="Times New Roman"/>
          <w:sz w:val="24"/>
        </w:rPr>
        <w:t>Skoczylas</w:t>
      </w:r>
      <w:proofErr w:type="spellEnd"/>
      <w:r>
        <w:rPr>
          <w:rFonts w:ascii="Times New Roman" w:hAnsi="Times New Roman"/>
          <w:sz w:val="24"/>
        </w:rPr>
        <w:t xml:space="preserve"> in his affidavit regarding the legitimacy of Bloom Solicitors. </w:t>
      </w:r>
    </w:p>
    <w:p w14:paraId="7CA47CBF" w14:textId="74C5DF35" w:rsidR="00DC7155" w:rsidRPr="00245AFD" w:rsidRDefault="00245AFD" w:rsidP="00463A20">
      <w:pPr>
        <w:pStyle w:val="ListParagraph"/>
        <w:tabs>
          <w:tab w:val="left" w:pos="567"/>
        </w:tabs>
        <w:spacing w:line="480" w:lineRule="auto"/>
        <w:ind w:left="0"/>
        <w:rPr>
          <w:rFonts w:ascii="Times New Roman" w:hAnsi="Times New Roman"/>
          <w:b/>
          <w:sz w:val="24"/>
          <w:u w:val="single"/>
        </w:rPr>
      </w:pPr>
      <w:r>
        <w:rPr>
          <w:rFonts w:ascii="Times New Roman" w:hAnsi="Times New Roman"/>
          <w:b/>
          <w:sz w:val="24"/>
          <w:u w:val="single"/>
        </w:rPr>
        <w:t>Decision</w:t>
      </w:r>
    </w:p>
    <w:p w14:paraId="6EDBC2B7" w14:textId="7573D82D" w:rsidR="002F23DB" w:rsidRDefault="00245AFD" w:rsidP="00463A20">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This is an appeal from a decision made on an interlocutory application which involved the exercise by the trial judge of her discretion.  It is well established that in such appeals, this Court should be slow to interfere with such orders of the High Court save in cases of clear error or where the justice of the case so requires.  The appellants have failed on this appeal to identify </w:t>
      </w:r>
      <w:r w:rsidR="006B5161">
        <w:rPr>
          <w:rFonts w:ascii="Times New Roman" w:hAnsi="Times New Roman"/>
          <w:sz w:val="24"/>
        </w:rPr>
        <w:t xml:space="preserve">any </w:t>
      </w:r>
      <w:r w:rsidR="00E60C68">
        <w:rPr>
          <w:rFonts w:ascii="Times New Roman" w:hAnsi="Times New Roman"/>
          <w:sz w:val="24"/>
        </w:rPr>
        <w:t xml:space="preserve">such </w:t>
      </w:r>
      <w:r w:rsidR="006B5161">
        <w:rPr>
          <w:rFonts w:ascii="Times New Roman" w:hAnsi="Times New Roman"/>
          <w:sz w:val="24"/>
        </w:rPr>
        <w:t xml:space="preserve">error on the part of the trial judge or to demonstrate that the justice of the case requires the setting aside of the order of the High Court.  In fact, it is difficult to imagine a more clear cut case </w:t>
      </w:r>
      <w:r w:rsidR="009B67B2">
        <w:rPr>
          <w:rFonts w:ascii="Times New Roman" w:hAnsi="Times New Roman"/>
          <w:sz w:val="24"/>
        </w:rPr>
        <w:t xml:space="preserve">of </w:t>
      </w:r>
      <w:r w:rsidR="006B5161">
        <w:rPr>
          <w:rFonts w:ascii="Times New Roman" w:hAnsi="Times New Roman"/>
          <w:sz w:val="24"/>
        </w:rPr>
        <w:t xml:space="preserve">such a failure.  The </w:t>
      </w:r>
      <w:r w:rsidR="003409F2">
        <w:rPr>
          <w:rFonts w:ascii="Times New Roman" w:hAnsi="Times New Roman"/>
          <w:sz w:val="24"/>
        </w:rPr>
        <w:t>A</w:t>
      </w:r>
      <w:r w:rsidR="006B5161">
        <w:rPr>
          <w:rFonts w:ascii="Times New Roman" w:hAnsi="Times New Roman"/>
          <w:sz w:val="24"/>
        </w:rPr>
        <w:t xml:space="preserve">rticles of </w:t>
      </w:r>
      <w:r w:rsidR="003409F2">
        <w:rPr>
          <w:rFonts w:ascii="Times New Roman" w:hAnsi="Times New Roman"/>
          <w:sz w:val="24"/>
        </w:rPr>
        <w:t>A</w:t>
      </w:r>
      <w:r w:rsidR="006B5161">
        <w:rPr>
          <w:rFonts w:ascii="Times New Roman" w:hAnsi="Times New Roman"/>
          <w:sz w:val="24"/>
        </w:rPr>
        <w:t>ssociation of both Holdings and the Bank expressly provide for indemnity of directors in respect of costs or expenses incurred by them in connection with court proceedings brought against them in their capacity as directors.  While there are qualifications to those indemnities, those qualifications do not fall for consideration until the conclusion of the proceedings.  In other words, the trial judge was entitled, in the exercise of her discretion, to have regard to those indemnity provisions</w:t>
      </w:r>
      <w:r w:rsidR="00807AEC">
        <w:rPr>
          <w:rFonts w:ascii="Times New Roman" w:hAnsi="Times New Roman"/>
          <w:sz w:val="24"/>
        </w:rPr>
        <w:t>, and</w:t>
      </w:r>
      <w:r w:rsidR="001A2596">
        <w:rPr>
          <w:rFonts w:ascii="Times New Roman" w:hAnsi="Times New Roman"/>
          <w:sz w:val="24"/>
        </w:rPr>
        <w:t xml:space="preserve">, for the reasons that follow, </w:t>
      </w:r>
      <w:r w:rsidR="00807AEC">
        <w:rPr>
          <w:rFonts w:ascii="Times New Roman" w:hAnsi="Times New Roman"/>
          <w:sz w:val="24"/>
        </w:rPr>
        <w:t>the Policy.</w:t>
      </w:r>
    </w:p>
    <w:p w14:paraId="4DCEC20C" w14:textId="7F1C508C" w:rsidR="009661FE" w:rsidRDefault="006B5161" w:rsidP="00463A20">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Section 235 of the Companies Act 2014, and its equivalent in the Companies Act</w:t>
      </w:r>
      <w:r w:rsidR="003409F2">
        <w:rPr>
          <w:rFonts w:ascii="Times New Roman" w:hAnsi="Times New Roman"/>
          <w:sz w:val="24"/>
        </w:rPr>
        <w:t>,</w:t>
      </w:r>
      <w:r>
        <w:rPr>
          <w:rFonts w:ascii="Times New Roman" w:hAnsi="Times New Roman"/>
          <w:sz w:val="24"/>
        </w:rPr>
        <w:t xml:space="preserve"> 1963 (</w:t>
      </w:r>
      <w:r w:rsidR="003409F2">
        <w:rPr>
          <w:rFonts w:ascii="Times New Roman" w:hAnsi="Times New Roman"/>
          <w:sz w:val="24"/>
        </w:rPr>
        <w:t>a</w:t>
      </w:r>
      <w:r>
        <w:rPr>
          <w:rFonts w:ascii="Times New Roman" w:hAnsi="Times New Roman"/>
          <w:sz w:val="24"/>
        </w:rPr>
        <w:t xml:space="preserve">s </w:t>
      </w:r>
      <w:r w:rsidR="003409F2">
        <w:rPr>
          <w:rFonts w:ascii="Times New Roman" w:hAnsi="Times New Roman"/>
          <w:sz w:val="24"/>
        </w:rPr>
        <w:t>a</w:t>
      </w:r>
      <w:r>
        <w:rPr>
          <w:rFonts w:ascii="Times New Roman" w:hAnsi="Times New Roman"/>
          <w:sz w:val="24"/>
        </w:rPr>
        <w:t>mended) (s.</w:t>
      </w:r>
      <w:r w:rsidR="003409F2">
        <w:rPr>
          <w:rFonts w:ascii="Times New Roman" w:hAnsi="Times New Roman"/>
          <w:sz w:val="24"/>
        </w:rPr>
        <w:t xml:space="preserve"> </w:t>
      </w:r>
      <w:r>
        <w:rPr>
          <w:rFonts w:ascii="Times New Roman" w:hAnsi="Times New Roman"/>
          <w:sz w:val="24"/>
        </w:rPr>
        <w:t xml:space="preserve">200 thereof) makes express provision authorising companies to take out policies of insurance in respect of  </w:t>
      </w:r>
      <w:r w:rsidR="009B67B2">
        <w:rPr>
          <w:rFonts w:ascii="Times New Roman" w:hAnsi="Times New Roman"/>
          <w:sz w:val="24"/>
        </w:rPr>
        <w:t>liabilities</w:t>
      </w:r>
      <w:r w:rsidR="0087663B">
        <w:rPr>
          <w:rFonts w:ascii="Times New Roman" w:hAnsi="Times New Roman"/>
          <w:sz w:val="24"/>
        </w:rPr>
        <w:t xml:space="preserve"> of any of its officers in</w:t>
      </w:r>
      <w:r w:rsidR="00C55A5B">
        <w:rPr>
          <w:rFonts w:ascii="Times New Roman" w:hAnsi="Times New Roman"/>
          <w:sz w:val="24"/>
        </w:rPr>
        <w:t>curred in</w:t>
      </w:r>
      <w:r w:rsidR="0087663B">
        <w:rPr>
          <w:rFonts w:ascii="Times New Roman" w:hAnsi="Times New Roman"/>
          <w:sz w:val="24"/>
        </w:rPr>
        <w:t xml:space="preserve"> respect of </w:t>
      </w:r>
      <w:r w:rsidR="0087663B">
        <w:rPr>
          <w:rFonts w:ascii="Times New Roman" w:hAnsi="Times New Roman"/>
          <w:sz w:val="24"/>
        </w:rPr>
        <w:lastRenderedPageBreak/>
        <w:t>negligence, breach of duty or breach of trust</w:t>
      </w:r>
      <w:r w:rsidR="00C55A5B">
        <w:rPr>
          <w:rFonts w:ascii="Times New Roman" w:hAnsi="Times New Roman"/>
          <w:sz w:val="24"/>
        </w:rPr>
        <w:t xml:space="preserve"> </w:t>
      </w:r>
      <w:r w:rsidR="0087663B">
        <w:rPr>
          <w:rFonts w:ascii="Times New Roman" w:hAnsi="Times New Roman"/>
          <w:sz w:val="24"/>
        </w:rPr>
        <w:t>in relation to a company</w:t>
      </w:r>
      <w:r>
        <w:rPr>
          <w:rFonts w:ascii="Times New Roman" w:hAnsi="Times New Roman"/>
          <w:sz w:val="24"/>
        </w:rPr>
        <w:t xml:space="preserve">. </w:t>
      </w:r>
      <w:r w:rsidR="00C55A5B">
        <w:rPr>
          <w:rFonts w:ascii="Times New Roman" w:hAnsi="Times New Roman"/>
          <w:sz w:val="24"/>
        </w:rPr>
        <w:t>The</w:t>
      </w:r>
      <w:r>
        <w:rPr>
          <w:rFonts w:ascii="Times New Roman" w:hAnsi="Times New Roman"/>
          <w:sz w:val="24"/>
        </w:rPr>
        <w:t xml:space="preserve"> Policy is such a policy.  Mr. </w:t>
      </w:r>
      <w:proofErr w:type="spellStart"/>
      <w:r>
        <w:rPr>
          <w:rFonts w:ascii="Times New Roman" w:hAnsi="Times New Roman"/>
          <w:sz w:val="24"/>
        </w:rPr>
        <w:t>Skoczylas</w:t>
      </w:r>
      <w:proofErr w:type="spellEnd"/>
      <w:r>
        <w:rPr>
          <w:rFonts w:ascii="Times New Roman" w:hAnsi="Times New Roman"/>
          <w:sz w:val="24"/>
        </w:rPr>
        <w:t xml:space="preserve"> in his submissions to this Court places great reliance upon </w:t>
      </w:r>
      <w:r>
        <w:rPr>
          <w:rFonts w:ascii="Times New Roman" w:hAnsi="Times New Roman"/>
          <w:i/>
          <w:sz w:val="24"/>
        </w:rPr>
        <w:t xml:space="preserve">Regal (Hastings) v. Gulliver </w:t>
      </w:r>
      <w:r>
        <w:rPr>
          <w:rFonts w:ascii="Times New Roman" w:hAnsi="Times New Roman"/>
          <w:sz w:val="24"/>
        </w:rPr>
        <w:t xml:space="preserve">to argue that the trial judge should not have had any regard to the existence of the Policy.  There are a number of problems with this argument.  Firstly, so far as I have been able to ascertain, he did not rely upon this case in his submissions to the High Court.  Secondly, as is apparent from the extract quoted by Mr. </w:t>
      </w:r>
      <w:proofErr w:type="spellStart"/>
      <w:r>
        <w:rPr>
          <w:rFonts w:ascii="Times New Roman" w:hAnsi="Times New Roman"/>
          <w:sz w:val="24"/>
        </w:rPr>
        <w:t>Skoczylas</w:t>
      </w:r>
      <w:proofErr w:type="spellEnd"/>
      <w:r>
        <w:rPr>
          <w:rFonts w:ascii="Times New Roman" w:hAnsi="Times New Roman"/>
          <w:sz w:val="24"/>
        </w:rPr>
        <w:t>, the principle referred to in the case</w:t>
      </w:r>
      <w:r w:rsidR="000E4077">
        <w:rPr>
          <w:rFonts w:ascii="Times New Roman" w:hAnsi="Times New Roman"/>
          <w:sz w:val="24"/>
        </w:rPr>
        <w:t xml:space="preserve"> is one derived fr</w:t>
      </w:r>
      <w:r w:rsidR="003D2384">
        <w:rPr>
          <w:rFonts w:ascii="Times New Roman" w:hAnsi="Times New Roman"/>
          <w:sz w:val="24"/>
        </w:rPr>
        <w:t>om the relationship of principal</w:t>
      </w:r>
      <w:r w:rsidR="000E4077">
        <w:rPr>
          <w:rFonts w:ascii="Times New Roman" w:hAnsi="Times New Roman"/>
          <w:sz w:val="24"/>
        </w:rPr>
        <w:t xml:space="preserve"> and agent, and while directors of a company will from time to </w:t>
      </w:r>
      <w:r w:rsidR="003409F2">
        <w:rPr>
          <w:rFonts w:ascii="Times New Roman" w:hAnsi="Times New Roman"/>
          <w:sz w:val="24"/>
        </w:rPr>
        <w:t xml:space="preserve">time </w:t>
      </w:r>
      <w:r w:rsidR="000E4077">
        <w:rPr>
          <w:rFonts w:ascii="Times New Roman" w:hAnsi="Times New Roman"/>
          <w:sz w:val="24"/>
        </w:rPr>
        <w:t xml:space="preserve">act as agents of the company, it is far from clear to me (and there was no argument about this issue) </w:t>
      </w:r>
      <w:r w:rsidR="00C55A5B">
        <w:rPr>
          <w:rFonts w:ascii="Times New Roman" w:hAnsi="Times New Roman"/>
          <w:sz w:val="24"/>
        </w:rPr>
        <w:t xml:space="preserve">that the Director Respondents, </w:t>
      </w:r>
      <w:r w:rsidR="000E4077">
        <w:rPr>
          <w:rFonts w:ascii="Times New Roman" w:hAnsi="Times New Roman"/>
          <w:sz w:val="24"/>
        </w:rPr>
        <w:t>acting as a board in making a decision to retain the services of the Chief Legal Officer of the company on the</w:t>
      </w:r>
      <w:r w:rsidR="00C55A5B">
        <w:rPr>
          <w:rFonts w:ascii="Times New Roman" w:hAnsi="Times New Roman"/>
          <w:sz w:val="24"/>
        </w:rPr>
        <w:t xml:space="preserve">ir </w:t>
      </w:r>
      <w:r w:rsidR="009661FE">
        <w:rPr>
          <w:rFonts w:ascii="Times New Roman" w:hAnsi="Times New Roman"/>
          <w:sz w:val="24"/>
        </w:rPr>
        <w:t xml:space="preserve">own </w:t>
      </w:r>
      <w:r w:rsidR="00C55A5B">
        <w:rPr>
          <w:rFonts w:ascii="Times New Roman" w:hAnsi="Times New Roman"/>
          <w:sz w:val="24"/>
        </w:rPr>
        <w:t>behalf</w:t>
      </w:r>
      <w:r w:rsidR="000E4077">
        <w:rPr>
          <w:rFonts w:ascii="Times New Roman" w:hAnsi="Times New Roman"/>
          <w:sz w:val="24"/>
        </w:rPr>
        <w:t xml:space="preserve"> could be considered to be acting in an agency capacity</w:t>
      </w:r>
      <w:r w:rsidR="003409F2">
        <w:rPr>
          <w:rFonts w:ascii="Times New Roman" w:hAnsi="Times New Roman"/>
          <w:sz w:val="24"/>
        </w:rPr>
        <w:t>.</w:t>
      </w:r>
    </w:p>
    <w:p w14:paraId="5E738A6F" w14:textId="42BC6CE5" w:rsidR="00273F87" w:rsidRDefault="009661FE" w:rsidP="00463A20">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Moreover,</w:t>
      </w:r>
      <w:r w:rsidR="00F76773">
        <w:rPr>
          <w:rFonts w:ascii="Times New Roman" w:hAnsi="Times New Roman"/>
          <w:sz w:val="24"/>
        </w:rPr>
        <w:t xml:space="preserve"> </w:t>
      </w:r>
      <w:r w:rsidR="000F32BD">
        <w:rPr>
          <w:rFonts w:ascii="Times New Roman" w:hAnsi="Times New Roman"/>
          <w:sz w:val="24"/>
        </w:rPr>
        <w:t>and more fundamentally,</w:t>
      </w:r>
      <w:r>
        <w:rPr>
          <w:rFonts w:ascii="Times New Roman" w:hAnsi="Times New Roman"/>
          <w:sz w:val="24"/>
        </w:rPr>
        <w:t xml:space="preserve"> insofar as the appellants argue that reliance on the Policy is prohibited by </w:t>
      </w:r>
      <w:r w:rsidRPr="009661FE">
        <w:rPr>
          <w:rFonts w:ascii="Times New Roman" w:hAnsi="Times New Roman"/>
          <w:i/>
          <w:sz w:val="24"/>
        </w:rPr>
        <w:t>Regal (Hastings) v</w:t>
      </w:r>
      <w:r w:rsidR="003409F2">
        <w:rPr>
          <w:rFonts w:ascii="Times New Roman" w:hAnsi="Times New Roman"/>
          <w:i/>
          <w:sz w:val="24"/>
        </w:rPr>
        <w:t>.</w:t>
      </w:r>
      <w:r w:rsidRPr="009661FE">
        <w:rPr>
          <w:rFonts w:ascii="Times New Roman" w:hAnsi="Times New Roman"/>
          <w:i/>
          <w:sz w:val="24"/>
        </w:rPr>
        <w:t xml:space="preserve"> Gulliver</w:t>
      </w:r>
      <w:r>
        <w:rPr>
          <w:rFonts w:ascii="Times New Roman" w:hAnsi="Times New Roman"/>
          <w:sz w:val="24"/>
        </w:rPr>
        <w:t xml:space="preserve">, this argument, in my view, is misconceived. The principle relied upon by the appellants could hardly apply to a </w:t>
      </w:r>
      <w:r w:rsidR="004B36A6">
        <w:rPr>
          <w:rFonts w:ascii="Times New Roman" w:hAnsi="Times New Roman"/>
          <w:sz w:val="24"/>
        </w:rPr>
        <w:t>D</w:t>
      </w:r>
      <w:r>
        <w:rPr>
          <w:rFonts w:ascii="Times New Roman" w:hAnsi="Times New Roman"/>
          <w:sz w:val="24"/>
        </w:rPr>
        <w:t xml:space="preserve">irectors and </w:t>
      </w:r>
      <w:r w:rsidR="004B36A6">
        <w:rPr>
          <w:rFonts w:ascii="Times New Roman" w:hAnsi="Times New Roman"/>
          <w:sz w:val="24"/>
        </w:rPr>
        <w:t>O</w:t>
      </w:r>
      <w:r>
        <w:rPr>
          <w:rFonts w:ascii="Times New Roman" w:hAnsi="Times New Roman"/>
          <w:sz w:val="24"/>
        </w:rPr>
        <w:t xml:space="preserve">fficers </w:t>
      </w:r>
      <w:r w:rsidR="004B36A6">
        <w:rPr>
          <w:rFonts w:ascii="Times New Roman" w:hAnsi="Times New Roman"/>
          <w:sz w:val="24"/>
        </w:rPr>
        <w:t>L</w:t>
      </w:r>
      <w:r>
        <w:rPr>
          <w:rFonts w:ascii="Times New Roman" w:hAnsi="Times New Roman"/>
          <w:sz w:val="24"/>
        </w:rPr>
        <w:t xml:space="preserve">iability </w:t>
      </w:r>
      <w:r w:rsidR="004B36A6">
        <w:rPr>
          <w:rFonts w:ascii="Times New Roman" w:hAnsi="Times New Roman"/>
          <w:sz w:val="24"/>
        </w:rPr>
        <w:t>P</w:t>
      </w:r>
      <w:r>
        <w:rPr>
          <w:rFonts w:ascii="Times New Roman" w:hAnsi="Times New Roman"/>
          <w:sz w:val="24"/>
        </w:rPr>
        <w:t xml:space="preserve">olicy, authorised by law and by the </w:t>
      </w:r>
      <w:r w:rsidR="004B36A6">
        <w:rPr>
          <w:rFonts w:ascii="Times New Roman" w:hAnsi="Times New Roman"/>
          <w:sz w:val="24"/>
        </w:rPr>
        <w:t>A</w:t>
      </w:r>
      <w:r>
        <w:rPr>
          <w:rFonts w:ascii="Times New Roman" w:hAnsi="Times New Roman"/>
          <w:sz w:val="24"/>
        </w:rPr>
        <w:t xml:space="preserve">rticles of </w:t>
      </w:r>
      <w:r w:rsidR="004B36A6">
        <w:rPr>
          <w:rFonts w:ascii="Times New Roman" w:hAnsi="Times New Roman"/>
          <w:sz w:val="24"/>
        </w:rPr>
        <w:t>A</w:t>
      </w:r>
      <w:r>
        <w:rPr>
          <w:rFonts w:ascii="Times New Roman" w:hAnsi="Times New Roman"/>
          <w:sz w:val="24"/>
        </w:rPr>
        <w:t>ssociation of the company,</w:t>
      </w:r>
      <w:r w:rsidR="004B36A6">
        <w:rPr>
          <w:rFonts w:ascii="Times New Roman" w:hAnsi="Times New Roman"/>
          <w:sz w:val="24"/>
        </w:rPr>
        <w:t xml:space="preserve"> </w:t>
      </w:r>
      <w:r>
        <w:rPr>
          <w:rFonts w:ascii="Times New Roman" w:hAnsi="Times New Roman"/>
          <w:sz w:val="24"/>
        </w:rPr>
        <w:t xml:space="preserve">which is taken out by a company expressly to protect directors and officers from actions taken by them in their capacity </w:t>
      </w:r>
      <w:r w:rsidRPr="009661FE">
        <w:rPr>
          <w:rFonts w:ascii="Times New Roman" w:hAnsi="Times New Roman"/>
          <w:i/>
          <w:sz w:val="24"/>
        </w:rPr>
        <w:t>qua</w:t>
      </w:r>
      <w:r>
        <w:rPr>
          <w:rFonts w:ascii="Times New Roman" w:hAnsi="Times New Roman"/>
          <w:sz w:val="24"/>
        </w:rPr>
        <w:t xml:space="preserve"> directors and officers without recourse to the assets of the company,</w:t>
      </w:r>
      <w:r w:rsidR="00273F87">
        <w:rPr>
          <w:rFonts w:ascii="Times New Roman" w:hAnsi="Times New Roman"/>
          <w:sz w:val="24"/>
        </w:rPr>
        <w:t xml:space="preserve"> recourse to</w:t>
      </w:r>
      <w:r>
        <w:rPr>
          <w:rFonts w:ascii="Times New Roman" w:hAnsi="Times New Roman"/>
          <w:sz w:val="24"/>
        </w:rPr>
        <w:t xml:space="preserve"> which is prohibited.</w:t>
      </w:r>
      <w:r w:rsidR="004B36A6">
        <w:rPr>
          <w:rFonts w:ascii="Times New Roman" w:hAnsi="Times New Roman"/>
          <w:sz w:val="24"/>
        </w:rPr>
        <w:t xml:space="preserve"> </w:t>
      </w:r>
      <w:r>
        <w:rPr>
          <w:rFonts w:ascii="Times New Roman" w:hAnsi="Times New Roman"/>
          <w:sz w:val="24"/>
        </w:rPr>
        <w:t xml:space="preserve">Such an interpretation of </w:t>
      </w:r>
      <w:r w:rsidRPr="004B36A6">
        <w:rPr>
          <w:rFonts w:ascii="Times New Roman" w:hAnsi="Times New Roman"/>
          <w:i/>
          <w:iCs/>
          <w:sz w:val="24"/>
        </w:rPr>
        <w:t>Regal (Hastings) v</w:t>
      </w:r>
      <w:r w:rsidR="004B36A6">
        <w:rPr>
          <w:rFonts w:ascii="Times New Roman" w:hAnsi="Times New Roman"/>
          <w:i/>
          <w:iCs/>
          <w:sz w:val="24"/>
        </w:rPr>
        <w:t>.</w:t>
      </w:r>
      <w:r w:rsidRPr="004B36A6">
        <w:rPr>
          <w:rFonts w:ascii="Times New Roman" w:hAnsi="Times New Roman"/>
          <w:i/>
          <w:iCs/>
          <w:sz w:val="24"/>
        </w:rPr>
        <w:t xml:space="preserve"> Gulliver</w:t>
      </w:r>
      <w:r>
        <w:rPr>
          <w:rFonts w:ascii="Times New Roman" w:hAnsi="Times New Roman"/>
          <w:sz w:val="24"/>
        </w:rPr>
        <w:t xml:space="preserve"> would operate contrary to s.</w:t>
      </w:r>
      <w:r w:rsidR="004B36A6">
        <w:rPr>
          <w:rFonts w:ascii="Times New Roman" w:hAnsi="Times New Roman"/>
          <w:sz w:val="24"/>
        </w:rPr>
        <w:t xml:space="preserve"> </w:t>
      </w:r>
      <w:r>
        <w:rPr>
          <w:rFonts w:ascii="Times New Roman" w:hAnsi="Times New Roman"/>
          <w:sz w:val="24"/>
        </w:rPr>
        <w:t xml:space="preserve">235(4) of the Companies Act 2014, and would defeat the whole purpose of a lawfully procured Directors and Officers </w:t>
      </w:r>
      <w:r w:rsidR="004B36A6">
        <w:rPr>
          <w:rFonts w:ascii="Times New Roman" w:hAnsi="Times New Roman"/>
          <w:sz w:val="24"/>
        </w:rPr>
        <w:t>L</w:t>
      </w:r>
      <w:r>
        <w:rPr>
          <w:rFonts w:ascii="Times New Roman" w:hAnsi="Times New Roman"/>
          <w:sz w:val="24"/>
        </w:rPr>
        <w:t xml:space="preserve">iability </w:t>
      </w:r>
      <w:r w:rsidR="004B36A6">
        <w:rPr>
          <w:rFonts w:ascii="Times New Roman" w:hAnsi="Times New Roman"/>
          <w:sz w:val="24"/>
        </w:rPr>
        <w:t>P</w:t>
      </w:r>
      <w:r>
        <w:rPr>
          <w:rFonts w:ascii="Times New Roman" w:hAnsi="Times New Roman"/>
          <w:sz w:val="24"/>
        </w:rPr>
        <w:t>olicy</w:t>
      </w:r>
      <w:r w:rsidR="00273F87">
        <w:rPr>
          <w:rFonts w:ascii="Times New Roman" w:hAnsi="Times New Roman"/>
          <w:sz w:val="24"/>
        </w:rPr>
        <w:t>.</w:t>
      </w:r>
    </w:p>
    <w:p w14:paraId="170B8342" w14:textId="08C50A6D" w:rsidR="00273F87" w:rsidRDefault="000E4077" w:rsidP="00463A20">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So, therefore, I am satisfied that the Director Respondents are entitled to rely upon the Policy in response to the application made to the trial judge in order to demonstrate that, so far as legal costs are concerned, Holdings will not be put to any expenditure because the company is being i</w:t>
      </w:r>
      <w:r w:rsidR="00273F87">
        <w:rPr>
          <w:rFonts w:ascii="Times New Roman" w:hAnsi="Times New Roman"/>
          <w:sz w:val="24"/>
        </w:rPr>
        <w:t>ndemnified</w:t>
      </w:r>
      <w:r>
        <w:rPr>
          <w:rFonts w:ascii="Times New Roman" w:hAnsi="Times New Roman"/>
          <w:sz w:val="24"/>
        </w:rPr>
        <w:t xml:space="preserve"> pursuant to the Policy.  While Mr. </w:t>
      </w:r>
      <w:proofErr w:type="spellStart"/>
      <w:r>
        <w:rPr>
          <w:rFonts w:ascii="Times New Roman" w:hAnsi="Times New Roman"/>
          <w:sz w:val="24"/>
        </w:rPr>
        <w:t>Skoczylas</w:t>
      </w:r>
      <w:proofErr w:type="spellEnd"/>
      <w:r>
        <w:rPr>
          <w:rFonts w:ascii="Times New Roman" w:hAnsi="Times New Roman"/>
          <w:sz w:val="24"/>
        </w:rPr>
        <w:t xml:space="preserve"> has advanced </w:t>
      </w:r>
      <w:r>
        <w:rPr>
          <w:rFonts w:ascii="Times New Roman" w:hAnsi="Times New Roman"/>
          <w:sz w:val="24"/>
        </w:rPr>
        <w:lastRenderedPageBreak/>
        <w:t xml:space="preserve">several arguments to the contrary, all of these arguments are unambiguously rebutted by the correspondence received from the insurer, and the trial judge was quite correct to hold that it was no function of </w:t>
      </w:r>
      <w:r w:rsidR="00273F87">
        <w:rPr>
          <w:rFonts w:ascii="Times New Roman" w:hAnsi="Times New Roman"/>
          <w:sz w:val="24"/>
        </w:rPr>
        <w:t xml:space="preserve">the </w:t>
      </w:r>
      <w:r w:rsidR="00B83993">
        <w:rPr>
          <w:rFonts w:ascii="Times New Roman" w:hAnsi="Times New Roman"/>
          <w:sz w:val="24"/>
        </w:rPr>
        <w:t>c</w:t>
      </w:r>
      <w:r w:rsidR="00273F87">
        <w:rPr>
          <w:rFonts w:ascii="Times New Roman" w:hAnsi="Times New Roman"/>
          <w:sz w:val="24"/>
        </w:rPr>
        <w:t>ourt</w:t>
      </w:r>
      <w:r>
        <w:rPr>
          <w:rFonts w:ascii="Times New Roman" w:hAnsi="Times New Roman"/>
          <w:sz w:val="24"/>
        </w:rPr>
        <w:t xml:space="preserve"> to interrogate this correspondence or the Policy.  More than that, it is open to the insurers, for whatever reasons of their own, to provide indemnity even in circumstances where there may be doubt as to their obligation</w:t>
      </w:r>
      <w:r w:rsidR="009D039F">
        <w:rPr>
          <w:rFonts w:ascii="Times New Roman" w:hAnsi="Times New Roman"/>
          <w:sz w:val="24"/>
        </w:rPr>
        <w:t xml:space="preserve"> to do so (</w:t>
      </w:r>
      <w:r>
        <w:rPr>
          <w:rFonts w:ascii="Times New Roman" w:hAnsi="Times New Roman"/>
          <w:sz w:val="24"/>
        </w:rPr>
        <w:t>and I am not say</w:t>
      </w:r>
      <w:r w:rsidR="009D039F">
        <w:rPr>
          <w:rFonts w:ascii="Times New Roman" w:hAnsi="Times New Roman"/>
          <w:sz w:val="24"/>
        </w:rPr>
        <w:t xml:space="preserve">ing that that is the case here).  It is not at all unusual for insurers to provide indemnity in circumstances where a strict interpretation of a policy might not require them to do so. </w:t>
      </w:r>
    </w:p>
    <w:p w14:paraId="143B41CF" w14:textId="54431BEC" w:rsidR="000E4077" w:rsidRDefault="009D039F" w:rsidP="00463A20">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Mr. </w:t>
      </w:r>
      <w:proofErr w:type="spellStart"/>
      <w:r>
        <w:rPr>
          <w:rFonts w:ascii="Times New Roman" w:hAnsi="Times New Roman"/>
          <w:sz w:val="24"/>
        </w:rPr>
        <w:t>Skoczylas</w:t>
      </w:r>
      <w:proofErr w:type="spellEnd"/>
      <w:r>
        <w:rPr>
          <w:rFonts w:ascii="Times New Roman" w:hAnsi="Times New Roman"/>
          <w:sz w:val="24"/>
        </w:rPr>
        <w:t xml:space="preserve"> </w:t>
      </w:r>
      <w:r w:rsidR="004D485A">
        <w:rPr>
          <w:rFonts w:ascii="Times New Roman" w:hAnsi="Times New Roman"/>
          <w:sz w:val="24"/>
        </w:rPr>
        <w:t xml:space="preserve">also </w:t>
      </w:r>
      <w:r>
        <w:rPr>
          <w:rFonts w:ascii="Times New Roman" w:hAnsi="Times New Roman"/>
          <w:sz w:val="24"/>
        </w:rPr>
        <w:t xml:space="preserve">argued that indemnity may be refused where there is a finding or an admission of wrongdoing on the part of a director.  That may be so, but in circumstances where the insurer in this instance was agreeing to pay the costs incurred by Holdings as they arise, the trial judge was quite entitled within her discretion to </w:t>
      </w:r>
      <w:r w:rsidR="00273F87">
        <w:rPr>
          <w:rFonts w:ascii="Times New Roman" w:hAnsi="Times New Roman"/>
          <w:sz w:val="24"/>
        </w:rPr>
        <w:t>consider</w:t>
      </w:r>
      <w:r>
        <w:rPr>
          <w:rFonts w:ascii="Times New Roman" w:hAnsi="Times New Roman"/>
          <w:sz w:val="24"/>
        </w:rPr>
        <w:t xml:space="preserve"> the application </w:t>
      </w:r>
      <w:r w:rsidR="0085435D">
        <w:rPr>
          <w:rFonts w:ascii="Times New Roman" w:hAnsi="Times New Roman"/>
          <w:sz w:val="24"/>
        </w:rPr>
        <w:t xml:space="preserve">before her </w:t>
      </w:r>
      <w:r>
        <w:rPr>
          <w:rFonts w:ascii="Times New Roman" w:hAnsi="Times New Roman"/>
          <w:sz w:val="24"/>
        </w:rPr>
        <w:t xml:space="preserve">on the basis that indemnity was forthcoming, rather than on the basis that something might happen in the future to bring about a rescission of cover.  </w:t>
      </w:r>
    </w:p>
    <w:p w14:paraId="420ADBE6" w14:textId="2ED0F52B" w:rsidR="000F331F" w:rsidRDefault="004D485A" w:rsidP="003F0E4F">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Finally, so far as the Policy is concerned, the appellants claim that the trial judge fell into error by relying upon hearsay evidence advanced by the Director Respondents to the effect that the cost of these proceedings will be indemnified to Holdings pursuant to the Policy.  </w:t>
      </w:r>
      <w:r w:rsidR="000F331F">
        <w:rPr>
          <w:rFonts w:ascii="Times New Roman" w:hAnsi="Times New Roman"/>
          <w:sz w:val="24"/>
        </w:rPr>
        <w:t>This is a reference to the letters provided by AIG, and relied upon by the Director Respondents.</w:t>
      </w:r>
    </w:p>
    <w:p w14:paraId="224C6DEE" w14:textId="4330D3AB" w:rsidR="00C97850" w:rsidRDefault="000F331F" w:rsidP="00766E49">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I have considerable doubt as to whether or not these letters constitute hearsay at all. In </w:t>
      </w:r>
      <w:r w:rsidRPr="00EC0EDA">
        <w:rPr>
          <w:rFonts w:ascii="Times New Roman" w:hAnsi="Times New Roman"/>
          <w:i/>
          <w:sz w:val="24"/>
        </w:rPr>
        <w:t>The Leopardstown Club Ltd</w:t>
      </w:r>
      <w:r w:rsidR="00766E49">
        <w:rPr>
          <w:rFonts w:ascii="Times New Roman" w:hAnsi="Times New Roman"/>
          <w:i/>
          <w:sz w:val="24"/>
        </w:rPr>
        <w:t>.</w:t>
      </w:r>
      <w:r w:rsidRPr="00EC0EDA">
        <w:rPr>
          <w:rFonts w:ascii="Times New Roman" w:hAnsi="Times New Roman"/>
          <w:i/>
          <w:sz w:val="24"/>
        </w:rPr>
        <w:t xml:space="preserve"> v</w:t>
      </w:r>
      <w:r w:rsidR="00766E49">
        <w:rPr>
          <w:rFonts w:ascii="Times New Roman" w:hAnsi="Times New Roman"/>
          <w:i/>
          <w:sz w:val="24"/>
        </w:rPr>
        <w:t>.</w:t>
      </w:r>
      <w:r w:rsidRPr="00EC0EDA">
        <w:rPr>
          <w:rFonts w:ascii="Times New Roman" w:hAnsi="Times New Roman"/>
          <w:i/>
          <w:sz w:val="24"/>
        </w:rPr>
        <w:t xml:space="preserve"> </w:t>
      </w:r>
      <w:proofErr w:type="spellStart"/>
      <w:r w:rsidRPr="00EC0EDA">
        <w:rPr>
          <w:rFonts w:ascii="Times New Roman" w:hAnsi="Times New Roman"/>
          <w:i/>
          <w:sz w:val="24"/>
        </w:rPr>
        <w:t>Templeville</w:t>
      </w:r>
      <w:proofErr w:type="spellEnd"/>
      <w:r w:rsidRPr="00EC0EDA">
        <w:rPr>
          <w:rFonts w:ascii="Times New Roman" w:hAnsi="Times New Roman"/>
          <w:i/>
          <w:sz w:val="24"/>
        </w:rPr>
        <w:t xml:space="preserve"> Developments Ltd</w:t>
      </w:r>
      <w:r w:rsidR="00F1091E">
        <w:rPr>
          <w:rFonts w:ascii="Times New Roman" w:hAnsi="Times New Roman"/>
          <w:i/>
          <w:sz w:val="24"/>
        </w:rPr>
        <w:t>.</w:t>
      </w:r>
      <w:r>
        <w:rPr>
          <w:rFonts w:ascii="Times New Roman" w:hAnsi="Times New Roman"/>
          <w:sz w:val="24"/>
        </w:rPr>
        <w:t xml:space="preserve"> [2010] IEHC 152, Edwards J</w:t>
      </w:r>
      <w:r w:rsidR="00766E49">
        <w:rPr>
          <w:rFonts w:ascii="Times New Roman" w:hAnsi="Times New Roman"/>
          <w:sz w:val="24"/>
        </w:rPr>
        <w:t>.</w:t>
      </w:r>
      <w:r>
        <w:rPr>
          <w:rFonts w:ascii="Times New Roman" w:hAnsi="Times New Roman"/>
          <w:sz w:val="24"/>
        </w:rPr>
        <w:t xml:space="preserve"> stated</w:t>
      </w:r>
      <w:r w:rsidR="00766E49">
        <w:rPr>
          <w:rFonts w:ascii="Times New Roman" w:hAnsi="Times New Roman"/>
          <w:sz w:val="24"/>
        </w:rPr>
        <w:t>:</w:t>
      </w:r>
      <w:r>
        <w:rPr>
          <w:rFonts w:ascii="Times New Roman" w:hAnsi="Times New Roman"/>
          <w:sz w:val="24"/>
        </w:rPr>
        <w:t xml:space="preserve"> “Where the document is produced by a party who proposes to rely upon the statements it contains, not as evidence of their truth by way of an exception to the hearsay rule, but to show for some legitimate purpose that the statements (whether or not they be true) were in fact made, then the document is properly </w:t>
      </w:r>
      <w:r w:rsidR="00483515">
        <w:rPr>
          <w:rFonts w:ascii="Times New Roman" w:hAnsi="Times New Roman"/>
          <w:sz w:val="24"/>
        </w:rPr>
        <w:t xml:space="preserve">to be </w:t>
      </w:r>
      <w:r>
        <w:rPr>
          <w:rFonts w:ascii="Times New Roman" w:hAnsi="Times New Roman"/>
          <w:sz w:val="24"/>
        </w:rPr>
        <w:t>characterised as non-hearsay original evidence (otherwise original evidence).</w:t>
      </w:r>
      <w:r w:rsidR="00681832">
        <w:rPr>
          <w:rFonts w:ascii="Times New Roman" w:hAnsi="Times New Roman"/>
          <w:sz w:val="24"/>
        </w:rPr>
        <w:t>”</w:t>
      </w:r>
      <w:r>
        <w:rPr>
          <w:rFonts w:ascii="Times New Roman" w:hAnsi="Times New Roman"/>
          <w:sz w:val="24"/>
        </w:rPr>
        <w:t xml:space="preserve"> See also McGrath on </w:t>
      </w:r>
      <w:r w:rsidRPr="00681832">
        <w:rPr>
          <w:rFonts w:ascii="Times New Roman" w:hAnsi="Times New Roman"/>
          <w:i/>
          <w:iCs/>
          <w:sz w:val="24"/>
        </w:rPr>
        <w:t>Evidence</w:t>
      </w:r>
      <w:r>
        <w:rPr>
          <w:rFonts w:ascii="Times New Roman" w:hAnsi="Times New Roman"/>
          <w:sz w:val="24"/>
        </w:rPr>
        <w:t xml:space="preserve"> </w:t>
      </w:r>
      <w:r w:rsidR="00681832">
        <w:rPr>
          <w:rFonts w:ascii="Times New Roman" w:hAnsi="Times New Roman"/>
          <w:sz w:val="24"/>
        </w:rPr>
        <w:t>(</w:t>
      </w:r>
      <w:r>
        <w:rPr>
          <w:rFonts w:ascii="Times New Roman" w:hAnsi="Times New Roman"/>
          <w:sz w:val="24"/>
        </w:rPr>
        <w:t>3</w:t>
      </w:r>
      <w:r w:rsidRPr="00766E49">
        <w:rPr>
          <w:rFonts w:ascii="Times New Roman" w:hAnsi="Times New Roman"/>
          <w:sz w:val="24"/>
          <w:vertAlign w:val="superscript"/>
        </w:rPr>
        <w:t>rd</w:t>
      </w:r>
      <w:r>
        <w:rPr>
          <w:rFonts w:ascii="Times New Roman" w:hAnsi="Times New Roman"/>
          <w:sz w:val="24"/>
        </w:rPr>
        <w:t xml:space="preserve"> </w:t>
      </w:r>
      <w:proofErr w:type="spellStart"/>
      <w:r w:rsidR="00681832">
        <w:rPr>
          <w:rFonts w:ascii="Times New Roman" w:hAnsi="Times New Roman"/>
          <w:sz w:val="24"/>
        </w:rPr>
        <w:t>edn</w:t>
      </w:r>
      <w:proofErr w:type="spellEnd"/>
      <w:r>
        <w:rPr>
          <w:rFonts w:ascii="Times New Roman" w:hAnsi="Times New Roman"/>
          <w:sz w:val="24"/>
        </w:rPr>
        <w:t xml:space="preserve">, </w:t>
      </w:r>
      <w:r w:rsidR="00681832">
        <w:rPr>
          <w:rFonts w:ascii="Times New Roman" w:hAnsi="Times New Roman"/>
          <w:sz w:val="24"/>
        </w:rPr>
        <w:lastRenderedPageBreak/>
        <w:t xml:space="preserve">Round Hall 2020) </w:t>
      </w:r>
      <w:r>
        <w:rPr>
          <w:rFonts w:ascii="Times New Roman" w:hAnsi="Times New Roman"/>
          <w:sz w:val="24"/>
        </w:rPr>
        <w:t>where the learned author says at para. 5-40: “</w:t>
      </w:r>
      <w:r w:rsidR="00274D87">
        <w:rPr>
          <w:rFonts w:ascii="Times New Roman" w:hAnsi="Times New Roman"/>
          <w:sz w:val="24"/>
        </w:rPr>
        <w:t>A</w:t>
      </w:r>
      <w:r w:rsidR="00C97850">
        <w:rPr>
          <w:rFonts w:ascii="Times New Roman" w:hAnsi="Times New Roman"/>
          <w:sz w:val="24"/>
        </w:rPr>
        <w:t xml:space="preserve"> statement may be relevant and admissible because it contains words, sometimes referred to as </w:t>
      </w:r>
      <w:r w:rsidR="00274D87">
        <w:rPr>
          <w:rFonts w:ascii="Times New Roman" w:hAnsi="Times New Roman"/>
          <w:sz w:val="24"/>
        </w:rPr>
        <w:t>‘</w:t>
      </w:r>
      <w:r w:rsidR="00C97850">
        <w:rPr>
          <w:rFonts w:ascii="Times New Roman" w:hAnsi="Times New Roman"/>
          <w:sz w:val="24"/>
        </w:rPr>
        <w:t>operative words</w:t>
      </w:r>
      <w:r w:rsidR="00274D87">
        <w:rPr>
          <w:rFonts w:ascii="Times New Roman" w:hAnsi="Times New Roman"/>
          <w:sz w:val="24"/>
        </w:rPr>
        <w:t>’</w:t>
      </w:r>
      <w:r w:rsidR="00C97850">
        <w:rPr>
          <w:rFonts w:ascii="Times New Roman" w:hAnsi="Times New Roman"/>
          <w:sz w:val="24"/>
        </w:rPr>
        <w:t xml:space="preserve"> that have a particular legal effect simply because they have been uttered. The classic example is a deed tendered as evidence of the assurance of property. Another is a statement establishing contractual relations and, if a dispute arises as to whether a contract was concluded between two parties, evidence may be given of any statement relied upon as constituting an offer or acceptance for the purpose of showing that a contract came into being</w:t>
      </w:r>
      <w:r w:rsidR="00274D87">
        <w:rPr>
          <w:rFonts w:ascii="Times New Roman" w:hAnsi="Times New Roman"/>
          <w:sz w:val="24"/>
        </w:rPr>
        <w:t>.</w:t>
      </w:r>
      <w:r w:rsidR="00C97850">
        <w:rPr>
          <w:rFonts w:ascii="Times New Roman" w:hAnsi="Times New Roman"/>
          <w:sz w:val="24"/>
        </w:rPr>
        <w:t>” So, therefore, it must at least be arguable that the letters received from AIG are letters having legal effect, providing evidence as to AIG’s understanding of its contractual obligations to Holdings</w:t>
      </w:r>
      <w:r w:rsidR="007A5F4F">
        <w:rPr>
          <w:rFonts w:ascii="Times New Roman" w:hAnsi="Times New Roman"/>
          <w:sz w:val="24"/>
        </w:rPr>
        <w:t xml:space="preserve"> under the Policy.</w:t>
      </w:r>
    </w:p>
    <w:p w14:paraId="215A3C81" w14:textId="43351678" w:rsidR="000F331F" w:rsidRPr="007A5F4F" w:rsidRDefault="000F331F" w:rsidP="001F03D6">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Furthermore, it is not clear to me that this issue was argued in the High Court. So far as I can see,</w:t>
      </w:r>
      <w:r w:rsidR="001F03D6">
        <w:rPr>
          <w:rFonts w:ascii="Times New Roman" w:hAnsi="Times New Roman"/>
          <w:sz w:val="24"/>
        </w:rPr>
        <w:t xml:space="preserve"> </w:t>
      </w:r>
      <w:r>
        <w:rPr>
          <w:rFonts w:ascii="Times New Roman" w:hAnsi="Times New Roman"/>
          <w:sz w:val="24"/>
        </w:rPr>
        <w:t xml:space="preserve">it is not </w:t>
      </w:r>
      <w:r w:rsidR="007A5F4F">
        <w:rPr>
          <w:rFonts w:ascii="Times New Roman" w:hAnsi="Times New Roman"/>
          <w:sz w:val="24"/>
        </w:rPr>
        <w:t xml:space="preserve">suggested </w:t>
      </w:r>
      <w:r>
        <w:rPr>
          <w:rFonts w:ascii="Times New Roman" w:hAnsi="Times New Roman"/>
          <w:sz w:val="24"/>
        </w:rPr>
        <w:t xml:space="preserve"> in the written submissions of Mr. </w:t>
      </w:r>
      <w:proofErr w:type="spellStart"/>
      <w:r>
        <w:rPr>
          <w:rFonts w:ascii="Times New Roman" w:hAnsi="Times New Roman"/>
          <w:sz w:val="24"/>
        </w:rPr>
        <w:t>Skoczylas</w:t>
      </w:r>
      <w:proofErr w:type="spellEnd"/>
      <w:r>
        <w:rPr>
          <w:rFonts w:ascii="Times New Roman" w:hAnsi="Times New Roman"/>
          <w:sz w:val="24"/>
        </w:rPr>
        <w:t xml:space="preserve"> to that court</w:t>
      </w:r>
      <w:r w:rsidR="007A5F4F">
        <w:rPr>
          <w:rFonts w:ascii="Times New Roman" w:hAnsi="Times New Roman"/>
          <w:sz w:val="24"/>
        </w:rPr>
        <w:t xml:space="preserve"> that the letters constitute hearsay (even though he addresses the content of the AIG letters in some detail in those submissions)</w:t>
      </w:r>
      <w:r>
        <w:rPr>
          <w:rFonts w:ascii="Times New Roman" w:hAnsi="Times New Roman"/>
          <w:sz w:val="24"/>
        </w:rPr>
        <w:t xml:space="preserve">, and nor is this issue addressed in the judgment under appeal. </w:t>
      </w:r>
      <w:r w:rsidR="007A5F4F">
        <w:rPr>
          <w:rFonts w:ascii="Times New Roman" w:hAnsi="Times New Roman"/>
          <w:sz w:val="24"/>
        </w:rPr>
        <w:t xml:space="preserve">It was the subject on only very limited submissions before this </w:t>
      </w:r>
      <w:r w:rsidR="001F03D6">
        <w:rPr>
          <w:rFonts w:ascii="Times New Roman" w:hAnsi="Times New Roman"/>
          <w:sz w:val="24"/>
        </w:rPr>
        <w:t>C</w:t>
      </w:r>
      <w:r w:rsidR="007A5F4F">
        <w:rPr>
          <w:rFonts w:ascii="Times New Roman" w:hAnsi="Times New Roman"/>
          <w:sz w:val="24"/>
        </w:rPr>
        <w:t xml:space="preserve">ourt. </w:t>
      </w:r>
      <w:r>
        <w:rPr>
          <w:rFonts w:ascii="Times New Roman" w:hAnsi="Times New Roman"/>
          <w:sz w:val="24"/>
        </w:rPr>
        <w:t>In any case, in light of what I have sa</w:t>
      </w:r>
      <w:r w:rsidR="007A5F4F">
        <w:rPr>
          <w:rFonts w:ascii="Times New Roman" w:hAnsi="Times New Roman"/>
          <w:sz w:val="24"/>
        </w:rPr>
        <w:t xml:space="preserve">y in the next </w:t>
      </w:r>
      <w:r>
        <w:rPr>
          <w:rFonts w:ascii="Times New Roman" w:hAnsi="Times New Roman"/>
          <w:sz w:val="24"/>
        </w:rPr>
        <w:t>paragraph, it is not necessary to decide this issue one way or another for the purpose of this judgment, and I mention the above merely to illustrate that it is far from clear that the letters received from AIG are, as a matter of law, hearsay,</w:t>
      </w:r>
      <w:r w:rsidR="001F03D6">
        <w:rPr>
          <w:rFonts w:ascii="Times New Roman" w:hAnsi="Times New Roman"/>
          <w:sz w:val="24"/>
        </w:rPr>
        <w:t xml:space="preserve"> </w:t>
      </w:r>
      <w:r>
        <w:rPr>
          <w:rFonts w:ascii="Times New Roman" w:hAnsi="Times New Roman"/>
          <w:sz w:val="24"/>
        </w:rPr>
        <w:t>as contended by Mr</w:t>
      </w:r>
      <w:r w:rsidR="001F03D6">
        <w:rPr>
          <w:rFonts w:ascii="Times New Roman" w:hAnsi="Times New Roman"/>
          <w:sz w:val="24"/>
        </w:rPr>
        <w:t>.</w:t>
      </w:r>
      <w:r>
        <w:rPr>
          <w:rFonts w:ascii="Times New Roman" w:hAnsi="Times New Roman"/>
          <w:sz w:val="24"/>
        </w:rPr>
        <w:t xml:space="preserve"> </w:t>
      </w:r>
      <w:proofErr w:type="spellStart"/>
      <w:r>
        <w:rPr>
          <w:rFonts w:ascii="Times New Roman" w:hAnsi="Times New Roman"/>
          <w:sz w:val="24"/>
        </w:rPr>
        <w:t>Skoczylas</w:t>
      </w:r>
      <w:proofErr w:type="spellEnd"/>
      <w:r>
        <w:rPr>
          <w:rFonts w:ascii="Times New Roman" w:hAnsi="Times New Roman"/>
          <w:sz w:val="24"/>
        </w:rPr>
        <w:t>.</w:t>
      </w:r>
    </w:p>
    <w:p w14:paraId="4270B81A" w14:textId="525711BB" w:rsidR="004D485A" w:rsidRDefault="00A4310D" w:rsidP="003F0E4F">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Even if it is the case that the AIG letters are hearsay,</w:t>
      </w:r>
      <w:r w:rsidR="004D485A">
        <w:rPr>
          <w:rFonts w:ascii="Times New Roman" w:hAnsi="Times New Roman"/>
          <w:sz w:val="24"/>
        </w:rPr>
        <w:t xml:space="preserve"> </w:t>
      </w:r>
      <w:r>
        <w:rPr>
          <w:rFonts w:ascii="Times New Roman" w:hAnsi="Times New Roman"/>
          <w:sz w:val="24"/>
        </w:rPr>
        <w:t xml:space="preserve">it is well established that </w:t>
      </w:r>
      <w:r w:rsidR="001A2596">
        <w:rPr>
          <w:rFonts w:ascii="Times New Roman" w:hAnsi="Times New Roman"/>
          <w:sz w:val="24"/>
        </w:rPr>
        <w:t>t</w:t>
      </w:r>
      <w:r w:rsidR="004D485A">
        <w:rPr>
          <w:rFonts w:ascii="Times New Roman" w:hAnsi="Times New Roman"/>
          <w:sz w:val="24"/>
        </w:rPr>
        <w:t>he court is entitled, on an interlocutory application, to receive hearsay evidence</w:t>
      </w:r>
      <w:r w:rsidR="00815803">
        <w:rPr>
          <w:rFonts w:ascii="Times New Roman" w:hAnsi="Times New Roman"/>
          <w:sz w:val="24"/>
        </w:rPr>
        <w:t xml:space="preserve"> (see McGrath</w:t>
      </w:r>
      <w:r w:rsidR="006825F4">
        <w:rPr>
          <w:rFonts w:ascii="Times New Roman" w:hAnsi="Times New Roman"/>
          <w:sz w:val="24"/>
        </w:rPr>
        <w:t xml:space="preserve"> on </w:t>
      </w:r>
      <w:r w:rsidR="00FD68C0" w:rsidRPr="00FD68C0">
        <w:rPr>
          <w:rFonts w:ascii="Times New Roman" w:hAnsi="Times New Roman"/>
          <w:i/>
          <w:iCs/>
          <w:sz w:val="24"/>
        </w:rPr>
        <w:t>E</w:t>
      </w:r>
      <w:r w:rsidR="006825F4" w:rsidRPr="00FD68C0">
        <w:rPr>
          <w:rFonts w:ascii="Times New Roman" w:hAnsi="Times New Roman"/>
          <w:i/>
          <w:iCs/>
          <w:sz w:val="24"/>
        </w:rPr>
        <w:t>vidence</w:t>
      </w:r>
      <w:r w:rsidR="006825F4">
        <w:rPr>
          <w:rFonts w:ascii="Times New Roman" w:hAnsi="Times New Roman"/>
          <w:sz w:val="24"/>
        </w:rPr>
        <w:t>, paras</w:t>
      </w:r>
      <w:r w:rsidR="001F03D6">
        <w:rPr>
          <w:rFonts w:ascii="Times New Roman" w:hAnsi="Times New Roman"/>
          <w:sz w:val="24"/>
        </w:rPr>
        <w:t>.</w:t>
      </w:r>
      <w:r w:rsidR="006825F4">
        <w:rPr>
          <w:rFonts w:ascii="Times New Roman" w:hAnsi="Times New Roman"/>
          <w:sz w:val="24"/>
        </w:rPr>
        <w:t xml:space="preserve"> 5-382 and 5-383)</w:t>
      </w:r>
      <w:r w:rsidR="001F03D6">
        <w:rPr>
          <w:rFonts w:ascii="Times New Roman" w:hAnsi="Times New Roman"/>
          <w:sz w:val="24"/>
        </w:rPr>
        <w:t>.</w:t>
      </w:r>
      <w:r w:rsidR="004D485A">
        <w:rPr>
          <w:rFonts w:ascii="Times New Roman" w:hAnsi="Times New Roman"/>
          <w:sz w:val="24"/>
        </w:rPr>
        <w:t xml:space="preserve"> </w:t>
      </w:r>
      <w:r w:rsidR="00DC7155">
        <w:rPr>
          <w:rFonts w:ascii="Times New Roman" w:hAnsi="Times New Roman"/>
          <w:sz w:val="24"/>
        </w:rPr>
        <w:t>Accordingly the trial judge was entitled to rely on the evidence provided by Mr. Long as to matters within his own knowledge, and the letters from AIG</w:t>
      </w:r>
      <w:r w:rsidR="004D485A">
        <w:rPr>
          <w:rFonts w:ascii="Times New Roman" w:hAnsi="Times New Roman"/>
          <w:sz w:val="24"/>
        </w:rPr>
        <w:t xml:space="preserve"> </w:t>
      </w:r>
      <w:r w:rsidR="00DC7155">
        <w:rPr>
          <w:rFonts w:ascii="Times New Roman" w:hAnsi="Times New Roman"/>
          <w:sz w:val="24"/>
        </w:rPr>
        <w:t>in support of the averments of Mr.</w:t>
      </w:r>
      <w:r w:rsidR="006E01E7">
        <w:rPr>
          <w:rFonts w:ascii="Times New Roman" w:hAnsi="Times New Roman"/>
          <w:sz w:val="24"/>
        </w:rPr>
        <w:t xml:space="preserve"> </w:t>
      </w:r>
      <w:r w:rsidR="00DC7155">
        <w:rPr>
          <w:rFonts w:ascii="Times New Roman" w:hAnsi="Times New Roman"/>
          <w:sz w:val="24"/>
        </w:rPr>
        <w:t xml:space="preserve">Long, by way of exception to the rule against </w:t>
      </w:r>
      <w:r w:rsidR="00DC7155">
        <w:rPr>
          <w:rFonts w:ascii="Times New Roman" w:hAnsi="Times New Roman"/>
          <w:sz w:val="24"/>
        </w:rPr>
        <w:lastRenderedPageBreak/>
        <w:t>hearsay</w:t>
      </w:r>
      <w:r>
        <w:rPr>
          <w:rFonts w:ascii="Times New Roman" w:hAnsi="Times New Roman"/>
          <w:sz w:val="24"/>
        </w:rPr>
        <w:t>. It</w:t>
      </w:r>
      <w:r w:rsidR="004D485A">
        <w:rPr>
          <w:rFonts w:ascii="Times New Roman" w:hAnsi="Times New Roman"/>
          <w:sz w:val="24"/>
        </w:rPr>
        <w:t xml:space="preserve"> was not necessary for the Director Respondents to procure a separate affidavit from the author of the letter</w:t>
      </w:r>
      <w:r w:rsidR="00DC7155">
        <w:rPr>
          <w:rFonts w:ascii="Times New Roman" w:hAnsi="Times New Roman"/>
          <w:sz w:val="24"/>
        </w:rPr>
        <w:t>s</w:t>
      </w:r>
      <w:r w:rsidR="004D485A">
        <w:rPr>
          <w:rFonts w:ascii="Times New Roman" w:hAnsi="Times New Roman"/>
          <w:sz w:val="24"/>
        </w:rPr>
        <w:t xml:space="preserve"> from AIG.</w:t>
      </w:r>
      <w:r w:rsidR="003B169C">
        <w:rPr>
          <w:rFonts w:ascii="Times New Roman" w:hAnsi="Times New Roman"/>
          <w:sz w:val="24"/>
        </w:rPr>
        <w:t xml:space="preserve"> </w:t>
      </w:r>
    </w:p>
    <w:p w14:paraId="29D68E52" w14:textId="69F9CAC2" w:rsidR="009D039F" w:rsidRDefault="009D039F" w:rsidP="00463A20">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So far as costs other than legal costs are concerned, it was submitted on behalf of the appellants that there are costs associated with the work undertaken by Mr. Long, as company secretary, and his staff in connection with these proceedings, for example, in cooperating in the preparation and delivery of affidavits.  It cannot be gainsaid that Mr. Long must have spent some time in addressing such matters, and that it is likely that he </w:t>
      </w:r>
      <w:r w:rsidR="00273F87">
        <w:rPr>
          <w:rFonts w:ascii="Times New Roman" w:hAnsi="Times New Roman"/>
          <w:sz w:val="24"/>
        </w:rPr>
        <w:t xml:space="preserve">had </w:t>
      </w:r>
      <w:r>
        <w:rPr>
          <w:rFonts w:ascii="Times New Roman" w:hAnsi="Times New Roman"/>
          <w:sz w:val="24"/>
        </w:rPr>
        <w:t xml:space="preserve">the assistance of his staff in doing so.  If the proceedings are continued, more time (and corresponding expense to Holdings) may well be spent by non-legal staff of Holdings in the conduct of these proceedings.  However, the insurers have pointed out that it is the obligation of the policy holder (Holdings) to cooperate fully in any proceedings covered by the Policy, and such cooperation is a precondition to indemnity.  Of course this is a normal feature to insurance policies generally.  If an insured person fails to cooperate with his/her insurers, this will very likely result in a declinature of indemnity.  Since the Policy is one expressly authorised by statute, and since indemnity in </w:t>
      </w:r>
      <w:r w:rsidR="00D017D3">
        <w:rPr>
          <w:rFonts w:ascii="Times New Roman" w:hAnsi="Times New Roman"/>
          <w:sz w:val="24"/>
        </w:rPr>
        <w:t>respect</w:t>
      </w:r>
      <w:r>
        <w:rPr>
          <w:rFonts w:ascii="Times New Roman" w:hAnsi="Times New Roman"/>
          <w:sz w:val="24"/>
        </w:rPr>
        <w:t xml:space="preserve"> of such claims is expressly authorised by the </w:t>
      </w:r>
      <w:r w:rsidR="00D017D3">
        <w:rPr>
          <w:rFonts w:ascii="Times New Roman" w:hAnsi="Times New Roman"/>
          <w:sz w:val="24"/>
        </w:rPr>
        <w:t>A</w:t>
      </w:r>
      <w:r>
        <w:rPr>
          <w:rFonts w:ascii="Times New Roman" w:hAnsi="Times New Roman"/>
          <w:sz w:val="24"/>
        </w:rPr>
        <w:t>rtic</w:t>
      </w:r>
      <w:r w:rsidR="00D017D3">
        <w:rPr>
          <w:rFonts w:ascii="Times New Roman" w:hAnsi="Times New Roman"/>
          <w:sz w:val="24"/>
        </w:rPr>
        <w:t>l</w:t>
      </w:r>
      <w:r>
        <w:rPr>
          <w:rFonts w:ascii="Times New Roman" w:hAnsi="Times New Roman"/>
          <w:sz w:val="24"/>
        </w:rPr>
        <w:t xml:space="preserve">es </w:t>
      </w:r>
      <w:r w:rsidR="00D017D3">
        <w:rPr>
          <w:rFonts w:ascii="Times New Roman" w:hAnsi="Times New Roman"/>
          <w:sz w:val="24"/>
        </w:rPr>
        <w:t xml:space="preserve">of Association of the </w:t>
      </w:r>
      <w:r w:rsidR="00830394">
        <w:rPr>
          <w:rFonts w:ascii="Times New Roman" w:hAnsi="Times New Roman"/>
          <w:sz w:val="24"/>
        </w:rPr>
        <w:t>c</w:t>
      </w:r>
      <w:r w:rsidR="00D017D3">
        <w:rPr>
          <w:rFonts w:ascii="Times New Roman" w:hAnsi="Times New Roman"/>
          <w:sz w:val="24"/>
        </w:rPr>
        <w:t>ompanies, it is difficult to see how a standard condition of indemnity</w:t>
      </w:r>
      <w:r w:rsidR="00830394">
        <w:rPr>
          <w:rFonts w:ascii="Times New Roman" w:hAnsi="Times New Roman"/>
          <w:sz w:val="24"/>
        </w:rPr>
        <w:t>,</w:t>
      </w:r>
      <w:r w:rsidR="00D017D3">
        <w:rPr>
          <w:rFonts w:ascii="Times New Roman" w:hAnsi="Times New Roman"/>
          <w:sz w:val="24"/>
        </w:rPr>
        <w:t xml:space="preserve"> i.e. cooperation with the insurers – which may cause Holdings </w:t>
      </w:r>
      <w:r w:rsidR="00273F87">
        <w:rPr>
          <w:rFonts w:ascii="Times New Roman" w:hAnsi="Times New Roman"/>
          <w:sz w:val="24"/>
        </w:rPr>
        <w:t xml:space="preserve">some degree of </w:t>
      </w:r>
      <w:r w:rsidR="00D017D3">
        <w:rPr>
          <w:rFonts w:ascii="Times New Roman" w:hAnsi="Times New Roman"/>
          <w:sz w:val="24"/>
        </w:rPr>
        <w:t xml:space="preserve"> administrative expense could be regarded as in any way unlawful or be prohibited by law.  That of course is not a matte</w:t>
      </w:r>
      <w:r w:rsidR="001E5043">
        <w:rPr>
          <w:rFonts w:ascii="Times New Roman" w:hAnsi="Times New Roman"/>
          <w:sz w:val="24"/>
        </w:rPr>
        <w:t xml:space="preserve">r for decision on this appeal; </w:t>
      </w:r>
      <w:r w:rsidR="00D017D3">
        <w:rPr>
          <w:rFonts w:ascii="Times New Roman" w:hAnsi="Times New Roman"/>
          <w:sz w:val="24"/>
        </w:rPr>
        <w:t xml:space="preserve">I make the point only because it lends further support to the view that the trial judge was entitled, in the exercise of her discretion, to have regard to the requirements of the insurers as regards indemnification under the Policy.  </w:t>
      </w:r>
    </w:p>
    <w:p w14:paraId="3C2F8DB9" w14:textId="2568F5F6" w:rsidR="00D017D3" w:rsidRDefault="00D017D3" w:rsidP="00463A20">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The trial judge was further entitled to have regard to the vital interests of both companies in these proceedings.  At the time these proceedings were advanced, both the 2011 Direction Order proceedings and the 2012 Direction Order proceedings were ongoing.  </w:t>
      </w:r>
      <w:r>
        <w:rPr>
          <w:rFonts w:ascii="Times New Roman" w:hAnsi="Times New Roman"/>
          <w:sz w:val="24"/>
        </w:rPr>
        <w:lastRenderedPageBreak/>
        <w:t>A favourable determination for the appellants in these proceedings in their claim for the reliefs mentioned at para</w:t>
      </w:r>
      <w:r w:rsidR="007505DA">
        <w:rPr>
          <w:rFonts w:ascii="Times New Roman" w:hAnsi="Times New Roman"/>
          <w:sz w:val="24"/>
        </w:rPr>
        <w:t xml:space="preserve">. </w:t>
      </w:r>
      <w:r w:rsidR="00393B35">
        <w:rPr>
          <w:rFonts w:ascii="Times New Roman" w:hAnsi="Times New Roman"/>
          <w:sz w:val="24"/>
        </w:rPr>
        <w:t>4</w:t>
      </w:r>
      <w:r>
        <w:rPr>
          <w:rFonts w:ascii="Times New Roman" w:hAnsi="Times New Roman"/>
          <w:sz w:val="24"/>
        </w:rPr>
        <w:t xml:space="preserve"> above could well have had a significantly detrimental effect on those other proceedings.  As I have already noted above, O’Malley J. held in the 2011 Direction Order proceedings that, as likely as not, the failure to implement the 2011 Direction Order would bring about the collapse of Holdings and the Bank</w:t>
      </w:r>
      <w:r w:rsidR="00830394">
        <w:rPr>
          <w:rFonts w:ascii="Times New Roman" w:hAnsi="Times New Roman"/>
          <w:sz w:val="24"/>
        </w:rPr>
        <w:t>.</w:t>
      </w:r>
      <w:r w:rsidR="00A506ED">
        <w:rPr>
          <w:rFonts w:ascii="Times New Roman" w:hAnsi="Times New Roman"/>
          <w:sz w:val="24"/>
        </w:rPr>
        <w:t xml:space="preserve">  It would be difficult to imagine a more vital interest for a company in proceedings.  Indeed in those circumstances it is difficult to see how the trial judge could have reached a conclusion other than that, even without the Policy, Holdings should put its legal team at the disposal of the Director Respondents in these proceedings, not least on account o</w:t>
      </w:r>
      <w:r w:rsidR="00CF7C86">
        <w:rPr>
          <w:rFonts w:ascii="Times New Roman" w:hAnsi="Times New Roman"/>
          <w:sz w:val="24"/>
        </w:rPr>
        <w:t>f</w:t>
      </w:r>
      <w:r w:rsidR="00A506ED">
        <w:rPr>
          <w:rFonts w:ascii="Times New Roman" w:hAnsi="Times New Roman"/>
          <w:sz w:val="24"/>
        </w:rPr>
        <w:t xml:space="preserve"> their familiarity</w:t>
      </w:r>
      <w:r w:rsidR="00273F87">
        <w:rPr>
          <w:rFonts w:ascii="Times New Roman" w:hAnsi="Times New Roman"/>
          <w:sz w:val="24"/>
        </w:rPr>
        <w:t xml:space="preserve"> (i.e. that of the internal legal advisors)</w:t>
      </w:r>
      <w:r w:rsidR="00A506ED">
        <w:rPr>
          <w:rFonts w:ascii="Times New Roman" w:hAnsi="Times New Roman"/>
          <w:sz w:val="24"/>
        </w:rPr>
        <w:t xml:space="preserve"> with the Related Proceedings.  </w:t>
      </w:r>
    </w:p>
    <w:p w14:paraId="0C7B0D20" w14:textId="603C7ACB" w:rsidR="002F23DB" w:rsidRDefault="00A506ED" w:rsidP="00463A20">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The appellants also take issue with the application by the trial judge of the test applicable to interlocutory injunctions.  The appellants argue that the relief they seek is declaratory and not injunctive relief.  I have no hesitation in rejecting that submission.  First</w:t>
      </w:r>
      <w:r w:rsidR="009452DD">
        <w:rPr>
          <w:rFonts w:ascii="Times New Roman" w:hAnsi="Times New Roman"/>
          <w:sz w:val="24"/>
        </w:rPr>
        <w:t>,</w:t>
      </w:r>
      <w:r>
        <w:rPr>
          <w:rFonts w:ascii="Times New Roman" w:hAnsi="Times New Roman"/>
          <w:sz w:val="24"/>
        </w:rPr>
        <w:t xml:space="preserve"> two orders sought on this application are in the terms of a </w:t>
      </w:r>
      <w:proofErr w:type="spellStart"/>
      <w:r>
        <w:rPr>
          <w:rFonts w:ascii="Times New Roman" w:hAnsi="Times New Roman"/>
          <w:sz w:val="24"/>
        </w:rPr>
        <w:t>prohibitory</w:t>
      </w:r>
      <w:proofErr w:type="spellEnd"/>
      <w:r>
        <w:rPr>
          <w:rFonts w:ascii="Times New Roman" w:hAnsi="Times New Roman"/>
          <w:sz w:val="24"/>
        </w:rPr>
        <w:t xml:space="preserve"> injunction: </w:t>
      </w:r>
      <w:r w:rsidRPr="00E63DDB">
        <w:rPr>
          <w:rFonts w:ascii="Times New Roman" w:hAnsi="Times New Roman"/>
          <w:iCs/>
          <w:sz w:val="24"/>
        </w:rPr>
        <w:t>“That the first eleven named respondents or any of them be precluded from…”</w:t>
      </w:r>
      <w:r w:rsidR="00E63DDB">
        <w:rPr>
          <w:rFonts w:ascii="Times New Roman" w:hAnsi="Times New Roman"/>
          <w:iCs/>
          <w:sz w:val="24"/>
        </w:rPr>
        <w:t>.</w:t>
      </w:r>
      <w:r>
        <w:rPr>
          <w:rFonts w:ascii="Times New Roman" w:hAnsi="Times New Roman"/>
          <w:i/>
          <w:sz w:val="24"/>
        </w:rPr>
        <w:t xml:space="preserve"> </w:t>
      </w:r>
      <w:r>
        <w:rPr>
          <w:rFonts w:ascii="Times New Roman" w:hAnsi="Times New Roman"/>
          <w:sz w:val="24"/>
        </w:rPr>
        <w:t xml:space="preserve">This is clearly the language of an injunction restraining the actions thereafter described.  In my view the trial judge was entitled, and indeed correct, to consider the application for such orders, </w:t>
      </w:r>
      <w:r>
        <w:rPr>
          <w:rFonts w:ascii="Times New Roman" w:hAnsi="Times New Roman"/>
          <w:i/>
          <w:sz w:val="24"/>
        </w:rPr>
        <w:t xml:space="preserve">inter alia, </w:t>
      </w:r>
      <w:r>
        <w:rPr>
          <w:rFonts w:ascii="Times New Roman" w:hAnsi="Times New Roman"/>
          <w:sz w:val="24"/>
        </w:rPr>
        <w:t xml:space="preserve">in the light of principles applicable to interlocutory injunctions.  </w:t>
      </w:r>
    </w:p>
    <w:p w14:paraId="3CAACED1" w14:textId="7F0B3BB6" w:rsidR="00A506ED" w:rsidRDefault="00A506ED" w:rsidP="00463A20">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So far as the third relief is concerned, whereby the appellants seek orders requiring the </w:t>
      </w:r>
      <w:r w:rsidR="003E1D09">
        <w:rPr>
          <w:rFonts w:ascii="Times New Roman" w:hAnsi="Times New Roman"/>
          <w:sz w:val="24"/>
        </w:rPr>
        <w:t>Director R</w:t>
      </w:r>
      <w:r>
        <w:rPr>
          <w:rFonts w:ascii="Times New Roman" w:hAnsi="Times New Roman"/>
          <w:sz w:val="24"/>
        </w:rPr>
        <w:t>espondents to reimburse any monies that Holdings or the Bank has paid on behalf of the Director Respondents in connection with these proceedings, the trial judge stated that in seeking such an order the appellants were seeking to pre-empt the costs orders that may be made at the conclusion of these proceedings.  The appellants argue that this is incorrect, but I find it unnecessary one way or another to engage with this point.  It would be wholly inappropriate to make an order of this kind on a</w:t>
      </w:r>
      <w:r w:rsidR="00406DD7">
        <w:rPr>
          <w:rFonts w:ascii="Times New Roman" w:hAnsi="Times New Roman"/>
          <w:sz w:val="24"/>
        </w:rPr>
        <w:t>n</w:t>
      </w:r>
      <w:r>
        <w:rPr>
          <w:rFonts w:ascii="Times New Roman" w:hAnsi="Times New Roman"/>
          <w:sz w:val="24"/>
        </w:rPr>
        <w:t xml:space="preserve"> interlocutory </w:t>
      </w:r>
      <w:r w:rsidR="00406DD7">
        <w:rPr>
          <w:rFonts w:ascii="Times New Roman" w:hAnsi="Times New Roman"/>
          <w:sz w:val="24"/>
        </w:rPr>
        <w:t xml:space="preserve">application.  Such an order </w:t>
      </w:r>
      <w:r w:rsidR="00406DD7">
        <w:rPr>
          <w:rFonts w:ascii="Times New Roman" w:hAnsi="Times New Roman"/>
          <w:sz w:val="24"/>
        </w:rPr>
        <w:lastRenderedPageBreak/>
        <w:t>could only be made following a full hearing and a determination, firstly, that Holdings and/or the Bank had paid money on behalf of the Director Respondents in connection with these proceedings, and secondly that such payment was unlawful.</w:t>
      </w:r>
    </w:p>
    <w:p w14:paraId="031F9486" w14:textId="23E24EE3" w:rsidR="00406DD7" w:rsidRDefault="00406DD7" w:rsidP="00463A20">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The appellants also complain that the trial judge fell into error in failing to recognise that the Board of the Bank acted </w:t>
      </w:r>
      <w:r>
        <w:rPr>
          <w:rFonts w:ascii="Times New Roman" w:hAnsi="Times New Roman"/>
          <w:i/>
          <w:sz w:val="24"/>
        </w:rPr>
        <w:t xml:space="preserve">ultra vires </w:t>
      </w:r>
      <w:r>
        <w:rPr>
          <w:rFonts w:ascii="Times New Roman" w:hAnsi="Times New Roman"/>
          <w:sz w:val="24"/>
        </w:rPr>
        <w:t xml:space="preserve">in approving the use of the resources of the Bank </w:t>
      </w:r>
      <w:r w:rsidRPr="00BB4DDA">
        <w:rPr>
          <w:rFonts w:ascii="Times New Roman" w:hAnsi="Times New Roman"/>
          <w:i/>
          <w:sz w:val="24"/>
        </w:rPr>
        <w:t>and</w:t>
      </w:r>
      <w:r>
        <w:rPr>
          <w:rFonts w:ascii="Times New Roman" w:hAnsi="Times New Roman"/>
          <w:sz w:val="24"/>
        </w:rPr>
        <w:t xml:space="preserve"> Holdings by the Director Respondents.  Even if this submission is correct so far as the resources of Holdings are concerned, </w:t>
      </w:r>
      <w:r w:rsidR="008D1EE2">
        <w:rPr>
          <w:rFonts w:ascii="Times New Roman" w:hAnsi="Times New Roman"/>
          <w:sz w:val="24"/>
        </w:rPr>
        <w:t>this does not avail the appellants in any way.  It does not establish that the resources of Holdings are being used impermissibly or without the authority of Holdings in the proceedings.  The most that can be said about this point is that it is one that the appellants may be able to use to their advantage at the substantive hearing of these proceedings.</w:t>
      </w:r>
    </w:p>
    <w:p w14:paraId="0376FF9A" w14:textId="032C2649" w:rsidR="004205FC" w:rsidRPr="001F03D6" w:rsidRDefault="004205FC" w:rsidP="001F03D6">
      <w:pPr>
        <w:pStyle w:val="ListParagraph"/>
        <w:numPr>
          <w:ilvl w:val="0"/>
          <w:numId w:val="1"/>
        </w:numPr>
        <w:tabs>
          <w:tab w:val="left" w:pos="567"/>
        </w:tabs>
        <w:spacing w:line="480" w:lineRule="auto"/>
        <w:ind w:left="0" w:firstLine="0"/>
        <w:rPr>
          <w:rFonts w:ascii="Times New Roman" w:hAnsi="Times New Roman"/>
          <w:b/>
          <w:sz w:val="24"/>
          <w:u w:val="single"/>
        </w:rPr>
      </w:pPr>
      <w:r w:rsidRPr="001F03D6">
        <w:rPr>
          <w:rFonts w:ascii="Times New Roman" w:hAnsi="Times New Roman"/>
          <w:sz w:val="24"/>
        </w:rPr>
        <w:t>Finally,</w:t>
      </w:r>
      <w:r w:rsidR="001F03D6">
        <w:rPr>
          <w:rFonts w:ascii="Times New Roman" w:hAnsi="Times New Roman"/>
          <w:sz w:val="24"/>
        </w:rPr>
        <w:t xml:space="preserve"> </w:t>
      </w:r>
      <w:r w:rsidRPr="001F03D6">
        <w:rPr>
          <w:rFonts w:ascii="Times New Roman" w:hAnsi="Times New Roman"/>
          <w:sz w:val="24"/>
        </w:rPr>
        <w:t xml:space="preserve">I find it necessary to comment on certain language used by Mr. </w:t>
      </w:r>
      <w:proofErr w:type="spellStart"/>
      <w:r w:rsidRPr="001F03D6">
        <w:rPr>
          <w:rFonts w:ascii="Times New Roman" w:hAnsi="Times New Roman"/>
          <w:sz w:val="24"/>
        </w:rPr>
        <w:t>Skoczylas</w:t>
      </w:r>
      <w:proofErr w:type="spellEnd"/>
      <w:r w:rsidRPr="001F03D6">
        <w:rPr>
          <w:rFonts w:ascii="Times New Roman" w:hAnsi="Times New Roman"/>
          <w:sz w:val="24"/>
        </w:rPr>
        <w:t xml:space="preserve"> in his written submissions to the Court.  On p. 43 of his written submissions, apropos the conclusion of the trial judge that “the petitioners on this application appear to be attempting to pre-empt the decision which would normally be made by the trial judge as to who should bear the burden of the costs of the s.</w:t>
      </w:r>
      <w:r w:rsidR="001F03D6">
        <w:rPr>
          <w:rFonts w:ascii="Times New Roman" w:hAnsi="Times New Roman"/>
          <w:sz w:val="24"/>
        </w:rPr>
        <w:t xml:space="preserve"> </w:t>
      </w:r>
      <w:r w:rsidRPr="001F03D6">
        <w:rPr>
          <w:rFonts w:ascii="Times New Roman" w:hAnsi="Times New Roman"/>
          <w:sz w:val="24"/>
        </w:rPr>
        <w:t>205 proceedings”, Mr</w:t>
      </w:r>
      <w:r w:rsidR="001F03D6">
        <w:rPr>
          <w:rFonts w:ascii="Times New Roman" w:hAnsi="Times New Roman"/>
          <w:sz w:val="24"/>
        </w:rPr>
        <w:t>.</w:t>
      </w:r>
      <w:r w:rsidRPr="001F03D6">
        <w:rPr>
          <w:rFonts w:ascii="Times New Roman" w:hAnsi="Times New Roman"/>
          <w:sz w:val="24"/>
        </w:rPr>
        <w:t xml:space="preserve"> </w:t>
      </w:r>
      <w:proofErr w:type="spellStart"/>
      <w:r w:rsidRPr="001F03D6">
        <w:rPr>
          <w:rFonts w:ascii="Times New Roman" w:hAnsi="Times New Roman"/>
          <w:sz w:val="24"/>
        </w:rPr>
        <w:t>Skoczylas</w:t>
      </w:r>
      <w:proofErr w:type="spellEnd"/>
      <w:r w:rsidRPr="001F03D6">
        <w:rPr>
          <w:rFonts w:ascii="Times New Roman" w:hAnsi="Times New Roman"/>
          <w:sz w:val="24"/>
        </w:rPr>
        <w:t xml:space="preserve"> states that “the learned trial judge either failed to understand those reliefs or patently misrepresented them and turned them into the false, conjured notion quoted above, in order to justify her manifestly erroneous judgment.”  Two paragraphs further on, Mr. </w:t>
      </w:r>
      <w:proofErr w:type="spellStart"/>
      <w:r w:rsidRPr="001F03D6">
        <w:rPr>
          <w:rFonts w:ascii="Times New Roman" w:hAnsi="Times New Roman"/>
          <w:sz w:val="24"/>
        </w:rPr>
        <w:t>Skoczylas</w:t>
      </w:r>
      <w:proofErr w:type="spellEnd"/>
      <w:r w:rsidRPr="001F03D6">
        <w:rPr>
          <w:rFonts w:ascii="Times New Roman" w:hAnsi="Times New Roman"/>
          <w:sz w:val="24"/>
        </w:rPr>
        <w:t xml:space="preserve"> continues:</w:t>
      </w:r>
    </w:p>
    <w:p w14:paraId="07386840" w14:textId="648A1A57" w:rsidR="004205FC" w:rsidRPr="001F03D6" w:rsidRDefault="004D2B4A" w:rsidP="001F03D6">
      <w:pPr>
        <w:pStyle w:val="ListParagraph"/>
        <w:tabs>
          <w:tab w:val="left" w:pos="567"/>
        </w:tabs>
        <w:spacing w:line="480" w:lineRule="auto"/>
        <w:ind w:left="567"/>
        <w:rPr>
          <w:rFonts w:ascii="Times New Roman" w:hAnsi="Times New Roman"/>
          <w:sz w:val="24"/>
        </w:rPr>
      </w:pPr>
      <w:r>
        <w:rPr>
          <w:rFonts w:ascii="Times New Roman" w:hAnsi="Times New Roman"/>
          <w:sz w:val="24"/>
        </w:rPr>
        <w:tab/>
      </w:r>
      <w:r w:rsidR="004205FC" w:rsidRPr="001F03D6">
        <w:rPr>
          <w:rFonts w:ascii="Times New Roman" w:hAnsi="Times New Roman"/>
          <w:sz w:val="24"/>
        </w:rPr>
        <w:t xml:space="preserve">“To make </w:t>
      </w:r>
      <w:r w:rsidR="001634C6">
        <w:rPr>
          <w:rFonts w:ascii="Times New Roman" w:hAnsi="Times New Roman"/>
          <w:sz w:val="24"/>
        </w:rPr>
        <w:t>things</w:t>
      </w:r>
      <w:r w:rsidR="004205FC" w:rsidRPr="001F03D6">
        <w:rPr>
          <w:rFonts w:ascii="Times New Roman" w:hAnsi="Times New Roman"/>
          <w:sz w:val="24"/>
        </w:rPr>
        <w:t xml:space="preserve"> worse (without prejudice to the foregoing), by granting the Director Respondents an ability to the use the Company resources for their personal benefits, the learned trial judge unjustly ignored the very precedent that she selectively used as a basis for her judgment (while ignoring the whole plethora of common law precedents cited above), i.e. </w:t>
      </w:r>
      <w:r w:rsidR="004205FC" w:rsidRPr="001F03D6">
        <w:rPr>
          <w:rFonts w:ascii="Times New Roman" w:hAnsi="Times New Roman"/>
          <w:i/>
          <w:sz w:val="24"/>
        </w:rPr>
        <w:t xml:space="preserve">Re A </w:t>
      </w:r>
      <w:r w:rsidR="004205FC" w:rsidRPr="001634C6">
        <w:rPr>
          <w:rFonts w:ascii="Times New Roman" w:hAnsi="Times New Roman"/>
          <w:i/>
          <w:sz w:val="24"/>
        </w:rPr>
        <w:t>Company No</w:t>
      </w:r>
      <w:r w:rsidR="001634C6">
        <w:rPr>
          <w:rFonts w:ascii="Times New Roman" w:hAnsi="Times New Roman"/>
          <w:i/>
          <w:sz w:val="24"/>
        </w:rPr>
        <w:t>.</w:t>
      </w:r>
      <w:r w:rsidR="004205FC" w:rsidRPr="001634C6">
        <w:rPr>
          <w:rFonts w:ascii="Times New Roman" w:hAnsi="Times New Roman"/>
          <w:i/>
          <w:sz w:val="24"/>
        </w:rPr>
        <w:t xml:space="preserve"> 001126</w:t>
      </w:r>
      <w:r w:rsidR="001634C6">
        <w:rPr>
          <w:rFonts w:ascii="Times New Roman" w:hAnsi="Times New Roman"/>
          <w:i/>
          <w:sz w:val="24"/>
        </w:rPr>
        <w:t xml:space="preserve"> of 19</w:t>
      </w:r>
      <w:r w:rsidR="004205FC" w:rsidRPr="001634C6">
        <w:rPr>
          <w:rFonts w:ascii="Times New Roman" w:hAnsi="Times New Roman"/>
          <w:i/>
          <w:sz w:val="24"/>
        </w:rPr>
        <w:t>92</w:t>
      </w:r>
      <w:r w:rsidR="001634C6">
        <w:rPr>
          <w:rFonts w:ascii="Times New Roman" w:hAnsi="Times New Roman"/>
          <w:i/>
          <w:sz w:val="24"/>
        </w:rPr>
        <w:t>.</w:t>
      </w:r>
      <w:r w:rsidR="004205FC" w:rsidRPr="001F03D6">
        <w:rPr>
          <w:rFonts w:ascii="Times New Roman" w:hAnsi="Times New Roman"/>
          <w:sz w:val="24"/>
        </w:rPr>
        <w:t xml:space="preserve"> </w:t>
      </w:r>
      <w:r w:rsidR="001634C6">
        <w:rPr>
          <w:rFonts w:ascii="Times New Roman" w:hAnsi="Times New Roman"/>
          <w:sz w:val="24"/>
        </w:rPr>
        <w:t>T</w:t>
      </w:r>
      <w:r w:rsidR="004205FC" w:rsidRPr="001F03D6">
        <w:rPr>
          <w:rFonts w:ascii="Times New Roman" w:hAnsi="Times New Roman"/>
          <w:sz w:val="24"/>
        </w:rPr>
        <w:t>he trial judge cherry</w:t>
      </w:r>
      <w:r w:rsidR="001634C6">
        <w:rPr>
          <w:rFonts w:ascii="Times New Roman" w:hAnsi="Times New Roman"/>
          <w:sz w:val="24"/>
        </w:rPr>
        <w:t>-</w:t>
      </w:r>
      <w:r w:rsidR="004205FC" w:rsidRPr="001F03D6">
        <w:rPr>
          <w:rFonts w:ascii="Times New Roman" w:hAnsi="Times New Roman"/>
          <w:sz w:val="24"/>
        </w:rPr>
        <w:t xml:space="preserve">picked from that judgment by failing to heed its determination…” </w:t>
      </w:r>
    </w:p>
    <w:p w14:paraId="1A0426A9" w14:textId="62A572B6" w:rsidR="004205FC" w:rsidRPr="001F03D6" w:rsidRDefault="004205FC" w:rsidP="001F03D6">
      <w:pPr>
        <w:pStyle w:val="ListParagraph"/>
        <w:numPr>
          <w:ilvl w:val="0"/>
          <w:numId w:val="1"/>
        </w:numPr>
        <w:tabs>
          <w:tab w:val="left" w:pos="567"/>
        </w:tabs>
        <w:spacing w:line="480" w:lineRule="auto"/>
        <w:ind w:left="0" w:firstLine="0"/>
        <w:rPr>
          <w:rFonts w:ascii="Times New Roman" w:hAnsi="Times New Roman"/>
          <w:b/>
          <w:sz w:val="24"/>
          <w:u w:val="single"/>
        </w:rPr>
      </w:pPr>
      <w:r w:rsidRPr="001F03D6">
        <w:rPr>
          <w:rFonts w:ascii="Times New Roman" w:hAnsi="Times New Roman"/>
          <w:sz w:val="24"/>
        </w:rPr>
        <w:lastRenderedPageBreak/>
        <w:t>The use of language such as “misrepresented”, “selectively” and “cherry</w:t>
      </w:r>
      <w:r w:rsidR="001634C6">
        <w:rPr>
          <w:rFonts w:ascii="Times New Roman" w:hAnsi="Times New Roman"/>
          <w:sz w:val="24"/>
        </w:rPr>
        <w:t>-</w:t>
      </w:r>
      <w:r w:rsidRPr="001F03D6">
        <w:rPr>
          <w:rFonts w:ascii="Times New Roman" w:hAnsi="Times New Roman"/>
          <w:sz w:val="24"/>
        </w:rPr>
        <w:t>picked” to describe conclusions of the trial judge clearly implies that the trial judge was deliberately contriving a decision contrary to law, or alternatively was in some conscious way, contrary to the interests of Mr.</w:t>
      </w:r>
      <w:r w:rsidR="001F03D6">
        <w:rPr>
          <w:rFonts w:ascii="Times New Roman" w:hAnsi="Times New Roman"/>
          <w:sz w:val="24"/>
        </w:rPr>
        <w:t xml:space="preserve"> </w:t>
      </w:r>
      <w:proofErr w:type="spellStart"/>
      <w:r w:rsidRPr="001F03D6">
        <w:rPr>
          <w:rFonts w:ascii="Times New Roman" w:hAnsi="Times New Roman"/>
          <w:sz w:val="24"/>
        </w:rPr>
        <w:t>Skoczylas</w:t>
      </w:r>
      <w:proofErr w:type="spellEnd"/>
      <w:r w:rsidRPr="001F03D6">
        <w:rPr>
          <w:rFonts w:ascii="Times New Roman" w:hAnsi="Times New Roman"/>
          <w:sz w:val="24"/>
        </w:rPr>
        <w:t xml:space="preserve">, biased in the way she formulated her decision.  Mr. </w:t>
      </w:r>
      <w:proofErr w:type="spellStart"/>
      <w:r w:rsidRPr="001F03D6">
        <w:rPr>
          <w:rFonts w:ascii="Times New Roman" w:hAnsi="Times New Roman"/>
          <w:sz w:val="24"/>
        </w:rPr>
        <w:t>Skoczylas</w:t>
      </w:r>
      <w:proofErr w:type="spellEnd"/>
      <w:r w:rsidRPr="001F03D6">
        <w:rPr>
          <w:rFonts w:ascii="Times New Roman" w:hAnsi="Times New Roman"/>
          <w:sz w:val="24"/>
        </w:rPr>
        <w:t xml:space="preserve"> seems to have difficulty in distinguishing between sincere and proper criticisms of the judgment of the trial judge (whether well founded or not) on the one hand, and impugning her integrity on the other.  </w:t>
      </w:r>
      <w:r w:rsidR="0075636B">
        <w:rPr>
          <w:rFonts w:ascii="Times New Roman" w:hAnsi="Times New Roman"/>
          <w:sz w:val="24"/>
        </w:rPr>
        <w:t>T</w:t>
      </w:r>
      <w:r w:rsidRPr="001F03D6">
        <w:rPr>
          <w:rFonts w:ascii="Times New Roman" w:hAnsi="Times New Roman"/>
          <w:sz w:val="24"/>
        </w:rPr>
        <w:t xml:space="preserve">he use of this very kind of language by Mr. </w:t>
      </w:r>
      <w:proofErr w:type="spellStart"/>
      <w:r w:rsidRPr="001F03D6">
        <w:rPr>
          <w:rFonts w:ascii="Times New Roman" w:hAnsi="Times New Roman"/>
          <w:sz w:val="24"/>
        </w:rPr>
        <w:t>Skoczylas</w:t>
      </w:r>
      <w:proofErr w:type="spellEnd"/>
      <w:r w:rsidRPr="001F03D6">
        <w:rPr>
          <w:rFonts w:ascii="Times New Roman" w:hAnsi="Times New Roman"/>
          <w:sz w:val="24"/>
        </w:rPr>
        <w:t xml:space="preserve"> was deprecated by this Court a short while before this appeal came on for hearing, in a judgment of this Court handed down on 10</w:t>
      </w:r>
      <w:r w:rsidRPr="001F03D6">
        <w:rPr>
          <w:rFonts w:ascii="Times New Roman" w:hAnsi="Times New Roman"/>
          <w:sz w:val="24"/>
          <w:vertAlign w:val="superscript"/>
        </w:rPr>
        <w:t>th</w:t>
      </w:r>
      <w:r w:rsidRPr="001F03D6">
        <w:rPr>
          <w:rFonts w:ascii="Times New Roman" w:hAnsi="Times New Roman"/>
          <w:sz w:val="24"/>
        </w:rPr>
        <w:t xml:space="preserve"> June 2020 in proceedings entitled </w:t>
      </w:r>
      <w:r w:rsidRPr="001F03D6">
        <w:rPr>
          <w:rFonts w:ascii="Times New Roman" w:hAnsi="Times New Roman"/>
          <w:i/>
          <w:sz w:val="24"/>
        </w:rPr>
        <w:t xml:space="preserve">Permanent TSB Group Holdings Plc v. Piotr </w:t>
      </w:r>
      <w:proofErr w:type="spellStart"/>
      <w:r w:rsidRPr="001F03D6">
        <w:rPr>
          <w:rFonts w:ascii="Times New Roman" w:hAnsi="Times New Roman"/>
          <w:i/>
          <w:sz w:val="24"/>
        </w:rPr>
        <w:t>Skoczylas</w:t>
      </w:r>
      <w:proofErr w:type="spellEnd"/>
      <w:r w:rsidR="00B64274">
        <w:rPr>
          <w:rFonts w:ascii="Times New Roman" w:hAnsi="Times New Roman"/>
          <w:i/>
          <w:sz w:val="24"/>
        </w:rPr>
        <w:t xml:space="preserve"> </w:t>
      </w:r>
      <w:r w:rsidR="00B64274">
        <w:rPr>
          <w:rFonts w:ascii="Times New Roman" w:hAnsi="Times New Roman"/>
          <w:iCs/>
          <w:sz w:val="24"/>
        </w:rPr>
        <w:t>[2020] IECA 152</w:t>
      </w:r>
      <w:r w:rsidRPr="001F03D6">
        <w:rPr>
          <w:rFonts w:ascii="Times New Roman" w:hAnsi="Times New Roman"/>
          <w:i/>
          <w:sz w:val="24"/>
        </w:rPr>
        <w:t xml:space="preserve">.  </w:t>
      </w:r>
      <w:r w:rsidRPr="001F03D6">
        <w:rPr>
          <w:rFonts w:ascii="Times New Roman" w:hAnsi="Times New Roman"/>
          <w:sz w:val="24"/>
        </w:rPr>
        <w:t xml:space="preserve">At para. 36 of </w:t>
      </w:r>
      <w:r w:rsidR="004615D8">
        <w:rPr>
          <w:rFonts w:ascii="Times New Roman" w:hAnsi="Times New Roman"/>
          <w:sz w:val="24"/>
        </w:rPr>
        <w:t>the</w:t>
      </w:r>
      <w:r w:rsidRPr="001F03D6">
        <w:rPr>
          <w:rFonts w:ascii="Times New Roman" w:hAnsi="Times New Roman"/>
          <w:sz w:val="24"/>
        </w:rPr>
        <w:t xml:space="preserve"> judgment in that appeal</w:t>
      </w:r>
      <w:r w:rsidR="009118E2">
        <w:rPr>
          <w:rFonts w:ascii="Times New Roman" w:hAnsi="Times New Roman"/>
          <w:sz w:val="24"/>
        </w:rPr>
        <w:t xml:space="preserve"> it is</w:t>
      </w:r>
      <w:r w:rsidRPr="001F03D6">
        <w:rPr>
          <w:rFonts w:ascii="Times New Roman" w:hAnsi="Times New Roman"/>
          <w:sz w:val="24"/>
        </w:rPr>
        <w:t xml:space="preserve"> stated:</w:t>
      </w:r>
    </w:p>
    <w:p w14:paraId="2C4BD8D8" w14:textId="0E007976" w:rsidR="004205FC" w:rsidRPr="001F03D6" w:rsidRDefault="004D2B4A" w:rsidP="001F03D6">
      <w:pPr>
        <w:pStyle w:val="ListParagraph"/>
        <w:tabs>
          <w:tab w:val="left" w:pos="567"/>
        </w:tabs>
        <w:spacing w:line="480" w:lineRule="auto"/>
        <w:ind w:left="567"/>
        <w:rPr>
          <w:rFonts w:ascii="Times New Roman" w:hAnsi="Times New Roman"/>
          <w:b/>
          <w:sz w:val="24"/>
          <w:u w:val="single"/>
        </w:rPr>
      </w:pPr>
      <w:r>
        <w:rPr>
          <w:rFonts w:ascii="Times New Roman" w:hAnsi="Times New Roman"/>
          <w:sz w:val="24"/>
        </w:rPr>
        <w:tab/>
      </w:r>
      <w:r w:rsidR="004205FC" w:rsidRPr="001F03D6">
        <w:rPr>
          <w:rFonts w:ascii="Times New Roman" w:hAnsi="Times New Roman"/>
          <w:sz w:val="24"/>
        </w:rPr>
        <w:t xml:space="preserve">“There is one further observation that the </w:t>
      </w:r>
      <w:r w:rsidR="001634C6">
        <w:rPr>
          <w:rFonts w:ascii="Times New Roman" w:hAnsi="Times New Roman"/>
          <w:sz w:val="24"/>
        </w:rPr>
        <w:t>C</w:t>
      </w:r>
      <w:r w:rsidR="004205FC" w:rsidRPr="001F03D6">
        <w:rPr>
          <w:rFonts w:ascii="Times New Roman" w:hAnsi="Times New Roman"/>
          <w:sz w:val="24"/>
        </w:rPr>
        <w:t xml:space="preserve">ourt considers it necessary to make.  It concerns comments made by Mr. </w:t>
      </w:r>
      <w:proofErr w:type="spellStart"/>
      <w:r w:rsidR="004205FC" w:rsidRPr="001F03D6">
        <w:rPr>
          <w:rFonts w:ascii="Times New Roman" w:hAnsi="Times New Roman"/>
          <w:sz w:val="24"/>
        </w:rPr>
        <w:t>Skoczylas</w:t>
      </w:r>
      <w:proofErr w:type="spellEnd"/>
      <w:r w:rsidR="004205FC" w:rsidRPr="001F03D6">
        <w:rPr>
          <w:rFonts w:ascii="Times New Roman" w:hAnsi="Times New Roman"/>
          <w:sz w:val="24"/>
        </w:rPr>
        <w:t xml:space="preserve"> about </w:t>
      </w:r>
      <w:proofErr w:type="spellStart"/>
      <w:r w:rsidR="004205FC" w:rsidRPr="001F03D6">
        <w:rPr>
          <w:rFonts w:ascii="Times New Roman" w:hAnsi="Times New Roman"/>
          <w:sz w:val="24"/>
        </w:rPr>
        <w:t>Sanfey</w:t>
      </w:r>
      <w:proofErr w:type="spellEnd"/>
      <w:r w:rsidR="004205FC" w:rsidRPr="001F03D6">
        <w:rPr>
          <w:rFonts w:ascii="Times New Roman" w:hAnsi="Times New Roman"/>
          <w:sz w:val="24"/>
        </w:rPr>
        <w:t xml:space="preserve"> J. and his judgment of 2 April 2020 in the </w:t>
      </w:r>
      <w:proofErr w:type="spellStart"/>
      <w:r w:rsidR="004205FC" w:rsidRPr="001F03D6">
        <w:rPr>
          <w:rFonts w:ascii="Times New Roman" w:hAnsi="Times New Roman"/>
          <w:i/>
          <w:sz w:val="24"/>
        </w:rPr>
        <w:t>Köbler</w:t>
      </w:r>
      <w:proofErr w:type="spellEnd"/>
      <w:r w:rsidR="004205FC" w:rsidRPr="001F03D6">
        <w:rPr>
          <w:rFonts w:ascii="Times New Roman" w:hAnsi="Times New Roman"/>
          <w:i/>
          <w:sz w:val="24"/>
        </w:rPr>
        <w:t xml:space="preserve"> </w:t>
      </w:r>
      <w:r w:rsidR="004205FC" w:rsidRPr="001F03D6">
        <w:rPr>
          <w:rFonts w:ascii="Times New Roman" w:hAnsi="Times New Roman"/>
          <w:sz w:val="24"/>
        </w:rPr>
        <w:t>proceedings.</w:t>
      </w:r>
      <w:r w:rsidR="001634C6">
        <w:rPr>
          <w:rFonts w:ascii="Times New Roman" w:hAnsi="Times New Roman"/>
          <w:sz w:val="24"/>
        </w:rPr>
        <w:t xml:space="preserve"> …</w:t>
      </w:r>
      <w:r w:rsidR="004205FC" w:rsidRPr="001F03D6">
        <w:rPr>
          <w:rFonts w:ascii="Times New Roman" w:hAnsi="Times New Roman"/>
          <w:sz w:val="24"/>
        </w:rPr>
        <w:t xml:space="preserve">  </w:t>
      </w:r>
      <w:r w:rsidR="001634C6">
        <w:rPr>
          <w:rFonts w:ascii="Times New Roman" w:hAnsi="Times New Roman"/>
          <w:sz w:val="24"/>
        </w:rPr>
        <w:t>But r</w:t>
      </w:r>
      <w:r w:rsidR="004205FC" w:rsidRPr="001F03D6">
        <w:rPr>
          <w:rFonts w:ascii="Times New Roman" w:hAnsi="Times New Roman"/>
          <w:sz w:val="24"/>
        </w:rPr>
        <w:t xml:space="preserve">egardless of whether that judgment is correct or not, the tenor and effect of Mr. </w:t>
      </w:r>
      <w:proofErr w:type="spellStart"/>
      <w:r w:rsidR="004205FC" w:rsidRPr="001F03D6">
        <w:rPr>
          <w:rFonts w:ascii="Times New Roman" w:hAnsi="Times New Roman"/>
          <w:sz w:val="24"/>
        </w:rPr>
        <w:t>Skoczylas</w:t>
      </w:r>
      <w:proofErr w:type="spellEnd"/>
      <w:r w:rsidR="004205FC" w:rsidRPr="001F03D6">
        <w:rPr>
          <w:rFonts w:ascii="Times New Roman" w:hAnsi="Times New Roman"/>
          <w:sz w:val="24"/>
        </w:rPr>
        <w:t xml:space="preserve">’ criticisms of it, and of </w:t>
      </w:r>
      <w:proofErr w:type="spellStart"/>
      <w:r w:rsidR="004205FC" w:rsidRPr="001F03D6">
        <w:rPr>
          <w:rFonts w:ascii="Times New Roman" w:hAnsi="Times New Roman"/>
          <w:sz w:val="24"/>
        </w:rPr>
        <w:t>Sanfey</w:t>
      </w:r>
      <w:proofErr w:type="spellEnd"/>
      <w:r w:rsidR="004205FC" w:rsidRPr="001F03D6">
        <w:rPr>
          <w:rFonts w:ascii="Times New Roman" w:hAnsi="Times New Roman"/>
          <w:sz w:val="24"/>
        </w:rPr>
        <w:t xml:space="preserve"> J., are inappropriate and unacceptable.  Litigants and their legal representatives are, of course, fully entitled to criticise judgments under appeal, and to do so robustly.  The </w:t>
      </w:r>
      <w:r w:rsidR="001634C6">
        <w:rPr>
          <w:rFonts w:ascii="Times New Roman" w:hAnsi="Times New Roman"/>
          <w:sz w:val="24"/>
        </w:rPr>
        <w:t>C</w:t>
      </w:r>
      <w:r w:rsidR="004205FC" w:rsidRPr="001F03D6">
        <w:rPr>
          <w:rFonts w:ascii="Times New Roman" w:hAnsi="Times New Roman"/>
          <w:sz w:val="24"/>
        </w:rPr>
        <w:t xml:space="preserve">ourt has no difficulty with that.  However, the comments made by Mr. </w:t>
      </w:r>
      <w:proofErr w:type="spellStart"/>
      <w:r w:rsidR="004205FC" w:rsidRPr="001F03D6">
        <w:rPr>
          <w:rFonts w:ascii="Times New Roman" w:hAnsi="Times New Roman"/>
          <w:sz w:val="24"/>
        </w:rPr>
        <w:t>Skoczylas</w:t>
      </w:r>
      <w:proofErr w:type="spellEnd"/>
      <w:r w:rsidR="004205FC" w:rsidRPr="001F03D6">
        <w:rPr>
          <w:rFonts w:ascii="Times New Roman" w:hAnsi="Times New Roman"/>
          <w:sz w:val="24"/>
        </w:rPr>
        <w:t xml:space="preserve"> – albeit said by him to be advanced </w:t>
      </w:r>
      <w:r w:rsidR="001634C6">
        <w:rPr>
          <w:rFonts w:ascii="Times New Roman" w:hAnsi="Times New Roman"/>
          <w:sz w:val="24"/>
        </w:rPr>
        <w:t>‘</w:t>
      </w:r>
      <w:r w:rsidR="004205FC" w:rsidRPr="001634C6">
        <w:rPr>
          <w:rFonts w:ascii="Times New Roman" w:hAnsi="Times New Roman"/>
          <w:i/>
          <w:iCs/>
          <w:sz w:val="24"/>
        </w:rPr>
        <w:t>respectfully</w:t>
      </w:r>
      <w:r w:rsidR="001634C6">
        <w:rPr>
          <w:rFonts w:ascii="Times New Roman" w:hAnsi="Times New Roman"/>
          <w:sz w:val="24"/>
        </w:rPr>
        <w:t>’</w:t>
      </w:r>
      <w:r w:rsidR="004205FC" w:rsidRPr="001F03D6">
        <w:rPr>
          <w:rFonts w:ascii="Times New Roman" w:hAnsi="Times New Roman"/>
          <w:sz w:val="24"/>
        </w:rPr>
        <w:t xml:space="preserve"> and subject to the legalistic caveat that nothing he says should be </w:t>
      </w:r>
      <w:r w:rsidR="001634C6">
        <w:rPr>
          <w:rFonts w:ascii="Times New Roman" w:hAnsi="Times New Roman"/>
          <w:iCs/>
          <w:sz w:val="24"/>
        </w:rPr>
        <w:t>‘</w:t>
      </w:r>
      <w:r w:rsidR="004205FC" w:rsidRPr="001F03D6">
        <w:rPr>
          <w:rFonts w:ascii="Times New Roman" w:hAnsi="Times New Roman"/>
          <w:i/>
          <w:sz w:val="24"/>
        </w:rPr>
        <w:t>misconstrued as an attack on any court or any judge</w:t>
      </w:r>
      <w:r w:rsidR="001634C6">
        <w:rPr>
          <w:rFonts w:ascii="Times New Roman" w:hAnsi="Times New Roman"/>
          <w:iCs/>
          <w:sz w:val="24"/>
        </w:rPr>
        <w:t>’</w:t>
      </w:r>
      <w:r w:rsidR="004205FC" w:rsidRPr="001F03D6">
        <w:rPr>
          <w:rFonts w:ascii="Times New Roman" w:hAnsi="Times New Roman"/>
          <w:i/>
          <w:sz w:val="24"/>
        </w:rPr>
        <w:t xml:space="preserve"> </w:t>
      </w:r>
      <w:r w:rsidR="004205FC" w:rsidRPr="001F03D6">
        <w:rPr>
          <w:rFonts w:ascii="Times New Roman" w:hAnsi="Times New Roman"/>
          <w:sz w:val="24"/>
        </w:rPr>
        <w:t xml:space="preserve">– go far beyond any legitimate criticism by questioning the integrity and good faith of the High Court </w:t>
      </w:r>
      <w:r w:rsidR="004615D8">
        <w:rPr>
          <w:rFonts w:ascii="Times New Roman" w:hAnsi="Times New Roman"/>
          <w:sz w:val="24"/>
        </w:rPr>
        <w:t>J</w:t>
      </w:r>
      <w:r w:rsidR="004205FC" w:rsidRPr="001F03D6">
        <w:rPr>
          <w:rFonts w:ascii="Times New Roman" w:hAnsi="Times New Roman"/>
          <w:sz w:val="24"/>
        </w:rPr>
        <w:t>udge.  This is an entirely inappropriate approach for any litigant – whether represented or not – to take</w:t>
      </w:r>
      <w:r w:rsidR="001D5934">
        <w:rPr>
          <w:rFonts w:ascii="Times New Roman" w:hAnsi="Times New Roman"/>
          <w:sz w:val="24"/>
        </w:rPr>
        <w:t>.</w:t>
      </w:r>
      <w:r w:rsidR="004205FC" w:rsidRPr="001F03D6">
        <w:rPr>
          <w:rFonts w:ascii="Times New Roman" w:hAnsi="Times New Roman"/>
          <w:sz w:val="24"/>
        </w:rPr>
        <w:t>”</w:t>
      </w:r>
    </w:p>
    <w:p w14:paraId="3BF91F8D" w14:textId="30A650F9" w:rsidR="004205FC" w:rsidRPr="001F03D6" w:rsidRDefault="004205FC" w:rsidP="001F03D6">
      <w:pPr>
        <w:pStyle w:val="ListParagraph"/>
        <w:numPr>
          <w:ilvl w:val="0"/>
          <w:numId w:val="1"/>
        </w:numPr>
        <w:tabs>
          <w:tab w:val="left" w:pos="567"/>
        </w:tabs>
        <w:spacing w:line="480" w:lineRule="auto"/>
        <w:ind w:left="0" w:firstLine="0"/>
        <w:rPr>
          <w:rFonts w:ascii="Times New Roman" w:hAnsi="Times New Roman"/>
          <w:b/>
          <w:sz w:val="24"/>
          <w:u w:val="single"/>
        </w:rPr>
      </w:pPr>
      <w:r w:rsidRPr="001F03D6">
        <w:rPr>
          <w:rFonts w:ascii="Times New Roman" w:hAnsi="Times New Roman"/>
          <w:sz w:val="24"/>
        </w:rPr>
        <w:t xml:space="preserve">In this case too, Mr. </w:t>
      </w:r>
      <w:proofErr w:type="spellStart"/>
      <w:r w:rsidRPr="001F03D6">
        <w:rPr>
          <w:rFonts w:ascii="Times New Roman" w:hAnsi="Times New Roman"/>
          <w:sz w:val="24"/>
        </w:rPr>
        <w:t>Skoczylas</w:t>
      </w:r>
      <w:proofErr w:type="spellEnd"/>
      <w:r w:rsidRPr="001F03D6">
        <w:rPr>
          <w:rFonts w:ascii="Times New Roman" w:hAnsi="Times New Roman"/>
          <w:sz w:val="24"/>
        </w:rPr>
        <w:t xml:space="preserve"> prefaced many of his remarks with words like “respectfully” and “learned trial judge”, and he made many other trenchant criticisms of the </w:t>
      </w:r>
      <w:r w:rsidRPr="001F03D6">
        <w:rPr>
          <w:rFonts w:ascii="Times New Roman" w:hAnsi="Times New Roman"/>
          <w:sz w:val="24"/>
        </w:rPr>
        <w:lastRenderedPageBreak/>
        <w:t xml:space="preserve">decision under appeal, which he is entitled to make, whether or not they are found to be correct.  But, as stated </w:t>
      </w:r>
      <w:r w:rsidR="005B1E59">
        <w:rPr>
          <w:rFonts w:ascii="Times New Roman" w:hAnsi="Times New Roman"/>
          <w:sz w:val="24"/>
        </w:rPr>
        <w:t>a</w:t>
      </w:r>
      <w:r w:rsidR="00024746">
        <w:rPr>
          <w:rFonts w:ascii="Times New Roman" w:hAnsi="Times New Roman"/>
          <w:sz w:val="24"/>
        </w:rPr>
        <w:t>b</w:t>
      </w:r>
      <w:r w:rsidR="005B1E59">
        <w:rPr>
          <w:rFonts w:ascii="Times New Roman" w:hAnsi="Times New Roman"/>
          <w:sz w:val="24"/>
        </w:rPr>
        <w:t>ove</w:t>
      </w:r>
      <w:r w:rsidRPr="001F03D6">
        <w:rPr>
          <w:rFonts w:ascii="Times New Roman" w:hAnsi="Times New Roman"/>
          <w:sz w:val="24"/>
        </w:rPr>
        <w:t>. language that questions the integrity or good faith of a judge without any foundation, goes far beyond legitimate criticism, and left unchecked, is damaging to the administration of justice as a whole</w:t>
      </w:r>
      <w:r w:rsidR="001F03D6">
        <w:rPr>
          <w:rFonts w:ascii="Times New Roman" w:hAnsi="Times New Roman"/>
          <w:sz w:val="24"/>
        </w:rPr>
        <w:t>.</w:t>
      </w:r>
      <w:r w:rsidRPr="001F03D6">
        <w:rPr>
          <w:rFonts w:ascii="Times New Roman" w:hAnsi="Times New Roman"/>
          <w:sz w:val="24"/>
        </w:rPr>
        <w:t xml:space="preserve">  I cannot therefore let this judgment pass without deprecating in the strongest possible terms the use of such language by Mr. </w:t>
      </w:r>
      <w:proofErr w:type="spellStart"/>
      <w:r w:rsidRPr="001F03D6">
        <w:rPr>
          <w:rFonts w:ascii="Times New Roman" w:hAnsi="Times New Roman"/>
          <w:sz w:val="24"/>
        </w:rPr>
        <w:t>Skoczylas</w:t>
      </w:r>
      <w:proofErr w:type="spellEnd"/>
      <w:r w:rsidRPr="001F03D6">
        <w:rPr>
          <w:rFonts w:ascii="Times New Roman" w:hAnsi="Times New Roman"/>
          <w:sz w:val="24"/>
        </w:rPr>
        <w:t xml:space="preserve">, to describe the decision of the trial judge in this matter.  </w:t>
      </w:r>
      <w:r w:rsidR="0075636B">
        <w:rPr>
          <w:rFonts w:ascii="Times New Roman" w:hAnsi="Times New Roman"/>
          <w:sz w:val="24"/>
        </w:rPr>
        <w:t>It is only fair to observe that the comments made by Mr.</w:t>
      </w:r>
      <w:r w:rsidR="00857A9C">
        <w:rPr>
          <w:rFonts w:ascii="Times New Roman" w:hAnsi="Times New Roman"/>
          <w:sz w:val="24"/>
        </w:rPr>
        <w:t xml:space="preserve"> </w:t>
      </w:r>
      <w:proofErr w:type="spellStart"/>
      <w:r w:rsidR="0075636B">
        <w:rPr>
          <w:rFonts w:ascii="Times New Roman" w:hAnsi="Times New Roman"/>
          <w:sz w:val="24"/>
        </w:rPr>
        <w:t>Skoczylas</w:t>
      </w:r>
      <w:proofErr w:type="spellEnd"/>
      <w:r w:rsidR="0075636B">
        <w:rPr>
          <w:rFonts w:ascii="Times New Roman" w:hAnsi="Times New Roman"/>
          <w:sz w:val="24"/>
        </w:rPr>
        <w:t xml:space="preserve"> in his submissions </w:t>
      </w:r>
      <w:r w:rsidR="00857A9C">
        <w:rPr>
          <w:rFonts w:ascii="Times New Roman" w:hAnsi="Times New Roman"/>
          <w:sz w:val="24"/>
        </w:rPr>
        <w:t>in</w:t>
      </w:r>
      <w:r w:rsidR="0075636B">
        <w:rPr>
          <w:rFonts w:ascii="Times New Roman" w:hAnsi="Times New Roman"/>
          <w:sz w:val="24"/>
        </w:rPr>
        <w:t xml:space="preserve"> this case were made in written submissions filed long before the delivery by Collins J. of the judgment </w:t>
      </w:r>
      <w:r w:rsidR="00B823E4">
        <w:rPr>
          <w:rFonts w:ascii="Times New Roman" w:hAnsi="Times New Roman"/>
          <w:sz w:val="24"/>
        </w:rPr>
        <w:t>referred to above, and so it would not be fair to suggest that he made the remarks that he did in this case having already been subjected to censure for making remarks of a similar kind in another case. Nonetheless, Mr.</w:t>
      </w:r>
      <w:r w:rsidR="00857A9C">
        <w:rPr>
          <w:rFonts w:ascii="Times New Roman" w:hAnsi="Times New Roman"/>
          <w:sz w:val="24"/>
        </w:rPr>
        <w:t xml:space="preserve"> </w:t>
      </w:r>
      <w:proofErr w:type="spellStart"/>
      <w:r w:rsidR="00B823E4">
        <w:rPr>
          <w:rFonts w:ascii="Times New Roman" w:hAnsi="Times New Roman"/>
          <w:sz w:val="24"/>
        </w:rPr>
        <w:t>Skoczylas</w:t>
      </w:r>
      <w:proofErr w:type="spellEnd"/>
      <w:r w:rsidR="00B823E4">
        <w:rPr>
          <w:rFonts w:ascii="Times New Roman" w:hAnsi="Times New Roman"/>
          <w:sz w:val="24"/>
        </w:rPr>
        <w:t xml:space="preserve"> has now had it drawn to his attention on two occasions that language of the kind referred to above</w:t>
      </w:r>
      <w:r w:rsidR="004B193F">
        <w:rPr>
          <w:rFonts w:ascii="Times New Roman" w:hAnsi="Times New Roman"/>
          <w:sz w:val="24"/>
        </w:rPr>
        <w:t xml:space="preserve"> that is used, without justification, in such manner as to impugn the integrity and good faith of a judge </w:t>
      </w:r>
      <w:r w:rsidR="00B823E4">
        <w:rPr>
          <w:rFonts w:ascii="Times New Roman" w:hAnsi="Times New Roman"/>
          <w:sz w:val="24"/>
        </w:rPr>
        <w:t xml:space="preserve">is </w:t>
      </w:r>
      <w:r w:rsidR="004B193F">
        <w:rPr>
          <w:rFonts w:ascii="Times New Roman" w:hAnsi="Times New Roman"/>
          <w:sz w:val="24"/>
        </w:rPr>
        <w:t>both</w:t>
      </w:r>
      <w:r w:rsidR="00B823E4">
        <w:rPr>
          <w:rFonts w:ascii="Times New Roman" w:hAnsi="Times New Roman"/>
          <w:sz w:val="24"/>
        </w:rPr>
        <w:t xml:space="preserve"> inappropriate</w:t>
      </w:r>
      <w:r w:rsidR="004B193F">
        <w:rPr>
          <w:rFonts w:ascii="Times New Roman" w:hAnsi="Times New Roman"/>
          <w:sz w:val="24"/>
        </w:rPr>
        <w:t xml:space="preserve"> and unacceptable</w:t>
      </w:r>
      <w:r w:rsidR="00B823E4">
        <w:rPr>
          <w:rFonts w:ascii="Times New Roman" w:hAnsi="Times New Roman"/>
          <w:sz w:val="24"/>
        </w:rPr>
        <w:t>, and it is to be hoped that he will refrain from the use of such language in the future</w:t>
      </w:r>
      <w:r w:rsidR="004B193F">
        <w:rPr>
          <w:rFonts w:ascii="Times New Roman" w:hAnsi="Times New Roman"/>
          <w:sz w:val="24"/>
        </w:rPr>
        <w:t xml:space="preserve">. </w:t>
      </w:r>
      <w:r w:rsidR="00B823E4">
        <w:rPr>
          <w:rFonts w:ascii="Times New Roman" w:hAnsi="Times New Roman"/>
          <w:sz w:val="24"/>
        </w:rPr>
        <w:t xml:space="preserve"> </w:t>
      </w:r>
      <w:r w:rsidRPr="001F03D6">
        <w:rPr>
          <w:rFonts w:ascii="Times New Roman" w:hAnsi="Times New Roman"/>
          <w:sz w:val="24"/>
        </w:rPr>
        <w:t xml:space="preserve"> </w:t>
      </w:r>
    </w:p>
    <w:p w14:paraId="1B4B620E" w14:textId="2A8E2483" w:rsidR="004D485A" w:rsidRPr="00EE3FF5" w:rsidRDefault="008D1EE2" w:rsidP="00EE3FF5">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It follows from all of the above that I have been satisfied that the decision of the trial judge to refuse the reliefs sought was one taken well within the margin of her discretion on an application for interlocutory relief, and that this appeal should be dismissed. </w:t>
      </w:r>
      <w:r w:rsidR="00EE3FF5" w:rsidRPr="001F03D6">
        <w:rPr>
          <w:rFonts w:ascii="Times New Roman" w:hAnsi="Times New Roman"/>
          <w:sz w:val="24"/>
        </w:rPr>
        <w:t xml:space="preserve">As this judgment is being delivered electronically, my provisional view is that the costs of the appeal should follow the event and that the appellants should pay the costs of the respondents, to be adjudicated in default of agreement.  If any party wishes to contend that a different order as to costs should be made, they may, within fourteen days of the delivery of this judgment, contact the Office of the Court of Appeal and request a short oral hearing at which submissions will be made by each side in relation to the appropriate order for costs.  Parties should note that in the event that they are unsuccessful in altering the provisional order for </w:t>
      </w:r>
      <w:r w:rsidR="00EE3FF5" w:rsidRPr="001F03D6">
        <w:rPr>
          <w:rFonts w:ascii="Times New Roman" w:hAnsi="Times New Roman"/>
          <w:sz w:val="24"/>
        </w:rPr>
        <w:lastRenderedPageBreak/>
        <w:t>costs which I have indicated, that they may be required to pay the costs of the additional hearing.</w:t>
      </w:r>
      <w:r w:rsidR="00EE3FF5" w:rsidRPr="00EE3FF5">
        <w:rPr>
          <w:rFonts w:ascii="Times New Roman" w:hAnsi="Times New Roman"/>
          <w:sz w:val="24"/>
        </w:rPr>
        <w:t xml:space="preserve"> Haughton and Pilkington JJ. have expressed</w:t>
      </w:r>
      <w:r w:rsidR="00C12307">
        <w:rPr>
          <w:rFonts w:ascii="Times New Roman" w:hAnsi="Times New Roman"/>
          <w:sz w:val="24"/>
        </w:rPr>
        <w:t xml:space="preserve"> their</w:t>
      </w:r>
      <w:r w:rsidR="00EE3FF5" w:rsidRPr="00EE3FF5">
        <w:rPr>
          <w:rFonts w:ascii="Times New Roman" w:hAnsi="Times New Roman"/>
          <w:sz w:val="24"/>
        </w:rPr>
        <w:t xml:space="preserve"> agreement with this judgment.</w:t>
      </w:r>
    </w:p>
    <w:sectPr w:rsidR="004D485A" w:rsidRPr="00EE3FF5" w:rsidSect="00081285">
      <w:headerReference w:type="even" r:id="rId8"/>
      <w:headerReference w:type="default" r:id="rId9"/>
      <w:headerReference w:type="first" r:id="rId10"/>
      <w:pgSz w:w="11906" w:h="16838" w:code="9"/>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C03E4" w14:textId="77777777" w:rsidR="00D017D3" w:rsidRDefault="00D017D3">
      <w:r>
        <w:separator/>
      </w:r>
    </w:p>
  </w:endnote>
  <w:endnote w:type="continuationSeparator" w:id="0">
    <w:p w14:paraId="1A89354D" w14:textId="77777777" w:rsidR="00D017D3" w:rsidRDefault="00D01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140D5" w14:textId="77777777" w:rsidR="00D017D3" w:rsidRDefault="00D017D3">
      <w:r>
        <w:separator/>
      </w:r>
    </w:p>
  </w:footnote>
  <w:footnote w:type="continuationSeparator" w:id="0">
    <w:p w14:paraId="615B3DF6" w14:textId="77777777" w:rsidR="00D017D3" w:rsidRDefault="00D017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B2B9E" w14:textId="77777777" w:rsidR="00D017D3" w:rsidRDefault="00D017D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2AD5227E" w14:textId="77777777" w:rsidR="00D017D3" w:rsidRDefault="00D017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CED3D" w14:textId="5AFE1013" w:rsidR="00D017D3" w:rsidRDefault="00D017D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7F7E">
      <w:rPr>
        <w:rStyle w:val="PageNumber"/>
        <w:noProof/>
      </w:rPr>
      <w:t>- 34 -</w:t>
    </w:r>
    <w:r>
      <w:rPr>
        <w:rStyle w:val="PageNumber"/>
      </w:rPr>
      <w:fldChar w:fldCharType="end"/>
    </w:r>
  </w:p>
  <w:p w14:paraId="6D95F8A7" w14:textId="77777777" w:rsidR="00D017D3" w:rsidRDefault="00D017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22D28" w14:textId="77777777" w:rsidR="00D017D3" w:rsidRDefault="00D017D3">
    <w:pPr>
      <w:pStyle w:val="Header"/>
      <w:jc w:val="center"/>
    </w:pPr>
    <w:r w:rsidRPr="00BB5679">
      <w:rPr>
        <w:noProof/>
        <w:lang w:val="en-US" w:eastAsia="en-US"/>
      </w:rPr>
      <w:drawing>
        <wp:inline distT="0" distB="0" distL="0" distR="0" wp14:anchorId="16EF9539" wp14:editId="003C6ED9">
          <wp:extent cx="384175" cy="599440"/>
          <wp:effectExtent l="0" t="0" r="0" b="0"/>
          <wp:docPr id="1" name="Picture 1" descr="harp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4175" cy="5994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63C7"/>
    <w:multiLevelType w:val="hybridMultilevel"/>
    <w:tmpl w:val="13EA53A6"/>
    <w:lvl w:ilvl="0" w:tplc="F992FB6E">
      <w:start w:val="1"/>
      <w:numFmt w:val="decimal"/>
      <w:lvlText w:val="(%1)"/>
      <w:lvlJc w:val="left"/>
      <w:pPr>
        <w:ind w:left="1291" w:hanging="360"/>
      </w:pPr>
      <w:rPr>
        <w:rFonts w:hint="default"/>
      </w:rPr>
    </w:lvl>
    <w:lvl w:ilvl="1" w:tplc="04090019" w:tentative="1">
      <w:start w:val="1"/>
      <w:numFmt w:val="lowerLetter"/>
      <w:lvlText w:val="%2."/>
      <w:lvlJc w:val="left"/>
      <w:pPr>
        <w:ind w:left="2011" w:hanging="360"/>
      </w:pPr>
    </w:lvl>
    <w:lvl w:ilvl="2" w:tplc="0409001B" w:tentative="1">
      <w:start w:val="1"/>
      <w:numFmt w:val="lowerRoman"/>
      <w:lvlText w:val="%3."/>
      <w:lvlJc w:val="right"/>
      <w:pPr>
        <w:ind w:left="2731" w:hanging="180"/>
      </w:pPr>
    </w:lvl>
    <w:lvl w:ilvl="3" w:tplc="0409000F" w:tentative="1">
      <w:start w:val="1"/>
      <w:numFmt w:val="decimal"/>
      <w:lvlText w:val="%4."/>
      <w:lvlJc w:val="left"/>
      <w:pPr>
        <w:ind w:left="3451" w:hanging="360"/>
      </w:pPr>
    </w:lvl>
    <w:lvl w:ilvl="4" w:tplc="04090019" w:tentative="1">
      <w:start w:val="1"/>
      <w:numFmt w:val="lowerLetter"/>
      <w:lvlText w:val="%5."/>
      <w:lvlJc w:val="left"/>
      <w:pPr>
        <w:ind w:left="4171" w:hanging="360"/>
      </w:pPr>
    </w:lvl>
    <w:lvl w:ilvl="5" w:tplc="0409001B" w:tentative="1">
      <w:start w:val="1"/>
      <w:numFmt w:val="lowerRoman"/>
      <w:lvlText w:val="%6."/>
      <w:lvlJc w:val="right"/>
      <w:pPr>
        <w:ind w:left="4891" w:hanging="180"/>
      </w:pPr>
    </w:lvl>
    <w:lvl w:ilvl="6" w:tplc="0409000F" w:tentative="1">
      <w:start w:val="1"/>
      <w:numFmt w:val="decimal"/>
      <w:lvlText w:val="%7."/>
      <w:lvlJc w:val="left"/>
      <w:pPr>
        <w:ind w:left="5611" w:hanging="360"/>
      </w:pPr>
    </w:lvl>
    <w:lvl w:ilvl="7" w:tplc="04090019" w:tentative="1">
      <w:start w:val="1"/>
      <w:numFmt w:val="lowerLetter"/>
      <w:lvlText w:val="%8."/>
      <w:lvlJc w:val="left"/>
      <w:pPr>
        <w:ind w:left="6331" w:hanging="360"/>
      </w:pPr>
    </w:lvl>
    <w:lvl w:ilvl="8" w:tplc="0409001B" w:tentative="1">
      <w:start w:val="1"/>
      <w:numFmt w:val="lowerRoman"/>
      <w:lvlText w:val="%9."/>
      <w:lvlJc w:val="right"/>
      <w:pPr>
        <w:ind w:left="7051" w:hanging="180"/>
      </w:pPr>
    </w:lvl>
  </w:abstractNum>
  <w:abstractNum w:abstractNumId="1" w15:restartNumberingAfterBreak="0">
    <w:nsid w:val="15E40C0A"/>
    <w:multiLevelType w:val="hybridMultilevel"/>
    <w:tmpl w:val="2830344A"/>
    <w:lvl w:ilvl="0" w:tplc="04090011">
      <w:start w:val="1"/>
      <w:numFmt w:val="decimal"/>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2" w15:restartNumberingAfterBreak="0">
    <w:nsid w:val="27AF0F03"/>
    <w:multiLevelType w:val="hybridMultilevel"/>
    <w:tmpl w:val="499C41CA"/>
    <w:lvl w:ilvl="0" w:tplc="92E6F69A">
      <w:start w:val="1"/>
      <w:numFmt w:val="decimal"/>
      <w:lvlText w:val="%1."/>
      <w:lvlJc w:val="left"/>
      <w:pPr>
        <w:ind w:left="720" w:hanging="360"/>
      </w:pPr>
      <w:rPr>
        <w:rFonts w:ascii="Times New Roman" w:hAnsi="Times New Roman" w:cs="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EBB7EA2"/>
    <w:multiLevelType w:val="hybridMultilevel"/>
    <w:tmpl w:val="380A4034"/>
    <w:lvl w:ilvl="0" w:tplc="04090011">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4" w15:restartNumberingAfterBreak="0">
    <w:nsid w:val="3C640462"/>
    <w:multiLevelType w:val="hybridMultilevel"/>
    <w:tmpl w:val="9FAAB852"/>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5" w15:restartNumberingAfterBreak="0">
    <w:nsid w:val="3F253FC3"/>
    <w:multiLevelType w:val="hybridMultilevel"/>
    <w:tmpl w:val="DA70BA26"/>
    <w:lvl w:ilvl="0" w:tplc="04090011">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4ABC4213"/>
    <w:multiLevelType w:val="hybridMultilevel"/>
    <w:tmpl w:val="4F0619EA"/>
    <w:lvl w:ilvl="0" w:tplc="F992FB6E">
      <w:start w:val="1"/>
      <w:numFmt w:val="decimal"/>
      <w:lvlText w:val="(%1)"/>
      <w:lvlJc w:val="left"/>
      <w:pPr>
        <w:ind w:left="1291" w:hanging="360"/>
      </w:pPr>
      <w:rPr>
        <w:rFonts w:hint="default"/>
      </w:rPr>
    </w:lvl>
    <w:lvl w:ilvl="1" w:tplc="04090019" w:tentative="1">
      <w:start w:val="1"/>
      <w:numFmt w:val="lowerLetter"/>
      <w:lvlText w:val="%2."/>
      <w:lvlJc w:val="left"/>
      <w:pPr>
        <w:ind w:left="2011" w:hanging="360"/>
      </w:pPr>
    </w:lvl>
    <w:lvl w:ilvl="2" w:tplc="0409001B" w:tentative="1">
      <w:start w:val="1"/>
      <w:numFmt w:val="lowerRoman"/>
      <w:lvlText w:val="%3."/>
      <w:lvlJc w:val="right"/>
      <w:pPr>
        <w:ind w:left="2731" w:hanging="180"/>
      </w:pPr>
    </w:lvl>
    <w:lvl w:ilvl="3" w:tplc="0409000F" w:tentative="1">
      <w:start w:val="1"/>
      <w:numFmt w:val="decimal"/>
      <w:lvlText w:val="%4."/>
      <w:lvlJc w:val="left"/>
      <w:pPr>
        <w:ind w:left="3451" w:hanging="360"/>
      </w:pPr>
    </w:lvl>
    <w:lvl w:ilvl="4" w:tplc="04090019" w:tentative="1">
      <w:start w:val="1"/>
      <w:numFmt w:val="lowerLetter"/>
      <w:lvlText w:val="%5."/>
      <w:lvlJc w:val="left"/>
      <w:pPr>
        <w:ind w:left="4171" w:hanging="360"/>
      </w:pPr>
    </w:lvl>
    <w:lvl w:ilvl="5" w:tplc="0409001B" w:tentative="1">
      <w:start w:val="1"/>
      <w:numFmt w:val="lowerRoman"/>
      <w:lvlText w:val="%6."/>
      <w:lvlJc w:val="right"/>
      <w:pPr>
        <w:ind w:left="4891" w:hanging="180"/>
      </w:pPr>
    </w:lvl>
    <w:lvl w:ilvl="6" w:tplc="0409000F" w:tentative="1">
      <w:start w:val="1"/>
      <w:numFmt w:val="decimal"/>
      <w:lvlText w:val="%7."/>
      <w:lvlJc w:val="left"/>
      <w:pPr>
        <w:ind w:left="5611" w:hanging="360"/>
      </w:pPr>
    </w:lvl>
    <w:lvl w:ilvl="7" w:tplc="04090019" w:tentative="1">
      <w:start w:val="1"/>
      <w:numFmt w:val="lowerLetter"/>
      <w:lvlText w:val="%8."/>
      <w:lvlJc w:val="left"/>
      <w:pPr>
        <w:ind w:left="6331" w:hanging="360"/>
      </w:pPr>
    </w:lvl>
    <w:lvl w:ilvl="8" w:tplc="0409001B" w:tentative="1">
      <w:start w:val="1"/>
      <w:numFmt w:val="lowerRoman"/>
      <w:lvlText w:val="%9."/>
      <w:lvlJc w:val="right"/>
      <w:pPr>
        <w:ind w:left="7051" w:hanging="180"/>
      </w:pPr>
    </w:lvl>
  </w:abstractNum>
  <w:num w:numId="1">
    <w:abstractNumId w:val="2"/>
  </w:num>
  <w:num w:numId="2">
    <w:abstractNumId w:val="3"/>
  </w:num>
  <w:num w:numId="3">
    <w:abstractNumId w:val="4"/>
  </w:num>
  <w:num w:numId="4">
    <w:abstractNumId w:val="5"/>
  </w:num>
  <w:num w:numId="5">
    <w:abstractNumId w:val="1"/>
  </w:num>
  <w:num w:numId="6">
    <w:abstractNumId w:val="0"/>
  </w:num>
  <w:num w:numId="7">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593EAE"/>
    <w:rsid w:val="000159C0"/>
    <w:rsid w:val="0001664D"/>
    <w:rsid w:val="00017507"/>
    <w:rsid w:val="00024746"/>
    <w:rsid w:val="00025246"/>
    <w:rsid w:val="00035C62"/>
    <w:rsid w:val="0004086D"/>
    <w:rsid w:val="000466F7"/>
    <w:rsid w:val="00047808"/>
    <w:rsid w:val="0005011E"/>
    <w:rsid w:val="00052ACE"/>
    <w:rsid w:val="00053F9A"/>
    <w:rsid w:val="00054E2A"/>
    <w:rsid w:val="00073E1E"/>
    <w:rsid w:val="000771FE"/>
    <w:rsid w:val="00077701"/>
    <w:rsid w:val="00080447"/>
    <w:rsid w:val="00081285"/>
    <w:rsid w:val="00085229"/>
    <w:rsid w:val="0009211D"/>
    <w:rsid w:val="00096B10"/>
    <w:rsid w:val="00097625"/>
    <w:rsid w:val="000A24A9"/>
    <w:rsid w:val="000A3514"/>
    <w:rsid w:val="000A54D4"/>
    <w:rsid w:val="000A6F81"/>
    <w:rsid w:val="000B5284"/>
    <w:rsid w:val="000B6DC0"/>
    <w:rsid w:val="000C221C"/>
    <w:rsid w:val="000C378A"/>
    <w:rsid w:val="000C758F"/>
    <w:rsid w:val="000D3EB3"/>
    <w:rsid w:val="000D48B3"/>
    <w:rsid w:val="000D530F"/>
    <w:rsid w:val="000D5B29"/>
    <w:rsid w:val="000D6EFD"/>
    <w:rsid w:val="000D7C3B"/>
    <w:rsid w:val="000E4077"/>
    <w:rsid w:val="000F1347"/>
    <w:rsid w:val="000F32BD"/>
    <w:rsid w:val="000F331F"/>
    <w:rsid w:val="000F34BD"/>
    <w:rsid w:val="0010295F"/>
    <w:rsid w:val="001043CC"/>
    <w:rsid w:val="00104B4D"/>
    <w:rsid w:val="00111109"/>
    <w:rsid w:val="00112897"/>
    <w:rsid w:val="00117016"/>
    <w:rsid w:val="00121251"/>
    <w:rsid w:val="00126862"/>
    <w:rsid w:val="00127462"/>
    <w:rsid w:val="00133E9A"/>
    <w:rsid w:val="00136CD5"/>
    <w:rsid w:val="0013796C"/>
    <w:rsid w:val="001420F9"/>
    <w:rsid w:val="00156934"/>
    <w:rsid w:val="00156EF2"/>
    <w:rsid w:val="00160B83"/>
    <w:rsid w:val="00161FEC"/>
    <w:rsid w:val="001634C6"/>
    <w:rsid w:val="00166F9B"/>
    <w:rsid w:val="001705BC"/>
    <w:rsid w:val="0017169B"/>
    <w:rsid w:val="001716D2"/>
    <w:rsid w:val="00174E34"/>
    <w:rsid w:val="001756F7"/>
    <w:rsid w:val="001817B8"/>
    <w:rsid w:val="00183295"/>
    <w:rsid w:val="00187263"/>
    <w:rsid w:val="00195897"/>
    <w:rsid w:val="001A2596"/>
    <w:rsid w:val="001A396E"/>
    <w:rsid w:val="001B6339"/>
    <w:rsid w:val="001C10D0"/>
    <w:rsid w:val="001C2BA0"/>
    <w:rsid w:val="001C32A2"/>
    <w:rsid w:val="001C4ED7"/>
    <w:rsid w:val="001C675D"/>
    <w:rsid w:val="001D17D7"/>
    <w:rsid w:val="001D2CAD"/>
    <w:rsid w:val="001D4C9A"/>
    <w:rsid w:val="001D5934"/>
    <w:rsid w:val="001E25D8"/>
    <w:rsid w:val="001E2850"/>
    <w:rsid w:val="001E4AAF"/>
    <w:rsid w:val="001E5043"/>
    <w:rsid w:val="001F0338"/>
    <w:rsid w:val="001F03D6"/>
    <w:rsid w:val="001F153D"/>
    <w:rsid w:val="001F3B55"/>
    <w:rsid w:val="001F46E0"/>
    <w:rsid w:val="00201878"/>
    <w:rsid w:val="00202BC6"/>
    <w:rsid w:val="00205E2C"/>
    <w:rsid w:val="002102B2"/>
    <w:rsid w:val="00223612"/>
    <w:rsid w:val="00223A71"/>
    <w:rsid w:val="00224F5C"/>
    <w:rsid w:val="0023165A"/>
    <w:rsid w:val="00245AFD"/>
    <w:rsid w:val="002506DD"/>
    <w:rsid w:val="002549C7"/>
    <w:rsid w:val="0025761D"/>
    <w:rsid w:val="00261167"/>
    <w:rsid w:val="00262E0F"/>
    <w:rsid w:val="0026400B"/>
    <w:rsid w:val="00273F87"/>
    <w:rsid w:val="002741D4"/>
    <w:rsid w:val="00274D87"/>
    <w:rsid w:val="002778B8"/>
    <w:rsid w:val="002807EB"/>
    <w:rsid w:val="002829EE"/>
    <w:rsid w:val="002857A9"/>
    <w:rsid w:val="00286777"/>
    <w:rsid w:val="00287BF6"/>
    <w:rsid w:val="00292A5F"/>
    <w:rsid w:val="00296918"/>
    <w:rsid w:val="002A2CBC"/>
    <w:rsid w:val="002A48C8"/>
    <w:rsid w:val="002B07F5"/>
    <w:rsid w:val="002B0E05"/>
    <w:rsid w:val="002B4A11"/>
    <w:rsid w:val="002B4E63"/>
    <w:rsid w:val="002B71DE"/>
    <w:rsid w:val="002C14B8"/>
    <w:rsid w:val="002C15AF"/>
    <w:rsid w:val="002C3056"/>
    <w:rsid w:val="002D0691"/>
    <w:rsid w:val="002D270B"/>
    <w:rsid w:val="002D548D"/>
    <w:rsid w:val="002D5653"/>
    <w:rsid w:val="002D7587"/>
    <w:rsid w:val="002E32FF"/>
    <w:rsid w:val="002E54EE"/>
    <w:rsid w:val="002F23DB"/>
    <w:rsid w:val="002F6A7A"/>
    <w:rsid w:val="00303755"/>
    <w:rsid w:val="00304792"/>
    <w:rsid w:val="00305348"/>
    <w:rsid w:val="00312BEA"/>
    <w:rsid w:val="0031585F"/>
    <w:rsid w:val="00316D7D"/>
    <w:rsid w:val="00317234"/>
    <w:rsid w:val="00321226"/>
    <w:rsid w:val="00322185"/>
    <w:rsid w:val="00322D5C"/>
    <w:rsid w:val="003239CE"/>
    <w:rsid w:val="00323EF3"/>
    <w:rsid w:val="00324BB7"/>
    <w:rsid w:val="003259B2"/>
    <w:rsid w:val="003261F8"/>
    <w:rsid w:val="003337A7"/>
    <w:rsid w:val="00333859"/>
    <w:rsid w:val="00334393"/>
    <w:rsid w:val="003409F2"/>
    <w:rsid w:val="003413BA"/>
    <w:rsid w:val="00343076"/>
    <w:rsid w:val="00351380"/>
    <w:rsid w:val="00355FCB"/>
    <w:rsid w:val="00357571"/>
    <w:rsid w:val="00357BDF"/>
    <w:rsid w:val="003607BE"/>
    <w:rsid w:val="003612EE"/>
    <w:rsid w:val="003617DB"/>
    <w:rsid w:val="003626C3"/>
    <w:rsid w:val="00365B1B"/>
    <w:rsid w:val="00372012"/>
    <w:rsid w:val="0037782D"/>
    <w:rsid w:val="003825C1"/>
    <w:rsid w:val="00382712"/>
    <w:rsid w:val="00384E2B"/>
    <w:rsid w:val="00393B35"/>
    <w:rsid w:val="003A277F"/>
    <w:rsid w:val="003A682B"/>
    <w:rsid w:val="003B169C"/>
    <w:rsid w:val="003B19C8"/>
    <w:rsid w:val="003C09FF"/>
    <w:rsid w:val="003C2166"/>
    <w:rsid w:val="003D15FC"/>
    <w:rsid w:val="003D2384"/>
    <w:rsid w:val="003D4AED"/>
    <w:rsid w:val="003E0CF6"/>
    <w:rsid w:val="003E1D09"/>
    <w:rsid w:val="003E7674"/>
    <w:rsid w:val="003F0E4F"/>
    <w:rsid w:val="003F14DC"/>
    <w:rsid w:val="003F4B70"/>
    <w:rsid w:val="00406DD7"/>
    <w:rsid w:val="00412415"/>
    <w:rsid w:val="00415F71"/>
    <w:rsid w:val="00416247"/>
    <w:rsid w:val="004205FC"/>
    <w:rsid w:val="00423328"/>
    <w:rsid w:val="004241C1"/>
    <w:rsid w:val="00424C6E"/>
    <w:rsid w:val="004320A0"/>
    <w:rsid w:val="004355A8"/>
    <w:rsid w:val="004437D5"/>
    <w:rsid w:val="0044682A"/>
    <w:rsid w:val="00447C6B"/>
    <w:rsid w:val="00447D82"/>
    <w:rsid w:val="00452FA7"/>
    <w:rsid w:val="00453EED"/>
    <w:rsid w:val="00454F9F"/>
    <w:rsid w:val="0045759E"/>
    <w:rsid w:val="00457B07"/>
    <w:rsid w:val="00460821"/>
    <w:rsid w:val="004615D8"/>
    <w:rsid w:val="00463A20"/>
    <w:rsid w:val="00465836"/>
    <w:rsid w:val="004664AC"/>
    <w:rsid w:val="00472481"/>
    <w:rsid w:val="004730C4"/>
    <w:rsid w:val="00483515"/>
    <w:rsid w:val="00486A53"/>
    <w:rsid w:val="004917B2"/>
    <w:rsid w:val="00494A09"/>
    <w:rsid w:val="0049573E"/>
    <w:rsid w:val="0049604F"/>
    <w:rsid w:val="004968CA"/>
    <w:rsid w:val="004A4E0F"/>
    <w:rsid w:val="004A52D0"/>
    <w:rsid w:val="004A68C1"/>
    <w:rsid w:val="004B193F"/>
    <w:rsid w:val="004B20B0"/>
    <w:rsid w:val="004B36A6"/>
    <w:rsid w:val="004B6A19"/>
    <w:rsid w:val="004C4CB9"/>
    <w:rsid w:val="004C649B"/>
    <w:rsid w:val="004C6EB4"/>
    <w:rsid w:val="004C7B30"/>
    <w:rsid w:val="004D008F"/>
    <w:rsid w:val="004D2B4A"/>
    <w:rsid w:val="004D3FA4"/>
    <w:rsid w:val="004D485A"/>
    <w:rsid w:val="004D4E0D"/>
    <w:rsid w:val="004E4DE7"/>
    <w:rsid w:val="004E6F57"/>
    <w:rsid w:val="004F0C48"/>
    <w:rsid w:val="004F37C7"/>
    <w:rsid w:val="0050735E"/>
    <w:rsid w:val="00511D9A"/>
    <w:rsid w:val="00522F59"/>
    <w:rsid w:val="00525CFE"/>
    <w:rsid w:val="00531E94"/>
    <w:rsid w:val="00532EC1"/>
    <w:rsid w:val="00533D31"/>
    <w:rsid w:val="005340E9"/>
    <w:rsid w:val="005363D5"/>
    <w:rsid w:val="005401F0"/>
    <w:rsid w:val="005412DD"/>
    <w:rsid w:val="005430AC"/>
    <w:rsid w:val="005433B1"/>
    <w:rsid w:val="005502CA"/>
    <w:rsid w:val="00553182"/>
    <w:rsid w:val="005532C8"/>
    <w:rsid w:val="0055354C"/>
    <w:rsid w:val="0055455B"/>
    <w:rsid w:val="005557E1"/>
    <w:rsid w:val="00561755"/>
    <w:rsid w:val="00571E82"/>
    <w:rsid w:val="005749C9"/>
    <w:rsid w:val="005844C3"/>
    <w:rsid w:val="00585F9F"/>
    <w:rsid w:val="00587AE4"/>
    <w:rsid w:val="00593EAE"/>
    <w:rsid w:val="005942B9"/>
    <w:rsid w:val="0059587C"/>
    <w:rsid w:val="005A16B5"/>
    <w:rsid w:val="005A30A2"/>
    <w:rsid w:val="005A6963"/>
    <w:rsid w:val="005B1E59"/>
    <w:rsid w:val="005B274E"/>
    <w:rsid w:val="005B4470"/>
    <w:rsid w:val="005B6004"/>
    <w:rsid w:val="005B60A2"/>
    <w:rsid w:val="005D0BF5"/>
    <w:rsid w:val="005D633C"/>
    <w:rsid w:val="005D6420"/>
    <w:rsid w:val="005E085D"/>
    <w:rsid w:val="005E66F8"/>
    <w:rsid w:val="005F08D3"/>
    <w:rsid w:val="005F1AF7"/>
    <w:rsid w:val="005F52C5"/>
    <w:rsid w:val="005F5FD2"/>
    <w:rsid w:val="0060750F"/>
    <w:rsid w:val="0060759C"/>
    <w:rsid w:val="006130BE"/>
    <w:rsid w:val="0061767A"/>
    <w:rsid w:val="00626FCA"/>
    <w:rsid w:val="006300C8"/>
    <w:rsid w:val="00630A20"/>
    <w:rsid w:val="00631BA6"/>
    <w:rsid w:val="0063264E"/>
    <w:rsid w:val="006351BB"/>
    <w:rsid w:val="006375F4"/>
    <w:rsid w:val="0063777F"/>
    <w:rsid w:val="0064333C"/>
    <w:rsid w:val="00643667"/>
    <w:rsid w:val="00645FFE"/>
    <w:rsid w:val="00662241"/>
    <w:rsid w:val="00664DD8"/>
    <w:rsid w:val="00666664"/>
    <w:rsid w:val="00674098"/>
    <w:rsid w:val="00675600"/>
    <w:rsid w:val="0067789E"/>
    <w:rsid w:val="00681832"/>
    <w:rsid w:val="006825F4"/>
    <w:rsid w:val="00682C00"/>
    <w:rsid w:val="00693CA0"/>
    <w:rsid w:val="0069762D"/>
    <w:rsid w:val="006A34CC"/>
    <w:rsid w:val="006A4A55"/>
    <w:rsid w:val="006A761E"/>
    <w:rsid w:val="006B0743"/>
    <w:rsid w:val="006B0A9D"/>
    <w:rsid w:val="006B4CCC"/>
    <w:rsid w:val="006B5161"/>
    <w:rsid w:val="006B7FFE"/>
    <w:rsid w:val="006C2D14"/>
    <w:rsid w:val="006C525C"/>
    <w:rsid w:val="006D279B"/>
    <w:rsid w:val="006D444D"/>
    <w:rsid w:val="006E01E7"/>
    <w:rsid w:val="006E0AA6"/>
    <w:rsid w:val="006E4FE5"/>
    <w:rsid w:val="006E6AD8"/>
    <w:rsid w:val="006F0117"/>
    <w:rsid w:val="00704553"/>
    <w:rsid w:val="00710837"/>
    <w:rsid w:val="007124E8"/>
    <w:rsid w:val="00720F50"/>
    <w:rsid w:val="00721E2A"/>
    <w:rsid w:val="00721E88"/>
    <w:rsid w:val="00724AE1"/>
    <w:rsid w:val="007262AE"/>
    <w:rsid w:val="007321C9"/>
    <w:rsid w:val="0074097D"/>
    <w:rsid w:val="00742EA0"/>
    <w:rsid w:val="00744D19"/>
    <w:rsid w:val="00747240"/>
    <w:rsid w:val="00747EBA"/>
    <w:rsid w:val="007505DA"/>
    <w:rsid w:val="0075636B"/>
    <w:rsid w:val="00757187"/>
    <w:rsid w:val="00760B43"/>
    <w:rsid w:val="0076357A"/>
    <w:rsid w:val="00766E49"/>
    <w:rsid w:val="00771A86"/>
    <w:rsid w:val="007725D4"/>
    <w:rsid w:val="00772DD0"/>
    <w:rsid w:val="007809A4"/>
    <w:rsid w:val="007818A7"/>
    <w:rsid w:val="00782BE9"/>
    <w:rsid w:val="007848EE"/>
    <w:rsid w:val="007879BB"/>
    <w:rsid w:val="00787A8B"/>
    <w:rsid w:val="00790E86"/>
    <w:rsid w:val="007960BA"/>
    <w:rsid w:val="00797831"/>
    <w:rsid w:val="007A5F4F"/>
    <w:rsid w:val="007B00D6"/>
    <w:rsid w:val="007B2FDB"/>
    <w:rsid w:val="007B5A59"/>
    <w:rsid w:val="007C0026"/>
    <w:rsid w:val="007C228E"/>
    <w:rsid w:val="007C46A7"/>
    <w:rsid w:val="007C5588"/>
    <w:rsid w:val="007D3298"/>
    <w:rsid w:val="007D4C37"/>
    <w:rsid w:val="007E1C9E"/>
    <w:rsid w:val="007E4567"/>
    <w:rsid w:val="007E50A7"/>
    <w:rsid w:val="007E5D65"/>
    <w:rsid w:val="007F4B9A"/>
    <w:rsid w:val="00800BAC"/>
    <w:rsid w:val="008044F6"/>
    <w:rsid w:val="00805F50"/>
    <w:rsid w:val="00806902"/>
    <w:rsid w:val="00807AEC"/>
    <w:rsid w:val="00813383"/>
    <w:rsid w:val="00815803"/>
    <w:rsid w:val="0081646F"/>
    <w:rsid w:val="00816AF1"/>
    <w:rsid w:val="00825B3C"/>
    <w:rsid w:val="00830394"/>
    <w:rsid w:val="00831DDD"/>
    <w:rsid w:val="00835836"/>
    <w:rsid w:val="00836997"/>
    <w:rsid w:val="00837161"/>
    <w:rsid w:val="008409D3"/>
    <w:rsid w:val="008429E1"/>
    <w:rsid w:val="00842BF2"/>
    <w:rsid w:val="00844D50"/>
    <w:rsid w:val="00852597"/>
    <w:rsid w:val="00853D4F"/>
    <w:rsid w:val="00853F20"/>
    <w:rsid w:val="0085435D"/>
    <w:rsid w:val="00857A9C"/>
    <w:rsid w:val="00862D1C"/>
    <w:rsid w:val="00866F30"/>
    <w:rsid w:val="00872944"/>
    <w:rsid w:val="00875089"/>
    <w:rsid w:val="00875D75"/>
    <w:rsid w:val="0087663B"/>
    <w:rsid w:val="008768B0"/>
    <w:rsid w:val="0087719F"/>
    <w:rsid w:val="00883915"/>
    <w:rsid w:val="00884E76"/>
    <w:rsid w:val="008855FB"/>
    <w:rsid w:val="00886270"/>
    <w:rsid w:val="00887EDD"/>
    <w:rsid w:val="00891D51"/>
    <w:rsid w:val="008A2F76"/>
    <w:rsid w:val="008A4540"/>
    <w:rsid w:val="008A55CF"/>
    <w:rsid w:val="008A7DBC"/>
    <w:rsid w:val="008B1423"/>
    <w:rsid w:val="008B3926"/>
    <w:rsid w:val="008B55E7"/>
    <w:rsid w:val="008B73F5"/>
    <w:rsid w:val="008D0BB4"/>
    <w:rsid w:val="008D1EE2"/>
    <w:rsid w:val="008D58BB"/>
    <w:rsid w:val="008D5D2E"/>
    <w:rsid w:val="008E09C7"/>
    <w:rsid w:val="008E44C4"/>
    <w:rsid w:val="008F1322"/>
    <w:rsid w:val="008F1444"/>
    <w:rsid w:val="008F1B56"/>
    <w:rsid w:val="008F28EC"/>
    <w:rsid w:val="008F4B6E"/>
    <w:rsid w:val="008F7174"/>
    <w:rsid w:val="009006D1"/>
    <w:rsid w:val="00906B7C"/>
    <w:rsid w:val="009118E2"/>
    <w:rsid w:val="009131A3"/>
    <w:rsid w:val="0091693D"/>
    <w:rsid w:val="0092008B"/>
    <w:rsid w:val="00920D97"/>
    <w:rsid w:val="0092221D"/>
    <w:rsid w:val="009226C3"/>
    <w:rsid w:val="009235D8"/>
    <w:rsid w:val="009253D1"/>
    <w:rsid w:val="009272E3"/>
    <w:rsid w:val="00935FF4"/>
    <w:rsid w:val="009365D0"/>
    <w:rsid w:val="009452DD"/>
    <w:rsid w:val="00946A96"/>
    <w:rsid w:val="0094767B"/>
    <w:rsid w:val="009561A1"/>
    <w:rsid w:val="009661FE"/>
    <w:rsid w:val="00977370"/>
    <w:rsid w:val="00980367"/>
    <w:rsid w:val="00985BB7"/>
    <w:rsid w:val="009862B4"/>
    <w:rsid w:val="009A265D"/>
    <w:rsid w:val="009A50F0"/>
    <w:rsid w:val="009A6AE6"/>
    <w:rsid w:val="009A7B1D"/>
    <w:rsid w:val="009B1710"/>
    <w:rsid w:val="009B3252"/>
    <w:rsid w:val="009B6400"/>
    <w:rsid w:val="009B67B2"/>
    <w:rsid w:val="009C668A"/>
    <w:rsid w:val="009C7582"/>
    <w:rsid w:val="009D039F"/>
    <w:rsid w:val="009D2939"/>
    <w:rsid w:val="009D3C0A"/>
    <w:rsid w:val="009D6087"/>
    <w:rsid w:val="009E23D8"/>
    <w:rsid w:val="009E3257"/>
    <w:rsid w:val="009E42BB"/>
    <w:rsid w:val="009E5D4B"/>
    <w:rsid w:val="009E60F6"/>
    <w:rsid w:val="009E648C"/>
    <w:rsid w:val="009E7FEF"/>
    <w:rsid w:val="009F08C4"/>
    <w:rsid w:val="009F21D1"/>
    <w:rsid w:val="009F6B2E"/>
    <w:rsid w:val="00A02045"/>
    <w:rsid w:val="00A02515"/>
    <w:rsid w:val="00A04483"/>
    <w:rsid w:val="00A104D4"/>
    <w:rsid w:val="00A17AC1"/>
    <w:rsid w:val="00A259C3"/>
    <w:rsid w:val="00A27F9F"/>
    <w:rsid w:val="00A30584"/>
    <w:rsid w:val="00A357AC"/>
    <w:rsid w:val="00A4182D"/>
    <w:rsid w:val="00A4253F"/>
    <w:rsid w:val="00A4310D"/>
    <w:rsid w:val="00A44341"/>
    <w:rsid w:val="00A46D4A"/>
    <w:rsid w:val="00A506ED"/>
    <w:rsid w:val="00A61114"/>
    <w:rsid w:val="00A6134A"/>
    <w:rsid w:val="00A65703"/>
    <w:rsid w:val="00A72BF8"/>
    <w:rsid w:val="00A72FE3"/>
    <w:rsid w:val="00A73A4C"/>
    <w:rsid w:val="00A7669F"/>
    <w:rsid w:val="00A76D89"/>
    <w:rsid w:val="00A820AD"/>
    <w:rsid w:val="00A82D04"/>
    <w:rsid w:val="00A83836"/>
    <w:rsid w:val="00A8498E"/>
    <w:rsid w:val="00A9363D"/>
    <w:rsid w:val="00A94EB4"/>
    <w:rsid w:val="00A96171"/>
    <w:rsid w:val="00A97E4D"/>
    <w:rsid w:val="00AA075E"/>
    <w:rsid w:val="00AA3BAE"/>
    <w:rsid w:val="00AA777D"/>
    <w:rsid w:val="00AB47FA"/>
    <w:rsid w:val="00AB6857"/>
    <w:rsid w:val="00AC4C8F"/>
    <w:rsid w:val="00AD5B13"/>
    <w:rsid w:val="00AD5DF7"/>
    <w:rsid w:val="00AD6F4E"/>
    <w:rsid w:val="00AD73AB"/>
    <w:rsid w:val="00AE2754"/>
    <w:rsid w:val="00AE79E7"/>
    <w:rsid w:val="00AF2343"/>
    <w:rsid w:val="00AF2952"/>
    <w:rsid w:val="00AF788C"/>
    <w:rsid w:val="00B05269"/>
    <w:rsid w:val="00B058D2"/>
    <w:rsid w:val="00B072D2"/>
    <w:rsid w:val="00B10BE2"/>
    <w:rsid w:val="00B13EF7"/>
    <w:rsid w:val="00B14CD6"/>
    <w:rsid w:val="00B162DB"/>
    <w:rsid w:val="00B20AAE"/>
    <w:rsid w:val="00B23BC1"/>
    <w:rsid w:val="00B2419B"/>
    <w:rsid w:val="00B26B23"/>
    <w:rsid w:val="00B418DE"/>
    <w:rsid w:val="00B44BB2"/>
    <w:rsid w:val="00B50314"/>
    <w:rsid w:val="00B5501B"/>
    <w:rsid w:val="00B57C98"/>
    <w:rsid w:val="00B64274"/>
    <w:rsid w:val="00B65C72"/>
    <w:rsid w:val="00B70A5B"/>
    <w:rsid w:val="00B71C41"/>
    <w:rsid w:val="00B73C97"/>
    <w:rsid w:val="00B813B4"/>
    <w:rsid w:val="00B823E4"/>
    <w:rsid w:val="00B83993"/>
    <w:rsid w:val="00B8548F"/>
    <w:rsid w:val="00B9553F"/>
    <w:rsid w:val="00BA25DF"/>
    <w:rsid w:val="00BA2E3E"/>
    <w:rsid w:val="00BA7A08"/>
    <w:rsid w:val="00BB00BA"/>
    <w:rsid w:val="00BB170B"/>
    <w:rsid w:val="00BB389F"/>
    <w:rsid w:val="00BB4DDA"/>
    <w:rsid w:val="00BB5679"/>
    <w:rsid w:val="00BC75FD"/>
    <w:rsid w:val="00BD2F0B"/>
    <w:rsid w:val="00BE0D8D"/>
    <w:rsid w:val="00BE7B3B"/>
    <w:rsid w:val="00BF35AC"/>
    <w:rsid w:val="00C015CC"/>
    <w:rsid w:val="00C0311D"/>
    <w:rsid w:val="00C05B77"/>
    <w:rsid w:val="00C07DBC"/>
    <w:rsid w:val="00C12307"/>
    <w:rsid w:val="00C13BCF"/>
    <w:rsid w:val="00C17F6E"/>
    <w:rsid w:val="00C22817"/>
    <w:rsid w:val="00C26C55"/>
    <w:rsid w:val="00C30EAF"/>
    <w:rsid w:val="00C322B0"/>
    <w:rsid w:val="00C32C9F"/>
    <w:rsid w:val="00C3631D"/>
    <w:rsid w:val="00C3771D"/>
    <w:rsid w:val="00C4087A"/>
    <w:rsid w:val="00C43D64"/>
    <w:rsid w:val="00C4421D"/>
    <w:rsid w:val="00C4426F"/>
    <w:rsid w:val="00C461A3"/>
    <w:rsid w:val="00C52FD9"/>
    <w:rsid w:val="00C541FE"/>
    <w:rsid w:val="00C55A5B"/>
    <w:rsid w:val="00C563E0"/>
    <w:rsid w:val="00C57E72"/>
    <w:rsid w:val="00C6392B"/>
    <w:rsid w:val="00C646E0"/>
    <w:rsid w:val="00C67251"/>
    <w:rsid w:val="00C74245"/>
    <w:rsid w:val="00C7463E"/>
    <w:rsid w:val="00C7548E"/>
    <w:rsid w:val="00C77E4E"/>
    <w:rsid w:val="00C81519"/>
    <w:rsid w:val="00C8257F"/>
    <w:rsid w:val="00C97850"/>
    <w:rsid w:val="00CA07D8"/>
    <w:rsid w:val="00CA1C91"/>
    <w:rsid w:val="00CA6250"/>
    <w:rsid w:val="00CA6ADC"/>
    <w:rsid w:val="00CB2BCD"/>
    <w:rsid w:val="00CB2FE6"/>
    <w:rsid w:val="00CC6668"/>
    <w:rsid w:val="00CD5851"/>
    <w:rsid w:val="00CE2539"/>
    <w:rsid w:val="00CF5538"/>
    <w:rsid w:val="00CF7C86"/>
    <w:rsid w:val="00D017D3"/>
    <w:rsid w:val="00D01F41"/>
    <w:rsid w:val="00D03113"/>
    <w:rsid w:val="00D04B9E"/>
    <w:rsid w:val="00D07A18"/>
    <w:rsid w:val="00D1185E"/>
    <w:rsid w:val="00D20ACC"/>
    <w:rsid w:val="00D217A0"/>
    <w:rsid w:val="00D219EB"/>
    <w:rsid w:val="00D23F70"/>
    <w:rsid w:val="00D24ACC"/>
    <w:rsid w:val="00D24FAA"/>
    <w:rsid w:val="00D262FE"/>
    <w:rsid w:val="00D26845"/>
    <w:rsid w:val="00D31B01"/>
    <w:rsid w:val="00D45A5E"/>
    <w:rsid w:val="00D65561"/>
    <w:rsid w:val="00D658E9"/>
    <w:rsid w:val="00D66DE8"/>
    <w:rsid w:val="00D7118D"/>
    <w:rsid w:val="00D7425D"/>
    <w:rsid w:val="00D85E19"/>
    <w:rsid w:val="00D86B39"/>
    <w:rsid w:val="00D90224"/>
    <w:rsid w:val="00D9470E"/>
    <w:rsid w:val="00DA2D18"/>
    <w:rsid w:val="00DA4852"/>
    <w:rsid w:val="00DA7AAE"/>
    <w:rsid w:val="00DB46FA"/>
    <w:rsid w:val="00DB4DD0"/>
    <w:rsid w:val="00DC2662"/>
    <w:rsid w:val="00DC397B"/>
    <w:rsid w:val="00DC7155"/>
    <w:rsid w:val="00DD1C4A"/>
    <w:rsid w:val="00DD771B"/>
    <w:rsid w:val="00DE3201"/>
    <w:rsid w:val="00DE37CF"/>
    <w:rsid w:val="00DE5455"/>
    <w:rsid w:val="00DE57D5"/>
    <w:rsid w:val="00DF7F7E"/>
    <w:rsid w:val="00E16FAE"/>
    <w:rsid w:val="00E249E4"/>
    <w:rsid w:val="00E345B7"/>
    <w:rsid w:val="00E352D4"/>
    <w:rsid w:val="00E3771E"/>
    <w:rsid w:val="00E40411"/>
    <w:rsid w:val="00E44901"/>
    <w:rsid w:val="00E45620"/>
    <w:rsid w:val="00E51B20"/>
    <w:rsid w:val="00E60002"/>
    <w:rsid w:val="00E60C68"/>
    <w:rsid w:val="00E63DDB"/>
    <w:rsid w:val="00E64611"/>
    <w:rsid w:val="00E64CA0"/>
    <w:rsid w:val="00E65681"/>
    <w:rsid w:val="00E66C6D"/>
    <w:rsid w:val="00E66CB8"/>
    <w:rsid w:val="00E67A96"/>
    <w:rsid w:val="00E740A9"/>
    <w:rsid w:val="00E7647F"/>
    <w:rsid w:val="00E84452"/>
    <w:rsid w:val="00E913BC"/>
    <w:rsid w:val="00E94713"/>
    <w:rsid w:val="00E95B2E"/>
    <w:rsid w:val="00EA43F9"/>
    <w:rsid w:val="00EC143F"/>
    <w:rsid w:val="00EC27EB"/>
    <w:rsid w:val="00EC2B62"/>
    <w:rsid w:val="00EC53B6"/>
    <w:rsid w:val="00EC5661"/>
    <w:rsid w:val="00ED3455"/>
    <w:rsid w:val="00ED39B9"/>
    <w:rsid w:val="00ED5401"/>
    <w:rsid w:val="00ED64E8"/>
    <w:rsid w:val="00EE06A5"/>
    <w:rsid w:val="00EE1473"/>
    <w:rsid w:val="00EE1627"/>
    <w:rsid w:val="00EE3FF5"/>
    <w:rsid w:val="00EF05FA"/>
    <w:rsid w:val="00EF2B99"/>
    <w:rsid w:val="00EF36C8"/>
    <w:rsid w:val="00EF57A5"/>
    <w:rsid w:val="00EF66EA"/>
    <w:rsid w:val="00F0018A"/>
    <w:rsid w:val="00F023C0"/>
    <w:rsid w:val="00F078A5"/>
    <w:rsid w:val="00F1091E"/>
    <w:rsid w:val="00F13ABB"/>
    <w:rsid w:val="00F218DC"/>
    <w:rsid w:val="00F2210E"/>
    <w:rsid w:val="00F22B08"/>
    <w:rsid w:val="00F31396"/>
    <w:rsid w:val="00F336E7"/>
    <w:rsid w:val="00F41BB6"/>
    <w:rsid w:val="00F43436"/>
    <w:rsid w:val="00F5157E"/>
    <w:rsid w:val="00F526DD"/>
    <w:rsid w:val="00F53CEC"/>
    <w:rsid w:val="00F63318"/>
    <w:rsid w:val="00F67EF1"/>
    <w:rsid w:val="00F70D92"/>
    <w:rsid w:val="00F71AD8"/>
    <w:rsid w:val="00F76773"/>
    <w:rsid w:val="00F8673C"/>
    <w:rsid w:val="00F93ACC"/>
    <w:rsid w:val="00F93BAB"/>
    <w:rsid w:val="00F951AB"/>
    <w:rsid w:val="00F95DBF"/>
    <w:rsid w:val="00FA3F8D"/>
    <w:rsid w:val="00FA7C8E"/>
    <w:rsid w:val="00FC0E78"/>
    <w:rsid w:val="00FD17D4"/>
    <w:rsid w:val="00FD2953"/>
    <w:rsid w:val="00FD3B3B"/>
    <w:rsid w:val="00FD4FBB"/>
    <w:rsid w:val="00FD68C0"/>
    <w:rsid w:val="00FD736D"/>
    <w:rsid w:val="00FE41CE"/>
    <w:rsid w:val="00FE4AB1"/>
    <w:rsid w:val="00FE54C0"/>
    <w:rsid w:val="00FE75B5"/>
    <w:rsid w:val="00FE794E"/>
    <w:rsid w:val="00FE7A41"/>
    <w:rsid w:val="00FF39E8"/>
    <w:rsid w:val="00FF4DCC"/>
    <w:rsid w:val="00FF5B90"/>
    <w:rsid w:val="00FF67D8"/>
    <w:rsid w:val="00FF712B"/>
    <w:rsid w:val="00FF76C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0E6EEE"/>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next w:val="Normal"/>
    <w:link w:val="Heading3Char"/>
    <w:uiPriority w:val="9"/>
    <w:qFormat/>
    <w:rsid w:val="006A761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semiHidden/>
    <w:rsid w:val="00977BE2"/>
    <w:rPr>
      <w:rFonts w:ascii="Calibri Light" w:eastAsia="Times New Roman" w:hAnsi="Calibri Light" w:cs="Times New Roman"/>
      <w:b/>
      <w:bCs/>
      <w:sz w:val="26"/>
      <w:szCs w:val="26"/>
    </w:rPr>
  </w:style>
  <w:style w:type="paragraph" w:customStyle="1" w:styleId="Harp">
    <w:name w:val="Harp"/>
    <w:pPr>
      <w:jc w:val="center"/>
    </w:pPr>
    <w:rPr>
      <w:rFonts w:ascii="Verdana" w:hAnsi="Verdana"/>
      <w:sz w:val="18"/>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977BE2"/>
    <w:rPr>
      <w:sz w:val="24"/>
      <w:szCs w:val="24"/>
    </w:rPr>
  </w:style>
  <w:style w:type="character" w:styleId="PageNumber">
    <w:name w:val="page number"/>
    <w:uiPriority w:val="99"/>
    <w:rPr>
      <w:rFonts w:cs="Times New Roman"/>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977BE2"/>
    <w:rPr>
      <w:sz w:val="24"/>
      <w:szCs w:val="24"/>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rsid w:val="00977BE2"/>
    <w:rPr>
      <w:rFonts w:ascii="Segoe UI" w:hAnsi="Segoe UI" w:cs="Segoe UI"/>
      <w:sz w:val="18"/>
      <w:szCs w:val="18"/>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link w:val="CommentText"/>
    <w:uiPriority w:val="99"/>
    <w:semiHidden/>
    <w:rsid w:val="00977BE2"/>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link w:val="CommentSubject"/>
    <w:uiPriority w:val="99"/>
    <w:semiHidden/>
    <w:rsid w:val="00977BE2"/>
    <w:rPr>
      <w:b/>
      <w:bCs/>
    </w:rPr>
  </w:style>
  <w:style w:type="paragraph" w:styleId="ListParagraph">
    <w:name w:val="List Paragraph"/>
    <w:basedOn w:val="Normal"/>
    <w:uiPriority w:val="34"/>
    <w:qFormat/>
    <w:rsid w:val="00DB4DD0"/>
    <w:pPr>
      <w:spacing w:line="360" w:lineRule="auto"/>
      <w:ind w:left="720"/>
      <w:contextualSpacing/>
      <w:jc w:val="both"/>
    </w:pPr>
    <w:rPr>
      <w:rFonts w:asciiTheme="minorHAnsi" w:eastAsiaTheme="minorHAnsi" w:hAnsiTheme="minorHAnsi" w:cstheme="minorBidi"/>
      <w:sz w:val="22"/>
      <w:szCs w:val="22"/>
      <w:lang w:eastAsia="en-US"/>
    </w:rPr>
  </w:style>
  <w:style w:type="paragraph" w:styleId="NormalWeb">
    <w:name w:val="Normal (Web)"/>
    <w:basedOn w:val="Normal"/>
    <w:rsid w:val="00CB2BCD"/>
  </w:style>
  <w:style w:type="character" w:styleId="Hyperlink">
    <w:name w:val="Hyperlink"/>
    <w:basedOn w:val="DefaultParagraphFont"/>
    <w:rsid w:val="00CB2BCD"/>
    <w:rPr>
      <w:color w:val="0563C1" w:themeColor="hyperlink"/>
      <w:u w:val="single"/>
    </w:rPr>
  </w:style>
  <w:style w:type="character" w:styleId="UnresolvedMention">
    <w:name w:val="Unresolved Mention"/>
    <w:basedOn w:val="DefaultParagraphFont"/>
    <w:uiPriority w:val="99"/>
    <w:semiHidden/>
    <w:unhideWhenUsed/>
    <w:rsid w:val="00CB2B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4109">
      <w:bodyDiv w:val="1"/>
      <w:marLeft w:val="0"/>
      <w:marRight w:val="0"/>
      <w:marTop w:val="0"/>
      <w:marBottom w:val="0"/>
      <w:divBdr>
        <w:top w:val="none" w:sz="0" w:space="0" w:color="auto"/>
        <w:left w:val="none" w:sz="0" w:space="0" w:color="auto"/>
        <w:bottom w:val="none" w:sz="0" w:space="0" w:color="auto"/>
        <w:right w:val="none" w:sz="0" w:space="0" w:color="auto"/>
      </w:divBdr>
    </w:div>
    <w:div w:id="546912038">
      <w:bodyDiv w:val="1"/>
      <w:marLeft w:val="0"/>
      <w:marRight w:val="0"/>
      <w:marTop w:val="0"/>
      <w:marBottom w:val="0"/>
      <w:divBdr>
        <w:top w:val="none" w:sz="0" w:space="0" w:color="auto"/>
        <w:left w:val="none" w:sz="0" w:space="0" w:color="auto"/>
        <w:bottom w:val="none" w:sz="0" w:space="0" w:color="auto"/>
        <w:right w:val="none" w:sz="0" w:space="0" w:color="auto"/>
      </w:divBdr>
    </w:div>
    <w:div w:id="559941556">
      <w:bodyDiv w:val="1"/>
      <w:marLeft w:val="0"/>
      <w:marRight w:val="0"/>
      <w:marTop w:val="0"/>
      <w:marBottom w:val="0"/>
      <w:divBdr>
        <w:top w:val="none" w:sz="0" w:space="0" w:color="auto"/>
        <w:left w:val="none" w:sz="0" w:space="0" w:color="auto"/>
        <w:bottom w:val="none" w:sz="0" w:space="0" w:color="auto"/>
        <w:right w:val="none" w:sz="0" w:space="0" w:color="auto"/>
      </w:divBdr>
      <w:divsChild>
        <w:div w:id="1287081817">
          <w:marLeft w:val="0"/>
          <w:marRight w:val="0"/>
          <w:marTop w:val="0"/>
          <w:marBottom w:val="150"/>
          <w:divBdr>
            <w:top w:val="none" w:sz="0" w:space="0" w:color="auto"/>
            <w:left w:val="none" w:sz="0" w:space="0" w:color="auto"/>
            <w:bottom w:val="none" w:sz="0" w:space="0" w:color="auto"/>
            <w:right w:val="none" w:sz="0" w:space="0" w:color="auto"/>
          </w:divBdr>
        </w:div>
        <w:div w:id="796219424">
          <w:marLeft w:val="0"/>
          <w:marRight w:val="0"/>
          <w:marTop w:val="0"/>
          <w:marBottom w:val="150"/>
          <w:divBdr>
            <w:top w:val="none" w:sz="0" w:space="0" w:color="auto"/>
            <w:left w:val="none" w:sz="0" w:space="0" w:color="auto"/>
            <w:bottom w:val="none" w:sz="0" w:space="0" w:color="auto"/>
            <w:right w:val="none" w:sz="0" w:space="0" w:color="auto"/>
          </w:divBdr>
        </w:div>
        <w:div w:id="1447307254">
          <w:marLeft w:val="0"/>
          <w:marRight w:val="0"/>
          <w:marTop w:val="0"/>
          <w:marBottom w:val="150"/>
          <w:divBdr>
            <w:top w:val="none" w:sz="0" w:space="0" w:color="auto"/>
            <w:left w:val="none" w:sz="0" w:space="0" w:color="auto"/>
            <w:bottom w:val="none" w:sz="0" w:space="0" w:color="auto"/>
            <w:right w:val="none" w:sz="0" w:space="0" w:color="auto"/>
          </w:divBdr>
        </w:div>
      </w:divsChild>
    </w:div>
    <w:div w:id="835994400">
      <w:bodyDiv w:val="1"/>
      <w:marLeft w:val="0"/>
      <w:marRight w:val="0"/>
      <w:marTop w:val="0"/>
      <w:marBottom w:val="0"/>
      <w:divBdr>
        <w:top w:val="none" w:sz="0" w:space="0" w:color="auto"/>
        <w:left w:val="none" w:sz="0" w:space="0" w:color="auto"/>
        <w:bottom w:val="none" w:sz="0" w:space="0" w:color="auto"/>
        <w:right w:val="none" w:sz="0" w:space="0" w:color="auto"/>
      </w:divBdr>
    </w:div>
    <w:div w:id="1409842109">
      <w:marLeft w:val="0"/>
      <w:marRight w:val="0"/>
      <w:marTop w:val="0"/>
      <w:marBottom w:val="0"/>
      <w:divBdr>
        <w:top w:val="none" w:sz="0" w:space="0" w:color="auto"/>
        <w:left w:val="none" w:sz="0" w:space="0" w:color="auto"/>
        <w:bottom w:val="none" w:sz="0" w:space="0" w:color="auto"/>
        <w:right w:val="none" w:sz="0" w:space="0" w:color="auto"/>
      </w:divBdr>
    </w:div>
    <w:div w:id="140984211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D334F-D220-45CC-BA64-FF1D3DB0E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12822</Words>
  <Characters>63202</Characters>
  <Application>Microsoft Office Word</Application>
  <DocSecurity>0</DocSecurity>
  <Lines>526</Lines>
  <Paragraphs>151</Paragraphs>
  <ScaleCrop>false</ScaleCrop>
  <Company/>
  <LinksUpToDate>false</LinksUpToDate>
  <CharactersWithSpaces>75873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2022-04-28T08:25:00Z</dcterms:created>
  <dcterms:modified xsi:type="dcterms:W3CDTF">2022-04-28T08:25:00Z</dcterms:modified>
</cp:coreProperties>
</file>