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41AE5" w14:textId="77777777" w:rsidR="00701276" w:rsidRDefault="00701276" w:rsidP="00701276">
      <w:pPr>
        <w:widowControl w:val="0"/>
        <w:jc w:val="center"/>
        <w:rPr>
          <w:b/>
          <w:sz w:val="32"/>
          <w:szCs w:val="32"/>
        </w:rPr>
      </w:pPr>
      <w:r>
        <w:rPr>
          <w:b/>
          <w:sz w:val="32"/>
          <w:szCs w:val="32"/>
        </w:rPr>
        <w:t>THE COURT OF APPEAL</w:t>
      </w:r>
    </w:p>
    <w:p w14:paraId="5AB88F18" w14:textId="77777777" w:rsidR="00701276" w:rsidRDefault="00701276" w:rsidP="00701276">
      <w:pPr>
        <w:widowControl w:val="0"/>
        <w:jc w:val="center"/>
        <w:rPr>
          <w:b/>
          <w:sz w:val="32"/>
          <w:szCs w:val="32"/>
        </w:rPr>
      </w:pPr>
      <w:r>
        <w:rPr>
          <w:b/>
          <w:sz w:val="32"/>
          <w:szCs w:val="32"/>
        </w:rPr>
        <w:t>CIVIL</w:t>
      </w:r>
    </w:p>
    <w:p w14:paraId="755665A1" w14:textId="77777777" w:rsidR="00701276" w:rsidRDefault="00701276" w:rsidP="00701276">
      <w:pPr>
        <w:widowControl w:val="0"/>
        <w:jc w:val="center"/>
        <w:rPr>
          <w:b/>
          <w:sz w:val="32"/>
          <w:szCs w:val="32"/>
        </w:rPr>
      </w:pPr>
    </w:p>
    <w:p w14:paraId="0E85D07F" w14:textId="77777777" w:rsidR="00701276" w:rsidRDefault="00701276" w:rsidP="00701276">
      <w:pPr>
        <w:widowControl w:val="0"/>
        <w:jc w:val="right"/>
        <w:rPr>
          <w:b/>
        </w:rPr>
      </w:pPr>
      <w:r>
        <w:rPr>
          <w:b/>
        </w:rPr>
        <w:t xml:space="preserve">High Court Record </w:t>
      </w:r>
      <w:r w:rsidRPr="00701276">
        <w:rPr>
          <w:b/>
        </w:rPr>
        <w:t xml:space="preserve">No. </w:t>
      </w:r>
      <w:r w:rsidR="00891F56">
        <w:rPr>
          <w:b/>
        </w:rPr>
        <w:t>2017/</w:t>
      </w:r>
      <w:r w:rsidRPr="00701276">
        <w:rPr>
          <w:b/>
        </w:rPr>
        <w:t>217 MCA</w:t>
      </w:r>
    </w:p>
    <w:p w14:paraId="3E9C471E" w14:textId="77777777" w:rsidR="00701276" w:rsidRDefault="00701276" w:rsidP="00701276">
      <w:pPr>
        <w:widowControl w:val="0"/>
        <w:jc w:val="right"/>
        <w:rPr>
          <w:b/>
        </w:rPr>
      </w:pPr>
      <w:r>
        <w:rPr>
          <w:b/>
        </w:rPr>
        <w:t>Court of Appeal Record No. 2018/281</w:t>
      </w:r>
    </w:p>
    <w:p w14:paraId="0C611F78" w14:textId="339B43CD" w:rsidR="00701276" w:rsidRPr="007E62D8" w:rsidRDefault="009A1678" w:rsidP="00701276">
      <w:pPr>
        <w:widowControl w:val="0"/>
        <w:jc w:val="right"/>
        <w:rPr>
          <w:b/>
        </w:rPr>
      </w:pPr>
      <w:r>
        <w:rPr>
          <w:b/>
        </w:rPr>
        <w:t xml:space="preserve">Neutral Citation No. [2022] IECA </w:t>
      </w:r>
      <w:r w:rsidR="006F05D1">
        <w:rPr>
          <w:b/>
        </w:rPr>
        <w:t>24</w:t>
      </w:r>
    </w:p>
    <w:p w14:paraId="050102B5" w14:textId="77777777" w:rsidR="00993471" w:rsidRDefault="00993471" w:rsidP="00701276">
      <w:pPr>
        <w:widowControl w:val="0"/>
        <w:rPr>
          <w:b/>
          <w:sz w:val="32"/>
          <w:szCs w:val="32"/>
        </w:rPr>
      </w:pPr>
    </w:p>
    <w:p w14:paraId="12D19181" w14:textId="77777777" w:rsidR="00993471" w:rsidRDefault="00993471" w:rsidP="00701276">
      <w:pPr>
        <w:widowControl w:val="0"/>
        <w:rPr>
          <w:b/>
          <w:sz w:val="32"/>
          <w:szCs w:val="32"/>
        </w:rPr>
      </w:pPr>
    </w:p>
    <w:p w14:paraId="0CC7BABD" w14:textId="77777777" w:rsidR="00993471" w:rsidRDefault="00993471" w:rsidP="00701276">
      <w:pPr>
        <w:widowControl w:val="0"/>
        <w:rPr>
          <w:b/>
          <w:sz w:val="32"/>
          <w:szCs w:val="32"/>
        </w:rPr>
      </w:pPr>
    </w:p>
    <w:p w14:paraId="655392F7" w14:textId="77777777" w:rsidR="00993471" w:rsidRDefault="00993471" w:rsidP="00701276">
      <w:pPr>
        <w:widowControl w:val="0"/>
        <w:rPr>
          <w:b/>
          <w:sz w:val="32"/>
          <w:szCs w:val="32"/>
        </w:rPr>
      </w:pPr>
    </w:p>
    <w:p w14:paraId="5239F14F" w14:textId="77777777" w:rsidR="00701276" w:rsidRDefault="00701276" w:rsidP="00701276">
      <w:pPr>
        <w:widowControl w:val="0"/>
        <w:rPr>
          <w:b/>
          <w:sz w:val="32"/>
          <w:szCs w:val="32"/>
        </w:rPr>
      </w:pPr>
      <w:r>
        <w:rPr>
          <w:b/>
          <w:sz w:val="32"/>
          <w:szCs w:val="32"/>
        </w:rPr>
        <w:t>UNAPPROVED</w:t>
      </w:r>
    </w:p>
    <w:p w14:paraId="13EB4CE7" w14:textId="77777777" w:rsidR="00701276" w:rsidRDefault="00701276" w:rsidP="00701276">
      <w:pPr>
        <w:widowControl w:val="0"/>
        <w:rPr>
          <w:b/>
          <w:sz w:val="32"/>
          <w:szCs w:val="32"/>
        </w:rPr>
      </w:pPr>
      <w:r>
        <w:rPr>
          <w:b/>
          <w:sz w:val="32"/>
          <w:szCs w:val="32"/>
        </w:rPr>
        <w:t xml:space="preserve">NO REDACTION NEEDED </w:t>
      </w:r>
    </w:p>
    <w:p w14:paraId="44F1EE4B" w14:textId="77777777" w:rsidR="00701276" w:rsidRDefault="00701276" w:rsidP="00701276">
      <w:pPr>
        <w:widowControl w:val="0"/>
        <w:rPr>
          <w:b/>
          <w:sz w:val="32"/>
          <w:szCs w:val="32"/>
        </w:rPr>
      </w:pPr>
    </w:p>
    <w:p w14:paraId="104F8BD1" w14:textId="77777777" w:rsidR="00701276" w:rsidRDefault="00701276" w:rsidP="00701276">
      <w:pPr>
        <w:widowControl w:val="0"/>
        <w:rPr>
          <w:b/>
        </w:rPr>
      </w:pPr>
      <w:r>
        <w:rPr>
          <w:b/>
        </w:rPr>
        <w:t xml:space="preserve">Haughton J. </w:t>
      </w:r>
    </w:p>
    <w:p w14:paraId="56B378DD" w14:textId="77777777" w:rsidR="00701276" w:rsidRDefault="00701276" w:rsidP="00701276">
      <w:pPr>
        <w:widowControl w:val="0"/>
        <w:rPr>
          <w:b/>
        </w:rPr>
      </w:pPr>
      <w:r>
        <w:rPr>
          <w:b/>
        </w:rPr>
        <w:t>Murray J.</w:t>
      </w:r>
    </w:p>
    <w:p w14:paraId="3E308902" w14:textId="77777777" w:rsidR="00701276" w:rsidRDefault="00701276" w:rsidP="00701276">
      <w:pPr>
        <w:widowControl w:val="0"/>
        <w:rPr>
          <w:b/>
        </w:rPr>
      </w:pPr>
      <w:r>
        <w:rPr>
          <w:b/>
        </w:rPr>
        <w:t xml:space="preserve">Pilkington J. </w:t>
      </w:r>
    </w:p>
    <w:p w14:paraId="6704D995" w14:textId="77777777" w:rsidR="00701276" w:rsidRPr="00FE1349" w:rsidRDefault="00701276" w:rsidP="00701276">
      <w:pPr>
        <w:widowControl w:val="0"/>
        <w:rPr>
          <w:b/>
        </w:rPr>
      </w:pPr>
    </w:p>
    <w:p w14:paraId="401C0A63" w14:textId="77777777" w:rsidR="00701276" w:rsidRDefault="00701276" w:rsidP="00701276">
      <w:pPr>
        <w:widowControl w:val="0"/>
        <w:rPr>
          <w:b/>
          <w:sz w:val="32"/>
          <w:szCs w:val="32"/>
        </w:rPr>
      </w:pPr>
    </w:p>
    <w:p w14:paraId="0EC748F7" w14:textId="77777777" w:rsidR="00701276" w:rsidRPr="00FE1349" w:rsidRDefault="00701276" w:rsidP="00701276">
      <w:pPr>
        <w:widowControl w:val="0"/>
        <w:rPr>
          <w:b/>
        </w:rPr>
      </w:pPr>
      <w:r>
        <w:rPr>
          <w:b/>
        </w:rPr>
        <w:t>BETWEEN</w:t>
      </w:r>
    </w:p>
    <w:p w14:paraId="0E46ECC6" w14:textId="77777777" w:rsidR="00701276" w:rsidRDefault="00701276" w:rsidP="00701276">
      <w:pPr>
        <w:widowControl w:val="0"/>
        <w:spacing w:line="480" w:lineRule="auto"/>
        <w:rPr>
          <w:b/>
          <w:sz w:val="32"/>
          <w:szCs w:val="32"/>
        </w:rPr>
      </w:pPr>
    </w:p>
    <w:p w14:paraId="51F60E84" w14:textId="77777777" w:rsidR="00701276" w:rsidRPr="00A6784A" w:rsidRDefault="00701276" w:rsidP="00701276">
      <w:pPr>
        <w:widowControl w:val="0"/>
        <w:spacing w:line="480" w:lineRule="auto"/>
        <w:jc w:val="center"/>
        <w:rPr>
          <w:b/>
        </w:rPr>
      </w:pPr>
      <w:r>
        <w:rPr>
          <w:b/>
        </w:rPr>
        <w:t>C</w:t>
      </w:r>
    </w:p>
    <w:p w14:paraId="6797CCB2" w14:textId="77777777" w:rsidR="00701276" w:rsidRDefault="00701276" w:rsidP="00701276">
      <w:pPr>
        <w:widowControl w:val="0"/>
        <w:spacing w:line="480" w:lineRule="auto"/>
        <w:jc w:val="right"/>
        <w:rPr>
          <w:b/>
        </w:rPr>
      </w:pPr>
    </w:p>
    <w:p w14:paraId="4594B456" w14:textId="77777777" w:rsidR="00701276" w:rsidRPr="007E62D8" w:rsidRDefault="00701276" w:rsidP="00701276">
      <w:pPr>
        <w:widowControl w:val="0"/>
        <w:spacing w:line="480" w:lineRule="auto"/>
        <w:jc w:val="right"/>
        <w:rPr>
          <w:b/>
        </w:rPr>
      </w:pPr>
      <w:r>
        <w:rPr>
          <w:b/>
        </w:rPr>
        <w:t>APPLICANT/APPELLANT</w:t>
      </w:r>
    </w:p>
    <w:p w14:paraId="74D721C1" w14:textId="77777777" w:rsidR="00701276" w:rsidRPr="0070740A" w:rsidRDefault="00701276" w:rsidP="00701276">
      <w:pPr>
        <w:widowControl w:val="0"/>
        <w:spacing w:line="480" w:lineRule="auto"/>
        <w:jc w:val="center"/>
        <w:rPr>
          <w:b/>
        </w:rPr>
      </w:pPr>
      <w:r w:rsidRPr="0070740A">
        <w:rPr>
          <w:b/>
        </w:rPr>
        <w:t xml:space="preserve">- AND – </w:t>
      </w:r>
    </w:p>
    <w:p w14:paraId="7C36D322" w14:textId="77777777" w:rsidR="00701276" w:rsidRDefault="00701276" w:rsidP="00701276">
      <w:pPr>
        <w:widowControl w:val="0"/>
        <w:spacing w:line="480" w:lineRule="auto"/>
        <w:jc w:val="center"/>
        <w:rPr>
          <w:b/>
        </w:rPr>
      </w:pPr>
    </w:p>
    <w:p w14:paraId="5E4EC074" w14:textId="77777777" w:rsidR="00701276" w:rsidRDefault="00667046" w:rsidP="00701276">
      <w:pPr>
        <w:widowControl w:val="0"/>
        <w:spacing w:line="480" w:lineRule="auto"/>
        <w:jc w:val="center"/>
        <w:rPr>
          <w:b/>
        </w:rPr>
      </w:pPr>
      <w:r w:rsidRPr="00667046">
        <w:rPr>
          <w:b/>
        </w:rPr>
        <w:t xml:space="preserve"> </w:t>
      </w:r>
      <w:r w:rsidR="003E65DA">
        <w:rPr>
          <w:b/>
        </w:rPr>
        <w:t xml:space="preserve">JOHN </w:t>
      </w:r>
      <w:r w:rsidRPr="00667046">
        <w:rPr>
          <w:b/>
        </w:rPr>
        <w:t>CASEY</w:t>
      </w:r>
    </w:p>
    <w:p w14:paraId="0E39FAC9" w14:textId="77777777" w:rsidR="00701276" w:rsidRDefault="00701276" w:rsidP="00701276">
      <w:pPr>
        <w:widowControl w:val="0"/>
        <w:spacing w:line="480" w:lineRule="auto"/>
        <w:jc w:val="right"/>
        <w:rPr>
          <w:b/>
        </w:rPr>
      </w:pPr>
    </w:p>
    <w:p w14:paraId="61569FEC" w14:textId="77777777" w:rsidR="00701276" w:rsidRDefault="00701276" w:rsidP="00701276">
      <w:pPr>
        <w:widowControl w:val="0"/>
        <w:spacing w:line="480" w:lineRule="auto"/>
        <w:jc w:val="right"/>
        <w:rPr>
          <w:b/>
        </w:rPr>
      </w:pPr>
      <w:r w:rsidRPr="007E62D8">
        <w:rPr>
          <w:b/>
        </w:rPr>
        <w:t>RESPONDENT</w:t>
      </w:r>
    </w:p>
    <w:p w14:paraId="534215B2" w14:textId="77777777" w:rsidR="00701276" w:rsidRPr="007E62D8" w:rsidRDefault="00701276" w:rsidP="00701276">
      <w:pPr>
        <w:widowControl w:val="0"/>
        <w:spacing w:line="480" w:lineRule="auto"/>
        <w:jc w:val="right"/>
        <w:rPr>
          <w:b/>
        </w:rPr>
      </w:pPr>
    </w:p>
    <w:p w14:paraId="29473C43" w14:textId="77777777" w:rsidR="00701276" w:rsidRDefault="00701276" w:rsidP="00701276">
      <w:pPr>
        <w:widowControl w:val="0"/>
        <w:spacing w:line="480" w:lineRule="auto"/>
        <w:jc w:val="center"/>
        <w:rPr>
          <w:b/>
          <w:u w:val="single"/>
        </w:rPr>
      </w:pPr>
      <w:r>
        <w:rPr>
          <w:b/>
          <w:u w:val="single"/>
        </w:rPr>
        <w:t xml:space="preserve">JUDGMENT of Mr. Justice Murray delivered on the </w:t>
      </w:r>
      <w:r w:rsidR="00437A89">
        <w:rPr>
          <w:b/>
          <w:u w:val="single"/>
        </w:rPr>
        <w:t>2</w:t>
      </w:r>
      <w:r w:rsidR="00437A89" w:rsidRPr="00437A89">
        <w:rPr>
          <w:b/>
          <w:u w:val="single"/>
          <w:vertAlign w:val="superscript"/>
        </w:rPr>
        <w:t>nd</w:t>
      </w:r>
      <w:r w:rsidR="00437A89">
        <w:rPr>
          <w:b/>
          <w:u w:val="single"/>
        </w:rPr>
        <w:t xml:space="preserve"> </w:t>
      </w:r>
      <w:r>
        <w:rPr>
          <w:b/>
          <w:u w:val="single"/>
        </w:rPr>
        <w:t xml:space="preserve">day of </w:t>
      </w:r>
      <w:r w:rsidR="00437A89">
        <w:rPr>
          <w:b/>
          <w:u w:val="single"/>
        </w:rPr>
        <w:t xml:space="preserve">February </w:t>
      </w:r>
      <w:r>
        <w:rPr>
          <w:b/>
          <w:u w:val="single"/>
        </w:rPr>
        <w:t>2022</w:t>
      </w:r>
    </w:p>
    <w:p w14:paraId="2CDF8DB7" w14:textId="77777777" w:rsidR="00667046" w:rsidRDefault="00667046" w:rsidP="00701276">
      <w:pPr>
        <w:widowControl w:val="0"/>
        <w:spacing w:line="480" w:lineRule="auto"/>
        <w:jc w:val="center"/>
        <w:rPr>
          <w:b/>
          <w:u w:val="single"/>
        </w:rPr>
      </w:pPr>
    </w:p>
    <w:p w14:paraId="174C61E0" w14:textId="77777777" w:rsidR="00667046" w:rsidRDefault="00667046" w:rsidP="00701276">
      <w:pPr>
        <w:widowControl w:val="0"/>
        <w:spacing w:line="480" w:lineRule="auto"/>
        <w:jc w:val="center"/>
        <w:rPr>
          <w:b/>
          <w:u w:val="single"/>
        </w:rPr>
      </w:pPr>
    </w:p>
    <w:p w14:paraId="68539149" w14:textId="77777777" w:rsidR="00993471" w:rsidRPr="00993471" w:rsidRDefault="00993471" w:rsidP="00993471">
      <w:pPr>
        <w:spacing w:line="480" w:lineRule="auto"/>
        <w:jc w:val="both"/>
      </w:pPr>
    </w:p>
    <w:p w14:paraId="68F97F39" w14:textId="77777777" w:rsidR="00FE047A" w:rsidRDefault="00993471" w:rsidP="00993471">
      <w:pPr>
        <w:pStyle w:val="ListParagraph"/>
        <w:numPr>
          <w:ilvl w:val="0"/>
          <w:numId w:val="4"/>
        </w:numPr>
        <w:spacing w:before="240" w:line="480" w:lineRule="auto"/>
        <w:jc w:val="both"/>
        <w:rPr>
          <w:rFonts w:ascii="Times New Roman" w:hAnsi="Times New Roman" w:cs="Times New Roman"/>
        </w:rPr>
      </w:pPr>
      <w:r w:rsidRPr="00993471">
        <w:rPr>
          <w:rFonts w:ascii="Times New Roman" w:hAnsi="Times New Roman" w:cs="Times New Roman"/>
        </w:rPr>
        <w:t xml:space="preserve">Statutory protection from civil liability for </w:t>
      </w:r>
      <w:r w:rsidR="005B6BC2">
        <w:rPr>
          <w:rFonts w:ascii="Times New Roman" w:hAnsi="Times New Roman" w:cs="Times New Roman"/>
        </w:rPr>
        <w:t>those</w:t>
      </w:r>
      <w:r w:rsidRPr="00993471">
        <w:rPr>
          <w:rFonts w:ascii="Times New Roman" w:hAnsi="Times New Roman" w:cs="Times New Roman"/>
        </w:rPr>
        <w:t xml:space="preserve"> </w:t>
      </w:r>
      <w:r w:rsidR="005B6BC2">
        <w:rPr>
          <w:rFonts w:ascii="Times New Roman" w:hAnsi="Times New Roman" w:cs="Times New Roman"/>
        </w:rPr>
        <w:t xml:space="preserve">facilitating the detention of persons pursuant to </w:t>
      </w:r>
      <w:r w:rsidRPr="00993471">
        <w:rPr>
          <w:rFonts w:ascii="Times New Roman" w:hAnsi="Times New Roman" w:cs="Times New Roman"/>
        </w:rPr>
        <w:t xml:space="preserve">Mental </w:t>
      </w:r>
      <w:bookmarkStart w:id="0" w:name="_GoBack"/>
      <w:bookmarkEnd w:id="0"/>
      <w:r w:rsidRPr="00993471">
        <w:rPr>
          <w:rFonts w:ascii="Times New Roman" w:hAnsi="Times New Roman" w:cs="Times New Roman"/>
        </w:rPr>
        <w:t>Health legislation w</w:t>
      </w:r>
      <w:r w:rsidR="0069101F">
        <w:rPr>
          <w:rFonts w:ascii="Times New Roman" w:hAnsi="Times New Roman" w:cs="Times New Roman"/>
        </w:rPr>
        <w:t>as</w:t>
      </w:r>
      <w:r w:rsidRPr="00993471">
        <w:rPr>
          <w:rFonts w:ascii="Times New Roman" w:hAnsi="Times New Roman" w:cs="Times New Roman"/>
        </w:rPr>
        <w:t xml:space="preserve"> first introduced in the law of </w:t>
      </w:r>
      <w:r w:rsidR="00FE047A">
        <w:rPr>
          <w:rFonts w:ascii="Times New Roman" w:hAnsi="Times New Roman" w:cs="Times New Roman"/>
        </w:rPr>
        <w:t xml:space="preserve">England </w:t>
      </w:r>
      <w:r w:rsidRPr="00993471">
        <w:rPr>
          <w:rFonts w:ascii="Times New Roman" w:hAnsi="Times New Roman" w:cs="Times New Roman"/>
        </w:rPr>
        <w:t xml:space="preserve">by </w:t>
      </w:r>
      <w:r w:rsidR="00FE047A">
        <w:rPr>
          <w:rFonts w:ascii="Times New Roman" w:hAnsi="Times New Roman" w:cs="Times New Roman"/>
        </w:rPr>
        <w:t>s.</w:t>
      </w:r>
      <w:r w:rsidR="00AD70EA">
        <w:rPr>
          <w:rFonts w:ascii="Times New Roman" w:hAnsi="Times New Roman" w:cs="Times New Roman"/>
        </w:rPr>
        <w:t xml:space="preserve"> </w:t>
      </w:r>
      <w:r w:rsidR="00FE047A">
        <w:rPr>
          <w:rFonts w:ascii="Times New Roman" w:hAnsi="Times New Roman" w:cs="Times New Roman"/>
        </w:rPr>
        <w:t xml:space="preserve">12 of the Lunacy </w:t>
      </w:r>
      <w:r w:rsidR="00AD70EA">
        <w:rPr>
          <w:rFonts w:ascii="Times New Roman" w:hAnsi="Times New Roman" w:cs="Times New Roman"/>
        </w:rPr>
        <w:t xml:space="preserve">Acts </w:t>
      </w:r>
      <w:r w:rsidR="00FE047A">
        <w:rPr>
          <w:rFonts w:ascii="Times New Roman" w:hAnsi="Times New Roman" w:cs="Times New Roman"/>
        </w:rPr>
        <w:t>(Amendment) Act 1889</w:t>
      </w:r>
      <w:r w:rsidR="005462C9">
        <w:rPr>
          <w:rFonts w:ascii="Times New Roman" w:hAnsi="Times New Roman" w:cs="Times New Roman"/>
        </w:rPr>
        <w:t xml:space="preserve">. The </w:t>
      </w:r>
      <w:r w:rsidR="00FE047A">
        <w:rPr>
          <w:rFonts w:ascii="Times New Roman" w:hAnsi="Times New Roman" w:cs="Times New Roman"/>
        </w:rPr>
        <w:t xml:space="preserve">terms of </w:t>
      </w:r>
      <w:r w:rsidR="005462C9">
        <w:rPr>
          <w:rFonts w:ascii="Times New Roman" w:hAnsi="Times New Roman" w:cs="Times New Roman"/>
        </w:rPr>
        <w:t>that provision</w:t>
      </w:r>
      <w:r w:rsidR="00FE047A">
        <w:rPr>
          <w:rFonts w:ascii="Times New Roman" w:hAnsi="Times New Roman" w:cs="Times New Roman"/>
        </w:rPr>
        <w:t xml:space="preserve"> were repeated in </w:t>
      </w:r>
      <w:r w:rsidR="00AD70EA">
        <w:rPr>
          <w:rFonts w:ascii="Times New Roman" w:hAnsi="Times New Roman" w:cs="Times New Roman"/>
        </w:rPr>
        <w:t xml:space="preserve">s. </w:t>
      </w:r>
      <w:r w:rsidRPr="00993471">
        <w:rPr>
          <w:rFonts w:ascii="Times New Roman" w:hAnsi="Times New Roman" w:cs="Times New Roman"/>
        </w:rPr>
        <w:t>330 of the Lunacy Act 1890</w:t>
      </w:r>
      <w:r w:rsidR="00897019">
        <w:rPr>
          <w:rFonts w:ascii="Times New Roman" w:hAnsi="Times New Roman" w:cs="Times New Roman"/>
        </w:rPr>
        <w:t>.</w:t>
      </w:r>
      <w:r w:rsidRPr="00993471">
        <w:rPr>
          <w:rFonts w:ascii="Times New Roman" w:hAnsi="Times New Roman" w:cs="Times New Roman"/>
        </w:rPr>
        <w:t xml:space="preserve"> The approach adopted </w:t>
      </w:r>
      <w:r w:rsidR="00211C3D">
        <w:rPr>
          <w:rFonts w:ascii="Times New Roman" w:hAnsi="Times New Roman" w:cs="Times New Roman"/>
        </w:rPr>
        <w:t>in th</w:t>
      </w:r>
      <w:r w:rsidR="00FE047A">
        <w:rPr>
          <w:rFonts w:ascii="Times New Roman" w:hAnsi="Times New Roman" w:cs="Times New Roman"/>
        </w:rPr>
        <w:t>ose</w:t>
      </w:r>
      <w:r w:rsidR="00397F9F">
        <w:rPr>
          <w:rFonts w:ascii="Times New Roman" w:hAnsi="Times New Roman" w:cs="Times New Roman"/>
        </w:rPr>
        <w:t xml:space="preserve"> </w:t>
      </w:r>
      <w:r w:rsidR="005462C9">
        <w:rPr>
          <w:rFonts w:ascii="Times New Roman" w:hAnsi="Times New Roman" w:cs="Times New Roman"/>
        </w:rPr>
        <w:t xml:space="preserve">statutes </w:t>
      </w:r>
      <w:r w:rsidRPr="00993471">
        <w:rPr>
          <w:rFonts w:ascii="Times New Roman" w:hAnsi="Times New Roman" w:cs="Times New Roman"/>
        </w:rPr>
        <w:t xml:space="preserve">(an immunity </w:t>
      </w:r>
      <w:r w:rsidR="002B1791">
        <w:rPr>
          <w:rFonts w:ascii="Times New Roman" w:hAnsi="Times New Roman" w:cs="Times New Roman"/>
        </w:rPr>
        <w:t xml:space="preserve">from suit </w:t>
      </w:r>
      <w:r w:rsidRPr="00993471">
        <w:rPr>
          <w:rFonts w:ascii="Times New Roman" w:hAnsi="Times New Roman" w:cs="Times New Roman"/>
        </w:rPr>
        <w:t>for persons acting in good faith and with reasonable care combined with a power of the court to stay such proceedings where, on application to it, it was satisfied that there was ‘</w:t>
      </w:r>
      <w:r w:rsidRPr="00993471">
        <w:rPr>
          <w:rFonts w:ascii="Times New Roman" w:hAnsi="Times New Roman" w:cs="Times New Roman"/>
          <w:i/>
        </w:rPr>
        <w:t>no reasonable ground for alleging want of good faith or reasonable care’</w:t>
      </w:r>
      <w:r w:rsidRPr="00993471">
        <w:rPr>
          <w:rFonts w:ascii="Times New Roman" w:hAnsi="Times New Roman" w:cs="Times New Roman"/>
        </w:rPr>
        <w:t>)</w:t>
      </w:r>
      <w:r w:rsidR="00165096">
        <w:rPr>
          <w:rFonts w:ascii="Times New Roman" w:hAnsi="Times New Roman" w:cs="Times New Roman"/>
        </w:rPr>
        <w:t xml:space="preserve"> </w:t>
      </w:r>
      <w:r w:rsidRPr="00993471">
        <w:rPr>
          <w:rFonts w:ascii="Times New Roman" w:hAnsi="Times New Roman" w:cs="Times New Roman"/>
        </w:rPr>
        <w:t xml:space="preserve">was significantly adjusted in </w:t>
      </w:r>
      <w:r w:rsidR="00FE047A">
        <w:rPr>
          <w:rFonts w:ascii="Times New Roman" w:hAnsi="Times New Roman" w:cs="Times New Roman"/>
        </w:rPr>
        <w:t>th</w:t>
      </w:r>
      <w:r w:rsidR="005462C9">
        <w:rPr>
          <w:rFonts w:ascii="Times New Roman" w:hAnsi="Times New Roman" w:cs="Times New Roman"/>
        </w:rPr>
        <w:t>e United Kingdom</w:t>
      </w:r>
      <w:r w:rsidR="00FE047A">
        <w:rPr>
          <w:rFonts w:ascii="Times New Roman" w:hAnsi="Times New Roman" w:cs="Times New Roman"/>
        </w:rPr>
        <w:t xml:space="preserve"> in </w:t>
      </w:r>
      <w:r w:rsidRPr="00993471">
        <w:rPr>
          <w:rFonts w:ascii="Times New Roman" w:hAnsi="Times New Roman" w:cs="Times New Roman"/>
        </w:rPr>
        <w:t xml:space="preserve">favour of defendants to such suits by </w:t>
      </w:r>
      <w:r w:rsidR="00FE047A">
        <w:rPr>
          <w:rFonts w:ascii="Times New Roman" w:hAnsi="Times New Roman" w:cs="Times New Roman"/>
        </w:rPr>
        <w:t>s</w:t>
      </w:r>
      <w:r w:rsidR="005462C9">
        <w:rPr>
          <w:rFonts w:ascii="Times New Roman" w:hAnsi="Times New Roman" w:cs="Times New Roman"/>
        </w:rPr>
        <w:t>s</w:t>
      </w:r>
      <w:r w:rsidR="00FE047A">
        <w:rPr>
          <w:rFonts w:ascii="Times New Roman" w:hAnsi="Times New Roman" w:cs="Times New Roman"/>
        </w:rPr>
        <w:t>.</w:t>
      </w:r>
      <w:r w:rsidR="00AD70EA">
        <w:rPr>
          <w:rFonts w:ascii="Times New Roman" w:hAnsi="Times New Roman" w:cs="Times New Roman"/>
        </w:rPr>
        <w:t xml:space="preserve"> </w:t>
      </w:r>
      <w:r w:rsidR="005462C9">
        <w:rPr>
          <w:rFonts w:ascii="Times New Roman" w:hAnsi="Times New Roman" w:cs="Times New Roman"/>
        </w:rPr>
        <w:t xml:space="preserve">15 and </w:t>
      </w:r>
      <w:r w:rsidR="00FE047A">
        <w:rPr>
          <w:rFonts w:ascii="Times New Roman" w:hAnsi="Times New Roman" w:cs="Times New Roman"/>
        </w:rPr>
        <w:t>16 of the Mental Treatment Act 1930. Th</w:t>
      </w:r>
      <w:r w:rsidR="005462C9">
        <w:rPr>
          <w:rFonts w:ascii="Times New Roman" w:hAnsi="Times New Roman" w:cs="Times New Roman"/>
        </w:rPr>
        <w:t>ese</w:t>
      </w:r>
      <w:r w:rsidR="00FE047A">
        <w:rPr>
          <w:rFonts w:ascii="Times New Roman" w:hAnsi="Times New Roman" w:cs="Times New Roman"/>
        </w:rPr>
        <w:t xml:space="preserve">, in turn, </w:t>
      </w:r>
      <w:r w:rsidR="0069101F">
        <w:rPr>
          <w:rFonts w:ascii="Times New Roman" w:hAnsi="Times New Roman" w:cs="Times New Roman"/>
        </w:rPr>
        <w:t>were ‘</w:t>
      </w:r>
      <w:r w:rsidR="0069101F">
        <w:rPr>
          <w:rFonts w:ascii="Times New Roman" w:hAnsi="Times New Roman" w:cs="Times New Roman"/>
          <w:i/>
        </w:rPr>
        <w:t xml:space="preserve">the prototype’ </w:t>
      </w:r>
      <w:r w:rsidR="0069101F">
        <w:rPr>
          <w:rFonts w:ascii="Times New Roman" w:hAnsi="Times New Roman" w:cs="Times New Roman"/>
        </w:rPr>
        <w:t xml:space="preserve">adopted by the draftsman of </w:t>
      </w:r>
      <w:r w:rsidR="00FE047A">
        <w:rPr>
          <w:rFonts w:ascii="Times New Roman" w:hAnsi="Times New Roman" w:cs="Times New Roman"/>
        </w:rPr>
        <w:t>s.</w:t>
      </w:r>
      <w:r w:rsidR="00AD70EA">
        <w:rPr>
          <w:rFonts w:ascii="Times New Roman" w:hAnsi="Times New Roman" w:cs="Times New Roman"/>
        </w:rPr>
        <w:t xml:space="preserve"> </w:t>
      </w:r>
      <w:r w:rsidR="00FE047A">
        <w:rPr>
          <w:rFonts w:ascii="Times New Roman" w:hAnsi="Times New Roman" w:cs="Times New Roman"/>
        </w:rPr>
        <w:t xml:space="preserve">260 of the </w:t>
      </w:r>
      <w:r w:rsidRPr="00993471">
        <w:rPr>
          <w:rFonts w:ascii="Times New Roman" w:hAnsi="Times New Roman" w:cs="Times New Roman"/>
        </w:rPr>
        <w:t>Mental Treatment Act</w:t>
      </w:r>
      <w:r w:rsidR="005629A1">
        <w:rPr>
          <w:rFonts w:ascii="Times New Roman" w:hAnsi="Times New Roman" w:cs="Times New Roman"/>
        </w:rPr>
        <w:t xml:space="preserve"> </w:t>
      </w:r>
      <w:r w:rsidR="002B1791">
        <w:rPr>
          <w:rFonts w:ascii="Times New Roman" w:hAnsi="Times New Roman" w:cs="Times New Roman"/>
        </w:rPr>
        <w:t xml:space="preserve">enacted </w:t>
      </w:r>
      <w:r w:rsidR="005462C9">
        <w:rPr>
          <w:rFonts w:ascii="Times New Roman" w:hAnsi="Times New Roman" w:cs="Times New Roman"/>
        </w:rPr>
        <w:t xml:space="preserve">in </w:t>
      </w:r>
      <w:r w:rsidR="0069101F">
        <w:rPr>
          <w:rFonts w:ascii="Times New Roman" w:hAnsi="Times New Roman" w:cs="Times New Roman"/>
        </w:rPr>
        <w:t xml:space="preserve">this jurisdiction </w:t>
      </w:r>
      <w:r w:rsidR="005462C9">
        <w:rPr>
          <w:rFonts w:ascii="Times New Roman" w:hAnsi="Times New Roman" w:cs="Times New Roman"/>
        </w:rPr>
        <w:t xml:space="preserve">fifteen years later </w:t>
      </w:r>
      <w:r w:rsidR="00FE047A">
        <w:rPr>
          <w:rFonts w:ascii="Times New Roman" w:hAnsi="Times New Roman" w:cs="Times New Roman"/>
        </w:rPr>
        <w:t xml:space="preserve">(per </w:t>
      </w:r>
      <w:r w:rsidR="005629A1">
        <w:rPr>
          <w:rFonts w:ascii="Times New Roman" w:hAnsi="Times New Roman" w:cs="Times New Roman"/>
        </w:rPr>
        <w:t xml:space="preserve">Griffin </w:t>
      </w:r>
      <w:r w:rsidR="00FE047A">
        <w:rPr>
          <w:rFonts w:ascii="Times New Roman" w:hAnsi="Times New Roman" w:cs="Times New Roman"/>
        </w:rPr>
        <w:t xml:space="preserve">J. </w:t>
      </w:r>
      <w:r w:rsidR="00FE047A">
        <w:rPr>
          <w:rFonts w:ascii="Times New Roman" w:hAnsi="Times New Roman" w:cs="Times New Roman"/>
          <w:i/>
        </w:rPr>
        <w:t xml:space="preserve">O’Dowd v. The North Western Health Board </w:t>
      </w:r>
      <w:r w:rsidR="00FE047A">
        <w:rPr>
          <w:rFonts w:ascii="Times New Roman" w:hAnsi="Times New Roman" w:cs="Times New Roman"/>
        </w:rPr>
        <w:t>[198</w:t>
      </w:r>
      <w:r w:rsidR="00AD70EA">
        <w:rPr>
          <w:rFonts w:ascii="Times New Roman" w:hAnsi="Times New Roman" w:cs="Times New Roman"/>
        </w:rPr>
        <w:t>3</w:t>
      </w:r>
      <w:r w:rsidR="00FE047A">
        <w:rPr>
          <w:rFonts w:ascii="Times New Roman" w:hAnsi="Times New Roman" w:cs="Times New Roman"/>
        </w:rPr>
        <w:t>] ILRM 186 at p.</w:t>
      </w:r>
      <w:r w:rsidR="00AD70EA">
        <w:rPr>
          <w:rFonts w:ascii="Times New Roman" w:hAnsi="Times New Roman" w:cs="Times New Roman"/>
        </w:rPr>
        <w:t xml:space="preserve"> </w:t>
      </w:r>
      <w:r w:rsidR="00FE047A">
        <w:rPr>
          <w:rFonts w:ascii="Times New Roman" w:hAnsi="Times New Roman" w:cs="Times New Roman"/>
        </w:rPr>
        <w:t>19</w:t>
      </w:r>
      <w:r w:rsidR="005629A1">
        <w:rPr>
          <w:rFonts w:ascii="Times New Roman" w:hAnsi="Times New Roman" w:cs="Times New Roman"/>
        </w:rPr>
        <w:t>4</w:t>
      </w:r>
      <w:r w:rsidR="00AD70EA">
        <w:rPr>
          <w:rFonts w:ascii="Times New Roman" w:hAnsi="Times New Roman" w:cs="Times New Roman"/>
        </w:rPr>
        <w:t xml:space="preserve"> to</w:t>
      </w:r>
      <w:r w:rsidR="004B4EBD">
        <w:rPr>
          <w:rFonts w:ascii="Times New Roman" w:hAnsi="Times New Roman" w:cs="Times New Roman"/>
        </w:rPr>
        <w:t xml:space="preserve"> </w:t>
      </w:r>
      <w:r w:rsidR="005629A1">
        <w:rPr>
          <w:rFonts w:ascii="Times New Roman" w:hAnsi="Times New Roman" w:cs="Times New Roman"/>
        </w:rPr>
        <w:t>195</w:t>
      </w:r>
      <w:r w:rsidR="00437A89">
        <w:rPr>
          <w:rFonts w:ascii="Times New Roman" w:hAnsi="Times New Roman" w:cs="Times New Roman"/>
        </w:rPr>
        <w:t xml:space="preserve"> (‘</w:t>
      </w:r>
      <w:r w:rsidR="00437A89">
        <w:rPr>
          <w:rFonts w:ascii="Times New Roman" w:hAnsi="Times New Roman" w:cs="Times New Roman"/>
          <w:i/>
        </w:rPr>
        <w:t>O’Dowd’</w:t>
      </w:r>
      <w:r w:rsidR="00FE047A">
        <w:rPr>
          <w:rFonts w:ascii="Times New Roman" w:hAnsi="Times New Roman" w:cs="Times New Roman"/>
        </w:rPr>
        <w:t>)</w:t>
      </w:r>
      <w:r w:rsidR="00621410">
        <w:rPr>
          <w:rFonts w:ascii="Times New Roman" w:hAnsi="Times New Roman" w:cs="Times New Roman"/>
        </w:rPr>
        <w:t>)</w:t>
      </w:r>
      <w:r w:rsidR="00FE047A">
        <w:rPr>
          <w:rFonts w:ascii="Times New Roman" w:hAnsi="Times New Roman" w:cs="Times New Roman"/>
        </w:rPr>
        <w:t>.</w:t>
      </w:r>
    </w:p>
    <w:p w14:paraId="4692A884" w14:textId="77777777" w:rsidR="00FE047A" w:rsidRDefault="00FE047A" w:rsidP="00FE047A">
      <w:pPr>
        <w:pStyle w:val="ListParagraph"/>
        <w:spacing w:before="240" w:line="480" w:lineRule="auto"/>
        <w:jc w:val="both"/>
        <w:rPr>
          <w:rFonts w:ascii="Times New Roman" w:hAnsi="Times New Roman" w:cs="Times New Roman"/>
        </w:rPr>
      </w:pPr>
      <w:r>
        <w:rPr>
          <w:rFonts w:ascii="Times New Roman" w:hAnsi="Times New Roman" w:cs="Times New Roman"/>
        </w:rPr>
        <w:t xml:space="preserve">  </w:t>
      </w:r>
    </w:p>
    <w:p w14:paraId="03579EA2" w14:textId="44E16BCA" w:rsidR="00993471" w:rsidRPr="00993471" w:rsidRDefault="00FE047A"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T</w:t>
      </w:r>
      <w:r w:rsidR="00993471" w:rsidRPr="00993471">
        <w:rPr>
          <w:rFonts w:ascii="Times New Roman" w:hAnsi="Times New Roman" w:cs="Times New Roman"/>
        </w:rPr>
        <w:t xml:space="preserve">hat </w:t>
      </w:r>
      <w:r w:rsidR="00373AD8">
        <w:rPr>
          <w:rFonts w:ascii="Times New Roman" w:hAnsi="Times New Roman" w:cs="Times New Roman"/>
        </w:rPr>
        <w:t>section</w:t>
      </w:r>
      <w:r w:rsidR="004648CC">
        <w:rPr>
          <w:rFonts w:ascii="Times New Roman" w:hAnsi="Times New Roman" w:cs="Times New Roman"/>
        </w:rPr>
        <w:t xml:space="preserve"> </w:t>
      </w:r>
      <w:r w:rsidR="004648CC" w:rsidRPr="004648CC">
        <w:rPr>
          <w:rFonts w:ascii="Times New Roman" w:hAnsi="Times New Roman" w:cs="Times New Roman"/>
        </w:rPr>
        <w:t xml:space="preserve">(a) </w:t>
      </w:r>
      <w:r w:rsidR="00373AD8">
        <w:rPr>
          <w:rFonts w:ascii="Times New Roman" w:hAnsi="Times New Roman" w:cs="Times New Roman"/>
        </w:rPr>
        <w:t xml:space="preserve"> </w:t>
      </w:r>
      <w:r w:rsidR="00993471" w:rsidRPr="00993471">
        <w:rPr>
          <w:rFonts w:ascii="Times New Roman" w:hAnsi="Times New Roman" w:cs="Times New Roman"/>
        </w:rPr>
        <w:t>introduced a requirement that a plaintiff obtain leave of the High Court before instituting proceedings ‘</w:t>
      </w:r>
      <w:r w:rsidR="00993471" w:rsidRPr="00993471">
        <w:rPr>
          <w:rFonts w:ascii="Times New Roman" w:hAnsi="Times New Roman" w:cs="Times New Roman"/>
          <w:i/>
        </w:rPr>
        <w:t xml:space="preserve">in respect of an act purporting to have been done in pursuance of’ </w:t>
      </w:r>
      <w:r w:rsidR="00993471" w:rsidRPr="00993471">
        <w:rPr>
          <w:rFonts w:ascii="Times New Roman" w:hAnsi="Times New Roman" w:cs="Times New Roman"/>
        </w:rPr>
        <w:t xml:space="preserve">that Act, (b) limited the causes of action that might be invoked by a plaintiff </w:t>
      </w:r>
      <w:r w:rsidR="00621410">
        <w:rPr>
          <w:rFonts w:ascii="Times New Roman" w:hAnsi="Times New Roman" w:cs="Times New Roman"/>
        </w:rPr>
        <w:t>in such proceedings</w:t>
      </w:r>
      <w:r w:rsidR="00993471" w:rsidRPr="00993471">
        <w:rPr>
          <w:rFonts w:ascii="Times New Roman" w:hAnsi="Times New Roman" w:cs="Times New Roman"/>
        </w:rPr>
        <w:t xml:space="preserve"> to those in which it was claimed that the defendant ‘</w:t>
      </w:r>
      <w:r w:rsidR="00993471" w:rsidRPr="00993471">
        <w:rPr>
          <w:rFonts w:ascii="Times New Roman" w:hAnsi="Times New Roman" w:cs="Times New Roman"/>
          <w:i/>
        </w:rPr>
        <w:t xml:space="preserve">acted in bad faith or without reasonable care’ </w:t>
      </w:r>
      <w:r w:rsidR="00993471" w:rsidRPr="00993471">
        <w:rPr>
          <w:rFonts w:ascii="Times New Roman" w:hAnsi="Times New Roman" w:cs="Times New Roman"/>
        </w:rPr>
        <w:t>and (c) conditioned the grant of such leave by imposing a requirement that there be ‘</w:t>
      </w:r>
      <w:r w:rsidR="00993471" w:rsidRPr="00993471">
        <w:rPr>
          <w:rFonts w:ascii="Times New Roman" w:hAnsi="Times New Roman" w:cs="Times New Roman"/>
          <w:i/>
        </w:rPr>
        <w:t xml:space="preserve">substantial grounds for contending’ </w:t>
      </w:r>
      <w:r w:rsidR="00993471" w:rsidRPr="00993471">
        <w:rPr>
          <w:rFonts w:ascii="Times New Roman" w:hAnsi="Times New Roman" w:cs="Times New Roman"/>
        </w:rPr>
        <w:t xml:space="preserve">that the proposed defendant had thus acted.  </w:t>
      </w:r>
    </w:p>
    <w:p w14:paraId="536D55B0" w14:textId="77777777" w:rsidR="00993471" w:rsidRPr="00993471" w:rsidRDefault="00993471" w:rsidP="00993471">
      <w:pPr>
        <w:pStyle w:val="ListParagraph"/>
        <w:spacing w:before="240" w:line="480" w:lineRule="auto"/>
        <w:jc w:val="both"/>
        <w:rPr>
          <w:rFonts w:ascii="Times New Roman" w:hAnsi="Times New Roman" w:cs="Times New Roman"/>
        </w:rPr>
      </w:pPr>
      <w:r w:rsidRPr="00993471">
        <w:rPr>
          <w:rFonts w:ascii="Times New Roman" w:hAnsi="Times New Roman" w:cs="Times New Roman"/>
        </w:rPr>
        <w:t xml:space="preserve">  </w:t>
      </w:r>
    </w:p>
    <w:p w14:paraId="247D1A8E" w14:textId="77777777" w:rsidR="00993471" w:rsidRPr="00993471" w:rsidRDefault="00993471" w:rsidP="00993471">
      <w:pPr>
        <w:pStyle w:val="ListParagraph"/>
        <w:numPr>
          <w:ilvl w:val="0"/>
          <w:numId w:val="4"/>
        </w:numPr>
        <w:spacing w:before="240" w:line="480" w:lineRule="auto"/>
        <w:jc w:val="both"/>
        <w:rPr>
          <w:rFonts w:ascii="Times New Roman" w:hAnsi="Times New Roman" w:cs="Times New Roman"/>
        </w:rPr>
      </w:pPr>
      <w:r w:rsidRPr="00993471">
        <w:rPr>
          <w:rFonts w:ascii="Times New Roman" w:hAnsi="Times New Roman" w:cs="Times New Roman"/>
        </w:rPr>
        <w:t xml:space="preserve">The rationale for the legislation was described by Henchy J. in the course of his judgment in </w:t>
      </w:r>
      <w:r w:rsidRPr="00993471">
        <w:rPr>
          <w:rFonts w:ascii="Times New Roman" w:hAnsi="Times New Roman" w:cs="Times New Roman"/>
          <w:i/>
        </w:rPr>
        <w:t xml:space="preserve">O’Dowd </w:t>
      </w:r>
      <w:r w:rsidR="008C0212">
        <w:rPr>
          <w:rFonts w:ascii="Times New Roman" w:hAnsi="Times New Roman" w:cs="Times New Roman"/>
        </w:rPr>
        <w:t xml:space="preserve">at p. </w:t>
      </w:r>
      <w:r w:rsidRPr="00993471">
        <w:rPr>
          <w:rFonts w:ascii="Times New Roman" w:hAnsi="Times New Roman" w:cs="Times New Roman"/>
        </w:rPr>
        <w:t>196:</w:t>
      </w:r>
    </w:p>
    <w:p w14:paraId="6E70765A" w14:textId="77777777" w:rsidR="00993471" w:rsidRPr="00993471" w:rsidRDefault="00993471" w:rsidP="00993471">
      <w:pPr>
        <w:pStyle w:val="ListParagraph"/>
        <w:rPr>
          <w:rFonts w:ascii="Times New Roman" w:hAnsi="Times New Roman" w:cs="Times New Roman"/>
        </w:rPr>
      </w:pPr>
    </w:p>
    <w:p w14:paraId="6B794072" w14:textId="77777777" w:rsidR="00993471" w:rsidRPr="00993471" w:rsidRDefault="00993471" w:rsidP="00993471">
      <w:pPr>
        <w:spacing w:before="240" w:line="480" w:lineRule="auto"/>
        <w:ind w:left="1440"/>
        <w:jc w:val="both"/>
        <w:rPr>
          <w:u w:val="single"/>
        </w:rPr>
      </w:pPr>
      <w:r w:rsidRPr="00993471">
        <w:lastRenderedPageBreak/>
        <w:t>‘</w:t>
      </w:r>
      <w:r w:rsidRPr="00993471">
        <w:rPr>
          <w:i/>
        </w:rPr>
        <w:t>It is an unfortunate syndrome of certain kinds of mental illness that a patient compulsorily detained in a mental hospital for treatment conceives a deep</w:t>
      </w:r>
      <w:r>
        <w:rPr>
          <w:i/>
        </w:rPr>
        <w:t>-</w:t>
      </w:r>
      <w:r w:rsidRPr="00993471">
        <w:rPr>
          <w:i/>
        </w:rPr>
        <w:t>seated but quite unjustified conviction that his detention was unnecessary, even malevolent or unlawful, and that what he considers to be victimisation should give him a good cause of action for damages.  The undesirability of giving free rein in the courts to such a delusional obsession is recognised by s. 260 of the Mental Treatment Act 1945</w:t>
      </w:r>
      <w:r w:rsidR="008C0212">
        <w:rPr>
          <w:i/>
        </w:rPr>
        <w:t>.</w:t>
      </w:r>
      <w:r w:rsidRPr="00993471">
        <w:rPr>
          <w:i/>
        </w:rPr>
        <w:t>’</w:t>
      </w:r>
      <w:r w:rsidRPr="00993471">
        <w:t xml:space="preserve"> </w:t>
      </w:r>
      <w:r w:rsidR="00FE047A">
        <w:rPr>
          <w:rStyle w:val="FootnoteReference"/>
        </w:rPr>
        <w:footnoteReference w:id="1"/>
      </w:r>
      <w:r w:rsidR="00FE047A" w:rsidRPr="00993471">
        <w:t xml:space="preserve"> </w:t>
      </w:r>
      <w:r w:rsidRPr="00993471">
        <w:t xml:space="preserve"> </w:t>
      </w:r>
    </w:p>
    <w:p w14:paraId="25AA4908" w14:textId="77777777" w:rsidR="00993471" w:rsidRPr="00993471" w:rsidRDefault="00993471" w:rsidP="00993471">
      <w:pPr>
        <w:pStyle w:val="ListParagraph"/>
        <w:rPr>
          <w:rFonts w:ascii="Times New Roman" w:hAnsi="Times New Roman" w:cs="Times New Roman"/>
        </w:rPr>
      </w:pPr>
    </w:p>
    <w:p w14:paraId="10C075E0" w14:textId="77777777" w:rsidR="00993471" w:rsidRDefault="00F95353"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While different language might be used today, the essential justification underlying the legislation as so explained demonstrates the extremity of the situation with which the Oireachtas was concerned. </w:t>
      </w:r>
      <w:r w:rsidR="00165096">
        <w:rPr>
          <w:rFonts w:ascii="Times New Roman" w:hAnsi="Times New Roman" w:cs="Times New Roman"/>
        </w:rPr>
        <w:t xml:space="preserve"> </w:t>
      </w:r>
      <w:r w:rsidR="00BB2DFF">
        <w:rPr>
          <w:rFonts w:ascii="Times New Roman" w:hAnsi="Times New Roman" w:cs="Times New Roman"/>
        </w:rPr>
        <w:t xml:space="preserve">It was in that context that </w:t>
      </w:r>
      <w:r>
        <w:rPr>
          <w:rFonts w:ascii="Times New Roman" w:hAnsi="Times New Roman" w:cs="Times New Roman"/>
        </w:rPr>
        <w:t xml:space="preserve">Henchy J. </w:t>
      </w:r>
      <w:r w:rsidR="00993471" w:rsidRPr="00993471">
        <w:rPr>
          <w:rFonts w:ascii="Times New Roman" w:hAnsi="Times New Roman" w:cs="Times New Roman"/>
        </w:rPr>
        <w:t>recognised a trade</w:t>
      </w:r>
      <w:r w:rsidR="003A5A38">
        <w:rPr>
          <w:rFonts w:ascii="Times New Roman" w:hAnsi="Times New Roman" w:cs="Times New Roman"/>
        </w:rPr>
        <w:t>-</w:t>
      </w:r>
      <w:r w:rsidR="00993471" w:rsidRPr="00993471">
        <w:rPr>
          <w:rFonts w:ascii="Times New Roman" w:hAnsi="Times New Roman" w:cs="Times New Roman"/>
        </w:rPr>
        <w:t xml:space="preserve">off </w:t>
      </w:r>
      <w:r w:rsidR="003A5A38">
        <w:rPr>
          <w:rFonts w:ascii="Times New Roman" w:hAnsi="Times New Roman" w:cs="Times New Roman"/>
        </w:rPr>
        <w:t xml:space="preserve">of sorts </w:t>
      </w:r>
      <w:r w:rsidR="00993471" w:rsidRPr="00993471">
        <w:rPr>
          <w:rFonts w:ascii="Times New Roman" w:hAnsi="Times New Roman" w:cs="Times New Roman"/>
        </w:rPr>
        <w:t xml:space="preserve">within the </w:t>
      </w:r>
      <w:r w:rsidR="00437A89">
        <w:rPr>
          <w:rFonts w:ascii="Times New Roman" w:hAnsi="Times New Roman" w:cs="Times New Roman"/>
        </w:rPr>
        <w:t>1945 Act</w:t>
      </w:r>
      <w:r w:rsidR="00993471" w:rsidRPr="00993471">
        <w:rPr>
          <w:rFonts w:ascii="Times New Roman" w:hAnsi="Times New Roman" w:cs="Times New Roman"/>
        </w:rPr>
        <w:t xml:space="preserve">.  Whatever the constraints attending the institution of legal proceedings by a person the subject of involuntary committal, the process of such committal is a grave one significantly impacting the liberty and dignity of a person subjected to it.  It is thus </w:t>
      </w:r>
      <w:r w:rsidR="00207DB7">
        <w:rPr>
          <w:rFonts w:ascii="Times New Roman" w:hAnsi="Times New Roman" w:cs="Times New Roman"/>
        </w:rPr>
        <w:t xml:space="preserve">conditioned by </w:t>
      </w:r>
      <w:r w:rsidR="00993471" w:rsidRPr="00993471">
        <w:rPr>
          <w:rFonts w:ascii="Times New Roman" w:hAnsi="Times New Roman" w:cs="Times New Roman"/>
        </w:rPr>
        <w:t>important and necessary procedural requirements.  Many of these are preconditions to the legality of the detention that follows, and a want of care in compliance with some of them may in certain circumstances give rise to civil liability on the part of those responsible for such negligence</w:t>
      </w:r>
      <w:r w:rsidR="00376919">
        <w:rPr>
          <w:rFonts w:ascii="Times New Roman" w:hAnsi="Times New Roman" w:cs="Times New Roman"/>
        </w:rPr>
        <w:t xml:space="preserve"> and/or in false imprisonment (</w:t>
      </w:r>
      <w:r w:rsidR="00437A89">
        <w:rPr>
          <w:rFonts w:ascii="Times New Roman" w:hAnsi="Times New Roman" w:cs="Times New Roman"/>
          <w:i/>
        </w:rPr>
        <w:t xml:space="preserve">O’Dowd </w:t>
      </w:r>
      <w:r w:rsidR="00376919">
        <w:rPr>
          <w:rFonts w:ascii="Times New Roman" w:hAnsi="Times New Roman" w:cs="Times New Roman"/>
        </w:rPr>
        <w:t>at p.204)</w:t>
      </w:r>
      <w:r w:rsidR="00993471" w:rsidRPr="00993471">
        <w:rPr>
          <w:rFonts w:ascii="Times New Roman" w:hAnsi="Times New Roman" w:cs="Times New Roman"/>
        </w:rPr>
        <w:t xml:space="preserve">.  The reasons are obvious </w:t>
      </w:r>
      <w:r w:rsidR="00993471" w:rsidRPr="00993471">
        <w:rPr>
          <w:rFonts w:ascii="Times New Roman" w:hAnsi="Times New Roman" w:cs="Times New Roman"/>
        </w:rPr>
        <w:lastRenderedPageBreak/>
        <w:t>(</w:t>
      </w:r>
      <w:r w:rsidR="008C0212">
        <w:rPr>
          <w:rFonts w:ascii="Times New Roman" w:hAnsi="Times New Roman" w:cs="Times New Roman"/>
          <w:i/>
          <w:iCs/>
        </w:rPr>
        <w:t>O’Dowd</w:t>
      </w:r>
      <w:r w:rsidR="00993471" w:rsidRPr="00993471">
        <w:rPr>
          <w:rFonts w:ascii="Times New Roman" w:hAnsi="Times New Roman" w:cs="Times New Roman"/>
        </w:rPr>
        <w:t xml:space="preserve"> at </w:t>
      </w:r>
      <w:r w:rsidR="008C0212">
        <w:rPr>
          <w:rFonts w:ascii="Times New Roman" w:hAnsi="Times New Roman" w:cs="Times New Roman"/>
        </w:rPr>
        <w:t xml:space="preserve">p. </w:t>
      </w:r>
      <w:r w:rsidR="00993471" w:rsidRPr="00993471">
        <w:rPr>
          <w:rFonts w:ascii="Times New Roman" w:hAnsi="Times New Roman" w:cs="Times New Roman"/>
        </w:rPr>
        <w:t xml:space="preserve">205, referring to Articles 40.3.1 and 40.4.2 of the Constitution and </w:t>
      </w:r>
      <w:r w:rsidR="00993471" w:rsidRPr="00993471">
        <w:rPr>
          <w:rFonts w:ascii="Times New Roman" w:hAnsi="Times New Roman" w:cs="Times New Roman"/>
          <w:i/>
        </w:rPr>
        <w:t xml:space="preserve">Re Phillip Clarke </w:t>
      </w:r>
      <w:r w:rsidR="00993471" w:rsidRPr="00993471">
        <w:rPr>
          <w:rFonts w:ascii="Times New Roman" w:hAnsi="Times New Roman" w:cs="Times New Roman"/>
        </w:rPr>
        <w:t>[1950] IR 235):</w:t>
      </w:r>
    </w:p>
    <w:p w14:paraId="4276CE2B" w14:textId="77777777" w:rsidR="00993471" w:rsidRPr="00993471" w:rsidRDefault="00993471" w:rsidP="00993471">
      <w:pPr>
        <w:pStyle w:val="ListParagraph"/>
        <w:spacing w:before="240" w:line="480" w:lineRule="auto"/>
        <w:jc w:val="both"/>
        <w:rPr>
          <w:rFonts w:ascii="Times New Roman" w:hAnsi="Times New Roman" w:cs="Times New Roman"/>
        </w:rPr>
      </w:pPr>
    </w:p>
    <w:p w14:paraId="62D01F83" w14:textId="77777777" w:rsidR="00993471" w:rsidRDefault="00993471" w:rsidP="00993471">
      <w:pPr>
        <w:pStyle w:val="ListParagraph"/>
        <w:spacing w:line="480" w:lineRule="auto"/>
        <w:ind w:left="1440"/>
        <w:jc w:val="both"/>
        <w:rPr>
          <w:rFonts w:ascii="Times New Roman" w:hAnsi="Times New Roman" w:cs="Times New Roman"/>
          <w:i/>
        </w:rPr>
      </w:pPr>
      <w:r w:rsidRPr="00993471">
        <w:rPr>
          <w:rFonts w:ascii="Times New Roman" w:hAnsi="Times New Roman" w:cs="Times New Roman"/>
        </w:rPr>
        <w:t>‘</w:t>
      </w:r>
      <w:r w:rsidRPr="00993471">
        <w:rPr>
          <w:rFonts w:ascii="Times New Roman" w:hAnsi="Times New Roman" w:cs="Times New Roman"/>
          <w:i/>
        </w:rPr>
        <w:t xml:space="preserve">It was the implementation of these constitutional guarantees that caused the Legislature to hedge round the making of a chargeable patient reception order with the formalities mandated by the Act and the regulations made </w:t>
      </w:r>
      <w:r w:rsidR="008C0212">
        <w:rPr>
          <w:rFonts w:ascii="Times New Roman" w:hAnsi="Times New Roman" w:cs="Times New Roman"/>
          <w:i/>
        </w:rPr>
        <w:t xml:space="preserve">under it </w:t>
      </w:r>
      <w:r w:rsidRPr="00993471">
        <w:rPr>
          <w:rFonts w:ascii="Times New Roman" w:hAnsi="Times New Roman" w:cs="Times New Roman"/>
          <w:i/>
        </w:rPr>
        <w:t xml:space="preserve">.  As </w:t>
      </w:r>
      <w:r w:rsidRPr="00993471">
        <w:rPr>
          <w:rFonts w:ascii="Times New Roman" w:hAnsi="Times New Roman" w:cs="Times New Roman"/>
          <w:i/>
          <w:u w:val="single"/>
        </w:rPr>
        <w:t>Clarke’s</w:t>
      </w:r>
      <w:r w:rsidRPr="00993471">
        <w:rPr>
          <w:rFonts w:ascii="Times New Roman" w:hAnsi="Times New Roman" w:cs="Times New Roman"/>
          <w:i/>
        </w:rPr>
        <w:t xml:space="preserve"> case shows, some of those formalities are only formalities; </w:t>
      </w:r>
      <w:r w:rsidR="008C0212">
        <w:rPr>
          <w:rFonts w:ascii="Times New Roman" w:hAnsi="Times New Roman" w:cs="Times New Roman"/>
          <w:i/>
        </w:rPr>
        <w:t>but</w:t>
      </w:r>
      <w:r w:rsidRPr="00993471">
        <w:rPr>
          <w:rFonts w:ascii="Times New Roman" w:hAnsi="Times New Roman" w:cs="Times New Roman"/>
          <w:i/>
        </w:rPr>
        <w:t xml:space="preserve"> others are clearly obligatory, designed to implement the constitutional guarantees I have quoted, and in particular to ensure that, not even for a short period, will a citizen be unnecessarily deprived of his liberty and condemned to the tragic and degrading status of a compulsory inmate of a mental hospital, with the dire social consequences that such a fate is likely to have on his future and on that of his relations’.</w:t>
      </w:r>
    </w:p>
    <w:p w14:paraId="6555C0E6" w14:textId="77777777" w:rsidR="00993471" w:rsidRPr="00993471" w:rsidRDefault="00993471" w:rsidP="00993471">
      <w:pPr>
        <w:pStyle w:val="ListParagraph"/>
        <w:spacing w:line="480" w:lineRule="auto"/>
        <w:ind w:left="1440"/>
        <w:jc w:val="both"/>
        <w:rPr>
          <w:rFonts w:ascii="Times New Roman" w:hAnsi="Times New Roman" w:cs="Times New Roman"/>
        </w:rPr>
      </w:pPr>
      <w:r w:rsidRPr="00993471">
        <w:rPr>
          <w:rFonts w:ascii="Times New Roman" w:hAnsi="Times New Roman" w:cs="Times New Roman"/>
        </w:rPr>
        <w:t xml:space="preserve">  </w:t>
      </w:r>
    </w:p>
    <w:p w14:paraId="25D62F5E" w14:textId="09785560" w:rsidR="00993471" w:rsidRPr="00993471" w:rsidRDefault="00993471" w:rsidP="00993471">
      <w:pPr>
        <w:pStyle w:val="ListParagraph"/>
        <w:numPr>
          <w:ilvl w:val="0"/>
          <w:numId w:val="4"/>
        </w:numPr>
        <w:spacing w:before="240" w:line="480" w:lineRule="auto"/>
        <w:jc w:val="both"/>
        <w:rPr>
          <w:rFonts w:ascii="Times New Roman" w:hAnsi="Times New Roman" w:cs="Times New Roman"/>
        </w:rPr>
      </w:pPr>
      <w:r w:rsidRPr="00993471">
        <w:rPr>
          <w:rFonts w:ascii="Times New Roman" w:hAnsi="Times New Roman" w:cs="Times New Roman"/>
        </w:rPr>
        <w:t xml:space="preserve">While one might hope that the social consequences of such </w:t>
      </w:r>
      <w:r w:rsidR="009A1678">
        <w:rPr>
          <w:rFonts w:ascii="Times New Roman" w:hAnsi="Times New Roman" w:cs="Times New Roman"/>
        </w:rPr>
        <w:t>involuntary committal</w:t>
      </w:r>
      <w:r w:rsidRPr="00993471">
        <w:rPr>
          <w:rFonts w:ascii="Times New Roman" w:hAnsi="Times New Roman" w:cs="Times New Roman"/>
        </w:rPr>
        <w:t xml:space="preserve"> have been softened by time, experience and </w:t>
      </w:r>
      <w:r>
        <w:rPr>
          <w:rFonts w:ascii="Times New Roman" w:hAnsi="Times New Roman" w:cs="Times New Roman"/>
        </w:rPr>
        <w:t xml:space="preserve">attitudinal </w:t>
      </w:r>
      <w:r w:rsidRPr="00993471">
        <w:rPr>
          <w:rFonts w:ascii="Times New Roman" w:hAnsi="Times New Roman" w:cs="Times New Roman"/>
        </w:rPr>
        <w:t xml:space="preserve">change the central thesis of this dissent </w:t>
      </w:r>
      <w:r w:rsidR="008B7B90">
        <w:rPr>
          <w:rFonts w:ascii="Times New Roman" w:hAnsi="Times New Roman" w:cs="Times New Roman"/>
        </w:rPr>
        <w:t>was important</w:t>
      </w:r>
      <w:r w:rsidRPr="00993471">
        <w:rPr>
          <w:rFonts w:ascii="Times New Roman" w:hAnsi="Times New Roman" w:cs="Times New Roman"/>
        </w:rPr>
        <w:t>.  The majority judgment</w:t>
      </w:r>
      <w:r w:rsidR="00376919">
        <w:rPr>
          <w:rFonts w:ascii="Times New Roman" w:hAnsi="Times New Roman" w:cs="Times New Roman"/>
        </w:rPr>
        <w:t>s</w:t>
      </w:r>
      <w:r w:rsidRPr="00993471">
        <w:rPr>
          <w:rFonts w:ascii="Times New Roman" w:hAnsi="Times New Roman" w:cs="Times New Roman"/>
        </w:rPr>
        <w:t xml:space="preserve"> (O’Higgins CJ</w:t>
      </w:r>
      <w:r w:rsidR="00045063">
        <w:rPr>
          <w:rFonts w:ascii="Times New Roman" w:hAnsi="Times New Roman" w:cs="Times New Roman"/>
        </w:rPr>
        <w:t>.</w:t>
      </w:r>
      <w:r w:rsidRPr="00993471">
        <w:rPr>
          <w:rFonts w:ascii="Times New Roman" w:hAnsi="Times New Roman" w:cs="Times New Roman"/>
        </w:rPr>
        <w:t xml:space="preserve"> with whom Griffin J. agreed) allowed an appeal against a </w:t>
      </w:r>
      <w:r w:rsidR="00376919">
        <w:rPr>
          <w:rFonts w:ascii="Times New Roman" w:hAnsi="Times New Roman" w:cs="Times New Roman"/>
        </w:rPr>
        <w:t xml:space="preserve">decision </w:t>
      </w:r>
      <w:r w:rsidRPr="00993471">
        <w:rPr>
          <w:rFonts w:ascii="Times New Roman" w:hAnsi="Times New Roman" w:cs="Times New Roman"/>
        </w:rPr>
        <w:t xml:space="preserve">of Costello J. granting leave to the applicant to institute proceedings against a medical practitioner who </w:t>
      </w:r>
      <w:r w:rsidR="00376919">
        <w:rPr>
          <w:rFonts w:ascii="Times New Roman" w:hAnsi="Times New Roman" w:cs="Times New Roman"/>
        </w:rPr>
        <w:t xml:space="preserve">(as Henchy J. described the sequence) </w:t>
      </w:r>
      <w:r w:rsidRPr="00993471">
        <w:rPr>
          <w:rFonts w:ascii="Times New Roman" w:hAnsi="Times New Roman" w:cs="Times New Roman"/>
        </w:rPr>
        <w:t xml:space="preserve">had failed to comply with statutory requirements mandating examination of the patient upon arrival at a hospital, failed to ensure the reception order was made upon the arrival of the patient, failed to advise the patient of his entitlement to obtain in-patient treatment on a voluntary basis, and failed to complete an examination on his arrival </w:t>
      </w:r>
      <w:r w:rsidR="005B5FB5">
        <w:rPr>
          <w:rFonts w:ascii="Times New Roman" w:hAnsi="Times New Roman" w:cs="Times New Roman"/>
        </w:rPr>
        <w:t>as</w:t>
      </w:r>
      <w:r w:rsidRPr="00993471">
        <w:rPr>
          <w:rFonts w:ascii="Times New Roman" w:hAnsi="Times New Roman" w:cs="Times New Roman"/>
        </w:rPr>
        <w:t xml:space="preserve"> he had represented in the reception order he had done.  There were, the majority found, no substantive grounds for the plaintiff’s contention </w:t>
      </w:r>
      <w:r w:rsidRPr="00993471">
        <w:rPr>
          <w:rFonts w:ascii="Times New Roman" w:hAnsi="Times New Roman" w:cs="Times New Roman"/>
        </w:rPr>
        <w:lastRenderedPageBreak/>
        <w:t>that the medical practitioner had acted without reasonable care, O’Higgins CJ</w:t>
      </w:r>
      <w:r w:rsidR="005B5FB5">
        <w:rPr>
          <w:rFonts w:ascii="Times New Roman" w:hAnsi="Times New Roman" w:cs="Times New Roman"/>
        </w:rPr>
        <w:t>.</w:t>
      </w:r>
      <w:r w:rsidRPr="00993471">
        <w:rPr>
          <w:rFonts w:ascii="Times New Roman" w:hAnsi="Times New Roman" w:cs="Times New Roman"/>
        </w:rPr>
        <w:t xml:space="preserve"> observing </w:t>
      </w:r>
      <w:r w:rsidR="005B5FB5">
        <w:rPr>
          <w:rFonts w:ascii="Times New Roman" w:hAnsi="Times New Roman" w:cs="Times New Roman"/>
        </w:rPr>
        <w:t xml:space="preserve">(at p. 190) </w:t>
      </w:r>
      <w:r w:rsidRPr="00993471">
        <w:rPr>
          <w:rFonts w:ascii="Times New Roman" w:hAnsi="Times New Roman" w:cs="Times New Roman"/>
        </w:rPr>
        <w:t>that the provision did not seem to be ‘</w:t>
      </w:r>
      <w:r w:rsidRPr="00993471">
        <w:rPr>
          <w:rFonts w:ascii="Times New Roman" w:hAnsi="Times New Roman" w:cs="Times New Roman"/>
          <w:i/>
        </w:rPr>
        <w:t>unduly restrictive or unreasonable’</w:t>
      </w:r>
      <w:r w:rsidRPr="00993471">
        <w:rPr>
          <w:rFonts w:ascii="Times New Roman" w:hAnsi="Times New Roman" w:cs="Times New Roman"/>
        </w:rPr>
        <w:t>.</w:t>
      </w:r>
    </w:p>
    <w:p w14:paraId="24E3EDA3" w14:textId="77777777" w:rsidR="00993471" w:rsidRPr="00993471" w:rsidRDefault="00993471" w:rsidP="00993471">
      <w:pPr>
        <w:pStyle w:val="ListParagraph"/>
        <w:spacing w:before="240" w:line="480" w:lineRule="auto"/>
        <w:jc w:val="both"/>
        <w:rPr>
          <w:rFonts w:ascii="Times New Roman" w:hAnsi="Times New Roman" w:cs="Times New Roman"/>
        </w:rPr>
      </w:pPr>
      <w:r w:rsidRPr="00993471">
        <w:rPr>
          <w:rFonts w:ascii="Times New Roman" w:hAnsi="Times New Roman" w:cs="Times New Roman"/>
        </w:rPr>
        <w:t xml:space="preserve">  </w:t>
      </w:r>
    </w:p>
    <w:p w14:paraId="57203A70" w14:textId="77777777" w:rsidR="00993471" w:rsidRPr="00993471" w:rsidRDefault="00993471" w:rsidP="00993471">
      <w:pPr>
        <w:pStyle w:val="ListParagraph"/>
        <w:numPr>
          <w:ilvl w:val="0"/>
          <w:numId w:val="4"/>
        </w:numPr>
        <w:spacing w:before="240" w:line="480" w:lineRule="auto"/>
        <w:jc w:val="both"/>
        <w:rPr>
          <w:rFonts w:ascii="Times New Roman" w:hAnsi="Times New Roman" w:cs="Times New Roman"/>
        </w:rPr>
      </w:pPr>
      <w:r w:rsidRPr="00993471">
        <w:rPr>
          <w:rFonts w:ascii="Times New Roman" w:hAnsi="Times New Roman" w:cs="Times New Roman"/>
        </w:rPr>
        <w:t xml:space="preserve">The court may have adopted a different view of the legislation when in </w:t>
      </w:r>
      <w:proofErr w:type="spellStart"/>
      <w:r w:rsidRPr="00993471">
        <w:rPr>
          <w:rFonts w:ascii="Times New Roman" w:hAnsi="Times New Roman" w:cs="Times New Roman"/>
          <w:i/>
        </w:rPr>
        <w:t>Blehein</w:t>
      </w:r>
      <w:proofErr w:type="spellEnd"/>
      <w:r w:rsidRPr="00993471">
        <w:rPr>
          <w:rFonts w:ascii="Times New Roman" w:hAnsi="Times New Roman" w:cs="Times New Roman"/>
          <w:i/>
        </w:rPr>
        <w:t xml:space="preserve"> v. Minister for Health and Children and </w:t>
      </w:r>
      <w:proofErr w:type="spellStart"/>
      <w:r w:rsidRPr="00993471">
        <w:rPr>
          <w:rFonts w:ascii="Times New Roman" w:hAnsi="Times New Roman" w:cs="Times New Roman"/>
          <w:i/>
        </w:rPr>
        <w:t>ors</w:t>
      </w:r>
      <w:proofErr w:type="spellEnd"/>
      <w:r w:rsidRPr="00993471">
        <w:rPr>
          <w:rFonts w:ascii="Times New Roman" w:hAnsi="Times New Roman" w:cs="Times New Roman"/>
          <w:i/>
        </w:rPr>
        <w:t xml:space="preserve">. </w:t>
      </w:r>
      <w:r w:rsidRPr="00993471">
        <w:rPr>
          <w:rFonts w:ascii="Times New Roman" w:hAnsi="Times New Roman" w:cs="Times New Roman"/>
        </w:rPr>
        <w:t>[2008] IESC 40, [2009] 1 IR 275, s</w:t>
      </w:r>
      <w:r w:rsidR="005B5FB5">
        <w:rPr>
          <w:rFonts w:ascii="Times New Roman" w:hAnsi="Times New Roman" w:cs="Times New Roman"/>
        </w:rPr>
        <w:t xml:space="preserve">. </w:t>
      </w:r>
      <w:r w:rsidRPr="00993471">
        <w:rPr>
          <w:rFonts w:ascii="Times New Roman" w:hAnsi="Times New Roman" w:cs="Times New Roman"/>
        </w:rPr>
        <w:t xml:space="preserve"> 260 was declared invalid having regard to the provisions of the Constitution.  The legislation </w:t>
      </w:r>
      <w:r w:rsidR="00606DB4">
        <w:rPr>
          <w:rFonts w:ascii="Times New Roman" w:hAnsi="Times New Roman" w:cs="Times New Roman"/>
        </w:rPr>
        <w:t xml:space="preserve">was found to have </w:t>
      </w:r>
      <w:r w:rsidRPr="00993471">
        <w:rPr>
          <w:rFonts w:ascii="Times New Roman" w:hAnsi="Times New Roman" w:cs="Times New Roman"/>
        </w:rPr>
        <w:t xml:space="preserve">had a legitimate purpose – preventing persons who </w:t>
      </w:r>
      <w:r w:rsidR="005B5FB5">
        <w:rPr>
          <w:rFonts w:ascii="Times New Roman" w:hAnsi="Times New Roman" w:cs="Times New Roman"/>
        </w:rPr>
        <w:t>are</w:t>
      </w:r>
      <w:r w:rsidRPr="00993471">
        <w:rPr>
          <w:rFonts w:ascii="Times New Roman" w:hAnsi="Times New Roman" w:cs="Times New Roman"/>
        </w:rPr>
        <w:t xml:space="preserve"> or have been thought to be mentally ill from mounting a vexatious action or one based on imagined complaints</w:t>
      </w:r>
      <w:r w:rsidR="00C7223B">
        <w:rPr>
          <w:rFonts w:ascii="Times New Roman" w:hAnsi="Times New Roman" w:cs="Times New Roman"/>
        </w:rPr>
        <w:t xml:space="preserve"> -</w:t>
      </w:r>
      <w:r w:rsidRPr="00993471">
        <w:rPr>
          <w:rFonts w:ascii="Times New Roman" w:hAnsi="Times New Roman" w:cs="Times New Roman"/>
        </w:rPr>
        <w:t xml:space="preserve"> but the restriction on the constitutional right to litigate around an alleged infringement of the right to liberty was disproportionate.  While the judgment of the court </w:t>
      </w:r>
      <w:r w:rsidR="00211C3D">
        <w:rPr>
          <w:rFonts w:ascii="Times New Roman" w:hAnsi="Times New Roman" w:cs="Times New Roman"/>
        </w:rPr>
        <w:t>is brief,</w:t>
      </w:r>
      <w:r w:rsidRPr="00993471">
        <w:rPr>
          <w:rFonts w:ascii="Times New Roman" w:hAnsi="Times New Roman" w:cs="Times New Roman"/>
        </w:rPr>
        <w:t xml:space="preserve"> the essential reason</w:t>
      </w:r>
      <w:r w:rsidR="0005215C">
        <w:rPr>
          <w:rFonts w:ascii="Times New Roman" w:hAnsi="Times New Roman" w:cs="Times New Roman"/>
        </w:rPr>
        <w:t>s</w:t>
      </w:r>
      <w:r w:rsidRPr="00993471">
        <w:rPr>
          <w:rFonts w:ascii="Times New Roman" w:hAnsi="Times New Roman" w:cs="Times New Roman"/>
        </w:rPr>
        <w:t xml:space="preserve"> for its view that the provision was arbitrary and thus unfair are not difficult to discern.  </w:t>
      </w:r>
      <w:r w:rsidR="00211C3D">
        <w:rPr>
          <w:rFonts w:ascii="Times New Roman" w:hAnsi="Times New Roman" w:cs="Times New Roman"/>
        </w:rPr>
        <w:t>The section</w:t>
      </w:r>
      <w:r w:rsidRPr="00993471">
        <w:rPr>
          <w:rFonts w:ascii="Times New Roman" w:hAnsi="Times New Roman" w:cs="Times New Roman"/>
        </w:rPr>
        <w:t xml:space="preserve"> enabled only two grounds of application and imposed a requirement of ‘</w:t>
      </w:r>
      <w:r w:rsidRPr="00993471">
        <w:rPr>
          <w:rFonts w:ascii="Times New Roman" w:hAnsi="Times New Roman" w:cs="Times New Roman"/>
          <w:i/>
        </w:rPr>
        <w:t>substantial grounds’</w:t>
      </w:r>
      <w:r w:rsidRPr="00993471">
        <w:rPr>
          <w:rFonts w:ascii="Times New Roman" w:hAnsi="Times New Roman" w:cs="Times New Roman"/>
        </w:rPr>
        <w:t xml:space="preserve"> combining these with a scheme which imposed the burden of justifying the proceedings at an early stage.  For this reason, the legislation did not ‘</w:t>
      </w:r>
      <w:r w:rsidRPr="00993471">
        <w:rPr>
          <w:rFonts w:ascii="Times New Roman" w:hAnsi="Times New Roman" w:cs="Times New Roman"/>
          <w:i/>
        </w:rPr>
        <w:t>impair the rights involved as little as possible and so the effect on rights is not proportionate to the object to be achieved’</w:t>
      </w:r>
      <w:r w:rsidR="005B5FB5">
        <w:rPr>
          <w:rFonts w:ascii="Times New Roman" w:hAnsi="Times New Roman" w:cs="Times New Roman"/>
          <w:iCs/>
        </w:rPr>
        <w:t xml:space="preserve"> (at p. 281)</w:t>
      </w:r>
      <w:r w:rsidRPr="00993471">
        <w:rPr>
          <w:rFonts w:ascii="Times New Roman" w:hAnsi="Times New Roman" w:cs="Times New Roman"/>
        </w:rPr>
        <w:t>.</w:t>
      </w:r>
    </w:p>
    <w:p w14:paraId="0A6ECBAF" w14:textId="77777777" w:rsidR="00993471" w:rsidRPr="00993471" w:rsidRDefault="00993471" w:rsidP="00993471">
      <w:pPr>
        <w:pStyle w:val="ListParagraph"/>
        <w:rPr>
          <w:rFonts w:ascii="Times New Roman" w:hAnsi="Times New Roman" w:cs="Times New Roman"/>
        </w:rPr>
      </w:pPr>
    </w:p>
    <w:p w14:paraId="5788A8C1" w14:textId="77777777" w:rsidR="00993471" w:rsidRDefault="00993471" w:rsidP="00993471">
      <w:pPr>
        <w:pStyle w:val="ListParagraph"/>
        <w:numPr>
          <w:ilvl w:val="0"/>
          <w:numId w:val="4"/>
        </w:numPr>
        <w:spacing w:before="240" w:line="480" w:lineRule="auto"/>
        <w:jc w:val="both"/>
        <w:rPr>
          <w:rFonts w:ascii="Times New Roman" w:hAnsi="Times New Roman" w:cs="Times New Roman"/>
        </w:rPr>
      </w:pPr>
      <w:r w:rsidRPr="00993471">
        <w:rPr>
          <w:rFonts w:ascii="Times New Roman" w:hAnsi="Times New Roman" w:cs="Times New Roman"/>
        </w:rPr>
        <w:t>The response of the legislature via s.</w:t>
      </w:r>
      <w:r w:rsidR="005B5FB5">
        <w:rPr>
          <w:rFonts w:ascii="Times New Roman" w:hAnsi="Times New Roman" w:cs="Times New Roman"/>
        </w:rPr>
        <w:t xml:space="preserve"> </w:t>
      </w:r>
      <w:r w:rsidRPr="00993471">
        <w:rPr>
          <w:rFonts w:ascii="Times New Roman" w:hAnsi="Times New Roman" w:cs="Times New Roman"/>
        </w:rPr>
        <w:t>73 of the Mental Health Act 2001 was to maintain the pre-existing requirement that an intending plaintiff seeking to institute civil proceedings in respect of an act purporting to have been done in pursuance of the Act</w:t>
      </w:r>
      <w:r w:rsidR="00621410">
        <w:rPr>
          <w:rFonts w:ascii="Times New Roman" w:hAnsi="Times New Roman" w:cs="Times New Roman"/>
        </w:rPr>
        <w:t>,</w:t>
      </w:r>
      <w:r w:rsidRPr="00993471">
        <w:rPr>
          <w:rFonts w:ascii="Times New Roman" w:hAnsi="Times New Roman" w:cs="Times New Roman"/>
        </w:rPr>
        <w:t xml:space="preserve"> obtain the leave of the High Court to </w:t>
      </w:r>
      <w:r w:rsidR="00437A89">
        <w:rPr>
          <w:rFonts w:ascii="Times New Roman" w:hAnsi="Times New Roman" w:cs="Times New Roman"/>
        </w:rPr>
        <w:t>commence that action</w:t>
      </w:r>
      <w:r w:rsidRPr="00993471">
        <w:rPr>
          <w:rFonts w:ascii="Times New Roman" w:hAnsi="Times New Roman" w:cs="Times New Roman"/>
        </w:rPr>
        <w:t xml:space="preserve">.  However, the </w:t>
      </w:r>
      <w:r w:rsidR="004F5254">
        <w:rPr>
          <w:rFonts w:ascii="Times New Roman" w:hAnsi="Times New Roman" w:cs="Times New Roman"/>
        </w:rPr>
        <w:t xml:space="preserve">consequent </w:t>
      </w:r>
      <w:r w:rsidRPr="00993471">
        <w:rPr>
          <w:rFonts w:ascii="Times New Roman" w:hAnsi="Times New Roman" w:cs="Times New Roman"/>
        </w:rPr>
        <w:t xml:space="preserve">jurisdiction is </w:t>
      </w:r>
      <w:r w:rsidR="00397F9F">
        <w:rPr>
          <w:rFonts w:ascii="Times New Roman" w:hAnsi="Times New Roman" w:cs="Times New Roman"/>
        </w:rPr>
        <w:t xml:space="preserve">now </w:t>
      </w:r>
      <w:r w:rsidRPr="00993471">
        <w:rPr>
          <w:rFonts w:ascii="Times New Roman" w:hAnsi="Times New Roman" w:cs="Times New Roman"/>
        </w:rPr>
        <w:t>defined by the following features</w:t>
      </w:r>
      <w:r w:rsidR="00384A9B">
        <w:rPr>
          <w:rFonts w:ascii="Times New Roman" w:hAnsi="Times New Roman" w:cs="Times New Roman"/>
        </w:rPr>
        <w:t>:</w:t>
      </w:r>
    </w:p>
    <w:p w14:paraId="30BEC616" w14:textId="77777777" w:rsidR="00993471" w:rsidRPr="00993471" w:rsidRDefault="00993471" w:rsidP="00993471">
      <w:pPr>
        <w:pStyle w:val="ListParagraph"/>
        <w:rPr>
          <w:rFonts w:ascii="Times New Roman" w:hAnsi="Times New Roman" w:cs="Times New Roman"/>
        </w:rPr>
      </w:pPr>
    </w:p>
    <w:p w14:paraId="21C208E5" w14:textId="77777777" w:rsidR="00993471" w:rsidRPr="00993471" w:rsidRDefault="00993471" w:rsidP="00993471">
      <w:pPr>
        <w:pStyle w:val="ListParagraph"/>
        <w:rPr>
          <w:rFonts w:ascii="Times New Roman" w:hAnsi="Times New Roman" w:cs="Times New Roman"/>
        </w:rPr>
      </w:pPr>
    </w:p>
    <w:p w14:paraId="2BDBF6EF" w14:textId="77777777" w:rsidR="00993471" w:rsidRPr="00993471" w:rsidRDefault="00993471" w:rsidP="00993471">
      <w:pPr>
        <w:pStyle w:val="ListParagraph"/>
        <w:numPr>
          <w:ilvl w:val="0"/>
          <w:numId w:val="2"/>
        </w:numPr>
        <w:spacing w:line="480" w:lineRule="auto"/>
        <w:jc w:val="both"/>
        <w:rPr>
          <w:rFonts w:ascii="Times New Roman" w:hAnsi="Times New Roman" w:cs="Times New Roman"/>
        </w:rPr>
      </w:pPr>
      <w:r w:rsidRPr="00993471">
        <w:rPr>
          <w:rFonts w:ascii="Times New Roman" w:hAnsi="Times New Roman" w:cs="Times New Roman"/>
        </w:rPr>
        <w:t xml:space="preserve">The default position is reversed.  Whereas under the 1945 Act a plaintiff had to satisfy the court of identified statutory criteria before being </w:t>
      </w:r>
      <w:r w:rsidRPr="00993471">
        <w:rPr>
          <w:rFonts w:ascii="Times New Roman" w:hAnsi="Times New Roman" w:cs="Times New Roman"/>
        </w:rPr>
        <w:lastRenderedPageBreak/>
        <w:t>permitted to proceed with his action, under s.</w:t>
      </w:r>
      <w:r w:rsidR="005B5FB5">
        <w:rPr>
          <w:rFonts w:ascii="Times New Roman" w:hAnsi="Times New Roman" w:cs="Times New Roman"/>
        </w:rPr>
        <w:t xml:space="preserve"> </w:t>
      </w:r>
      <w:r w:rsidRPr="00993471">
        <w:rPr>
          <w:rFonts w:ascii="Times New Roman" w:hAnsi="Times New Roman" w:cs="Times New Roman"/>
        </w:rPr>
        <w:t xml:space="preserve">73 the court must grant leave </w:t>
      </w:r>
      <w:r w:rsidRPr="00993471">
        <w:rPr>
          <w:rFonts w:ascii="Times New Roman" w:hAnsi="Times New Roman" w:cs="Times New Roman"/>
          <w:i/>
        </w:rPr>
        <w:t xml:space="preserve">unless </w:t>
      </w:r>
      <w:r w:rsidRPr="00993471">
        <w:rPr>
          <w:rFonts w:ascii="Times New Roman" w:hAnsi="Times New Roman" w:cs="Times New Roman"/>
        </w:rPr>
        <w:t xml:space="preserve">it is satisfied of </w:t>
      </w:r>
      <w:r w:rsidR="00CE656F">
        <w:rPr>
          <w:rFonts w:ascii="Times New Roman" w:hAnsi="Times New Roman" w:cs="Times New Roman"/>
        </w:rPr>
        <w:t>the limiting grounds now prescribed</w:t>
      </w:r>
      <w:r w:rsidRPr="00993471">
        <w:rPr>
          <w:rFonts w:ascii="Times New Roman" w:hAnsi="Times New Roman" w:cs="Times New Roman"/>
        </w:rPr>
        <w:t>.</w:t>
      </w:r>
    </w:p>
    <w:p w14:paraId="309CFC14" w14:textId="77777777" w:rsidR="00993471" w:rsidRPr="00993471" w:rsidRDefault="00993471" w:rsidP="00993471">
      <w:pPr>
        <w:pStyle w:val="ListParagraph"/>
        <w:rPr>
          <w:rFonts w:ascii="Times New Roman" w:hAnsi="Times New Roman" w:cs="Times New Roman"/>
        </w:rPr>
      </w:pPr>
    </w:p>
    <w:p w14:paraId="117F4929" w14:textId="77777777" w:rsidR="00993471" w:rsidRPr="00993471" w:rsidRDefault="00993471" w:rsidP="00993471">
      <w:pPr>
        <w:pStyle w:val="ListParagraph"/>
        <w:numPr>
          <w:ilvl w:val="0"/>
          <w:numId w:val="2"/>
        </w:numPr>
        <w:spacing w:line="480" w:lineRule="auto"/>
        <w:jc w:val="both"/>
        <w:rPr>
          <w:rFonts w:ascii="Times New Roman" w:hAnsi="Times New Roman" w:cs="Times New Roman"/>
        </w:rPr>
      </w:pPr>
      <w:r w:rsidRPr="00993471">
        <w:rPr>
          <w:rFonts w:ascii="Times New Roman" w:hAnsi="Times New Roman" w:cs="Times New Roman"/>
        </w:rPr>
        <w:t>The plaintiff does not have to establish ‘</w:t>
      </w:r>
      <w:r w:rsidRPr="00993471">
        <w:rPr>
          <w:rFonts w:ascii="Times New Roman" w:hAnsi="Times New Roman" w:cs="Times New Roman"/>
          <w:i/>
        </w:rPr>
        <w:t>substantial grounds’</w:t>
      </w:r>
      <w:r w:rsidRPr="00993471">
        <w:rPr>
          <w:rFonts w:ascii="Times New Roman" w:hAnsi="Times New Roman" w:cs="Times New Roman"/>
        </w:rPr>
        <w:t xml:space="preserve"> for any aspect of his or her claim.  Now, the reversed burden merely requires that the court before refusing leave be satisfied of one of two matters.</w:t>
      </w:r>
    </w:p>
    <w:p w14:paraId="5B265EB8" w14:textId="77777777" w:rsidR="00993471" w:rsidRPr="00993471" w:rsidRDefault="00993471" w:rsidP="00993471">
      <w:pPr>
        <w:pStyle w:val="ListParagraph"/>
        <w:rPr>
          <w:rFonts w:ascii="Times New Roman" w:hAnsi="Times New Roman" w:cs="Times New Roman"/>
        </w:rPr>
      </w:pPr>
    </w:p>
    <w:p w14:paraId="6A0C94DA" w14:textId="77777777" w:rsidR="00993471" w:rsidRPr="00993471" w:rsidRDefault="00993471" w:rsidP="00993471">
      <w:pPr>
        <w:pStyle w:val="ListParagraph"/>
        <w:numPr>
          <w:ilvl w:val="0"/>
          <w:numId w:val="2"/>
        </w:numPr>
        <w:spacing w:line="480" w:lineRule="auto"/>
        <w:jc w:val="both"/>
        <w:rPr>
          <w:rFonts w:ascii="Times New Roman" w:hAnsi="Times New Roman" w:cs="Times New Roman"/>
        </w:rPr>
      </w:pPr>
      <w:r w:rsidRPr="00993471">
        <w:rPr>
          <w:rFonts w:ascii="Times New Roman" w:hAnsi="Times New Roman" w:cs="Times New Roman"/>
        </w:rPr>
        <w:t>The first of these matters is that the proceedings are ‘</w:t>
      </w:r>
      <w:r w:rsidRPr="00993471">
        <w:rPr>
          <w:rFonts w:ascii="Times New Roman" w:hAnsi="Times New Roman" w:cs="Times New Roman"/>
          <w:i/>
        </w:rPr>
        <w:t>frivolous or vexatious’</w:t>
      </w:r>
      <w:r w:rsidRPr="00993471">
        <w:rPr>
          <w:rFonts w:ascii="Times New Roman" w:hAnsi="Times New Roman" w:cs="Times New Roman"/>
        </w:rPr>
        <w:t>. This, of course, reflects the requirement imposed on any plaintiff where an application to dismiss their claim is brought pursuant to Order 19 Rule 28 of the Rules of the Superior Courts.</w:t>
      </w:r>
    </w:p>
    <w:p w14:paraId="7FB7717E" w14:textId="77777777" w:rsidR="00993471" w:rsidRPr="00993471" w:rsidRDefault="00993471" w:rsidP="00993471">
      <w:pPr>
        <w:pStyle w:val="ListParagraph"/>
        <w:rPr>
          <w:rFonts w:ascii="Times New Roman" w:hAnsi="Times New Roman" w:cs="Times New Roman"/>
        </w:rPr>
      </w:pPr>
    </w:p>
    <w:p w14:paraId="3B89EA1B" w14:textId="77777777" w:rsidR="00993471" w:rsidRPr="00993471" w:rsidRDefault="00993471" w:rsidP="00993471">
      <w:pPr>
        <w:pStyle w:val="ListParagraph"/>
        <w:numPr>
          <w:ilvl w:val="0"/>
          <w:numId w:val="2"/>
        </w:numPr>
        <w:spacing w:line="480" w:lineRule="auto"/>
        <w:jc w:val="both"/>
        <w:rPr>
          <w:rFonts w:ascii="Times New Roman" w:hAnsi="Times New Roman" w:cs="Times New Roman"/>
        </w:rPr>
      </w:pPr>
      <w:r w:rsidRPr="00993471">
        <w:rPr>
          <w:rFonts w:ascii="Times New Roman" w:hAnsi="Times New Roman" w:cs="Times New Roman"/>
        </w:rPr>
        <w:t>The second is that ‘</w:t>
      </w:r>
      <w:r w:rsidRPr="00993471">
        <w:rPr>
          <w:rFonts w:ascii="Times New Roman" w:hAnsi="Times New Roman" w:cs="Times New Roman"/>
          <w:i/>
        </w:rPr>
        <w:t>there are no reasonable grounds for contending that the person against whom the proceedings are brought acted in bad faith or without reasonable care’</w:t>
      </w:r>
      <w:r w:rsidRPr="00993471">
        <w:rPr>
          <w:rFonts w:ascii="Times New Roman" w:hAnsi="Times New Roman" w:cs="Times New Roman"/>
        </w:rPr>
        <w:t xml:space="preserve">. Whether by accident or design, this </w:t>
      </w:r>
      <w:r w:rsidR="0005215C">
        <w:rPr>
          <w:rFonts w:ascii="Times New Roman" w:hAnsi="Times New Roman" w:cs="Times New Roman"/>
        </w:rPr>
        <w:t>mirrors</w:t>
      </w:r>
      <w:r w:rsidRPr="00993471">
        <w:rPr>
          <w:rFonts w:ascii="Times New Roman" w:hAnsi="Times New Roman" w:cs="Times New Roman"/>
        </w:rPr>
        <w:t xml:space="preserve"> the </w:t>
      </w:r>
      <w:r w:rsidR="00CE656F">
        <w:rPr>
          <w:rFonts w:ascii="Times New Roman" w:hAnsi="Times New Roman" w:cs="Times New Roman"/>
        </w:rPr>
        <w:t xml:space="preserve">basic </w:t>
      </w:r>
      <w:r w:rsidRPr="00993471">
        <w:rPr>
          <w:rFonts w:ascii="Times New Roman" w:hAnsi="Times New Roman" w:cs="Times New Roman"/>
        </w:rPr>
        <w:t>trigger for an application for a stay under the 1890 Act.</w:t>
      </w:r>
    </w:p>
    <w:p w14:paraId="34E6E70D" w14:textId="77777777" w:rsidR="00993471" w:rsidRPr="00993471" w:rsidRDefault="00993471" w:rsidP="00993471">
      <w:pPr>
        <w:pStyle w:val="ListParagraph"/>
        <w:rPr>
          <w:rFonts w:ascii="Times New Roman" w:hAnsi="Times New Roman" w:cs="Times New Roman"/>
        </w:rPr>
      </w:pPr>
    </w:p>
    <w:p w14:paraId="193A9E04" w14:textId="77777777" w:rsidR="00993471" w:rsidRPr="00993471" w:rsidRDefault="00993471" w:rsidP="00993471">
      <w:pPr>
        <w:pStyle w:val="ListParagraph"/>
        <w:numPr>
          <w:ilvl w:val="0"/>
          <w:numId w:val="2"/>
        </w:numPr>
        <w:spacing w:line="480" w:lineRule="auto"/>
        <w:jc w:val="both"/>
        <w:rPr>
          <w:rFonts w:ascii="Times New Roman" w:hAnsi="Times New Roman" w:cs="Times New Roman"/>
        </w:rPr>
      </w:pPr>
      <w:r w:rsidRPr="00993471">
        <w:rPr>
          <w:rFonts w:ascii="Times New Roman" w:hAnsi="Times New Roman" w:cs="Times New Roman"/>
        </w:rPr>
        <w:t xml:space="preserve">The </w:t>
      </w:r>
      <w:r w:rsidRPr="00993471">
        <w:rPr>
          <w:rFonts w:ascii="Times New Roman" w:hAnsi="Times New Roman" w:cs="Times New Roman"/>
          <w:i/>
        </w:rPr>
        <w:t>only</w:t>
      </w:r>
      <w:r w:rsidRPr="00993471">
        <w:rPr>
          <w:rFonts w:ascii="Times New Roman" w:hAnsi="Times New Roman" w:cs="Times New Roman"/>
        </w:rPr>
        <w:t xml:space="preserve"> causes of action that may be maintained by a person in respect of an act purporting to have been done in pursuance of the 2001 </w:t>
      </w:r>
      <w:r w:rsidR="00BE12F9">
        <w:rPr>
          <w:rFonts w:ascii="Times New Roman" w:hAnsi="Times New Roman" w:cs="Times New Roman"/>
        </w:rPr>
        <w:t>Act</w:t>
      </w:r>
      <w:r w:rsidRPr="00993471">
        <w:rPr>
          <w:rFonts w:ascii="Times New Roman" w:hAnsi="Times New Roman" w:cs="Times New Roman"/>
        </w:rPr>
        <w:t xml:space="preserve"> are those which involve a defendant acting in bad faith or without reasonable care.  This follows from the second ground for refusing leave, and is underscored by s</w:t>
      </w:r>
      <w:r w:rsidR="00BE12F9">
        <w:rPr>
          <w:rFonts w:ascii="Times New Roman" w:hAnsi="Times New Roman" w:cs="Times New Roman"/>
        </w:rPr>
        <w:t>.</w:t>
      </w:r>
      <w:r w:rsidRPr="00993471">
        <w:rPr>
          <w:rFonts w:ascii="Times New Roman" w:hAnsi="Times New Roman" w:cs="Times New Roman"/>
        </w:rPr>
        <w:t xml:space="preserve"> 73(3):</w:t>
      </w:r>
    </w:p>
    <w:p w14:paraId="78CCAD15" w14:textId="77777777" w:rsidR="00993471" w:rsidRPr="00993471" w:rsidRDefault="00993471" w:rsidP="00993471">
      <w:pPr>
        <w:pStyle w:val="ListParagraph"/>
        <w:rPr>
          <w:rFonts w:ascii="Times New Roman" w:hAnsi="Times New Roman" w:cs="Times New Roman"/>
        </w:rPr>
      </w:pPr>
    </w:p>
    <w:p w14:paraId="5F18F038" w14:textId="77777777" w:rsidR="00993471" w:rsidRPr="00993471" w:rsidRDefault="00993471" w:rsidP="00993471">
      <w:pPr>
        <w:pStyle w:val="ListParagraph"/>
        <w:spacing w:line="480" w:lineRule="auto"/>
        <w:ind w:left="2880"/>
        <w:jc w:val="both"/>
        <w:rPr>
          <w:rFonts w:ascii="Times New Roman" w:hAnsi="Times New Roman" w:cs="Times New Roman"/>
        </w:rPr>
      </w:pPr>
      <w:r w:rsidRPr="00993471">
        <w:rPr>
          <w:rFonts w:ascii="Times New Roman" w:hAnsi="Times New Roman" w:cs="Times New Roman"/>
        </w:rPr>
        <w:t>‘</w:t>
      </w:r>
      <w:r w:rsidRPr="00993471">
        <w:rPr>
          <w:rFonts w:ascii="Times New Roman" w:hAnsi="Times New Roman" w:cs="Times New Roman"/>
          <w:i/>
        </w:rPr>
        <w:t xml:space="preserve">Where proceedings are, by leave, granted in pursuance of subsection (1) of this section, instituted in respect of an act purporting to have been done in pursuance of this Act, the Court shall not determine the proceedings in favour of the plaintiff </w:t>
      </w:r>
      <w:r w:rsidRPr="00993471">
        <w:rPr>
          <w:rFonts w:ascii="Times New Roman" w:hAnsi="Times New Roman" w:cs="Times New Roman"/>
          <w:i/>
        </w:rPr>
        <w:lastRenderedPageBreak/>
        <w:t>unless it is satisfied that the defendant acted in bad faith or without reasonable care’</w:t>
      </w:r>
      <w:r w:rsidRPr="00993471">
        <w:rPr>
          <w:rFonts w:ascii="Times New Roman" w:hAnsi="Times New Roman" w:cs="Times New Roman"/>
        </w:rPr>
        <w:t>.</w:t>
      </w:r>
    </w:p>
    <w:p w14:paraId="5AC47C45" w14:textId="77777777" w:rsidR="00993471" w:rsidRPr="00993471" w:rsidRDefault="00993471" w:rsidP="00993471">
      <w:pPr>
        <w:pStyle w:val="ListParagraph"/>
        <w:spacing w:before="240" w:line="480" w:lineRule="auto"/>
        <w:ind w:left="1440"/>
        <w:jc w:val="both"/>
        <w:rPr>
          <w:rFonts w:ascii="Times New Roman" w:hAnsi="Times New Roman" w:cs="Times New Roman"/>
        </w:rPr>
      </w:pPr>
      <w:r>
        <w:rPr>
          <w:rFonts w:ascii="Times New Roman" w:hAnsi="Times New Roman" w:cs="Times New Roman"/>
        </w:rPr>
        <w:t xml:space="preserve">  </w:t>
      </w:r>
    </w:p>
    <w:p w14:paraId="3EE03A6F" w14:textId="77777777" w:rsidR="00720D37" w:rsidRPr="003A5A38" w:rsidRDefault="00211C3D" w:rsidP="003A5A38">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These factors dictate the </w:t>
      </w:r>
      <w:r w:rsidR="00CE656F">
        <w:rPr>
          <w:rFonts w:ascii="Times New Roman" w:hAnsi="Times New Roman" w:cs="Times New Roman"/>
        </w:rPr>
        <w:t>legal principles and their proper application to the facts here</w:t>
      </w:r>
      <w:r>
        <w:rPr>
          <w:rFonts w:ascii="Times New Roman" w:hAnsi="Times New Roman" w:cs="Times New Roman"/>
        </w:rPr>
        <w:t>, as follows.</w:t>
      </w:r>
      <w:r w:rsidR="003A5A38">
        <w:rPr>
          <w:rFonts w:ascii="Times New Roman" w:hAnsi="Times New Roman" w:cs="Times New Roman"/>
        </w:rPr>
        <w:t xml:space="preserve">  </w:t>
      </w:r>
      <w:r w:rsidR="00CE656F" w:rsidRPr="003A5A38">
        <w:rPr>
          <w:rFonts w:ascii="Times New Roman" w:hAnsi="Times New Roman" w:cs="Times New Roman"/>
        </w:rPr>
        <w:t xml:space="preserve">First, I have laboured the context to and history of s. 73 because it appears to me to be central to a proper understanding of how the court should approach the process of interpreting and applying the provision.  The starting point is that every citizen is entitled to have recourse to the courts to agitate justiciable disputes.  </w:t>
      </w:r>
      <w:r w:rsidR="00720D37" w:rsidRPr="003A5A38">
        <w:rPr>
          <w:rFonts w:ascii="Times New Roman" w:hAnsi="Times New Roman" w:cs="Times New Roman"/>
        </w:rPr>
        <w:t>The Oireachtas has sought, through s.</w:t>
      </w:r>
      <w:r w:rsidR="008854BF">
        <w:rPr>
          <w:rFonts w:ascii="Times New Roman" w:hAnsi="Times New Roman" w:cs="Times New Roman"/>
        </w:rPr>
        <w:t xml:space="preserve"> </w:t>
      </w:r>
      <w:r w:rsidR="00720D37" w:rsidRPr="003A5A38">
        <w:rPr>
          <w:rFonts w:ascii="Times New Roman" w:hAnsi="Times New Roman" w:cs="Times New Roman"/>
        </w:rPr>
        <w:t xml:space="preserve">73, to maintain a filter on </w:t>
      </w:r>
      <w:r w:rsidR="00E1599F" w:rsidRPr="003A5A38">
        <w:rPr>
          <w:rFonts w:ascii="Times New Roman" w:hAnsi="Times New Roman" w:cs="Times New Roman"/>
        </w:rPr>
        <w:t xml:space="preserve">actions by persons who have been subject to the processes provided for in the Act. It must be presumed it has done so for the reasons I have earlier identified. However, it has greatly narrowed the circumstances in which the power of the court conferred by the provision may be employed so as to prevent the commencement of legal proceedings, and the construction of the legislation must be approached on the basis that it has adopted that course because of the constitutional concerns identified in </w:t>
      </w:r>
      <w:proofErr w:type="spellStart"/>
      <w:r w:rsidR="00E1599F" w:rsidRPr="003A5A38">
        <w:rPr>
          <w:rFonts w:ascii="Times New Roman" w:hAnsi="Times New Roman" w:cs="Times New Roman"/>
          <w:i/>
        </w:rPr>
        <w:t>Blehein</w:t>
      </w:r>
      <w:proofErr w:type="spellEnd"/>
      <w:r w:rsidR="00E1599F" w:rsidRPr="003A5A38">
        <w:rPr>
          <w:rFonts w:ascii="Times New Roman" w:hAnsi="Times New Roman" w:cs="Times New Roman"/>
        </w:rPr>
        <w:t xml:space="preserve">.  The presumption is that an applicant who wishes to pursue legal action </w:t>
      </w:r>
      <w:r w:rsidR="00B670B4">
        <w:rPr>
          <w:rFonts w:ascii="Times New Roman" w:hAnsi="Times New Roman" w:cs="Times New Roman"/>
        </w:rPr>
        <w:t>of the kind</w:t>
      </w:r>
      <w:r w:rsidR="005462C9">
        <w:rPr>
          <w:rFonts w:ascii="Times New Roman" w:hAnsi="Times New Roman" w:cs="Times New Roman"/>
        </w:rPr>
        <w:t xml:space="preserve"> </w:t>
      </w:r>
      <w:r w:rsidR="00B670B4">
        <w:rPr>
          <w:rFonts w:ascii="Times New Roman" w:hAnsi="Times New Roman" w:cs="Times New Roman"/>
        </w:rPr>
        <w:t xml:space="preserve">permitted by the legislation (that is legal action depending on a lack of </w:t>
      </w:r>
      <w:r w:rsidR="00B670B4" w:rsidRPr="00D903E8">
        <w:rPr>
          <w:rFonts w:ascii="Times New Roman" w:hAnsi="Times New Roman" w:cs="Times New Roman"/>
          <w:i/>
          <w:iCs/>
        </w:rPr>
        <w:t>bona fides</w:t>
      </w:r>
      <w:r w:rsidR="00B670B4">
        <w:rPr>
          <w:rFonts w:ascii="Times New Roman" w:hAnsi="Times New Roman" w:cs="Times New Roman"/>
        </w:rPr>
        <w:t xml:space="preserve"> or reasonable care) </w:t>
      </w:r>
      <w:r w:rsidR="00E1599F" w:rsidRPr="003A5A38">
        <w:rPr>
          <w:rFonts w:ascii="Times New Roman" w:hAnsi="Times New Roman" w:cs="Times New Roman"/>
        </w:rPr>
        <w:t>will be permitted to do so</w:t>
      </w:r>
      <w:r w:rsidR="00687536" w:rsidRPr="003A5A38">
        <w:rPr>
          <w:rFonts w:ascii="Times New Roman" w:hAnsi="Times New Roman" w:cs="Times New Roman"/>
        </w:rPr>
        <w:t>, and that insofar as s.</w:t>
      </w:r>
      <w:r w:rsidR="008854BF">
        <w:rPr>
          <w:rFonts w:ascii="Times New Roman" w:hAnsi="Times New Roman" w:cs="Times New Roman"/>
        </w:rPr>
        <w:t xml:space="preserve"> </w:t>
      </w:r>
      <w:r w:rsidR="00687536" w:rsidRPr="003A5A38">
        <w:rPr>
          <w:rFonts w:ascii="Times New Roman" w:hAnsi="Times New Roman" w:cs="Times New Roman"/>
        </w:rPr>
        <w:t xml:space="preserve">73 represents a legislative exception to the general entitlement of a plaintiff alleging a legal wrong to litigate that </w:t>
      </w:r>
      <w:r w:rsidR="0080639C" w:rsidRPr="003A5A38">
        <w:rPr>
          <w:rFonts w:ascii="Times New Roman" w:hAnsi="Times New Roman" w:cs="Times New Roman"/>
        </w:rPr>
        <w:t xml:space="preserve">alleged </w:t>
      </w:r>
      <w:r w:rsidR="00687536" w:rsidRPr="003A5A38">
        <w:rPr>
          <w:rFonts w:ascii="Times New Roman" w:hAnsi="Times New Roman" w:cs="Times New Roman"/>
        </w:rPr>
        <w:t>injury, it should be strictly construed (see the comments of Finlay CJ</w:t>
      </w:r>
      <w:r w:rsidR="008854BF">
        <w:rPr>
          <w:rFonts w:ascii="Times New Roman" w:hAnsi="Times New Roman" w:cs="Times New Roman"/>
        </w:rPr>
        <w:t>.</w:t>
      </w:r>
      <w:r w:rsidR="00687536" w:rsidRPr="003A5A38">
        <w:rPr>
          <w:rFonts w:ascii="Times New Roman" w:hAnsi="Times New Roman" w:cs="Times New Roman"/>
        </w:rPr>
        <w:t xml:space="preserve"> addressing the same principle to s. 260 of the 1945 Act in </w:t>
      </w:r>
      <w:r w:rsidR="00687536" w:rsidRPr="003A5A38">
        <w:rPr>
          <w:rFonts w:ascii="Times New Roman" w:hAnsi="Times New Roman" w:cs="Times New Roman"/>
          <w:i/>
        </w:rPr>
        <w:t xml:space="preserve">Murphy v. Greene </w:t>
      </w:r>
      <w:r w:rsidR="00687536" w:rsidRPr="003A5A38">
        <w:rPr>
          <w:rFonts w:ascii="Times New Roman" w:hAnsi="Times New Roman" w:cs="Times New Roman"/>
        </w:rPr>
        <w:t xml:space="preserve">[1990] 2 IR 566 at </w:t>
      </w:r>
      <w:r w:rsidR="008854BF">
        <w:rPr>
          <w:rFonts w:ascii="Times New Roman" w:hAnsi="Times New Roman" w:cs="Times New Roman"/>
        </w:rPr>
        <w:t xml:space="preserve">p. </w:t>
      </w:r>
      <w:r w:rsidR="00687536" w:rsidRPr="003A5A38">
        <w:rPr>
          <w:rFonts w:ascii="Times New Roman" w:hAnsi="Times New Roman" w:cs="Times New Roman"/>
        </w:rPr>
        <w:t>572</w:t>
      </w:r>
      <w:r w:rsidR="008854BF">
        <w:rPr>
          <w:rFonts w:ascii="Times New Roman" w:hAnsi="Times New Roman" w:cs="Times New Roman"/>
        </w:rPr>
        <w:t xml:space="preserve"> to</w:t>
      </w:r>
      <w:r w:rsidR="00D903E8">
        <w:rPr>
          <w:rFonts w:ascii="Times New Roman" w:hAnsi="Times New Roman" w:cs="Times New Roman"/>
        </w:rPr>
        <w:t xml:space="preserve"> </w:t>
      </w:r>
      <w:r w:rsidR="00687536" w:rsidRPr="003A5A38">
        <w:rPr>
          <w:rFonts w:ascii="Times New Roman" w:hAnsi="Times New Roman" w:cs="Times New Roman"/>
        </w:rPr>
        <w:t>573).</w:t>
      </w:r>
    </w:p>
    <w:p w14:paraId="3B2E8639" w14:textId="77777777" w:rsidR="00720D37" w:rsidRPr="00720D37" w:rsidRDefault="00720D37" w:rsidP="00720D37">
      <w:pPr>
        <w:pStyle w:val="ListParagraph"/>
        <w:rPr>
          <w:rFonts w:ascii="Times New Roman" w:hAnsi="Times New Roman" w:cs="Times New Roman"/>
        </w:rPr>
      </w:pPr>
    </w:p>
    <w:p w14:paraId="02E000A4" w14:textId="77777777" w:rsidR="00CE656F" w:rsidRDefault="00E1599F"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Second, a</w:t>
      </w:r>
      <w:r w:rsidR="00CE656F">
        <w:rPr>
          <w:rFonts w:ascii="Times New Roman" w:hAnsi="Times New Roman" w:cs="Times New Roman"/>
        </w:rPr>
        <w:t xml:space="preserve">t the same time no person has the right to bring proceedings that are either frivolous or vexatious and every defendant has the right to have proceedings dismissed on the basis that they have been sued in an action that is bound to fail.  The imposition </w:t>
      </w:r>
      <w:r w:rsidR="00CE656F">
        <w:rPr>
          <w:rFonts w:ascii="Times New Roman" w:hAnsi="Times New Roman" w:cs="Times New Roman"/>
        </w:rPr>
        <w:lastRenderedPageBreak/>
        <w:t>of a requirement to this end by s.</w:t>
      </w:r>
      <w:r w:rsidR="008854BF">
        <w:rPr>
          <w:rFonts w:ascii="Times New Roman" w:hAnsi="Times New Roman" w:cs="Times New Roman"/>
        </w:rPr>
        <w:t xml:space="preserve"> </w:t>
      </w:r>
      <w:r w:rsidR="00CE656F">
        <w:rPr>
          <w:rFonts w:ascii="Times New Roman" w:hAnsi="Times New Roman" w:cs="Times New Roman"/>
        </w:rPr>
        <w:t xml:space="preserve">73 adds little to the burden on a plaintiff in an action to which the section applies and while he or she must bring an application to court as a precondition to </w:t>
      </w:r>
      <w:r w:rsidR="00E12303">
        <w:rPr>
          <w:rFonts w:ascii="Times New Roman" w:hAnsi="Times New Roman" w:cs="Times New Roman"/>
        </w:rPr>
        <w:t>instituting</w:t>
      </w:r>
      <w:r w:rsidR="00CE656F">
        <w:rPr>
          <w:rFonts w:ascii="Times New Roman" w:hAnsi="Times New Roman" w:cs="Times New Roman"/>
        </w:rPr>
        <w:t xml:space="preserve"> </w:t>
      </w:r>
      <w:r w:rsidR="004C3041">
        <w:rPr>
          <w:rFonts w:ascii="Times New Roman" w:hAnsi="Times New Roman" w:cs="Times New Roman"/>
        </w:rPr>
        <w:t xml:space="preserve">such </w:t>
      </w:r>
      <w:r w:rsidR="00CE656F">
        <w:rPr>
          <w:rFonts w:ascii="Times New Roman" w:hAnsi="Times New Roman" w:cs="Times New Roman"/>
        </w:rPr>
        <w:t>a</w:t>
      </w:r>
      <w:r w:rsidR="00E12303">
        <w:rPr>
          <w:rFonts w:ascii="Times New Roman" w:hAnsi="Times New Roman" w:cs="Times New Roman"/>
        </w:rPr>
        <w:t>n action</w:t>
      </w:r>
      <w:r w:rsidR="004C3041">
        <w:rPr>
          <w:rFonts w:ascii="Times New Roman" w:hAnsi="Times New Roman" w:cs="Times New Roman"/>
        </w:rPr>
        <w:t xml:space="preserve">, </w:t>
      </w:r>
      <w:r w:rsidR="00CE656F">
        <w:rPr>
          <w:rFonts w:ascii="Times New Roman" w:hAnsi="Times New Roman" w:cs="Times New Roman"/>
        </w:rPr>
        <w:t xml:space="preserve">and must in that context defend their </w:t>
      </w:r>
      <w:r w:rsidR="004C3041">
        <w:rPr>
          <w:rFonts w:ascii="Times New Roman" w:hAnsi="Times New Roman" w:cs="Times New Roman"/>
        </w:rPr>
        <w:t xml:space="preserve">proposed proceedings </w:t>
      </w:r>
      <w:r w:rsidR="00CE656F">
        <w:rPr>
          <w:rFonts w:ascii="Times New Roman" w:hAnsi="Times New Roman" w:cs="Times New Roman"/>
        </w:rPr>
        <w:t xml:space="preserve">against any suggestion that </w:t>
      </w:r>
      <w:r w:rsidR="004C3041">
        <w:rPr>
          <w:rFonts w:ascii="Times New Roman" w:hAnsi="Times New Roman" w:cs="Times New Roman"/>
        </w:rPr>
        <w:t>they are</w:t>
      </w:r>
      <w:r w:rsidR="00CE656F">
        <w:rPr>
          <w:rFonts w:ascii="Times New Roman" w:hAnsi="Times New Roman" w:cs="Times New Roman"/>
        </w:rPr>
        <w:t xml:space="preserve"> frivolous or vexatious, this is only an alteration of timing </w:t>
      </w:r>
      <w:r w:rsidR="00924BCD">
        <w:rPr>
          <w:rFonts w:ascii="Times New Roman" w:hAnsi="Times New Roman" w:cs="Times New Roman"/>
        </w:rPr>
        <w:t xml:space="preserve">and procedure </w:t>
      </w:r>
      <w:r w:rsidR="00720D37">
        <w:rPr>
          <w:rFonts w:ascii="Times New Roman" w:hAnsi="Times New Roman" w:cs="Times New Roman"/>
        </w:rPr>
        <w:t xml:space="preserve">(in requiring the application before the action is </w:t>
      </w:r>
      <w:r w:rsidR="004F1AF9">
        <w:rPr>
          <w:rFonts w:ascii="Times New Roman" w:hAnsi="Times New Roman" w:cs="Times New Roman"/>
        </w:rPr>
        <w:t>instituted</w:t>
      </w:r>
      <w:r w:rsidR="00720D37">
        <w:rPr>
          <w:rFonts w:ascii="Times New Roman" w:hAnsi="Times New Roman" w:cs="Times New Roman"/>
        </w:rPr>
        <w:t xml:space="preserve"> and in giving the defendant a statutory opportunity to agitate the </w:t>
      </w:r>
      <w:proofErr w:type="spellStart"/>
      <w:r w:rsidR="00720D37">
        <w:rPr>
          <w:rFonts w:ascii="Times New Roman" w:hAnsi="Times New Roman" w:cs="Times New Roman"/>
        </w:rPr>
        <w:t>stateability</w:t>
      </w:r>
      <w:proofErr w:type="spellEnd"/>
      <w:r w:rsidR="00720D37">
        <w:rPr>
          <w:rFonts w:ascii="Times New Roman" w:hAnsi="Times New Roman" w:cs="Times New Roman"/>
        </w:rPr>
        <w:t xml:space="preserve"> of the claim without having to himself apply</w:t>
      </w:r>
      <w:r w:rsidR="00DB2AF9">
        <w:rPr>
          <w:rFonts w:ascii="Times New Roman" w:hAnsi="Times New Roman" w:cs="Times New Roman"/>
        </w:rPr>
        <w:t xml:space="preserve"> to court to strike out the claim</w:t>
      </w:r>
      <w:r w:rsidR="00720D37">
        <w:rPr>
          <w:rFonts w:ascii="Times New Roman" w:hAnsi="Times New Roman" w:cs="Times New Roman"/>
        </w:rPr>
        <w:t xml:space="preserve">). </w:t>
      </w:r>
      <w:r w:rsidR="00924BCD">
        <w:rPr>
          <w:rFonts w:ascii="Times New Roman" w:hAnsi="Times New Roman" w:cs="Times New Roman"/>
        </w:rPr>
        <w:t xml:space="preserve"> The test applicable to whether proceedings are ‘</w:t>
      </w:r>
      <w:r w:rsidR="00924BCD">
        <w:rPr>
          <w:rFonts w:ascii="Times New Roman" w:hAnsi="Times New Roman" w:cs="Times New Roman"/>
          <w:i/>
        </w:rPr>
        <w:t xml:space="preserve">frivolous and vexatious’ </w:t>
      </w:r>
      <w:r w:rsidR="00924BCD">
        <w:rPr>
          <w:rFonts w:ascii="Times New Roman" w:hAnsi="Times New Roman" w:cs="Times New Roman"/>
        </w:rPr>
        <w:t>is well travelled in the authorities, extending over whether the proceedings</w:t>
      </w:r>
      <w:r w:rsidR="00211C3D">
        <w:rPr>
          <w:rFonts w:ascii="Times New Roman" w:hAnsi="Times New Roman" w:cs="Times New Roman"/>
        </w:rPr>
        <w:t xml:space="preserve"> </w:t>
      </w:r>
      <w:r w:rsidR="00924BCD">
        <w:rPr>
          <w:rFonts w:ascii="Times New Roman" w:hAnsi="Times New Roman" w:cs="Times New Roman"/>
        </w:rPr>
        <w:t xml:space="preserve">disclose </w:t>
      </w:r>
      <w:r w:rsidR="00211C3D">
        <w:rPr>
          <w:rFonts w:ascii="Times New Roman" w:hAnsi="Times New Roman" w:cs="Times New Roman"/>
        </w:rPr>
        <w:t>any</w:t>
      </w:r>
      <w:r w:rsidR="00924BCD">
        <w:rPr>
          <w:rFonts w:ascii="Times New Roman" w:hAnsi="Times New Roman" w:cs="Times New Roman"/>
        </w:rPr>
        <w:t xml:space="preserve"> cause of action, </w:t>
      </w:r>
      <w:r w:rsidR="00E137CE">
        <w:rPr>
          <w:rFonts w:ascii="Times New Roman" w:hAnsi="Times New Roman" w:cs="Times New Roman"/>
        </w:rPr>
        <w:t xml:space="preserve">where it is obvious that the action cannot succeed, </w:t>
      </w:r>
      <w:r w:rsidR="00924BCD">
        <w:rPr>
          <w:rFonts w:ascii="Times New Roman" w:hAnsi="Times New Roman" w:cs="Times New Roman"/>
        </w:rPr>
        <w:t>or w</w:t>
      </w:r>
      <w:r w:rsidR="00E137CE">
        <w:rPr>
          <w:rFonts w:ascii="Times New Roman" w:hAnsi="Times New Roman" w:cs="Times New Roman"/>
        </w:rPr>
        <w:t>h</w:t>
      </w:r>
      <w:r w:rsidR="00924BCD">
        <w:rPr>
          <w:rFonts w:ascii="Times New Roman" w:hAnsi="Times New Roman" w:cs="Times New Roman"/>
        </w:rPr>
        <w:t xml:space="preserve">ere </w:t>
      </w:r>
      <w:r w:rsidR="00E137CE">
        <w:rPr>
          <w:rFonts w:ascii="Times New Roman" w:hAnsi="Times New Roman" w:cs="Times New Roman"/>
        </w:rPr>
        <w:t xml:space="preserve">the proceedings are </w:t>
      </w:r>
      <w:r w:rsidR="00924BCD">
        <w:rPr>
          <w:rFonts w:ascii="Times New Roman" w:hAnsi="Times New Roman" w:cs="Times New Roman"/>
        </w:rPr>
        <w:t xml:space="preserve">brought for an improper purpose such as the harassment and oppression of other parties (see </w:t>
      </w:r>
      <w:r w:rsidR="00924BCD">
        <w:rPr>
          <w:rFonts w:ascii="Times New Roman" w:hAnsi="Times New Roman" w:cs="Times New Roman"/>
          <w:i/>
        </w:rPr>
        <w:t xml:space="preserve">Riordan v. Ireland </w:t>
      </w:r>
      <w:r w:rsidR="001F05A9">
        <w:rPr>
          <w:rFonts w:ascii="Times New Roman" w:hAnsi="Times New Roman" w:cs="Times New Roman"/>
          <w:i/>
        </w:rPr>
        <w:t>(</w:t>
      </w:r>
      <w:r w:rsidR="00924BCD">
        <w:rPr>
          <w:rFonts w:ascii="Times New Roman" w:hAnsi="Times New Roman" w:cs="Times New Roman"/>
          <w:i/>
        </w:rPr>
        <w:t>No. 5</w:t>
      </w:r>
      <w:r w:rsidR="001F05A9">
        <w:rPr>
          <w:rFonts w:ascii="Times New Roman" w:hAnsi="Times New Roman" w:cs="Times New Roman"/>
          <w:i/>
        </w:rPr>
        <w:t>)</w:t>
      </w:r>
      <w:r w:rsidR="00924BCD">
        <w:rPr>
          <w:rFonts w:ascii="Times New Roman" w:hAnsi="Times New Roman" w:cs="Times New Roman"/>
          <w:i/>
        </w:rPr>
        <w:t xml:space="preserve"> </w:t>
      </w:r>
      <w:r w:rsidR="00924BCD">
        <w:rPr>
          <w:rFonts w:ascii="Times New Roman" w:hAnsi="Times New Roman" w:cs="Times New Roman"/>
        </w:rPr>
        <w:t>[2001] 4 IR 463</w:t>
      </w:r>
      <w:r w:rsidR="00E137CE">
        <w:rPr>
          <w:rFonts w:ascii="Times New Roman" w:hAnsi="Times New Roman" w:cs="Times New Roman"/>
        </w:rPr>
        <w:t xml:space="preserve"> at p. 466</w:t>
      </w:r>
      <w:r w:rsidR="00924BCD">
        <w:rPr>
          <w:rFonts w:ascii="Times New Roman" w:hAnsi="Times New Roman" w:cs="Times New Roman"/>
        </w:rPr>
        <w:t>).</w:t>
      </w:r>
    </w:p>
    <w:p w14:paraId="66855570" w14:textId="77777777" w:rsidR="00E1599F" w:rsidRPr="00E1599F" w:rsidRDefault="00E1599F" w:rsidP="00E1599F">
      <w:pPr>
        <w:pStyle w:val="ListParagraph"/>
        <w:rPr>
          <w:rFonts w:ascii="Times New Roman" w:hAnsi="Times New Roman" w:cs="Times New Roman"/>
        </w:rPr>
      </w:pPr>
    </w:p>
    <w:p w14:paraId="242B9CEE" w14:textId="77777777" w:rsidR="00687536" w:rsidRDefault="00E1599F"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Third, </w:t>
      </w:r>
      <w:r w:rsidR="002B7E99">
        <w:rPr>
          <w:rFonts w:ascii="Times New Roman" w:hAnsi="Times New Roman" w:cs="Times New Roman"/>
        </w:rPr>
        <w:t>the phrase ‘</w:t>
      </w:r>
      <w:r w:rsidR="002B7E99">
        <w:rPr>
          <w:rFonts w:ascii="Times New Roman" w:hAnsi="Times New Roman" w:cs="Times New Roman"/>
          <w:i/>
        </w:rPr>
        <w:t>bad faith or without reasonable care’</w:t>
      </w:r>
      <w:r w:rsidR="002B7E99">
        <w:rPr>
          <w:rFonts w:ascii="Times New Roman" w:hAnsi="Times New Roman" w:cs="Times New Roman"/>
        </w:rPr>
        <w:t xml:space="preserve"> </w:t>
      </w:r>
      <w:r w:rsidR="00376919">
        <w:rPr>
          <w:rFonts w:ascii="Times New Roman" w:hAnsi="Times New Roman" w:cs="Times New Roman"/>
        </w:rPr>
        <w:t>exercises</w:t>
      </w:r>
      <w:r w:rsidR="002B7E99">
        <w:rPr>
          <w:rFonts w:ascii="Times New Roman" w:hAnsi="Times New Roman" w:cs="Times New Roman"/>
        </w:rPr>
        <w:t xml:space="preserve"> two different </w:t>
      </w:r>
      <w:r w:rsidR="00E137CE">
        <w:rPr>
          <w:rFonts w:ascii="Times New Roman" w:hAnsi="Times New Roman" w:cs="Times New Roman"/>
        </w:rPr>
        <w:t>functions</w:t>
      </w:r>
      <w:r w:rsidR="00C7223B">
        <w:rPr>
          <w:rFonts w:ascii="Times New Roman" w:hAnsi="Times New Roman" w:cs="Times New Roman"/>
        </w:rPr>
        <w:t xml:space="preserve"> in the section.</w:t>
      </w:r>
      <w:r w:rsidR="002B7E99">
        <w:rPr>
          <w:rFonts w:ascii="Times New Roman" w:hAnsi="Times New Roman" w:cs="Times New Roman"/>
        </w:rPr>
        <w:t xml:space="preserve">  The plaintiff can only succeed in his or her claim if such bad faith or lack of reasonable care </w:t>
      </w:r>
      <w:r w:rsidR="00E137CE">
        <w:rPr>
          <w:rFonts w:ascii="Times New Roman" w:hAnsi="Times New Roman" w:cs="Times New Roman"/>
        </w:rPr>
        <w:t>is</w:t>
      </w:r>
      <w:r w:rsidR="002B7E99">
        <w:rPr>
          <w:rFonts w:ascii="Times New Roman" w:hAnsi="Times New Roman" w:cs="Times New Roman"/>
        </w:rPr>
        <w:t xml:space="preserve"> established.  A </w:t>
      </w:r>
      <w:r w:rsidR="00B670B4">
        <w:rPr>
          <w:rFonts w:ascii="Times New Roman" w:hAnsi="Times New Roman" w:cs="Times New Roman"/>
        </w:rPr>
        <w:t xml:space="preserve">claim </w:t>
      </w:r>
      <w:r w:rsidR="002B7E99">
        <w:rPr>
          <w:rFonts w:ascii="Times New Roman" w:hAnsi="Times New Roman" w:cs="Times New Roman"/>
        </w:rPr>
        <w:t xml:space="preserve">which does not incorporate one of these elements is a cause of action in respect of which a plaintiff may </w:t>
      </w:r>
      <w:r w:rsidR="00033BA7">
        <w:rPr>
          <w:rFonts w:ascii="Times New Roman" w:hAnsi="Times New Roman" w:cs="Times New Roman"/>
        </w:rPr>
        <w:t xml:space="preserve">not </w:t>
      </w:r>
      <w:r w:rsidR="00B855A5">
        <w:rPr>
          <w:rFonts w:ascii="Times New Roman" w:hAnsi="Times New Roman" w:cs="Times New Roman"/>
        </w:rPr>
        <w:t xml:space="preserve">as a matter of law </w:t>
      </w:r>
      <w:r w:rsidR="002B7E99">
        <w:rPr>
          <w:rFonts w:ascii="Times New Roman" w:hAnsi="Times New Roman" w:cs="Times New Roman"/>
        </w:rPr>
        <w:t xml:space="preserve">be </w:t>
      </w:r>
      <w:r w:rsidR="00033BA7">
        <w:rPr>
          <w:rFonts w:ascii="Times New Roman" w:hAnsi="Times New Roman" w:cs="Times New Roman"/>
        </w:rPr>
        <w:t>granted leave under s.73.</w:t>
      </w:r>
    </w:p>
    <w:p w14:paraId="38302EE1" w14:textId="77777777" w:rsidR="00687536" w:rsidRPr="00687536" w:rsidRDefault="00687536" w:rsidP="00687536">
      <w:pPr>
        <w:pStyle w:val="ListParagraph"/>
        <w:rPr>
          <w:rFonts w:ascii="Times New Roman" w:hAnsi="Times New Roman" w:cs="Times New Roman"/>
        </w:rPr>
      </w:pPr>
    </w:p>
    <w:p w14:paraId="2B832E1A" w14:textId="77777777" w:rsidR="00E1599F" w:rsidRDefault="00687536"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Fourth, a</w:t>
      </w:r>
      <w:r w:rsidR="0080639C">
        <w:rPr>
          <w:rFonts w:ascii="Times New Roman" w:hAnsi="Times New Roman" w:cs="Times New Roman"/>
        </w:rPr>
        <w:t>nd following from this</w:t>
      </w:r>
      <w:r w:rsidR="00B855A5">
        <w:rPr>
          <w:rFonts w:ascii="Times New Roman" w:hAnsi="Times New Roman" w:cs="Times New Roman"/>
        </w:rPr>
        <w:t xml:space="preserve">, </w:t>
      </w:r>
      <w:r w:rsidR="00A05F54">
        <w:rPr>
          <w:rFonts w:ascii="Times New Roman" w:hAnsi="Times New Roman" w:cs="Times New Roman"/>
        </w:rPr>
        <w:t>before it can refuse leave the court must be satisfied that there are no reasonable grounds for contending that the proposed defendant acted in bad faith or without reasonable care.  The double negative is confusing, but the p</w:t>
      </w:r>
      <w:r w:rsidR="007116C6">
        <w:rPr>
          <w:rFonts w:ascii="Times New Roman" w:hAnsi="Times New Roman" w:cs="Times New Roman"/>
        </w:rPr>
        <w:t xml:space="preserve">roper test </w:t>
      </w:r>
      <w:r w:rsidR="00A05F54">
        <w:rPr>
          <w:rFonts w:ascii="Times New Roman" w:hAnsi="Times New Roman" w:cs="Times New Roman"/>
        </w:rPr>
        <w:t xml:space="preserve">was well </w:t>
      </w:r>
      <w:r w:rsidR="007116C6">
        <w:rPr>
          <w:rFonts w:ascii="Times New Roman" w:hAnsi="Times New Roman" w:cs="Times New Roman"/>
        </w:rPr>
        <w:t xml:space="preserve">formulated </w:t>
      </w:r>
      <w:r w:rsidR="00A05F54">
        <w:rPr>
          <w:rFonts w:ascii="Times New Roman" w:hAnsi="Times New Roman" w:cs="Times New Roman"/>
        </w:rPr>
        <w:t>by Clarke J.</w:t>
      </w:r>
      <w:r w:rsidR="001F05A9">
        <w:rPr>
          <w:rFonts w:ascii="Times New Roman" w:hAnsi="Times New Roman" w:cs="Times New Roman"/>
        </w:rPr>
        <w:t xml:space="preserve"> (as he then was)</w:t>
      </w:r>
      <w:r w:rsidR="00A05F54">
        <w:rPr>
          <w:rFonts w:ascii="Times New Roman" w:hAnsi="Times New Roman" w:cs="Times New Roman"/>
        </w:rPr>
        <w:t xml:space="preserve"> in </w:t>
      </w:r>
      <w:r w:rsidR="00A05F54">
        <w:rPr>
          <w:rFonts w:ascii="Times New Roman" w:hAnsi="Times New Roman" w:cs="Times New Roman"/>
          <w:i/>
        </w:rPr>
        <w:t xml:space="preserve">AL v. The Clinical Director of St. Patrick’s Hospital and </w:t>
      </w:r>
      <w:proofErr w:type="spellStart"/>
      <w:r w:rsidR="00A05F54">
        <w:rPr>
          <w:rFonts w:ascii="Times New Roman" w:hAnsi="Times New Roman" w:cs="Times New Roman"/>
          <w:i/>
        </w:rPr>
        <w:t>anor</w:t>
      </w:r>
      <w:proofErr w:type="spellEnd"/>
      <w:r w:rsidR="00A05F54">
        <w:rPr>
          <w:rFonts w:ascii="Times New Roman" w:hAnsi="Times New Roman" w:cs="Times New Roman"/>
          <w:i/>
        </w:rPr>
        <w:t xml:space="preserve">. </w:t>
      </w:r>
      <w:r w:rsidR="00A05F54">
        <w:rPr>
          <w:rFonts w:ascii="Times New Roman" w:hAnsi="Times New Roman" w:cs="Times New Roman"/>
        </w:rPr>
        <w:t>[2010] IEHC 62</w:t>
      </w:r>
      <w:r w:rsidR="005B79DF">
        <w:rPr>
          <w:rFonts w:ascii="Times New Roman" w:hAnsi="Times New Roman" w:cs="Times New Roman"/>
        </w:rPr>
        <w:t xml:space="preserve">, [2010] 3 IR 537 </w:t>
      </w:r>
      <w:r w:rsidR="00A05F54">
        <w:rPr>
          <w:rFonts w:ascii="Times New Roman" w:hAnsi="Times New Roman" w:cs="Times New Roman"/>
        </w:rPr>
        <w:t xml:space="preserve">at para.  </w:t>
      </w:r>
      <w:r w:rsidR="005B79DF">
        <w:rPr>
          <w:rFonts w:ascii="Times New Roman" w:hAnsi="Times New Roman" w:cs="Times New Roman"/>
        </w:rPr>
        <w:t>11</w:t>
      </w:r>
      <w:r w:rsidR="00A05F54">
        <w:rPr>
          <w:rFonts w:ascii="Times New Roman" w:hAnsi="Times New Roman" w:cs="Times New Roman"/>
        </w:rPr>
        <w:t>: ‘</w:t>
      </w:r>
      <w:r w:rsidR="00A05F54">
        <w:rPr>
          <w:rFonts w:ascii="Times New Roman" w:hAnsi="Times New Roman" w:cs="Times New Roman"/>
          <w:i/>
        </w:rPr>
        <w:t xml:space="preserve">where … there is any legitimate basis on which </w:t>
      </w:r>
      <w:r w:rsidR="001F05A9">
        <w:rPr>
          <w:rFonts w:ascii="Times New Roman" w:hAnsi="Times New Roman" w:cs="Times New Roman"/>
          <w:i/>
        </w:rPr>
        <w:t>a</w:t>
      </w:r>
      <w:r w:rsidR="00A05F54">
        <w:rPr>
          <w:rFonts w:ascii="Times New Roman" w:hAnsi="Times New Roman" w:cs="Times New Roman"/>
          <w:i/>
        </w:rPr>
        <w:t xml:space="preserve"> court might arguably conclude that a relevant </w:t>
      </w:r>
      <w:r w:rsidR="001F05A9">
        <w:rPr>
          <w:rFonts w:ascii="Times New Roman" w:hAnsi="Times New Roman" w:cs="Times New Roman"/>
          <w:i/>
        </w:rPr>
        <w:t>intended defendant</w:t>
      </w:r>
      <w:r w:rsidR="00A05F54">
        <w:rPr>
          <w:rFonts w:ascii="Times New Roman" w:hAnsi="Times New Roman" w:cs="Times New Roman"/>
          <w:i/>
        </w:rPr>
        <w:t xml:space="preserve"> had acted without reasonable care</w:t>
      </w:r>
      <w:r w:rsidR="004E224E">
        <w:rPr>
          <w:rFonts w:ascii="Times New Roman" w:hAnsi="Times New Roman" w:cs="Times New Roman"/>
          <w:i/>
        </w:rPr>
        <w:t>,</w:t>
      </w:r>
      <w:r w:rsidR="00A05F54">
        <w:rPr>
          <w:rFonts w:ascii="Times New Roman" w:hAnsi="Times New Roman" w:cs="Times New Roman"/>
          <w:i/>
        </w:rPr>
        <w:t xml:space="preserve"> then it follows that </w:t>
      </w:r>
      <w:r w:rsidR="00A05F54">
        <w:rPr>
          <w:rFonts w:ascii="Times New Roman" w:hAnsi="Times New Roman" w:cs="Times New Roman"/>
          <w:i/>
        </w:rPr>
        <w:lastRenderedPageBreak/>
        <w:t xml:space="preserve">leave must be granted’.  </w:t>
      </w:r>
      <w:r w:rsidR="00A05F54">
        <w:rPr>
          <w:rFonts w:ascii="Times New Roman" w:hAnsi="Times New Roman" w:cs="Times New Roman"/>
        </w:rPr>
        <w:t xml:space="preserve"> At the same time the </w:t>
      </w:r>
      <w:r w:rsidR="00924BCD">
        <w:rPr>
          <w:rFonts w:ascii="Times New Roman" w:hAnsi="Times New Roman" w:cs="Times New Roman"/>
        </w:rPr>
        <w:t>‘</w:t>
      </w:r>
      <w:r w:rsidR="00924BCD">
        <w:rPr>
          <w:rFonts w:ascii="Times New Roman" w:hAnsi="Times New Roman" w:cs="Times New Roman"/>
          <w:i/>
        </w:rPr>
        <w:t>reasonable grounds’</w:t>
      </w:r>
      <w:r w:rsidR="00924BCD">
        <w:rPr>
          <w:rFonts w:ascii="Times New Roman" w:hAnsi="Times New Roman" w:cs="Times New Roman"/>
        </w:rPr>
        <w:t xml:space="preserve"> for establishing bad faith or absence of reasonable care must be clear (</w:t>
      </w:r>
      <w:r w:rsidR="00924BCD">
        <w:rPr>
          <w:rFonts w:ascii="Times New Roman" w:hAnsi="Times New Roman" w:cs="Times New Roman"/>
          <w:i/>
        </w:rPr>
        <w:t xml:space="preserve">MP v. Health Services Executive and </w:t>
      </w:r>
      <w:proofErr w:type="spellStart"/>
      <w:r w:rsidR="00924BCD">
        <w:rPr>
          <w:rFonts w:ascii="Times New Roman" w:hAnsi="Times New Roman" w:cs="Times New Roman"/>
          <w:i/>
        </w:rPr>
        <w:t>ors</w:t>
      </w:r>
      <w:proofErr w:type="spellEnd"/>
      <w:r w:rsidR="00924BCD">
        <w:rPr>
          <w:rFonts w:ascii="Times New Roman" w:hAnsi="Times New Roman" w:cs="Times New Roman"/>
          <w:i/>
        </w:rPr>
        <w:t xml:space="preserve">. </w:t>
      </w:r>
      <w:r w:rsidR="00924BCD">
        <w:rPr>
          <w:rFonts w:ascii="Times New Roman" w:hAnsi="Times New Roman" w:cs="Times New Roman"/>
        </w:rPr>
        <w:t xml:space="preserve">[2010] IEHC </w:t>
      </w:r>
      <w:r w:rsidR="009369F9">
        <w:rPr>
          <w:rFonts w:ascii="Times New Roman" w:hAnsi="Times New Roman" w:cs="Times New Roman"/>
        </w:rPr>
        <w:t>161</w:t>
      </w:r>
      <w:r w:rsidR="00924BCD">
        <w:rPr>
          <w:rFonts w:ascii="Times New Roman" w:hAnsi="Times New Roman" w:cs="Times New Roman"/>
        </w:rPr>
        <w:t xml:space="preserve"> at para. 69 per </w:t>
      </w:r>
      <w:proofErr w:type="spellStart"/>
      <w:r w:rsidR="00924BCD">
        <w:rPr>
          <w:rFonts w:ascii="Times New Roman" w:hAnsi="Times New Roman" w:cs="Times New Roman"/>
        </w:rPr>
        <w:t>M</w:t>
      </w:r>
      <w:r w:rsidR="004E224E">
        <w:rPr>
          <w:rFonts w:ascii="Times New Roman" w:hAnsi="Times New Roman" w:cs="Times New Roman"/>
        </w:rPr>
        <w:t>a</w:t>
      </w:r>
      <w:r w:rsidR="00924BCD">
        <w:rPr>
          <w:rFonts w:ascii="Times New Roman" w:hAnsi="Times New Roman" w:cs="Times New Roman"/>
        </w:rPr>
        <w:t>cMenamin</w:t>
      </w:r>
      <w:proofErr w:type="spellEnd"/>
      <w:r w:rsidR="00924BCD">
        <w:rPr>
          <w:rFonts w:ascii="Times New Roman" w:hAnsi="Times New Roman" w:cs="Times New Roman"/>
        </w:rPr>
        <w:t xml:space="preserve"> J.)</w:t>
      </w:r>
      <w:r w:rsidR="00B16359">
        <w:rPr>
          <w:rFonts w:ascii="Times New Roman" w:hAnsi="Times New Roman" w:cs="Times New Roman"/>
        </w:rPr>
        <w:t xml:space="preserve">, and the court should </w:t>
      </w:r>
      <w:r w:rsidR="00D432D5">
        <w:rPr>
          <w:rFonts w:ascii="Times New Roman" w:hAnsi="Times New Roman" w:cs="Times New Roman"/>
        </w:rPr>
        <w:t>be conscious that in cases of mental illness, more perhaps than in other situations, a mistaken diagnosis does not of itself constitute a failure to take reasonable care on the part of the doctor (</w:t>
      </w:r>
      <w:r w:rsidR="00D432D5">
        <w:rPr>
          <w:rFonts w:ascii="Times New Roman" w:hAnsi="Times New Roman" w:cs="Times New Roman"/>
          <w:i/>
        </w:rPr>
        <w:t>Bailey v. Gallagher</w:t>
      </w:r>
      <w:r w:rsidR="00D432D5">
        <w:rPr>
          <w:rFonts w:ascii="Times New Roman" w:hAnsi="Times New Roman" w:cs="Times New Roman"/>
        </w:rPr>
        <w:t xml:space="preserve"> [1996] 2 ILRM 433 at </w:t>
      </w:r>
      <w:r w:rsidR="00A805CA">
        <w:rPr>
          <w:rFonts w:ascii="Times New Roman" w:hAnsi="Times New Roman" w:cs="Times New Roman"/>
        </w:rPr>
        <w:t xml:space="preserve">p. </w:t>
      </w:r>
      <w:r w:rsidR="00D432D5">
        <w:rPr>
          <w:rFonts w:ascii="Times New Roman" w:hAnsi="Times New Roman" w:cs="Times New Roman"/>
        </w:rPr>
        <w:t>446 (per Keane J.</w:t>
      </w:r>
      <w:r w:rsidR="00A805CA">
        <w:rPr>
          <w:rFonts w:ascii="Times New Roman" w:hAnsi="Times New Roman" w:cs="Times New Roman"/>
        </w:rPr>
        <w:t xml:space="preserve"> (as he then was)</w:t>
      </w:r>
      <w:r w:rsidR="00725F27">
        <w:rPr>
          <w:rFonts w:ascii="Times New Roman" w:hAnsi="Times New Roman" w:cs="Times New Roman"/>
        </w:rPr>
        <w:t>)</w:t>
      </w:r>
      <w:r w:rsidR="00D432D5">
        <w:rPr>
          <w:rFonts w:ascii="Times New Roman" w:hAnsi="Times New Roman" w:cs="Times New Roman"/>
        </w:rPr>
        <w:t>.</w:t>
      </w:r>
    </w:p>
    <w:p w14:paraId="628C7668" w14:textId="77777777" w:rsidR="007A4F07" w:rsidRPr="007A4F07" w:rsidRDefault="007A4F07" w:rsidP="007A4F07">
      <w:pPr>
        <w:pStyle w:val="ListParagraph"/>
        <w:rPr>
          <w:rFonts w:ascii="Times New Roman" w:hAnsi="Times New Roman" w:cs="Times New Roman"/>
        </w:rPr>
      </w:pPr>
    </w:p>
    <w:p w14:paraId="41A76140" w14:textId="77777777" w:rsidR="007A4F07" w:rsidRDefault="007A4F07"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Fifth, </w:t>
      </w:r>
      <w:r w:rsidR="004E41CC">
        <w:rPr>
          <w:rFonts w:ascii="Times New Roman" w:hAnsi="Times New Roman" w:cs="Times New Roman"/>
        </w:rPr>
        <w:t xml:space="preserve">while </w:t>
      </w:r>
      <w:r>
        <w:rPr>
          <w:rFonts w:ascii="Times New Roman" w:hAnsi="Times New Roman" w:cs="Times New Roman"/>
        </w:rPr>
        <w:t>the reference to ‘</w:t>
      </w:r>
      <w:r>
        <w:rPr>
          <w:rFonts w:ascii="Times New Roman" w:hAnsi="Times New Roman" w:cs="Times New Roman"/>
          <w:i/>
        </w:rPr>
        <w:t xml:space="preserve">bad faith’ </w:t>
      </w:r>
      <w:r>
        <w:rPr>
          <w:rFonts w:ascii="Times New Roman" w:hAnsi="Times New Roman" w:cs="Times New Roman"/>
        </w:rPr>
        <w:t>requires little elaboration, the term ‘</w:t>
      </w:r>
      <w:r>
        <w:rPr>
          <w:rFonts w:ascii="Times New Roman" w:hAnsi="Times New Roman" w:cs="Times New Roman"/>
          <w:i/>
        </w:rPr>
        <w:t xml:space="preserve">without reasonable care’ </w:t>
      </w:r>
      <w:r>
        <w:rPr>
          <w:rFonts w:ascii="Times New Roman" w:hAnsi="Times New Roman" w:cs="Times New Roman"/>
        </w:rPr>
        <w:t>must be understood as referring not simply to an absence of proper medical care, but as also capturing an obligation to use care in ensuring that persons are not committed to unlawful custody (</w:t>
      </w:r>
      <w:r>
        <w:rPr>
          <w:rFonts w:ascii="Times New Roman" w:hAnsi="Times New Roman" w:cs="Times New Roman"/>
          <w:i/>
        </w:rPr>
        <w:t xml:space="preserve">AL v. Clinical Director of S. Patrick’s Hospital </w:t>
      </w:r>
      <w:r>
        <w:rPr>
          <w:rFonts w:ascii="Times New Roman" w:hAnsi="Times New Roman" w:cs="Times New Roman"/>
        </w:rPr>
        <w:t xml:space="preserve"> at para. 8 per Clarke J.).  This includes ‘</w:t>
      </w:r>
      <w:r>
        <w:rPr>
          <w:rFonts w:ascii="Times New Roman" w:hAnsi="Times New Roman" w:cs="Times New Roman"/>
          <w:i/>
        </w:rPr>
        <w:t xml:space="preserve">a breach of duty of care on the part of a doctor or hospital arising out of the procedures, followed or not followed in the course of putting in place the necessary measures required to procure the detention of a patient’ </w:t>
      </w:r>
      <w:r>
        <w:rPr>
          <w:rFonts w:ascii="Times New Roman" w:hAnsi="Times New Roman" w:cs="Times New Roman"/>
        </w:rPr>
        <w:t>(</w:t>
      </w:r>
      <w:r>
        <w:rPr>
          <w:rFonts w:ascii="Times New Roman" w:hAnsi="Times New Roman" w:cs="Times New Roman"/>
          <w:i/>
        </w:rPr>
        <w:t xml:space="preserve">AL </w:t>
      </w:r>
      <w:proofErr w:type="spellStart"/>
      <w:r>
        <w:rPr>
          <w:rFonts w:ascii="Times New Roman" w:hAnsi="Times New Roman" w:cs="Times New Roman"/>
          <w:i/>
        </w:rPr>
        <w:t>v.Clinical</w:t>
      </w:r>
      <w:proofErr w:type="spellEnd"/>
      <w:r>
        <w:rPr>
          <w:rFonts w:ascii="Times New Roman" w:hAnsi="Times New Roman" w:cs="Times New Roman"/>
          <w:i/>
        </w:rPr>
        <w:t xml:space="preserve"> Director of St. Patrick’s Hospital </w:t>
      </w:r>
      <w:r>
        <w:rPr>
          <w:rFonts w:ascii="Times New Roman" w:hAnsi="Times New Roman" w:cs="Times New Roman"/>
        </w:rPr>
        <w:t>at para. 9).</w:t>
      </w:r>
      <w:r w:rsidR="00432DD6">
        <w:rPr>
          <w:rFonts w:ascii="Times New Roman" w:hAnsi="Times New Roman" w:cs="Times New Roman"/>
        </w:rPr>
        <w:t xml:space="preserve"> </w:t>
      </w:r>
      <w:r w:rsidR="0063345F">
        <w:rPr>
          <w:rFonts w:ascii="Times New Roman" w:hAnsi="Times New Roman" w:cs="Times New Roman"/>
        </w:rPr>
        <w:t xml:space="preserve"> Th</w:t>
      </w:r>
      <w:r w:rsidR="005F4AAA">
        <w:rPr>
          <w:rFonts w:ascii="Times New Roman" w:hAnsi="Times New Roman" w:cs="Times New Roman"/>
        </w:rPr>
        <w:t xml:space="preserve">e same point was made by O’Flaherty J. in </w:t>
      </w:r>
      <w:proofErr w:type="spellStart"/>
      <w:r w:rsidR="005F4AAA">
        <w:rPr>
          <w:rFonts w:ascii="Times New Roman" w:hAnsi="Times New Roman" w:cs="Times New Roman"/>
          <w:i/>
        </w:rPr>
        <w:t>Melly</w:t>
      </w:r>
      <w:proofErr w:type="spellEnd"/>
      <w:r w:rsidR="005F4AAA">
        <w:rPr>
          <w:rFonts w:ascii="Times New Roman" w:hAnsi="Times New Roman" w:cs="Times New Roman"/>
          <w:i/>
        </w:rPr>
        <w:t xml:space="preserve"> v. Moran </w:t>
      </w:r>
      <w:r w:rsidR="00A805CA">
        <w:rPr>
          <w:rFonts w:ascii="Times New Roman" w:hAnsi="Times New Roman" w:cs="Times New Roman"/>
          <w:iCs/>
        </w:rPr>
        <w:t>(</w:t>
      </w:r>
      <w:r w:rsidR="005F4AAA">
        <w:rPr>
          <w:rFonts w:ascii="Times New Roman" w:hAnsi="Times New Roman" w:cs="Times New Roman"/>
        </w:rPr>
        <w:t>Unreported</w:t>
      </w:r>
      <w:r w:rsidR="00A805CA">
        <w:rPr>
          <w:rFonts w:ascii="Times New Roman" w:hAnsi="Times New Roman" w:cs="Times New Roman"/>
        </w:rPr>
        <w:t>,</w:t>
      </w:r>
      <w:r w:rsidR="005F4AAA">
        <w:rPr>
          <w:rFonts w:ascii="Times New Roman" w:hAnsi="Times New Roman" w:cs="Times New Roman"/>
        </w:rPr>
        <w:t xml:space="preserve"> Supreme Court</w:t>
      </w:r>
      <w:r w:rsidR="00A805CA">
        <w:rPr>
          <w:rFonts w:ascii="Times New Roman" w:hAnsi="Times New Roman" w:cs="Times New Roman"/>
        </w:rPr>
        <w:t>,</w:t>
      </w:r>
      <w:r w:rsidR="005F4AAA">
        <w:rPr>
          <w:rFonts w:ascii="Times New Roman" w:hAnsi="Times New Roman" w:cs="Times New Roman"/>
        </w:rPr>
        <w:t xml:space="preserve"> 28 May 1998</w:t>
      </w:r>
      <w:r w:rsidR="00A805CA">
        <w:rPr>
          <w:rFonts w:ascii="Times New Roman" w:hAnsi="Times New Roman" w:cs="Times New Roman"/>
        </w:rPr>
        <w:t>)</w:t>
      </w:r>
      <w:r w:rsidR="0063345F">
        <w:rPr>
          <w:rFonts w:ascii="Times New Roman" w:hAnsi="Times New Roman" w:cs="Times New Roman"/>
          <w:i/>
        </w:rPr>
        <w:t xml:space="preserve">.  </w:t>
      </w:r>
      <w:r w:rsidR="00432DD6">
        <w:rPr>
          <w:rFonts w:ascii="Times New Roman" w:hAnsi="Times New Roman" w:cs="Times New Roman"/>
        </w:rPr>
        <w:t>In applying these preconditions the court should keep firmly in sight the purpose and limits of the legislation.  It is, I think, hard to improve on the summary in the judgment of Vaughan Williams LJ</w:t>
      </w:r>
      <w:r w:rsidR="00A805CA">
        <w:rPr>
          <w:rFonts w:ascii="Times New Roman" w:hAnsi="Times New Roman" w:cs="Times New Roman"/>
        </w:rPr>
        <w:t>.</w:t>
      </w:r>
      <w:r w:rsidR="00432DD6">
        <w:rPr>
          <w:rFonts w:ascii="Times New Roman" w:hAnsi="Times New Roman" w:cs="Times New Roman"/>
        </w:rPr>
        <w:t xml:space="preserve"> in </w:t>
      </w:r>
      <w:r w:rsidR="00432DD6">
        <w:rPr>
          <w:rFonts w:ascii="Times New Roman" w:hAnsi="Times New Roman" w:cs="Times New Roman"/>
          <w:i/>
        </w:rPr>
        <w:t xml:space="preserve">Shackleton v. Swift </w:t>
      </w:r>
      <w:r w:rsidR="00432DD6">
        <w:rPr>
          <w:rFonts w:ascii="Times New Roman" w:hAnsi="Times New Roman" w:cs="Times New Roman"/>
        </w:rPr>
        <w:t xml:space="preserve">[1913] 2 KB 304, </w:t>
      </w:r>
      <w:r w:rsidR="00A805CA">
        <w:rPr>
          <w:rFonts w:ascii="Times New Roman" w:hAnsi="Times New Roman" w:cs="Times New Roman"/>
        </w:rPr>
        <w:t xml:space="preserve">at p. </w:t>
      </w:r>
      <w:r w:rsidR="00432DD6">
        <w:rPr>
          <w:rFonts w:ascii="Times New Roman" w:hAnsi="Times New Roman" w:cs="Times New Roman"/>
        </w:rPr>
        <w:t>316: s</w:t>
      </w:r>
      <w:r w:rsidR="00A805CA">
        <w:rPr>
          <w:rFonts w:ascii="Times New Roman" w:hAnsi="Times New Roman" w:cs="Times New Roman"/>
        </w:rPr>
        <w:t>.</w:t>
      </w:r>
      <w:r w:rsidR="00432DD6">
        <w:rPr>
          <w:rFonts w:ascii="Times New Roman" w:hAnsi="Times New Roman" w:cs="Times New Roman"/>
        </w:rPr>
        <w:t xml:space="preserve"> 330 of the 1890 Act, he said ‘</w:t>
      </w:r>
      <w:r w:rsidR="00432DD6">
        <w:rPr>
          <w:rFonts w:ascii="Times New Roman" w:hAnsi="Times New Roman" w:cs="Times New Roman"/>
          <w:i/>
        </w:rPr>
        <w:t>gives special protection to those officers and others acting under the powers of this Act in cases where, although they may have misconstrued the Act and although they may have done things which there was no jurisdiction to do, they have acted in good faith and in a reasonable manner’</w:t>
      </w:r>
      <w:r w:rsidR="00432DD6">
        <w:rPr>
          <w:rFonts w:ascii="Times New Roman" w:hAnsi="Times New Roman" w:cs="Times New Roman"/>
        </w:rPr>
        <w:t>.</w:t>
      </w:r>
    </w:p>
    <w:p w14:paraId="4D4ABC8D" w14:textId="77777777" w:rsidR="00211C3D" w:rsidRPr="00211C3D" w:rsidRDefault="00211C3D" w:rsidP="00211C3D">
      <w:pPr>
        <w:pStyle w:val="ListParagraph"/>
        <w:rPr>
          <w:rFonts w:ascii="Times New Roman" w:hAnsi="Times New Roman" w:cs="Times New Roman"/>
        </w:rPr>
      </w:pPr>
    </w:p>
    <w:p w14:paraId="47304111" w14:textId="77777777" w:rsidR="00211C3D" w:rsidRPr="00211C3D" w:rsidRDefault="00211C3D" w:rsidP="00211C3D">
      <w:pPr>
        <w:pStyle w:val="ListParagraph"/>
        <w:numPr>
          <w:ilvl w:val="0"/>
          <w:numId w:val="4"/>
        </w:numPr>
        <w:spacing w:before="240" w:line="480" w:lineRule="auto"/>
        <w:jc w:val="both"/>
        <w:rPr>
          <w:rFonts w:ascii="Times New Roman" w:hAnsi="Times New Roman" w:cs="Times New Roman"/>
        </w:rPr>
      </w:pPr>
      <w:r w:rsidRPr="00211C3D">
        <w:rPr>
          <w:rFonts w:ascii="Times New Roman" w:hAnsi="Times New Roman" w:cs="Times New Roman"/>
        </w:rPr>
        <w:lastRenderedPageBreak/>
        <w:t xml:space="preserve">In applying these principles to the case at hand, </w:t>
      </w:r>
      <w:r w:rsidR="00897019">
        <w:rPr>
          <w:rFonts w:ascii="Times New Roman" w:hAnsi="Times New Roman" w:cs="Times New Roman"/>
        </w:rPr>
        <w:t xml:space="preserve">I gratefully adopt the detailed account of the evidence in the judgment of Pilkington </w:t>
      </w:r>
      <w:r w:rsidR="00397F9F">
        <w:rPr>
          <w:rFonts w:ascii="Times New Roman" w:hAnsi="Times New Roman" w:cs="Times New Roman"/>
        </w:rPr>
        <w:t>J</w:t>
      </w:r>
      <w:r w:rsidR="00897019">
        <w:rPr>
          <w:rFonts w:ascii="Times New Roman" w:hAnsi="Times New Roman" w:cs="Times New Roman"/>
        </w:rPr>
        <w:t xml:space="preserve">.  As is clear from that account, </w:t>
      </w:r>
      <w:r w:rsidRPr="00211C3D">
        <w:rPr>
          <w:rFonts w:ascii="Times New Roman" w:hAnsi="Times New Roman" w:cs="Times New Roman"/>
        </w:rPr>
        <w:t xml:space="preserve">the </w:t>
      </w:r>
      <w:r w:rsidR="00015C04">
        <w:rPr>
          <w:rFonts w:ascii="Times New Roman" w:hAnsi="Times New Roman" w:cs="Times New Roman"/>
        </w:rPr>
        <w:t>appellant</w:t>
      </w:r>
      <w:r w:rsidRPr="00211C3D">
        <w:rPr>
          <w:rFonts w:ascii="Times New Roman" w:hAnsi="Times New Roman" w:cs="Times New Roman"/>
        </w:rPr>
        <w:t xml:space="preserve">’s </w:t>
      </w:r>
      <w:r>
        <w:rPr>
          <w:rFonts w:ascii="Times New Roman" w:hAnsi="Times New Roman" w:cs="Times New Roman"/>
        </w:rPr>
        <w:t xml:space="preserve">complaint as </w:t>
      </w:r>
      <w:r w:rsidR="00897019">
        <w:rPr>
          <w:rFonts w:ascii="Times New Roman" w:hAnsi="Times New Roman" w:cs="Times New Roman"/>
        </w:rPr>
        <w:t xml:space="preserve">recorded in the proposed Civil Bill furnished to this court is that the proposed defendant falsely signed off the Form 5, thereby contravening his rights under the Mental </w:t>
      </w:r>
      <w:r w:rsidR="009369F9">
        <w:rPr>
          <w:rFonts w:ascii="Times New Roman" w:hAnsi="Times New Roman" w:cs="Times New Roman"/>
        </w:rPr>
        <w:t>Health</w:t>
      </w:r>
      <w:r w:rsidR="00897019">
        <w:rPr>
          <w:rFonts w:ascii="Times New Roman" w:hAnsi="Times New Roman" w:cs="Times New Roman"/>
        </w:rPr>
        <w:t xml:space="preserve"> Act 2001. In that regard he complains that the </w:t>
      </w:r>
      <w:r w:rsidR="00015C04">
        <w:rPr>
          <w:rFonts w:ascii="Times New Roman" w:hAnsi="Times New Roman" w:cs="Times New Roman"/>
        </w:rPr>
        <w:t>respondent</w:t>
      </w:r>
      <w:r w:rsidR="00897019">
        <w:rPr>
          <w:rFonts w:ascii="Times New Roman" w:hAnsi="Times New Roman" w:cs="Times New Roman"/>
        </w:rPr>
        <w:t xml:space="preserve"> did not inform the </w:t>
      </w:r>
      <w:r w:rsidR="00033BA7">
        <w:rPr>
          <w:rFonts w:ascii="Times New Roman" w:hAnsi="Times New Roman" w:cs="Times New Roman"/>
        </w:rPr>
        <w:t>appellant</w:t>
      </w:r>
      <w:r w:rsidR="00897019">
        <w:rPr>
          <w:rFonts w:ascii="Times New Roman" w:hAnsi="Times New Roman" w:cs="Times New Roman"/>
        </w:rPr>
        <w:t xml:space="preserve"> that he was engaging in any assessment for the purposes of that Act beforehand and that he did not conduct an examination of the </w:t>
      </w:r>
      <w:r w:rsidR="00033BA7">
        <w:rPr>
          <w:rFonts w:ascii="Times New Roman" w:hAnsi="Times New Roman" w:cs="Times New Roman"/>
        </w:rPr>
        <w:t>appellant</w:t>
      </w:r>
      <w:r w:rsidR="00897019">
        <w:rPr>
          <w:rFonts w:ascii="Times New Roman" w:hAnsi="Times New Roman" w:cs="Times New Roman"/>
        </w:rPr>
        <w:t>, in the sense of ‘</w:t>
      </w:r>
      <w:r w:rsidR="00897019">
        <w:rPr>
          <w:rFonts w:ascii="Times New Roman" w:hAnsi="Times New Roman" w:cs="Times New Roman"/>
          <w:i/>
        </w:rPr>
        <w:t>a proactive psychological assessment, not merely a purely physical examination by stethoscope, blood test/pressure, ECG’.</w:t>
      </w:r>
      <w:r w:rsidR="00897019">
        <w:rPr>
          <w:rFonts w:ascii="Times New Roman" w:hAnsi="Times New Roman" w:cs="Times New Roman"/>
        </w:rPr>
        <w:t xml:space="preserve">  He draws attention to the fact that the </w:t>
      </w:r>
      <w:r w:rsidR="00033BA7">
        <w:rPr>
          <w:rFonts w:ascii="Times New Roman" w:hAnsi="Times New Roman" w:cs="Times New Roman"/>
        </w:rPr>
        <w:t xml:space="preserve">respondent </w:t>
      </w:r>
      <w:r w:rsidR="00897019">
        <w:rPr>
          <w:rFonts w:ascii="Times New Roman" w:hAnsi="Times New Roman" w:cs="Times New Roman"/>
        </w:rPr>
        <w:t xml:space="preserve">left the police station in question stating that the </w:t>
      </w:r>
      <w:r w:rsidR="00DA1388">
        <w:rPr>
          <w:rFonts w:ascii="Times New Roman" w:hAnsi="Times New Roman" w:cs="Times New Roman"/>
        </w:rPr>
        <w:t xml:space="preserve">appellant </w:t>
      </w:r>
      <w:r w:rsidR="00897019">
        <w:rPr>
          <w:rFonts w:ascii="Times New Roman" w:hAnsi="Times New Roman" w:cs="Times New Roman"/>
        </w:rPr>
        <w:t>was fit for interview</w:t>
      </w:r>
      <w:r w:rsidR="00DB2AF9">
        <w:rPr>
          <w:rFonts w:ascii="Times New Roman" w:hAnsi="Times New Roman" w:cs="Times New Roman"/>
        </w:rPr>
        <w:t xml:space="preserve">. </w:t>
      </w:r>
      <w:r w:rsidR="00897019">
        <w:rPr>
          <w:rFonts w:ascii="Times New Roman" w:hAnsi="Times New Roman" w:cs="Times New Roman"/>
        </w:rPr>
        <w:t xml:space="preserve">He claims that the </w:t>
      </w:r>
      <w:r w:rsidR="00033BA7">
        <w:rPr>
          <w:rFonts w:ascii="Times New Roman" w:hAnsi="Times New Roman" w:cs="Times New Roman"/>
        </w:rPr>
        <w:t>respondent</w:t>
      </w:r>
      <w:r w:rsidR="00897019">
        <w:rPr>
          <w:rFonts w:ascii="Times New Roman" w:hAnsi="Times New Roman" w:cs="Times New Roman"/>
        </w:rPr>
        <w:t xml:space="preserve"> failed to follow the required procedures, did not establish the relevant statutory requirements before signing the Form D5, and was induced wrongly by the Garda</w:t>
      </w:r>
      <w:r w:rsidR="009369F9">
        <w:rPr>
          <w:rFonts w:ascii="Times New Roman" w:hAnsi="Times New Roman" w:cs="Times New Roman"/>
        </w:rPr>
        <w:t>í</w:t>
      </w:r>
      <w:r w:rsidR="00897019">
        <w:rPr>
          <w:rFonts w:ascii="Times New Roman" w:hAnsi="Times New Roman" w:cs="Times New Roman"/>
        </w:rPr>
        <w:t xml:space="preserve"> to do so.</w:t>
      </w:r>
    </w:p>
    <w:p w14:paraId="213D0CD5" w14:textId="77777777" w:rsidR="00211C3D" w:rsidRDefault="00897019" w:rsidP="00897019">
      <w:pPr>
        <w:pStyle w:val="ListParagraph"/>
        <w:spacing w:before="240" w:line="480" w:lineRule="auto"/>
        <w:jc w:val="both"/>
        <w:rPr>
          <w:rFonts w:ascii="Times New Roman" w:hAnsi="Times New Roman" w:cs="Times New Roman"/>
        </w:rPr>
      </w:pPr>
      <w:r>
        <w:rPr>
          <w:rFonts w:ascii="Times New Roman" w:hAnsi="Times New Roman" w:cs="Times New Roman"/>
        </w:rPr>
        <w:t xml:space="preserve">  </w:t>
      </w:r>
    </w:p>
    <w:p w14:paraId="3E22112F" w14:textId="77777777" w:rsidR="00897019" w:rsidRDefault="00897019"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It does not need to be said that if </w:t>
      </w:r>
      <w:r w:rsidR="003A5A38">
        <w:rPr>
          <w:rFonts w:ascii="Times New Roman" w:hAnsi="Times New Roman" w:cs="Times New Roman"/>
        </w:rPr>
        <w:t xml:space="preserve">all of </w:t>
      </w:r>
      <w:r>
        <w:rPr>
          <w:rFonts w:ascii="Times New Roman" w:hAnsi="Times New Roman" w:cs="Times New Roman"/>
        </w:rPr>
        <w:t>the</w:t>
      </w:r>
      <w:r w:rsidR="003A5A38">
        <w:rPr>
          <w:rFonts w:ascii="Times New Roman" w:hAnsi="Times New Roman" w:cs="Times New Roman"/>
        </w:rPr>
        <w:t xml:space="preserve"> facts underlying this claim were established at trial, the </w:t>
      </w:r>
      <w:r w:rsidR="00033BA7">
        <w:rPr>
          <w:rFonts w:ascii="Times New Roman" w:hAnsi="Times New Roman" w:cs="Times New Roman"/>
        </w:rPr>
        <w:t xml:space="preserve">appellant </w:t>
      </w:r>
      <w:r w:rsidR="003A5A38">
        <w:rPr>
          <w:rFonts w:ascii="Times New Roman" w:hAnsi="Times New Roman" w:cs="Times New Roman"/>
        </w:rPr>
        <w:t>would enjoy a</w:t>
      </w:r>
      <w:r w:rsidR="00380600">
        <w:rPr>
          <w:rFonts w:ascii="Times New Roman" w:hAnsi="Times New Roman" w:cs="Times New Roman"/>
        </w:rPr>
        <w:t>n arguable</w:t>
      </w:r>
      <w:r w:rsidR="003A5A38">
        <w:rPr>
          <w:rFonts w:ascii="Times New Roman" w:hAnsi="Times New Roman" w:cs="Times New Roman"/>
        </w:rPr>
        <w:t xml:space="preserve"> claim </w:t>
      </w:r>
      <w:r w:rsidR="00033BA7">
        <w:rPr>
          <w:rFonts w:ascii="Times New Roman" w:hAnsi="Times New Roman" w:cs="Times New Roman"/>
        </w:rPr>
        <w:t xml:space="preserve">in law </w:t>
      </w:r>
      <w:r w:rsidR="003A5A38">
        <w:rPr>
          <w:rFonts w:ascii="Times New Roman" w:hAnsi="Times New Roman" w:cs="Times New Roman"/>
        </w:rPr>
        <w:t xml:space="preserve">against the </w:t>
      </w:r>
      <w:r w:rsidR="00033BA7">
        <w:rPr>
          <w:rFonts w:ascii="Times New Roman" w:hAnsi="Times New Roman" w:cs="Times New Roman"/>
        </w:rPr>
        <w:t>respondent</w:t>
      </w:r>
      <w:r w:rsidR="00B670B4">
        <w:rPr>
          <w:rFonts w:ascii="Times New Roman" w:hAnsi="Times New Roman" w:cs="Times New Roman"/>
        </w:rPr>
        <w:t xml:space="preserve">. </w:t>
      </w:r>
      <w:r w:rsidR="001A1928">
        <w:rPr>
          <w:rFonts w:ascii="Times New Roman" w:hAnsi="Times New Roman" w:cs="Times New Roman"/>
        </w:rPr>
        <w:t>A claim of this kind is not excluded by s.</w:t>
      </w:r>
      <w:r w:rsidR="009369F9">
        <w:rPr>
          <w:rFonts w:ascii="Times New Roman" w:hAnsi="Times New Roman" w:cs="Times New Roman"/>
        </w:rPr>
        <w:t xml:space="preserve"> </w:t>
      </w:r>
      <w:r w:rsidR="001A1928">
        <w:rPr>
          <w:rFonts w:ascii="Times New Roman" w:hAnsi="Times New Roman" w:cs="Times New Roman"/>
        </w:rPr>
        <w:t>73 as – by definition – it involves allegations of both a want of care and of a lack of good faith.</w:t>
      </w:r>
    </w:p>
    <w:p w14:paraId="3BFA0EB1" w14:textId="77777777" w:rsidR="001A1928" w:rsidRPr="001A1928" w:rsidRDefault="001A1928" w:rsidP="001A1928">
      <w:pPr>
        <w:pStyle w:val="ListParagraph"/>
        <w:rPr>
          <w:rFonts w:ascii="Times New Roman" w:hAnsi="Times New Roman" w:cs="Times New Roman"/>
        </w:rPr>
      </w:pPr>
    </w:p>
    <w:p w14:paraId="0312753F" w14:textId="77777777" w:rsidR="001A1928" w:rsidRDefault="001A1928"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As the judgment of </w:t>
      </w:r>
      <w:proofErr w:type="spellStart"/>
      <w:r>
        <w:rPr>
          <w:rFonts w:ascii="Times New Roman" w:hAnsi="Times New Roman" w:cs="Times New Roman"/>
        </w:rPr>
        <w:t>MacMenamin</w:t>
      </w:r>
      <w:proofErr w:type="spellEnd"/>
      <w:r>
        <w:rPr>
          <w:rFonts w:ascii="Times New Roman" w:hAnsi="Times New Roman" w:cs="Times New Roman"/>
        </w:rPr>
        <w:t xml:space="preserve"> J. in </w:t>
      </w:r>
      <w:r>
        <w:rPr>
          <w:rFonts w:ascii="Times New Roman" w:hAnsi="Times New Roman" w:cs="Times New Roman"/>
          <w:i/>
        </w:rPr>
        <w:t xml:space="preserve">MP v. Health Services Executive and </w:t>
      </w:r>
      <w:proofErr w:type="spellStart"/>
      <w:r>
        <w:rPr>
          <w:rFonts w:ascii="Times New Roman" w:hAnsi="Times New Roman" w:cs="Times New Roman"/>
          <w:i/>
        </w:rPr>
        <w:t>ors</w:t>
      </w:r>
      <w:proofErr w:type="spellEnd"/>
      <w:r>
        <w:rPr>
          <w:rFonts w:ascii="Times New Roman" w:hAnsi="Times New Roman" w:cs="Times New Roman"/>
          <w:i/>
        </w:rPr>
        <w:t xml:space="preserve">. </w:t>
      </w:r>
      <w:r>
        <w:rPr>
          <w:rFonts w:ascii="Times New Roman" w:hAnsi="Times New Roman" w:cs="Times New Roman"/>
        </w:rPr>
        <w:t xml:space="preserve"> makes clear, the court should be wary in acceding to an application for leave under s. 73 in respect of a claim that is based upon no more than assertion.  The extent to which independent evidence will be required to support such allegations before permission to proceed will be given under the provision will of course depend on all of the circumstances including the nature and context of the allegations, the existence of material that corroborates them and the response of the medical practitioner himself</w:t>
      </w:r>
      <w:r w:rsidR="00DB2AF9">
        <w:rPr>
          <w:rFonts w:ascii="Times New Roman" w:hAnsi="Times New Roman" w:cs="Times New Roman"/>
        </w:rPr>
        <w:t xml:space="preserve"> or </w:t>
      </w:r>
      <w:r w:rsidR="00DB2AF9">
        <w:rPr>
          <w:rFonts w:ascii="Times New Roman" w:hAnsi="Times New Roman" w:cs="Times New Roman"/>
        </w:rPr>
        <w:lastRenderedPageBreak/>
        <w:t>herself</w:t>
      </w:r>
      <w:r>
        <w:rPr>
          <w:rFonts w:ascii="Times New Roman" w:hAnsi="Times New Roman" w:cs="Times New Roman"/>
        </w:rPr>
        <w:t xml:space="preserve">.  The onus of proof is on the defendant, and </w:t>
      </w:r>
      <w:r w:rsidR="00C045F4">
        <w:rPr>
          <w:rFonts w:ascii="Times New Roman" w:hAnsi="Times New Roman" w:cs="Times New Roman"/>
        </w:rPr>
        <w:t xml:space="preserve">insofar as his or her evidence may operate to shift an evidential burden on to the plaintiff, it is not a heavy one (see </w:t>
      </w:r>
      <w:r w:rsidR="00C045F4">
        <w:rPr>
          <w:rFonts w:ascii="Times New Roman" w:hAnsi="Times New Roman" w:cs="Times New Roman"/>
          <w:i/>
        </w:rPr>
        <w:t xml:space="preserve">JOT v. Healy and </w:t>
      </w:r>
      <w:proofErr w:type="spellStart"/>
      <w:r w:rsidR="00C045F4">
        <w:rPr>
          <w:rFonts w:ascii="Times New Roman" w:hAnsi="Times New Roman" w:cs="Times New Roman"/>
          <w:i/>
        </w:rPr>
        <w:t>ors</w:t>
      </w:r>
      <w:proofErr w:type="spellEnd"/>
      <w:r w:rsidR="00C045F4">
        <w:rPr>
          <w:rFonts w:ascii="Times New Roman" w:hAnsi="Times New Roman" w:cs="Times New Roman"/>
          <w:i/>
        </w:rPr>
        <w:t xml:space="preserve"> </w:t>
      </w:r>
      <w:r w:rsidR="00C045F4">
        <w:rPr>
          <w:rFonts w:ascii="Times New Roman" w:hAnsi="Times New Roman" w:cs="Times New Roman"/>
        </w:rPr>
        <w:t xml:space="preserve">[2018] IEHC 571 at para. </w:t>
      </w:r>
      <w:r w:rsidR="00133A8A">
        <w:rPr>
          <w:rFonts w:ascii="Times New Roman" w:hAnsi="Times New Roman" w:cs="Times New Roman"/>
        </w:rPr>
        <w:t>64</w:t>
      </w:r>
      <w:r w:rsidR="00C045F4">
        <w:rPr>
          <w:rFonts w:ascii="Times New Roman" w:hAnsi="Times New Roman" w:cs="Times New Roman"/>
        </w:rPr>
        <w:t>).</w:t>
      </w:r>
    </w:p>
    <w:p w14:paraId="7628964D" w14:textId="77777777" w:rsidR="00C045F4" w:rsidRPr="00C045F4" w:rsidRDefault="00C045F4" w:rsidP="00C045F4">
      <w:pPr>
        <w:pStyle w:val="ListParagraph"/>
        <w:rPr>
          <w:rFonts w:ascii="Times New Roman" w:hAnsi="Times New Roman" w:cs="Times New Roman"/>
        </w:rPr>
      </w:pPr>
    </w:p>
    <w:p w14:paraId="0E1AEC75" w14:textId="77777777" w:rsidR="00D812EF" w:rsidRDefault="00E137CE"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In assessing whether an action meets the test suggested by Clarke J. in </w:t>
      </w:r>
      <w:r>
        <w:rPr>
          <w:rFonts w:ascii="Times New Roman" w:hAnsi="Times New Roman" w:cs="Times New Roman"/>
          <w:i/>
        </w:rPr>
        <w:t xml:space="preserve">AL v. The Clinical Director of St. Patrick’s Hospital and </w:t>
      </w:r>
      <w:proofErr w:type="spellStart"/>
      <w:r>
        <w:rPr>
          <w:rFonts w:ascii="Times New Roman" w:hAnsi="Times New Roman" w:cs="Times New Roman"/>
          <w:i/>
        </w:rPr>
        <w:t>anor</w:t>
      </w:r>
      <w:proofErr w:type="spellEnd"/>
      <w:r>
        <w:rPr>
          <w:rFonts w:ascii="Times New Roman" w:hAnsi="Times New Roman" w:cs="Times New Roman"/>
          <w:i/>
        </w:rPr>
        <w:t>.</w:t>
      </w:r>
      <w:r>
        <w:rPr>
          <w:rFonts w:ascii="Times New Roman" w:hAnsi="Times New Roman" w:cs="Times New Roman"/>
        </w:rPr>
        <w:t xml:space="preserve"> and whether there is any legitimate basis on which the court might conclude that the respondent had acted without reasonable care, the court will be guided not merely by whether the intended plaintiff’s claims are corroborated by factual or expert evidence, but also by an analysis of the credibility of the case itsel</w:t>
      </w:r>
      <w:r w:rsidR="0034655C">
        <w:rPr>
          <w:rFonts w:ascii="Times New Roman" w:hAnsi="Times New Roman" w:cs="Times New Roman"/>
        </w:rPr>
        <w:t xml:space="preserve">f in the light of all of the evidence.  That involves having regard to whether </w:t>
      </w:r>
      <w:r w:rsidR="00D812EF">
        <w:rPr>
          <w:rFonts w:ascii="Times New Roman" w:hAnsi="Times New Roman" w:cs="Times New Roman"/>
        </w:rPr>
        <w:t xml:space="preserve">the claim is so far-fetched or so self-contradictory as not to be credible (see, albeit in the different context of assessing whether an arguable defence has been made out in an application for summary judgment, </w:t>
      </w:r>
      <w:r w:rsidR="00D812EF">
        <w:rPr>
          <w:rFonts w:ascii="Times New Roman" w:hAnsi="Times New Roman" w:cs="Times New Roman"/>
          <w:i/>
        </w:rPr>
        <w:t xml:space="preserve">Aer </w:t>
      </w:r>
      <w:proofErr w:type="spellStart"/>
      <w:r w:rsidR="00D812EF">
        <w:rPr>
          <w:rFonts w:ascii="Times New Roman" w:hAnsi="Times New Roman" w:cs="Times New Roman"/>
          <w:i/>
        </w:rPr>
        <w:t>Rianta</w:t>
      </w:r>
      <w:proofErr w:type="spellEnd"/>
      <w:r w:rsidR="00D812EF">
        <w:rPr>
          <w:rFonts w:ascii="Times New Roman" w:hAnsi="Times New Roman" w:cs="Times New Roman"/>
          <w:i/>
        </w:rPr>
        <w:t xml:space="preserve"> </w:t>
      </w:r>
      <w:proofErr w:type="spellStart"/>
      <w:r w:rsidR="00D812EF">
        <w:rPr>
          <w:rFonts w:ascii="Times New Roman" w:hAnsi="Times New Roman" w:cs="Times New Roman"/>
          <w:i/>
        </w:rPr>
        <w:t>cpt</w:t>
      </w:r>
      <w:proofErr w:type="spellEnd"/>
      <w:r w:rsidR="00D812EF">
        <w:rPr>
          <w:rFonts w:ascii="Times New Roman" w:hAnsi="Times New Roman" w:cs="Times New Roman"/>
          <w:i/>
        </w:rPr>
        <w:t xml:space="preserve"> v. </w:t>
      </w:r>
      <w:proofErr w:type="spellStart"/>
      <w:r w:rsidR="00D812EF">
        <w:rPr>
          <w:rFonts w:ascii="Times New Roman" w:hAnsi="Times New Roman" w:cs="Times New Roman"/>
          <w:i/>
        </w:rPr>
        <w:t>Ryainair</w:t>
      </w:r>
      <w:proofErr w:type="spellEnd"/>
      <w:r w:rsidR="00D812EF">
        <w:rPr>
          <w:rFonts w:ascii="Times New Roman" w:hAnsi="Times New Roman" w:cs="Times New Roman"/>
          <w:i/>
        </w:rPr>
        <w:t xml:space="preserve"> Ltd. </w:t>
      </w:r>
      <w:r w:rsidR="00D812EF">
        <w:rPr>
          <w:rFonts w:ascii="Times New Roman" w:hAnsi="Times New Roman" w:cs="Times New Roman"/>
        </w:rPr>
        <w:t xml:space="preserve">[2001] 4 IR 607, </w:t>
      </w:r>
      <w:r w:rsidR="009369F9">
        <w:rPr>
          <w:rFonts w:ascii="Times New Roman" w:hAnsi="Times New Roman" w:cs="Times New Roman"/>
        </w:rPr>
        <w:t xml:space="preserve">at p. </w:t>
      </w:r>
      <w:r w:rsidR="00D812EF">
        <w:rPr>
          <w:rFonts w:ascii="Times New Roman" w:hAnsi="Times New Roman" w:cs="Times New Roman"/>
        </w:rPr>
        <w:t xml:space="preserve">615 per McGuinness J.).  </w:t>
      </w:r>
    </w:p>
    <w:p w14:paraId="39EDFEE0" w14:textId="77777777" w:rsidR="00D812EF" w:rsidRPr="00D812EF" w:rsidRDefault="00D812EF" w:rsidP="00D812EF">
      <w:pPr>
        <w:pStyle w:val="ListParagraph"/>
        <w:rPr>
          <w:rFonts w:ascii="Times New Roman" w:hAnsi="Times New Roman" w:cs="Times New Roman"/>
        </w:rPr>
      </w:pPr>
    </w:p>
    <w:p w14:paraId="7A579DF4" w14:textId="77777777" w:rsidR="00E137CE" w:rsidRDefault="00E137CE"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Here, the following appear to me to be key to that assessment:</w:t>
      </w:r>
    </w:p>
    <w:p w14:paraId="0E539DE4" w14:textId="77777777" w:rsidR="00E137CE" w:rsidRPr="00E137CE" w:rsidRDefault="00E137CE" w:rsidP="00E137CE">
      <w:pPr>
        <w:pStyle w:val="ListParagraph"/>
        <w:rPr>
          <w:rFonts w:ascii="Times New Roman" w:hAnsi="Times New Roman" w:cs="Times New Roman"/>
        </w:rPr>
      </w:pPr>
    </w:p>
    <w:p w14:paraId="38DCFE3C" w14:textId="77777777" w:rsidR="00E137CE" w:rsidRDefault="00E137CE" w:rsidP="00E137CE">
      <w:pPr>
        <w:pStyle w:val="ListParagraph"/>
        <w:numPr>
          <w:ilvl w:val="0"/>
          <w:numId w:val="5"/>
        </w:numPr>
        <w:spacing w:before="240" w:line="480" w:lineRule="auto"/>
        <w:jc w:val="both"/>
        <w:rPr>
          <w:rFonts w:ascii="Times New Roman" w:hAnsi="Times New Roman" w:cs="Times New Roman"/>
        </w:rPr>
      </w:pPr>
      <w:r>
        <w:rPr>
          <w:rFonts w:ascii="Times New Roman" w:hAnsi="Times New Roman" w:cs="Times New Roman"/>
        </w:rPr>
        <w:t xml:space="preserve">The respondent was not called to the Garda station to address any identified concern as to the appellant’s mental health, but instead to </w:t>
      </w:r>
      <w:r w:rsidR="00B2484E">
        <w:rPr>
          <w:rFonts w:ascii="Times New Roman" w:hAnsi="Times New Roman" w:cs="Times New Roman"/>
        </w:rPr>
        <w:t xml:space="preserve">treat a complaint of chest pains. </w:t>
      </w:r>
    </w:p>
    <w:p w14:paraId="11120570" w14:textId="77777777" w:rsidR="00B2484E" w:rsidRDefault="00B2484E" w:rsidP="00B2484E">
      <w:pPr>
        <w:pStyle w:val="ListParagraph"/>
        <w:spacing w:before="240" w:line="480" w:lineRule="auto"/>
        <w:ind w:left="1440"/>
        <w:jc w:val="both"/>
        <w:rPr>
          <w:rFonts w:ascii="Times New Roman" w:hAnsi="Times New Roman" w:cs="Times New Roman"/>
        </w:rPr>
      </w:pPr>
      <w:r>
        <w:rPr>
          <w:rFonts w:ascii="Times New Roman" w:hAnsi="Times New Roman" w:cs="Times New Roman"/>
        </w:rPr>
        <w:t xml:space="preserve">  </w:t>
      </w:r>
    </w:p>
    <w:p w14:paraId="7B6751A8" w14:textId="77777777" w:rsidR="00B2484E" w:rsidRDefault="00B2484E" w:rsidP="00B2484E">
      <w:pPr>
        <w:pStyle w:val="ListParagraph"/>
        <w:numPr>
          <w:ilvl w:val="0"/>
          <w:numId w:val="5"/>
        </w:numPr>
        <w:spacing w:before="240" w:line="480" w:lineRule="auto"/>
        <w:jc w:val="both"/>
        <w:rPr>
          <w:rFonts w:ascii="Times New Roman" w:hAnsi="Times New Roman" w:cs="Times New Roman"/>
        </w:rPr>
      </w:pPr>
      <w:r>
        <w:rPr>
          <w:rFonts w:ascii="Times New Roman" w:hAnsi="Times New Roman" w:cs="Times New Roman"/>
        </w:rPr>
        <w:t>The respondent avers in his replying affidavit that the appellant was at the time of this first examination ‘</w:t>
      </w:r>
      <w:r>
        <w:rPr>
          <w:rFonts w:ascii="Times New Roman" w:hAnsi="Times New Roman" w:cs="Times New Roman"/>
          <w:i/>
        </w:rPr>
        <w:t>behaving bizarrely and he gave a history which suggested paranoid ideation’</w:t>
      </w:r>
      <w:r>
        <w:rPr>
          <w:rFonts w:ascii="Times New Roman" w:hAnsi="Times New Roman" w:cs="Times New Roman"/>
        </w:rPr>
        <w:t xml:space="preserve">.  However, </w:t>
      </w:r>
      <w:r w:rsidR="00432DD6" w:rsidRPr="00DD3EDA">
        <w:rPr>
          <w:rFonts w:ascii="Times New Roman" w:hAnsi="Times New Roman" w:cs="Times New Roman"/>
        </w:rPr>
        <w:t>the</w:t>
      </w:r>
      <w:r w:rsidR="00432DD6" w:rsidRPr="00B2484E">
        <w:t xml:space="preserve"> </w:t>
      </w:r>
      <w:r w:rsidR="00015C04" w:rsidRPr="00B2484E">
        <w:rPr>
          <w:rFonts w:ascii="Times New Roman" w:hAnsi="Times New Roman" w:cs="Times New Roman"/>
        </w:rPr>
        <w:t>respondent</w:t>
      </w:r>
      <w:r w:rsidR="00432DD6" w:rsidRPr="00B2484E">
        <w:rPr>
          <w:rFonts w:ascii="Times New Roman" w:hAnsi="Times New Roman" w:cs="Times New Roman"/>
        </w:rPr>
        <w:t xml:space="preserve"> </w:t>
      </w:r>
      <w:r>
        <w:rPr>
          <w:rFonts w:ascii="Times New Roman" w:hAnsi="Times New Roman" w:cs="Times New Roman"/>
        </w:rPr>
        <w:t xml:space="preserve">following this examination </w:t>
      </w:r>
      <w:r w:rsidR="00C045F4" w:rsidRPr="00B2484E">
        <w:rPr>
          <w:rFonts w:ascii="Times New Roman" w:hAnsi="Times New Roman" w:cs="Times New Roman"/>
        </w:rPr>
        <w:t xml:space="preserve">expressed the view that the </w:t>
      </w:r>
      <w:r w:rsidR="00015C04" w:rsidRPr="00B2484E">
        <w:rPr>
          <w:rFonts w:ascii="Times New Roman" w:hAnsi="Times New Roman" w:cs="Times New Roman"/>
        </w:rPr>
        <w:t>appellant</w:t>
      </w:r>
      <w:r w:rsidR="00C045F4" w:rsidRPr="00B2484E">
        <w:rPr>
          <w:rFonts w:ascii="Times New Roman" w:hAnsi="Times New Roman" w:cs="Times New Roman"/>
        </w:rPr>
        <w:t xml:space="preserve"> was fit to be interviewed</w:t>
      </w:r>
      <w:r w:rsidR="00432DD6" w:rsidRPr="00B2484E">
        <w:rPr>
          <w:rFonts w:ascii="Times New Roman" w:hAnsi="Times New Roman" w:cs="Times New Roman"/>
        </w:rPr>
        <w:t xml:space="preserve"> by the Garda</w:t>
      </w:r>
      <w:r w:rsidR="00DD3EDA">
        <w:rPr>
          <w:rFonts w:ascii="Times New Roman" w:hAnsi="Times New Roman" w:cs="Times New Roman"/>
        </w:rPr>
        <w:t>í</w:t>
      </w:r>
      <w:r w:rsidR="00C045F4" w:rsidRPr="00B2484E">
        <w:rPr>
          <w:rFonts w:ascii="Times New Roman" w:hAnsi="Times New Roman" w:cs="Times New Roman"/>
        </w:rPr>
        <w:t xml:space="preserve">. </w:t>
      </w:r>
      <w:r w:rsidR="00592BC4" w:rsidRPr="00B2484E">
        <w:rPr>
          <w:rFonts w:ascii="Times New Roman" w:hAnsi="Times New Roman" w:cs="Times New Roman"/>
        </w:rPr>
        <w:t xml:space="preserve"> </w:t>
      </w:r>
      <w:r w:rsidR="00606DB4" w:rsidRPr="00B2484E">
        <w:rPr>
          <w:rFonts w:ascii="Times New Roman" w:hAnsi="Times New Roman" w:cs="Times New Roman"/>
        </w:rPr>
        <w:t>This is borne out by the custody record</w:t>
      </w:r>
      <w:r>
        <w:rPr>
          <w:rFonts w:ascii="Times New Roman" w:hAnsi="Times New Roman" w:cs="Times New Roman"/>
        </w:rPr>
        <w:t xml:space="preserve"> (‘</w:t>
      </w:r>
      <w:proofErr w:type="spellStart"/>
      <w:r>
        <w:rPr>
          <w:rFonts w:ascii="Times New Roman" w:hAnsi="Times New Roman" w:cs="Times New Roman"/>
          <w:i/>
        </w:rPr>
        <w:t>Dr.</w:t>
      </w:r>
      <w:proofErr w:type="spellEnd"/>
      <w:r>
        <w:rPr>
          <w:rFonts w:ascii="Times New Roman" w:hAnsi="Times New Roman" w:cs="Times New Roman"/>
          <w:i/>
        </w:rPr>
        <w:t xml:space="preserve"> Casey stated he was satisfied that the person had no underlying medical condition and stated he </w:t>
      </w:r>
      <w:r>
        <w:rPr>
          <w:rFonts w:ascii="Times New Roman" w:hAnsi="Times New Roman" w:cs="Times New Roman"/>
          <w:i/>
        </w:rPr>
        <w:lastRenderedPageBreak/>
        <w:t>believed that the prisoner was fi</w:t>
      </w:r>
      <w:r w:rsidR="00033BA7">
        <w:rPr>
          <w:rFonts w:ascii="Times New Roman" w:hAnsi="Times New Roman" w:cs="Times New Roman"/>
          <w:i/>
        </w:rPr>
        <w:t>t</w:t>
      </w:r>
      <w:r>
        <w:rPr>
          <w:rFonts w:ascii="Times New Roman" w:hAnsi="Times New Roman" w:cs="Times New Roman"/>
          <w:i/>
        </w:rPr>
        <w:t xml:space="preserve"> for interview’</w:t>
      </w:r>
      <w:r>
        <w:rPr>
          <w:rFonts w:ascii="Times New Roman" w:hAnsi="Times New Roman" w:cs="Times New Roman"/>
        </w:rPr>
        <w:t>).</w:t>
      </w:r>
      <w:r>
        <w:rPr>
          <w:rFonts w:ascii="Times New Roman" w:hAnsi="Times New Roman" w:cs="Times New Roman"/>
          <w:i/>
        </w:rPr>
        <w:t xml:space="preserve"> </w:t>
      </w:r>
      <w:r w:rsidR="00606DB4" w:rsidRPr="00B2484E">
        <w:rPr>
          <w:rFonts w:ascii="Times New Roman" w:hAnsi="Times New Roman" w:cs="Times New Roman"/>
        </w:rPr>
        <w:t xml:space="preserve"> </w:t>
      </w:r>
      <w:r>
        <w:rPr>
          <w:rFonts w:ascii="Times New Roman" w:hAnsi="Times New Roman" w:cs="Times New Roman"/>
        </w:rPr>
        <w:t>The respondent avers in his replying affidavit that following this examination ‘</w:t>
      </w:r>
      <w:r>
        <w:rPr>
          <w:rFonts w:ascii="Times New Roman" w:hAnsi="Times New Roman" w:cs="Times New Roman"/>
          <w:i/>
        </w:rPr>
        <w:t>I was satisfied that the applicant was suffering from an acute psychotic episode’</w:t>
      </w:r>
      <w:r>
        <w:rPr>
          <w:rFonts w:ascii="Times New Roman" w:hAnsi="Times New Roman" w:cs="Times New Roman"/>
        </w:rPr>
        <w:t>.</w:t>
      </w:r>
    </w:p>
    <w:p w14:paraId="45B48E2C" w14:textId="77777777" w:rsidR="00B2484E" w:rsidRPr="00B2484E" w:rsidRDefault="00B2484E" w:rsidP="00B2484E">
      <w:pPr>
        <w:pStyle w:val="ListParagraph"/>
        <w:rPr>
          <w:rFonts w:ascii="Times New Roman" w:hAnsi="Times New Roman" w:cs="Times New Roman"/>
        </w:rPr>
      </w:pPr>
    </w:p>
    <w:p w14:paraId="3ABEF671" w14:textId="77777777" w:rsidR="00CE13AA" w:rsidRDefault="00592BC4" w:rsidP="00B2484E">
      <w:pPr>
        <w:pStyle w:val="ListParagraph"/>
        <w:numPr>
          <w:ilvl w:val="0"/>
          <w:numId w:val="5"/>
        </w:numPr>
        <w:spacing w:before="240" w:line="480" w:lineRule="auto"/>
        <w:jc w:val="both"/>
        <w:rPr>
          <w:rFonts w:ascii="Times New Roman" w:hAnsi="Times New Roman" w:cs="Times New Roman"/>
        </w:rPr>
      </w:pPr>
      <w:r w:rsidRPr="00B2484E">
        <w:rPr>
          <w:rFonts w:ascii="Times New Roman" w:hAnsi="Times New Roman" w:cs="Times New Roman"/>
        </w:rPr>
        <w:t xml:space="preserve">At no point before leaving the station </w:t>
      </w:r>
      <w:r w:rsidR="00B2484E">
        <w:rPr>
          <w:rFonts w:ascii="Times New Roman" w:hAnsi="Times New Roman" w:cs="Times New Roman"/>
        </w:rPr>
        <w:t xml:space="preserve">on this first occasion </w:t>
      </w:r>
      <w:r w:rsidRPr="00B2484E">
        <w:rPr>
          <w:rFonts w:ascii="Times New Roman" w:hAnsi="Times New Roman" w:cs="Times New Roman"/>
        </w:rPr>
        <w:t xml:space="preserve">is </w:t>
      </w:r>
      <w:r w:rsidR="004F5254" w:rsidRPr="00B2484E">
        <w:rPr>
          <w:rFonts w:ascii="Times New Roman" w:hAnsi="Times New Roman" w:cs="Times New Roman"/>
        </w:rPr>
        <w:t xml:space="preserve">the </w:t>
      </w:r>
      <w:r w:rsidR="00015C04" w:rsidRPr="00B2484E">
        <w:rPr>
          <w:rFonts w:ascii="Times New Roman" w:hAnsi="Times New Roman" w:cs="Times New Roman"/>
        </w:rPr>
        <w:t>respondent</w:t>
      </w:r>
      <w:r w:rsidRPr="00B2484E">
        <w:rPr>
          <w:rFonts w:ascii="Times New Roman" w:hAnsi="Times New Roman" w:cs="Times New Roman"/>
        </w:rPr>
        <w:t xml:space="preserve"> recorded as having expressed any concern as to the </w:t>
      </w:r>
      <w:r w:rsidR="00015C04" w:rsidRPr="00B2484E">
        <w:rPr>
          <w:rFonts w:ascii="Times New Roman" w:hAnsi="Times New Roman" w:cs="Times New Roman"/>
        </w:rPr>
        <w:t>appellant</w:t>
      </w:r>
      <w:r w:rsidRPr="00B2484E">
        <w:rPr>
          <w:rFonts w:ascii="Times New Roman" w:hAnsi="Times New Roman" w:cs="Times New Roman"/>
        </w:rPr>
        <w:t xml:space="preserve">’s mental health, and </w:t>
      </w:r>
      <w:r w:rsidR="00606DB4" w:rsidRPr="00B2484E">
        <w:rPr>
          <w:rFonts w:ascii="Times New Roman" w:hAnsi="Times New Roman" w:cs="Times New Roman"/>
        </w:rPr>
        <w:t xml:space="preserve">there is </w:t>
      </w:r>
      <w:r w:rsidRPr="00B2484E">
        <w:rPr>
          <w:rFonts w:ascii="Times New Roman" w:hAnsi="Times New Roman" w:cs="Times New Roman"/>
        </w:rPr>
        <w:t xml:space="preserve">no record of his being prompted to undertake nor of his undertaking any assessment of the </w:t>
      </w:r>
      <w:r w:rsidR="00033BA7">
        <w:rPr>
          <w:rFonts w:ascii="Times New Roman" w:hAnsi="Times New Roman" w:cs="Times New Roman"/>
        </w:rPr>
        <w:t>appellant’s</w:t>
      </w:r>
      <w:r w:rsidRPr="00B2484E">
        <w:rPr>
          <w:rFonts w:ascii="Times New Roman" w:hAnsi="Times New Roman" w:cs="Times New Roman"/>
        </w:rPr>
        <w:t xml:space="preserve"> m</w:t>
      </w:r>
      <w:r w:rsidR="00CE13AA" w:rsidRPr="00B2484E">
        <w:rPr>
          <w:rFonts w:ascii="Times New Roman" w:hAnsi="Times New Roman" w:cs="Times New Roman"/>
        </w:rPr>
        <w:t xml:space="preserve">ental </w:t>
      </w:r>
      <w:r w:rsidRPr="00B2484E">
        <w:rPr>
          <w:rFonts w:ascii="Times New Roman" w:hAnsi="Times New Roman" w:cs="Times New Roman"/>
        </w:rPr>
        <w:t>condition.</w:t>
      </w:r>
      <w:r w:rsidR="00B2484E">
        <w:rPr>
          <w:rFonts w:ascii="Times New Roman" w:hAnsi="Times New Roman" w:cs="Times New Roman"/>
        </w:rPr>
        <w:t xml:space="preserve">  There is no reference to a ‘</w:t>
      </w:r>
      <w:r w:rsidR="00B2484E">
        <w:rPr>
          <w:rFonts w:ascii="Times New Roman" w:hAnsi="Times New Roman" w:cs="Times New Roman"/>
          <w:i/>
        </w:rPr>
        <w:t>psychotic episode’</w:t>
      </w:r>
      <w:r w:rsidR="00B2484E">
        <w:rPr>
          <w:rFonts w:ascii="Times New Roman" w:hAnsi="Times New Roman" w:cs="Times New Roman"/>
        </w:rPr>
        <w:t xml:space="preserve"> in the custody record. </w:t>
      </w:r>
      <w:r w:rsidR="00397EFC">
        <w:rPr>
          <w:rFonts w:ascii="Times New Roman" w:hAnsi="Times New Roman" w:cs="Times New Roman"/>
        </w:rPr>
        <w:t xml:space="preserve">As Pilkington J. has observed, it is to be presumed that had the </w:t>
      </w:r>
      <w:r w:rsidR="00D4569E">
        <w:rPr>
          <w:rFonts w:ascii="Times New Roman" w:hAnsi="Times New Roman" w:cs="Times New Roman"/>
        </w:rPr>
        <w:t>respondent expressed any concern to the Garda</w:t>
      </w:r>
      <w:r w:rsidR="00DD3EDA">
        <w:rPr>
          <w:rFonts w:ascii="Times New Roman" w:hAnsi="Times New Roman" w:cs="Times New Roman"/>
        </w:rPr>
        <w:t>í</w:t>
      </w:r>
      <w:r w:rsidR="00D4569E">
        <w:rPr>
          <w:rFonts w:ascii="Times New Roman" w:hAnsi="Times New Roman" w:cs="Times New Roman"/>
        </w:rPr>
        <w:t xml:space="preserve"> as to the appellant’s mental health they would not have proceeded to interview him.</w:t>
      </w:r>
      <w:r w:rsidR="00B2484E">
        <w:rPr>
          <w:rFonts w:ascii="Times New Roman" w:hAnsi="Times New Roman" w:cs="Times New Roman"/>
        </w:rPr>
        <w:t xml:space="preserve"> Following the interview with the Garda</w:t>
      </w:r>
      <w:r w:rsidR="00DD3EDA">
        <w:rPr>
          <w:rFonts w:ascii="Times New Roman" w:hAnsi="Times New Roman" w:cs="Times New Roman"/>
        </w:rPr>
        <w:t>í</w:t>
      </w:r>
      <w:r w:rsidR="00B2484E">
        <w:rPr>
          <w:rFonts w:ascii="Times New Roman" w:hAnsi="Times New Roman" w:cs="Times New Roman"/>
        </w:rPr>
        <w:t xml:space="preserve"> that record states that he was ‘</w:t>
      </w:r>
      <w:r w:rsidR="00B2484E">
        <w:rPr>
          <w:rFonts w:ascii="Times New Roman" w:hAnsi="Times New Roman" w:cs="Times New Roman"/>
          <w:i/>
        </w:rPr>
        <w:t>all ok’</w:t>
      </w:r>
      <w:r w:rsidR="00B2484E">
        <w:rPr>
          <w:rFonts w:ascii="Times New Roman" w:hAnsi="Times New Roman" w:cs="Times New Roman"/>
        </w:rPr>
        <w:t>.</w:t>
      </w:r>
    </w:p>
    <w:p w14:paraId="4B011954" w14:textId="77777777" w:rsidR="00B2484E" w:rsidRPr="00B2484E" w:rsidRDefault="00B2484E" w:rsidP="00B2484E">
      <w:pPr>
        <w:pStyle w:val="ListParagraph"/>
        <w:rPr>
          <w:rFonts w:ascii="Times New Roman" w:hAnsi="Times New Roman" w:cs="Times New Roman"/>
        </w:rPr>
      </w:pPr>
    </w:p>
    <w:p w14:paraId="043581E9" w14:textId="77777777" w:rsidR="00B2484E" w:rsidRDefault="00F32216" w:rsidP="00B2484E">
      <w:pPr>
        <w:pStyle w:val="ListParagraph"/>
        <w:numPr>
          <w:ilvl w:val="0"/>
          <w:numId w:val="5"/>
        </w:numPr>
        <w:spacing w:before="240" w:line="480" w:lineRule="auto"/>
        <w:jc w:val="both"/>
        <w:rPr>
          <w:rFonts w:ascii="Times New Roman" w:hAnsi="Times New Roman" w:cs="Times New Roman"/>
        </w:rPr>
      </w:pPr>
      <w:r>
        <w:rPr>
          <w:rFonts w:ascii="Times New Roman" w:hAnsi="Times New Roman" w:cs="Times New Roman"/>
        </w:rPr>
        <w:t xml:space="preserve">The respondent </w:t>
      </w:r>
      <w:r w:rsidR="00384A9B">
        <w:rPr>
          <w:rFonts w:ascii="Times New Roman" w:hAnsi="Times New Roman" w:cs="Times New Roman"/>
        </w:rPr>
        <w:t xml:space="preserve">stated in his e-mail of </w:t>
      </w:r>
      <w:r w:rsidR="00133A8A">
        <w:rPr>
          <w:rFonts w:ascii="Times New Roman" w:hAnsi="Times New Roman" w:cs="Times New Roman"/>
        </w:rPr>
        <w:t xml:space="preserve">May 30 2015 </w:t>
      </w:r>
      <w:r>
        <w:rPr>
          <w:rFonts w:ascii="Times New Roman" w:hAnsi="Times New Roman" w:cs="Times New Roman"/>
        </w:rPr>
        <w:t xml:space="preserve">that it was while driving away from the station that he became concerned at the appellant’s behaviour and determined that it may be necessary to take steps to admit him. </w:t>
      </w:r>
      <w:r w:rsidR="00133A8A">
        <w:rPr>
          <w:rFonts w:ascii="Times New Roman" w:hAnsi="Times New Roman" w:cs="Times New Roman"/>
        </w:rPr>
        <w:t xml:space="preserve"> In that e-mail he said that he realised that the appellant ‘</w:t>
      </w:r>
      <w:r w:rsidR="00133A8A">
        <w:rPr>
          <w:rFonts w:ascii="Times New Roman" w:hAnsi="Times New Roman" w:cs="Times New Roman"/>
          <w:i/>
        </w:rPr>
        <w:t xml:space="preserve">may be suffering from a mental illness that may be clouding </w:t>
      </w:r>
      <w:r w:rsidR="00133A8A">
        <w:rPr>
          <w:rFonts w:ascii="Times New Roman" w:hAnsi="Times New Roman" w:cs="Times New Roman"/>
        </w:rPr>
        <w:t xml:space="preserve">[the appellant’s] </w:t>
      </w:r>
      <w:r w:rsidR="00133A8A">
        <w:rPr>
          <w:rFonts w:ascii="Times New Roman" w:hAnsi="Times New Roman" w:cs="Times New Roman"/>
          <w:i/>
        </w:rPr>
        <w:t>judgment.’</w:t>
      </w:r>
      <w:r>
        <w:rPr>
          <w:rFonts w:ascii="Times New Roman" w:hAnsi="Times New Roman" w:cs="Times New Roman"/>
        </w:rPr>
        <w:t xml:space="preserve"> He did not, however, make any contact with the Garda</w:t>
      </w:r>
      <w:r w:rsidR="00DD3EDA">
        <w:rPr>
          <w:rFonts w:ascii="Times New Roman" w:hAnsi="Times New Roman" w:cs="Times New Roman"/>
        </w:rPr>
        <w:t>í</w:t>
      </w:r>
      <w:r>
        <w:rPr>
          <w:rFonts w:ascii="Times New Roman" w:hAnsi="Times New Roman" w:cs="Times New Roman"/>
        </w:rPr>
        <w:t xml:space="preserve"> </w:t>
      </w:r>
      <w:r w:rsidR="005F4AAA">
        <w:rPr>
          <w:rFonts w:ascii="Times New Roman" w:hAnsi="Times New Roman" w:cs="Times New Roman"/>
        </w:rPr>
        <w:t xml:space="preserve">to advise them of this, whether to </w:t>
      </w:r>
      <w:r w:rsidR="00133A8A">
        <w:rPr>
          <w:rFonts w:ascii="Times New Roman" w:hAnsi="Times New Roman" w:cs="Times New Roman"/>
        </w:rPr>
        <w:t xml:space="preserve">halt </w:t>
      </w:r>
      <w:r w:rsidR="005F4AAA">
        <w:rPr>
          <w:rFonts w:ascii="Times New Roman" w:hAnsi="Times New Roman" w:cs="Times New Roman"/>
        </w:rPr>
        <w:t>the interview or otherwise.</w:t>
      </w:r>
    </w:p>
    <w:p w14:paraId="13C58BAF" w14:textId="77777777" w:rsidR="003C4F30" w:rsidRPr="003C4F30" w:rsidRDefault="003C4F30" w:rsidP="003C4F30">
      <w:pPr>
        <w:pStyle w:val="ListParagraph"/>
        <w:rPr>
          <w:rFonts w:ascii="Times New Roman" w:hAnsi="Times New Roman" w:cs="Times New Roman"/>
        </w:rPr>
      </w:pPr>
    </w:p>
    <w:p w14:paraId="1C8C695B" w14:textId="77777777" w:rsidR="003C4F30" w:rsidRPr="00B2484E" w:rsidRDefault="003C4F30" w:rsidP="00B2484E">
      <w:pPr>
        <w:pStyle w:val="ListParagraph"/>
        <w:numPr>
          <w:ilvl w:val="0"/>
          <w:numId w:val="5"/>
        </w:numPr>
        <w:spacing w:before="240" w:line="480" w:lineRule="auto"/>
        <w:jc w:val="both"/>
        <w:rPr>
          <w:rFonts w:ascii="Times New Roman" w:hAnsi="Times New Roman" w:cs="Times New Roman"/>
        </w:rPr>
      </w:pPr>
      <w:r>
        <w:rPr>
          <w:rFonts w:ascii="Times New Roman" w:hAnsi="Times New Roman" w:cs="Times New Roman"/>
        </w:rPr>
        <w:t xml:space="preserve">Upon return to the Garda Station, the </w:t>
      </w:r>
      <w:r w:rsidR="00AF3A64">
        <w:rPr>
          <w:rFonts w:ascii="Times New Roman" w:hAnsi="Times New Roman" w:cs="Times New Roman"/>
        </w:rPr>
        <w:t xml:space="preserve">respondent avers, he was advised by a member of an Garda </w:t>
      </w:r>
      <w:r w:rsidR="00DD3EDA">
        <w:rPr>
          <w:rFonts w:ascii="Times New Roman" w:hAnsi="Times New Roman" w:cs="Times New Roman"/>
        </w:rPr>
        <w:t>Síochána</w:t>
      </w:r>
      <w:r w:rsidR="00AF3A64">
        <w:rPr>
          <w:rFonts w:ascii="Times New Roman" w:hAnsi="Times New Roman" w:cs="Times New Roman"/>
        </w:rPr>
        <w:t xml:space="preserve"> that the appellant was ‘</w:t>
      </w:r>
      <w:r w:rsidR="00AF3A64">
        <w:rPr>
          <w:rFonts w:ascii="Times New Roman" w:hAnsi="Times New Roman" w:cs="Times New Roman"/>
          <w:i/>
        </w:rPr>
        <w:t xml:space="preserve">very agitated’. </w:t>
      </w:r>
      <w:r w:rsidR="00AF3A64">
        <w:rPr>
          <w:rFonts w:ascii="Times New Roman" w:hAnsi="Times New Roman" w:cs="Times New Roman"/>
        </w:rPr>
        <w:t xml:space="preserve">There is no reference to this in the </w:t>
      </w:r>
      <w:r>
        <w:rPr>
          <w:rFonts w:ascii="Times New Roman" w:hAnsi="Times New Roman" w:cs="Times New Roman"/>
        </w:rPr>
        <w:t>custody record</w:t>
      </w:r>
      <w:r w:rsidR="00AF3A64">
        <w:rPr>
          <w:rFonts w:ascii="Times New Roman" w:hAnsi="Times New Roman" w:cs="Times New Roman"/>
        </w:rPr>
        <w:t>.  That record</w:t>
      </w:r>
      <w:r>
        <w:rPr>
          <w:rFonts w:ascii="Times New Roman" w:hAnsi="Times New Roman" w:cs="Times New Roman"/>
        </w:rPr>
        <w:t xml:space="preserve"> suggests that eight minutes passed between the </w:t>
      </w:r>
      <w:r w:rsidR="00AF3A64">
        <w:rPr>
          <w:rFonts w:ascii="Times New Roman" w:hAnsi="Times New Roman" w:cs="Times New Roman"/>
        </w:rPr>
        <w:t xml:space="preserve">arrival </w:t>
      </w:r>
      <w:r>
        <w:rPr>
          <w:rFonts w:ascii="Times New Roman" w:hAnsi="Times New Roman" w:cs="Times New Roman"/>
        </w:rPr>
        <w:t>of the respondent</w:t>
      </w:r>
      <w:r w:rsidR="00AF3A64">
        <w:rPr>
          <w:rFonts w:ascii="Times New Roman" w:hAnsi="Times New Roman" w:cs="Times New Roman"/>
        </w:rPr>
        <w:t xml:space="preserve"> at the station</w:t>
      </w:r>
      <w:r>
        <w:rPr>
          <w:rFonts w:ascii="Times New Roman" w:hAnsi="Times New Roman" w:cs="Times New Roman"/>
        </w:rPr>
        <w:t>, and the completion of the Form 5.</w:t>
      </w:r>
      <w:r w:rsidR="00D4569E">
        <w:rPr>
          <w:rFonts w:ascii="Times New Roman" w:hAnsi="Times New Roman" w:cs="Times New Roman"/>
        </w:rPr>
        <w:t xml:space="preserve">  Within that period, the respondent’s evidence is not merely that he </w:t>
      </w:r>
      <w:r w:rsidR="00AF3A64">
        <w:rPr>
          <w:rFonts w:ascii="Times New Roman" w:hAnsi="Times New Roman" w:cs="Times New Roman"/>
        </w:rPr>
        <w:t xml:space="preserve">had a conversation with a member of an Garda </w:t>
      </w:r>
      <w:r w:rsidR="00DD3EDA">
        <w:rPr>
          <w:rFonts w:ascii="Times New Roman" w:hAnsi="Times New Roman" w:cs="Times New Roman"/>
        </w:rPr>
        <w:t xml:space="preserve">Síochána </w:t>
      </w:r>
      <w:r w:rsidR="00AF3A64">
        <w:rPr>
          <w:rFonts w:ascii="Times New Roman" w:hAnsi="Times New Roman" w:cs="Times New Roman"/>
        </w:rPr>
        <w:t xml:space="preserve">and </w:t>
      </w:r>
      <w:r w:rsidR="00D4569E">
        <w:rPr>
          <w:rFonts w:ascii="Times New Roman" w:hAnsi="Times New Roman" w:cs="Times New Roman"/>
        </w:rPr>
        <w:lastRenderedPageBreak/>
        <w:t>assessed the appellant, but discussed with him the prospect of voluntary admission.</w:t>
      </w:r>
    </w:p>
    <w:p w14:paraId="51B2850D" w14:textId="77777777" w:rsidR="00CE13AA" w:rsidRPr="00CE13AA" w:rsidRDefault="00CE13AA" w:rsidP="00CE13AA">
      <w:pPr>
        <w:pStyle w:val="ListParagraph"/>
        <w:rPr>
          <w:rFonts w:ascii="Times New Roman" w:hAnsi="Times New Roman" w:cs="Times New Roman"/>
        </w:rPr>
      </w:pPr>
    </w:p>
    <w:p w14:paraId="48A71804" w14:textId="77777777" w:rsidR="00CE13AA" w:rsidRDefault="00606DB4"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A question arises as to why, if the </w:t>
      </w:r>
      <w:r w:rsidR="00015C04">
        <w:rPr>
          <w:rFonts w:ascii="Times New Roman" w:hAnsi="Times New Roman" w:cs="Times New Roman"/>
        </w:rPr>
        <w:t>respondent</w:t>
      </w:r>
      <w:r>
        <w:rPr>
          <w:rFonts w:ascii="Times New Roman" w:hAnsi="Times New Roman" w:cs="Times New Roman"/>
        </w:rPr>
        <w:t xml:space="preserve"> believed that the </w:t>
      </w:r>
      <w:r w:rsidR="00015C04">
        <w:rPr>
          <w:rFonts w:ascii="Times New Roman" w:hAnsi="Times New Roman" w:cs="Times New Roman"/>
        </w:rPr>
        <w:t>appellant</w:t>
      </w:r>
      <w:r>
        <w:rPr>
          <w:rFonts w:ascii="Times New Roman" w:hAnsi="Times New Roman" w:cs="Times New Roman"/>
        </w:rPr>
        <w:t xml:space="preserve"> was behaving bizarrely or </w:t>
      </w:r>
      <w:r w:rsidR="00CE13AA">
        <w:rPr>
          <w:rFonts w:ascii="Times New Roman" w:hAnsi="Times New Roman" w:cs="Times New Roman"/>
        </w:rPr>
        <w:t xml:space="preserve">had </w:t>
      </w:r>
      <w:r>
        <w:rPr>
          <w:rFonts w:ascii="Times New Roman" w:hAnsi="Times New Roman" w:cs="Times New Roman"/>
        </w:rPr>
        <w:t xml:space="preserve">provided a history suggestive of paranoid delusion (as the </w:t>
      </w:r>
      <w:r w:rsidR="00015C04">
        <w:rPr>
          <w:rFonts w:ascii="Times New Roman" w:hAnsi="Times New Roman" w:cs="Times New Roman"/>
        </w:rPr>
        <w:t>respondent</w:t>
      </w:r>
      <w:r>
        <w:rPr>
          <w:rFonts w:ascii="Times New Roman" w:hAnsi="Times New Roman" w:cs="Times New Roman"/>
        </w:rPr>
        <w:t xml:space="preserve"> avers), this is not referred to in the custody record </w:t>
      </w:r>
      <w:r w:rsidR="00CE13AA">
        <w:rPr>
          <w:rFonts w:ascii="Times New Roman" w:hAnsi="Times New Roman" w:cs="Times New Roman"/>
        </w:rPr>
        <w:t xml:space="preserve">(which consistently describes the plaintiff as </w:t>
      </w:r>
      <w:r w:rsidR="00CE13AA" w:rsidRPr="00CE13AA">
        <w:rPr>
          <w:rFonts w:ascii="Times New Roman" w:hAnsi="Times New Roman" w:cs="Times New Roman"/>
          <w:i/>
        </w:rPr>
        <w:t>‘OK’</w:t>
      </w:r>
      <w:r w:rsidR="00CE13AA">
        <w:rPr>
          <w:rFonts w:ascii="Times New Roman" w:hAnsi="Times New Roman" w:cs="Times New Roman"/>
        </w:rPr>
        <w:t xml:space="preserve">) </w:t>
      </w:r>
      <w:r w:rsidRPr="00CE13AA">
        <w:rPr>
          <w:rFonts w:ascii="Times New Roman" w:hAnsi="Times New Roman" w:cs="Times New Roman"/>
        </w:rPr>
        <w:t>and</w:t>
      </w:r>
      <w:r>
        <w:rPr>
          <w:rFonts w:ascii="Times New Roman" w:hAnsi="Times New Roman" w:cs="Times New Roman"/>
        </w:rPr>
        <w:t xml:space="preserve"> why the </w:t>
      </w:r>
      <w:r w:rsidR="00015C04">
        <w:rPr>
          <w:rFonts w:ascii="Times New Roman" w:hAnsi="Times New Roman" w:cs="Times New Roman"/>
        </w:rPr>
        <w:t>respondent</w:t>
      </w:r>
      <w:r>
        <w:rPr>
          <w:rFonts w:ascii="Times New Roman" w:hAnsi="Times New Roman" w:cs="Times New Roman"/>
        </w:rPr>
        <w:t xml:space="preserve"> proceeded to certify the plaintiff as fit for interview</w:t>
      </w:r>
      <w:r w:rsidR="00D5671E">
        <w:rPr>
          <w:rFonts w:ascii="Times New Roman" w:hAnsi="Times New Roman" w:cs="Times New Roman"/>
        </w:rPr>
        <w:t xml:space="preserve"> (‘</w:t>
      </w:r>
      <w:r w:rsidR="00D5671E">
        <w:rPr>
          <w:rFonts w:ascii="Times New Roman" w:hAnsi="Times New Roman" w:cs="Times New Roman"/>
          <w:i/>
        </w:rPr>
        <w:t>fit for interview no underlying medical condition’</w:t>
      </w:r>
      <w:r w:rsidR="00D5671E">
        <w:rPr>
          <w:rFonts w:ascii="Times New Roman" w:hAnsi="Times New Roman" w:cs="Times New Roman"/>
        </w:rPr>
        <w:t>)</w:t>
      </w:r>
      <w:r>
        <w:rPr>
          <w:rFonts w:ascii="Times New Roman" w:hAnsi="Times New Roman" w:cs="Times New Roman"/>
        </w:rPr>
        <w:t xml:space="preserve">. A question arises as to how, if the </w:t>
      </w:r>
      <w:r w:rsidR="00015C04">
        <w:rPr>
          <w:rFonts w:ascii="Times New Roman" w:hAnsi="Times New Roman" w:cs="Times New Roman"/>
        </w:rPr>
        <w:t>appellant</w:t>
      </w:r>
      <w:r>
        <w:rPr>
          <w:rFonts w:ascii="Times New Roman" w:hAnsi="Times New Roman" w:cs="Times New Roman"/>
        </w:rPr>
        <w:t xml:space="preserve"> was in fact behaving bizarrely or was manifesting conduct consistent with </w:t>
      </w:r>
      <w:r w:rsidR="00DD3EDA">
        <w:rPr>
          <w:rFonts w:ascii="Times New Roman" w:hAnsi="Times New Roman" w:cs="Times New Roman"/>
        </w:rPr>
        <w:t xml:space="preserve">the </w:t>
      </w:r>
      <w:r>
        <w:rPr>
          <w:rFonts w:ascii="Times New Roman" w:hAnsi="Times New Roman" w:cs="Times New Roman"/>
        </w:rPr>
        <w:t>diagnosis, the Garda</w:t>
      </w:r>
      <w:r w:rsidR="00DD3EDA">
        <w:rPr>
          <w:rFonts w:ascii="Times New Roman" w:hAnsi="Times New Roman" w:cs="Times New Roman"/>
        </w:rPr>
        <w:t>í</w:t>
      </w:r>
      <w:r>
        <w:rPr>
          <w:rFonts w:ascii="Times New Roman" w:hAnsi="Times New Roman" w:cs="Times New Roman"/>
        </w:rPr>
        <w:t xml:space="preserve"> continued to interview him. </w:t>
      </w:r>
      <w:r w:rsidR="00380600">
        <w:rPr>
          <w:rFonts w:ascii="Times New Roman" w:hAnsi="Times New Roman" w:cs="Times New Roman"/>
        </w:rPr>
        <w:t xml:space="preserve"> The issue presents itself as to why, if (as he has averred) the </w:t>
      </w:r>
      <w:r w:rsidR="00033BA7">
        <w:rPr>
          <w:rFonts w:ascii="Times New Roman" w:hAnsi="Times New Roman" w:cs="Times New Roman"/>
        </w:rPr>
        <w:t>respondent</w:t>
      </w:r>
      <w:r w:rsidR="00380600">
        <w:rPr>
          <w:rFonts w:ascii="Times New Roman" w:hAnsi="Times New Roman" w:cs="Times New Roman"/>
        </w:rPr>
        <w:t xml:space="preserve"> formed the view that the </w:t>
      </w:r>
      <w:r w:rsidR="00033BA7">
        <w:rPr>
          <w:rFonts w:ascii="Times New Roman" w:hAnsi="Times New Roman" w:cs="Times New Roman"/>
        </w:rPr>
        <w:t>appellant</w:t>
      </w:r>
      <w:r w:rsidR="00380600">
        <w:rPr>
          <w:rFonts w:ascii="Times New Roman" w:hAnsi="Times New Roman" w:cs="Times New Roman"/>
        </w:rPr>
        <w:t xml:space="preserve"> was in fact suffering from a mental illness while travelling from the Garda station he made no contact with the station to </w:t>
      </w:r>
      <w:r w:rsidR="00CE13AA">
        <w:rPr>
          <w:rFonts w:ascii="Times New Roman" w:hAnsi="Times New Roman" w:cs="Times New Roman"/>
        </w:rPr>
        <w:t>advise the Garda</w:t>
      </w:r>
      <w:r w:rsidR="00DD3EDA">
        <w:rPr>
          <w:rFonts w:ascii="Times New Roman" w:hAnsi="Times New Roman" w:cs="Times New Roman"/>
        </w:rPr>
        <w:t>í</w:t>
      </w:r>
      <w:r w:rsidR="00CE13AA">
        <w:rPr>
          <w:rFonts w:ascii="Times New Roman" w:hAnsi="Times New Roman" w:cs="Times New Roman"/>
        </w:rPr>
        <w:t xml:space="preserve"> of this and to </w:t>
      </w:r>
      <w:r w:rsidR="00380600">
        <w:rPr>
          <w:rFonts w:ascii="Times New Roman" w:hAnsi="Times New Roman" w:cs="Times New Roman"/>
        </w:rPr>
        <w:t xml:space="preserve">halt the interview.  </w:t>
      </w:r>
      <w:r w:rsidR="005F4AAA">
        <w:rPr>
          <w:rFonts w:ascii="Times New Roman" w:hAnsi="Times New Roman" w:cs="Times New Roman"/>
        </w:rPr>
        <w:t xml:space="preserve">The fact that the assessment was conducted within an eight minute period is striking.  </w:t>
      </w:r>
      <w:r w:rsidR="004F5254">
        <w:rPr>
          <w:rFonts w:ascii="Times New Roman" w:hAnsi="Times New Roman" w:cs="Times New Roman"/>
        </w:rPr>
        <w:t xml:space="preserve">A further and related question arises as to why if, as the </w:t>
      </w:r>
      <w:r w:rsidR="00015C04">
        <w:rPr>
          <w:rFonts w:ascii="Times New Roman" w:hAnsi="Times New Roman" w:cs="Times New Roman"/>
        </w:rPr>
        <w:t>respondent</w:t>
      </w:r>
      <w:r w:rsidR="004F5254">
        <w:rPr>
          <w:rFonts w:ascii="Times New Roman" w:hAnsi="Times New Roman" w:cs="Times New Roman"/>
        </w:rPr>
        <w:t xml:space="preserve"> says, the Garda</w:t>
      </w:r>
      <w:r w:rsidR="00DD3EDA">
        <w:rPr>
          <w:rFonts w:ascii="Times New Roman" w:hAnsi="Times New Roman" w:cs="Times New Roman"/>
        </w:rPr>
        <w:t>í</w:t>
      </w:r>
      <w:r w:rsidR="004F5254">
        <w:rPr>
          <w:rFonts w:ascii="Times New Roman" w:hAnsi="Times New Roman" w:cs="Times New Roman"/>
        </w:rPr>
        <w:t xml:space="preserve"> did not call him back to the station, the clinical notes prepared at University Hospital Galway record the Garda</w:t>
      </w:r>
      <w:r w:rsidR="00DD3EDA">
        <w:rPr>
          <w:rFonts w:ascii="Times New Roman" w:hAnsi="Times New Roman" w:cs="Times New Roman"/>
        </w:rPr>
        <w:t>í</w:t>
      </w:r>
      <w:r w:rsidR="004F5254">
        <w:rPr>
          <w:rFonts w:ascii="Times New Roman" w:hAnsi="Times New Roman" w:cs="Times New Roman"/>
        </w:rPr>
        <w:t xml:space="preserve"> as having done the opposite and in fact r</w:t>
      </w:r>
      <w:r w:rsidR="00DB2AF9">
        <w:rPr>
          <w:rFonts w:ascii="Times New Roman" w:hAnsi="Times New Roman" w:cs="Times New Roman"/>
        </w:rPr>
        <w:t>u</w:t>
      </w:r>
      <w:r w:rsidR="004F5254">
        <w:rPr>
          <w:rFonts w:ascii="Times New Roman" w:hAnsi="Times New Roman" w:cs="Times New Roman"/>
        </w:rPr>
        <w:t>ng him and asked him to return to the statio</w:t>
      </w:r>
      <w:r w:rsidR="005F4AAA">
        <w:rPr>
          <w:rFonts w:ascii="Times New Roman" w:hAnsi="Times New Roman" w:cs="Times New Roman"/>
        </w:rPr>
        <w:t>n.</w:t>
      </w:r>
    </w:p>
    <w:p w14:paraId="4D51388E" w14:textId="77777777" w:rsidR="00CE13AA" w:rsidRDefault="00CE13AA" w:rsidP="00CE13AA">
      <w:pPr>
        <w:pStyle w:val="ListParagraph"/>
        <w:spacing w:before="240" w:line="480" w:lineRule="auto"/>
        <w:jc w:val="both"/>
        <w:rPr>
          <w:rFonts w:ascii="Times New Roman" w:hAnsi="Times New Roman" w:cs="Times New Roman"/>
        </w:rPr>
      </w:pPr>
      <w:r>
        <w:rPr>
          <w:rFonts w:ascii="Times New Roman" w:hAnsi="Times New Roman" w:cs="Times New Roman"/>
        </w:rPr>
        <w:t xml:space="preserve">  </w:t>
      </w:r>
    </w:p>
    <w:p w14:paraId="3FF37707" w14:textId="77777777" w:rsidR="00C045F4" w:rsidRDefault="00CE13AA"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These questions combine to </w:t>
      </w:r>
      <w:r w:rsidR="00033BA7">
        <w:rPr>
          <w:rFonts w:ascii="Times New Roman" w:hAnsi="Times New Roman" w:cs="Times New Roman"/>
        </w:rPr>
        <w:t xml:space="preserve">present those features </w:t>
      </w:r>
      <w:r>
        <w:rPr>
          <w:rFonts w:ascii="Times New Roman" w:hAnsi="Times New Roman" w:cs="Times New Roman"/>
        </w:rPr>
        <w:t xml:space="preserve">that cause the courts in their general jurisprudence to refrain from dismissing at the interlocutory stage proceedings </w:t>
      </w:r>
      <w:r w:rsidR="00D812EF">
        <w:rPr>
          <w:rFonts w:ascii="Times New Roman" w:hAnsi="Times New Roman" w:cs="Times New Roman"/>
        </w:rPr>
        <w:t xml:space="preserve">or granting judgment in a case </w:t>
      </w:r>
      <w:r>
        <w:rPr>
          <w:rFonts w:ascii="Times New Roman" w:hAnsi="Times New Roman" w:cs="Times New Roman"/>
        </w:rPr>
        <w:t xml:space="preserve">which might, at trial, disclose a good claim </w:t>
      </w:r>
      <w:r w:rsidR="00D812EF">
        <w:rPr>
          <w:rFonts w:ascii="Times New Roman" w:hAnsi="Times New Roman" w:cs="Times New Roman"/>
        </w:rPr>
        <w:t xml:space="preserve">or defence </w:t>
      </w:r>
      <w:r>
        <w:rPr>
          <w:rFonts w:ascii="Times New Roman" w:hAnsi="Times New Roman" w:cs="Times New Roman"/>
        </w:rPr>
        <w:t>in law. This</w:t>
      </w:r>
      <w:r w:rsidR="00033BA7">
        <w:rPr>
          <w:rFonts w:ascii="Times New Roman" w:hAnsi="Times New Roman" w:cs="Times New Roman"/>
        </w:rPr>
        <w:t xml:space="preserve"> hesitance to ground any final determination of the merits of a case on affidavit evidence</w:t>
      </w:r>
      <w:r>
        <w:rPr>
          <w:rFonts w:ascii="Times New Roman" w:hAnsi="Times New Roman" w:cs="Times New Roman"/>
        </w:rPr>
        <w:t xml:space="preserve">, it must be emphasised, works both ways.  The High Court heard no oral evidence, and at a trial the </w:t>
      </w:r>
      <w:r w:rsidR="00015C04">
        <w:rPr>
          <w:rFonts w:ascii="Times New Roman" w:hAnsi="Times New Roman" w:cs="Times New Roman"/>
        </w:rPr>
        <w:t>respondent</w:t>
      </w:r>
      <w:r>
        <w:rPr>
          <w:rFonts w:ascii="Times New Roman" w:hAnsi="Times New Roman" w:cs="Times New Roman"/>
        </w:rPr>
        <w:t xml:space="preserve"> </w:t>
      </w:r>
      <w:r w:rsidR="00033BA7">
        <w:rPr>
          <w:rFonts w:ascii="Times New Roman" w:hAnsi="Times New Roman" w:cs="Times New Roman"/>
        </w:rPr>
        <w:t xml:space="preserve">will have the opportunity to address </w:t>
      </w:r>
      <w:r>
        <w:rPr>
          <w:rFonts w:ascii="Times New Roman" w:hAnsi="Times New Roman" w:cs="Times New Roman"/>
        </w:rPr>
        <w:t xml:space="preserve">all of these </w:t>
      </w:r>
      <w:r w:rsidR="00033BA7">
        <w:rPr>
          <w:rFonts w:ascii="Times New Roman" w:hAnsi="Times New Roman" w:cs="Times New Roman"/>
        </w:rPr>
        <w:t xml:space="preserve">issues </w:t>
      </w:r>
      <w:r>
        <w:rPr>
          <w:rFonts w:ascii="Times New Roman" w:hAnsi="Times New Roman" w:cs="Times New Roman"/>
        </w:rPr>
        <w:t xml:space="preserve">and to </w:t>
      </w:r>
      <w:r w:rsidR="00033BA7">
        <w:rPr>
          <w:rFonts w:ascii="Times New Roman" w:hAnsi="Times New Roman" w:cs="Times New Roman"/>
        </w:rPr>
        <w:t xml:space="preserve">adduce evidence to </w:t>
      </w:r>
      <w:r>
        <w:rPr>
          <w:rFonts w:ascii="Times New Roman" w:hAnsi="Times New Roman" w:cs="Times New Roman"/>
        </w:rPr>
        <w:t xml:space="preserve">establish both his good faith in acting as he did, and </w:t>
      </w:r>
      <w:r>
        <w:rPr>
          <w:rFonts w:ascii="Times New Roman" w:hAnsi="Times New Roman" w:cs="Times New Roman"/>
        </w:rPr>
        <w:lastRenderedPageBreak/>
        <w:t xml:space="preserve">the reasonableness of his conduct.  </w:t>
      </w:r>
      <w:r w:rsidR="00033BA7">
        <w:rPr>
          <w:rFonts w:ascii="Times New Roman" w:hAnsi="Times New Roman" w:cs="Times New Roman"/>
        </w:rPr>
        <w:t>It follows that n</w:t>
      </w:r>
      <w:r>
        <w:rPr>
          <w:rFonts w:ascii="Times New Roman" w:hAnsi="Times New Roman" w:cs="Times New Roman"/>
        </w:rPr>
        <w:t xml:space="preserve">either the High Court nor this court can or should express any view as to the likelihood of the </w:t>
      </w:r>
      <w:r w:rsidR="00033BA7">
        <w:rPr>
          <w:rFonts w:ascii="Times New Roman" w:hAnsi="Times New Roman" w:cs="Times New Roman"/>
        </w:rPr>
        <w:t>appellant</w:t>
      </w:r>
      <w:r>
        <w:rPr>
          <w:rFonts w:ascii="Times New Roman" w:hAnsi="Times New Roman" w:cs="Times New Roman"/>
        </w:rPr>
        <w:t xml:space="preserve"> succeeding in his case. That is not the issue.  The question is whether the </w:t>
      </w:r>
      <w:r w:rsidR="00033BA7">
        <w:rPr>
          <w:rFonts w:ascii="Times New Roman" w:hAnsi="Times New Roman" w:cs="Times New Roman"/>
        </w:rPr>
        <w:t>respondent</w:t>
      </w:r>
      <w:r>
        <w:rPr>
          <w:rFonts w:ascii="Times New Roman" w:hAnsi="Times New Roman" w:cs="Times New Roman"/>
        </w:rPr>
        <w:t xml:space="preserve"> has </w:t>
      </w:r>
      <w:r w:rsidR="00583B45">
        <w:rPr>
          <w:rFonts w:ascii="Times New Roman" w:hAnsi="Times New Roman" w:cs="Times New Roman"/>
        </w:rPr>
        <w:t xml:space="preserve">at this point and on the basis of affidavit evidence alone </w:t>
      </w:r>
      <w:r>
        <w:rPr>
          <w:rFonts w:ascii="Times New Roman" w:hAnsi="Times New Roman" w:cs="Times New Roman"/>
        </w:rPr>
        <w:t xml:space="preserve">established a basis on which it can be said that there are no reasonable grounds for the </w:t>
      </w:r>
      <w:r w:rsidR="00033BA7">
        <w:rPr>
          <w:rFonts w:ascii="Times New Roman" w:hAnsi="Times New Roman" w:cs="Times New Roman"/>
        </w:rPr>
        <w:t xml:space="preserve">appellant </w:t>
      </w:r>
      <w:r>
        <w:rPr>
          <w:rFonts w:ascii="Times New Roman" w:hAnsi="Times New Roman" w:cs="Times New Roman"/>
        </w:rPr>
        <w:t>to advance the claims that he seeks to make.  I do not believe he has.</w:t>
      </w:r>
      <w:r w:rsidR="005F4AAA">
        <w:rPr>
          <w:rFonts w:ascii="Times New Roman" w:hAnsi="Times New Roman" w:cs="Times New Roman"/>
        </w:rPr>
        <w:t xml:space="preserve">  While the appellant’s case may not be affirmatively corroborated by any independent evidence, the facts and questions arising from the evidence that is before the court are sufficient to</w:t>
      </w:r>
      <w:r w:rsidR="00D62A88">
        <w:rPr>
          <w:rFonts w:ascii="Times New Roman" w:hAnsi="Times New Roman" w:cs="Times New Roman"/>
        </w:rPr>
        <w:t xml:space="preserve"> allow the appellant to proceed with his claims. </w:t>
      </w:r>
      <w:r w:rsidR="00D4569E">
        <w:rPr>
          <w:rFonts w:ascii="Times New Roman" w:hAnsi="Times New Roman" w:cs="Times New Roman"/>
        </w:rPr>
        <w:t xml:space="preserve"> </w:t>
      </w:r>
    </w:p>
    <w:p w14:paraId="7A2A2068" w14:textId="77777777" w:rsidR="00D4569E" w:rsidRDefault="00D4569E" w:rsidP="00D4569E">
      <w:pPr>
        <w:pStyle w:val="ListParagraph"/>
        <w:spacing w:before="240" w:line="480" w:lineRule="auto"/>
        <w:jc w:val="both"/>
        <w:rPr>
          <w:rFonts w:ascii="Times New Roman" w:hAnsi="Times New Roman" w:cs="Times New Roman"/>
        </w:rPr>
      </w:pPr>
      <w:r>
        <w:rPr>
          <w:rFonts w:ascii="Times New Roman" w:hAnsi="Times New Roman" w:cs="Times New Roman"/>
        </w:rPr>
        <w:t xml:space="preserve">  </w:t>
      </w:r>
    </w:p>
    <w:p w14:paraId="3D2A1FF5" w14:textId="77777777" w:rsidR="00D4569E" w:rsidRDefault="00D4569E" w:rsidP="00D4569E">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In the course of his judgment</w:t>
      </w:r>
      <w:r w:rsidR="001941A2">
        <w:rPr>
          <w:rFonts w:ascii="Times New Roman" w:hAnsi="Times New Roman" w:cs="Times New Roman"/>
        </w:rPr>
        <w:t xml:space="preserve"> (</w:t>
      </w:r>
      <w:r w:rsidR="001941A2" w:rsidRPr="001941A2">
        <w:rPr>
          <w:rFonts w:ascii="Times New Roman" w:hAnsi="Times New Roman" w:cs="Times New Roman"/>
        </w:rPr>
        <w:t>[2018] IEHC 281</w:t>
      </w:r>
      <w:r w:rsidR="001941A2">
        <w:rPr>
          <w:rFonts w:ascii="Times New Roman" w:hAnsi="Times New Roman" w:cs="Times New Roman"/>
        </w:rPr>
        <w:t>)</w:t>
      </w:r>
      <w:r>
        <w:rPr>
          <w:rFonts w:ascii="Times New Roman" w:hAnsi="Times New Roman" w:cs="Times New Roman"/>
        </w:rPr>
        <w:t xml:space="preserve">, Barrett J., noting the judgements in </w:t>
      </w:r>
      <w:r w:rsidRPr="00D4569E">
        <w:rPr>
          <w:rFonts w:ascii="Times New Roman" w:hAnsi="Times New Roman" w:cs="Times New Roman"/>
          <w:i/>
        </w:rPr>
        <w:t xml:space="preserve">Reidy v. National Maternity Hospital </w:t>
      </w:r>
      <w:r w:rsidRPr="00D4569E">
        <w:rPr>
          <w:rFonts w:ascii="Times New Roman" w:hAnsi="Times New Roman" w:cs="Times New Roman"/>
        </w:rPr>
        <w:t xml:space="preserve">[1997] IEHC 143, </w:t>
      </w:r>
      <w:r w:rsidRPr="00D4569E">
        <w:rPr>
          <w:rFonts w:ascii="Times New Roman" w:hAnsi="Times New Roman" w:cs="Times New Roman"/>
          <w:i/>
        </w:rPr>
        <w:t xml:space="preserve">Greene v. Triangle Developments Ltd. </w:t>
      </w:r>
      <w:r w:rsidRPr="00D4569E">
        <w:rPr>
          <w:rFonts w:ascii="Times New Roman" w:hAnsi="Times New Roman" w:cs="Times New Roman"/>
        </w:rPr>
        <w:t xml:space="preserve">[2008] IEHC 52 and </w:t>
      </w:r>
      <w:r w:rsidRPr="00D4569E">
        <w:rPr>
          <w:rFonts w:ascii="Times New Roman" w:hAnsi="Times New Roman" w:cs="Times New Roman"/>
          <w:i/>
        </w:rPr>
        <w:t xml:space="preserve">Cooke v. Cronin and Neary </w:t>
      </w:r>
      <w:r w:rsidRPr="00D4569E">
        <w:rPr>
          <w:rFonts w:ascii="Times New Roman" w:hAnsi="Times New Roman" w:cs="Times New Roman"/>
        </w:rPr>
        <w:t xml:space="preserve">[1999] IESC </w:t>
      </w:r>
      <w:r w:rsidR="00A51EEC">
        <w:rPr>
          <w:rFonts w:ascii="Times New Roman" w:hAnsi="Times New Roman" w:cs="Times New Roman"/>
        </w:rPr>
        <w:t>54</w:t>
      </w:r>
      <w:r w:rsidRPr="00D4569E">
        <w:rPr>
          <w:rFonts w:ascii="Times New Roman" w:hAnsi="Times New Roman" w:cs="Times New Roman"/>
        </w:rPr>
        <w:t xml:space="preserve"> and (‘</w:t>
      </w:r>
      <w:proofErr w:type="spellStart"/>
      <w:r w:rsidRPr="00D4569E">
        <w:rPr>
          <w:rFonts w:ascii="Times New Roman" w:hAnsi="Times New Roman" w:cs="Times New Roman"/>
          <w:i/>
        </w:rPr>
        <w:t>Reidy’,’Greene</w:t>
      </w:r>
      <w:proofErr w:type="spellEnd"/>
      <w:r w:rsidRPr="00D4569E">
        <w:rPr>
          <w:rFonts w:ascii="Times New Roman" w:hAnsi="Times New Roman" w:cs="Times New Roman"/>
          <w:i/>
        </w:rPr>
        <w:t xml:space="preserve">’ </w:t>
      </w:r>
      <w:r w:rsidRPr="00D4569E">
        <w:rPr>
          <w:rFonts w:ascii="Times New Roman" w:hAnsi="Times New Roman" w:cs="Times New Roman"/>
        </w:rPr>
        <w:t xml:space="preserve">and </w:t>
      </w:r>
      <w:r w:rsidRPr="00D4569E">
        <w:rPr>
          <w:rFonts w:ascii="Times New Roman" w:hAnsi="Times New Roman" w:cs="Times New Roman"/>
          <w:i/>
        </w:rPr>
        <w:t xml:space="preserve">‘Cooke’ </w:t>
      </w:r>
      <w:r w:rsidRPr="00D4569E">
        <w:rPr>
          <w:rFonts w:ascii="Times New Roman" w:hAnsi="Times New Roman" w:cs="Times New Roman"/>
        </w:rPr>
        <w:t>respectively)</w:t>
      </w:r>
      <w:r>
        <w:rPr>
          <w:rFonts w:ascii="Times New Roman" w:hAnsi="Times New Roman" w:cs="Times New Roman"/>
        </w:rPr>
        <w:t>, stated as follows:</w:t>
      </w:r>
    </w:p>
    <w:p w14:paraId="1418BC52" w14:textId="77777777" w:rsidR="00D4569E" w:rsidRPr="00D4569E" w:rsidRDefault="00D4569E" w:rsidP="00D4569E">
      <w:pPr>
        <w:pStyle w:val="ListParagraph"/>
        <w:rPr>
          <w:rFonts w:ascii="Times New Roman" w:hAnsi="Times New Roman" w:cs="Times New Roman"/>
        </w:rPr>
      </w:pPr>
    </w:p>
    <w:p w14:paraId="13FD3FC0" w14:textId="77777777" w:rsidR="00D4569E" w:rsidRDefault="00D4569E" w:rsidP="00D4569E">
      <w:pPr>
        <w:pStyle w:val="ListParagraph"/>
        <w:spacing w:before="240" w:line="480" w:lineRule="auto"/>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no professional negligence proceedings may be commenced against a medical doctor without having a sufficient expert opinion available that would allow an assessment to be made that there is a stateable case for the professional negligence intended to be asserted</w:t>
      </w:r>
      <w:r w:rsidR="0030591A">
        <w:rPr>
          <w:rFonts w:ascii="Times New Roman" w:hAnsi="Times New Roman" w:cs="Times New Roman"/>
          <w:i/>
        </w:rPr>
        <w:t>.  There is no such opinion before the court.’</w:t>
      </w:r>
      <w:r>
        <w:rPr>
          <w:rFonts w:ascii="Times New Roman" w:hAnsi="Times New Roman" w:cs="Times New Roman"/>
        </w:rPr>
        <w:t xml:space="preserve">  </w:t>
      </w:r>
    </w:p>
    <w:p w14:paraId="758377CC" w14:textId="77777777" w:rsidR="00D4569E" w:rsidRPr="00D4569E" w:rsidRDefault="00D4569E" w:rsidP="00D4569E">
      <w:pPr>
        <w:pStyle w:val="ListParagraph"/>
        <w:rPr>
          <w:rFonts w:ascii="Times New Roman" w:hAnsi="Times New Roman" w:cs="Times New Roman"/>
        </w:rPr>
      </w:pPr>
    </w:p>
    <w:p w14:paraId="4F97BF26" w14:textId="77777777" w:rsidR="0030591A" w:rsidRPr="0030591A" w:rsidRDefault="00D4569E" w:rsidP="0030591A">
      <w:pPr>
        <w:pStyle w:val="ListParagraph"/>
        <w:numPr>
          <w:ilvl w:val="0"/>
          <w:numId w:val="4"/>
        </w:numPr>
        <w:spacing w:line="480" w:lineRule="auto"/>
        <w:jc w:val="both"/>
        <w:rPr>
          <w:rFonts w:ascii="Times New Roman" w:hAnsi="Times New Roman" w:cs="Times New Roman"/>
        </w:rPr>
      </w:pPr>
      <w:r w:rsidRPr="0030591A">
        <w:rPr>
          <w:rFonts w:ascii="Times New Roman" w:hAnsi="Times New Roman" w:cs="Times New Roman"/>
        </w:rPr>
        <w:t xml:space="preserve">Although </w:t>
      </w:r>
      <w:r w:rsidR="0030591A" w:rsidRPr="0030591A">
        <w:rPr>
          <w:rFonts w:ascii="Times New Roman" w:hAnsi="Times New Roman" w:cs="Times New Roman"/>
        </w:rPr>
        <w:t xml:space="preserve">in </w:t>
      </w:r>
      <w:r w:rsidRPr="0030591A">
        <w:rPr>
          <w:rFonts w:ascii="Times New Roman" w:hAnsi="Times New Roman" w:cs="Times New Roman"/>
        </w:rPr>
        <w:t xml:space="preserve">none of these cases </w:t>
      </w:r>
      <w:r w:rsidR="0030591A" w:rsidRPr="0030591A">
        <w:rPr>
          <w:rFonts w:ascii="Times New Roman" w:hAnsi="Times New Roman" w:cs="Times New Roman"/>
        </w:rPr>
        <w:t xml:space="preserve">was it </w:t>
      </w:r>
      <w:r w:rsidRPr="0030591A">
        <w:rPr>
          <w:rFonts w:ascii="Times New Roman" w:hAnsi="Times New Roman" w:cs="Times New Roman"/>
        </w:rPr>
        <w:t xml:space="preserve">held that a plaintiff </w:t>
      </w:r>
      <w:r w:rsidR="0030591A" w:rsidRPr="0030591A">
        <w:rPr>
          <w:rFonts w:ascii="Times New Roman" w:hAnsi="Times New Roman" w:cs="Times New Roman"/>
        </w:rPr>
        <w:t xml:space="preserve">in a professional negligence action would have his claim dismissed if he was not in a position to confirm that he had obtained an expert report supporting them, comments were </w:t>
      </w:r>
      <w:r w:rsidR="0030591A">
        <w:rPr>
          <w:rFonts w:ascii="Times New Roman" w:hAnsi="Times New Roman" w:cs="Times New Roman"/>
        </w:rPr>
        <w:t xml:space="preserve">certainly </w:t>
      </w:r>
      <w:r w:rsidR="0030591A" w:rsidRPr="0030591A">
        <w:rPr>
          <w:rFonts w:ascii="Times New Roman" w:hAnsi="Times New Roman" w:cs="Times New Roman"/>
        </w:rPr>
        <w:t xml:space="preserve">made that so suggested.  In </w:t>
      </w:r>
      <w:r w:rsidR="0030591A" w:rsidRPr="0030591A">
        <w:rPr>
          <w:rFonts w:ascii="Times New Roman" w:hAnsi="Times New Roman" w:cs="Times New Roman"/>
          <w:i/>
        </w:rPr>
        <w:t xml:space="preserve">Reidy </w:t>
      </w:r>
      <w:r w:rsidR="0030591A" w:rsidRPr="0030591A">
        <w:rPr>
          <w:rFonts w:ascii="Times New Roman" w:hAnsi="Times New Roman" w:cs="Times New Roman"/>
        </w:rPr>
        <w:t xml:space="preserve">Barr J. (at para. </w:t>
      </w:r>
      <w:r w:rsidR="00DD3EDA">
        <w:rPr>
          <w:rFonts w:ascii="Times New Roman" w:hAnsi="Times New Roman" w:cs="Times New Roman"/>
        </w:rPr>
        <w:t>45</w:t>
      </w:r>
      <w:r w:rsidR="0030591A" w:rsidRPr="0030591A">
        <w:rPr>
          <w:rFonts w:ascii="Times New Roman" w:hAnsi="Times New Roman" w:cs="Times New Roman"/>
        </w:rPr>
        <w:t>) said that it was ‘</w:t>
      </w:r>
      <w:r w:rsidR="0030591A" w:rsidRPr="0030591A">
        <w:rPr>
          <w:rFonts w:ascii="Times New Roman" w:hAnsi="Times New Roman" w:cs="Times New Roman"/>
          <w:i/>
        </w:rPr>
        <w:t xml:space="preserve">irresponsible and an abuse of the process of the court to launch a professional negligence action against institutions such as hospitals and professional personnel without first ascertaining that there are </w:t>
      </w:r>
      <w:r w:rsidR="0030591A" w:rsidRPr="0030591A">
        <w:rPr>
          <w:rFonts w:ascii="Times New Roman" w:hAnsi="Times New Roman" w:cs="Times New Roman"/>
          <w:i/>
        </w:rPr>
        <w:lastRenderedPageBreak/>
        <w:t xml:space="preserve">reasonable grounds for so doing.  Initiation and prosecution of an action in negligence … against the hospital necessarily required appropriate expert evidence to support it.’ </w:t>
      </w:r>
      <w:r w:rsidR="0030591A" w:rsidRPr="0030591A">
        <w:rPr>
          <w:rFonts w:ascii="Times New Roman" w:hAnsi="Times New Roman" w:cs="Times New Roman"/>
        </w:rPr>
        <w:t xml:space="preserve">The comments were cited with approval by Kelly J. in </w:t>
      </w:r>
      <w:r w:rsidR="0030591A" w:rsidRPr="0030591A">
        <w:rPr>
          <w:rFonts w:ascii="Times New Roman" w:hAnsi="Times New Roman" w:cs="Times New Roman"/>
          <w:i/>
        </w:rPr>
        <w:t>Connolly v. Case</w:t>
      </w:r>
      <w:r w:rsidR="00D62A88">
        <w:rPr>
          <w:rFonts w:ascii="Times New Roman" w:hAnsi="Times New Roman" w:cs="Times New Roman"/>
          <w:i/>
        </w:rPr>
        <w:t>y</w:t>
      </w:r>
      <w:r w:rsidR="0030591A" w:rsidRPr="0030591A">
        <w:rPr>
          <w:rFonts w:ascii="Times New Roman" w:hAnsi="Times New Roman" w:cs="Times New Roman"/>
          <w:i/>
        </w:rPr>
        <w:t xml:space="preserve"> and Murphy</w:t>
      </w:r>
      <w:r w:rsidR="0030591A" w:rsidRPr="0030591A">
        <w:rPr>
          <w:rFonts w:ascii="Times New Roman" w:hAnsi="Times New Roman" w:cs="Times New Roman"/>
        </w:rPr>
        <w:t xml:space="preserve"> [1998] IEHC 90</w:t>
      </w:r>
      <w:r w:rsidR="00A51EEC">
        <w:rPr>
          <w:rFonts w:ascii="Times New Roman" w:hAnsi="Times New Roman" w:cs="Times New Roman"/>
        </w:rPr>
        <w:t xml:space="preserve"> (at para. 55)</w:t>
      </w:r>
      <w:r w:rsidR="0030591A" w:rsidRPr="0030591A">
        <w:rPr>
          <w:rFonts w:ascii="Times New Roman" w:hAnsi="Times New Roman" w:cs="Times New Roman"/>
        </w:rPr>
        <w:t xml:space="preserve">, and by Denham J. in </w:t>
      </w:r>
      <w:r w:rsidR="0030591A" w:rsidRPr="0030591A">
        <w:rPr>
          <w:rFonts w:ascii="Times New Roman" w:hAnsi="Times New Roman" w:cs="Times New Roman"/>
          <w:i/>
        </w:rPr>
        <w:t>Cooke</w:t>
      </w:r>
      <w:r w:rsidR="0030591A" w:rsidRPr="0030591A">
        <w:rPr>
          <w:rFonts w:ascii="Times New Roman" w:hAnsi="Times New Roman" w:cs="Times New Roman"/>
        </w:rPr>
        <w:t xml:space="preserve"> who explained the rationale for the requirement as follows (at para. 10):</w:t>
      </w:r>
    </w:p>
    <w:p w14:paraId="0B8D0055" w14:textId="77777777" w:rsidR="0030591A" w:rsidRDefault="0030591A" w:rsidP="0030591A">
      <w:pPr>
        <w:spacing w:line="480" w:lineRule="auto"/>
        <w:jc w:val="both"/>
      </w:pPr>
    </w:p>
    <w:p w14:paraId="3B526318" w14:textId="77777777" w:rsidR="0030591A" w:rsidRPr="00DB0737" w:rsidRDefault="0030591A" w:rsidP="0030591A">
      <w:pPr>
        <w:spacing w:line="480" w:lineRule="auto"/>
        <w:ind w:left="1440" w:hanging="1440"/>
        <w:jc w:val="both"/>
      </w:pPr>
      <w:r>
        <w:tab/>
        <w:t>‘</w:t>
      </w:r>
      <w:r>
        <w:rPr>
          <w:i/>
        </w:rPr>
        <w:t>To issue proceedings alleging professional negligence puts an individual in a situation where for professional or practice reasons to have the case proceed in open Court may be perceived and feared by that professional as being detrimental to his professional reputation and practice.  That fear should not be utilized by unprofessional conduct’</w:t>
      </w:r>
      <w:r>
        <w:t>.</w:t>
      </w:r>
    </w:p>
    <w:p w14:paraId="62B05B9F" w14:textId="77777777" w:rsidR="0030591A" w:rsidRDefault="00993471" w:rsidP="0030591A">
      <w:pPr>
        <w:pStyle w:val="ListParagraph"/>
        <w:numPr>
          <w:ilvl w:val="0"/>
          <w:numId w:val="4"/>
        </w:numPr>
        <w:spacing w:before="240" w:line="480" w:lineRule="auto"/>
        <w:jc w:val="both"/>
        <w:rPr>
          <w:rFonts w:ascii="Times New Roman" w:hAnsi="Times New Roman" w:cs="Times New Roman"/>
        </w:rPr>
      </w:pPr>
      <w:r w:rsidRPr="0030591A">
        <w:rPr>
          <w:rFonts w:ascii="Times New Roman" w:hAnsi="Times New Roman" w:cs="Times New Roman"/>
        </w:rPr>
        <w:t>The finding that a person has acted ‘</w:t>
      </w:r>
      <w:r w:rsidRPr="0030591A">
        <w:rPr>
          <w:rFonts w:ascii="Times New Roman" w:hAnsi="Times New Roman" w:cs="Times New Roman"/>
          <w:i/>
        </w:rPr>
        <w:t xml:space="preserve">without reasonable care’ </w:t>
      </w:r>
      <w:r w:rsidRPr="0030591A">
        <w:rPr>
          <w:rFonts w:ascii="Times New Roman" w:hAnsi="Times New Roman" w:cs="Times New Roman"/>
        </w:rPr>
        <w:t xml:space="preserve">requires an </w:t>
      </w:r>
      <w:r w:rsidR="00C241B2">
        <w:rPr>
          <w:rFonts w:ascii="Times New Roman" w:hAnsi="Times New Roman" w:cs="Times New Roman"/>
        </w:rPr>
        <w:t xml:space="preserve">identification of </w:t>
      </w:r>
      <w:r w:rsidRPr="0030591A">
        <w:rPr>
          <w:rFonts w:ascii="Times New Roman" w:hAnsi="Times New Roman" w:cs="Times New Roman"/>
        </w:rPr>
        <w:t>the actions in question, the level of care with which they were in fact executed, and an assessment of whether the combination of the two was ‘</w:t>
      </w:r>
      <w:r w:rsidRPr="0030591A">
        <w:rPr>
          <w:rFonts w:ascii="Times New Roman" w:hAnsi="Times New Roman" w:cs="Times New Roman"/>
          <w:i/>
        </w:rPr>
        <w:t>reasonable’</w:t>
      </w:r>
      <w:r w:rsidRPr="0030591A">
        <w:rPr>
          <w:rFonts w:ascii="Times New Roman" w:hAnsi="Times New Roman" w:cs="Times New Roman"/>
        </w:rPr>
        <w:t xml:space="preserve">.  </w:t>
      </w:r>
      <w:r w:rsidR="0030591A">
        <w:rPr>
          <w:rFonts w:ascii="Times New Roman" w:hAnsi="Times New Roman" w:cs="Times New Roman"/>
        </w:rPr>
        <w:t xml:space="preserve">In many cases of alleged professional negligence the determination of the second and third issues (and indeed </w:t>
      </w:r>
      <w:r w:rsidR="00D62A88">
        <w:rPr>
          <w:rFonts w:ascii="Times New Roman" w:hAnsi="Times New Roman" w:cs="Times New Roman"/>
        </w:rPr>
        <w:t xml:space="preserve">- </w:t>
      </w:r>
      <w:r w:rsidR="0030591A">
        <w:rPr>
          <w:rFonts w:ascii="Times New Roman" w:hAnsi="Times New Roman" w:cs="Times New Roman"/>
        </w:rPr>
        <w:t xml:space="preserve">in many cases </w:t>
      </w:r>
      <w:r w:rsidR="00D62A88">
        <w:rPr>
          <w:rFonts w:ascii="Times New Roman" w:hAnsi="Times New Roman" w:cs="Times New Roman"/>
        </w:rPr>
        <w:t xml:space="preserve">- </w:t>
      </w:r>
      <w:r w:rsidR="0030591A">
        <w:rPr>
          <w:rFonts w:ascii="Times New Roman" w:hAnsi="Times New Roman" w:cs="Times New Roman"/>
        </w:rPr>
        <w:t>questions of causation) will not be possible without an independent expert assessment.  In the medical field, w</w:t>
      </w:r>
      <w:r w:rsidRPr="0030591A">
        <w:rPr>
          <w:rFonts w:ascii="Times New Roman" w:hAnsi="Times New Roman" w:cs="Times New Roman"/>
        </w:rPr>
        <w:t xml:space="preserve">here the issue is one of clinical judgment, the evidence of standard practice in the </w:t>
      </w:r>
      <w:r w:rsidR="0030591A">
        <w:rPr>
          <w:rFonts w:ascii="Times New Roman" w:hAnsi="Times New Roman" w:cs="Times New Roman"/>
        </w:rPr>
        <w:t>relevant discipline</w:t>
      </w:r>
      <w:r w:rsidRPr="0030591A">
        <w:rPr>
          <w:rFonts w:ascii="Times New Roman" w:hAnsi="Times New Roman" w:cs="Times New Roman"/>
        </w:rPr>
        <w:t xml:space="preserve"> will be critical to a finding of the reasonableness of the action</w:t>
      </w:r>
      <w:r w:rsidR="0030591A">
        <w:rPr>
          <w:rFonts w:ascii="Times New Roman" w:hAnsi="Times New Roman" w:cs="Times New Roman"/>
        </w:rPr>
        <w:t>.</w:t>
      </w:r>
    </w:p>
    <w:p w14:paraId="22B7BCAE" w14:textId="77777777" w:rsidR="0030591A" w:rsidRPr="0030591A" w:rsidRDefault="0030591A" w:rsidP="0030591A">
      <w:pPr>
        <w:pStyle w:val="ListParagraph"/>
        <w:spacing w:before="240" w:line="480" w:lineRule="auto"/>
        <w:jc w:val="both"/>
        <w:rPr>
          <w:rFonts w:ascii="Times New Roman" w:hAnsi="Times New Roman" w:cs="Times New Roman"/>
        </w:rPr>
      </w:pPr>
      <w:r>
        <w:t xml:space="preserve">  </w:t>
      </w:r>
    </w:p>
    <w:p w14:paraId="7DCE117C" w14:textId="77777777" w:rsidR="0030591A" w:rsidRPr="0030591A" w:rsidRDefault="0030591A" w:rsidP="0030591A">
      <w:pPr>
        <w:pStyle w:val="ListParagraph"/>
        <w:numPr>
          <w:ilvl w:val="0"/>
          <w:numId w:val="4"/>
        </w:numPr>
        <w:spacing w:before="240" w:line="480" w:lineRule="auto"/>
        <w:jc w:val="both"/>
        <w:rPr>
          <w:rFonts w:ascii="Times New Roman" w:hAnsi="Times New Roman" w:cs="Times New Roman"/>
        </w:rPr>
      </w:pPr>
      <w:r w:rsidRPr="0030591A">
        <w:rPr>
          <w:rFonts w:ascii="Times New Roman" w:hAnsi="Times New Roman" w:cs="Times New Roman"/>
        </w:rPr>
        <w:t>However, it is not every case of professional negligence that requires such an assessment, and it is therefore not every such case in which an expert report must be obtained</w:t>
      </w:r>
      <w:r w:rsidR="00C241B2">
        <w:rPr>
          <w:rFonts w:ascii="Times New Roman" w:hAnsi="Times New Roman" w:cs="Times New Roman"/>
        </w:rPr>
        <w:t>.</w:t>
      </w:r>
      <w:r w:rsidRPr="0030591A">
        <w:rPr>
          <w:rFonts w:ascii="Times New Roman" w:hAnsi="Times New Roman" w:cs="Times New Roman"/>
        </w:rPr>
        <w:t xml:space="preserve">  The majority judgement in </w:t>
      </w:r>
      <w:r w:rsidRPr="0030591A">
        <w:rPr>
          <w:rFonts w:ascii="Times New Roman" w:hAnsi="Times New Roman" w:cs="Times New Roman"/>
          <w:i/>
        </w:rPr>
        <w:t>Cooke</w:t>
      </w:r>
      <w:r w:rsidRPr="0030591A">
        <w:rPr>
          <w:rFonts w:ascii="Times New Roman" w:hAnsi="Times New Roman" w:cs="Times New Roman"/>
        </w:rPr>
        <w:t xml:space="preserve"> expressed the requirement in terms not of the production of an expert report prior to the institution of proceedings, but of </w:t>
      </w:r>
      <w:r>
        <w:rPr>
          <w:rFonts w:ascii="Times New Roman" w:hAnsi="Times New Roman" w:cs="Times New Roman"/>
        </w:rPr>
        <w:t xml:space="preserve">ensuring that there was a reasonable basis for the claim.  </w:t>
      </w:r>
      <w:r w:rsidRPr="0030591A">
        <w:rPr>
          <w:rFonts w:ascii="Times New Roman" w:hAnsi="Times New Roman" w:cs="Times New Roman"/>
        </w:rPr>
        <w:t>Lynch J. said (at para. 32):</w:t>
      </w:r>
    </w:p>
    <w:p w14:paraId="6581BDAD" w14:textId="77777777" w:rsidR="0030591A" w:rsidRDefault="0030591A" w:rsidP="0030591A">
      <w:pPr>
        <w:spacing w:line="480" w:lineRule="auto"/>
        <w:jc w:val="both"/>
      </w:pPr>
      <w:r>
        <w:lastRenderedPageBreak/>
        <w:t xml:space="preserve">  </w:t>
      </w:r>
    </w:p>
    <w:p w14:paraId="3D568AF6" w14:textId="77777777" w:rsidR="0030591A" w:rsidRDefault="0030591A" w:rsidP="0030591A">
      <w:pPr>
        <w:spacing w:line="480" w:lineRule="auto"/>
        <w:ind w:left="1440" w:hanging="1440"/>
        <w:jc w:val="both"/>
      </w:pPr>
      <w:r>
        <w:tab/>
        <w:t>‘</w:t>
      </w:r>
      <w:r>
        <w:rPr>
          <w:i/>
        </w:rPr>
        <w:t>In all cases of alleged negligence on the part of a qualified professional person in carrying out his professional duties there should be some credible evidence to support the plaintiff’s case before such an action is commenced’</w:t>
      </w:r>
      <w:r>
        <w:t>.</w:t>
      </w:r>
    </w:p>
    <w:p w14:paraId="3C1DD589" w14:textId="77777777" w:rsidR="00AD79AE" w:rsidRPr="00AD79AE" w:rsidRDefault="0030591A" w:rsidP="00AD79AE">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The decision in </w:t>
      </w:r>
      <w:r w:rsidR="00AD79AE">
        <w:rPr>
          <w:rFonts w:ascii="Times New Roman" w:hAnsi="Times New Roman" w:cs="Times New Roman"/>
          <w:i/>
        </w:rPr>
        <w:t xml:space="preserve">Mangan v. </w:t>
      </w:r>
      <w:proofErr w:type="spellStart"/>
      <w:r w:rsidR="00AD79AE">
        <w:rPr>
          <w:rFonts w:ascii="Times New Roman" w:hAnsi="Times New Roman" w:cs="Times New Roman"/>
          <w:i/>
        </w:rPr>
        <w:t>Dockeray</w:t>
      </w:r>
      <w:proofErr w:type="spellEnd"/>
      <w:r w:rsidR="00AD79AE">
        <w:rPr>
          <w:rFonts w:ascii="Times New Roman" w:hAnsi="Times New Roman" w:cs="Times New Roman"/>
          <w:i/>
        </w:rPr>
        <w:t xml:space="preserve"> and </w:t>
      </w:r>
      <w:proofErr w:type="spellStart"/>
      <w:r w:rsidR="00AD79AE">
        <w:rPr>
          <w:rFonts w:ascii="Times New Roman" w:hAnsi="Times New Roman" w:cs="Times New Roman"/>
          <w:i/>
        </w:rPr>
        <w:t>anor</w:t>
      </w:r>
      <w:proofErr w:type="spellEnd"/>
      <w:r w:rsidR="00AD79AE">
        <w:rPr>
          <w:rFonts w:ascii="Times New Roman" w:hAnsi="Times New Roman" w:cs="Times New Roman"/>
          <w:i/>
        </w:rPr>
        <w:t xml:space="preserve">. </w:t>
      </w:r>
      <w:r w:rsidR="00AD79AE">
        <w:rPr>
          <w:rFonts w:ascii="Times New Roman" w:hAnsi="Times New Roman" w:cs="Times New Roman"/>
        </w:rPr>
        <w:t>[2020] IESC 67 confirms that the mere fact that a plaintiff is bringing an action for professional negligence does not in itself require that, in order to successfully resist an application to dismiss the claim, an expert report</w:t>
      </w:r>
      <w:r w:rsidR="001941A2">
        <w:rPr>
          <w:rFonts w:ascii="Times New Roman" w:hAnsi="Times New Roman" w:cs="Times New Roman"/>
        </w:rPr>
        <w:t xml:space="preserve"> is needed</w:t>
      </w:r>
      <w:r w:rsidR="00AD79AE">
        <w:rPr>
          <w:rFonts w:ascii="Times New Roman" w:hAnsi="Times New Roman" w:cs="Times New Roman"/>
        </w:rPr>
        <w:t>.  Everything depends on the nature of the claim being advanced.  McKechnie J. (with whose judgment Clarke CJ</w:t>
      </w:r>
      <w:r w:rsidR="00A51EEC">
        <w:rPr>
          <w:rFonts w:ascii="Times New Roman" w:hAnsi="Times New Roman" w:cs="Times New Roman"/>
        </w:rPr>
        <w:t>.</w:t>
      </w:r>
      <w:r w:rsidR="00AD79AE">
        <w:rPr>
          <w:rFonts w:ascii="Times New Roman" w:hAnsi="Times New Roman" w:cs="Times New Roman"/>
        </w:rPr>
        <w:t xml:space="preserve">, </w:t>
      </w:r>
      <w:proofErr w:type="spellStart"/>
      <w:r w:rsidR="00AD79AE">
        <w:rPr>
          <w:rFonts w:ascii="Times New Roman" w:hAnsi="Times New Roman" w:cs="Times New Roman"/>
        </w:rPr>
        <w:t>MacMenamin</w:t>
      </w:r>
      <w:proofErr w:type="spellEnd"/>
      <w:r w:rsidR="00AD79AE">
        <w:rPr>
          <w:rFonts w:ascii="Times New Roman" w:hAnsi="Times New Roman" w:cs="Times New Roman"/>
        </w:rPr>
        <w:t xml:space="preserve"> J, Dunne J. and Baker J. agreed) explained the position as follows (at para. 97):</w:t>
      </w:r>
    </w:p>
    <w:p w14:paraId="5F95BE43" w14:textId="77777777" w:rsidR="00AD79AE" w:rsidRPr="00AD79AE" w:rsidRDefault="001941A2" w:rsidP="00AD79AE">
      <w:pPr>
        <w:spacing w:before="100" w:beforeAutospacing="1" w:after="100" w:afterAutospacing="1" w:line="480" w:lineRule="auto"/>
        <w:ind w:left="1440"/>
        <w:jc w:val="both"/>
        <w:rPr>
          <w:i/>
          <w:lang w:eastAsia="en-US"/>
        </w:rPr>
      </w:pPr>
      <w:r>
        <w:rPr>
          <w:rFonts w:ascii="TimesNewRomanPSMT" w:hAnsi="TimesNewRomanPSMT" w:cs="TimesNewRomanPSMT"/>
          <w:i/>
          <w:lang w:eastAsia="en-US"/>
        </w:rPr>
        <w:t>‘</w:t>
      </w:r>
      <w:r w:rsidR="00AD79AE" w:rsidRPr="00AD79AE">
        <w:rPr>
          <w:rFonts w:ascii="TimesNewRomanPSMT" w:hAnsi="TimesNewRomanPSMT" w:cs="TimesNewRomanPSMT"/>
          <w:i/>
          <w:lang w:eastAsia="en-US"/>
        </w:rPr>
        <w:t xml:space="preserve">It seems to me that the most appropriate way of expressing this requirement is to say that a reasonable basis must exist before any such proceedings are issued. Almost by definition therefore, there will be situations where it may not be necessary to insist upon the availability of an expert report before that takes place. There are several like examples to that given by Irvine J. in </w:t>
      </w:r>
      <w:proofErr w:type="spellStart"/>
      <w:r w:rsidR="00AD79AE" w:rsidRPr="00AD79AE">
        <w:rPr>
          <w:rFonts w:ascii="TimesNewRomanPS" w:hAnsi="TimesNewRomanPS"/>
          <w:i/>
          <w:iCs/>
          <w:lang w:eastAsia="en-US"/>
        </w:rPr>
        <w:t>Deasy</w:t>
      </w:r>
      <w:proofErr w:type="spellEnd"/>
      <w:r w:rsidR="00AD79AE" w:rsidRPr="00AD79AE">
        <w:rPr>
          <w:rFonts w:ascii="TimesNewRomanPSMT" w:hAnsi="TimesNewRomanPSMT" w:cs="TimesNewRomanPSMT"/>
          <w:i/>
          <w:lang w:eastAsia="en-US"/>
        </w:rPr>
        <w:t>, in addition to which reference can be made to the issue of a holding writ to avoid the claim being statute barred (</w:t>
      </w:r>
      <w:r w:rsidR="00AD79AE" w:rsidRPr="00AD79AE">
        <w:rPr>
          <w:rFonts w:ascii="TimesNewRomanPS" w:hAnsi="TimesNewRomanPS"/>
          <w:i/>
          <w:iCs/>
          <w:lang w:eastAsia="en-US"/>
        </w:rPr>
        <w:t xml:space="preserve">Cunningham v. Neary </w:t>
      </w:r>
      <w:r w:rsidR="00AD79AE" w:rsidRPr="00AD79AE">
        <w:rPr>
          <w:rFonts w:ascii="TimesNewRomanPSMT" w:hAnsi="TimesNewRomanPSMT" w:cs="TimesNewRomanPSMT"/>
          <w:i/>
          <w:lang w:eastAsia="en-US"/>
        </w:rPr>
        <w:t xml:space="preserve">[2004] IESC 43, [2005] 2 I.L.R.M. 498 at para. 11). Such qualifications are necessary so as to be consistent with one’s right to access the court system as well as being required to reflect the reality of professional litigation. Further, I see no danger that this formulation would undermine the rationale for the rule in the first instance. As the same must apply to all professionals, a degree of flexibility is required, so as to accommodate a variety of diverse circumstances. I therefore think that the rule should best be framed in the manner suggested. In the vast majority of </w:t>
      </w:r>
      <w:r w:rsidR="00AD79AE" w:rsidRPr="00AD79AE">
        <w:rPr>
          <w:rFonts w:ascii="TimesNewRomanPSMT" w:hAnsi="TimesNewRomanPSMT" w:cs="TimesNewRomanPSMT"/>
          <w:i/>
          <w:lang w:eastAsia="en-US"/>
        </w:rPr>
        <w:lastRenderedPageBreak/>
        <w:t>medical cases that will require a report, but there will be circumstances where such is not an essential precondition in all situations.</w:t>
      </w:r>
      <w:r>
        <w:rPr>
          <w:rFonts w:ascii="TimesNewRomanPSMT" w:hAnsi="TimesNewRomanPSMT" w:cs="TimesNewRomanPSMT"/>
          <w:i/>
          <w:lang w:eastAsia="en-US"/>
        </w:rPr>
        <w:t>’</w:t>
      </w:r>
      <w:r w:rsidR="00AD79AE" w:rsidRPr="00AD79AE">
        <w:t xml:space="preserve">  </w:t>
      </w:r>
    </w:p>
    <w:p w14:paraId="0EB0F3D9" w14:textId="77777777" w:rsidR="00AD79AE" w:rsidRDefault="00AD79AE"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 xml:space="preserve">In this case I express no view as to whether the appellant will be in a position to maintain this case at trial without an expert report.  At this point, and for the purposes of the application presently before the court, I do not believe that his failure to obtain one is fatal to his ability to proceed with his claim.  </w:t>
      </w:r>
      <w:r w:rsidR="002D4730">
        <w:rPr>
          <w:rFonts w:ascii="Times New Roman" w:hAnsi="Times New Roman" w:cs="Times New Roman"/>
        </w:rPr>
        <w:t xml:space="preserve">His claim is </w:t>
      </w:r>
      <w:r w:rsidR="00BC2765">
        <w:rPr>
          <w:rFonts w:ascii="Times New Roman" w:hAnsi="Times New Roman" w:cs="Times New Roman"/>
        </w:rPr>
        <w:t xml:space="preserve">more </w:t>
      </w:r>
      <w:r w:rsidR="002D4730">
        <w:rPr>
          <w:rFonts w:ascii="Times New Roman" w:hAnsi="Times New Roman" w:cs="Times New Roman"/>
        </w:rPr>
        <w:t xml:space="preserve">factual and legal in nature </w:t>
      </w:r>
      <w:r w:rsidR="00BC2765">
        <w:rPr>
          <w:rFonts w:ascii="Times New Roman" w:hAnsi="Times New Roman" w:cs="Times New Roman"/>
        </w:rPr>
        <w:t xml:space="preserve">than </w:t>
      </w:r>
      <w:r w:rsidR="002D4730">
        <w:rPr>
          <w:rFonts w:ascii="Times New Roman" w:hAnsi="Times New Roman" w:cs="Times New Roman"/>
        </w:rPr>
        <w:t xml:space="preserve">it is medical.  He says that the </w:t>
      </w:r>
      <w:r w:rsidR="00BC2765">
        <w:rPr>
          <w:rFonts w:ascii="Times New Roman" w:hAnsi="Times New Roman" w:cs="Times New Roman"/>
        </w:rPr>
        <w:t xml:space="preserve">respondent did not in fact undertake an examination in the manner alleged by him.  If the appellant is wrong about that, issues may well arise as to the adequacy of the examination and it may well be that expert evidence will be required to address that. </w:t>
      </w:r>
      <w:r w:rsidR="00594F3C">
        <w:rPr>
          <w:rFonts w:ascii="Times New Roman" w:hAnsi="Times New Roman" w:cs="Times New Roman"/>
        </w:rPr>
        <w:t xml:space="preserve"> </w:t>
      </w:r>
      <w:r w:rsidR="00BC2765">
        <w:rPr>
          <w:rFonts w:ascii="Times New Roman" w:hAnsi="Times New Roman" w:cs="Times New Roman"/>
        </w:rPr>
        <w:t>It is his central case, however, that his version of events is the correct one.  That</w:t>
      </w:r>
      <w:r w:rsidR="00D62A88">
        <w:rPr>
          <w:rFonts w:ascii="Times New Roman" w:hAnsi="Times New Roman" w:cs="Times New Roman"/>
        </w:rPr>
        <w:t xml:space="preserve"> core aspect of his case presents</w:t>
      </w:r>
      <w:r w:rsidR="00BC2765">
        <w:rPr>
          <w:rFonts w:ascii="Times New Roman" w:hAnsi="Times New Roman" w:cs="Times New Roman"/>
        </w:rPr>
        <w:t xml:space="preserve"> a claim of fact which it will be for the trial court to resolve as a matter of evidence, and </w:t>
      </w:r>
      <w:r w:rsidR="0083198C">
        <w:rPr>
          <w:rFonts w:ascii="Times New Roman" w:hAnsi="Times New Roman" w:cs="Times New Roman"/>
        </w:rPr>
        <w:t xml:space="preserve">the effect of which it will have to </w:t>
      </w:r>
      <w:r w:rsidR="00BC2765">
        <w:rPr>
          <w:rFonts w:ascii="Times New Roman" w:hAnsi="Times New Roman" w:cs="Times New Roman"/>
        </w:rPr>
        <w:t>determine as a matter of law. Neither require expert evidence.</w:t>
      </w:r>
    </w:p>
    <w:p w14:paraId="358787B3" w14:textId="77777777" w:rsidR="00D62A88" w:rsidRDefault="00D62A88" w:rsidP="00D62A88">
      <w:pPr>
        <w:pStyle w:val="ListParagraph"/>
        <w:spacing w:before="240" w:line="480" w:lineRule="auto"/>
        <w:jc w:val="both"/>
        <w:rPr>
          <w:rFonts w:ascii="Times New Roman" w:hAnsi="Times New Roman" w:cs="Times New Roman"/>
        </w:rPr>
      </w:pPr>
      <w:r>
        <w:rPr>
          <w:rFonts w:ascii="Times New Roman" w:hAnsi="Times New Roman" w:cs="Times New Roman"/>
        </w:rPr>
        <w:t xml:space="preserve">  </w:t>
      </w:r>
    </w:p>
    <w:p w14:paraId="2B6DBCE3" w14:textId="77777777" w:rsidR="00D62A88" w:rsidRDefault="00D62A88" w:rsidP="00993471">
      <w:pPr>
        <w:pStyle w:val="ListParagraph"/>
        <w:numPr>
          <w:ilvl w:val="0"/>
          <w:numId w:val="4"/>
        </w:numPr>
        <w:spacing w:before="240" w:line="480" w:lineRule="auto"/>
        <w:jc w:val="both"/>
        <w:rPr>
          <w:rFonts w:ascii="Times New Roman" w:hAnsi="Times New Roman" w:cs="Times New Roman"/>
        </w:rPr>
      </w:pPr>
      <w:r>
        <w:rPr>
          <w:rFonts w:ascii="Times New Roman" w:hAnsi="Times New Roman" w:cs="Times New Roman"/>
        </w:rPr>
        <w:t>For these reasons I agree with the judgment of Pilkington J. and the orders she proposes.</w:t>
      </w:r>
      <w:r w:rsidR="001F4F6C">
        <w:rPr>
          <w:rFonts w:ascii="Times New Roman" w:hAnsi="Times New Roman" w:cs="Times New Roman"/>
        </w:rPr>
        <w:t xml:space="preserve">  Pilkington J. and Haughton J. both agree with this judgment.</w:t>
      </w:r>
    </w:p>
    <w:p w14:paraId="2BF428A8" w14:textId="77777777" w:rsidR="00BC2765" w:rsidRPr="0030591A" w:rsidRDefault="00BC2765" w:rsidP="00BC2765">
      <w:pPr>
        <w:pStyle w:val="ListParagraph"/>
        <w:spacing w:before="240" w:line="480" w:lineRule="auto"/>
        <w:jc w:val="both"/>
        <w:rPr>
          <w:rFonts w:ascii="Times New Roman" w:hAnsi="Times New Roman" w:cs="Times New Roman"/>
        </w:rPr>
      </w:pPr>
    </w:p>
    <w:p w14:paraId="50C886DA" w14:textId="77777777" w:rsidR="000F4BA1" w:rsidRDefault="000F4BA1" w:rsidP="00993471">
      <w:pPr>
        <w:spacing w:line="480" w:lineRule="auto"/>
        <w:jc w:val="both"/>
      </w:pPr>
    </w:p>
    <w:p w14:paraId="37EA4086" w14:textId="77777777" w:rsidR="000F4BA1" w:rsidRDefault="000F4BA1" w:rsidP="00993471">
      <w:pPr>
        <w:spacing w:line="480" w:lineRule="auto"/>
        <w:jc w:val="both"/>
      </w:pPr>
    </w:p>
    <w:p w14:paraId="30BA1AAA" w14:textId="77777777" w:rsidR="00B85C81" w:rsidRPr="00993471" w:rsidRDefault="00B85C81"/>
    <w:sectPr w:rsidR="00B85C81" w:rsidRPr="00993471" w:rsidSect="00667046">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BBA60" w14:textId="77777777" w:rsidR="00AB1B9B" w:rsidRDefault="00AB1B9B" w:rsidP="00701276">
      <w:r>
        <w:separator/>
      </w:r>
    </w:p>
  </w:endnote>
  <w:endnote w:type="continuationSeparator" w:id="0">
    <w:p w14:paraId="27BBC789" w14:textId="77777777" w:rsidR="00AB1B9B" w:rsidRDefault="00AB1B9B" w:rsidP="0070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2A746" w14:textId="77777777" w:rsidR="00AB1B9B" w:rsidRDefault="00AB1B9B" w:rsidP="00701276">
      <w:r>
        <w:separator/>
      </w:r>
    </w:p>
  </w:footnote>
  <w:footnote w:type="continuationSeparator" w:id="0">
    <w:p w14:paraId="7FACDB7E" w14:textId="77777777" w:rsidR="00AB1B9B" w:rsidRDefault="00AB1B9B" w:rsidP="00701276">
      <w:r>
        <w:continuationSeparator/>
      </w:r>
    </w:p>
  </w:footnote>
  <w:footnote w:id="1">
    <w:p w14:paraId="6538AF68" w14:textId="77777777" w:rsidR="0005215C" w:rsidRPr="008C0212" w:rsidRDefault="00FE047A" w:rsidP="0005215C">
      <w:pPr>
        <w:jc w:val="both"/>
        <w:rPr>
          <w:lang w:eastAsia="en-US"/>
        </w:rPr>
      </w:pPr>
      <w:r>
        <w:rPr>
          <w:rStyle w:val="FootnoteReference"/>
        </w:rPr>
        <w:footnoteRef/>
      </w:r>
      <w:r w:rsidRPr="0005215C">
        <w:rPr>
          <w:sz w:val="20"/>
          <w:szCs w:val="20"/>
        </w:rPr>
        <w:t xml:space="preserve">According to O’Neill </w:t>
      </w:r>
      <w:r w:rsidR="008C0212">
        <w:rPr>
          <w:sz w:val="20"/>
          <w:szCs w:val="20"/>
        </w:rPr>
        <w:t>‘</w:t>
      </w:r>
      <w:r w:rsidRPr="0005215C">
        <w:rPr>
          <w:i/>
          <w:sz w:val="20"/>
          <w:szCs w:val="20"/>
        </w:rPr>
        <w:t>Irish Mental Health Law</w:t>
      </w:r>
      <w:r w:rsidR="008C0212">
        <w:rPr>
          <w:i/>
          <w:sz w:val="20"/>
          <w:szCs w:val="20"/>
        </w:rPr>
        <w:t>’</w:t>
      </w:r>
      <w:r w:rsidRPr="0005215C">
        <w:rPr>
          <w:i/>
          <w:sz w:val="20"/>
          <w:szCs w:val="20"/>
        </w:rPr>
        <w:t xml:space="preserve"> </w:t>
      </w:r>
      <w:r w:rsidRPr="0005215C">
        <w:rPr>
          <w:sz w:val="20"/>
          <w:szCs w:val="20"/>
        </w:rPr>
        <w:t>(Dublin 2005), s</w:t>
      </w:r>
      <w:r w:rsidR="008C0212">
        <w:rPr>
          <w:sz w:val="20"/>
          <w:szCs w:val="20"/>
        </w:rPr>
        <w:t>.</w:t>
      </w:r>
      <w:r w:rsidRPr="0005215C">
        <w:rPr>
          <w:sz w:val="20"/>
          <w:szCs w:val="20"/>
        </w:rPr>
        <w:t xml:space="preserve"> 12 of the 1889 Act was prompted by the demands of the psychiatrist profession, which refused to implement the procedures for civil commitment introduced by that Act unless such a provision were introduced (at p. 354).</w:t>
      </w:r>
      <w:r w:rsidR="0005215C" w:rsidRPr="0005215C">
        <w:rPr>
          <w:sz w:val="20"/>
          <w:szCs w:val="20"/>
        </w:rPr>
        <w:t xml:space="preserve">  The protection originally surfaced in the </w:t>
      </w:r>
      <w:r w:rsidR="0005215C" w:rsidRPr="0005215C">
        <w:rPr>
          <w:sz w:val="20"/>
          <w:szCs w:val="20"/>
          <w:lang w:eastAsia="en-US"/>
        </w:rPr>
        <w:t>Lunacy Acts (Amendment) Bill 1886 (piloted by the Lord Chancellor). In the course of the debates (</w:t>
      </w:r>
      <w:r w:rsidR="005B6BC2">
        <w:rPr>
          <w:sz w:val="20"/>
          <w:szCs w:val="20"/>
          <w:lang w:eastAsia="en-US"/>
        </w:rPr>
        <w:t>HL Deb 18 March 1886 Vol 303 Cols. 1</w:t>
      </w:r>
      <w:r w:rsidR="00FB130A">
        <w:rPr>
          <w:sz w:val="20"/>
          <w:szCs w:val="20"/>
          <w:lang w:eastAsia="en-US"/>
        </w:rPr>
        <w:t>136</w:t>
      </w:r>
      <w:r w:rsidR="005B6BC2">
        <w:rPr>
          <w:sz w:val="20"/>
          <w:szCs w:val="20"/>
          <w:lang w:eastAsia="en-US"/>
        </w:rPr>
        <w:t>-</w:t>
      </w:r>
      <w:r w:rsidR="00FB130A">
        <w:rPr>
          <w:sz w:val="20"/>
          <w:szCs w:val="20"/>
          <w:lang w:eastAsia="en-US"/>
        </w:rPr>
        <w:t>1152</w:t>
      </w:r>
      <w:r w:rsidR="005B6BC2">
        <w:rPr>
          <w:sz w:val="20"/>
          <w:szCs w:val="20"/>
          <w:lang w:eastAsia="en-US"/>
        </w:rPr>
        <w:t xml:space="preserve">), </w:t>
      </w:r>
      <w:r w:rsidR="0005215C" w:rsidRPr="0005215C">
        <w:rPr>
          <w:sz w:val="20"/>
          <w:szCs w:val="20"/>
          <w:lang w:eastAsia="en-US"/>
        </w:rPr>
        <w:t xml:space="preserve">he explained that the </w:t>
      </w:r>
      <w:r w:rsidR="0005215C" w:rsidRPr="00D903E8">
        <w:rPr>
          <w:sz w:val="20"/>
          <w:szCs w:val="20"/>
          <w:lang w:eastAsia="en-US"/>
        </w:rPr>
        <w:t xml:space="preserve">summary power to stay actions which were brought against medical </w:t>
      </w:r>
      <w:r w:rsidR="00566402">
        <w:rPr>
          <w:sz w:val="20"/>
          <w:szCs w:val="20"/>
          <w:lang w:eastAsia="en-US"/>
        </w:rPr>
        <w:t>practitioners</w:t>
      </w:r>
      <w:r w:rsidR="0005215C" w:rsidRPr="00D903E8">
        <w:rPr>
          <w:sz w:val="20"/>
          <w:szCs w:val="20"/>
          <w:lang w:eastAsia="en-US"/>
        </w:rPr>
        <w:t xml:space="preserve"> for having given such certificates where it could be shown that there was no ground for the allegation that they had acted with want of reasonable care and of good faith ‘</w:t>
      </w:r>
      <w:r w:rsidR="0005215C" w:rsidRPr="00D903E8">
        <w:rPr>
          <w:i/>
          <w:sz w:val="20"/>
          <w:szCs w:val="20"/>
          <w:lang w:eastAsia="en-US"/>
        </w:rPr>
        <w:t xml:space="preserve">would satisfy medical practitioners, who had been alarmed by the costly proceedings which had been taken against some of them in recent years.’  </w:t>
      </w:r>
      <w:r w:rsidR="0005215C" w:rsidRPr="00D903E8">
        <w:rPr>
          <w:sz w:val="20"/>
          <w:szCs w:val="20"/>
          <w:lang w:eastAsia="en-US"/>
        </w:rPr>
        <w:t>Lord Coleridge, then Chief Justice of the Kings Bench had suggested such provision at the second stage of the Bill (</w:t>
      </w:r>
      <w:r w:rsidR="005B6BC2">
        <w:rPr>
          <w:sz w:val="20"/>
          <w:szCs w:val="20"/>
          <w:lang w:eastAsia="en-US"/>
        </w:rPr>
        <w:t>HL Deb 18 March 1886 Vol 302 Cols. 1489-1503</w:t>
      </w:r>
      <w:r w:rsidR="0005215C" w:rsidRPr="00D903E8">
        <w:rPr>
          <w:sz w:val="20"/>
          <w:szCs w:val="20"/>
          <w:lang w:eastAsia="en-US"/>
        </w:rPr>
        <w:t xml:space="preserve">), urging protection for those implementing the law </w:t>
      </w:r>
      <w:r w:rsidR="0005215C" w:rsidRPr="00D903E8">
        <w:rPr>
          <w:i/>
          <w:sz w:val="20"/>
          <w:szCs w:val="20"/>
          <w:lang w:eastAsia="en-US"/>
        </w:rPr>
        <w:t>bona fide</w:t>
      </w:r>
      <w:r w:rsidR="0005215C" w:rsidRPr="00D903E8">
        <w:rPr>
          <w:sz w:val="20"/>
          <w:szCs w:val="20"/>
          <w:lang w:eastAsia="en-US"/>
        </w:rPr>
        <w:t>.</w:t>
      </w:r>
    </w:p>
    <w:p w14:paraId="4AAE0D56" w14:textId="77777777" w:rsidR="0005215C" w:rsidRPr="0005215C" w:rsidRDefault="0005215C" w:rsidP="0005215C">
      <w:pPr>
        <w:rPr>
          <w:lang w:eastAsia="en-US"/>
        </w:rPr>
      </w:pPr>
    </w:p>
    <w:p w14:paraId="12426CF1" w14:textId="77777777" w:rsidR="00FE047A" w:rsidRPr="00207DB7" w:rsidRDefault="00FE047A" w:rsidP="00FE047A">
      <w:pPr>
        <w:pStyle w:val="FootnoteText"/>
        <w:jc w:val="both"/>
      </w:pP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A5321" w14:textId="77777777" w:rsidR="00B85C81" w:rsidRDefault="00B85C81">
    <w:pPr>
      <w:pStyle w:val="Header"/>
      <w:jc w:val="center"/>
    </w:pPr>
    <w:r>
      <w:t xml:space="preserve">- </w:t>
    </w:r>
    <w:sdt>
      <w:sdtPr>
        <w:id w:val="-18827717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673F168" w14:textId="77777777" w:rsidR="00B85C81" w:rsidRDefault="00B85C81" w:rsidP="0070127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6DD67" w14:textId="77777777" w:rsidR="00B85C81" w:rsidRDefault="00B85C81" w:rsidP="00667046">
    <w:pPr>
      <w:pStyle w:val="Header"/>
      <w:jc w:val="center"/>
    </w:pPr>
    <w:r>
      <w:rPr>
        <w:noProof/>
      </w:rPr>
      <w:drawing>
        <wp:inline distT="0" distB="0" distL="0" distR="0" wp14:anchorId="6D887C0C" wp14:editId="280BBC04">
          <wp:extent cx="38989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E6F1D"/>
    <w:multiLevelType w:val="hybridMultilevel"/>
    <w:tmpl w:val="7D4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763E4"/>
    <w:multiLevelType w:val="hybridMultilevel"/>
    <w:tmpl w:val="60DAF36E"/>
    <w:lvl w:ilvl="0" w:tplc="FB8CF6B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C34066A"/>
    <w:multiLevelType w:val="hybridMultilevel"/>
    <w:tmpl w:val="780A958E"/>
    <w:lvl w:ilvl="0" w:tplc="24DA3A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553B4"/>
    <w:multiLevelType w:val="hybridMultilevel"/>
    <w:tmpl w:val="74542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153D5"/>
    <w:multiLevelType w:val="hybridMultilevel"/>
    <w:tmpl w:val="EBDC1BFE"/>
    <w:lvl w:ilvl="0" w:tplc="EC94A6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76"/>
    <w:rsid w:val="00015C04"/>
    <w:rsid w:val="00033BA7"/>
    <w:rsid w:val="00045063"/>
    <w:rsid w:val="0005215C"/>
    <w:rsid w:val="000F4BA1"/>
    <w:rsid w:val="00133A8A"/>
    <w:rsid w:val="00165096"/>
    <w:rsid w:val="001941A2"/>
    <w:rsid w:val="001A1928"/>
    <w:rsid w:val="001C0D8B"/>
    <w:rsid w:val="001C0FFF"/>
    <w:rsid w:val="001D16CF"/>
    <w:rsid w:val="001F05A9"/>
    <w:rsid w:val="001F4F6C"/>
    <w:rsid w:val="00207DB7"/>
    <w:rsid w:val="00211C3D"/>
    <w:rsid w:val="002165CD"/>
    <w:rsid w:val="00233566"/>
    <w:rsid w:val="00235FF1"/>
    <w:rsid w:val="002B1791"/>
    <w:rsid w:val="002B7E99"/>
    <w:rsid w:val="002D4730"/>
    <w:rsid w:val="002E224B"/>
    <w:rsid w:val="003050E7"/>
    <w:rsid w:val="0030591A"/>
    <w:rsid w:val="00324A8A"/>
    <w:rsid w:val="0034655C"/>
    <w:rsid w:val="00373AD8"/>
    <w:rsid w:val="00376919"/>
    <w:rsid w:val="00380600"/>
    <w:rsid w:val="00384A9B"/>
    <w:rsid w:val="00397EFC"/>
    <w:rsid w:val="00397F9F"/>
    <w:rsid w:val="003A5A38"/>
    <w:rsid w:val="003C4F30"/>
    <w:rsid w:val="003E65DA"/>
    <w:rsid w:val="0041182A"/>
    <w:rsid w:val="00417E6E"/>
    <w:rsid w:val="00423F90"/>
    <w:rsid w:val="00432DD6"/>
    <w:rsid w:val="00437A89"/>
    <w:rsid w:val="004648CC"/>
    <w:rsid w:val="0047611C"/>
    <w:rsid w:val="004A202A"/>
    <w:rsid w:val="004B4EBD"/>
    <w:rsid w:val="004C3041"/>
    <w:rsid w:val="004D09CF"/>
    <w:rsid w:val="004E224E"/>
    <w:rsid w:val="004E41CC"/>
    <w:rsid w:val="004F1AF9"/>
    <w:rsid w:val="004F5254"/>
    <w:rsid w:val="00541613"/>
    <w:rsid w:val="005462C9"/>
    <w:rsid w:val="005629A1"/>
    <w:rsid w:val="00566402"/>
    <w:rsid w:val="00583B45"/>
    <w:rsid w:val="00592BC4"/>
    <w:rsid w:val="00594F3C"/>
    <w:rsid w:val="005A5F2C"/>
    <w:rsid w:val="005B5FB5"/>
    <w:rsid w:val="005B6BC2"/>
    <w:rsid w:val="005B79DF"/>
    <w:rsid w:val="005F4AAA"/>
    <w:rsid w:val="00603F66"/>
    <w:rsid w:val="00605BE3"/>
    <w:rsid w:val="00606DB4"/>
    <w:rsid w:val="00610A0B"/>
    <w:rsid w:val="00621410"/>
    <w:rsid w:val="0063345F"/>
    <w:rsid w:val="00667046"/>
    <w:rsid w:val="00687536"/>
    <w:rsid w:val="0069101F"/>
    <w:rsid w:val="006F05D1"/>
    <w:rsid w:val="00701276"/>
    <w:rsid w:val="007036BC"/>
    <w:rsid w:val="007116C6"/>
    <w:rsid w:val="00720D37"/>
    <w:rsid w:val="00725F27"/>
    <w:rsid w:val="0074796B"/>
    <w:rsid w:val="00781037"/>
    <w:rsid w:val="007A4F07"/>
    <w:rsid w:val="0080639C"/>
    <w:rsid w:val="00806498"/>
    <w:rsid w:val="0083198C"/>
    <w:rsid w:val="00870344"/>
    <w:rsid w:val="008854BF"/>
    <w:rsid w:val="00891F56"/>
    <w:rsid w:val="00897019"/>
    <w:rsid w:val="008B7B90"/>
    <w:rsid w:val="008C0212"/>
    <w:rsid w:val="009046AA"/>
    <w:rsid w:val="00924BCD"/>
    <w:rsid w:val="009369F9"/>
    <w:rsid w:val="00993471"/>
    <w:rsid w:val="009A1678"/>
    <w:rsid w:val="00A05F54"/>
    <w:rsid w:val="00A51EEC"/>
    <w:rsid w:val="00A6193C"/>
    <w:rsid w:val="00A72D87"/>
    <w:rsid w:val="00A805CA"/>
    <w:rsid w:val="00AB1B9B"/>
    <w:rsid w:val="00AB2F6E"/>
    <w:rsid w:val="00AD70EA"/>
    <w:rsid w:val="00AD79AE"/>
    <w:rsid w:val="00AF3A64"/>
    <w:rsid w:val="00B16359"/>
    <w:rsid w:val="00B2484E"/>
    <w:rsid w:val="00B66351"/>
    <w:rsid w:val="00B670B4"/>
    <w:rsid w:val="00B707FC"/>
    <w:rsid w:val="00B844CD"/>
    <w:rsid w:val="00B855A5"/>
    <w:rsid w:val="00B85C81"/>
    <w:rsid w:val="00BB2DFF"/>
    <w:rsid w:val="00BC2765"/>
    <w:rsid w:val="00BE12F9"/>
    <w:rsid w:val="00C045F4"/>
    <w:rsid w:val="00C241B2"/>
    <w:rsid w:val="00C7223B"/>
    <w:rsid w:val="00CD60F3"/>
    <w:rsid w:val="00CD61AD"/>
    <w:rsid w:val="00CE13AA"/>
    <w:rsid w:val="00CE656F"/>
    <w:rsid w:val="00D432D5"/>
    <w:rsid w:val="00D4569E"/>
    <w:rsid w:val="00D5671E"/>
    <w:rsid w:val="00D62A88"/>
    <w:rsid w:val="00D812EF"/>
    <w:rsid w:val="00D903E8"/>
    <w:rsid w:val="00DA1388"/>
    <w:rsid w:val="00DB0737"/>
    <w:rsid w:val="00DB2AF9"/>
    <w:rsid w:val="00DD3EDA"/>
    <w:rsid w:val="00DD59BE"/>
    <w:rsid w:val="00E12303"/>
    <w:rsid w:val="00E137CE"/>
    <w:rsid w:val="00E1599F"/>
    <w:rsid w:val="00EA2331"/>
    <w:rsid w:val="00F32216"/>
    <w:rsid w:val="00F57501"/>
    <w:rsid w:val="00F95353"/>
    <w:rsid w:val="00F96A70"/>
    <w:rsid w:val="00FB130A"/>
    <w:rsid w:val="00FE047A"/>
    <w:rsid w:val="00FF34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AAAB9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240"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276"/>
    <w:pPr>
      <w:spacing w:before="0" w:after="0" w:line="240" w:lineRule="auto"/>
      <w:ind w:left="0" w:firstLine="0"/>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276"/>
    <w:pPr>
      <w:tabs>
        <w:tab w:val="center" w:pos="4513"/>
        <w:tab w:val="right" w:pos="9026"/>
      </w:tabs>
    </w:pPr>
  </w:style>
  <w:style w:type="character" w:customStyle="1" w:styleId="HeaderChar">
    <w:name w:val="Header Char"/>
    <w:basedOn w:val="DefaultParagraphFont"/>
    <w:link w:val="Header"/>
    <w:uiPriority w:val="99"/>
    <w:rsid w:val="00701276"/>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701276"/>
    <w:pPr>
      <w:tabs>
        <w:tab w:val="center" w:pos="4513"/>
        <w:tab w:val="right" w:pos="9026"/>
      </w:tabs>
    </w:pPr>
  </w:style>
  <w:style w:type="character" w:customStyle="1" w:styleId="FooterChar">
    <w:name w:val="Footer Char"/>
    <w:basedOn w:val="DefaultParagraphFont"/>
    <w:link w:val="Footer"/>
    <w:uiPriority w:val="99"/>
    <w:rsid w:val="00701276"/>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93471"/>
    <w:pPr>
      <w:ind w:left="720"/>
      <w:contextualSpacing/>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207DB7"/>
    <w:rPr>
      <w:sz w:val="20"/>
      <w:szCs w:val="20"/>
    </w:rPr>
  </w:style>
  <w:style w:type="character" w:customStyle="1" w:styleId="FootnoteTextChar">
    <w:name w:val="Footnote Text Char"/>
    <w:basedOn w:val="DefaultParagraphFont"/>
    <w:link w:val="FootnoteText"/>
    <w:uiPriority w:val="99"/>
    <w:semiHidden/>
    <w:rsid w:val="00207DB7"/>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207DB7"/>
    <w:rPr>
      <w:vertAlign w:val="superscript"/>
    </w:rPr>
  </w:style>
  <w:style w:type="paragraph" w:styleId="NormalWeb">
    <w:name w:val="Normal (Web)"/>
    <w:basedOn w:val="Normal"/>
    <w:uiPriority w:val="99"/>
    <w:semiHidden/>
    <w:unhideWhenUsed/>
    <w:rsid w:val="0005215C"/>
    <w:pPr>
      <w:spacing w:before="100" w:beforeAutospacing="1" w:after="100" w:afterAutospacing="1"/>
    </w:pPr>
    <w:rPr>
      <w:lang w:eastAsia="en-US"/>
    </w:rPr>
  </w:style>
  <w:style w:type="character" w:customStyle="1" w:styleId="gmail-apple-converted-space">
    <w:name w:val="gmail-apple-converted-space"/>
    <w:basedOn w:val="DefaultParagraphFont"/>
    <w:rsid w:val="0005215C"/>
  </w:style>
  <w:style w:type="character" w:customStyle="1" w:styleId="gmail-member">
    <w:name w:val="gmail-member"/>
    <w:basedOn w:val="DefaultParagraphFont"/>
    <w:rsid w:val="0005215C"/>
  </w:style>
  <w:style w:type="character" w:customStyle="1" w:styleId="gmail-hcpp-member-contribution">
    <w:name w:val="gmail-hcpp-member-contribution"/>
    <w:basedOn w:val="DefaultParagraphFont"/>
    <w:rsid w:val="0005215C"/>
  </w:style>
  <w:style w:type="paragraph" w:styleId="BalloonText">
    <w:name w:val="Balloon Text"/>
    <w:basedOn w:val="Normal"/>
    <w:link w:val="BalloonTextChar"/>
    <w:uiPriority w:val="99"/>
    <w:semiHidden/>
    <w:unhideWhenUsed/>
    <w:rsid w:val="008C02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212"/>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303248">
      <w:bodyDiv w:val="1"/>
      <w:marLeft w:val="0"/>
      <w:marRight w:val="0"/>
      <w:marTop w:val="0"/>
      <w:marBottom w:val="0"/>
      <w:divBdr>
        <w:top w:val="none" w:sz="0" w:space="0" w:color="auto"/>
        <w:left w:val="none" w:sz="0" w:space="0" w:color="auto"/>
        <w:bottom w:val="none" w:sz="0" w:space="0" w:color="auto"/>
        <w:right w:val="none" w:sz="0" w:space="0" w:color="auto"/>
      </w:divBdr>
      <w:divsChild>
        <w:div w:id="512229567">
          <w:marLeft w:val="0"/>
          <w:marRight w:val="0"/>
          <w:marTop w:val="0"/>
          <w:marBottom w:val="0"/>
          <w:divBdr>
            <w:top w:val="none" w:sz="0" w:space="0" w:color="auto"/>
            <w:left w:val="none" w:sz="0" w:space="0" w:color="auto"/>
            <w:bottom w:val="none" w:sz="0" w:space="0" w:color="auto"/>
            <w:right w:val="none" w:sz="0" w:space="0" w:color="auto"/>
          </w:divBdr>
          <w:divsChild>
            <w:div w:id="1293634249">
              <w:marLeft w:val="0"/>
              <w:marRight w:val="0"/>
              <w:marTop w:val="0"/>
              <w:marBottom w:val="0"/>
              <w:divBdr>
                <w:top w:val="none" w:sz="0" w:space="0" w:color="auto"/>
                <w:left w:val="none" w:sz="0" w:space="0" w:color="auto"/>
                <w:bottom w:val="none" w:sz="0" w:space="0" w:color="auto"/>
                <w:right w:val="none" w:sz="0" w:space="0" w:color="auto"/>
              </w:divBdr>
              <w:divsChild>
                <w:div w:id="18419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5614">
      <w:bodyDiv w:val="1"/>
      <w:marLeft w:val="0"/>
      <w:marRight w:val="0"/>
      <w:marTop w:val="0"/>
      <w:marBottom w:val="0"/>
      <w:divBdr>
        <w:top w:val="none" w:sz="0" w:space="0" w:color="auto"/>
        <w:left w:val="none" w:sz="0" w:space="0" w:color="auto"/>
        <w:bottom w:val="none" w:sz="0" w:space="0" w:color="auto"/>
        <w:right w:val="none" w:sz="0" w:space="0" w:color="auto"/>
      </w:divBdr>
      <w:divsChild>
        <w:div w:id="44990005">
          <w:marLeft w:val="0"/>
          <w:marRight w:val="0"/>
          <w:marTop w:val="0"/>
          <w:marBottom w:val="0"/>
          <w:divBdr>
            <w:top w:val="none" w:sz="0" w:space="0" w:color="auto"/>
            <w:left w:val="none" w:sz="0" w:space="0" w:color="auto"/>
            <w:bottom w:val="none" w:sz="0" w:space="0" w:color="auto"/>
            <w:right w:val="none" w:sz="0" w:space="0" w:color="auto"/>
          </w:divBdr>
        </w:div>
        <w:div w:id="1764299444">
          <w:marLeft w:val="0"/>
          <w:marRight w:val="0"/>
          <w:marTop w:val="0"/>
          <w:marBottom w:val="0"/>
          <w:divBdr>
            <w:top w:val="none" w:sz="0" w:space="0" w:color="auto"/>
            <w:left w:val="none" w:sz="0" w:space="0" w:color="auto"/>
            <w:bottom w:val="none" w:sz="0" w:space="0" w:color="auto"/>
            <w:right w:val="none" w:sz="0" w:space="0" w:color="auto"/>
          </w:divBdr>
        </w:div>
        <w:div w:id="331027185">
          <w:marLeft w:val="0"/>
          <w:marRight w:val="0"/>
          <w:marTop w:val="0"/>
          <w:marBottom w:val="0"/>
          <w:divBdr>
            <w:top w:val="none" w:sz="0" w:space="0" w:color="auto"/>
            <w:left w:val="none" w:sz="0" w:space="0" w:color="auto"/>
            <w:bottom w:val="none" w:sz="0" w:space="0" w:color="auto"/>
            <w:right w:val="none" w:sz="0" w:space="0" w:color="auto"/>
          </w:divBdr>
        </w:div>
        <w:div w:id="1068528672">
          <w:marLeft w:val="0"/>
          <w:marRight w:val="0"/>
          <w:marTop w:val="0"/>
          <w:marBottom w:val="0"/>
          <w:divBdr>
            <w:top w:val="none" w:sz="0" w:space="0" w:color="auto"/>
            <w:left w:val="none" w:sz="0" w:space="0" w:color="auto"/>
            <w:bottom w:val="none" w:sz="0" w:space="0" w:color="auto"/>
            <w:right w:val="none" w:sz="0" w:space="0" w:color="auto"/>
          </w:divBdr>
        </w:div>
        <w:div w:id="233467575">
          <w:marLeft w:val="0"/>
          <w:marRight w:val="0"/>
          <w:marTop w:val="0"/>
          <w:marBottom w:val="0"/>
          <w:divBdr>
            <w:top w:val="none" w:sz="0" w:space="0" w:color="auto"/>
            <w:left w:val="none" w:sz="0" w:space="0" w:color="auto"/>
            <w:bottom w:val="none" w:sz="0" w:space="0" w:color="auto"/>
            <w:right w:val="none" w:sz="0" w:space="0" w:color="auto"/>
          </w:divBdr>
        </w:div>
        <w:div w:id="2076317517">
          <w:marLeft w:val="0"/>
          <w:marRight w:val="0"/>
          <w:marTop w:val="0"/>
          <w:marBottom w:val="0"/>
          <w:divBdr>
            <w:top w:val="none" w:sz="0" w:space="0" w:color="auto"/>
            <w:left w:val="none" w:sz="0" w:space="0" w:color="auto"/>
            <w:bottom w:val="none" w:sz="0" w:space="0" w:color="auto"/>
            <w:right w:val="none" w:sz="0" w:space="0" w:color="auto"/>
          </w:divBdr>
        </w:div>
        <w:div w:id="1952206334">
          <w:marLeft w:val="0"/>
          <w:marRight w:val="0"/>
          <w:marTop w:val="0"/>
          <w:marBottom w:val="0"/>
          <w:divBdr>
            <w:top w:val="none" w:sz="0" w:space="0" w:color="auto"/>
            <w:left w:val="none" w:sz="0" w:space="0" w:color="auto"/>
            <w:bottom w:val="none" w:sz="0" w:space="0" w:color="auto"/>
            <w:right w:val="none" w:sz="0" w:space="0" w:color="auto"/>
          </w:divBdr>
        </w:div>
        <w:div w:id="485318548">
          <w:marLeft w:val="0"/>
          <w:marRight w:val="0"/>
          <w:marTop w:val="0"/>
          <w:marBottom w:val="0"/>
          <w:divBdr>
            <w:top w:val="none" w:sz="0" w:space="0" w:color="auto"/>
            <w:left w:val="none" w:sz="0" w:space="0" w:color="auto"/>
            <w:bottom w:val="none" w:sz="0" w:space="0" w:color="auto"/>
            <w:right w:val="none" w:sz="0" w:space="0" w:color="auto"/>
          </w:divBdr>
        </w:div>
        <w:div w:id="1740976876">
          <w:marLeft w:val="0"/>
          <w:marRight w:val="0"/>
          <w:marTop w:val="0"/>
          <w:marBottom w:val="0"/>
          <w:divBdr>
            <w:top w:val="none" w:sz="0" w:space="0" w:color="auto"/>
            <w:left w:val="none" w:sz="0" w:space="0" w:color="auto"/>
            <w:bottom w:val="none" w:sz="0" w:space="0" w:color="auto"/>
            <w:right w:val="none" w:sz="0" w:space="0" w:color="auto"/>
          </w:divBdr>
        </w:div>
        <w:div w:id="822939585">
          <w:marLeft w:val="0"/>
          <w:marRight w:val="0"/>
          <w:marTop w:val="0"/>
          <w:marBottom w:val="0"/>
          <w:divBdr>
            <w:top w:val="none" w:sz="0" w:space="0" w:color="auto"/>
            <w:left w:val="none" w:sz="0" w:space="0" w:color="auto"/>
            <w:bottom w:val="none" w:sz="0" w:space="0" w:color="auto"/>
            <w:right w:val="none" w:sz="0" w:space="0" w:color="auto"/>
          </w:divBdr>
        </w:div>
        <w:div w:id="1659767307">
          <w:marLeft w:val="0"/>
          <w:marRight w:val="0"/>
          <w:marTop w:val="0"/>
          <w:marBottom w:val="0"/>
          <w:divBdr>
            <w:top w:val="none" w:sz="0" w:space="0" w:color="auto"/>
            <w:left w:val="none" w:sz="0" w:space="0" w:color="auto"/>
            <w:bottom w:val="none" w:sz="0" w:space="0" w:color="auto"/>
            <w:right w:val="none" w:sz="0" w:space="0" w:color="auto"/>
          </w:divBdr>
        </w:div>
        <w:div w:id="602615756">
          <w:marLeft w:val="0"/>
          <w:marRight w:val="0"/>
          <w:marTop w:val="0"/>
          <w:marBottom w:val="0"/>
          <w:divBdr>
            <w:top w:val="none" w:sz="0" w:space="0" w:color="auto"/>
            <w:left w:val="none" w:sz="0" w:space="0" w:color="auto"/>
            <w:bottom w:val="none" w:sz="0" w:space="0" w:color="auto"/>
            <w:right w:val="none" w:sz="0" w:space="0" w:color="auto"/>
          </w:divBdr>
          <w:divsChild>
            <w:div w:id="679434140">
              <w:marLeft w:val="0"/>
              <w:marRight w:val="0"/>
              <w:marTop w:val="0"/>
              <w:marBottom w:val="0"/>
              <w:divBdr>
                <w:top w:val="none" w:sz="0" w:space="0" w:color="auto"/>
                <w:left w:val="none" w:sz="0" w:space="0" w:color="auto"/>
                <w:bottom w:val="none" w:sz="0" w:space="0" w:color="auto"/>
                <w:right w:val="none" w:sz="0" w:space="0" w:color="auto"/>
              </w:divBdr>
              <w:divsChild>
                <w:div w:id="869996069">
                  <w:marLeft w:val="0"/>
                  <w:marRight w:val="0"/>
                  <w:marTop w:val="0"/>
                  <w:marBottom w:val="0"/>
                  <w:divBdr>
                    <w:top w:val="none" w:sz="0" w:space="0" w:color="auto"/>
                    <w:left w:val="none" w:sz="0" w:space="0" w:color="auto"/>
                    <w:bottom w:val="none" w:sz="0" w:space="0" w:color="auto"/>
                    <w:right w:val="none" w:sz="0" w:space="0" w:color="auto"/>
                  </w:divBdr>
                  <w:divsChild>
                    <w:div w:id="1418790016">
                      <w:marLeft w:val="0"/>
                      <w:marRight w:val="0"/>
                      <w:marTop w:val="0"/>
                      <w:marBottom w:val="0"/>
                      <w:divBdr>
                        <w:top w:val="none" w:sz="0" w:space="0" w:color="auto"/>
                        <w:left w:val="none" w:sz="0" w:space="0" w:color="auto"/>
                        <w:bottom w:val="none" w:sz="0" w:space="0" w:color="auto"/>
                        <w:right w:val="none" w:sz="0" w:space="0" w:color="auto"/>
                      </w:divBdr>
                      <w:divsChild>
                        <w:div w:id="1232303698">
                          <w:marLeft w:val="0"/>
                          <w:marRight w:val="0"/>
                          <w:marTop w:val="0"/>
                          <w:marBottom w:val="0"/>
                          <w:divBdr>
                            <w:top w:val="none" w:sz="0" w:space="0" w:color="auto"/>
                            <w:left w:val="none" w:sz="0" w:space="0" w:color="auto"/>
                            <w:bottom w:val="none" w:sz="0" w:space="0" w:color="auto"/>
                            <w:right w:val="none" w:sz="0" w:space="0" w:color="auto"/>
                          </w:divBdr>
                          <w:divsChild>
                            <w:div w:id="51655565">
                              <w:marLeft w:val="0"/>
                              <w:marRight w:val="0"/>
                              <w:marTop w:val="0"/>
                              <w:marBottom w:val="0"/>
                              <w:divBdr>
                                <w:top w:val="none" w:sz="0" w:space="0" w:color="auto"/>
                                <w:left w:val="none" w:sz="0" w:space="0" w:color="auto"/>
                                <w:bottom w:val="none" w:sz="0" w:space="0" w:color="auto"/>
                                <w:right w:val="none" w:sz="0" w:space="0" w:color="auto"/>
                              </w:divBdr>
                              <w:divsChild>
                                <w:div w:id="130750612">
                                  <w:marLeft w:val="0"/>
                                  <w:marRight w:val="0"/>
                                  <w:marTop w:val="0"/>
                                  <w:marBottom w:val="0"/>
                                  <w:divBdr>
                                    <w:top w:val="none" w:sz="0" w:space="0" w:color="auto"/>
                                    <w:left w:val="none" w:sz="0" w:space="0" w:color="auto"/>
                                    <w:bottom w:val="none" w:sz="0" w:space="0" w:color="auto"/>
                                    <w:right w:val="none" w:sz="0" w:space="0" w:color="auto"/>
                                  </w:divBdr>
                                  <w:divsChild>
                                    <w:div w:id="1127240895">
                                      <w:marLeft w:val="0"/>
                                      <w:marRight w:val="0"/>
                                      <w:marTop w:val="0"/>
                                      <w:marBottom w:val="0"/>
                                      <w:divBdr>
                                        <w:top w:val="none" w:sz="0" w:space="0" w:color="auto"/>
                                        <w:left w:val="none" w:sz="0" w:space="0" w:color="auto"/>
                                        <w:bottom w:val="none" w:sz="0" w:space="0" w:color="auto"/>
                                        <w:right w:val="none" w:sz="0" w:space="0" w:color="auto"/>
                                      </w:divBdr>
                                    </w:div>
                                    <w:div w:id="1442919480">
                                      <w:marLeft w:val="0"/>
                                      <w:marRight w:val="0"/>
                                      <w:marTop w:val="0"/>
                                      <w:marBottom w:val="0"/>
                                      <w:divBdr>
                                        <w:top w:val="none" w:sz="0" w:space="0" w:color="auto"/>
                                        <w:left w:val="none" w:sz="0" w:space="0" w:color="auto"/>
                                        <w:bottom w:val="none" w:sz="0" w:space="0" w:color="auto"/>
                                        <w:right w:val="none" w:sz="0" w:space="0" w:color="auto"/>
                                      </w:divBdr>
                                    </w:div>
                                    <w:div w:id="17044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12348-70AA-49DE-B1D1-772363EED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4286</Words>
  <Characters>24433</Characters>
  <Application>Microsoft Office Word</Application>
  <DocSecurity>0</DocSecurity>
  <Lines>203</Lines>
  <Paragraphs>57</Paragraphs>
  <ScaleCrop>false</ScaleCrop>
  <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2022-02-02T12:23:00Z</dcterms:created>
  <dcterms:modified xsi:type="dcterms:W3CDTF">2022-02-02T12:23:00Z</dcterms:modified>
</cp:coreProperties>
</file>