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7266" w14:textId="77777777" w:rsidR="000D2001" w:rsidRDefault="000D2001" w:rsidP="000D2001">
      <w:pPr>
        <w:jc w:val="center"/>
        <w:rPr>
          <w:b/>
          <w:sz w:val="32"/>
          <w:szCs w:val="32"/>
        </w:rPr>
      </w:pPr>
      <w:r>
        <w:rPr>
          <w:b/>
          <w:sz w:val="32"/>
          <w:szCs w:val="32"/>
        </w:rPr>
        <w:t>T</w:t>
      </w:r>
      <w:r w:rsidRPr="00CC6E68">
        <w:rPr>
          <w:b/>
          <w:sz w:val="32"/>
          <w:szCs w:val="32"/>
        </w:rPr>
        <w:t>HE COURT OF APPEAL</w:t>
      </w:r>
    </w:p>
    <w:p w14:paraId="7C257F41" w14:textId="77777777" w:rsidR="000D2001" w:rsidRDefault="000D2001" w:rsidP="000D2001">
      <w:pPr>
        <w:jc w:val="center"/>
        <w:rPr>
          <w:b/>
          <w:sz w:val="32"/>
          <w:szCs w:val="32"/>
        </w:rPr>
      </w:pPr>
    </w:p>
    <w:p w14:paraId="458FD667" w14:textId="77777777" w:rsidR="000D2001" w:rsidRDefault="000D2001" w:rsidP="000D2001">
      <w:pPr>
        <w:jc w:val="right"/>
        <w:rPr>
          <w:b/>
        </w:rPr>
      </w:pPr>
    </w:p>
    <w:p w14:paraId="3A20F593" w14:textId="77777777" w:rsidR="000D2001" w:rsidRDefault="000D2001" w:rsidP="000D2001">
      <w:pPr>
        <w:jc w:val="right"/>
        <w:rPr>
          <w:b/>
        </w:rPr>
      </w:pPr>
      <w:r>
        <w:rPr>
          <w:b/>
        </w:rPr>
        <w:t>Record Number: 2020/109</w:t>
      </w:r>
    </w:p>
    <w:p w14:paraId="1D79DF2C" w14:textId="5EEB94F3" w:rsidR="000D2001" w:rsidRDefault="000D2001" w:rsidP="000D2001">
      <w:pPr>
        <w:jc w:val="right"/>
        <w:rPr>
          <w:b/>
        </w:rPr>
      </w:pPr>
      <w:r>
        <w:rPr>
          <w:b/>
        </w:rPr>
        <w:t>High Court Record Number: 2018/652</w:t>
      </w:r>
    </w:p>
    <w:p w14:paraId="0EBE1F7F" w14:textId="77777777" w:rsidR="004B77DE" w:rsidRDefault="004B77DE" w:rsidP="000D2001">
      <w:pPr>
        <w:jc w:val="right"/>
        <w:rPr>
          <w:b/>
        </w:rPr>
      </w:pPr>
    </w:p>
    <w:p w14:paraId="5CA1E9E5" w14:textId="3B5DE21B" w:rsidR="004B77DE" w:rsidRDefault="004B77DE" w:rsidP="000D2001">
      <w:pPr>
        <w:jc w:val="right"/>
        <w:rPr>
          <w:b/>
        </w:rPr>
      </w:pPr>
      <w:r>
        <w:rPr>
          <w:b/>
        </w:rPr>
        <w:t xml:space="preserve">Neutral Citation No [2021] IECA </w:t>
      </w:r>
      <w:r w:rsidR="005151DC">
        <w:rPr>
          <w:b/>
        </w:rPr>
        <w:t>28</w:t>
      </w:r>
    </w:p>
    <w:p w14:paraId="67735B7F" w14:textId="77777777" w:rsidR="000D2001" w:rsidRDefault="000D2001" w:rsidP="000D2001">
      <w:pPr>
        <w:jc w:val="right"/>
        <w:rPr>
          <w:b/>
        </w:rPr>
      </w:pPr>
    </w:p>
    <w:p w14:paraId="4F8A0009" w14:textId="77777777" w:rsidR="000D2001" w:rsidRPr="00424303" w:rsidRDefault="000D2001" w:rsidP="000D2001">
      <w:pPr>
        <w:widowControl w:val="0"/>
        <w:spacing w:line="360" w:lineRule="auto"/>
        <w:ind w:left="-284" w:right="849" w:firstLine="284"/>
        <w:rPr>
          <w:b/>
        </w:rPr>
      </w:pPr>
      <w:r>
        <w:rPr>
          <w:b/>
        </w:rPr>
        <w:t>Noonan</w:t>
      </w:r>
      <w:r w:rsidRPr="00424303">
        <w:rPr>
          <w:b/>
        </w:rPr>
        <w:t xml:space="preserve"> J.</w:t>
      </w:r>
    </w:p>
    <w:p w14:paraId="7C303E7F" w14:textId="77777777" w:rsidR="000D2001" w:rsidRPr="00424303" w:rsidRDefault="000D2001" w:rsidP="000D2001">
      <w:pPr>
        <w:widowControl w:val="0"/>
        <w:spacing w:line="360" w:lineRule="auto"/>
        <w:ind w:left="-284" w:right="849" w:firstLine="284"/>
        <w:rPr>
          <w:b/>
        </w:rPr>
      </w:pPr>
      <w:r>
        <w:rPr>
          <w:b/>
        </w:rPr>
        <w:t>Collins</w:t>
      </w:r>
      <w:r w:rsidRPr="00424303">
        <w:rPr>
          <w:b/>
        </w:rPr>
        <w:t xml:space="preserve"> J.</w:t>
      </w:r>
    </w:p>
    <w:p w14:paraId="61DA772F" w14:textId="77777777" w:rsidR="000D2001" w:rsidRPr="00424303" w:rsidRDefault="000D2001" w:rsidP="000D2001">
      <w:pPr>
        <w:widowControl w:val="0"/>
        <w:spacing w:line="360" w:lineRule="auto"/>
        <w:ind w:left="-284" w:right="849" w:firstLine="284"/>
        <w:rPr>
          <w:b/>
        </w:rPr>
      </w:pPr>
      <w:r>
        <w:rPr>
          <w:b/>
        </w:rPr>
        <w:t xml:space="preserve">Binchy </w:t>
      </w:r>
      <w:r w:rsidRPr="00424303">
        <w:rPr>
          <w:b/>
        </w:rPr>
        <w:t>J.</w:t>
      </w:r>
    </w:p>
    <w:p w14:paraId="151B3964" w14:textId="77777777" w:rsidR="000D2001" w:rsidRPr="00424303" w:rsidRDefault="000D2001" w:rsidP="000D2001">
      <w:pPr>
        <w:widowControl w:val="0"/>
        <w:spacing w:line="360" w:lineRule="auto"/>
        <w:ind w:left="-284" w:right="849" w:firstLine="284"/>
        <w:rPr>
          <w:b/>
        </w:rPr>
      </w:pPr>
    </w:p>
    <w:p w14:paraId="507579B5" w14:textId="77777777" w:rsidR="000D2001" w:rsidRPr="00424303" w:rsidRDefault="000D2001" w:rsidP="000D2001">
      <w:pPr>
        <w:widowControl w:val="0"/>
        <w:spacing w:line="360" w:lineRule="auto"/>
        <w:ind w:left="-284" w:right="849" w:firstLine="284"/>
        <w:rPr>
          <w:b/>
        </w:rPr>
      </w:pPr>
      <w:r w:rsidRPr="00424303">
        <w:rPr>
          <w:b/>
        </w:rPr>
        <w:t>BETWEEN/</w:t>
      </w:r>
    </w:p>
    <w:p w14:paraId="45CB006D" w14:textId="77777777" w:rsidR="000D2001" w:rsidRPr="00424303" w:rsidRDefault="000D2001" w:rsidP="000D2001">
      <w:pPr>
        <w:widowControl w:val="0"/>
        <w:spacing w:line="480" w:lineRule="auto"/>
        <w:ind w:left="-284" w:right="849" w:firstLine="284"/>
        <w:jc w:val="center"/>
        <w:rPr>
          <w:b/>
        </w:rPr>
      </w:pPr>
      <w:r>
        <w:rPr>
          <w:b/>
        </w:rPr>
        <w:t>LISA SHEEHAN</w:t>
      </w:r>
    </w:p>
    <w:p w14:paraId="17DC301D" w14:textId="77777777" w:rsidR="000D2001" w:rsidRPr="000D2001" w:rsidRDefault="000D2001" w:rsidP="000D2001">
      <w:pPr>
        <w:widowControl w:val="0"/>
        <w:spacing w:line="480" w:lineRule="auto"/>
        <w:ind w:left="-284" w:right="95" w:firstLine="284"/>
        <w:jc w:val="right"/>
        <w:rPr>
          <w:b/>
          <w:i/>
        </w:rPr>
      </w:pPr>
      <w:r w:rsidRPr="000D2001">
        <w:rPr>
          <w:b/>
          <w:i/>
        </w:rPr>
        <w:t>Plaintiff/Respondent</w:t>
      </w:r>
    </w:p>
    <w:p w14:paraId="752E8C31" w14:textId="77777777" w:rsidR="000D2001" w:rsidRDefault="000D2001" w:rsidP="000D2001">
      <w:pPr>
        <w:widowControl w:val="0"/>
        <w:spacing w:line="480" w:lineRule="auto"/>
        <w:ind w:left="-284" w:right="849" w:firstLine="284"/>
        <w:rPr>
          <w:b/>
        </w:rPr>
      </w:pPr>
      <w:r w:rsidRPr="00424303">
        <w:rPr>
          <w:b/>
        </w:rPr>
        <w:t>AND</w:t>
      </w:r>
    </w:p>
    <w:p w14:paraId="15C534D5" w14:textId="77777777" w:rsidR="000D2001" w:rsidRPr="00424303" w:rsidRDefault="000D2001" w:rsidP="000D2001">
      <w:pPr>
        <w:widowControl w:val="0"/>
        <w:spacing w:line="480" w:lineRule="auto"/>
        <w:ind w:left="-284" w:right="849" w:firstLine="284"/>
        <w:jc w:val="center"/>
        <w:rPr>
          <w:b/>
        </w:rPr>
      </w:pPr>
    </w:p>
    <w:p w14:paraId="49887AC3" w14:textId="77777777" w:rsidR="000D2001" w:rsidRPr="00424303" w:rsidRDefault="000D2001" w:rsidP="000D2001">
      <w:pPr>
        <w:ind w:left="-284" w:right="849" w:firstLine="284"/>
        <w:jc w:val="center"/>
        <w:rPr>
          <w:b/>
        </w:rPr>
      </w:pPr>
      <w:r>
        <w:rPr>
          <w:b/>
        </w:rPr>
        <w:t xml:space="preserve">BUS </w:t>
      </w:r>
      <w:r w:rsidRPr="002659AF">
        <w:rPr>
          <w:b/>
        </w:rPr>
        <w:t>ÉIREANN</w:t>
      </w:r>
      <w:r>
        <w:rPr>
          <w:b/>
        </w:rPr>
        <w:t>/IRISH BUS AND VINCENT DOWER</w:t>
      </w:r>
    </w:p>
    <w:p w14:paraId="13DA6B33" w14:textId="77777777" w:rsidR="000D2001" w:rsidRPr="00424303" w:rsidRDefault="000D2001" w:rsidP="000D2001">
      <w:pPr>
        <w:ind w:left="-284" w:right="849" w:firstLine="284"/>
        <w:jc w:val="center"/>
        <w:rPr>
          <w:b/>
        </w:rPr>
      </w:pPr>
    </w:p>
    <w:p w14:paraId="3D4F4DA2" w14:textId="77777777" w:rsidR="000D2001" w:rsidRPr="000D2001" w:rsidRDefault="000D2001" w:rsidP="000D2001">
      <w:pPr>
        <w:widowControl w:val="0"/>
        <w:spacing w:line="480" w:lineRule="auto"/>
        <w:ind w:left="-284" w:right="-46" w:firstLine="284"/>
        <w:jc w:val="right"/>
        <w:rPr>
          <w:b/>
          <w:i/>
        </w:rPr>
      </w:pPr>
      <w:r w:rsidRPr="000D2001">
        <w:rPr>
          <w:b/>
          <w:i/>
        </w:rPr>
        <w:t>Defendants/Appellants</w:t>
      </w:r>
    </w:p>
    <w:p w14:paraId="26620BFB" w14:textId="77777777" w:rsidR="000D2001" w:rsidRDefault="000D2001" w:rsidP="000D2001">
      <w:pPr>
        <w:widowControl w:val="0"/>
        <w:spacing w:line="480" w:lineRule="auto"/>
        <w:ind w:left="-284" w:right="849" w:firstLine="284"/>
        <w:jc w:val="right"/>
        <w:rPr>
          <w:b/>
        </w:rPr>
      </w:pPr>
    </w:p>
    <w:p w14:paraId="1A7264A4" w14:textId="50156D80" w:rsidR="000D2001" w:rsidRDefault="000D2001" w:rsidP="000B08CF">
      <w:pPr>
        <w:spacing w:line="480" w:lineRule="auto"/>
        <w:jc w:val="center"/>
        <w:rPr>
          <w:b/>
          <w:u w:val="single"/>
        </w:rPr>
      </w:pPr>
      <w:r>
        <w:rPr>
          <w:b/>
          <w:u w:val="single"/>
        </w:rPr>
        <w:t xml:space="preserve">JUDGMENT </w:t>
      </w:r>
      <w:r w:rsidRPr="00FA5E61">
        <w:rPr>
          <w:b/>
          <w:u w:val="single"/>
        </w:rPr>
        <w:t>of</w:t>
      </w:r>
      <w:r w:rsidRPr="006B643B">
        <w:rPr>
          <w:b/>
          <w:u w:val="single"/>
        </w:rPr>
        <w:t xml:space="preserve"> </w:t>
      </w:r>
      <w:r>
        <w:rPr>
          <w:b/>
          <w:u w:val="single"/>
        </w:rPr>
        <w:t xml:space="preserve">Mr. Justice Maurice Collins delivered on </w:t>
      </w:r>
      <w:r w:rsidR="005151DC">
        <w:rPr>
          <w:b/>
          <w:u w:val="single"/>
        </w:rPr>
        <w:t>4th</w:t>
      </w:r>
      <w:r w:rsidR="001B69FF">
        <w:rPr>
          <w:b/>
          <w:u w:val="single"/>
        </w:rPr>
        <w:t xml:space="preserve"> </w:t>
      </w:r>
      <w:r w:rsidR="000B08CF">
        <w:rPr>
          <w:b/>
          <w:u w:val="single"/>
        </w:rPr>
        <w:t>February</w:t>
      </w:r>
      <w:r w:rsidR="0000638C">
        <w:rPr>
          <w:b/>
          <w:u w:val="single"/>
        </w:rPr>
        <w:t xml:space="preserve"> </w:t>
      </w:r>
      <w:r>
        <w:rPr>
          <w:b/>
          <w:u w:val="single"/>
        </w:rPr>
        <w:t>2022</w:t>
      </w:r>
    </w:p>
    <w:p w14:paraId="318BB3DB" w14:textId="77777777" w:rsidR="000D2001" w:rsidRDefault="000D2001" w:rsidP="000D2001">
      <w:pPr>
        <w:spacing w:line="480" w:lineRule="auto"/>
        <w:rPr>
          <w:b/>
          <w:bCs/>
          <w:u w:val="single"/>
        </w:rPr>
      </w:pPr>
    </w:p>
    <w:p w14:paraId="577FAEF3" w14:textId="77777777" w:rsidR="000D2001" w:rsidRDefault="000D2001" w:rsidP="000D2001">
      <w:pPr>
        <w:pStyle w:val="ListParagraph"/>
        <w:numPr>
          <w:ilvl w:val="0"/>
          <w:numId w:val="2"/>
        </w:numPr>
        <w:spacing w:line="480" w:lineRule="auto"/>
        <w:ind w:hanging="720"/>
      </w:pPr>
      <w:r>
        <w:t>I agree with the judgment of Noonan J and accordingly I agree that this appeal should be dismissed. I wish to add a few brief observations of my own.</w:t>
      </w:r>
    </w:p>
    <w:p w14:paraId="58678AAD" w14:textId="77777777" w:rsidR="000D2001" w:rsidRDefault="000D2001" w:rsidP="000D2001">
      <w:pPr>
        <w:pStyle w:val="ListParagraph"/>
        <w:spacing w:line="480" w:lineRule="auto"/>
      </w:pPr>
    </w:p>
    <w:p w14:paraId="173FE5FE" w14:textId="05B2AAE8" w:rsidR="0000638C" w:rsidRPr="0000638C" w:rsidRDefault="000D2001" w:rsidP="000D2001">
      <w:pPr>
        <w:pStyle w:val="ListParagraph"/>
        <w:numPr>
          <w:ilvl w:val="0"/>
          <w:numId w:val="2"/>
        </w:numPr>
        <w:spacing w:line="480" w:lineRule="auto"/>
        <w:ind w:hanging="720"/>
        <w:jc w:val="both"/>
      </w:pPr>
      <w:r w:rsidRPr="000D2001">
        <w:rPr>
          <w:color w:val="000000"/>
          <w:lang w:eastAsia="en-US"/>
        </w:rPr>
        <w:t>The</w:t>
      </w:r>
      <w:r>
        <w:rPr>
          <w:color w:val="000000"/>
          <w:lang w:eastAsia="en-US"/>
        </w:rPr>
        <w:t>re was no dispute here that the road traffic accident that occurred on 28 January 2017 was caused by the negligent driving of t</w:t>
      </w:r>
      <w:r w:rsidR="00347F0A">
        <w:rPr>
          <w:color w:val="000000"/>
          <w:lang w:eastAsia="en-US"/>
        </w:rPr>
        <w:t>he late Mr O’ Connor</w:t>
      </w:r>
      <w:r w:rsidR="001A15C0">
        <w:rPr>
          <w:color w:val="000000"/>
          <w:lang w:eastAsia="en-US"/>
        </w:rPr>
        <w:t xml:space="preserve"> </w:t>
      </w:r>
      <w:r w:rsidR="001A15C0" w:rsidRPr="001A15C0">
        <w:rPr>
          <w:color w:val="000000"/>
          <w:lang w:eastAsia="en-US"/>
        </w:rPr>
        <w:t>(</w:t>
      </w:r>
      <w:r w:rsidR="001A15C0" w:rsidRPr="001A15C0">
        <w:rPr>
          <w:i/>
          <w:iCs/>
          <w:color w:val="000000"/>
          <w:lang w:eastAsia="en-US"/>
        </w:rPr>
        <w:t>“the Deceased”</w:t>
      </w:r>
      <w:r w:rsidR="001A15C0" w:rsidRPr="001A15C0">
        <w:rPr>
          <w:color w:val="000000"/>
          <w:lang w:eastAsia="en-US"/>
        </w:rPr>
        <w:t xml:space="preserve">). </w:t>
      </w:r>
      <w:r w:rsidR="00347F0A">
        <w:rPr>
          <w:color w:val="000000"/>
          <w:lang w:eastAsia="en-US"/>
        </w:rPr>
        <w:t xml:space="preserve"> </w:t>
      </w:r>
      <w:r w:rsidR="00142913">
        <w:rPr>
          <w:color w:val="000000"/>
          <w:lang w:eastAsia="en-US"/>
        </w:rPr>
        <w:t>(</w:t>
      </w:r>
      <w:proofErr w:type="gramStart"/>
      <w:r w:rsidR="00142913">
        <w:rPr>
          <w:color w:val="000000"/>
          <w:lang w:eastAsia="en-US"/>
        </w:rPr>
        <w:t>represented</w:t>
      </w:r>
      <w:proofErr w:type="gramEnd"/>
      <w:r w:rsidR="00142913">
        <w:rPr>
          <w:color w:val="000000"/>
          <w:lang w:eastAsia="en-US"/>
        </w:rPr>
        <w:t xml:space="preserve"> in these proceedings by the Second </w:t>
      </w:r>
      <w:r>
        <w:rPr>
          <w:color w:val="000000"/>
          <w:lang w:eastAsia="en-US"/>
        </w:rPr>
        <w:t>Defendant</w:t>
      </w:r>
      <w:r w:rsidR="00142913">
        <w:rPr>
          <w:color w:val="000000"/>
          <w:lang w:eastAsia="en-US"/>
        </w:rPr>
        <w:t>)</w:t>
      </w:r>
      <w:r w:rsidR="001A15C0">
        <w:rPr>
          <w:color w:val="000000"/>
          <w:lang w:eastAsia="en-US"/>
        </w:rPr>
        <w:t xml:space="preserve">. </w:t>
      </w:r>
      <w:r>
        <w:rPr>
          <w:color w:val="000000"/>
          <w:lang w:eastAsia="en-US"/>
        </w:rPr>
        <w:t xml:space="preserve">So much was admitted by </w:t>
      </w:r>
      <w:r w:rsidR="0000638C">
        <w:rPr>
          <w:color w:val="000000"/>
          <w:lang w:eastAsia="en-US"/>
        </w:rPr>
        <w:lastRenderedPageBreak/>
        <w:t xml:space="preserve">his </w:t>
      </w:r>
      <w:r>
        <w:rPr>
          <w:color w:val="000000"/>
          <w:lang w:eastAsia="en-US"/>
        </w:rPr>
        <w:t>insurers (High Court Judgment, para 8). Neither was there any dispute that th</w:t>
      </w:r>
      <w:r w:rsidR="0000638C">
        <w:rPr>
          <w:color w:val="000000"/>
          <w:lang w:eastAsia="en-US"/>
        </w:rPr>
        <w:t>e accident caused injury to Ms Sheehan.  Having heard evidence from her and from the consultant psychiatrist called on her behalf (the Defendants not hav</w:t>
      </w:r>
      <w:r w:rsidR="00E34750">
        <w:rPr>
          <w:color w:val="000000"/>
          <w:lang w:eastAsia="en-US"/>
        </w:rPr>
        <w:t>ing</w:t>
      </w:r>
      <w:r w:rsidR="0000638C">
        <w:rPr>
          <w:color w:val="000000"/>
          <w:lang w:eastAsia="en-US"/>
        </w:rPr>
        <w:t xml:space="preserve"> called any evidence), the High Court Judge concluded that she had sustained </w:t>
      </w:r>
      <w:r w:rsidR="0000638C" w:rsidRPr="0000638C">
        <w:rPr>
          <w:i/>
          <w:color w:val="000000"/>
          <w:lang w:eastAsia="en-US"/>
        </w:rPr>
        <w:t>“a significant psychiatric injury</w:t>
      </w:r>
      <w:r w:rsidR="0000638C">
        <w:rPr>
          <w:color w:val="000000"/>
          <w:lang w:eastAsia="en-US"/>
        </w:rPr>
        <w:t xml:space="preserve">” and noted that that was not disputed by the Defendants (Judgement, para 26). </w:t>
      </w:r>
      <w:r w:rsidR="00835F58">
        <w:rPr>
          <w:color w:val="000000"/>
          <w:lang w:eastAsia="en-US"/>
        </w:rPr>
        <w:t xml:space="preserve">That injury </w:t>
      </w:r>
      <w:r w:rsidR="0042457A">
        <w:rPr>
          <w:color w:val="000000"/>
          <w:lang w:eastAsia="en-US"/>
        </w:rPr>
        <w:t xml:space="preserve">has had </w:t>
      </w:r>
      <w:r w:rsidR="00835F58">
        <w:rPr>
          <w:color w:val="000000"/>
          <w:lang w:eastAsia="en-US"/>
        </w:rPr>
        <w:t xml:space="preserve">has a very significant impact on Ms Sheehan’s life (Judgment, para 80). </w:t>
      </w:r>
      <w:proofErr w:type="gramStart"/>
      <w:r w:rsidR="00E34750">
        <w:rPr>
          <w:color w:val="000000"/>
          <w:lang w:eastAsia="en-US"/>
        </w:rPr>
        <w:t>Thus</w:t>
      </w:r>
      <w:proofErr w:type="gramEnd"/>
      <w:r w:rsidR="0000638C">
        <w:rPr>
          <w:color w:val="000000"/>
          <w:lang w:eastAsia="en-US"/>
        </w:rPr>
        <w:t xml:space="preserve"> the admittedly negligent driving of the deceased caused admitted and significant injury to Ms Sheehan.</w:t>
      </w:r>
    </w:p>
    <w:p w14:paraId="0966FE45" w14:textId="77777777" w:rsidR="0000638C" w:rsidRPr="0000638C" w:rsidRDefault="0000638C" w:rsidP="0000638C">
      <w:pPr>
        <w:pStyle w:val="ListParagraph"/>
        <w:spacing w:line="480" w:lineRule="auto"/>
        <w:jc w:val="both"/>
      </w:pPr>
    </w:p>
    <w:p w14:paraId="4F354AFF" w14:textId="77777777" w:rsidR="00E34750" w:rsidRPr="00E34750" w:rsidRDefault="00142913" w:rsidP="00E34750">
      <w:pPr>
        <w:pStyle w:val="ListParagraph"/>
        <w:numPr>
          <w:ilvl w:val="0"/>
          <w:numId w:val="2"/>
        </w:numPr>
        <w:spacing w:line="480" w:lineRule="auto"/>
        <w:ind w:hanging="720"/>
        <w:jc w:val="both"/>
      </w:pPr>
      <w:r>
        <w:rPr>
          <w:color w:val="000000"/>
          <w:lang w:eastAsia="en-US"/>
        </w:rPr>
        <w:t xml:space="preserve">The Deceased </w:t>
      </w:r>
      <w:r w:rsidR="0000638C">
        <w:rPr>
          <w:color w:val="000000"/>
          <w:lang w:eastAsia="en-US"/>
        </w:rPr>
        <w:t xml:space="preserve">owed a duty of care to other road users not to cause injury to them by reason of his driving. </w:t>
      </w:r>
      <w:r w:rsidR="00E34750">
        <w:rPr>
          <w:color w:val="000000"/>
          <w:lang w:eastAsia="en-US"/>
        </w:rPr>
        <w:t xml:space="preserve">Again, that is not disputed. Ms Sheehan was such a road user. It </w:t>
      </w:r>
      <w:r w:rsidR="00835F58">
        <w:rPr>
          <w:color w:val="000000"/>
          <w:lang w:eastAsia="en-US"/>
        </w:rPr>
        <w:t>might</w:t>
      </w:r>
      <w:r w:rsidR="00E34750">
        <w:rPr>
          <w:color w:val="000000"/>
          <w:lang w:eastAsia="en-US"/>
        </w:rPr>
        <w:t xml:space="preserve"> seem to follow that, in causing injury to Ms Sheehan, </w:t>
      </w:r>
      <w:r>
        <w:rPr>
          <w:color w:val="000000"/>
          <w:lang w:eastAsia="en-US"/>
        </w:rPr>
        <w:t xml:space="preserve">the </w:t>
      </w:r>
      <w:proofErr w:type="gramStart"/>
      <w:r>
        <w:rPr>
          <w:color w:val="000000"/>
          <w:lang w:eastAsia="en-US"/>
        </w:rPr>
        <w:t xml:space="preserve">Deceased </w:t>
      </w:r>
      <w:r w:rsidR="00E34750">
        <w:rPr>
          <w:color w:val="000000"/>
          <w:lang w:eastAsia="en-US"/>
        </w:rPr>
        <w:t xml:space="preserve"> </w:t>
      </w:r>
      <w:r w:rsidR="00835F58">
        <w:rPr>
          <w:color w:val="000000"/>
          <w:lang w:eastAsia="en-US"/>
        </w:rPr>
        <w:t>was</w:t>
      </w:r>
      <w:proofErr w:type="gramEnd"/>
      <w:r w:rsidR="00835F58">
        <w:rPr>
          <w:color w:val="000000"/>
          <w:lang w:eastAsia="en-US"/>
        </w:rPr>
        <w:t xml:space="preserve"> in </w:t>
      </w:r>
      <w:r w:rsidR="00E34750">
        <w:rPr>
          <w:color w:val="000000"/>
          <w:lang w:eastAsia="en-US"/>
        </w:rPr>
        <w:t>breach</w:t>
      </w:r>
      <w:r w:rsidR="00835F58">
        <w:rPr>
          <w:color w:val="000000"/>
          <w:lang w:eastAsia="en-US"/>
        </w:rPr>
        <w:t xml:space="preserve"> of</w:t>
      </w:r>
      <w:r w:rsidR="00E34750">
        <w:rPr>
          <w:color w:val="000000"/>
          <w:lang w:eastAsia="en-US"/>
        </w:rPr>
        <w:t xml:space="preserve"> that duty of care</w:t>
      </w:r>
      <w:r>
        <w:rPr>
          <w:color w:val="000000"/>
          <w:lang w:eastAsia="en-US"/>
        </w:rPr>
        <w:t xml:space="preserve"> and the Second Defendant must therefore be liable to Ms Sheehan</w:t>
      </w:r>
      <w:r w:rsidR="00E34750">
        <w:rPr>
          <w:color w:val="000000"/>
          <w:lang w:eastAsia="en-US"/>
        </w:rPr>
        <w:t xml:space="preserve">. Here, however, the Second Defendant demurs. What is said is that, whereas the </w:t>
      </w:r>
      <w:r>
        <w:rPr>
          <w:color w:val="000000"/>
          <w:lang w:eastAsia="en-US"/>
        </w:rPr>
        <w:t xml:space="preserve">Deceased </w:t>
      </w:r>
      <w:r w:rsidR="00E34750">
        <w:rPr>
          <w:color w:val="000000"/>
          <w:lang w:eastAsia="en-US"/>
        </w:rPr>
        <w:t xml:space="preserve">undoubtedly was under a duty not to cause any </w:t>
      </w:r>
      <w:r w:rsidR="00E34750" w:rsidRPr="00E34750">
        <w:rPr>
          <w:i/>
          <w:color w:val="000000"/>
          <w:lang w:eastAsia="en-US"/>
        </w:rPr>
        <w:t>physical</w:t>
      </w:r>
      <w:r w:rsidR="00E34750">
        <w:rPr>
          <w:color w:val="000000"/>
          <w:lang w:eastAsia="en-US"/>
        </w:rPr>
        <w:t xml:space="preserve"> injury</w:t>
      </w:r>
      <w:r w:rsidR="00835F58">
        <w:rPr>
          <w:color w:val="000000"/>
          <w:lang w:eastAsia="en-US"/>
        </w:rPr>
        <w:t xml:space="preserve"> to Ms Sheehan</w:t>
      </w:r>
      <w:r w:rsidR="00E34750">
        <w:rPr>
          <w:color w:val="000000"/>
          <w:lang w:eastAsia="en-US"/>
        </w:rPr>
        <w:t xml:space="preserve">, he owed no duty to her not to cause her </w:t>
      </w:r>
      <w:r w:rsidR="00E34750" w:rsidRPr="00E34750">
        <w:rPr>
          <w:i/>
          <w:color w:val="000000"/>
          <w:lang w:eastAsia="en-US"/>
        </w:rPr>
        <w:t>psychiatric</w:t>
      </w:r>
      <w:r w:rsidR="00E34750">
        <w:rPr>
          <w:color w:val="000000"/>
          <w:lang w:eastAsia="en-US"/>
        </w:rPr>
        <w:t xml:space="preserve"> injury. </w:t>
      </w:r>
      <w:r w:rsidR="00E0105F">
        <w:rPr>
          <w:color w:val="000000"/>
          <w:lang w:eastAsia="en-US"/>
        </w:rPr>
        <w:t>Ms Sheehan was not</w:t>
      </w:r>
      <w:r w:rsidR="00835F58">
        <w:rPr>
          <w:color w:val="000000"/>
          <w:lang w:eastAsia="en-US"/>
        </w:rPr>
        <w:t>, the Second Defendant says,</w:t>
      </w:r>
      <w:r w:rsidR="00E0105F">
        <w:rPr>
          <w:color w:val="000000"/>
          <w:lang w:eastAsia="en-US"/>
        </w:rPr>
        <w:t xml:space="preserve"> a “</w:t>
      </w:r>
      <w:r w:rsidR="00E0105F" w:rsidRPr="00E0105F">
        <w:rPr>
          <w:i/>
          <w:color w:val="000000"/>
          <w:lang w:eastAsia="en-US"/>
        </w:rPr>
        <w:t>direct participant”</w:t>
      </w:r>
      <w:r w:rsidR="00835F58">
        <w:rPr>
          <w:color w:val="000000"/>
          <w:lang w:eastAsia="en-US"/>
        </w:rPr>
        <w:t xml:space="preserve"> </w:t>
      </w:r>
      <w:r w:rsidR="00E0105F">
        <w:rPr>
          <w:color w:val="000000"/>
          <w:lang w:eastAsia="en-US"/>
        </w:rPr>
        <w:t xml:space="preserve">in the accident and as a mere secondary victim, policy considerations operate to exclude recovery by her. </w:t>
      </w:r>
    </w:p>
    <w:p w14:paraId="4A8AFFBD" w14:textId="77777777" w:rsidR="00E34750" w:rsidRPr="00E34750" w:rsidRDefault="00E34750" w:rsidP="00E34750">
      <w:pPr>
        <w:pStyle w:val="ListParagraph"/>
        <w:spacing w:line="480" w:lineRule="auto"/>
        <w:jc w:val="both"/>
      </w:pPr>
    </w:p>
    <w:p w14:paraId="5181CD1A" w14:textId="77777777" w:rsidR="00E34750" w:rsidRDefault="00E0105F" w:rsidP="00E34750">
      <w:pPr>
        <w:pStyle w:val="ListParagraph"/>
        <w:numPr>
          <w:ilvl w:val="0"/>
          <w:numId w:val="2"/>
        </w:numPr>
        <w:spacing w:line="480" w:lineRule="auto"/>
        <w:ind w:hanging="720"/>
        <w:jc w:val="both"/>
      </w:pPr>
      <w:r>
        <w:t>I do not agree. None of the Irish authorities to which we were referre</w:t>
      </w:r>
      <w:r w:rsidR="003B1EC8">
        <w:t>d</w:t>
      </w:r>
      <w:r>
        <w:t xml:space="preserve"> </w:t>
      </w:r>
      <w:bookmarkStart w:id="0" w:name="_Hlk94520166"/>
      <w:r>
        <w:t xml:space="preserve">– </w:t>
      </w:r>
      <w:bookmarkEnd w:id="0"/>
      <w:r>
        <w:t xml:space="preserve">which are discussed in detail by Noonan J </w:t>
      </w:r>
      <w:r w:rsidR="003B1EC8">
        <w:t xml:space="preserve">– </w:t>
      </w:r>
      <w:r>
        <w:t xml:space="preserve">appear to me to support the position of the Second Defendant. Furthermore, I cannot identify any policy considerations that might justify leaving Ms Sheehan uncompensated for the significant </w:t>
      </w:r>
      <w:r w:rsidR="00835F58">
        <w:t xml:space="preserve">and foreseeable </w:t>
      </w:r>
      <w:r>
        <w:t>injury sustained by her as a</w:t>
      </w:r>
      <w:r w:rsidR="00835F58">
        <w:t xml:space="preserve"> direct and immediate</w:t>
      </w:r>
      <w:r>
        <w:t xml:space="preserve"> result of the negligence of the </w:t>
      </w:r>
      <w:r w:rsidR="00142913">
        <w:t>Deceased</w:t>
      </w:r>
      <w:r>
        <w:t>.</w:t>
      </w:r>
    </w:p>
    <w:p w14:paraId="7BA6374F" w14:textId="77777777" w:rsidR="00E0105F" w:rsidRDefault="00E0105F" w:rsidP="00E0105F">
      <w:pPr>
        <w:pStyle w:val="ListParagraph"/>
        <w:spacing w:line="480" w:lineRule="auto"/>
        <w:jc w:val="both"/>
      </w:pPr>
    </w:p>
    <w:p w14:paraId="32A4BBE0" w14:textId="77777777" w:rsidR="006E5DD3" w:rsidRPr="006E5DD3" w:rsidRDefault="006E5DD3" w:rsidP="006E5DD3">
      <w:pPr>
        <w:pStyle w:val="ListParagraph"/>
        <w:numPr>
          <w:ilvl w:val="0"/>
          <w:numId w:val="2"/>
        </w:numPr>
        <w:spacing w:line="480" w:lineRule="auto"/>
        <w:ind w:hanging="720"/>
        <w:jc w:val="both"/>
      </w:pPr>
      <w:r>
        <w:t>On the facts</w:t>
      </w:r>
      <w:r w:rsidR="00E0105F">
        <w:t xml:space="preserve">, Ms Sheehan was far from being a </w:t>
      </w:r>
      <w:r>
        <w:rPr>
          <w:color w:val="000000"/>
          <w:lang w:eastAsia="en-US"/>
        </w:rPr>
        <w:t>“</w:t>
      </w:r>
      <w:r w:rsidRPr="000D2001">
        <w:rPr>
          <w:i/>
          <w:iCs/>
          <w:color w:val="000000"/>
          <w:lang w:eastAsia="en-US"/>
        </w:rPr>
        <w:t>mere bystander or spectator</w:t>
      </w:r>
      <w:r>
        <w:rPr>
          <w:color w:val="000000"/>
          <w:lang w:eastAsia="en-US"/>
        </w:rPr>
        <w:t>”</w:t>
      </w:r>
      <w:r w:rsidRPr="000D2001">
        <w:rPr>
          <w:color w:val="000000"/>
          <w:lang w:eastAsia="en-US"/>
        </w:rPr>
        <w:t xml:space="preserve"> </w:t>
      </w:r>
      <w:r>
        <w:rPr>
          <w:color w:val="000000"/>
          <w:lang w:eastAsia="en-US"/>
        </w:rPr>
        <w:t>here:</w:t>
      </w:r>
    </w:p>
    <w:p w14:paraId="74C842AF" w14:textId="77777777" w:rsidR="006E5DD3" w:rsidRDefault="006E5DD3" w:rsidP="006E5DD3">
      <w:pPr>
        <w:pStyle w:val="ListParagraph"/>
        <w:spacing w:line="480" w:lineRule="auto"/>
        <w:jc w:val="both"/>
        <w:rPr>
          <w:color w:val="000000"/>
          <w:lang w:eastAsia="en-US"/>
        </w:rPr>
      </w:pPr>
    </w:p>
    <w:p w14:paraId="41B32A43" w14:textId="77777777" w:rsidR="006E5DD3" w:rsidRDefault="000D2001" w:rsidP="00835F58">
      <w:pPr>
        <w:pStyle w:val="ListParagraph"/>
        <w:spacing w:line="480" w:lineRule="auto"/>
        <w:ind w:left="993"/>
        <w:jc w:val="both"/>
        <w:rPr>
          <w:color w:val="000000"/>
          <w:lang w:eastAsia="en-US"/>
        </w:rPr>
      </w:pPr>
      <w:r w:rsidRPr="006E5DD3">
        <w:rPr>
          <w:color w:val="000000"/>
          <w:lang w:eastAsia="en-US"/>
        </w:rPr>
        <w:t xml:space="preserve">(1) She was close enough to the collision that debris struck </w:t>
      </w:r>
      <w:r w:rsidR="006E5DD3">
        <w:rPr>
          <w:color w:val="000000"/>
          <w:lang w:eastAsia="en-US"/>
        </w:rPr>
        <w:t xml:space="preserve">and damaged </w:t>
      </w:r>
      <w:r w:rsidRPr="006E5DD3">
        <w:rPr>
          <w:color w:val="000000"/>
          <w:lang w:eastAsia="en-US"/>
        </w:rPr>
        <w:t>her car (within 100 metres of the point of impact according to Mr O' Sullivan, her engineer). In her evidence she described hearing a</w:t>
      </w:r>
      <w:r w:rsidRPr="006E5DD3">
        <w:rPr>
          <w:i/>
          <w:iCs/>
          <w:color w:val="000000"/>
          <w:lang w:eastAsia="en-US"/>
        </w:rPr>
        <w:t xml:space="preserve"> </w:t>
      </w:r>
      <w:r w:rsidR="00576195">
        <w:rPr>
          <w:i/>
          <w:iCs/>
          <w:color w:val="000000"/>
          <w:lang w:eastAsia="en-US"/>
        </w:rPr>
        <w:t>“</w:t>
      </w:r>
      <w:r w:rsidRPr="006E5DD3">
        <w:rPr>
          <w:i/>
          <w:iCs/>
          <w:color w:val="000000"/>
          <w:lang w:eastAsia="en-US"/>
        </w:rPr>
        <w:t>loud bang</w:t>
      </w:r>
      <w:r w:rsidR="00576195">
        <w:rPr>
          <w:i/>
          <w:iCs/>
          <w:color w:val="000000"/>
          <w:lang w:eastAsia="en-US"/>
        </w:rPr>
        <w:t>”</w:t>
      </w:r>
      <w:r w:rsidRPr="006E5DD3">
        <w:rPr>
          <w:color w:val="000000"/>
          <w:lang w:eastAsia="en-US"/>
        </w:rPr>
        <w:t xml:space="preserve"> (Day 1, page 20)</w:t>
      </w:r>
      <w:r w:rsidR="00347F0A">
        <w:rPr>
          <w:color w:val="000000"/>
          <w:lang w:eastAsia="en-US"/>
        </w:rPr>
        <w:t xml:space="preserve"> S</w:t>
      </w:r>
      <w:r w:rsidR="00B831A3">
        <w:rPr>
          <w:color w:val="000000"/>
          <w:lang w:eastAsia="en-US"/>
        </w:rPr>
        <w:t xml:space="preserve">he was, the Judge found, </w:t>
      </w:r>
      <w:r w:rsidR="00B831A3" w:rsidRPr="00B831A3">
        <w:rPr>
          <w:i/>
          <w:color w:val="000000"/>
          <w:lang w:eastAsia="en-US"/>
        </w:rPr>
        <w:t>“in the area of risk of foreseeable physical injury</w:t>
      </w:r>
      <w:r w:rsidR="00B831A3">
        <w:rPr>
          <w:color w:val="000000"/>
          <w:lang w:eastAsia="en-US"/>
        </w:rPr>
        <w:t>” (High Court Judgement, para 53)</w:t>
      </w:r>
    </w:p>
    <w:p w14:paraId="11691B64" w14:textId="77777777" w:rsidR="00B831A3" w:rsidRDefault="00B831A3" w:rsidP="00835F58">
      <w:pPr>
        <w:pStyle w:val="ListParagraph"/>
        <w:spacing w:line="480" w:lineRule="auto"/>
        <w:ind w:left="993"/>
        <w:jc w:val="both"/>
        <w:rPr>
          <w:color w:val="000000"/>
          <w:lang w:eastAsia="en-US"/>
        </w:rPr>
      </w:pPr>
    </w:p>
    <w:p w14:paraId="084C9702" w14:textId="77777777" w:rsidR="006E5DD3" w:rsidRDefault="000D2001" w:rsidP="00835F58">
      <w:pPr>
        <w:pStyle w:val="ListParagraph"/>
        <w:spacing w:line="480" w:lineRule="auto"/>
        <w:ind w:left="993"/>
        <w:jc w:val="both"/>
        <w:rPr>
          <w:color w:val="000000"/>
          <w:lang w:eastAsia="en-US"/>
        </w:rPr>
      </w:pPr>
      <w:r w:rsidRPr="006E5DD3">
        <w:rPr>
          <w:color w:val="000000"/>
          <w:lang w:eastAsia="en-US"/>
        </w:rPr>
        <w:t xml:space="preserve">(2) </w:t>
      </w:r>
      <w:r w:rsidR="006E5DD3">
        <w:rPr>
          <w:color w:val="000000"/>
          <w:lang w:eastAsia="en-US"/>
        </w:rPr>
        <w:t>S</w:t>
      </w:r>
      <w:r w:rsidRPr="006E5DD3">
        <w:rPr>
          <w:color w:val="000000"/>
          <w:lang w:eastAsia="en-US"/>
        </w:rPr>
        <w:t xml:space="preserve">he brought her car to a halt </w:t>
      </w:r>
      <w:r w:rsidR="00576195">
        <w:rPr>
          <w:i/>
          <w:iCs/>
          <w:color w:val="000000"/>
          <w:lang w:eastAsia="en-US"/>
        </w:rPr>
        <w:t>“</w:t>
      </w:r>
      <w:r w:rsidRPr="006E5DD3">
        <w:rPr>
          <w:i/>
          <w:iCs/>
          <w:color w:val="000000"/>
          <w:lang w:eastAsia="en-US"/>
        </w:rPr>
        <w:t xml:space="preserve">for no reason other than that she perceived something </w:t>
      </w:r>
      <w:proofErr w:type="gramStart"/>
      <w:r w:rsidRPr="006E5DD3">
        <w:rPr>
          <w:i/>
          <w:iCs/>
          <w:color w:val="000000"/>
          <w:lang w:eastAsia="en-US"/>
        </w:rPr>
        <w:t>disturbing</w:t>
      </w:r>
      <w:proofErr w:type="gramEnd"/>
      <w:r w:rsidRPr="006E5DD3">
        <w:rPr>
          <w:i/>
          <w:iCs/>
          <w:color w:val="000000"/>
          <w:lang w:eastAsia="en-US"/>
        </w:rPr>
        <w:t xml:space="preserve"> or alarming had occurred in the immediate vicini</w:t>
      </w:r>
      <w:r w:rsidRPr="006E5DD3">
        <w:rPr>
          <w:color w:val="000000"/>
          <w:lang w:eastAsia="en-US"/>
        </w:rPr>
        <w:t>ty</w:t>
      </w:r>
      <w:r w:rsidR="00576195">
        <w:rPr>
          <w:color w:val="000000"/>
          <w:lang w:eastAsia="en-US"/>
        </w:rPr>
        <w:t xml:space="preserve">” </w:t>
      </w:r>
      <w:r w:rsidRPr="006E5DD3">
        <w:rPr>
          <w:color w:val="000000"/>
          <w:lang w:eastAsia="en-US"/>
        </w:rPr>
        <w:t xml:space="preserve">(Judgment, para 53); </w:t>
      </w:r>
    </w:p>
    <w:p w14:paraId="7D49ECBB" w14:textId="77777777" w:rsidR="006E5DD3" w:rsidRDefault="006E5DD3" w:rsidP="00835F58">
      <w:pPr>
        <w:pStyle w:val="ListParagraph"/>
        <w:spacing w:line="480" w:lineRule="auto"/>
        <w:ind w:left="993"/>
        <w:jc w:val="both"/>
        <w:rPr>
          <w:color w:val="000000"/>
          <w:lang w:eastAsia="en-US"/>
        </w:rPr>
      </w:pPr>
    </w:p>
    <w:p w14:paraId="180BCD4E" w14:textId="77777777" w:rsidR="006E5DD3" w:rsidRDefault="000D2001" w:rsidP="00835F58">
      <w:pPr>
        <w:pStyle w:val="ListParagraph"/>
        <w:spacing w:line="480" w:lineRule="auto"/>
        <w:ind w:left="993"/>
        <w:jc w:val="both"/>
        <w:rPr>
          <w:color w:val="000000"/>
          <w:lang w:eastAsia="en-US"/>
        </w:rPr>
      </w:pPr>
      <w:r w:rsidRPr="006E5DD3">
        <w:rPr>
          <w:color w:val="000000"/>
          <w:lang w:eastAsia="en-US"/>
        </w:rPr>
        <w:t>(3)</w:t>
      </w:r>
      <w:r w:rsidR="006E5DD3">
        <w:rPr>
          <w:color w:val="000000"/>
          <w:lang w:eastAsia="en-US"/>
        </w:rPr>
        <w:t xml:space="preserve"> A</w:t>
      </w:r>
      <w:r w:rsidRPr="006E5DD3">
        <w:rPr>
          <w:color w:val="000000"/>
          <w:lang w:eastAsia="en-US"/>
        </w:rPr>
        <w:t xml:space="preserve">s she approached the crashed </w:t>
      </w:r>
      <w:proofErr w:type="gramStart"/>
      <w:r w:rsidRPr="006E5DD3">
        <w:rPr>
          <w:color w:val="000000"/>
          <w:lang w:eastAsia="en-US"/>
        </w:rPr>
        <w:t>vehicles</w:t>
      </w:r>
      <w:proofErr w:type="gramEnd"/>
      <w:r w:rsidRPr="006E5DD3">
        <w:rPr>
          <w:color w:val="000000"/>
          <w:lang w:eastAsia="en-US"/>
        </w:rPr>
        <w:t xml:space="preserve"> she noted that </w:t>
      </w:r>
      <w:r w:rsidR="00576195">
        <w:rPr>
          <w:color w:val="000000"/>
          <w:lang w:eastAsia="en-US"/>
        </w:rPr>
        <w:t>“</w:t>
      </w:r>
      <w:r w:rsidRPr="006E5DD3">
        <w:rPr>
          <w:i/>
          <w:iCs/>
          <w:color w:val="000000"/>
          <w:lang w:eastAsia="en-US"/>
        </w:rPr>
        <w:t>there was diesel all over the road</w:t>
      </w:r>
      <w:r w:rsidR="00576195">
        <w:rPr>
          <w:color w:val="000000"/>
          <w:lang w:eastAsia="en-US"/>
        </w:rPr>
        <w:t>”</w:t>
      </w:r>
      <w:r w:rsidRPr="006E5DD3">
        <w:rPr>
          <w:color w:val="000000"/>
          <w:lang w:eastAsia="en-US"/>
        </w:rPr>
        <w:t xml:space="preserve"> (Day 1, page 22); </w:t>
      </w:r>
    </w:p>
    <w:p w14:paraId="17CFD71F" w14:textId="77777777" w:rsidR="006E5DD3" w:rsidRDefault="006E5DD3" w:rsidP="00835F58">
      <w:pPr>
        <w:pStyle w:val="ListParagraph"/>
        <w:spacing w:line="480" w:lineRule="auto"/>
        <w:ind w:left="993"/>
        <w:jc w:val="both"/>
        <w:rPr>
          <w:color w:val="000000"/>
          <w:lang w:eastAsia="en-US"/>
        </w:rPr>
      </w:pPr>
    </w:p>
    <w:p w14:paraId="1B7C7311" w14:textId="77777777" w:rsidR="006E5DD3" w:rsidRDefault="000D2001" w:rsidP="00835F58">
      <w:pPr>
        <w:pStyle w:val="ListParagraph"/>
        <w:spacing w:line="480" w:lineRule="auto"/>
        <w:ind w:left="993"/>
        <w:jc w:val="both"/>
        <w:rPr>
          <w:color w:val="000000"/>
          <w:lang w:eastAsia="en-US"/>
        </w:rPr>
      </w:pPr>
      <w:r w:rsidRPr="006E5DD3">
        <w:rPr>
          <w:color w:val="000000"/>
          <w:lang w:eastAsia="en-US"/>
        </w:rPr>
        <w:t xml:space="preserve"> (4) </w:t>
      </w:r>
      <w:r w:rsidR="006E5DD3">
        <w:rPr>
          <w:color w:val="000000"/>
          <w:lang w:eastAsia="en-US"/>
        </w:rPr>
        <w:t>S</w:t>
      </w:r>
      <w:r w:rsidRPr="006E5DD3">
        <w:rPr>
          <w:color w:val="000000"/>
          <w:lang w:eastAsia="en-US"/>
        </w:rPr>
        <w:t>he appears to have been the first person on the scene (other than those involved in the collision</w:t>
      </w:r>
      <w:proofErr w:type="gramStart"/>
      <w:r w:rsidRPr="006E5DD3">
        <w:rPr>
          <w:color w:val="000000"/>
          <w:lang w:eastAsia="en-US"/>
        </w:rPr>
        <w:t>)</w:t>
      </w:r>
      <w:r w:rsidR="006E5DD3">
        <w:rPr>
          <w:color w:val="000000"/>
          <w:lang w:eastAsia="en-US"/>
        </w:rPr>
        <w:t>;</w:t>
      </w:r>
      <w:proofErr w:type="gramEnd"/>
    </w:p>
    <w:p w14:paraId="10570C80" w14:textId="77777777" w:rsidR="006E5DD3" w:rsidRDefault="006E5DD3" w:rsidP="00835F58">
      <w:pPr>
        <w:pStyle w:val="ListParagraph"/>
        <w:spacing w:line="480" w:lineRule="auto"/>
        <w:ind w:left="993"/>
        <w:jc w:val="both"/>
        <w:rPr>
          <w:color w:val="000000"/>
          <w:lang w:eastAsia="en-US"/>
        </w:rPr>
      </w:pPr>
    </w:p>
    <w:p w14:paraId="76873C40" w14:textId="61E1D15E" w:rsidR="006E5DD3" w:rsidRDefault="000D2001" w:rsidP="00835F58">
      <w:pPr>
        <w:pStyle w:val="ListParagraph"/>
        <w:spacing w:line="480" w:lineRule="auto"/>
        <w:ind w:left="993"/>
        <w:jc w:val="both"/>
        <w:rPr>
          <w:color w:val="000000"/>
          <w:lang w:eastAsia="en-US"/>
        </w:rPr>
      </w:pPr>
      <w:r w:rsidRPr="006E5DD3">
        <w:rPr>
          <w:color w:val="000000"/>
          <w:lang w:eastAsia="en-US"/>
        </w:rPr>
        <w:t xml:space="preserve"> (5) </w:t>
      </w:r>
      <w:r w:rsidR="006E5DD3">
        <w:rPr>
          <w:color w:val="000000"/>
          <w:lang w:eastAsia="en-US"/>
        </w:rPr>
        <w:t>S</w:t>
      </w:r>
      <w:r w:rsidRPr="006E5DD3">
        <w:rPr>
          <w:color w:val="000000"/>
          <w:lang w:eastAsia="en-US"/>
        </w:rPr>
        <w:t xml:space="preserve">he approached the </w:t>
      </w:r>
      <w:r w:rsidR="00142913">
        <w:rPr>
          <w:color w:val="000000"/>
          <w:lang w:eastAsia="en-US"/>
        </w:rPr>
        <w:t xml:space="preserve">Deceased’s </w:t>
      </w:r>
      <w:r w:rsidR="00431F8D">
        <w:rPr>
          <w:color w:val="000000"/>
          <w:lang w:eastAsia="en-US"/>
        </w:rPr>
        <w:t xml:space="preserve">car to see whether she could give aid or comfort to its occupants and </w:t>
      </w:r>
      <w:r w:rsidRPr="006E5DD3">
        <w:rPr>
          <w:color w:val="000000"/>
          <w:lang w:eastAsia="en-US"/>
        </w:rPr>
        <w:t xml:space="preserve">saw what she thought was a child in the back </w:t>
      </w:r>
      <w:r w:rsidR="00CB725B">
        <w:rPr>
          <w:color w:val="000000"/>
          <w:lang w:eastAsia="en-US"/>
        </w:rPr>
        <w:t xml:space="preserve">(it was a dark winter’s evening) </w:t>
      </w:r>
      <w:r w:rsidRPr="006E5DD3">
        <w:rPr>
          <w:color w:val="000000"/>
          <w:lang w:eastAsia="en-US"/>
        </w:rPr>
        <w:t xml:space="preserve">but </w:t>
      </w:r>
      <w:r w:rsidR="0075702A">
        <w:rPr>
          <w:color w:val="000000"/>
          <w:lang w:eastAsia="en-US"/>
        </w:rPr>
        <w:t>then</w:t>
      </w:r>
      <w:r w:rsidR="00CB725B">
        <w:rPr>
          <w:color w:val="000000"/>
          <w:lang w:eastAsia="en-US"/>
        </w:rPr>
        <w:t xml:space="preserve"> </w:t>
      </w:r>
      <w:r w:rsidRPr="006E5DD3">
        <w:rPr>
          <w:color w:val="000000"/>
          <w:lang w:eastAsia="en-US"/>
        </w:rPr>
        <w:t xml:space="preserve">realised that it was someone </w:t>
      </w:r>
      <w:r w:rsidR="00576195">
        <w:rPr>
          <w:i/>
          <w:iCs/>
          <w:color w:val="000000"/>
          <w:lang w:eastAsia="en-US"/>
        </w:rPr>
        <w:t>“</w:t>
      </w:r>
      <w:r w:rsidRPr="006E5DD3">
        <w:rPr>
          <w:i/>
          <w:iCs/>
          <w:color w:val="000000"/>
          <w:lang w:eastAsia="en-US"/>
        </w:rPr>
        <w:t xml:space="preserve">with very bad facial </w:t>
      </w:r>
      <w:proofErr w:type="gramStart"/>
      <w:r w:rsidRPr="006E5DD3">
        <w:rPr>
          <w:i/>
          <w:iCs/>
          <w:color w:val="000000"/>
          <w:lang w:eastAsia="en-US"/>
        </w:rPr>
        <w:t>injuries</w:t>
      </w:r>
      <w:r w:rsidR="00576195">
        <w:rPr>
          <w:color w:val="000000"/>
          <w:lang w:eastAsia="en-US"/>
        </w:rPr>
        <w:t xml:space="preserve">” </w:t>
      </w:r>
      <w:r w:rsidRPr="006E5DD3">
        <w:rPr>
          <w:color w:val="000000"/>
          <w:lang w:eastAsia="en-US"/>
        </w:rPr>
        <w:t xml:space="preserve"> who</w:t>
      </w:r>
      <w:proofErr w:type="gramEnd"/>
      <w:r w:rsidRPr="006E5DD3">
        <w:rPr>
          <w:i/>
          <w:iCs/>
          <w:color w:val="000000"/>
          <w:lang w:eastAsia="en-US"/>
        </w:rPr>
        <w:t xml:space="preserve"> </w:t>
      </w:r>
      <w:r w:rsidR="00576195">
        <w:rPr>
          <w:i/>
          <w:iCs/>
          <w:color w:val="000000"/>
          <w:lang w:eastAsia="en-US"/>
        </w:rPr>
        <w:t>“</w:t>
      </w:r>
      <w:r w:rsidRPr="006E5DD3">
        <w:rPr>
          <w:i/>
          <w:iCs/>
          <w:color w:val="000000"/>
          <w:lang w:eastAsia="en-US"/>
        </w:rPr>
        <w:t>looked slightly decapitated</w:t>
      </w:r>
      <w:r w:rsidR="00576195">
        <w:rPr>
          <w:i/>
          <w:iCs/>
          <w:color w:val="000000"/>
          <w:lang w:eastAsia="en-US"/>
        </w:rPr>
        <w:t>”</w:t>
      </w:r>
      <w:r w:rsidR="00347F0A">
        <w:rPr>
          <w:i/>
          <w:iCs/>
          <w:color w:val="000000"/>
          <w:lang w:eastAsia="en-US"/>
        </w:rPr>
        <w:t xml:space="preserve"> </w:t>
      </w:r>
      <w:r w:rsidR="00347F0A" w:rsidRPr="00347F0A">
        <w:rPr>
          <w:iCs/>
          <w:color w:val="000000"/>
          <w:lang w:eastAsia="en-US"/>
        </w:rPr>
        <w:t>and</w:t>
      </w:r>
      <w:r w:rsidR="00347F0A">
        <w:rPr>
          <w:i/>
          <w:iCs/>
          <w:color w:val="000000"/>
          <w:lang w:eastAsia="en-US"/>
        </w:rPr>
        <w:t xml:space="preserve"> she “got such a fright”</w:t>
      </w:r>
      <w:r w:rsidRPr="006E5DD3">
        <w:rPr>
          <w:color w:val="000000"/>
          <w:lang w:eastAsia="en-US"/>
        </w:rPr>
        <w:t xml:space="preserve"> (Day 1, page 23)</w:t>
      </w:r>
      <w:r w:rsidR="00FB735F">
        <w:rPr>
          <w:color w:val="000000"/>
          <w:lang w:eastAsia="en-US"/>
        </w:rPr>
        <w:t xml:space="preserve">. </w:t>
      </w:r>
      <w:r w:rsidR="00347F0A">
        <w:rPr>
          <w:color w:val="000000"/>
          <w:lang w:eastAsia="en-US"/>
        </w:rPr>
        <w:t>In her statement to the Garda</w:t>
      </w:r>
      <w:r w:rsidR="0042457A">
        <w:rPr>
          <w:color w:val="000000"/>
          <w:lang w:eastAsia="en-US"/>
        </w:rPr>
        <w:t>í</w:t>
      </w:r>
      <w:r w:rsidR="00347F0A">
        <w:rPr>
          <w:color w:val="000000"/>
          <w:lang w:eastAsia="en-US"/>
        </w:rPr>
        <w:t xml:space="preserve"> shortly after the accident (confirmed by her </w:t>
      </w:r>
      <w:r w:rsidR="00347F0A">
        <w:rPr>
          <w:color w:val="000000"/>
          <w:lang w:eastAsia="en-US"/>
        </w:rPr>
        <w:lastRenderedPageBreak/>
        <w:t>in her evidence to the High Court) she said that “</w:t>
      </w:r>
      <w:r w:rsidR="00347F0A" w:rsidRPr="00347F0A">
        <w:rPr>
          <w:i/>
          <w:color w:val="000000"/>
          <w:lang w:eastAsia="en-US"/>
        </w:rPr>
        <w:t>there was blood everywhere</w:t>
      </w:r>
      <w:r w:rsidR="00347F0A">
        <w:rPr>
          <w:color w:val="000000"/>
          <w:lang w:eastAsia="en-US"/>
        </w:rPr>
        <w:t>”</w:t>
      </w:r>
      <w:r w:rsidR="00F47D93">
        <w:rPr>
          <w:color w:val="000000"/>
          <w:lang w:eastAsia="en-US"/>
        </w:rPr>
        <w:t>.</w:t>
      </w:r>
      <w:r w:rsidR="00347F0A">
        <w:rPr>
          <w:color w:val="000000"/>
          <w:lang w:eastAsia="en-US"/>
        </w:rPr>
        <w:t xml:space="preserve"> </w:t>
      </w:r>
      <w:r w:rsidR="00FB735F">
        <w:rPr>
          <w:color w:val="000000"/>
          <w:lang w:eastAsia="en-US"/>
        </w:rPr>
        <w:t>It</w:t>
      </w:r>
      <w:r w:rsidR="00CB725B">
        <w:rPr>
          <w:color w:val="000000"/>
          <w:lang w:eastAsia="en-US"/>
        </w:rPr>
        <w:t xml:space="preserve"> is clear from the evidence that the </w:t>
      </w:r>
      <w:r w:rsidR="00142913">
        <w:rPr>
          <w:color w:val="000000"/>
          <w:lang w:eastAsia="en-US"/>
        </w:rPr>
        <w:t xml:space="preserve">Deceased </w:t>
      </w:r>
      <w:r w:rsidR="00CB725B">
        <w:rPr>
          <w:color w:val="000000"/>
          <w:lang w:eastAsia="en-US"/>
        </w:rPr>
        <w:t>had sustained horrific injuries</w:t>
      </w:r>
      <w:r w:rsidR="00FB735F">
        <w:rPr>
          <w:color w:val="000000"/>
          <w:lang w:eastAsia="en-US"/>
        </w:rPr>
        <w:t xml:space="preserve"> and, unfortunately, was beyond assistance. </w:t>
      </w:r>
      <w:r w:rsidR="00F07CAA">
        <w:rPr>
          <w:color w:val="000000"/>
          <w:lang w:eastAsia="en-US"/>
        </w:rPr>
        <w:t xml:space="preserve">That fact does not, in my view, affect how Ms Sheehan’s conduct is to be seen. </w:t>
      </w:r>
    </w:p>
    <w:p w14:paraId="3D1F5478" w14:textId="77777777" w:rsidR="006E5DD3" w:rsidRDefault="006E5DD3" w:rsidP="00835F58">
      <w:pPr>
        <w:pStyle w:val="ListParagraph"/>
        <w:spacing w:line="480" w:lineRule="auto"/>
        <w:ind w:left="993"/>
        <w:jc w:val="both"/>
        <w:rPr>
          <w:color w:val="000000"/>
          <w:lang w:eastAsia="en-US"/>
        </w:rPr>
      </w:pPr>
    </w:p>
    <w:p w14:paraId="75F844C0" w14:textId="77777777" w:rsidR="006E5DD3" w:rsidRDefault="000D2001" w:rsidP="00835F58">
      <w:pPr>
        <w:pStyle w:val="ListParagraph"/>
        <w:spacing w:line="480" w:lineRule="auto"/>
        <w:ind w:left="993"/>
        <w:jc w:val="both"/>
        <w:rPr>
          <w:color w:val="000000"/>
          <w:lang w:eastAsia="en-US"/>
        </w:rPr>
      </w:pPr>
      <w:r w:rsidRPr="006E5DD3">
        <w:rPr>
          <w:color w:val="000000"/>
          <w:lang w:eastAsia="en-US"/>
        </w:rPr>
        <w:t xml:space="preserve">(6) </w:t>
      </w:r>
      <w:r w:rsidR="00FB735F">
        <w:rPr>
          <w:color w:val="000000"/>
          <w:lang w:eastAsia="en-US"/>
        </w:rPr>
        <w:t>Ms Sheehan</w:t>
      </w:r>
      <w:r w:rsidRPr="006E5DD3">
        <w:rPr>
          <w:color w:val="000000"/>
          <w:lang w:eastAsia="en-US"/>
        </w:rPr>
        <w:t xml:space="preserve"> then called the emergency services and was told to check on the people on the </w:t>
      </w:r>
      <w:proofErr w:type="gramStart"/>
      <w:r w:rsidRPr="006E5DD3">
        <w:rPr>
          <w:color w:val="000000"/>
          <w:lang w:eastAsia="en-US"/>
        </w:rPr>
        <w:t>bus;</w:t>
      </w:r>
      <w:proofErr w:type="gramEnd"/>
      <w:r w:rsidRPr="006E5DD3">
        <w:rPr>
          <w:color w:val="000000"/>
          <w:lang w:eastAsia="en-US"/>
        </w:rPr>
        <w:t xml:space="preserve"> </w:t>
      </w:r>
    </w:p>
    <w:p w14:paraId="50726CB0" w14:textId="77777777" w:rsidR="006E5DD3" w:rsidRDefault="006E5DD3" w:rsidP="00835F58">
      <w:pPr>
        <w:pStyle w:val="ListParagraph"/>
        <w:spacing w:line="480" w:lineRule="auto"/>
        <w:ind w:left="993"/>
        <w:jc w:val="both"/>
        <w:rPr>
          <w:color w:val="000000"/>
          <w:lang w:eastAsia="en-US"/>
        </w:rPr>
      </w:pPr>
    </w:p>
    <w:p w14:paraId="50C08E5A" w14:textId="77777777" w:rsidR="000D2001" w:rsidRDefault="000D2001" w:rsidP="00835F58">
      <w:pPr>
        <w:pStyle w:val="ListParagraph"/>
        <w:spacing w:line="480" w:lineRule="auto"/>
        <w:ind w:left="993"/>
        <w:jc w:val="both"/>
        <w:rPr>
          <w:color w:val="000000"/>
          <w:lang w:eastAsia="en-US"/>
        </w:rPr>
      </w:pPr>
      <w:r w:rsidRPr="006E5DD3">
        <w:rPr>
          <w:color w:val="000000"/>
          <w:lang w:eastAsia="en-US"/>
        </w:rPr>
        <w:t>(7) She then looked to see whether there might have been anyone else in the car who might have been thrown out of it (Day 1, page 24)</w:t>
      </w:r>
      <w:r w:rsidR="006E5DD3">
        <w:rPr>
          <w:color w:val="000000"/>
          <w:lang w:eastAsia="en-US"/>
        </w:rPr>
        <w:t>.</w:t>
      </w:r>
    </w:p>
    <w:p w14:paraId="0621FA8D" w14:textId="77777777" w:rsidR="00B831A3" w:rsidRDefault="00B831A3" w:rsidP="00835F58">
      <w:pPr>
        <w:pStyle w:val="ListParagraph"/>
        <w:spacing w:line="480" w:lineRule="auto"/>
        <w:ind w:left="993"/>
        <w:jc w:val="both"/>
        <w:rPr>
          <w:color w:val="000000"/>
          <w:lang w:eastAsia="en-US"/>
        </w:rPr>
      </w:pPr>
    </w:p>
    <w:p w14:paraId="60959D41" w14:textId="2F29FD48" w:rsidR="00B831A3" w:rsidRDefault="00B831A3" w:rsidP="00835F58">
      <w:pPr>
        <w:pStyle w:val="ListParagraph"/>
        <w:spacing w:line="480" w:lineRule="auto"/>
        <w:ind w:left="993"/>
        <w:jc w:val="both"/>
        <w:rPr>
          <w:color w:val="000000"/>
          <w:lang w:eastAsia="en-US"/>
        </w:rPr>
      </w:pPr>
      <w:r>
        <w:rPr>
          <w:color w:val="000000"/>
          <w:lang w:eastAsia="en-US"/>
        </w:rPr>
        <w:t xml:space="preserve">(8) </w:t>
      </w:r>
      <w:r w:rsidR="00FB735F">
        <w:rPr>
          <w:color w:val="000000"/>
          <w:lang w:eastAsia="en-US"/>
        </w:rPr>
        <w:t>W</w:t>
      </w:r>
      <w:r>
        <w:rPr>
          <w:color w:val="000000"/>
          <w:lang w:eastAsia="en-US"/>
        </w:rPr>
        <w:t>hat Ms Sheehan experienced at the scene of the accident triggered an acute stress reaction and the diagnosis of “</w:t>
      </w:r>
      <w:r w:rsidRPr="00B831A3">
        <w:rPr>
          <w:i/>
          <w:color w:val="000000"/>
          <w:lang w:eastAsia="en-US"/>
        </w:rPr>
        <w:t>classic post-traumatic stress disorder</w:t>
      </w:r>
      <w:r>
        <w:rPr>
          <w:color w:val="000000"/>
          <w:lang w:eastAsia="en-US"/>
        </w:rPr>
        <w:t>”.</w:t>
      </w:r>
      <w:r w:rsidR="00FB735F">
        <w:rPr>
          <w:color w:val="000000"/>
          <w:lang w:eastAsia="en-US"/>
        </w:rPr>
        <w:t xml:space="preserve"> </w:t>
      </w:r>
      <w:r>
        <w:rPr>
          <w:color w:val="000000"/>
          <w:lang w:eastAsia="en-US"/>
        </w:rPr>
        <w:t xml:space="preserve"> (Judgment, para 20).</w:t>
      </w:r>
    </w:p>
    <w:p w14:paraId="66BEC2FE" w14:textId="77777777" w:rsidR="006E5DD3" w:rsidRDefault="006E5DD3" w:rsidP="006E5DD3">
      <w:pPr>
        <w:pStyle w:val="ListParagraph"/>
        <w:spacing w:line="480" w:lineRule="auto"/>
        <w:jc w:val="both"/>
        <w:rPr>
          <w:color w:val="000000"/>
          <w:lang w:eastAsia="en-US"/>
        </w:rPr>
      </w:pPr>
    </w:p>
    <w:p w14:paraId="3F4B7832" w14:textId="78E68FD7" w:rsidR="00431F8D" w:rsidRPr="00431F8D" w:rsidRDefault="00BE6BCB" w:rsidP="00431F8D">
      <w:pPr>
        <w:pStyle w:val="ListParagraph"/>
        <w:numPr>
          <w:ilvl w:val="0"/>
          <w:numId w:val="2"/>
        </w:numPr>
        <w:spacing w:line="480" w:lineRule="auto"/>
        <w:ind w:hanging="720"/>
        <w:jc w:val="both"/>
      </w:pPr>
      <w:r>
        <w:rPr>
          <w:color w:val="000000"/>
          <w:lang w:eastAsia="en-US"/>
        </w:rPr>
        <w:t xml:space="preserve">Having regard to this continuum of intense </w:t>
      </w:r>
      <w:r w:rsidR="00431F8D">
        <w:rPr>
          <w:color w:val="000000"/>
          <w:lang w:eastAsia="en-US"/>
        </w:rPr>
        <w:t xml:space="preserve">(and injurious) </w:t>
      </w:r>
      <w:r>
        <w:rPr>
          <w:color w:val="000000"/>
          <w:lang w:eastAsia="en-US"/>
        </w:rPr>
        <w:t>involvement in the accident and its immediate aftermath, Ms Sheehan must</w:t>
      </w:r>
      <w:r w:rsidR="00142913">
        <w:rPr>
          <w:color w:val="000000"/>
          <w:lang w:eastAsia="en-US"/>
        </w:rPr>
        <w:t xml:space="preserve"> in my view</w:t>
      </w:r>
      <w:r>
        <w:rPr>
          <w:color w:val="000000"/>
          <w:lang w:eastAsia="en-US"/>
        </w:rPr>
        <w:t xml:space="preserve"> be regarded as a primary victim (or, as it </w:t>
      </w:r>
      <w:r w:rsidR="00431F8D">
        <w:rPr>
          <w:color w:val="000000"/>
          <w:lang w:eastAsia="en-US"/>
        </w:rPr>
        <w:t>is sometime</w:t>
      </w:r>
      <w:r w:rsidR="0042457A">
        <w:rPr>
          <w:color w:val="000000"/>
          <w:lang w:eastAsia="en-US"/>
        </w:rPr>
        <w:t>s</w:t>
      </w:r>
      <w:r w:rsidR="00431F8D">
        <w:rPr>
          <w:color w:val="000000"/>
          <w:lang w:eastAsia="en-US"/>
        </w:rPr>
        <w:t xml:space="preserve"> put,</w:t>
      </w:r>
      <w:r>
        <w:rPr>
          <w:color w:val="000000"/>
          <w:lang w:eastAsia="en-US"/>
        </w:rPr>
        <w:t xml:space="preserve"> an “</w:t>
      </w:r>
      <w:r w:rsidR="00431F8D" w:rsidRPr="00BE6BCB">
        <w:rPr>
          <w:i/>
          <w:color w:val="000000"/>
          <w:lang w:eastAsia="en-US"/>
        </w:rPr>
        <w:t xml:space="preserve">immediate </w:t>
      </w:r>
      <w:r w:rsidRPr="00BE6BCB">
        <w:rPr>
          <w:i/>
          <w:color w:val="000000"/>
          <w:lang w:eastAsia="en-US"/>
        </w:rPr>
        <w:t>victim</w:t>
      </w:r>
      <w:r>
        <w:rPr>
          <w:color w:val="000000"/>
          <w:lang w:eastAsia="en-US"/>
        </w:rPr>
        <w:t>”) of the accident</w:t>
      </w:r>
      <w:r w:rsidR="00FB735F">
        <w:rPr>
          <w:color w:val="000000"/>
          <w:lang w:eastAsia="en-US"/>
        </w:rPr>
        <w:t xml:space="preserve">. She is </w:t>
      </w:r>
      <w:r>
        <w:rPr>
          <w:color w:val="000000"/>
          <w:lang w:eastAsia="en-US"/>
        </w:rPr>
        <w:t>therefore entitled to recover</w:t>
      </w:r>
      <w:r w:rsidR="00F47D93">
        <w:rPr>
          <w:color w:val="000000"/>
          <w:lang w:eastAsia="en-US"/>
        </w:rPr>
        <w:t xml:space="preserve"> damages for the injury sustained by her</w:t>
      </w:r>
      <w:r w:rsidR="00FB735F">
        <w:rPr>
          <w:color w:val="000000"/>
          <w:lang w:eastAsia="en-US"/>
        </w:rPr>
        <w:t>. That is</w:t>
      </w:r>
      <w:r>
        <w:rPr>
          <w:color w:val="000000"/>
          <w:lang w:eastAsia="en-US"/>
        </w:rPr>
        <w:t xml:space="preserve"> </w:t>
      </w:r>
      <w:r w:rsidR="00142913">
        <w:rPr>
          <w:color w:val="000000"/>
          <w:lang w:eastAsia="en-US"/>
        </w:rPr>
        <w:t xml:space="preserve">so </w:t>
      </w:r>
      <w:r>
        <w:rPr>
          <w:color w:val="000000"/>
          <w:lang w:eastAsia="en-US"/>
        </w:rPr>
        <w:t xml:space="preserve">even </w:t>
      </w:r>
      <w:r w:rsidR="00EC02D4">
        <w:rPr>
          <w:color w:val="000000"/>
          <w:lang w:eastAsia="en-US"/>
        </w:rPr>
        <w:t xml:space="preserve">if one </w:t>
      </w:r>
      <w:r w:rsidR="00491771">
        <w:rPr>
          <w:color w:val="000000"/>
          <w:lang w:eastAsia="en-US"/>
        </w:rPr>
        <w:t xml:space="preserve">were to </w:t>
      </w:r>
      <w:r w:rsidR="00EC02D4">
        <w:rPr>
          <w:color w:val="000000"/>
          <w:lang w:eastAsia="en-US"/>
        </w:rPr>
        <w:t xml:space="preserve">assume </w:t>
      </w:r>
      <w:r>
        <w:rPr>
          <w:color w:val="000000"/>
          <w:lang w:eastAsia="en-US"/>
        </w:rPr>
        <w:t xml:space="preserve">that the </w:t>
      </w:r>
      <w:r w:rsidR="00FB735F">
        <w:rPr>
          <w:color w:val="000000"/>
          <w:lang w:eastAsia="en-US"/>
        </w:rPr>
        <w:t xml:space="preserve">rigid </w:t>
      </w:r>
      <w:r>
        <w:rPr>
          <w:color w:val="000000"/>
          <w:lang w:eastAsia="en-US"/>
        </w:rPr>
        <w:t xml:space="preserve">primary/secondary classification that is a feature of the law of England and Wales </w:t>
      </w:r>
      <w:r w:rsidR="00431F8D">
        <w:rPr>
          <w:color w:val="000000"/>
          <w:lang w:eastAsia="en-US"/>
        </w:rPr>
        <w:t xml:space="preserve">in this area </w:t>
      </w:r>
      <w:r>
        <w:rPr>
          <w:color w:val="000000"/>
          <w:lang w:eastAsia="en-US"/>
        </w:rPr>
        <w:t>(though not</w:t>
      </w:r>
      <w:r w:rsidR="00F47D93">
        <w:rPr>
          <w:color w:val="000000"/>
          <w:lang w:eastAsia="en-US"/>
        </w:rPr>
        <w:t>, it seems,</w:t>
      </w:r>
      <w:r>
        <w:rPr>
          <w:color w:val="000000"/>
          <w:lang w:eastAsia="en-US"/>
        </w:rPr>
        <w:t xml:space="preserve"> of the law of Australia</w:t>
      </w:r>
      <w:r w:rsidR="00431F8D">
        <w:rPr>
          <w:color w:val="000000"/>
          <w:lang w:eastAsia="en-US"/>
        </w:rPr>
        <w:t>: see</w:t>
      </w:r>
      <w:r w:rsidR="00431F8D" w:rsidRPr="00431F8D">
        <w:rPr>
          <w:i/>
          <w:iCs/>
          <w:color w:val="000000"/>
          <w:lang w:eastAsia="en-US"/>
        </w:rPr>
        <w:t xml:space="preserve"> </w:t>
      </w:r>
      <w:r w:rsidR="00431F8D" w:rsidRPr="000D2001">
        <w:rPr>
          <w:i/>
          <w:iCs/>
          <w:color w:val="000000"/>
          <w:lang w:eastAsia="en-US"/>
        </w:rPr>
        <w:t xml:space="preserve">Tame </w:t>
      </w:r>
      <w:proofErr w:type="gramStart"/>
      <w:r w:rsidR="00431F8D" w:rsidRPr="000D2001">
        <w:rPr>
          <w:i/>
          <w:iCs/>
          <w:color w:val="000000"/>
          <w:lang w:eastAsia="en-US"/>
        </w:rPr>
        <w:t>v</w:t>
      </w:r>
      <w:proofErr w:type="gramEnd"/>
      <w:r w:rsidR="00431F8D" w:rsidRPr="000D2001">
        <w:rPr>
          <w:i/>
          <w:iCs/>
          <w:color w:val="000000"/>
          <w:lang w:eastAsia="en-US"/>
        </w:rPr>
        <w:t xml:space="preserve"> New South Wales </w:t>
      </w:r>
      <w:r w:rsidR="00431F8D" w:rsidRPr="000D2001">
        <w:rPr>
          <w:color w:val="000000"/>
          <w:lang w:eastAsia="en-US"/>
        </w:rPr>
        <w:t xml:space="preserve">[2002] HCA 35 and, more recently, </w:t>
      </w:r>
      <w:r w:rsidR="00431F8D" w:rsidRPr="000D2001">
        <w:rPr>
          <w:i/>
          <w:iCs/>
          <w:color w:val="000000"/>
          <w:lang w:eastAsia="en-US"/>
        </w:rPr>
        <w:t>King v Philcox</w:t>
      </w:r>
      <w:r w:rsidR="00431F8D" w:rsidRPr="000D2001">
        <w:rPr>
          <w:color w:val="000000"/>
          <w:lang w:eastAsia="en-US"/>
        </w:rPr>
        <w:t xml:space="preserve"> [2015] HCA 19)</w:t>
      </w:r>
      <w:r>
        <w:rPr>
          <w:color w:val="000000"/>
          <w:lang w:eastAsia="en-US"/>
        </w:rPr>
        <w:t xml:space="preserve"> </w:t>
      </w:r>
      <w:r w:rsidR="00431F8D">
        <w:rPr>
          <w:color w:val="000000"/>
          <w:lang w:eastAsia="en-US"/>
        </w:rPr>
        <w:t xml:space="preserve">is also part of Irish law. </w:t>
      </w:r>
      <w:r>
        <w:rPr>
          <w:color w:val="000000"/>
          <w:lang w:eastAsia="en-US"/>
        </w:rPr>
        <w:t xml:space="preserve"> </w:t>
      </w:r>
    </w:p>
    <w:p w14:paraId="4D4EDB8C" w14:textId="77777777" w:rsidR="00431F8D" w:rsidRDefault="00431F8D" w:rsidP="00431F8D">
      <w:pPr>
        <w:pStyle w:val="ListParagraph"/>
        <w:spacing w:line="480" w:lineRule="auto"/>
        <w:jc w:val="both"/>
      </w:pPr>
    </w:p>
    <w:p w14:paraId="65496B57" w14:textId="5A013529" w:rsidR="000D2001" w:rsidRPr="00431F8D" w:rsidRDefault="00431F8D" w:rsidP="00431F8D">
      <w:pPr>
        <w:pStyle w:val="ListParagraph"/>
        <w:numPr>
          <w:ilvl w:val="0"/>
          <w:numId w:val="2"/>
        </w:numPr>
        <w:spacing w:line="480" w:lineRule="auto"/>
        <w:ind w:hanging="720"/>
        <w:jc w:val="both"/>
      </w:pPr>
      <w:r>
        <w:lastRenderedPageBreak/>
        <w:t xml:space="preserve">That conclusion opens no floodgates and creates no risk </w:t>
      </w:r>
      <w:proofErr w:type="gramStart"/>
      <w:r w:rsidR="000D2001" w:rsidRPr="00431F8D">
        <w:rPr>
          <w:color w:val="000000"/>
          <w:lang w:eastAsia="en-US"/>
        </w:rPr>
        <w:t xml:space="preserve">of </w:t>
      </w:r>
      <w:r w:rsidR="001A15C0">
        <w:rPr>
          <w:color w:val="000000"/>
          <w:lang w:eastAsia="en-US"/>
        </w:rPr>
        <w:t xml:space="preserve"> </w:t>
      </w:r>
      <w:r>
        <w:rPr>
          <w:color w:val="000000"/>
          <w:lang w:eastAsia="en-US"/>
        </w:rPr>
        <w:t>“</w:t>
      </w:r>
      <w:proofErr w:type="gramEnd"/>
      <w:r w:rsidR="000D2001" w:rsidRPr="00431F8D">
        <w:rPr>
          <w:i/>
          <w:iCs/>
          <w:color w:val="000000"/>
          <w:lang w:eastAsia="en-US"/>
        </w:rPr>
        <w:t>liability in an indeterminate amount for an indeterminate time to an indeterminate clas</w:t>
      </w:r>
      <w:r w:rsidR="000D2001" w:rsidRPr="00431F8D">
        <w:rPr>
          <w:color w:val="000000"/>
          <w:lang w:eastAsia="en-US"/>
        </w:rPr>
        <w:t>s</w:t>
      </w:r>
      <w:r>
        <w:rPr>
          <w:color w:val="000000"/>
          <w:lang w:eastAsia="en-US"/>
        </w:rPr>
        <w:t xml:space="preserve">”, </w:t>
      </w:r>
      <w:r w:rsidR="000D2001" w:rsidRPr="00431F8D">
        <w:rPr>
          <w:color w:val="000000"/>
          <w:lang w:eastAsia="en-US"/>
        </w:rPr>
        <w:t xml:space="preserve">in the </w:t>
      </w:r>
      <w:r>
        <w:rPr>
          <w:color w:val="000000"/>
          <w:lang w:eastAsia="en-US"/>
        </w:rPr>
        <w:t xml:space="preserve">oft-quoted </w:t>
      </w:r>
      <w:r w:rsidR="000D2001" w:rsidRPr="00431F8D">
        <w:rPr>
          <w:color w:val="000000"/>
          <w:lang w:eastAsia="en-US"/>
        </w:rPr>
        <w:t>formulation of</w:t>
      </w:r>
      <w:r w:rsidR="000D2001" w:rsidRPr="00431F8D">
        <w:rPr>
          <w:i/>
          <w:iCs/>
          <w:color w:val="000000"/>
          <w:lang w:eastAsia="en-US"/>
        </w:rPr>
        <w:t xml:space="preserve"> </w:t>
      </w:r>
      <w:r w:rsidR="000D2001" w:rsidRPr="00EC02D4">
        <w:rPr>
          <w:iCs/>
          <w:color w:val="000000"/>
          <w:lang w:eastAsia="en-US"/>
        </w:rPr>
        <w:t>Cardozo CJ in</w:t>
      </w:r>
      <w:r w:rsidR="000D2001" w:rsidRPr="00431F8D">
        <w:rPr>
          <w:i/>
          <w:iCs/>
          <w:color w:val="000000"/>
          <w:lang w:eastAsia="en-US"/>
        </w:rPr>
        <w:t xml:space="preserve"> Ultramares Corporation v. Touche</w:t>
      </w:r>
      <w:r w:rsidR="000D2001" w:rsidRPr="00431F8D">
        <w:rPr>
          <w:color w:val="000000"/>
          <w:lang w:eastAsia="en-US"/>
        </w:rPr>
        <w:t>, 174 N.E. 441 (1932)</w:t>
      </w:r>
      <w:r>
        <w:rPr>
          <w:color w:val="000000"/>
          <w:lang w:eastAsia="en-US"/>
        </w:rPr>
        <w:t>.</w:t>
      </w:r>
    </w:p>
    <w:p w14:paraId="4CA7CE82" w14:textId="77777777" w:rsidR="00431F8D" w:rsidRPr="00431F8D" w:rsidRDefault="00431F8D" w:rsidP="00431F8D">
      <w:pPr>
        <w:pStyle w:val="ListParagraph"/>
        <w:spacing w:line="480" w:lineRule="auto"/>
        <w:jc w:val="both"/>
      </w:pPr>
    </w:p>
    <w:p w14:paraId="5CAA2C43" w14:textId="77777777" w:rsidR="00142913" w:rsidRPr="00142913" w:rsidRDefault="00431F8D" w:rsidP="000153C4">
      <w:pPr>
        <w:pStyle w:val="ListParagraph"/>
        <w:numPr>
          <w:ilvl w:val="0"/>
          <w:numId w:val="2"/>
        </w:numPr>
        <w:spacing w:line="480" w:lineRule="auto"/>
        <w:ind w:hanging="720"/>
        <w:jc w:val="both"/>
      </w:pPr>
      <w:r>
        <w:t xml:space="preserve">In the circumstances, it is not </w:t>
      </w:r>
      <w:r w:rsidR="00142913">
        <w:t xml:space="preserve">strictly </w:t>
      </w:r>
      <w:r>
        <w:t xml:space="preserve">necessary to consider as a distinct </w:t>
      </w:r>
      <w:r w:rsidR="00FB735F">
        <w:t>issue</w:t>
      </w:r>
      <w:r>
        <w:t xml:space="preserve"> whether Ms Sheehan is properly regarded as a “</w:t>
      </w:r>
      <w:r w:rsidRPr="00431F8D">
        <w:rPr>
          <w:i/>
        </w:rPr>
        <w:t>rescuer</w:t>
      </w:r>
      <w:r>
        <w:t xml:space="preserve">”. </w:t>
      </w:r>
      <w:r w:rsidR="000D2001" w:rsidRPr="00431F8D">
        <w:rPr>
          <w:color w:val="000000"/>
          <w:lang w:eastAsia="en-US"/>
        </w:rPr>
        <w:t>However, if th</w:t>
      </w:r>
      <w:r>
        <w:rPr>
          <w:color w:val="000000"/>
          <w:lang w:eastAsia="en-US"/>
        </w:rPr>
        <w:t xml:space="preserve">at </w:t>
      </w:r>
      <w:r w:rsidR="000D2001" w:rsidRPr="00431F8D">
        <w:rPr>
          <w:color w:val="000000"/>
          <w:lang w:eastAsia="en-US"/>
        </w:rPr>
        <w:t xml:space="preserve">question fell to be decided, I would </w:t>
      </w:r>
      <w:r w:rsidR="004A5267">
        <w:rPr>
          <w:color w:val="000000"/>
          <w:lang w:eastAsia="en-US"/>
        </w:rPr>
        <w:t xml:space="preserve">hold </w:t>
      </w:r>
      <w:r w:rsidR="000D2001" w:rsidRPr="00431F8D">
        <w:rPr>
          <w:color w:val="000000"/>
          <w:lang w:eastAsia="en-US"/>
        </w:rPr>
        <w:t>that she was a rescuer in th</w:t>
      </w:r>
      <w:r w:rsidR="00CB725B">
        <w:rPr>
          <w:color w:val="000000"/>
          <w:lang w:eastAsia="en-US"/>
        </w:rPr>
        <w:t>e circumstances here</w:t>
      </w:r>
      <w:r w:rsidR="00347F0A">
        <w:rPr>
          <w:color w:val="000000"/>
          <w:lang w:eastAsia="en-US"/>
        </w:rPr>
        <w:t xml:space="preserve"> and entitled to recover on that basis</w:t>
      </w:r>
      <w:r w:rsidR="000D2001" w:rsidRPr="00431F8D">
        <w:rPr>
          <w:color w:val="000000"/>
          <w:lang w:eastAsia="en-US"/>
        </w:rPr>
        <w:t xml:space="preserve">. I </w:t>
      </w:r>
      <w:r w:rsidR="00CB725B">
        <w:rPr>
          <w:color w:val="000000"/>
          <w:lang w:eastAsia="en-US"/>
        </w:rPr>
        <w:t xml:space="preserve">agree with </w:t>
      </w:r>
      <w:r w:rsidR="000D2001" w:rsidRPr="00431F8D">
        <w:rPr>
          <w:color w:val="000000"/>
          <w:lang w:eastAsia="en-US"/>
        </w:rPr>
        <w:t>the Judge's analysis of th</w:t>
      </w:r>
      <w:r w:rsidR="00CB725B">
        <w:rPr>
          <w:color w:val="000000"/>
          <w:lang w:eastAsia="en-US"/>
        </w:rPr>
        <w:t>is</w:t>
      </w:r>
      <w:r w:rsidR="000D2001" w:rsidRPr="00431F8D">
        <w:rPr>
          <w:color w:val="000000"/>
          <w:lang w:eastAsia="en-US"/>
        </w:rPr>
        <w:t xml:space="preserve"> issue</w:t>
      </w:r>
      <w:r w:rsidR="00CB725B">
        <w:rPr>
          <w:color w:val="000000"/>
          <w:lang w:eastAsia="en-US"/>
        </w:rPr>
        <w:t xml:space="preserve">. </w:t>
      </w:r>
    </w:p>
    <w:p w14:paraId="0770FAC8" w14:textId="77777777" w:rsidR="00142913" w:rsidRPr="00142913" w:rsidRDefault="00142913" w:rsidP="00142913">
      <w:pPr>
        <w:pStyle w:val="ListParagraph"/>
        <w:spacing w:line="480" w:lineRule="auto"/>
        <w:jc w:val="both"/>
      </w:pPr>
    </w:p>
    <w:p w14:paraId="1451887A" w14:textId="3253339D" w:rsidR="00142913" w:rsidRPr="00142913" w:rsidRDefault="004A5267" w:rsidP="000153C4">
      <w:pPr>
        <w:pStyle w:val="ListParagraph"/>
        <w:numPr>
          <w:ilvl w:val="0"/>
          <w:numId w:val="2"/>
        </w:numPr>
        <w:spacing w:line="480" w:lineRule="auto"/>
        <w:ind w:hanging="720"/>
        <w:jc w:val="both"/>
      </w:pPr>
      <w:r>
        <w:rPr>
          <w:color w:val="000000"/>
          <w:lang w:eastAsia="en-US"/>
        </w:rPr>
        <w:t xml:space="preserve">The Second Defendant relies on the view of the majority of the House of Lords in </w:t>
      </w:r>
      <w:r>
        <w:rPr>
          <w:i/>
          <w:color w:val="000000"/>
          <w:lang w:eastAsia="en-US"/>
        </w:rPr>
        <w:t>White</w:t>
      </w:r>
      <w:r w:rsidRPr="004A5267">
        <w:rPr>
          <w:i/>
          <w:color w:val="000000"/>
          <w:lang w:eastAsia="en-US"/>
        </w:rPr>
        <w:t xml:space="preserve"> v Chief Constable of South Yorkshire</w:t>
      </w:r>
      <w:r>
        <w:rPr>
          <w:i/>
          <w:color w:val="000000"/>
          <w:lang w:eastAsia="en-US"/>
        </w:rPr>
        <w:t xml:space="preserve"> </w:t>
      </w:r>
      <w:r>
        <w:rPr>
          <w:color w:val="000000"/>
          <w:lang w:eastAsia="en-US"/>
        </w:rPr>
        <w:t xml:space="preserve">[1999] 2 AC 455 </w:t>
      </w:r>
      <w:r w:rsidR="002A65E6">
        <w:rPr>
          <w:color w:val="000000"/>
          <w:lang w:eastAsia="en-US"/>
        </w:rPr>
        <w:t xml:space="preserve">(also known as </w:t>
      </w:r>
      <w:r w:rsidR="002A65E6">
        <w:rPr>
          <w:i/>
          <w:color w:val="000000"/>
          <w:lang w:eastAsia="en-US"/>
        </w:rPr>
        <w:t xml:space="preserve">Frost </w:t>
      </w:r>
      <w:r w:rsidR="002A65E6" w:rsidRPr="004A5267">
        <w:rPr>
          <w:i/>
          <w:color w:val="000000"/>
          <w:lang w:eastAsia="en-US"/>
        </w:rPr>
        <w:t xml:space="preserve"> v Chief Constable of South Yorkshire</w:t>
      </w:r>
      <w:r w:rsidR="002A65E6">
        <w:rPr>
          <w:i/>
          <w:color w:val="000000"/>
          <w:lang w:eastAsia="en-US"/>
        </w:rPr>
        <w:t xml:space="preserve">) </w:t>
      </w:r>
      <w:r>
        <w:rPr>
          <w:color w:val="000000"/>
          <w:lang w:eastAsia="en-US"/>
        </w:rPr>
        <w:t xml:space="preserve">that, for a rescuer to be regarded as a primary victim, it must be </w:t>
      </w:r>
      <w:r w:rsidR="00A932F5">
        <w:rPr>
          <w:color w:val="000000"/>
          <w:lang w:eastAsia="en-US"/>
        </w:rPr>
        <w:t>shown</w:t>
      </w:r>
      <w:r>
        <w:rPr>
          <w:color w:val="000000"/>
          <w:lang w:eastAsia="en-US"/>
        </w:rPr>
        <w:t xml:space="preserve"> that they were exposed to the risk of physical injury or reasonably believed themselves to have been </w:t>
      </w:r>
      <w:r w:rsidR="00A932F5">
        <w:rPr>
          <w:color w:val="000000"/>
          <w:lang w:eastAsia="en-US"/>
        </w:rPr>
        <w:t>so exposed (though, curiously, it</w:t>
      </w:r>
      <w:r w:rsidR="00142913">
        <w:rPr>
          <w:color w:val="000000"/>
          <w:lang w:eastAsia="en-US"/>
        </w:rPr>
        <w:t xml:space="preserve"> is </w:t>
      </w:r>
      <w:r w:rsidR="00142913" w:rsidRPr="00142913">
        <w:rPr>
          <w:i/>
          <w:color w:val="000000"/>
          <w:lang w:eastAsia="en-US"/>
        </w:rPr>
        <w:t>not</w:t>
      </w:r>
      <w:r w:rsidR="00142913">
        <w:rPr>
          <w:color w:val="000000"/>
          <w:lang w:eastAsia="en-US"/>
        </w:rPr>
        <w:t xml:space="preserve"> </w:t>
      </w:r>
      <w:r w:rsidR="00A932F5">
        <w:rPr>
          <w:color w:val="000000"/>
          <w:lang w:eastAsia="en-US"/>
        </w:rPr>
        <w:t xml:space="preserve">necessary to establish any causal connection between the rescuer’s perception of danger </w:t>
      </w:r>
      <w:r w:rsidR="00477F8C">
        <w:rPr>
          <w:color w:val="000000"/>
          <w:lang w:eastAsia="en-US"/>
        </w:rPr>
        <w:t>- if indeed they perceived any danger - a</w:t>
      </w:r>
      <w:r w:rsidR="00A932F5">
        <w:rPr>
          <w:color w:val="000000"/>
          <w:lang w:eastAsia="en-US"/>
        </w:rPr>
        <w:t>nd the psychiatric injury suffered by them</w:t>
      </w:r>
      <w:r w:rsidR="00477F8C">
        <w:rPr>
          <w:color w:val="000000"/>
          <w:lang w:eastAsia="en-US"/>
        </w:rPr>
        <w:t>).</w:t>
      </w:r>
      <w:r w:rsidR="00477F8C">
        <w:rPr>
          <w:rStyle w:val="FootnoteReference"/>
          <w:color w:val="000000"/>
          <w:lang w:eastAsia="en-US"/>
        </w:rPr>
        <w:footnoteReference w:id="1"/>
      </w:r>
    </w:p>
    <w:p w14:paraId="16ED5E2E" w14:textId="77777777" w:rsidR="00142913" w:rsidRPr="00142913" w:rsidRDefault="00142913" w:rsidP="00142913">
      <w:pPr>
        <w:pStyle w:val="ListParagraph"/>
        <w:spacing w:line="480" w:lineRule="auto"/>
        <w:jc w:val="both"/>
      </w:pPr>
    </w:p>
    <w:p w14:paraId="2B42C47B" w14:textId="77777777" w:rsidR="002A65E6" w:rsidRPr="002A65E6" w:rsidRDefault="00142913" w:rsidP="000153C4">
      <w:pPr>
        <w:pStyle w:val="ListParagraph"/>
        <w:numPr>
          <w:ilvl w:val="0"/>
          <w:numId w:val="2"/>
        </w:numPr>
        <w:spacing w:line="480" w:lineRule="auto"/>
        <w:ind w:hanging="720"/>
        <w:jc w:val="both"/>
      </w:pPr>
      <w:r>
        <w:rPr>
          <w:color w:val="000000"/>
          <w:lang w:eastAsia="en-US"/>
        </w:rPr>
        <w:t>Here the</w:t>
      </w:r>
      <w:r w:rsidR="00A932F5">
        <w:rPr>
          <w:color w:val="000000"/>
          <w:lang w:eastAsia="en-US"/>
        </w:rPr>
        <w:t xml:space="preserve"> Judge </w:t>
      </w:r>
      <w:r>
        <w:rPr>
          <w:color w:val="000000"/>
          <w:lang w:eastAsia="en-US"/>
        </w:rPr>
        <w:t xml:space="preserve">in fact </w:t>
      </w:r>
      <w:r w:rsidR="00A932F5">
        <w:rPr>
          <w:color w:val="000000"/>
          <w:lang w:eastAsia="en-US"/>
        </w:rPr>
        <w:t xml:space="preserve">found that Ms Sheehan exposed herself to danger in </w:t>
      </w:r>
      <w:proofErr w:type="gramStart"/>
      <w:r w:rsidR="00A932F5">
        <w:rPr>
          <w:color w:val="000000"/>
          <w:lang w:eastAsia="en-US"/>
        </w:rPr>
        <w:t>providing assistance</w:t>
      </w:r>
      <w:proofErr w:type="gramEnd"/>
      <w:r w:rsidR="00A932F5">
        <w:rPr>
          <w:color w:val="000000"/>
          <w:lang w:eastAsia="en-US"/>
        </w:rPr>
        <w:t xml:space="preserve"> at the scene of the crash on the dark roadway and that she came within the range of foreseeable physical injury in doing so (Judgment, para 65). </w:t>
      </w:r>
      <w:r w:rsidR="002A65E6">
        <w:rPr>
          <w:color w:val="000000"/>
          <w:lang w:eastAsia="en-US"/>
        </w:rPr>
        <w:t>Quite</w:t>
      </w:r>
      <w:r w:rsidR="00A932F5">
        <w:rPr>
          <w:color w:val="000000"/>
          <w:lang w:eastAsia="en-US"/>
        </w:rPr>
        <w:t xml:space="preserve"> apart from </w:t>
      </w:r>
      <w:r w:rsidR="00A932F5">
        <w:rPr>
          <w:color w:val="000000"/>
          <w:lang w:eastAsia="en-US"/>
        </w:rPr>
        <w:lastRenderedPageBreak/>
        <w:t xml:space="preserve">that finding, I would not </w:t>
      </w:r>
      <w:r w:rsidR="000153C4">
        <w:rPr>
          <w:color w:val="000000"/>
          <w:lang w:eastAsia="en-US"/>
        </w:rPr>
        <w:t xml:space="preserve">in any event </w:t>
      </w:r>
      <w:r w:rsidR="00A932F5">
        <w:rPr>
          <w:color w:val="000000"/>
          <w:lang w:eastAsia="en-US"/>
        </w:rPr>
        <w:t>be prepared to apply</w:t>
      </w:r>
      <w:r w:rsidR="000153C4">
        <w:rPr>
          <w:color w:val="000000"/>
          <w:lang w:eastAsia="en-US"/>
        </w:rPr>
        <w:t xml:space="preserve"> any such threshold requirement in the circumstances here. </w:t>
      </w:r>
    </w:p>
    <w:p w14:paraId="3B787E3F" w14:textId="77777777" w:rsidR="002A65E6" w:rsidRPr="002A65E6" w:rsidRDefault="002A65E6" w:rsidP="002A65E6">
      <w:pPr>
        <w:pStyle w:val="ListParagraph"/>
        <w:spacing w:line="480" w:lineRule="auto"/>
        <w:jc w:val="both"/>
      </w:pPr>
    </w:p>
    <w:p w14:paraId="18900F61" w14:textId="40291F65" w:rsidR="006E207E" w:rsidRPr="00CD3FC0" w:rsidRDefault="002A65E6" w:rsidP="006E207E">
      <w:pPr>
        <w:pStyle w:val="ListParagraph"/>
        <w:numPr>
          <w:ilvl w:val="0"/>
          <w:numId w:val="2"/>
        </w:numPr>
        <w:spacing w:line="480" w:lineRule="auto"/>
        <w:ind w:hanging="720"/>
        <w:jc w:val="both"/>
      </w:pPr>
      <w:r>
        <w:t xml:space="preserve">No such requirement appears to have been identified in the authorities prior to </w:t>
      </w:r>
      <w:r w:rsidRPr="002A65E6">
        <w:rPr>
          <w:i/>
        </w:rPr>
        <w:t>White</w:t>
      </w:r>
      <w:r w:rsidR="00C57F5C">
        <w:rPr>
          <w:i/>
        </w:rPr>
        <w:t xml:space="preserve">. </w:t>
      </w:r>
      <w:r w:rsidR="00C57F5C" w:rsidRPr="00C57F5C">
        <w:t>The decision</w:t>
      </w:r>
      <w:r w:rsidR="00C57F5C">
        <w:rPr>
          <w:i/>
        </w:rPr>
        <w:t xml:space="preserve"> </w:t>
      </w:r>
      <w:r>
        <w:t xml:space="preserve">of </w:t>
      </w:r>
      <w:r w:rsidR="00633834">
        <w:t>Waller J in</w:t>
      </w:r>
      <w:r w:rsidR="00633834" w:rsidRPr="00633834">
        <w:rPr>
          <w:i/>
        </w:rPr>
        <w:t xml:space="preserve"> </w:t>
      </w:r>
      <w:bookmarkStart w:id="1" w:name="_Hlk94275840"/>
      <w:r w:rsidR="00633834" w:rsidRPr="00633834">
        <w:rPr>
          <w:i/>
        </w:rPr>
        <w:t xml:space="preserve">Chadwick </w:t>
      </w:r>
      <w:bookmarkEnd w:id="1"/>
      <w:r w:rsidR="00633834" w:rsidRPr="00633834">
        <w:rPr>
          <w:i/>
        </w:rPr>
        <w:t>v British Railways Board</w:t>
      </w:r>
      <w:r w:rsidR="00633834">
        <w:t xml:space="preserve"> [1967] 1 WLR 912 </w:t>
      </w:r>
      <w:r w:rsidR="00C57F5C">
        <w:t xml:space="preserve">had </w:t>
      </w:r>
      <w:r w:rsidR="00633834">
        <w:t xml:space="preserve">long been </w:t>
      </w:r>
      <w:r w:rsidR="00C57F5C">
        <w:t>regarded as</w:t>
      </w:r>
      <w:r w:rsidR="00633834">
        <w:t xml:space="preserve"> </w:t>
      </w:r>
      <w:r w:rsidR="00C57F5C">
        <w:t>co</w:t>
      </w:r>
      <w:r w:rsidR="00633834">
        <w:t>rrectly stating the law in this are</w:t>
      </w:r>
      <w:r w:rsidR="00C57F5C">
        <w:t>a</w:t>
      </w:r>
      <w:r w:rsidR="00633834">
        <w:t>.</w:t>
      </w:r>
      <w:r w:rsidR="006E207E">
        <w:t xml:space="preserve"> There is no suggestion in </w:t>
      </w:r>
      <w:r w:rsidR="006E207E" w:rsidRPr="006E207E">
        <w:rPr>
          <w:i/>
        </w:rPr>
        <w:t>Chadwick</w:t>
      </w:r>
      <w:r w:rsidR="006E207E">
        <w:t xml:space="preserve"> that exposure to danger was a threshold requirement for recovery </w:t>
      </w:r>
      <w:r w:rsidR="006E207E" w:rsidRPr="006E207E">
        <w:rPr>
          <w:i/>
        </w:rPr>
        <w:t>qua</w:t>
      </w:r>
      <w:r w:rsidR="006E207E">
        <w:t xml:space="preserve"> rescuer. </w:t>
      </w:r>
      <w:r w:rsidR="00CC2A7D">
        <w:t xml:space="preserve">While Waller J noted that there was </w:t>
      </w:r>
      <w:r w:rsidR="00CC2A7D" w:rsidRPr="00F47D93">
        <w:rPr>
          <w:i/>
          <w:color w:val="000000" w:themeColor="text1"/>
        </w:rPr>
        <w:t>“</w:t>
      </w:r>
      <w:r w:rsidR="00CC2A7D" w:rsidRPr="00F47D93">
        <w:rPr>
          <w:i/>
          <w:color w:val="000000" w:themeColor="text1"/>
          <w:shd w:val="clear" w:color="auto" w:fill="FFFFFF"/>
        </w:rPr>
        <w:t>clearly an element of personal danger in what Mr. Chadwick was doing”</w:t>
      </w:r>
      <w:r w:rsidR="00CC2A7D" w:rsidRPr="00F47D93">
        <w:rPr>
          <w:rStyle w:val="FootnoteReference"/>
          <w:i/>
          <w:color w:val="000000" w:themeColor="text1"/>
          <w:shd w:val="clear" w:color="auto" w:fill="FFFFFF"/>
        </w:rPr>
        <w:footnoteReference w:id="2"/>
      </w:r>
      <w:r w:rsidR="00CC2A7D" w:rsidRPr="00F47D93">
        <w:rPr>
          <w:i/>
          <w:color w:val="000000" w:themeColor="text1"/>
          <w:shd w:val="clear" w:color="auto" w:fill="FFFFFF"/>
        </w:rPr>
        <w:t xml:space="preserve"> </w:t>
      </w:r>
      <w:r w:rsidR="00CC2A7D" w:rsidRPr="00CC2A7D">
        <w:rPr>
          <w:color w:val="333335"/>
          <w:shd w:val="clear" w:color="auto" w:fill="FFFFFF"/>
        </w:rPr>
        <w:t>that fact played no role in his analysis of liability</w:t>
      </w:r>
      <w:r w:rsidR="00CC2A7D" w:rsidRPr="00CC2A7D">
        <w:rPr>
          <w:rFonts w:ascii="Verdana" w:hAnsi="Verdana"/>
          <w:color w:val="333335"/>
          <w:sz w:val="18"/>
          <w:szCs w:val="18"/>
          <w:shd w:val="clear" w:color="auto" w:fill="FFFFFF"/>
        </w:rPr>
        <w:t>.</w:t>
      </w:r>
      <w:r w:rsidR="00CC2A7D">
        <w:rPr>
          <w:rFonts w:ascii="Verdana" w:hAnsi="Verdana"/>
          <w:color w:val="333335"/>
          <w:sz w:val="18"/>
          <w:szCs w:val="18"/>
          <w:shd w:val="clear" w:color="auto" w:fill="FFFFFF"/>
        </w:rPr>
        <w:t xml:space="preserve"> </w:t>
      </w:r>
      <w:r w:rsidR="00633834">
        <w:t xml:space="preserve">The </w:t>
      </w:r>
      <w:r w:rsidR="00C57F5C" w:rsidRPr="00C57F5C">
        <w:rPr>
          <w:i/>
        </w:rPr>
        <w:t>ex post facto</w:t>
      </w:r>
      <w:r w:rsidR="00C57F5C">
        <w:t xml:space="preserve"> rationalisation of </w:t>
      </w:r>
      <w:r w:rsidR="00C57F5C" w:rsidRPr="00633834">
        <w:rPr>
          <w:i/>
        </w:rPr>
        <w:t>Chadwick</w:t>
      </w:r>
      <w:r w:rsidR="00C57F5C">
        <w:rPr>
          <w:i/>
        </w:rPr>
        <w:t xml:space="preserve"> </w:t>
      </w:r>
      <w:r w:rsidR="00C57F5C">
        <w:t xml:space="preserve">adopted by Lord Steyn and Lord Hoffman in </w:t>
      </w:r>
      <w:r w:rsidR="00C57F5C" w:rsidRPr="00C57F5C">
        <w:rPr>
          <w:i/>
        </w:rPr>
        <w:t>White</w:t>
      </w:r>
      <w:r w:rsidR="00C57F5C">
        <w:t xml:space="preserve"> – that a duty of care </w:t>
      </w:r>
      <w:r w:rsidR="006E207E">
        <w:t xml:space="preserve">only </w:t>
      </w:r>
      <w:r w:rsidR="00C57F5C">
        <w:t xml:space="preserve">arose because </w:t>
      </w:r>
      <w:r w:rsidR="006E207E">
        <w:t>Mr Chadwick</w:t>
      </w:r>
      <w:r w:rsidR="00C57F5C">
        <w:t xml:space="preserve"> might have been injured by the collapse of a wrecked train carriage on him – </w:t>
      </w:r>
      <w:r w:rsidR="0064037F">
        <w:t>seems</w:t>
      </w:r>
      <w:r w:rsidR="00CD3FC0">
        <w:t xml:space="preserve"> wholly </w:t>
      </w:r>
      <w:r w:rsidR="00951FE3">
        <w:t>unconvincing</w:t>
      </w:r>
      <w:r w:rsidR="00CD3FC0">
        <w:t xml:space="preserve">, </w:t>
      </w:r>
      <w:r w:rsidR="00951FE3">
        <w:t xml:space="preserve">a device </w:t>
      </w:r>
      <w:r w:rsidR="006E207E">
        <w:t>cut from whole cloth</w:t>
      </w:r>
      <w:r w:rsidR="00CD3FC0">
        <w:t xml:space="preserve"> </w:t>
      </w:r>
      <w:r w:rsidR="0064037F">
        <w:t>so as</w:t>
      </w:r>
      <w:r w:rsidR="00CD3FC0">
        <w:t xml:space="preserve"> </w:t>
      </w:r>
      <w:r w:rsidR="000153C4" w:rsidRPr="006E207E">
        <w:rPr>
          <w:color w:val="000000"/>
          <w:lang w:eastAsia="en-US"/>
        </w:rPr>
        <w:t>to deny recovery to the plaintiffs in circumstances where it was considered that it would be “</w:t>
      </w:r>
      <w:r w:rsidR="000153C4" w:rsidRPr="006E207E">
        <w:rPr>
          <w:i/>
          <w:color w:val="000000"/>
          <w:lang w:eastAsia="en-US"/>
        </w:rPr>
        <w:t>unacceptable</w:t>
      </w:r>
      <w:r w:rsidR="000153C4" w:rsidRPr="006E207E">
        <w:rPr>
          <w:color w:val="000000"/>
          <w:lang w:eastAsia="en-US"/>
        </w:rPr>
        <w:t>” to the public if the police were allowed to recover “</w:t>
      </w:r>
      <w:r w:rsidR="000153C4" w:rsidRPr="006E207E">
        <w:rPr>
          <w:i/>
          <w:color w:val="000000"/>
          <w:lang w:eastAsia="en-US"/>
        </w:rPr>
        <w:t>while the bereaved relatives are sent away with nothing</w:t>
      </w:r>
      <w:r w:rsidR="000153C4" w:rsidRPr="006E207E">
        <w:rPr>
          <w:color w:val="000000"/>
          <w:lang w:eastAsia="en-US"/>
        </w:rPr>
        <w:t>” (</w:t>
      </w:r>
      <w:r w:rsidR="006E207E">
        <w:rPr>
          <w:color w:val="000000"/>
          <w:lang w:eastAsia="en-US"/>
        </w:rPr>
        <w:t xml:space="preserve">Lord Hoffman, </w:t>
      </w:r>
      <w:r w:rsidR="000153C4" w:rsidRPr="006E207E">
        <w:rPr>
          <w:color w:val="000000"/>
          <w:lang w:eastAsia="en-US"/>
        </w:rPr>
        <w:t xml:space="preserve">at 510D-H). </w:t>
      </w:r>
    </w:p>
    <w:p w14:paraId="69AAC391" w14:textId="77777777" w:rsidR="00C818A9" w:rsidRPr="00C818A9" w:rsidRDefault="00C818A9" w:rsidP="00C818A9">
      <w:pPr>
        <w:spacing w:line="480" w:lineRule="auto"/>
        <w:jc w:val="both"/>
      </w:pPr>
    </w:p>
    <w:p w14:paraId="571D8EE1" w14:textId="04A63BF0" w:rsidR="003C4DE6" w:rsidRDefault="0064037F" w:rsidP="0062187D">
      <w:pPr>
        <w:pStyle w:val="ListParagraph"/>
        <w:numPr>
          <w:ilvl w:val="0"/>
          <w:numId w:val="2"/>
        </w:numPr>
        <w:spacing w:line="480" w:lineRule="auto"/>
        <w:ind w:hanging="720"/>
        <w:jc w:val="both"/>
      </w:pPr>
      <w:r>
        <w:rPr>
          <w:color w:val="333335"/>
          <w:shd w:val="clear" w:color="auto" w:fill="FFFFFF"/>
        </w:rPr>
        <w:t>There may be an argument for imposing a higher threshold for recovery where the rescuer is a professional such a member of the Garda S</w:t>
      </w:r>
      <w:r w:rsidR="00F47D93">
        <w:rPr>
          <w:color w:val="333335"/>
          <w:shd w:val="clear" w:color="auto" w:fill="FFFFFF"/>
        </w:rPr>
        <w:t>í</w:t>
      </w:r>
      <w:r>
        <w:rPr>
          <w:color w:val="333335"/>
          <w:shd w:val="clear" w:color="auto" w:fill="FFFFFF"/>
        </w:rPr>
        <w:t xml:space="preserve">ochana or the Emergency Services. While the so-called </w:t>
      </w:r>
      <w:r w:rsidRPr="00F47D93">
        <w:rPr>
          <w:color w:val="000000" w:themeColor="text1"/>
          <w:shd w:val="clear" w:color="auto" w:fill="FFFFFF"/>
        </w:rPr>
        <w:t>“</w:t>
      </w:r>
      <w:r w:rsidRPr="00F47D93">
        <w:rPr>
          <w:i/>
          <w:color w:val="000000" w:themeColor="text1"/>
          <w:shd w:val="clear" w:color="auto" w:fill="FFFFFF"/>
        </w:rPr>
        <w:t>firemen’s rule</w:t>
      </w:r>
      <w:r w:rsidRPr="00F47D93">
        <w:rPr>
          <w:color w:val="000000" w:themeColor="text1"/>
          <w:shd w:val="clear" w:color="auto" w:fill="FFFFFF"/>
        </w:rPr>
        <w:t xml:space="preserve">” </w:t>
      </w:r>
      <w:r>
        <w:rPr>
          <w:color w:val="333335"/>
          <w:shd w:val="clear" w:color="auto" w:fill="FFFFFF"/>
        </w:rPr>
        <w:t xml:space="preserve">was rejected in </w:t>
      </w:r>
      <w:r w:rsidRPr="0064037F">
        <w:rPr>
          <w:rStyle w:val="Emphasis"/>
          <w:color w:val="000000" w:themeColor="text1"/>
          <w:bdr w:val="none" w:sz="0" w:space="0" w:color="auto" w:frame="1"/>
          <w:shd w:val="clear" w:color="auto" w:fill="FFFFFF"/>
        </w:rPr>
        <w:t>Ogwo v. Taylor</w:t>
      </w:r>
      <w:r w:rsidRPr="0064037F">
        <w:rPr>
          <w:color w:val="000000" w:themeColor="text1"/>
          <w:shd w:val="clear" w:color="auto" w:fill="FFFFFF"/>
        </w:rPr>
        <w:t> </w:t>
      </w:r>
      <w:hyperlink r:id="rId8" w:tgtFrame="_parent" w:history="1">
        <w:r w:rsidRPr="0064037F">
          <w:rPr>
            <w:rStyle w:val="Hyperlink"/>
            <w:rFonts w:eastAsiaTheme="majorEastAsia"/>
            <w:color w:val="000000" w:themeColor="text1"/>
            <w:u w:val="none"/>
            <w:bdr w:val="none" w:sz="0" w:space="0" w:color="auto" w:frame="1"/>
            <w:shd w:val="clear" w:color="auto" w:fill="FFFFFF"/>
          </w:rPr>
          <w:t>[1988] A.C. 431</w:t>
        </w:r>
      </w:hyperlink>
      <w:r>
        <w:rPr>
          <w:color w:val="000000" w:themeColor="text1"/>
          <w:shd w:val="clear" w:color="auto" w:fill="FFFFFF"/>
        </w:rPr>
        <w:t xml:space="preserve">, </w:t>
      </w:r>
      <w:r w:rsidR="003C4DE6">
        <w:rPr>
          <w:color w:val="000000" w:themeColor="text1"/>
          <w:shd w:val="clear" w:color="auto" w:fill="FFFFFF"/>
        </w:rPr>
        <w:t>where</w:t>
      </w:r>
      <w:r>
        <w:rPr>
          <w:color w:val="000000" w:themeColor="text1"/>
          <w:shd w:val="clear" w:color="auto" w:fill="FFFFFF"/>
        </w:rPr>
        <w:t xml:space="preserve"> </w:t>
      </w:r>
      <w:r w:rsidR="003C4DE6">
        <w:rPr>
          <w:color w:val="000000" w:themeColor="text1"/>
          <w:shd w:val="clear" w:color="auto" w:fill="FFFFFF"/>
        </w:rPr>
        <w:t>psychiatric injury is concerned such persons may, in practice, find it more difficult to satisfy the foreseeability requirement. As Lord Go</w:t>
      </w:r>
      <w:r w:rsidR="00F47D93">
        <w:rPr>
          <w:color w:val="000000" w:themeColor="text1"/>
          <w:shd w:val="clear" w:color="auto" w:fill="FFFFFF"/>
        </w:rPr>
        <w:t>f</w:t>
      </w:r>
      <w:r w:rsidR="003C4DE6">
        <w:rPr>
          <w:color w:val="000000" w:themeColor="text1"/>
          <w:shd w:val="clear" w:color="auto" w:fill="FFFFFF"/>
        </w:rPr>
        <w:t xml:space="preserve">f observed in his </w:t>
      </w:r>
      <w:r w:rsidR="00477F8C">
        <w:rPr>
          <w:color w:val="333335"/>
          <w:shd w:val="clear" w:color="auto" w:fill="FFFFFF"/>
        </w:rPr>
        <w:t xml:space="preserve"> </w:t>
      </w:r>
      <w:r w:rsidR="00477F8C">
        <w:rPr>
          <w:color w:val="333335"/>
          <w:shd w:val="clear" w:color="auto" w:fill="FFFFFF"/>
        </w:rPr>
        <w:lastRenderedPageBreak/>
        <w:t>d</w:t>
      </w:r>
      <w:r w:rsidR="00C818A9" w:rsidRPr="00C818A9">
        <w:rPr>
          <w:color w:val="333335"/>
          <w:shd w:val="clear" w:color="auto" w:fill="FFFFFF"/>
        </w:rPr>
        <w:t xml:space="preserve">issenting </w:t>
      </w:r>
      <w:r w:rsidR="00477F8C">
        <w:rPr>
          <w:color w:val="333335"/>
          <w:shd w:val="clear" w:color="auto" w:fill="FFFFFF"/>
        </w:rPr>
        <w:t xml:space="preserve">speech </w:t>
      </w:r>
      <w:r w:rsidR="00C818A9" w:rsidRPr="00C818A9">
        <w:rPr>
          <w:color w:val="333335"/>
          <w:shd w:val="clear" w:color="auto" w:fill="FFFFFF"/>
        </w:rPr>
        <w:t xml:space="preserve">in </w:t>
      </w:r>
      <w:r w:rsidR="00C818A9" w:rsidRPr="00C818A9">
        <w:rPr>
          <w:i/>
          <w:color w:val="333335"/>
          <w:shd w:val="clear" w:color="auto" w:fill="FFFFFF"/>
        </w:rPr>
        <w:t>White</w:t>
      </w:r>
      <w:r w:rsidR="00C818A9" w:rsidRPr="00C818A9">
        <w:rPr>
          <w:color w:val="333335"/>
          <w:shd w:val="clear" w:color="auto" w:fill="FFFFFF"/>
        </w:rPr>
        <w:t xml:space="preserve">, </w:t>
      </w:r>
      <w:r w:rsidR="00477F8C">
        <w:rPr>
          <w:color w:val="333335"/>
          <w:shd w:val="clear" w:color="auto" w:fill="FFFFFF"/>
        </w:rPr>
        <w:t>(at 471</w:t>
      </w:r>
      <w:r w:rsidR="003C4DE6">
        <w:rPr>
          <w:color w:val="333335"/>
          <w:shd w:val="clear" w:color="auto" w:fill="FFFFFF"/>
        </w:rPr>
        <w:t>D-E</w:t>
      </w:r>
      <w:r w:rsidR="00477F8C">
        <w:rPr>
          <w:color w:val="333335"/>
          <w:shd w:val="clear" w:color="auto" w:fill="FFFFFF"/>
        </w:rPr>
        <w:t xml:space="preserve">) it </w:t>
      </w:r>
      <w:r w:rsidR="00F47D93">
        <w:rPr>
          <w:color w:val="333335"/>
          <w:shd w:val="clear" w:color="auto" w:fill="FFFFFF"/>
        </w:rPr>
        <w:t>i</w:t>
      </w:r>
      <w:r w:rsidR="00477F8C">
        <w:rPr>
          <w:color w:val="333335"/>
          <w:shd w:val="clear" w:color="auto" w:fill="FFFFFF"/>
        </w:rPr>
        <w:t xml:space="preserve">s </w:t>
      </w:r>
      <w:r w:rsidR="00477F8C" w:rsidRPr="00477F8C">
        <w:rPr>
          <w:i/>
          <w:color w:val="000000" w:themeColor="text1"/>
          <w:shd w:val="clear" w:color="auto" w:fill="FFFFFF"/>
        </w:rPr>
        <w:t>“</w:t>
      </w:r>
      <w:r w:rsidR="00C818A9" w:rsidRPr="00477F8C">
        <w:rPr>
          <w:i/>
          <w:color w:val="000000" w:themeColor="text1"/>
          <w:shd w:val="clear" w:color="auto" w:fill="FFFFFF"/>
        </w:rPr>
        <w:t>generally accepted that, in considering whether psychiatric injury suffered by a plaintiff is reasonably foreseeable, it is legitimate to take into account the fact that the plaintiff is a person, such as for example a policeman, who may by reason of his training and experience be expected to have more resilience in the face of tragic events in which he is involved, or which he witnesses, than an ordinary member of the public possesses who does not have the same background</w:t>
      </w:r>
      <w:r w:rsidR="00C818A9" w:rsidRPr="00477F8C">
        <w:rPr>
          <w:color w:val="000000" w:themeColor="text1"/>
          <w:shd w:val="clear" w:color="auto" w:fill="FFFFFF"/>
        </w:rPr>
        <w:t>.</w:t>
      </w:r>
      <w:r w:rsidR="00477F8C" w:rsidRPr="00477F8C">
        <w:rPr>
          <w:color w:val="000000" w:themeColor="text1"/>
          <w:shd w:val="clear" w:color="auto" w:fill="FFFFFF"/>
        </w:rPr>
        <w:t>”</w:t>
      </w:r>
      <w:r w:rsidR="00C818A9" w:rsidRPr="00477F8C">
        <w:rPr>
          <w:color w:val="000000" w:themeColor="text1"/>
          <w:shd w:val="clear" w:color="auto" w:fill="FFFFFF"/>
        </w:rPr>
        <w:t xml:space="preserve"> </w:t>
      </w:r>
      <w:r w:rsidR="00C818A9" w:rsidRPr="00C818A9">
        <w:rPr>
          <w:color w:val="333335"/>
          <w:shd w:val="clear" w:color="auto" w:fill="FFFFFF"/>
        </w:rPr>
        <w:t>Th</w:t>
      </w:r>
      <w:r w:rsidR="00477F8C">
        <w:rPr>
          <w:color w:val="333335"/>
          <w:shd w:val="clear" w:color="auto" w:fill="FFFFFF"/>
        </w:rPr>
        <w:t xml:space="preserve">at no doubt is so. But </w:t>
      </w:r>
      <w:r w:rsidR="000153C4">
        <w:t xml:space="preserve">Ms Sheehan was not </w:t>
      </w:r>
      <w:r w:rsidR="000C7258">
        <w:t xml:space="preserve">such </w:t>
      </w:r>
      <w:r w:rsidR="000153C4">
        <w:t xml:space="preserve">a </w:t>
      </w:r>
      <w:r w:rsidR="00477F8C">
        <w:t>person</w:t>
      </w:r>
      <w:r w:rsidR="000153C4">
        <w:t xml:space="preserve">. She did not go to </w:t>
      </w:r>
      <w:r w:rsidR="000C7258">
        <w:t xml:space="preserve">the </w:t>
      </w:r>
      <w:r w:rsidR="00CD3FC0">
        <w:t xml:space="preserve">Deceased’s </w:t>
      </w:r>
      <w:r w:rsidR="000C7258">
        <w:t xml:space="preserve">aid because it was her job to do so. She </w:t>
      </w:r>
      <w:r w:rsidR="00331DDA">
        <w:t xml:space="preserve">did not have </w:t>
      </w:r>
      <w:r w:rsidR="000C7258">
        <w:t>the benefit of the training</w:t>
      </w:r>
      <w:r w:rsidR="00331DDA">
        <w:t xml:space="preserve"> and support</w:t>
      </w:r>
      <w:r w:rsidR="000C7258">
        <w:t xml:space="preserve"> that such professionals </w:t>
      </w:r>
      <w:r w:rsidR="00331DDA">
        <w:t xml:space="preserve">presumably </w:t>
      </w:r>
      <w:r w:rsidR="000C7258">
        <w:t xml:space="preserve">receive in </w:t>
      </w:r>
      <w:r w:rsidR="00331DDA">
        <w:t>coping</w:t>
      </w:r>
      <w:r w:rsidR="000C7258">
        <w:t xml:space="preserve"> with trauma</w:t>
      </w:r>
      <w:r w:rsidR="00331DDA">
        <w:t xml:space="preserve">. </w:t>
      </w:r>
      <w:r w:rsidR="003C4DE6">
        <w:t>She was an ordinary member of the public from whom the law demanded “</w:t>
      </w:r>
      <w:r w:rsidR="003C4DE6" w:rsidRPr="003C4DE6">
        <w:rPr>
          <w:i/>
        </w:rPr>
        <w:t>normal fortitude</w:t>
      </w:r>
      <w:r w:rsidR="003C4DE6">
        <w:t>” and no more</w:t>
      </w:r>
      <w:r w:rsidR="00476325">
        <w:t>.</w:t>
      </w:r>
    </w:p>
    <w:p w14:paraId="23FF3B96" w14:textId="77777777" w:rsidR="003C4DE6" w:rsidRDefault="003C4DE6" w:rsidP="003C4DE6">
      <w:pPr>
        <w:pStyle w:val="ListParagraph"/>
        <w:spacing w:line="480" w:lineRule="auto"/>
        <w:jc w:val="both"/>
      </w:pPr>
    </w:p>
    <w:p w14:paraId="119DA7E9" w14:textId="78561C48" w:rsidR="0062187D" w:rsidRPr="003C4DE6" w:rsidRDefault="00700E78" w:rsidP="0062187D">
      <w:pPr>
        <w:pStyle w:val="ListParagraph"/>
        <w:numPr>
          <w:ilvl w:val="0"/>
          <w:numId w:val="2"/>
        </w:numPr>
        <w:spacing w:line="480" w:lineRule="auto"/>
        <w:ind w:hanging="720"/>
        <w:jc w:val="both"/>
      </w:pPr>
      <w:r>
        <w:rPr>
          <w:color w:val="000000"/>
          <w:lang w:eastAsia="en-US"/>
        </w:rPr>
        <w:t xml:space="preserve">While the scene that confronted Ms Sheehan here clearly did not compare with the scene that had confronted Mr Chadwick, the Judge was entitled to take the view that the circumstances were such that </w:t>
      </w:r>
      <w:r w:rsidR="0062187D">
        <w:rPr>
          <w:color w:val="000000"/>
          <w:lang w:eastAsia="en-US"/>
        </w:rPr>
        <w:t xml:space="preserve">personal injury to Ms Sheehan in the form of </w:t>
      </w:r>
      <w:r>
        <w:rPr>
          <w:color w:val="000000"/>
          <w:lang w:eastAsia="en-US"/>
        </w:rPr>
        <w:t xml:space="preserve">psychiatric injury </w:t>
      </w:r>
      <w:r w:rsidR="0062187D">
        <w:rPr>
          <w:color w:val="000000"/>
          <w:lang w:eastAsia="en-US"/>
        </w:rPr>
        <w:t>was reasonably foreseeable</w:t>
      </w:r>
      <w:r w:rsidR="003C4DE6">
        <w:rPr>
          <w:color w:val="000000"/>
          <w:lang w:eastAsia="en-US"/>
        </w:rPr>
        <w:t>. On that basis she was entitled to succeed in her claim and, e</w:t>
      </w:r>
      <w:r w:rsidR="000C7258" w:rsidRPr="006E207E">
        <w:rPr>
          <w:color w:val="000000"/>
          <w:lang w:eastAsia="en-US"/>
        </w:rPr>
        <w:t xml:space="preserve">ven if </w:t>
      </w:r>
      <w:r w:rsidR="0062187D">
        <w:rPr>
          <w:color w:val="000000"/>
          <w:lang w:eastAsia="en-US"/>
        </w:rPr>
        <w:t>Ms Sheehan</w:t>
      </w:r>
      <w:r w:rsidR="000C7258" w:rsidRPr="006E207E">
        <w:rPr>
          <w:color w:val="000000"/>
          <w:lang w:eastAsia="en-US"/>
        </w:rPr>
        <w:t xml:space="preserve"> had not been in danger of physical injury (as the Judge found she was) </w:t>
      </w:r>
      <w:r w:rsidR="0062187D">
        <w:rPr>
          <w:color w:val="000000"/>
          <w:lang w:eastAsia="en-US"/>
        </w:rPr>
        <w:t xml:space="preserve">that </w:t>
      </w:r>
      <w:r w:rsidR="003C4DE6">
        <w:rPr>
          <w:color w:val="000000"/>
          <w:lang w:eastAsia="en-US"/>
        </w:rPr>
        <w:t xml:space="preserve">would </w:t>
      </w:r>
      <w:r w:rsidR="0062187D">
        <w:rPr>
          <w:color w:val="000000"/>
          <w:lang w:eastAsia="en-US"/>
        </w:rPr>
        <w:t xml:space="preserve">not be a </w:t>
      </w:r>
      <w:r w:rsidR="003C4DE6">
        <w:rPr>
          <w:color w:val="000000"/>
          <w:lang w:eastAsia="en-US"/>
        </w:rPr>
        <w:t>ground</w:t>
      </w:r>
      <w:r w:rsidR="0062187D">
        <w:rPr>
          <w:color w:val="000000"/>
          <w:lang w:eastAsia="en-US"/>
        </w:rPr>
        <w:t xml:space="preserve"> for </w:t>
      </w:r>
      <w:r w:rsidR="000C7258" w:rsidRPr="006E207E">
        <w:rPr>
          <w:color w:val="000000"/>
          <w:lang w:eastAsia="en-US"/>
        </w:rPr>
        <w:t>exclud</w:t>
      </w:r>
      <w:r w:rsidR="0062187D">
        <w:rPr>
          <w:color w:val="000000"/>
          <w:lang w:eastAsia="en-US"/>
        </w:rPr>
        <w:t>ing</w:t>
      </w:r>
      <w:r w:rsidR="000C7258" w:rsidRPr="006E207E">
        <w:rPr>
          <w:color w:val="000000"/>
          <w:lang w:eastAsia="en-US"/>
        </w:rPr>
        <w:t xml:space="preserve"> recovery </w:t>
      </w:r>
      <w:r w:rsidR="0062187D">
        <w:rPr>
          <w:color w:val="000000"/>
          <w:lang w:eastAsia="en-US"/>
        </w:rPr>
        <w:t>here in my view</w:t>
      </w:r>
      <w:r w:rsidR="000C7258" w:rsidRPr="006E207E">
        <w:rPr>
          <w:color w:val="000000"/>
          <w:lang w:eastAsia="en-US"/>
        </w:rPr>
        <w:t>.</w:t>
      </w:r>
    </w:p>
    <w:p w14:paraId="683F54E2" w14:textId="77777777" w:rsidR="003C4DE6" w:rsidRPr="0062187D" w:rsidRDefault="003C4DE6" w:rsidP="003C4DE6">
      <w:pPr>
        <w:pStyle w:val="ListParagraph"/>
        <w:spacing w:line="480" w:lineRule="auto"/>
        <w:jc w:val="both"/>
      </w:pPr>
    </w:p>
    <w:p w14:paraId="60A847A1" w14:textId="77777777" w:rsidR="000D2001" w:rsidRPr="000471BA" w:rsidRDefault="0062187D" w:rsidP="0062187D">
      <w:pPr>
        <w:pStyle w:val="ListParagraph"/>
        <w:numPr>
          <w:ilvl w:val="0"/>
          <w:numId w:val="2"/>
        </w:numPr>
        <w:spacing w:line="480" w:lineRule="auto"/>
        <w:ind w:hanging="720"/>
        <w:jc w:val="both"/>
      </w:pPr>
      <w:r w:rsidRPr="0062187D">
        <w:rPr>
          <w:color w:val="000000"/>
          <w:lang w:eastAsia="en-US"/>
        </w:rPr>
        <w:t>Finally, I come to the argument a</w:t>
      </w:r>
      <w:r>
        <w:rPr>
          <w:color w:val="000000"/>
          <w:lang w:eastAsia="en-US"/>
        </w:rPr>
        <w:t>d</w:t>
      </w:r>
      <w:r w:rsidRPr="0062187D">
        <w:rPr>
          <w:color w:val="000000"/>
          <w:lang w:eastAsia="en-US"/>
        </w:rPr>
        <w:t xml:space="preserve">vanced by </w:t>
      </w:r>
      <w:r>
        <w:rPr>
          <w:color w:val="000000"/>
          <w:lang w:eastAsia="en-US"/>
        </w:rPr>
        <w:t xml:space="preserve">the Second Defendant in reliance on </w:t>
      </w:r>
      <w:bookmarkStart w:id="2" w:name="_Hlk94344527"/>
      <w:bookmarkStart w:id="3" w:name="_Hlk94344519"/>
      <w:r w:rsidRPr="0062187D">
        <w:rPr>
          <w:i/>
          <w:iCs/>
          <w:color w:val="000000"/>
          <w:lang w:eastAsia="en-US"/>
        </w:rPr>
        <w:t>Gr</w:t>
      </w:r>
      <w:r w:rsidR="000D2001" w:rsidRPr="0062187D">
        <w:rPr>
          <w:i/>
          <w:iCs/>
          <w:color w:val="000000"/>
          <w:lang w:eastAsia="en-US"/>
        </w:rPr>
        <w:t>eatorex</w:t>
      </w:r>
      <w:r w:rsidRPr="0062187D">
        <w:rPr>
          <w:i/>
          <w:iCs/>
          <w:color w:val="000000"/>
          <w:lang w:eastAsia="en-US"/>
        </w:rPr>
        <w:t xml:space="preserve"> </w:t>
      </w:r>
      <w:bookmarkEnd w:id="2"/>
      <w:r w:rsidRPr="0062187D">
        <w:rPr>
          <w:i/>
          <w:iCs/>
          <w:color w:val="000000"/>
          <w:lang w:eastAsia="en-US"/>
        </w:rPr>
        <w:t xml:space="preserve">v Greatorex </w:t>
      </w:r>
      <w:bookmarkEnd w:id="3"/>
      <w:r w:rsidRPr="0062187D">
        <w:rPr>
          <w:color w:val="000000"/>
          <w:lang w:eastAsia="en-US"/>
        </w:rPr>
        <w:t xml:space="preserve">[2000] 1 WLR 1970. </w:t>
      </w:r>
      <w:r w:rsidR="00CB4CC2">
        <w:rPr>
          <w:color w:val="000000"/>
          <w:lang w:eastAsia="en-US"/>
        </w:rPr>
        <w:t xml:space="preserve">I agree with Noonan J that </w:t>
      </w:r>
      <w:r w:rsidR="00476325">
        <w:rPr>
          <w:color w:val="000000"/>
          <w:lang w:eastAsia="en-US"/>
        </w:rPr>
        <w:t xml:space="preserve">it does not assist the Second Defendant’s case. </w:t>
      </w:r>
      <w:r w:rsidR="00CB5B89">
        <w:rPr>
          <w:color w:val="000000"/>
          <w:lang w:eastAsia="en-US"/>
        </w:rPr>
        <w:t xml:space="preserve">It involved a number of preliminary issues to be decided on agreed facts. The essential issue was whether a victim of self-inflicted </w:t>
      </w:r>
      <w:r w:rsidR="00CB5B89">
        <w:rPr>
          <w:color w:val="000000"/>
          <w:lang w:eastAsia="en-US"/>
        </w:rPr>
        <w:lastRenderedPageBreak/>
        <w:t xml:space="preserve">injuries owes a duty of care to a third party not to cause him psychiatric injury (1971H). </w:t>
      </w:r>
      <w:r w:rsidR="00476325">
        <w:rPr>
          <w:color w:val="000000"/>
          <w:lang w:eastAsia="en-US"/>
        </w:rPr>
        <w:t xml:space="preserve">The facts </w:t>
      </w:r>
      <w:r w:rsidR="00476325" w:rsidRPr="00476325">
        <w:rPr>
          <w:iCs/>
          <w:color w:val="000000"/>
          <w:lang w:eastAsia="en-US"/>
        </w:rPr>
        <w:t>were</w:t>
      </w:r>
      <w:r w:rsidR="00476325">
        <w:rPr>
          <w:i/>
          <w:iCs/>
          <w:color w:val="000000"/>
          <w:lang w:eastAsia="en-US"/>
        </w:rPr>
        <w:t xml:space="preserve"> </w:t>
      </w:r>
      <w:r w:rsidR="00476325">
        <w:rPr>
          <w:color w:val="000000"/>
          <w:lang w:eastAsia="en-US"/>
        </w:rPr>
        <w:t>singular. The plaintiff (the father of the first defendant) was a fireman. In that capacity he attended at the scene of a road traffic accident involving a vehicle driven by his son</w:t>
      </w:r>
      <w:r w:rsidR="00DE56BB">
        <w:rPr>
          <w:color w:val="000000"/>
          <w:lang w:eastAsia="en-US"/>
        </w:rPr>
        <w:t xml:space="preserve"> (the first defendant) </w:t>
      </w:r>
      <w:r w:rsidR="00B36D8A">
        <w:rPr>
          <w:color w:val="000000"/>
          <w:lang w:eastAsia="en-US"/>
        </w:rPr>
        <w:t>whose negligent driving had caused the accident</w:t>
      </w:r>
      <w:r w:rsidR="00DE56BB">
        <w:rPr>
          <w:color w:val="000000"/>
          <w:lang w:eastAsia="en-US"/>
        </w:rPr>
        <w:t xml:space="preserve"> (and who was subsequently convicted of </w:t>
      </w:r>
      <w:r w:rsidR="00C90376">
        <w:rPr>
          <w:color w:val="000000"/>
          <w:lang w:eastAsia="en-US"/>
        </w:rPr>
        <w:t xml:space="preserve">careless driving, driving without </w:t>
      </w:r>
      <w:proofErr w:type="gramStart"/>
      <w:r w:rsidR="00C90376">
        <w:rPr>
          <w:color w:val="000000"/>
          <w:lang w:eastAsia="en-US"/>
        </w:rPr>
        <w:t>insurance</w:t>
      </w:r>
      <w:proofErr w:type="gramEnd"/>
      <w:r w:rsidR="00C90376">
        <w:rPr>
          <w:color w:val="000000"/>
          <w:lang w:eastAsia="en-US"/>
        </w:rPr>
        <w:t xml:space="preserve"> and failing to provide a specimen).</w:t>
      </w:r>
      <w:r w:rsidR="00B36D8A">
        <w:rPr>
          <w:color w:val="000000"/>
          <w:lang w:eastAsia="en-US"/>
        </w:rPr>
        <w:t xml:space="preserve"> </w:t>
      </w:r>
      <w:r w:rsidR="000471BA">
        <w:rPr>
          <w:color w:val="000000"/>
          <w:lang w:eastAsia="en-US"/>
        </w:rPr>
        <w:t>The father “</w:t>
      </w:r>
      <w:r w:rsidR="002E572E">
        <w:rPr>
          <w:i/>
          <w:color w:val="000000"/>
          <w:lang w:eastAsia="en-US"/>
        </w:rPr>
        <w:t>wa</w:t>
      </w:r>
      <w:r w:rsidR="000471BA" w:rsidRPr="000471BA">
        <w:rPr>
          <w:i/>
          <w:color w:val="000000"/>
          <w:lang w:eastAsia="en-US"/>
        </w:rPr>
        <w:t>s nowhere near the scene of the accident when it happened</w:t>
      </w:r>
      <w:r w:rsidR="000471BA">
        <w:rPr>
          <w:color w:val="000000"/>
          <w:lang w:eastAsia="en-US"/>
        </w:rPr>
        <w:t xml:space="preserve">.”  </w:t>
      </w:r>
      <w:r w:rsidR="00B36D8A">
        <w:rPr>
          <w:color w:val="000000"/>
          <w:lang w:eastAsia="en-US"/>
        </w:rPr>
        <w:t>The son received a head injury and was unconscious for about an hour</w:t>
      </w:r>
      <w:r w:rsidR="000471BA">
        <w:rPr>
          <w:color w:val="000000"/>
          <w:lang w:eastAsia="en-US"/>
        </w:rPr>
        <w:t xml:space="preserve">. He was initially trapped inside his vehicle. The father attended to his son and was later diagnosed with long term severe PTSD. </w:t>
      </w:r>
      <w:r w:rsidR="00DE56BB">
        <w:rPr>
          <w:color w:val="000000"/>
          <w:lang w:eastAsia="en-US"/>
        </w:rPr>
        <w:t xml:space="preserve">The father sued his son and the Motor Insurers’ Bureau was subsequently joined as a co-defendant </w:t>
      </w:r>
      <w:r w:rsidR="002E572E">
        <w:rPr>
          <w:color w:val="000000"/>
          <w:lang w:eastAsia="en-US"/>
        </w:rPr>
        <w:t>in circumstances where the son was uninsured.</w:t>
      </w:r>
    </w:p>
    <w:p w14:paraId="32D0CA0D" w14:textId="77777777" w:rsidR="000471BA" w:rsidRPr="000471BA" w:rsidRDefault="000471BA" w:rsidP="000471BA">
      <w:pPr>
        <w:pStyle w:val="ListParagraph"/>
        <w:spacing w:line="480" w:lineRule="auto"/>
        <w:jc w:val="both"/>
      </w:pPr>
    </w:p>
    <w:p w14:paraId="0EE4110B" w14:textId="77777777" w:rsidR="000471BA" w:rsidRDefault="000471BA" w:rsidP="0062187D">
      <w:pPr>
        <w:pStyle w:val="ListParagraph"/>
        <w:numPr>
          <w:ilvl w:val="0"/>
          <w:numId w:val="2"/>
        </w:numPr>
        <w:spacing w:line="480" w:lineRule="auto"/>
        <w:ind w:hanging="720"/>
        <w:jc w:val="both"/>
      </w:pPr>
      <w:r>
        <w:t xml:space="preserve">The father </w:t>
      </w:r>
      <w:r w:rsidR="001126BF">
        <w:t xml:space="preserve">advanced a number of grounds as to why he should recover, all premised on an acceptance that he was a secondary victim only. He </w:t>
      </w:r>
      <w:r>
        <w:t xml:space="preserve">argued that he was entitled to recover as a rescuer. Cazalet J rejected that argument on the basis that it was accepted that he was never in any physical danger nor in fear of such danger and that it followed from </w:t>
      </w:r>
      <w:r w:rsidRPr="000471BA">
        <w:rPr>
          <w:i/>
        </w:rPr>
        <w:t>White</w:t>
      </w:r>
      <w:r>
        <w:t xml:space="preserve"> that </w:t>
      </w:r>
      <w:r w:rsidR="00EC6F5E">
        <w:t xml:space="preserve">his claim </w:t>
      </w:r>
      <w:r w:rsidR="00EC6F5E" w:rsidRPr="00EC6F5E">
        <w:rPr>
          <w:i/>
        </w:rPr>
        <w:t>qua</w:t>
      </w:r>
      <w:r w:rsidR="00EC6F5E">
        <w:t xml:space="preserve"> rescuer must fail</w:t>
      </w:r>
      <w:r>
        <w:t xml:space="preserve"> (1976D).</w:t>
      </w:r>
      <w:r w:rsidR="00EC6F5E">
        <w:t xml:space="preserve"> </w:t>
      </w:r>
      <w:r w:rsidR="00D40953">
        <w:t xml:space="preserve">Even if he were to follow the minority view in </w:t>
      </w:r>
      <w:r w:rsidR="00D40953" w:rsidRPr="00D40953">
        <w:rPr>
          <w:i/>
        </w:rPr>
        <w:t>White</w:t>
      </w:r>
      <w:r w:rsidR="00D40953">
        <w:t xml:space="preserve">, the judge stated that on the agreed facts the father would not have been entitled to recover damages. Although the accident involved a potentially serious injury to the son, the circumstances in which the rescuers involved in the aftermath of the accident </w:t>
      </w:r>
      <w:r w:rsidR="00D40953" w:rsidRPr="00D40953">
        <w:rPr>
          <w:i/>
        </w:rPr>
        <w:t>“in no way approached the horror of the circumstances in which the rescuers found themselves in the Lewisham train disaster or the Hillsborough football stadium disaster</w:t>
      </w:r>
      <w:r w:rsidR="00D40953">
        <w:t xml:space="preserve">.” (1976E-F). Though </w:t>
      </w:r>
      <w:r w:rsidR="00E62BE8">
        <w:t>not</w:t>
      </w:r>
      <w:r w:rsidR="00D40953">
        <w:t xml:space="preserve"> s</w:t>
      </w:r>
      <w:r w:rsidR="00E62BE8">
        <w:t>aid</w:t>
      </w:r>
      <w:r w:rsidR="00D40953">
        <w:t xml:space="preserve"> expressly, </w:t>
      </w:r>
      <w:r w:rsidR="00E62BE8">
        <w:t xml:space="preserve">I take this to mean </w:t>
      </w:r>
      <w:r w:rsidR="00E62BE8">
        <w:lastRenderedPageBreak/>
        <w:t>that the judge considered that psychiatric injury was not reasonably foreseeable on the particular facts.</w:t>
      </w:r>
    </w:p>
    <w:p w14:paraId="5E6E8EF0" w14:textId="77777777" w:rsidR="001126BF" w:rsidRDefault="001126BF" w:rsidP="001126BF">
      <w:pPr>
        <w:pStyle w:val="ListParagraph"/>
        <w:spacing w:line="480" w:lineRule="auto"/>
        <w:jc w:val="both"/>
      </w:pPr>
    </w:p>
    <w:p w14:paraId="526E7304" w14:textId="77777777" w:rsidR="001126BF" w:rsidRDefault="001126BF" w:rsidP="0062187D">
      <w:pPr>
        <w:pStyle w:val="ListParagraph"/>
        <w:numPr>
          <w:ilvl w:val="0"/>
          <w:numId w:val="2"/>
        </w:numPr>
        <w:spacing w:line="480" w:lineRule="auto"/>
        <w:ind w:hanging="720"/>
        <w:jc w:val="both"/>
      </w:pPr>
      <w:r>
        <w:t xml:space="preserve">The plaintiff also argued that he was entitled to recover </w:t>
      </w:r>
      <w:r w:rsidRPr="001126BF">
        <w:rPr>
          <w:i/>
        </w:rPr>
        <w:t>qua</w:t>
      </w:r>
      <w:r>
        <w:t xml:space="preserve"> father on the basis that he satisfied all of the control mechanisms applicable to claims by secondary victims identified in </w:t>
      </w:r>
      <w:r w:rsidRPr="001126BF">
        <w:rPr>
          <w:i/>
        </w:rPr>
        <w:t>Alcock</w:t>
      </w:r>
      <w:r>
        <w:t xml:space="preserve"> and </w:t>
      </w:r>
      <w:r w:rsidRPr="001126BF">
        <w:rPr>
          <w:i/>
        </w:rPr>
        <w:t>White</w:t>
      </w:r>
      <w:r>
        <w:rPr>
          <w:i/>
        </w:rPr>
        <w:t xml:space="preserve">. </w:t>
      </w:r>
      <w:r>
        <w:t>Caz</w:t>
      </w:r>
      <w:r w:rsidR="000F6DA6">
        <w:t>a</w:t>
      </w:r>
      <w:r>
        <w:t>let J agreed that he did</w:t>
      </w:r>
      <w:r w:rsidR="00CB5B89">
        <w:t xml:space="preserve">. He then </w:t>
      </w:r>
      <w:r>
        <w:t xml:space="preserve">proceeded to </w:t>
      </w:r>
      <w:r w:rsidR="00CB5B89">
        <w:t xml:space="preserve">address the issue </w:t>
      </w:r>
      <w:proofErr w:type="gramStart"/>
      <w:r w:rsidR="00CB5B89">
        <w:t xml:space="preserve">of </w:t>
      </w:r>
      <w:r>
        <w:t xml:space="preserve"> whet</w:t>
      </w:r>
      <w:r w:rsidR="006975F9">
        <w:t>her</w:t>
      </w:r>
      <w:proofErr w:type="gramEnd"/>
      <w:r w:rsidR="006975F9">
        <w:t xml:space="preserve"> </w:t>
      </w:r>
      <w:r w:rsidR="00CB5B89">
        <w:t>a</w:t>
      </w:r>
      <w:r w:rsidR="006975F9" w:rsidRPr="00CB5B89">
        <w:t xml:space="preserve"> victim of self-inflicted injuries owes a duty of care to a third party not to cause him psychiatric injury.</w:t>
      </w:r>
      <w:r w:rsidR="00CB5B89">
        <w:t xml:space="preserve"> </w:t>
      </w:r>
      <w:r w:rsidR="006975F9">
        <w:t xml:space="preserve">Having referred to a number of authorities, including </w:t>
      </w:r>
      <w:r w:rsidR="006975F9" w:rsidRPr="006975F9">
        <w:rPr>
          <w:i/>
        </w:rPr>
        <w:t>Alcock</w:t>
      </w:r>
      <w:r w:rsidR="006975F9">
        <w:t xml:space="preserve">, </w:t>
      </w:r>
      <w:r w:rsidR="006975F9" w:rsidRPr="006975F9">
        <w:rPr>
          <w:i/>
        </w:rPr>
        <w:t>Jaensch v Coffey</w:t>
      </w:r>
      <w:r w:rsidR="006975F9">
        <w:t xml:space="preserve"> (1984) 155 CLR 549 (a decision of the High Court of Australia) and a number of other Australian decisions at state level, </w:t>
      </w:r>
      <w:r w:rsidR="000F6DA6">
        <w:t>Cazalet</w:t>
      </w:r>
      <w:r w:rsidR="006975F9">
        <w:t xml:space="preserve"> J thought that it appeared that “</w:t>
      </w:r>
      <w:r w:rsidR="006975F9" w:rsidRPr="006975F9">
        <w:rPr>
          <w:i/>
        </w:rPr>
        <w:t>the preponderance of opinion</w:t>
      </w:r>
      <w:r w:rsidR="006975F9">
        <w:t xml:space="preserve">” was unfavourable to the concept of a victim of self-inflicted injuries owing a duty of care to a third party not to cause him psychiatric harm in consequence of those injuries, there was no decision on the point binding on the court. It therefore had to reach its own conclusion </w:t>
      </w:r>
      <w:proofErr w:type="gramStart"/>
      <w:r w:rsidR="006975F9">
        <w:t>and in that context</w:t>
      </w:r>
      <w:proofErr w:type="gramEnd"/>
      <w:r w:rsidR="006975F9">
        <w:t xml:space="preserve"> “</w:t>
      </w:r>
      <w:r w:rsidR="006975F9" w:rsidRPr="006975F9">
        <w:rPr>
          <w:i/>
        </w:rPr>
        <w:t>policy considerations come into play</w:t>
      </w:r>
      <w:r w:rsidR="006975F9">
        <w:t>” (1984A-B).</w:t>
      </w:r>
    </w:p>
    <w:p w14:paraId="723F3485" w14:textId="77777777" w:rsidR="00CB5B89" w:rsidRDefault="00CB5B89" w:rsidP="00CB5B89">
      <w:pPr>
        <w:pStyle w:val="ListParagraph"/>
        <w:spacing w:line="480" w:lineRule="auto"/>
        <w:jc w:val="both"/>
      </w:pPr>
    </w:p>
    <w:p w14:paraId="7DCECADF" w14:textId="77777777" w:rsidR="00CB5B89" w:rsidRDefault="00CB5B89" w:rsidP="0062187D">
      <w:pPr>
        <w:pStyle w:val="ListParagraph"/>
        <w:numPr>
          <w:ilvl w:val="0"/>
          <w:numId w:val="2"/>
        </w:numPr>
        <w:spacing w:line="480" w:lineRule="auto"/>
        <w:ind w:hanging="720"/>
        <w:jc w:val="both"/>
      </w:pPr>
      <w:r>
        <w:t>The first such consideration identified by the judge was that “</w:t>
      </w:r>
      <w:r w:rsidRPr="00C21F32">
        <w:rPr>
          <w:i/>
          <w:color w:val="000000" w:themeColor="text1"/>
        </w:rPr>
        <w:t>it will normally only be in cases where close family ties exist between the primary and secondary victim that the particular issue with which this case is concerned will arise</w:t>
      </w:r>
      <w:r w:rsidRPr="00CB5B89">
        <w:rPr>
          <w:i/>
        </w:rPr>
        <w:t>.”</w:t>
      </w:r>
      <w:r>
        <w:rPr>
          <w:i/>
        </w:rPr>
        <w:t xml:space="preserve"> </w:t>
      </w:r>
      <w:r>
        <w:t>That of course is not the case here</w:t>
      </w:r>
      <w:r w:rsidR="001C0477">
        <w:t xml:space="preserve">. </w:t>
      </w:r>
    </w:p>
    <w:p w14:paraId="0149D742" w14:textId="77777777" w:rsidR="001C0477" w:rsidRDefault="001C0477" w:rsidP="001C0477">
      <w:pPr>
        <w:pStyle w:val="ListParagraph"/>
        <w:spacing w:line="480" w:lineRule="auto"/>
        <w:jc w:val="both"/>
      </w:pPr>
    </w:p>
    <w:p w14:paraId="08D3B767" w14:textId="77777777" w:rsidR="001C0477" w:rsidRPr="00A5683E" w:rsidRDefault="001C0477" w:rsidP="0062187D">
      <w:pPr>
        <w:pStyle w:val="ListParagraph"/>
        <w:numPr>
          <w:ilvl w:val="0"/>
          <w:numId w:val="2"/>
        </w:numPr>
        <w:spacing w:line="480" w:lineRule="auto"/>
        <w:ind w:hanging="720"/>
        <w:jc w:val="both"/>
      </w:pPr>
      <w:r>
        <w:t>The judge next referred to the issue of self-determination, referring to a decision of the German Bundesgerichtshof</w:t>
      </w:r>
      <w:r w:rsidR="00C21F32">
        <w:t xml:space="preserve"> (</w:t>
      </w:r>
      <w:r w:rsidR="00C0365F">
        <w:t xml:space="preserve">the Federal </w:t>
      </w:r>
      <w:r w:rsidR="00C126E4">
        <w:t>Court of Justice</w:t>
      </w:r>
      <w:r w:rsidR="00C21F32">
        <w:t xml:space="preserve">) </w:t>
      </w:r>
      <w:r>
        <w:t xml:space="preserve">of 11 May 1971, </w:t>
      </w:r>
      <w:r w:rsidRPr="001C0477">
        <w:rPr>
          <w:i/>
        </w:rPr>
        <w:t>IS Hu w. Ha</w:t>
      </w:r>
      <w:r>
        <w:t xml:space="preserve">, a translated extract from which had been produced to the court. </w:t>
      </w:r>
      <w:r w:rsidR="00A5683E">
        <w:t xml:space="preserve">The German court </w:t>
      </w:r>
      <w:r w:rsidR="00A5683E">
        <w:lastRenderedPageBreak/>
        <w:t xml:space="preserve">considered that </w:t>
      </w:r>
      <w:r w:rsidR="00A5683E" w:rsidRPr="00A5683E">
        <w:rPr>
          <w:i/>
        </w:rPr>
        <w:t>“</w:t>
      </w:r>
      <w:r w:rsidR="00A5683E" w:rsidRPr="00C21F32">
        <w:rPr>
          <w:i/>
          <w:color w:val="000000" w:themeColor="text1"/>
        </w:rPr>
        <w:t>a person is under no legal duty, whatever the moral position may be, to look after his own life and limb simply in order to save his dependants from the likely psychical (sic) effects on them if he is killed or maimed</w:t>
      </w:r>
      <w:r w:rsidR="00A5683E">
        <w:t xml:space="preserve">” as to impose such a duty, other than in exceptional cases, </w:t>
      </w:r>
      <w:r w:rsidR="00A5683E" w:rsidRPr="00A5683E">
        <w:rPr>
          <w:i/>
        </w:rPr>
        <w:t>“would be to restrict a person’s self-determination in a manner inconsistent with our legal system.”</w:t>
      </w:r>
    </w:p>
    <w:p w14:paraId="3D2F9547" w14:textId="77777777" w:rsidR="00A5683E" w:rsidRPr="00A5683E" w:rsidRDefault="00A5683E" w:rsidP="00A5683E">
      <w:pPr>
        <w:pStyle w:val="ListParagraph"/>
        <w:spacing w:line="480" w:lineRule="auto"/>
        <w:jc w:val="both"/>
      </w:pPr>
    </w:p>
    <w:p w14:paraId="657EA63C" w14:textId="77777777" w:rsidR="008964B6" w:rsidRDefault="00A5683E" w:rsidP="008964B6">
      <w:pPr>
        <w:pStyle w:val="ListParagraph"/>
        <w:numPr>
          <w:ilvl w:val="0"/>
          <w:numId w:val="2"/>
        </w:numPr>
        <w:spacing w:line="480" w:lineRule="auto"/>
        <w:ind w:hanging="720"/>
        <w:jc w:val="both"/>
      </w:pPr>
      <w:r>
        <w:t xml:space="preserve">The decision in </w:t>
      </w:r>
      <w:bookmarkStart w:id="4" w:name="_Hlk94360578"/>
      <w:r w:rsidRPr="00A5683E">
        <w:rPr>
          <w:i/>
        </w:rPr>
        <w:t>IS Hu w. Ha</w:t>
      </w:r>
      <w:r>
        <w:t xml:space="preserve"> </w:t>
      </w:r>
      <w:bookmarkEnd w:id="4"/>
      <w:r>
        <w:t xml:space="preserve">was not provided to the Court. </w:t>
      </w:r>
      <w:r w:rsidR="009746D4">
        <w:t xml:space="preserve">However, it is discussed in some detail </w:t>
      </w:r>
      <w:r w:rsidR="00264D97">
        <w:t>in</w:t>
      </w:r>
      <w:r w:rsidR="009746D4">
        <w:t xml:space="preserve"> </w:t>
      </w:r>
      <w:bookmarkStart w:id="5" w:name="_Hlk94348090"/>
      <w:r w:rsidR="009746D4">
        <w:t>Markesinis</w:t>
      </w:r>
      <w:bookmarkEnd w:id="5"/>
      <w:r w:rsidR="009746D4">
        <w:t>, “</w:t>
      </w:r>
      <w:r w:rsidR="009746D4" w:rsidRPr="00264D97">
        <w:rPr>
          <w:i/>
        </w:rPr>
        <w:t>Foreign law inspiring national law. Lessons from Greatorex v Greatorex</w:t>
      </w:r>
      <w:r w:rsidR="00264D97" w:rsidRPr="00264D97">
        <w:rPr>
          <w:i/>
        </w:rPr>
        <w:t>”</w:t>
      </w:r>
      <w:r w:rsidR="009746D4" w:rsidRPr="00264D97">
        <w:rPr>
          <w:i/>
        </w:rPr>
        <w:t xml:space="preserve"> </w:t>
      </w:r>
      <w:r w:rsidR="009746D4">
        <w:t xml:space="preserve">(2002) </w:t>
      </w:r>
      <w:r w:rsidR="00264D97">
        <w:t xml:space="preserve">61 CLJ 386. It </w:t>
      </w:r>
      <w:r>
        <w:t xml:space="preserve">involved a claim for damages </w:t>
      </w:r>
      <w:r w:rsidR="00C0365F">
        <w:t xml:space="preserve">for psychiatric injury suffered by a wife when she was told of her husband’s death in a road traffic accident. </w:t>
      </w:r>
      <w:r w:rsidR="00A800BF">
        <w:t xml:space="preserve">It does not appear that she witnessed the accident or attended the scene of it afterwards. </w:t>
      </w:r>
      <w:r w:rsidR="00C0365F">
        <w:t>The accident was cause</w:t>
      </w:r>
      <w:r w:rsidR="005D7C51">
        <w:t>d</w:t>
      </w:r>
      <w:r w:rsidR="00C0365F">
        <w:t xml:space="preserve"> in part by the fault of the husband and in part </w:t>
      </w:r>
      <w:r w:rsidR="00C126E4">
        <w:t xml:space="preserve">by the fault of the other driver. Under German law, </w:t>
      </w:r>
      <w:r w:rsidR="009746D4">
        <w:t xml:space="preserve">in </w:t>
      </w:r>
      <w:r w:rsidR="00C126E4">
        <w:t xml:space="preserve">any </w:t>
      </w:r>
      <w:r w:rsidR="009746D4">
        <w:t xml:space="preserve">fatal accident </w:t>
      </w:r>
      <w:r w:rsidR="00C126E4">
        <w:t xml:space="preserve">claim by the wife </w:t>
      </w:r>
      <w:r w:rsidR="00C126E4" w:rsidRPr="00C126E4">
        <w:rPr>
          <w:i/>
        </w:rPr>
        <w:t>qua</w:t>
      </w:r>
      <w:r w:rsidR="00C126E4">
        <w:t xml:space="preserve"> dependant (the equivalent of a claim under Part IV of the Civil Liability Act 1961</w:t>
      </w:r>
      <w:r w:rsidR="005D7C51">
        <w:t xml:space="preserve"> here</w:t>
      </w:r>
      <w:r w:rsidR="00C126E4">
        <w:t>)</w:t>
      </w:r>
      <w:r w:rsidR="009746D4">
        <w:t xml:space="preserve">, the claim would have been reduced by reference to the contributory fault of her husband (as is also the case under the 1961 Act: section 35(1)(b)). While the claim made by her was not </w:t>
      </w:r>
      <w:r w:rsidR="009746D4" w:rsidRPr="009746D4">
        <w:rPr>
          <w:i/>
        </w:rPr>
        <w:t>qua</w:t>
      </w:r>
      <w:r w:rsidR="009746D4">
        <w:t xml:space="preserve"> dependant, but a </w:t>
      </w:r>
      <w:proofErr w:type="gramStart"/>
      <w:r w:rsidR="009746D4">
        <w:t>claim  in</w:t>
      </w:r>
      <w:proofErr w:type="gramEnd"/>
      <w:r w:rsidR="009746D4">
        <w:t xml:space="preserve"> her </w:t>
      </w:r>
      <w:r w:rsidR="0075702A">
        <w:t xml:space="preserve">own </w:t>
      </w:r>
      <w:r w:rsidR="009746D4">
        <w:t xml:space="preserve">right, the court considered that her damages should nonetheless be reduced in proportion to the husband’s fault. It did </w:t>
      </w:r>
      <w:r w:rsidR="005D7C51">
        <w:t>so in reliance on section 242 BGB (German Civil Code) which imposes a general obligation of good faith. In the court’s view, given that the wife’s claim was founded on her close personal relationship to her husband “</w:t>
      </w:r>
      <w:r w:rsidR="005D7C51" w:rsidRPr="005D7C51">
        <w:rPr>
          <w:i/>
        </w:rPr>
        <w:t>it was thus only fair that her claim should be affected by his fault in contributing to the accident.”</w:t>
      </w:r>
      <w:r w:rsidR="005D7C51">
        <w:rPr>
          <w:i/>
        </w:rPr>
        <w:t xml:space="preserve"> </w:t>
      </w:r>
      <w:r w:rsidR="005D7C51">
        <w:t xml:space="preserve">According to Markesinis (who was the author of the textbook </w:t>
      </w:r>
      <w:r w:rsidR="00F133DF">
        <w:t xml:space="preserve">on German law </w:t>
      </w:r>
      <w:r w:rsidR="005D7C51">
        <w:t xml:space="preserve">referred </w:t>
      </w:r>
      <w:r w:rsidR="00F133DF">
        <w:lastRenderedPageBreak/>
        <w:t xml:space="preserve">to </w:t>
      </w:r>
      <w:r w:rsidR="005D7C51">
        <w:t xml:space="preserve">in </w:t>
      </w:r>
      <w:r w:rsidR="005D7C51" w:rsidRPr="005D7C51">
        <w:rPr>
          <w:i/>
        </w:rPr>
        <w:t>Greatorex</w:t>
      </w:r>
      <w:r w:rsidR="005D7C51">
        <w:t>) the passage relied</w:t>
      </w:r>
      <w:r w:rsidR="00F97520">
        <w:t xml:space="preserve"> </w:t>
      </w:r>
      <w:r w:rsidR="00F133DF">
        <w:t xml:space="preserve">on by </w:t>
      </w:r>
      <w:r w:rsidR="000F6DA6">
        <w:t>Cazalet</w:t>
      </w:r>
      <w:r w:rsidR="00F133DF">
        <w:t xml:space="preserve"> J was effectively an </w:t>
      </w:r>
      <w:r w:rsidR="00F133DF" w:rsidRPr="00F133DF">
        <w:rPr>
          <w:i/>
        </w:rPr>
        <w:t>obiter dictum</w:t>
      </w:r>
      <w:r w:rsidR="00F133DF">
        <w:t xml:space="preserve"> intended to reinforce the essential reasoning of the court.</w:t>
      </w:r>
    </w:p>
    <w:p w14:paraId="46BC416F" w14:textId="77777777" w:rsidR="008964B6" w:rsidRDefault="008964B6" w:rsidP="008964B6">
      <w:pPr>
        <w:pStyle w:val="ListParagraph"/>
        <w:spacing w:line="480" w:lineRule="auto"/>
        <w:jc w:val="both"/>
      </w:pPr>
    </w:p>
    <w:p w14:paraId="3F271FE8" w14:textId="77777777" w:rsidR="008964B6" w:rsidRDefault="009377A2" w:rsidP="00691AE8">
      <w:pPr>
        <w:pStyle w:val="ListParagraph"/>
        <w:numPr>
          <w:ilvl w:val="0"/>
          <w:numId w:val="2"/>
        </w:numPr>
        <w:spacing w:line="480" w:lineRule="auto"/>
        <w:ind w:hanging="720"/>
        <w:jc w:val="both"/>
      </w:pPr>
      <w:r>
        <w:t xml:space="preserve">This analysis </w:t>
      </w:r>
      <w:r w:rsidR="00DE56BB">
        <w:t xml:space="preserve">appears to indicate </w:t>
      </w:r>
      <w:r>
        <w:t xml:space="preserve">that the principle of self-determination did not play </w:t>
      </w:r>
      <w:r w:rsidR="00DE56BB">
        <w:t xml:space="preserve">as decisive a role </w:t>
      </w:r>
      <w:r>
        <w:t xml:space="preserve">in </w:t>
      </w:r>
      <w:r w:rsidRPr="00A5683E">
        <w:rPr>
          <w:i/>
        </w:rPr>
        <w:t>IS Hu w. Ha</w:t>
      </w:r>
      <w:r>
        <w:rPr>
          <w:i/>
        </w:rPr>
        <w:t xml:space="preserve"> </w:t>
      </w:r>
      <w:r w:rsidR="00DE56BB">
        <w:t xml:space="preserve">as the discussion in </w:t>
      </w:r>
      <w:r w:rsidR="00DE56BB" w:rsidRPr="00DE56BB">
        <w:rPr>
          <w:i/>
        </w:rPr>
        <w:t>Greatorex</w:t>
      </w:r>
      <w:r w:rsidR="00DE56BB">
        <w:t xml:space="preserve"> might suggest. In </w:t>
      </w:r>
      <w:r w:rsidR="002E572E">
        <w:t xml:space="preserve">any event, counsel for the Motor Insurers’ Bureau relied on the decision to argue that imposing liability for psychiatric harm caused to another through acts of self-harm </w:t>
      </w:r>
      <w:r w:rsidR="002E572E" w:rsidRPr="00691AE8">
        <w:rPr>
          <w:i/>
        </w:rPr>
        <w:t>“would be to curtail the right of self-determination and the liberty of the individual”.</w:t>
      </w:r>
      <w:r w:rsidR="002E572E">
        <w:t xml:space="preserve">  Acknowledging that there was a duty not to cause foreseeable physical injury to another in such circumstances, the judge thought that </w:t>
      </w:r>
      <w:r w:rsidR="002E572E" w:rsidRPr="00691AE8">
        <w:rPr>
          <w:i/>
        </w:rPr>
        <w:t xml:space="preserve">“to extend that duty so as to bring it within its compass purely psychiatric injury </w:t>
      </w:r>
      <w:r w:rsidR="008E1786" w:rsidRPr="00691AE8">
        <w:rPr>
          <w:i/>
        </w:rPr>
        <w:t>would indeed be to create a significant further limitation upon an individual’s freedom of action</w:t>
      </w:r>
      <w:r w:rsidR="008E1786">
        <w:t>” and that appeared to him to be “</w:t>
      </w:r>
      <w:r w:rsidR="008E1786" w:rsidRPr="00691AE8">
        <w:rPr>
          <w:i/>
        </w:rPr>
        <w:t>a powerful objection</w:t>
      </w:r>
      <w:r w:rsidR="008E1786">
        <w:t>” to the imposition of any such duty (1984G-h)</w:t>
      </w:r>
      <w:r w:rsidR="00691AE8">
        <w:t>.</w:t>
      </w:r>
    </w:p>
    <w:p w14:paraId="5AFFE64A" w14:textId="77777777" w:rsidR="00691AE8" w:rsidRDefault="00691AE8" w:rsidP="00691AE8">
      <w:pPr>
        <w:pStyle w:val="ListParagraph"/>
        <w:spacing w:line="480" w:lineRule="auto"/>
        <w:jc w:val="both"/>
      </w:pPr>
    </w:p>
    <w:p w14:paraId="26328B03" w14:textId="77777777" w:rsidR="000D2001" w:rsidRDefault="005763D7" w:rsidP="000D2001">
      <w:pPr>
        <w:pStyle w:val="ListParagraph"/>
        <w:numPr>
          <w:ilvl w:val="0"/>
          <w:numId w:val="2"/>
        </w:numPr>
        <w:spacing w:line="480" w:lineRule="auto"/>
        <w:ind w:hanging="720"/>
        <w:jc w:val="both"/>
      </w:pPr>
      <w:r>
        <w:t xml:space="preserve">I confess that I do not find this analysis at all </w:t>
      </w:r>
      <w:proofErr w:type="gramStart"/>
      <w:r>
        <w:t>persuasive</w:t>
      </w:r>
      <w:proofErr w:type="gramEnd"/>
      <w:r>
        <w:t xml:space="preserve">. It </w:t>
      </w:r>
      <w:r w:rsidR="001868D1">
        <w:t xml:space="preserve">appears to me to </w:t>
      </w:r>
      <w:r>
        <w:t xml:space="preserve">border on the fanciful to </w:t>
      </w:r>
      <w:r w:rsidR="00E65220">
        <w:t>suggest that</w:t>
      </w:r>
      <w:r>
        <w:t xml:space="preserve"> </w:t>
      </w:r>
      <w:r w:rsidR="00E65220">
        <w:t xml:space="preserve">the Deceased’s actions in causing the crash here – his </w:t>
      </w:r>
      <w:r>
        <w:t xml:space="preserve">negligent driving </w:t>
      </w:r>
      <w:r w:rsidR="00E65220">
        <w:t>- ought properly to be understood as</w:t>
      </w:r>
      <w:r>
        <w:t xml:space="preserve"> an exercise in self-determination</w:t>
      </w:r>
      <w:r w:rsidR="00E65220">
        <w:t xml:space="preserve"> or personal autonomy. </w:t>
      </w:r>
      <w:r w:rsidR="00186B52">
        <w:t>More significantly</w:t>
      </w:r>
      <w:r w:rsidR="00E65220">
        <w:t xml:space="preserve">, it is not at all clear why, even if so regarded, that should trump Ms Sheehan’s right to compensation for the injury </w:t>
      </w:r>
      <w:r w:rsidR="00522B4E">
        <w:t xml:space="preserve">that those actions caused to her </w:t>
      </w:r>
      <w:r w:rsidR="00E65220">
        <w:t xml:space="preserve">(assuming that she </w:t>
      </w:r>
      <w:r w:rsidR="0055368D">
        <w:t xml:space="preserve">would </w:t>
      </w:r>
      <w:r w:rsidR="00E65220">
        <w:t xml:space="preserve">otherwise </w:t>
      </w:r>
      <w:r w:rsidR="0055368D">
        <w:t>have</w:t>
      </w:r>
      <w:r w:rsidR="00E65220">
        <w:t xml:space="preserve"> such a right</w:t>
      </w:r>
      <w:r w:rsidR="00E474FA">
        <w:t xml:space="preserve">, as here she does </w:t>
      </w:r>
      <w:proofErr w:type="gramStart"/>
      <w:r w:rsidR="00E474FA">
        <w:t>given</w:t>
      </w:r>
      <w:proofErr w:type="gramEnd"/>
      <w:r w:rsidR="00E474FA">
        <w:t xml:space="preserve"> that she was an immediate victim of the accident</w:t>
      </w:r>
      <w:r w:rsidR="00E65220">
        <w:t xml:space="preserve">). </w:t>
      </w:r>
      <w:r w:rsidR="0055368D">
        <w:t xml:space="preserve">To the extent that there is a conflict between the right of Ms Sheehan to </w:t>
      </w:r>
      <w:r w:rsidR="00186B52">
        <w:t>obtain c</w:t>
      </w:r>
      <w:r w:rsidR="0055368D">
        <w:t xml:space="preserve">ompensation </w:t>
      </w:r>
      <w:r w:rsidR="00186B52">
        <w:t xml:space="preserve">for her injury </w:t>
      </w:r>
      <w:r w:rsidR="0055368D">
        <w:t xml:space="preserve">and the Deceased’s right of self-determination and freedom of action, the former must prevail. Considerations of self-determination and personal autonomy are not a basis for </w:t>
      </w:r>
      <w:r w:rsidR="0055368D">
        <w:lastRenderedPageBreak/>
        <w:t xml:space="preserve">excluding liability where physical damage is concerned. That the injury here was psychiatric rather than physical does not, in my view, provide a principled or satisfactory basis for excluding recovery </w:t>
      </w:r>
      <w:r w:rsidR="00386F76">
        <w:t>in the circumstances here</w:t>
      </w:r>
      <w:r w:rsidR="0055368D">
        <w:t xml:space="preserve">. </w:t>
      </w:r>
      <w:r w:rsidR="00CF34ED">
        <w:t xml:space="preserve">Perhaps there </w:t>
      </w:r>
      <w:r w:rsidR="00792624">
        <w:t xml:space="preserve">are good policy reasons for drawing a </w:t>
      </w:r>
      <w:r w:rsidR="00CF34ED">
        <w:t xml:space="preserve">hard and fast </w:t>
      </w:r>
      <w:r w:rsidR="00792624">
        <w:t xml:space="preserve">distinction between physical and psychiatric injury in this context but the right to self-determination </w:t>
      </w:r>
      <w:r w:rsidR="00CF34ED">
        <w:t xml:space="preserve">of drivers </w:t>
      </w:r>
      <w:r w:rsidR="00BD10A4">
        <w:t>does not supply one in my view.</w:t>
      </w:r>
    </w:p>
    <w:p w14:paraId="7C0BBBAB" w14:textId="77777777" w:rsidR="00386F76" w:rsidRDefault="00386F76" w:rsidP="00386F76">
      <w:pPr>
        <w:pStyle w:val="ListParagraph"/>
        <w:spacing w:line="480" w:lineRule="auto"/>
        <w:jc w:val="both"/>
      </w:pPr>
    </w:p>
    <w:p w14:paraId="692B7732" w14:textId="77777777" w:rsidR="00386F76" w:rsidRDefault="00386F76" w:rsidP="000D2001">
      <w:pPr>
        <w:pStyle w:val="ListParagraph"/>
        <w:numPr>
          <w:ilvl w:val="0"/>
          <w:numId w:val="2"/>
        </w:numPr>
        <w:spacing w:line="480" w:lineRule="auto"/>
        <w:ind w:hanging="720"/>
        <w:jc w:val="both"/>
      </w:pPr>
      <w:r>
        <w:t xml:space="preserve">Cazalet J next considered a related point which he considered to be of some importance, namely that to allow a cause of action in the circumstances presented would be to open up the possibility </w:t>
      </w:r>
      <w:r w:rsidR="00792624">
        <w:t>of</w:t>
      </w:r>
      <w:r>
        <w:t xml:space="preserve"> a particularly undesirable type of litigation </w:t>
      </w:r>
      <w:r w:rsidR="00792624">
        <w:t>within the family, involving questions of relative fault between family members</w:t>
      </w:r>
      <w:r w:rsidR="00CF34ED">
        <w:t xml:space="preserve"> (</w:t>
      </w:r>
      <w:r w:rsidR="00792624">
        <w:t>1985E-F</w:t>
      </w:r>
      <w:r w:rsidR="00CF34ED">
        <w:t>)</w:t>
      </w:r>
      <w:r w:rsidR="00792624">
        <w:t xml:space="preserve"> </w:t>
      </w:r>
      <w:r w:rsidR="00CF34ED">
        <w:t>and “</w:t>
      </w:r>
      <w:r w:rsidR="00CF34ED" w:rsidRPr="00CF34ED">
        <w:rPr>
          <w:i/>
        </w:rPr>
        <w:t>would be potentially productive of acute family strife</w:t>
      </w:r>
      <w:r w:rsidR="00CF34ED">
        <w:t xml:space="preserve">” (1986A). </w:t>
      </w:r>
      <w:r w:rsidR="00792624">
        <w:t>It is not necessary to consider this aspect of the judge’s analysis because it has no application here given that Ms Sheehan and the Deceased were unrelated.</w:t>
      </w:r>
      <w:r w:rsidR="00CF34ED">
        <w:t xml:space="preserve"> </w:t>
      </w:r>
    </w:p>
    <w:p w14:paraId="43889E8B" w14:textId="77777777" w:rsidR="00CF34ED" w:rsidRDefault="00CF34ED" w:rsidP="00CF34ED">
      <w:pPr>
        <w:pStyle w:val="ListParagraph"/>
        <w:spacing w:line="480" w:lineRule="auto"/>
        <w:jc w:val="both"/>
      </w:pPr>
    </w:p>
    <w:p w14:paraId="6B370B1E" w14:textId="77777777" w:rsidR="003154EC" w:rsidRPr="00E02CB5" w:rsidRDefault="00A839C1" w:rsidP="009D5BD9">
      <w:pPr>
        <w:pStyle w:val="ListParagraph"/>
        <w:numPr>
          <w:ilvl w:val="0"/>
          <w:numId w:val="2"/>
        </w:numPr>
        <w:spacing w:line="480" w:lineRule="auto"/>
        <w:ind w:hanging="720"/>
        <w:jc w:val="both"/>
      </w:pPr>
      <w:r>
        <w:t>As the</w:t>
      </w:r>
      <w:r w:rsidR="00BD10A4">
        <w:t xml:space="preserve"> High Court</w:t>
      </w:r>
      <w:r>
        <w:t xml:space="preserve"> Judge noted, </w:t>
      </w:r>
      <w:r w:rsidR="00E474FA">
        <w:t>the issues that arose i</w:t>
      </w:r>
      <w:r>
        <w:t xml:space="preserve">n </w:t>
      </w:r>
      <w:r w:rsidRPr="00A839C1">
        <w:rPr>
          <w:i/>
        </w:rPr>
        <w:t>Greatorex</w:t>
      </w:r>
      <w:r>
        <w:t xml:space="preserve"> have </w:t>
      </w:r>
      <w:r w:rsidR="00E474FA">
        <w:t xml:space="preserve">also </w:t>
      </w:r>
      <w:r>
        <w:t xml:space="preserve">been considered in Australia. </w:t>
      </w:r>
      <w:r w:rsidR="00E474FA">
        <w:t>In</w:t>
      </w:r>
      <w:r w:rsidR="00F63E0E">
        <w:t xml:space="preserve"> </w:t>
      </w:r>
      <w:r w:rsidR="00F63E0E" w:rsidRPr="00F63E0E">
        <w:rPr>
          <w:i/>
        </w:rPr>
        <w:t>FAI General Insurance Co Ltd v Lucre</w:t>
      </w:r>
      <w:r w:rsidR="00F63E0E">
        <w:t xml:space="preserve"> [2000] NSWCA </w:t>
      </w:r>
      <w:r w:rsidR="00435696">
        <w:t>346, (2000) 50 NSWLR 261</w:t>
      </w:r>
      <w:r w:rsidR="00E474FA">
        <w:t>, the New South Wales Court of Appeal</w:t>
      </w:r>
      <w:r w:rsidR="00186B52" w:rsidRPr="00186B52">
        <w:rPr>
          <w:color w:val="333333"/>
          <w:sz w:val="26"/>
          <w:szCs w:val="26"/>
          <w:shd w:val="clear" w:color="auto" w:fill="FFFFFF"/>
        </w:rPr>
        <w:t xml:space="preserve"> </w:t>
      </w:r>
      <w:r w:rsidR="00186B52" w:rsidRPr="009D5BD9">
        <w:rPr>
          <w:color w:val="333333"/>
          <w:shd w:val="clear" w:color="auto" w:fill="FFFFFF"/>
        </w:rPr>
        <w:t>(pe</w:t>
      </w:r>
      <w:r w:rsidR="009D5BD9">
        <w:rPr>
          <w:color w:val="333333"/>
          <w:shd w:val="clear" w:color="auto" w:fill="FFFFFF"/>
        </w:rPr>
        <w:t>r Mason P) re</w:t>
      </w:r>
      <w:r w:rsidR="00186B52" w:rsidRPr="009D5BD9">
        <w:rPr>
          <w:color w:val="333333"/>
          <w:shd w:val="clear" w:color="auto" w:fill="FFFFFF"/>
        </w:rPr>
        <w:t>ject</w:t>
      </w:r>
      <w:r w:rsidR="009D5BD9">
        <w:rPr>
          <w:color w:val="333333"/>
          <w:shd w:val="clear" w:color="auto" w:fill="FFFFFF"/>
        </w:rPr>
        <w:t>ed</w:t>
      </w:r>
      <w:r w:rsidR="00186B52" w:rsidRPr="009D5BD9">
        <w:rPr>
          <w:color w:val="333333"/>
          <w:shd w:val="clear" w:color="auto" w:fill="FFFFFF"/>
        </w:rPr>
        <w:t xml:space="preserve"> the submission </w:t>
      </w:r>
      <w:r w:rsidR="009D5BD9">
        <w:rPr>
          <w:color w:val="333333"/>
          <w:shd w:val="clear" w:color="auto" w:fill="FFFFFF"/>
        </w:rPr>
        <w:t>“</w:t>
      </w:r>
      <w:r w:rsidR="00186B52" w:rsidRPr="00E02CB5">
        <w:rPr>
          <w:i/>
          <w:color w:val="000000" w:themeColor="text1"/>
          <w:shd w:val="clear" w:color="auto" w:fill="FFFFFF"/>
        </w:rPr>
        <w:t>that the duty of care is negated simply because the primary victim is the defendant or the defendant's deceased</w:t>
      </w:r>
      <w:r w:rsidR="009D5BD9" w:rsidRPr="00E02CB5">
        <w:rPr>
          <w:i/>
          <w:color w:val="000000" w:themeColor="text1"/>
          <w:shd w:val="clear" w:color="auto" w:fill="FFFFFF"/>
        </w:rPr>
        <w:t>”</w:t>
      </w:r>
      <w:r w:rsidR="003154EC" w:rsidRPr="00E02CB5">
        <w:rPr>
          <w:i/>
          <w:color w:val="000000" w:themeColor="text1"/>
          <w:shd w:val="clear" w:color="auto" w:fill="FFFFFF"/>
        </w:rPr>
        <w:t xml:space="preserve"> </w:t>
      </w:r>
      <w:r w:rsidR="003154EC">
        <w:rPr>
          <w:color w:val="333333"/>
          <w:shd w:val="clear" w:color="auto" w:fill="FFFFFF"/>
        </w:rPr>
        <w:t>(para 16).</w:t>
      </w:r>
      <w:r w:rsidR="009D5BD9">
        <w:rPr>
          <w:color w:val="333333"/>
          <w:shd w:val="clear" w:color="auto" w:fill="FFFFFF"/>
        </w:rPr>
        <w:t xml:space="preserve">  In his view,</w:t>
      </w:r>
      <w:r w:rsidR="003154EC" w:rsidRPr="003154EC">
        <w:rPr>
          <w:snapToGrid w:val="0"/>
          <w:color w:val="000000"/>
        </w:rPr>
        <w:t xml:space="preserve"> </w:t>
      </w:r>
      <w:r w:rsidR="003154EC">
        <w:rPr>
          <w:snapToGrid w:val="0"/>
          <w:color w:val="000000"/>
        </w:rPr>
        <w:t xml:space="preserve">the </w:t>
      </w:r>
      <w:r w:rsidR="003154EC" w:rsidRPr="00624E8B">
        <w:rPr>
          <w:i/>
          <w:snapToGrid w:val="0"/>
          <w:color w:val="000000"/>
        </w:rPr>
        <w:t>“mere fact that the death, injury or peril is that of the defendant (or the defendant’s deceased) cannot justify invariable rejection of a claim for damages for negligently inflicted psychiatric injury”</w:t>
      </w:r>
      <w:r w:rsidR="003154EC">
        <w:rPr>
          <w:snapToGrid w:val="0"/>
          <w:color w:val="000000"/>
        </w:rPr>
        <w:t xml:space="preserve"> (para </w:t>
      </w:r>
      <w:r w:rsidR="00624E8B">
        <w:rPr>
          <w:snapToGrid w:val="0"/>
          <w:color w:val="000000"/>
        </w:rPr>
        <w:t xml:space="preserve">13) and there </w:t>
      </w:r>
      <w:r w:rsidR="009D5BD9">
        <w:rPr>
          <w:color w:val="333333"/>
          <w:shd w:val="clear" w:color="auto" w:fill="FFFFFF"/>
        </w:rPr>
        <w:t>was “</w:t>
      </w:r>
      <w:r w:rsidR="009D5BD9" w:rsidRPr="00E02CB5">
        <w:rPr>
          <w:i/>
          <w:color w:val="000000" w:themeColor="text1"/>
          <w:shd w:val="clear" w:color="auto" w:fill="FFFFFF"/>
        </w:rPr>
        <w:t xml:space="preserve">no reason in principle or logic why a primary tortfeasor, who may even have acted intentionally as well as negligently, should escape </w:t>
      </w:r>
      <w:r w:rsidR="009D5BD9" w:rsidRPr="00E02CB5">
        <w:rPr>
          <w:i/>
          <w:color w:val="000000" w:themeColor="text1"/>
          <w:shd w:val="clear" w:color="auto" w:fill="FFFFFF"/>
        </w:rPr>
        <w:lastRenderedPageBreak/>
        <w:t>liability to another who suffers psychiatric injury simply because no third party was also injured”</w:t>
      </w:r>
      <w:r w:rsidR="003154EC" w:rsidRPr="00E02CB5">
        <w:rPr>
          <w:i/>
          <w:color w:val="000000" w:themeColor="text1"/>
          <w:shd w:val="clear" w:color="auto" w:fill="FFFFFF"/>
        </w:rPr>
        <w:t xml:space="preserve"> </w:t>
      </w:r>
      <w:r w:rsidR="003154EC">
        <w:rPr>
          <w:color w:val="333333"/>
          <w:shd w:val="clear" w:color="auto" w:fill="FFFFFF"/>
        </w:rPr>
        <w:t>(para 14(c)).</w:t>
      </w:r>
      <w:r w:rsidR="00911EEF">
        <w:rPr>
          <w:color w:val="333333"/>
          <w:shd w:val="clear" w:color="auto" w:fill="FFFFFF"/>
        </w:rPr>
        <w:t xml:space="preserve"> I fully agree.</w:t>
      </w:r>
    </w:p>
    <w:p w14:paraId="39B268D2" w14:textId="77777777" w:rsidR="003154EC" w:rsidRPr="001A15C0" w:rsidRDefault="003154EC" w:rsidP="00E02CB5">
      <w:pPr>
        <w:pStyle w:val="ListParagraph"/>
        <w:spacing w:line="480" w:lineRule="auto"/>
        <w:jc w:val="both"/>
      </w:pPr>
    </w:p>
    <w:p w14:paraId="0C6C21ED" w14:textId="7AD56C71" w:rsidR="009D5BD9" w:rsidRPr="00E02CB5" w:rsidRDefault="009D5BD9" w:rsidP="009D5BD9">
      <w:pPr>
        <w:pStyle w:val="ListParagraph"/>
        <w:numPr>
          <w:ilvl w:val="0"/>
          <w:numId w:val="2"/>
        </w:numPr>
        <w:spacing w:line="480" w:lineRule="auto"/>
        <w:ind w:hanging="720"/>
        <w:jc w:val="both"/>
        <w:rPr>
          <w:color w:val="000000" w:themeColor="text1"/>
        </w:rPr>
      </w:pPr>
      <w:r w:rsidRPr="001A15C0">
        <w:rPr>
          <w:color w:val="000000" w:themeColor="text1"/>
          <w:shd w:val="clear" w:color="auto" w:fill="FFFFFF"/>
        </w:rPr>
        <w:t>The</w:t>
      </w:r>
      <w:r w:rsidRPr="00E02CB5">
        <w:rPr>
          <w:color w:val="000000" w:themeColor="text1"/>
          <w:shd w:val="clear" w:color="auto" w:fill="FFFFFF"/>
        </w:rPr>
        <w:t xml:space="preserve"> facts in </w:t>
      </w:r>
      <w:r w:rsidRPr="00E02CB5">
        <w:rPr>
          <w:i/>
          <w:color w:val="000000" w:themeColor="text1"/>
          <w:shd w:val="clear" w:color="auto" w:fill="FFFFFF"/>
        </w:rPr>
        <w:t>Lucre</w:t>
      </w:r>
      <w:r w:rsidRPr="00E02CB5">
        <w:rPr>
          <w:color w:val="000000" w:themeColor="text1"/>
          <w:shd w:val="clear" w:color="auto" w:fill="FFFFFF"/>
        </w:rPr>
        <w:t xml:space="preserve"> differed somewhat from the facts</w:t>
      </w:r>
      <w:r w:rsidR="00E02CB5">
        <w:rPr>
          <w:color w:val="000000" w:themeColor="text1"/>
          <w:shd w:val="clear" w:color="auto" w:fill="FFFFFF"/>
        </w:rPr>
        <w:t xml:space="preserve"> here. </w:t>
      </w:r>
      <w:r w:rsidRPr="00E02CB5">
        <w:rPr>
          <w:color w:val="000000" w:themeColor="text1"/>
          <w:shd w:val="clear" w:color="auto" w:fill="FFFFFF"/>
        </w:rPr>
        <w:t xml:space="preserve">The plaintiff was driving a very large truck when on an oncoming car suddenly swerved across the road and crashed into </w:t>
      </w:r>
      <w:r w:rsidR="00E02CB5">
        <w:rPr>
          <w:color w:val="000000" w:themeColor="text1"/>
          <w:shd w:val="clear" w:color="auto" w:fill="FFFFFF"/>
        </w:rPr>
        <w:t>it</w:t>
      </w:r>
      <w:r w:rsidRPr="00E02CB5">
        <w:rPr>
          <w:color w:val="000000" w:themeColor="text1"/>
          <w:shd w:val="clear" w:color="auto" w:fill="FFFFFF"/>
        </w:rPr>
        <w:t xml:space="preserve">. The plaintiff went to the assistance of the other </w:t>
      </w:r>
      <w:proofErr w:type="gramStart"/>
      <w:r w:rsidRPr="00E02CB5">
        <w:rPr>
          <w:color w:val="000000" w:themeColor="text1"/>
          <w:shd w:val="clear" w:color="auto" w:fill="FFFFFF"/>
        </w:rPr>
        <w:t>driver</w:t>
      </w:r>
      <w:proofErr w:type="gramEnd"/>
      <w:r w:rsidRPr="00E02CB5">
        <w:rPr>
          <w:color w:val="000000" w:themeColor="text1"/>
          <w:shd w:val="clear" w:color="auto" w:fill="FFFFFF"/>
        </w:rPr>
        <w:t xml:space="preserve"> but she died shortly after the collision. He did not suffer any physical injury but developed PTSD. It was argued by the insurers that, in the circumstances, the plaintiff was merely a </w:t>
      </w:r>
      <w:proofErr w:type="gramStart"/>
      <w:r w:rsidRPr="00E02CB5">
        <w:rPr>
          <w:color w:val="000000" w:themeColor="text1"/>
          <w:shd w:val="clear" w:color="auto" w:fill="FFFFFF"/>
        </w:rPr>
        <w:t>bystander</w:t>
      </w:r>
      <w:proofErr w:type="gramEnd"/>
      <w:r w:rsidRPr="00E02CB5">
        <w:rPr>
          <w:color w:val="000000" w:themeColor="text1"/>
          <w:shd w:val="clear" w:color="auto" w:fill="FFFFFF"/>
        </w:rPr>
        <w:t xml:space="preserve"> but Mason P rejected that argument </w:t>
      </w:r>
      <w:r w:rsidR="003154EC" w:rsidRPr="00E02CB5">
        <w:rPr>
          <w:color w:val="000000" w:themeColor="text1"/>
          <w:shd w:val="clear" w:color="auto" w:fill="FFFFFF"/>
        </w:rPr>
        <w:t xml:space="preserve">on the basis of </w:t>
      </w:r>
      <w:r w:rsidR="003154EC" w:rsidRPr="00E02CB5">
        <w:rPr>
          <w:color w:val="000000" w:themeColor="text1"/>
          <w:szCs w:val="26"/>
          <w:shd w:val="clear" w:color="auto" w:fill="FFFFFF"/>
        </w:rPr>
        <w:t>“</w:t>
      </w:r>
      <w:r w:rsidR="003154EC" w:rsidRPr="00E02CB5">
        <w:rPr>
          <w:i/>
          <w:color w:val="000000" w:themeColor="text1"/>
          <w:szCs w:val="26"/>
          <w:shd w:val="clear" w:color="auto" w:fill="FFFFFF"/>
        </w:rPr>
        <w:t>the immediacy of his involvement in the accident that caused the death that caused the psychiatric injury</w:t>
      </w:r>
      <w:r w:rsidR="003154EC" w:rsidRPr="00E02CB5">
        <w:rPr>
          <w:color w:val="000000" w:themeColor="text1"/>
          <w:szCs w:val="26"/>
          <w:shd w:val="clear" w:color="auto" w:fill="FFFFFF"/>
        </w:rPr>
        <w:t>” which was “</w:t>
      </w:r>
      <w:r w:rsidR="003154EC" w:rsidRPr="00E02CB5">
        <w:rPr>
          <w:i/>
          <w:color w:val="000000" w:themeColor="text1"/>
          <w:szCs w:val="26"/>
          <w:shd w:val="clear" w:color="auto" w:fill="FFFFFF"/>
        </w:rPr>
        <w:t xml:space="preserve">quite obvious in both time and space.” </w:t>
      </w:r>
      <w:r w:rsidR="003154EC" w:rsidRPr="00E02CB5">
        <w:rPr>
          <w:color w:val="000000" w:themeColor="text1"/>
          <w:szCs w:val="26"/>
          <w:shd w:val="clear" w:color="auto" w:fill="FFFFFF"/>
        </w:rPr>
        <w:t>There was also a “</w:t>
      </w:r>
      <w:r w:rsidR="003154EC" w:rsidRPr="00E02CB5">
        <w:rPr>
          <w:i/>
          <w:color w:val="000000" w:themeColor="text1"/>
          <w:szCs w:val="26"/>
          <w:shd w:val="clear" w:color="auto" w:fill="FFFFFF"/>
        </w:rPr>
        <w:t>deeper connection</w:t>
      </w:r>
      <w:r w:rsidR="003154EC" w:rsidRPr="00E02CB5">
        <w:rPr>
          <w:color w:val="000000" w:themeColor="text1"/>
          <w:szCs w:val="26"/>
          <w:shd w:val="clear" w:color="auto" w:fill="FFFFFF"/>
        </w:rPr>
        <w:t xml:space="preserve">” arising from the fact that the vehicle under the control of the plaintiff had contributed directly to the death of the deceased which generated a sense of unresolved anxiety and guilt. </w:t>
      </w:r>
      <w:r w:rsidR="003154EC" w:rsidRPr="00E02CB5">
        <w:rPr>
          <w:color w:val="000000" w:themeColor="text1"/>
        </w:rPr>
        <w:t xml:space="preserve">In the circumstances, it was </w:t>
      </w:r>
      <w:r w:rsidRPr="00E02CB5">
        <w:rPr>
          <w:color w:val="000000" w:themeColor="text1"/>
          <w:shd w:val="clear" w:color="auto" w:fill="FFFFFF"/>
        </w:rPr>
        <w:t xml:space="preserve">reasonable, </w:t>
      </w:r>
      <w:proofErr w:type="gramStart"/>
      <w:r w:rsidRPr="00E02CB5">
        <w:rPr>
          <w:color w:val="000000" w:themeColor="text1"/>
          <w:shd w:val="clear" w:color="auto" w:fill="FFFFFF"/>
        </w:rPr>
        <w:t>fair</w:t>
      </w:r>
      <w:proofErr w:type="gramEnd"/>
      <w:r w:rsidRPr="00E02CB5">
        <w:rPr>
          <w:color w:val="000000" w:themeColor="text1"/>
          <w:shd w:val="clear" w:color="auto" w:fill="FFFFFF"/>
        </w:rPr>
        <w:t xml:space="preserve"> and just to impose a duty of care upon the deceased</w:t>
      </w:r>
      <w:r w:rsidR="003154EC" w:rsidRPr="00E02CB5">
        <w:rPr>
          <w:color w:val="000000" w:themeColor="text1"/>
          <w:shd w:val="clear" w:color="auto" w:fill="FFFFFF"/>
        </w:rPr>
        <w:t xml:space="preserve"> (para 25). </w:t>
      </w:r>
      <w:r w:rsidR="00624E8B" w:rsidRPr="00E02CB5">
        <w:rPr>
          <w:color w:val="000000" w:themeColor="text1"/>
          <w:shd w:val="clear" w:color="auto" w:fill="FFFFFF"/>
        </w:rPr>
        <w:t xml:space="preserve">Ms Sheehan did not contribute to the death of the Deceased and her psychiatric injury did not have precisely the same aetiology but that </w:t>
      </w:r>
      <w:r w:rsidR="00911EEF">
        <w:rPr>
          <w:color w:val="000000" w:themeColor="text1"/>
          <w:shd w:val="clear" w:color="auto" w:fill="FFFFFF"/>
        </w:rPr>
        <w:t>seems</w:t>
      </w:r>
      <w:r w:rsidR="00624E8B" w:rsidRPr="00E02CB5">
        <w:rPr>
          <w:color w:val="000000" w:themeColor="text1"/>
          <w:shd w:val="clear" w:color="auto" w:fill="FFFFFF"/>
        </w:rPr>
        <w:t xml:space="preserve"> to me to be a difference of degree rather than of principle. </w:t>
      </w:r>
    </w:p>
    <w:p w14:paraId="4D998FE6" w14:textId="77777777" w:rsidR="009D5BD9" w:rsidRPr="009D5BD9" w:rsidRDefault="009D5BD9" w:rsidP="009D5BD9">
      <w:pPr>
        <w:pStyle w:val="ListParagraph"/>
        <w:spacing w:line="480" w:lineRule="auto"/>
        <w:jc w:val="both"/>
      </w:pPr>
    </w:p>
    <w:p w14:paraId="17325568" w14:textId="5D1B493C" w:rsidR="007551C9" w:rsidRDefault="00992E71" w:rsidP="00B24A62">
      <w:pPr>
        <w:pStyle w:val="ListParagraph"/>
        <w:numPr>
          <w:ilvl w:val="0"/>
          <w:numId w:val="2"/>
        </w:numPr>
        <w:spacing w:line="480" w:lineRule="auto"/>
        <w:ind w:hanging="720"/>
        <w:jc w:val="both"/>
      </w:pPr>
      <w:r>
        <w:t>Ms Sheehan was in</w:t>
      </w:r>
      <w:r w:rsidR="00EC02D4">
        <w:t xml:space="preserve">volved as a participant in </w:t>
      </w:r>
      <w:r>
        <w:t xml:space="preserve">the accident caused by the negligence of the Deceased </w:t>
      </w:r>
      <w:r w:rsidR="00C275D5">
        <w:t xml:space="preserve">and its immediate aftermath </w:t>
      </w:r>
      <w:r w:rsidR="007551C9">
        <w:t>and in my view the Judge was correct to conclude that the Deceased owed a duty to Ms Sheehan not to cause her psychiatric injury. The fact that the fatal injuries suffered by the Deceased were caused by his own negligence is not a basis for</w:t>
      </w:r>
      <w:r w:rsidR="001A15C0">
        <w:t xml:space="preserve"> </w:t>
      </w:r>
      <w:r w:rsidR="007551C9">
        <w:t xml:space="preserve">excluding or restricting such duty here. </w:t>
      </w:r>
      <w:r w:rsidR="00911EEF">
        <w:t xml:space="preserve">Insofar as </w:t>
      </w:r>
      <w:r w:rsidR="00911EEF" w:rsidRPr="00911EEF">
        <w:rPr>
          <w:i/>
        </w:rPr>
        <w:t>Greatorex</w:t>
      </w:r>
      <w:r w:rsidR="00911EEF">
        <w:t xml:space="preserve"> may suggest the contrary (and as I have already observed, the plaintiff in </w:t>
      </w:r>
      <w:r w:rsidR="00911EEF" w:rsidRPr="00911EEF">
        <w:rPr>
          <w:i/>
        </w:rPr>
        <w:lastRenderedPageBreak/>
        <w:t>Greatorex</w:t>
      </w:r>
      <w:r w:rsidR="00911EEF">
        <w:t xml:space="preserve"> was not a primary or immediate victim</w:t>
      </w:r>
      <w:r w:rsidR="00EC02D4">
        <w:t>, in contrast to the position of Ms Sheehan</w:t>
      </w:r>
      <w:r w:rsidR="00911EEF">
        <w:t xml:space="preserve">) I would not follow it. </w:t>
      </w:r>
    </w:p>
    <w:p w14:paraId="01032B03" w14:textId="77777777" w:rsidR="007551C9" w:rsidRDefault="007551C9" w:rsidP="007551C9">
      <w:pPr>
        <w:pStyle w:val="ListParagraph"/>
        <w:spacing w:line="480" w:lineRule="auto"/>
        <w:jc w:val="both"/>
      </w:pPr>
    </w:p>
    <w:p w14:paraId="7195B65A" w14:textId="43583398" w:rsidR="00CF34ED" w:rsidRDefault="00990CE2" w:rsidP="000D2001">
      <w:pPr>
        <w:pStyle w:val="ListParagraph"/>
        <w:numPr>
          <w:ilvl w:val="0"/>
          <w:numId w:val="2"/>
        </w:numPr>
        <w:spacing w:line="480" w:lineRule="auto"/>
        <w:ind w:hanging="720"/>
        <w:jc w:val="both"/>
      </w:pPr>
      <w:r>
        <w:t>In my view,</w:t>
      </w:r>
      <w:r w:rsidR="001B01A8">
        <w:t xml:space="preserve"> for the reasons set out already, </w:t>
      </w:r>
      <w:r>
        <w:t>Ms Sheehan was a</w:t>
      </w:r>
      <w:r w:rsidR="001B01A8">
        <w:t xml:space="preserve"> primary/</w:t>
      </w:r>
      <w:r>
        <w:t>immediate victim of the negligent driving of the Deceased and, as such, was entitled to recover against the Second Defendant. In the circumstances, it is not necessary for this Court to determine whether the primary/secondary victim classification is part of Irish law. I would dismiss the appeal.</w:t>
      </w:r>
    </w:p>
    <w:p w14:paraId="54A7532E" w14:textId="3EE63460" w:rsidR="0042457A" w:rsidRDefault="0042457A" w:rsidP="0042457A">
      <w:pPr>
        <w:spacing w:line="480" w:lineRule="auto"/>
        <w:jc w:val="both"/>
      </w:pPr>
    </w:p>
    <w:p w14:paraId="20742955" w14:textId="2179001E" w:rsidR="0042457A" w:rsidRPr="00277003" w:rsidRDefault="0042457A" w:rsidP="0042457A">
      <w:pPr>
        <w:spacing w:line="480" w:lineRule="auto"/>
        <w:jc w:val="both"/>
        <w:rPr>
          <w:i/>
        </w:rPr>
      </w:pPr>
      <w:r>
        <w:tab/>
      </w:r>
      <w:r w:rsidRPr="00277003">
        <w:rPr>
          <w:i/>
        </w:rPr>
        <w:t xml:space="preserve">Binchy J </w:t>
      </w:r>
      <w:r w:rsidR="00277003" w:rsidRPr="00277003">
        <w:rPr>
          <w:i/>
        </w:rPr>
        <w:t>has indicated his agreement with this judgment.</w:t>
      </w:r>
    </w:p>
    <w:sectPr w:rsidR="0042457A" w:rsidRPr="00277003" w:rsidSect="00536081">
      <w:headerReference w:type="default" r:id="rId9"/>
      <w:footerReference w:type="default" r:id="rId10"/>
      <w:headerReference w:type="first" r:id="rId11"/>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D297" w14:textId="77777777" w:rsidR="00792624" w:rsidRDefault="00792624" w:rsidP="0000638C">
      <w:r>
        <w:separator/>
      </w:r>
    </w:p>
  </w:endnote>
  <w:endnote w:type="continuationSeparator" w:id="0">
    <w:p w14:paraId="604E2433" w14:textId="77777777" w:rsidR="00792624" w:rsidRDefault="00792624" w:rsidP="0000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2986"/>
      <w:docPartObj>
        <w:docPartGallery w:val="Page Numbers (Bottom of Page)"/>
        <w:docPartUnique/>
      </w:docPartObj>
    </w:sdtPr>
    <w:sdtEndPr/>
    <w:sdtContent>
      <w:sdt>
        <w:sdtPr>
          <w:id w:val="1728636285"/>
          <w:docPartObj>
            <w:docPartGallery w:val="Page Numbers (Top of Page)"/>
            <w:docPartUnique/>
          </w:docPartObj>
        </w:sdtPr>
        <w:sdtEndPr/>
        <w:sdtContent>
          <w:p w14:paraId="261AD2BA" w14:textId="77777777" w:rsidR="00792624" w:rsidRDefault="00792624">
            <w:pPr>
              <w:pStyle w:val="Footer"/>
              <w:jc w:val="center"/>
            </w:pPr>
            <w:r w:rsidRPr="0000638C">
              <w:rPr>
                <w:b/>
                <w:i/>
                <w:sz w:val="20"/>
                <w:szCs w:val="20"/>
              </w:rPr>
              <w:t xml:space="preserve">Page </w:t>
            </w:r>
            <w:r w:rsidRPr="0000638C">
              <w:rPr>
                <w:b/>
                <w:bCs/>
                <w:i/>
                <w:sz w:val="20"/>
                <w:szCs w:val="20"/>
              </w:rPr>
              <w:fldChar w:fldCharType="begin"/>
            </w:r>
            <w:r w:rsidRPr="0000638C">
              <w:rPr>
                <w:b/>
                <w:bCs/>
                <w:i/>
                <w:sz w:val="20"/>
                <w:szCs w:val="20"/>
              </w:rPr>
              <w:instrText xml:space="preserve"> PAGE </w:instrText>
            </w:r>
            <w:r w:rsidRPr="0000638C">
              <w:rPr>
                <w:b/>
                <w:bCs/>
                <w:i/>
                <w:sz w:val="20"/>
                <w:szCs w:val="20"/>
              </w:rPr>
              <w:fldChar w:fldCharType="separate"/>
            </w:r>
            <w:r w:rsidRPr="0000638C">
              <w:rPr>
                <w:b/>
                <w:bCs/>
                <w:i/>
                <w:noProof/>
                <w:sz w:val="20"/>
                <w:szCs w:val="20"/>
              </w:rPr>
              <w:t>2</w:t>
            </w:r>
            <w:r w:rsidRPr="0000638C">
              <w:rPr>
                <w:b/>
                <w:bCs/>
                <w:i/>
                <w:sz w:val="20"/>
                <w:szCs w:val="20"/>
              </w:rPr>
              <w:fldChar w:fldCharType="end"/>
            </w:r>
            <w:r w:rsidRPr="0000638C">
              <w:rPr>
                <w:b/>
                <w:i/>
                <w:sz w:val="20"/>
                <w:szCs w:val="20"/>
              </w:rPr>
              <w:t xml:space="preserve"> of </w:t>
            </w:r>
            <w:r w:rsidRPr="0000638C">
              <w:rPr>
                <w:b/>
                <w:bCs/>
                <w:i/>
                <w:sz w:val="20"/>
                <w:szCs w:val="20"/>
              </w:rPr>
              <w:fldChar w:fldCharType="begin"/>
            </w:r>
            <w:r w:rsidRPr="0000638C">
              <w:rPr>
                <w:b/>
                <w:bCs/>
                <w:i/>
                <w:sz w:val="20"/>
                <w:szCs w:val="20"/>
              </w:rPr>
              <w:instrText xml:space="preserve"> NUMPAGES  </w:instrText>
            </w:r>
            <w:r w:rsidRPr="0000638C">
              <w:rPr>
                <w:b/>
                <w:bCs/>
                <w:i/>
                <w:sz w:val="20"/>
                <w:szCs w:val="20"/>
              </w:rPr>
              <w:fldChar w:fldCharType="separate"/>
            </w:r>
            <w:r w:rsidRPr="0000638C">
              <w:rPr>
                <w:b/>
                <w:bCs/>
                <w:i/>
                <w:noProof/>
                <w:sz w:val="20"/>
                <w:szCs w:val="20"/>
              </w:rPr>
              <w:t>2</w:t>
            </w:r>
            <w:r w:rsidRPr="0000638C">
              <w:rPr>
                <w:b/>
                <w:bCs/>
                <w:i/>
                <w:sz w:val="20"/>
                <w:szCs w:val="20"/>
              </w:rPr>
              <w:fldChar w:fldCharType="end"/>
            </w:r>
          </w:p>
        </w:sdtContent>
      </w:sdt>
    </w:sdtContent>
  </w:sdt>
  <w:p w14:paraId="6E12F971" w14:textId="77777777" w:rsidR="00792624" w:rsidRDefault="00792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D7B99" w14:textId="77777777" w:rsidR="00792624" w:rsidRDefault="00792624" w:rsidP="0000638C">
      <w:r>
        <w:separator/>
      </w:r>
    </w:p>
  </w:footnote>
  <w:footnote w:type="continuationSeparator" w:id="0">
    <w:p w14:paraId="3D3984BA" w14:textId="77777777" w:rsidR="00792624" w:rsidRDefault="00792624" w:rsidP="0000638C">
      <w:r>
        <w:continuationSeparator/>
      </w:r>
    </w:p>
  </w:footnote>
  <w:footnote w:id="1">
    <w:p w14:paraId="5C1E898D" w14:textId="77777777" w:rsidR="00792624" w:rsidRDefault="00792624">
      <w:pPr>
        <w:pStyle w:val="FootnoteText"/>
      </w:pPr>
      <w:r>
        <w:rPr>
          <w:rStyle w:val="FootnoteReference"/>
        </w:rPr>
        <w:footnoteRef/>
      </w:r>
      <w:r>
        <w:t xml:space="preserve"> Per Lord Steyn, at 499G.</w:t>
      </w:r>
    </w:p>
  </w:footnote>
  <w:footnote w:id="2">
    <w:p w14:paraId="1A8FDC3D" w14:textId="77777777" w:rsidR="00792624" w:rsidRPr="00CC2A7D" w:rsidRDefault="00792624" w:rsidP="00CC2A7D">
      <w:pPr>
        <w:pStyle w:val="FootnoteText"/>
      </w:pPr>
      <w:r w:rsidRPr="00CC2A7D">
        <w:rPr>
          <w:rStyle w:val="FootnoteReference"/>
        </w:rPr>
        <w:footnoteRef/>
      </w:r>
      <w:r w:rsidRPr="00CC2A7D">
        <w:t xml:space="preserve"> At 918.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298D" w14:textId="2BBBEC92" w:rsidR="00536081" w:rsidRDefault="00536081">
    <w:pPr>
      <w:pStyle w:val="Header"/>
    </w:pPr>
  </w:p>
  <w:p w14:paraId="48C8DA16" w14:textId="2A532870" w:rsidR="00C10A2F" w:rsidRDefault="00C10A2F" w:rsidP="00C10A2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6764" w14:textId="65E18010" w:rsidR="00C10A2F" w:rsidRDefault="00536081">
    <w:pPr>
      <w:pStyle w:val="Header"/>
      <w:rPr>
        <w:b/>
        <w:bCs/>
        <w:i/>
        <w:iCs/>
      </w:rPr>
    </w:pPr>
    <w:r w:rsidRPr="00536081">
      <w:rPr>
        <w:b/>
        <w:bCs/>
        <w:i/>
        <w:iCs/>
      </w:rPr>
      <w:t>Unapproved</w:t>
    </w:r>
  </w:p>
  <w:p w14:paraId="16FACBA5" w14:textId="3ABB100B" w:rsidR="00536081" w:rsidRPr="00536081" w:rsidRDefault="00536081">
    <w:pPr>
      <w:pStyle w:val="Header"/>
      <w:rPr>
        <w:b/>
        <w:bCs/>
        <w:i/>
        <w:iCs/>
      </w:rPr>
    </w:pPr>
    <w:r>
      <w:rPr>
        <w:b/>
        <w:bCs/>
        <w:i/>
        <w:iCs/>
      </w:rPr>
      <w:t>No Redactions Needed</w:t>
    </w:r>
  </w:p>
  <w:p w14:paraId="146C036B" w14:textId="372D74AA" w:rsidR="00536081" w:rsidRPr="00536081" w:rsidRDefault="00536081" w:rsidP="00536081">
    <w:pPr>
      <w:pStyle w:val="Header"/>
      <w:jc w:val="center"/>
      <w:rPr>
        <w:b/>
        <w:bCs/>
        <w:i/>
        <w:iCs/>
      </w:rPr>
    </w:pPr>
    <w:r>
      <w:rPr>
        <w:b/>
        <w:bCs/>
        <w:i/>
        <w:iCs/>
        <w:noProof/>
      </w:rPr>
      <w:drawing>
        <wp:inline distT="0" distB="0" distL="0" distR="0" wp14:anchorId="3C56D69F" wp14:editId="4E1BB71B">
          <wp:extent cx="38989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EE14F0"/>
    <w:lvl w:ilvl="0">
      <w:numFmt w:val="bullet"/>
      <w:lvlText w:val="*"/>
      <w:lvlJc w:val="left"/>
    </w:lvl>
  </w:abstractNum>
  <w:abstractNum w:abstractNumId="1" w15:restartNumberingAfterBreak="0">
    <w:nsid w:val="11727D4E"/>
    <w:multiLevelType w:val="multilevel"/>
    <w:tmpl w:val="D958AD94"/>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15:restartNumberingAfterBreak="0">
    <w:nsid w:val="2DFF5CFA"/>
    <w:multiLevelType w:val="hybridMultilevel"/>
    <w:tmpl w:val="686699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FBB03FF"/>
    <w:multiLevelType w:val="hybridMultilevel"/>
    <w:tmpl w:val="A7749A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D83151B"/>
    <w:multiLevelType w:val="hybridMultilevel"/>
    <w:tmpl w:val="AE78DE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lvlOverride w:ilvl="0">
      <w:lvl w:ilvl="0">
        <w:numFmt w:val="bullet"/>
        <w:lvlText w:val=""/>
        <w:legacy w:legacy="1" w:legacySpace="0" w:legacyIndent="0"/>
        <w:lvlJc w:val="left"/>
        <w:rPr>
          <w:rFonts w:ascii="Symbol" w:hAnsi="Symbol" w:hint="default"/>
          <w:sz w:val="22"/>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01"/>
    <w:rsid w:val="0000638C"/>
    <w:rsid w:val="000153C4"/>
    <w:rsid w:val="000471BA"/>
    <w:rsid w:val="000B08CF"/>
    <w:rsid w:val="000C7258"/>
    <w:rsid w:val="000D2001"/>
    <w:rsid w:val="000F6DA6"/>
    <w:rsid w:val="00104204"/>
    <w:rsid w:val="001126BF"/>
    <w:rsid w:val="00142913"/>
    <w:rsid w:val="001544E6"/>
    <w:rsid w:val="00173411"/>
    <w:rsid w:val="001868D1"/>
    <w:rsid w:val="00186B52"/>
    <w:rsid w:val="001A15C0"/>
    <w:rsid w:val="001B01A8"/>
    <w:rsid w:val="001B69FF"/>
    <w:rsid w:val="001C0477"/>
    <w:rsid w:val="00264D97"/>
    <w:rsid w:val="00277003"/>
    <w:rsid w:val="002A65E6"/>
    <w:rsid w:val="002E572E"/>
    <w:rsid w:val="003154EC"/>
    <w:rsid w:val="00331DDA"/>
    <w:rsid w:val="00347F0A"/>
    <w:rsid w:val="00350511"/>
    <w:rsid w:val="00356965"/>
    <w:rsid w:val="00386F76"/>
    <w:rsid w:val="003B1EC8"/>
    <w:rsid w:val="003B6179"/>
    <w:rsid w:val="003C3FF8"/>
    <w:rsid w:val="003C4DE6"/>
    <w:rsid w:val="003D7FA9"/>
    <w:rsid w:val="0042457A"/>
    <w:rsid w:val="00431F8D"/>
    <w:rsid w:val="00435696"/>
    <w:rsid w:val="00476325"/>
    <w:rsid w:val="00477F8C"/>
    <w:rsid w:val="00491771"/>
    <w:rsid w:val="00493B82"/>
    <w:rsid w:val="00496753"/>
    <w:rsid w:val="004A5267"/>
    <w:rsid w:val="004B77DE"/>
    <w:rsid w:val="004C4139"/>
    <w:rsid w:val="004D50BD"/>
    <w:rsid w:val="004E3385"/>
    <w:rsid w:val="005151DC"/>
    <w:rsid w:val="00522B4E"/>
    <w:rsid w:val="00536081"/>
    <w:rsid w:val="0055368D"/>
    <w:rsid w:val="005628F0"/>
    <w:rsid w:val="00576195"/>
    <w:rsid w:val="005763D7"/>
    <w:rsid w:val="005D7C51"/>
    <w:rsid w:val="005E6CCC"/>
    <w:rsid w:val="0062187D"/>
    <w:rsid w:val="00624E8B"/>
    <w:rsid w:val="00633834"/>
    <w:rsid w:val="0064037F"/>
    <w:rsid w:val="00691AE8"/>
    <w:rsid w:val="006975F9"/>
    <w:rsid w:val="006D7A40"/>
    <w:rsid w:val="006E207E"/>
    <w:rsid w:val="006E5DD3"/>
    <w:rsid w:val="00700E78"/>
    <w:rsid w:val="00702287"/>
    <w:rsid w:val="007274AA"/>
    <w:rsid w:val="00747A99"/>
    <w:rsid w:val="007551C9"/>
    <w:rsid w:val="00755705"/>
    <w:rsid w:val="0075702A"/>
    <w:rsid w:val="00764089"/>
    <w:rsid w:val="00792624"/>
    <w:rsid w:val="007B4640"/>
    <w:rsid w:val="007D5AE7"/>
    <w:rsid w:val="0080072A"/>
    <w:rsid w:val="00835F58"/>
    <w:rsid w:val="00867142"/>
    <w:rsid w:val="00881633"/>
    <w:rsid w:val="008964B6"/>
    <w:rsid w:val="008A3FC1"/>
    <w:rsid w:val="008E1786"/>
    <w:rsid w:val="00911EEF"/>
    <w:rsid w:val="009377A2"/>
    <w:rsid w:val="00951FE3"/>
    <w:rsid w:val="00972790"/>
    <w:rsid w:val="009746D4"/>
    <w:rsid w:val="00990CE2"/>
    <w:rsid w:val="00992E71"/>
    <w:rsid w:val="009B2644"/>
    <w:rsid w:val="009D5BD9"/>
    <w:rsid w:val="00A05199"/>
    <w:rsid w:val="00A5683E"/>
    <w:rsid w:val="00A70A24"/>
    <w:rsid w:val="00A800BF"/>
    <w:rsid w:val="00A839C1"/>
    <w:rsid w:val="00A932F5"/>
    <w:rsid w:val="00B24A62"/>
    <w:rsid w:val="00B36D8A"/>
    <w:rsid w:val="00B831A3"/>
    <w:rsid w:val="00BD10A4"/>
    <w:rsid w:val="00BE37A6"/>
    <w:rsid w:val="00BE6BCB"/>
    <w:rsid w:val="00C0365F"/>
    <w:rsid w:val="00C10A2F"/>
    <w:rsid w:val="00C126E4"/>
    <w:rsid w:val="00C21F32"/>
    <w:rsid w:val="00C275D5"/>
    <w:rsid w:val="00C44CCA"/>
    <w:rsid w:val="00C57F5C"/>
    <w:rsid w:val="00C758C2"/>
    <w:rsid w:val="00C818A9"/>
    <w:rsid w:val="00C90376"/>
    <w:rsid w:val="00CA10AF"/>
    <w:rsid w:val="00CB4CC2"/>
    <w:rsid w:val="00CB5B89"/>
    <w:rsid w:val="00CB725B"/>
    <w:rsid w:val="00CC2A7D"/>
    <w:rsid w:val="00CD3FC0"/>
    <w:rsid w:val="00CF34ED"/>
    <w:rsid w:val="00D21CE3"/>
    <w:rsid w:val="00D40953"/>
    <w:rsid w:val="00D53132"/>
    <w:rsid w:val="00D60DE1"/>
    <w:rsid w:val="00DE56BB"/>
    <w:rsid w:val="00E00BBB"/>
    <w:rsid w:val="00E0105F"/>
    <w:rsid w:val="00E02CB5"/>
    <w:rsid w:val="00E0370F"/>
    <w:rsid w:val="00E11743"/>
    <w:rsid w:val="00E34750"/>
    <w:rsid w:val="00E474FA"/>
    <w:rsid w:val="00E60C46"/>
    <w:rsid w:val="00E62BE8"/>
    <w:rsid w:val="00E65220"/>
    <w:rsid w:val="00EC02D4"/>
    <w:rsid w:val="00EC6F5E"/>
    <w:rsid w:val="00F07CAA"/>
    <w:rsid w:val="00F133DF"/>
    <w:rsid w:val="00F17471"/>
    <w:rsid w:val="00F47D93"/>
    <w:rsid w:val="00F63E0E"/>
    <w:rsid w:val="00F91FE8"/>
    <w:rsid w:val="00F97520"/>
    <w:rsid w:val="00FB735F"/>
    <w:rsid w:val="00FE04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4E48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001"/>
    <w:pPr>
      <w:spacing w:after="0" w:line="240" w:lineRule="auto"/>
    </w:pPr>
    <w:rPr>
      <w:rFonts w:cs="Times New Roman"/>
      <w:color w:val="auto"/>
      <w:sz w:val="24"/>
      <w:szCs w:val="24"/>
      <w:lang w:eastAsia="en-IE"/>
    </w:rPr>
  </w:style>
  <w:style w:type="paragraph" w:styleId="Heading1">
    <w:name w:val="heading 1"/>
    <w:basedOn w:val="Normal"/>
    <w:next w:val="Normal"/>
    <w:link w:val="Heading1Char"/>
    <w:uiPriority w:val="9"/>
    <w:qFormat/>
    <w:rsid w:val="00F91FE8"/>
    <w:pPr>
      <w:keepNext/>
      <w:keepLines/>
      <w:spacing w:line="480" w:lineRule="auto"/>
      <w:jc w:val="center"/>
      <w:outlineLvl w:val="0"/>
    </w:pPr>
    <w:rPr>
      <w:rFonts w:eastAsiaTheme="majorEastAsia"/>
      <w:b/>
      <w:caps/>
    </w:rPr>
  </w:style>
  <w:style w:type="paragraph" w:styleId="Heading2">
    <w:name w:val="heading 2"/>
    <w:next w:val="Normal"/>
    <w:link w:val="Heading2Char"/>
    <w:uiPriority w:val="9"/>
    <w:unhideWhenUsed/>
    <w:qFormat/>
    <w:rsid w:val="00496753"/>
    <w:pPr>
      <w:keepNext/>
      <w:keepLines/>
      <w:spacing w:after="0" w:line="250" w:lineRule="auto"/>
      <w:ind w:left="862" w:hanging="11"/>
      <w:outlineLvl w:val="1"/>
    </w:pPr>
    <w:rPr>
      <w:rFonts w:cs="Times New Roman"/>
      <w:b/>
      <w:sz w:val="24"/>
      <w:lang w:eastAsia="en-IE"/>
    </w:rPr>
  </w:style>
  <w:style w:type="paragraph" w:styleId="Heading3">
    <w:name w:val="heading 3"/>
    <w:basedOn w:val="Normal"/>
    <w:next w:val="Normal"/>
    <w:link w:val="Heading3Char"/>
    <w:autoRedefine/>
    <w:uiPriority w:val="9"/>
    <w:unhideWhenUsed/>
    <w:qFormat/>
    <w:rsid w:val="00496753"/>
    <w:pPr>
      <w:keepNext/>
      <w:keepLines/>
      <w:widowControl w:val="0"/>
      <w:spacing w:line="480" w:lineRule="auto"/>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CC2A7D"/>
    <w:pPr>
      <w:spacing w:line="480" w:lineRule="auto"/>
    </w:pPr>
    <w:rPr>
      <w:sz w:val="20"/>
      <w:szCs w:val="20"/>
    </w:rPr>
  </w:style>
  <w:style w:type="character" w:customStyle="1" w:styleId="FootnoteTextChar">
    <w:name w:val="Footnote Text Char"/>
    <w:basedOn w:val="DefaultParagraphFont"/>
    <w:link w:val="FootnoteText"/>
    <w:uiPriority w:val="99"/>
    <w:rsid w:val="00CC2A7D"/>
    <w:rPr>
      <w:rFonts w:cs="Times New Roman"/>
      <w:color w:val="auto"/>
      <w:lang w:eastAsia="en-IE"/>
    </w:rPr>
  </w:style>
  <w:style w:type="character" w:customStyle="1" w:styleId="Heading1Char">
    <w:name w:val="Heading 1 Char"/>
    <w:basedOn w:val="DefaultParagraphFont"/>
    <w:link w:val="Heading1"/>
    <w:uiPriority w:val="9"/>
    <w:rsid w:val="00F91FE8"/>
    <w:rPr>
      <w:rFonts w:eastAsiaTheme="majorEastAsia" w:cs="Times New Roman"/>
      <w:b/>
      <w:caps/>
      <w:color w:val="auto"/>
      <w:sz w:val="24"/>
      <w:szCs w:val="24"/>
      <w:lang w:eastAsia="en-IE"/>
    </w:rPr>
  </w:style>
  <w:style w:type="character" w:customStyle="1" w:styleId="Heading3Char">
    <w:name w:val="Heading 3 Char"/>
    <w:basedOn w:val="DefaultParagraphFont"/>
    <w:link w:val="Heading3"/>
    <w:uiPriority w:val="9"/>
    <w:rsid w:val="00496753"/>
    <w:rPr>
      <w:rFonts w:eastAsiaTheme="majorEastAsia" w:cstheme="majorBidi"/>
      <w:i/>
      <w:color w:val="000000" w:themeColor="text1"/>
      <w:sz w:val="24"/>
      <w:szCs w:val="24"/>
    </w:rPr>
  </w:style>
  <w:style w:type="character" w:customStyle="1" w:styleId="Heading2Char">
    <w:name w:val="Heading 2 Char"/>
    <w:basedOn w:val="DefaultParagraphFont"/>
    <w:link w:val="Heading2"/>
    <w:uiPriority w:val="9"/>
    <w:rsid w:val="00496753"/>
    <w:rPr>
      <w:rFonts w:cs="Times New Roman"/>
      <w:b/>
      <w:sz w:val="24"/>
      <w:lang w:eastAsia="en-IE"/>
    </w:rPr>
  </w:style>
  <w:style w:type="paragraph" w:customStyle="1" w:styleId="FootnoteText1">
    <w:name w:val="Footnote Text1"/>
    <w:basedOn w:val="Normal"/>
    <w:link w:val="FootnotetextChar0"/>
    <w:qFormat/>
    <w:rsid w:val="00F91FE8"/>
    <w:pPr>
      <w:spacing w:line="480" w:lineRule="auto"/>
      <w:jc w:val="both"/>
    </w:pPr>
  </w:style>
  <w:style w:type="character" w:customStyle="1" w:styleId="FootnotetextChar0">
    <w:name w:val="Footnote text Char"/>
    <w:basedOn w:val="DefaultParagraphFont"/>
    <w:link w:val="FootnoteText1"/>
    <w:rsid w:val="00F91FE8"/>
    <w:rPr>
      <w:rFonts w:eastAsia="Times New Roman" w:cs="Times New Roman"/>
      <w:color w:val="auto"/>
      <w:sz w:val="24"/>
      <w:szCs w:val="24"/>
      <w:lang w:eastAsia="en-IE"/>
    </w:rPr>
  </w:style>
  <w:style w:type="paragraph" w:styleId="ListParagraph">
    <w:name w:val="List Paragraph"/>
    <w:basedOn w:val="Normal"/>
    <w:uiPriority w:val="34"/>
    <w:qFormat/>
    <w:rsid w:val="000D2001"/>
    <w:pPr>
      <w:ind w:left="720"/>
      <w:contextualSpacing/>
    </w:pPr>
  </w:style>
  <w:style w:type="paragraph" w:styleId="Header">
    <w:name w:val="header"/>
    <w:basedOn w:val="Normal"/>
    <w:link w:val="HeaderChar"/>
    <w:uiPriority w:val="99"/>
    <w:unhideWhenUsed/>
    <w:rsid w:val="0000638C"/>
    <w:pPr>
      <w:tabs>
        <w:tab w:val="center" w:pos="4513"/>
        <w:tab w:val="right" w:pos="9026"/>
      </w:tabs>
    </w:pPr>
  </w:style>
  <w:style w:type="character" w:customStyle="1" w:styleId="HeaderChar">
    <w:name w:val="Header Char"/>
    <w:basedOn w:val="DefaultParagraphFont"/>
    <w:link w:val="Header"/>
    <w:uiPriority w:val="99"/>
    <w:rsid w:val="0000638C"/>
    <w:rPr>
      <w:rFonts w:cs="Times New Roman"/>
      <w:color w:val="auto"/>
      <w:sz w:val="24"/>
      <w:szCs w:val="24"/>
      <w:lang w:eastAsia="en-IE"/>
    </w:rPr>
  </w:style>
  <w:style w:type="paragraph" w:styleId="Footer">
    <w:name w:val="footer"/>
    <w:basedOn w:val="Normal"/>
    <w:link w:val="FooterChar"/>
    <w:uiPriority w:val="99"/>
    <w:unhideWhenUsed/>
    <w:rsid w:val="0000638C"/>
    <w:pPr>
      <w:tabs>
        <w:tab w:val="center" w:pos="4513"/>
        <w:tab w:val="right" w:pos="9026"/>
      </w:tabs>
    </w:pPr>
  </w:style>
  <w:style w:type="character" w:customStyle="1" w:styleId="FooterChar">
    <w:name w:val="Footer Char"/>
    <w:basedOn w:val="DefaultParagraphFont"/>
    <w:link w:val="Footer"/>
    <w:uiPriority w:val="99"/>
    <w:rsid w:val="0000638C"/>
    <w:rPr>
      <w:rFonts w:cs="Times New Roman"/>
      <w:color w:val="auto"/>
      <w:sz w:val="24"/>
      <w:szCs w:val="24"/>
      <w:lang w:eastAsia="en-IE"/>
    </w:rPr>
  </w:style>
  <w:style w:type="character" w:styleId="FootnoteReference">
    <w:name w:val="footnote reference"/>
    <w:basedOn w:val="DefaultParagraphFont"/>
    <w:uiPriority w:val="99"/>
    <w:semiHidden/>
    <w:unhideWhenUsed/>
    <w:rsid w:val="00CC2A7D"/>
    <w:rPr>
      <w:vertAlign w:val="superscript"/>
    </w:rPr>
  </w:style>
  <w:style w:type="character" w:styleId="Emphasis">
    <w:name w:val="Emphasis"/>
    <w:basedOn w:val="DefaultParagraphFont"/>
    <w:uiPriority w:val="20"/>
    <w:qFormat/>
    <w:rsid w:val="0064037F"/>
    <w:rPr>
      <w:i/>
      <w:iCs/>
    </w:rPr>
  </w:style>
  <w:style w:type="character" w:styleId="Hyperlink">
    <w:name w:val="Hyperlink"/>
    <w:basedOn w:val="DefaultParagraphFont"/>
    <w:uiPriority w:val="99"/>
    <w:semiHidden/>
    <w:unhideWhenUsed/>
    <w:rsid w:val="0064037F"/>
    <w:rPr>
      <w:color w:val="0000FF"/>
      <w:u w:val="single"/>
    </w:rPr>
  </w:style>
  <w:style w:type="paragraph" w:styleId="BalloonText">
    <w:name w:val="Balloon Text"/>
    <w:basedOn w:val="Normal"/>
    <w:link w:val="BalloonTextChar"/>
    <w:uiPriority w:val="99"/>
    <w:semiHidden/>
    <w:unhideWhenUsed/>
    <w:rsid w:val="009B26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644"/>
    <w:rPr>
      <w:rFonts w:ascii="Segoe UI" w:hAnsi="Segoe UI" w:cs="Segoe UI"/>
      <w:color w:val="auto"/>
      <w:sz w:val="18"/>
      <w:szCs w:val="18"/>
      <w:lang w:eastAsia="en-IE"/>
    </w:rPr>
  </w:style>
  <w:style w:type="character" w:styleId="CommentReference">
    <w:name w:val="annotation reference"/>
    <w:basedOn w:val="DefaultParagraphFont"/>
    <w:uiPriority w:val="99"/>
    <w:semiHidden/>
    <w:unhideWhenUsed/>
    <w:rsid w:val="0075702A"/>
    <w:rPr>
      <w:sz w:val="16"/>
      <w:szCs w:val="16"/>
    </w:rPr>
  </w:style>
  <w:style w:type="paragraph" w:styleId="CommentText">
    <w:name w:val="annotation text"/>
    <w:basedOn w:val="Normal"/>
    <w:link w:val="CommentTextChar"/>
    <w:uiPriority w:val="99"/>
    <w:semiHidden/>
    <w:unhideWhenUsed/>
    <w:rsid w:val="0075702A"/>
    <w:rPr>
      <w:sz w:val="20"/>
      <w:szCs w:val="20"/>
    </w:rPr>
  </w:style>
  <w:style w:type="character" w:customStyle="1" w:styleId="CommentTextChar">
    <w:name w:val="Comment Text Char"/>
    <w:basedOn w:val="DefaultParagraphFont"/>
    <w:link w:val="CommentText"/>
    <w:uiPriority w:val="99"/>
    <w:semiHidden/>
    <w:rsid w:val="0075702A"/>
    <w:rPr>
      <w:rFonts w:cs="Times New Roman"/>
      <w:color w:val="auto"/>
      <w:lang w:eastAsia="en-IE"/>
    </w:rPr>
  </w:style>
  <w:style w:type="paragraph" w:styleId="CommentSubject">
    <w:name w:val="annotation subject"/>
    <w:basedOn w:val="CommentText"/>
    <w:next w:val="CommentText"/>
    <w:link w:val="CommentSubjectChar"/>
    <w:uiPriority w:val="99"/>
    <w:semiHidden/>
    <w:unhideWhenUsed/>
    <w:rsid w:val="0075702A"/>
    <w:rPr>
      <w:b/>
      <w:bCs/>
    </w:rPr>
  </w:style>
  <w:style w:type="character" w:customStyle="1" w:styleId="CommentSubjectChar">
    <w:name w:val="Comment Subject Char"/>
    <w:basedOn w:val="CommentTextChar"/>
    <w:link w:val="CommentSubject"/>
    <w:uiPriority w:val="99"/>
    <w:semiHidden/>
    <w:rsid w:val="0075702A"/>
    <w:rPr>
      <w:rFonts w:cs="Times New Roman"/>
      <w:b/>
      <w:bCs/>
      <w:color w:val="auto"/>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nexis.com/uk/legal/search/enhRunRemoteLink.do?linkInfo=F%23GB%23AC%23sel1%251988%25year%251988%25page%25431%25&amp;A=0.43183843345185946&amp;backKey=20_T434670871&amp;service=citation&amp;ersKey=23_T434670870&amp;langcountry=G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A35E-756F-4802-B55E-D0B72121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3199</Words>
  <Characters>18235</Characters>
  <Application>Microsoft Office Word</Application>
  <DocSecurity>0</DocSecurity>
  <Lines>151</Lines>
  <Paragraphs>42</Paragraphs>
  <ScaleCrop>false</ScaleCrop>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2022-02-04T12:05:00Z</dcterms:created>
  <dcterms:modified xsi:type="dcterms:W3CDTF">2022-02-04T12:06:00Z</dcterms:modified>
</cp:coreProperties>
</file>