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332E" w14:textId="77777777" w:rsidR="00701276" w:rsidRDefault="00701276" w:rsidP="00701276">
      <w:pPr>
        <w:widowControl w:val="0"/>
        <w:jc w:val="center"/>
        <w:rPr>
          <w:b/>
          <w:sz w:val="32"/>
          <w:szCs w:val="32"/>
        </w:rPr>
      </w:pPr>
      <w:bookmarkStart w:id="0" w:name="_GoBack"/>
      <w:bookmarkEnd w:id="0"/>
      <w:r>
        <w:rPr>
          <w:b/>
          <w:sz w:val="32"/>
          <w:szCs w:val="32"/>
        </w:rPr>
        <w:t>THE COURT OF APPEAL</w:t>
      </w:r>
    </w:p>
    <w:p w14:paraId="1D0738E4" w14:textId="77777777" w:rsidR="00701276" w:rsidRDefault="00701276" w:rsidP="00701276">
      <w:pPr>
        <w:widowControl w:val="0"/>
        <w:jc w:val="center"/>
        <w:rPr>
          <w:b/>
          <w:sz w:val="32"/>
          <w:szCs w:val="32"/>
        </w:rPr>
      </w:pPr>
      <w:r>
        <w:rPr>
          <w:b/>
          <w:sz w:val="32"/>
          <w:szCs w:val="32"/>
        </w:rPr>
        <w:t>CIVIL</w:t>
      </w:r>
    </w:p>
    <w:p w14:paraId="391E39C0" w14:textId="77777777" w:rsidR="00701276" w:rsidRDefault="00701276" w:rsidP="00701276">
      <w:pPr>
        <w:widowControl w:val="0"/>
        <w:jc w:val="center"/>
        <w:rPr>
          <w:b/>
          <w:sz w:val="32"/>
          <w:szCs w:val="32"/>
        </w:rPr>
      </w:pPr>
    </w:p>
    <w:p w14:paraId="579A5A0F" w14:textId="77777777" w:rsidR="00701276" w:rsidRDefault="00701276" w:rsidP="00701276">
      <w:pPr>
        <w:widowControl w:val="0"/>
        <w:jc w:val="right"/>
        <w:rPr>
          <w:b/>
        </w:rPr>
      </w:pPr>
      <w:r>
        <w:rPr>
          <w:b/>
        </w:rPr>
        <w:t xml:space="preserve">High Court Record </w:t>
      </w:r>
      <w:r w:rsidRPr="00701276">
        <w:rPr>
          <w:b/>
        </w:rPr>
        <w:t xml:space="preserve">No. </w:t>
      </w:r>
      <w:r w:rsidR="00891F56">
        <w:rPr>
          <w:b/>
        </w:rPr>
        <w:t>20</w:t>
      </w:r>
      <w:r w:rsidR="00825400">
        <w:rPr>
          <w:b/>
        </w:rPr>
        <w:t>20</w:t>
      </w:r>
      <w:r w:rsidR="00891F56">
        <w:rPr>
          <w:b/>
        </w:rPr>
        <w:t>/</w:t>
      </w:r>
      <w:r w:rsidR="00825400">
        <w:rPr>
          <w:b/>
        </w:rPr>
        <w:t>952 SS</w:t>
      </w:r>
    </w:p>
    <w:p w14:paraId="577DCD16" w14:textId="77777777" w:rsidR="00701276" w:rsidRDefault="00701276" w:rsidP="00701276">
      <w:pPr>
        <w:widowControl w:val="0"/>
        <w:jc w:val="right"/>
        <w:rPr>
          <w:b/>
        </w:rPr>
      </w:pPr>
      <w:r>
        <w:rPr>
          <w:b/>
        </w:rPr>
        <w:t>Court of Appeal Record No. 20</w:t>
      </w:r>
      <w:r w:rsidR="00825400">
        <w:rPr>
          <w:b/>
        </w:rPr>
        <w:t>21</w:t>
      </w:r>
      <w:r>
        <w:rPr>
          <w:b/>
        </w:rPr>
        <w:t>/</w:t>
      </w:r>
      <w:r w:rsidR="00825400">
        <w:rPr>
          <w:b/>
        </w:rPr>
        <w:t>99</w:t>
      </w:r>
    </w:p>
    <w:p w14:paraId="1031A474" w14:textId="0F3E5016" w:rsidR="00701276" w:rsidRPr="007E62D8" w:rsidRDefault="00383FCC" w:rsidP="00701276">
      <w:pPr>
        <w:widowControl w:val="0"/>
        <w:jc w:val="right"/>
        <w:rPr>
          <w:b/>
        </w:rPr>
      </w:pPr>
      <w:r>
        <w:rPr>
          <w:b/>
        </w:rPr>
        <w:t>Neutral Citation No. [2022] IECA 35</w:t>
      </w:r>
    </w:p>
    <w:p w14:paraId="5B7EB95A" w14:textId="77777777" w:rsidR="002908B1" w:rsidRDefault="002908B1" w:rsidP="00701276">
      <w:pPr>
        <w:widowControl w:val="0"/>
        <w:rPr>
          <w:b/>
          <w:sz w:val="32"/>
          <w:szCs w:val="32"/>
        </w:rPr>
      </w:pPr>
    </w:p>
    <w:p w14:paraId="279988EA" w14:textId="77777777" w:rsidR="002908B1" w:rsidRDefault="002908B1" w:rsidP="00701276">
      <w:pPr>
        <w:widowControl w:val="0"/>
        <w:rPr>
          <w:b/>
          <w:sz w:val="32"/>
          <w:szCs w:val="32"/>
        </w:rPr>
      </w:pPr>
    </w:p>
    <w:p w14:paraId="7DFDC643" w14:textId="77777777" w:rsidR="00701276" w:rsidRDefault="00701276" w:rsidP="00701276">
      <w:pPr>
        <w:widowControl w:val="0"/>
        <w:rPr>
          <w:b/>
          <w:sz w:val="32"/>
          <w:szCs w:val="32"/>
        </w:rPr>
      </w:pPr>
      <w:r>
        <w:rPr>
          <w:b/>
          <w:sz w:val="32"/>
          <w:szCs w:val="32"/>
        </w:rPr>
        <w:t xml:space="preserve">NO REDACTION NEEDED </w:t>
      </w:r>
    </w:p>
    <w:p w14:paraId="0BAC062F" w14:textId="77777777" w:rsidR="00701276" w:rsidRDefault="00701276" w:rsidP="00701276">
      <w:pPr>
        <w:widowControl w:val="0"/>
        <w:rPr>
          <w:b/>
          <w:sz w:val="32"/>
          <w:szCs w:val="32"/>
        </w:rPr>
      </w:pPr>
    </w:p>
    <w:p w14:paraId="6175E6B4" w14:textId="77777777" w:rsidR="00701276" w:rsidRDefault="00825400" w:rsidP="00701276">
      <w:pPr>
        <w:widowControl w:val="0"/>
        <w:rPr>
          <w:b/>
        </w:rPr>
      </w:pPr>
      <w:r>
        <w:rPr>
          <w:b/>
        </w:rPr>
        <w:t>Whelan</w:t>
      </w:r>
      <w:r w:rsidR="00701276">
        <w:rPr>
          <w:b/>
        </w:rPr>
        <w:t xml:space="preserve"> J. </w:t>
      </w:r>
    </w:p>
    <w:p w14:paraId="032078FC" w14:textId="77777777" w:rsidR="00701276" w:rsidRDefault="00701276" w:rsidP="00701276">
      <w:pPr>
        <w:widowControl w:val="0"/>
        <w:rPr>
          <w:b/>
        </w:rPr>
      </w:pPr>
      <w:r>
        <w:rPr>
          <w:b/>
        </w:rPr>
        <w:t>Murray J.</w:t>
      </w:r>
    </w:p>
    <w:p w14:paraId="0FCE1D1D" w14:textId="77777777" w:rsidR="00701276" w:rsidRDefault="00701276" w:rsidP="00701276">
      <w:pPr>
        <w:widowControl w:val="0"/>
        <w:rPr>
          <w:b/>
        </w:rPr>
      </w:pPr>
      <w:r>
        <w:rPr>
          <w:b/>
        </w:rPr>
        <w:t xml:space="preserve">Pilkington J. </w:t>
      </w:r>
    </w:p>
    <w:p w14:paraId="713F928A" w14:textId="77777777" w:rsidR="00701276" w:rsidRPr="00FE1349" w:rsidRDefault="00701276" w:rsidP="00701276">
      <w:pPr>
        <w:widowControl w:val="0"/>
        <w:rPr>
          <w:b/>
        </w:rPr>
      </w:pPr>
    </w:p>
    <w:p w14:paraId="2EE5A109" w14:textId="77777777" w:rsidR="00701276" w:rsidRDefault="00701276" w:rsidP="00701276">
      <w:pPr>
        <w:widowControl w:val="0"/>
        <w:rPr>
          <w:b/>
          <w:sz w:val="32"/>
          <w:szCs w:val="32"/>
        </w:rPr>
      </w:pPr>
    </w:p>
    <w:p w14:paraId="3A5F9523" w14:textId="77777777" w:rsidR="00701276" w:rsidRPr="00FE1349" w:rsidRDefault="00701276" w:rsidP="00701276">
      <w:pPr>
        <w:widowControl w:val="0"/>
        <w:rPr>
          <w:b/>
        </w:rPr>
      </w:pPr>
      <w:r>
        <w:rPr>
          <w:b/>
        </w:rPr>
        <w:t>BETWEEN</w:t>
      </w:r>
    </w:p>
    <w:p w14:paraId="7FE92266" w14:textId="77777777" w:rsidR="00701276" w:rsidRDefault="00701276" w:rsidP="00701276">
      <w:pPr>
        <w:widowControl w:val="0"/>
        <w:spacing w:line="480" w:lineRule="auto"/>
        <w:rPr>
          <w:b/>
          <w:sz w:val="32"/>
          <w:szCs w:val="32"/>
        </w:rPr>
      </w:pPr>
    </w:p>
    <w:p w14:paraId="2DD99639" w14:textId="77777777" w:rsidR="00701276" w:rsidRPr="00A6784A" w:rsidRDefault="00825400" w:rsidP="00701276">
      <w:pPr>
        <w:widowControl w:val="0"/>
        <w:spacing w:line="480" w:lineRule="auto"/>
        <w:jc w:val="center"/>
        <w:rPr>
          <w:b/>
        </w:rPr>
      </w:pPr>
      <w:r>
        <w:rPr>
          <w:b/>
        </w:rPr>
        <w:t xml:space="preserve">DAYHOFF LIMITED </w:t>
      </w:r>
    </w:p>
    <w:p w14:paraId="0F64C33B" w14:textId="77777777" w:rsidR="00701276" w:rsidRDefault="00701276" w:rsidP="00701276">
      <w:pPr>
        <w:widowControl w:val="0"/>
        <w:spacing w:line="480" w:lineRule="auto"/>
        <w:jc w:val="right"/>
        <w:rPr>
          <w:b/>
        </w:rPr>
      </w:pPr>
    </w:p>
    <w:p w14:paraId="27A25C97" w14:textId="77777777" w:rsidR="00701276" w:rsidRPr="007E62D8" w:rsidRDefault="00701276" w:rsidP="00701276">
      <w:pPr>
        <w:widowControl w:val="0"/>
        <w:spacing w:line="480" w:lineRule="auto"/>
        <w:jc w:val="right"/>
        <w:rPr>
          <w:b/>
        </w:rPr>
      </w:pPr>
      <w:r>
        <w:rPr>
          <w:b/>
        </w:rPr>
        <w:t>APPELLANT</w:t>
      </w:r>
    </w:p>
    <w:p w14:paraId="1AC6E280" w14:textId="77777777" w:rsidR="00701276" w:rsidRPr="0070740A" w:rsidRDefault="00701276" w:rsidP="00701276">
      <w:pPr>
        <w:widowControl w:val="0"/>
        <w:spacing w:line="480" w:lineRule="auto"/>
        <w:jc w:val="center"/>
        <w:rPr>
          <w:b/>
        </w:rPr>
      </w:pPr>
      <w:r w:rsidRPr="0070740A">
        <w:rPr>
          <w:b/>
        </w:rPr>
        <w:t xml:space="preserve">- AND – </w:t>
      </w:r>
    </w:p>
    <w:p w14:paraId="5AEC1394" w14:textId="77777777" w:rsidR="00701276" w:rsidRDefault="00701276" w:rsidP="00701276">
      <w:pPr>
        <w:widowControl w:val="0"/>
        <w:spacing w:line="480" w:lineRule="auto"/>
        <w:jc w:val="center"/>
        <w:rPr>
          <w:b/>
        </w:rPr>
      </w:pPr>
    </w:p>
    <w:p w14:paraId="2DB7EEC2" w14:textId="77777777" w:rsidR="00701276" w:rsidRDefault="00825400" w:rsidP="00825400">
      <w:pPr>
        <w:widowControl w:val="0"/>
        <w:spacing w:line="480" w:lineRule="auto"/>
        <w:jc w:val="center"/>
        <w:rPr>
          <w:b/>
        </w:rPr>
      </w:pPr>
      <w:r>
        <w:rPr>
          <w:b/>
        </w:rPr>
        <w:t>COMMISSIONER OF VALUATION</w:t>
      </w:r>
    </w:p>
    <w:p w14:paraId="044F41BA" w14:textId="77777777" w:rsidR="00701276" w:rsidRDefault="00701276" w:rsidP="00701276">
      <w:pPr>
        <w:widowControl w:val="0"/>
        <w:spacing w:line="480" w:lineRule="auto"/>
        <w:jc w:val="right"/>
        <w:rPr>
          <w:b/>
        </w:rPr>
      </w:pPr>
      <w:r w:rsidRPr="007E62D8">
        <w:rPr>
          <w:b/>
        </w:rPr>
        <w:t>RESPONDENT</w:t>
      </w:r>
    </w:p>
    <w:p w14:paraId="6F99275A" w14:textId="77777777" w:rsidR="00701276" w:rsidRPr="007E62D8" w:rsidRDefault="00701276" w:rsidP="00701276">
      <w:pPr>
        <w:widowControl w:val="0"/>
        <w:spacing w:line="480" w:lineRule="auto"/>
        <w:jc w:val="right"/>
        <w:rPr>
          <w:b/>
        </w:rPr>
      </w:pPr>
    </w:p>
    <w:p w14:paraId="61879D08" w14:textId="77777777" w:rsidR="002908B1" w:rsidRDefault="002908B1" w:rsidP="00701276">
      <w:pPr>
        <w:widowControl w:val="0"/>
        <w:spacing w:line="480" w:lineRule="auto"/>
        <w:jc w:val="center"/>
        <w:rPr>
          <w:b/>
          <w:u w:val="single"/>
        </w:rPr>
      </w:pPr>
    </w:p>
    <w:p w14:paraId="2AA02721" w14:textId="77777777" w:rsidR="002908B1" w:rsidRDefault="002908B1" w:rsidP="00701276">
      <w:pPr>
        <w:widowControl w:val="0"/>
        <w:spacing w:line="480" w:lineRule="auto"/>
        <w:jc w:val="center"/>
        <w:rPr>
          <w:b/>
          <w:u w:val="single"/>
        </w:rPr>
      </w:pPr>
    </w:p>
    <w:p w14:paraId="5D09F40E" w14:textId="4159062E" w:rsidR="00701276" w:rsidRDefault="00701276" w:rsidP="00701276">
      <w:pPr>
        <w:widowControl w:val="0"/>
        <w:spacing w:line="480" w:lineRule="auto"/>
        <w:jc w:val="center"/>
        <w:rPr>
          <w:b/>
          <w:u w:val="single"/>
        </w:rPr>
      </w:pPr>
      <w:r>
        <w:rPr>
          <w:b/>
          <w:u w:val="single"/>
        </w:rPr>
        <w:t>JUDGMENT of Mr. Justice Murray delivered on the</w:t>
      </w:r>
      <w:r w:rsidR="00C87EF8">
        <w:rPr>
          <w:b/>
          <w:u w:val="single"/>
        </w:rPr>
        <w:t xml:space="preserve"> </w:t>
      </w:r>
      <w:r w:rsidR="005C2F85">
        <w:rPr>
          <w:b/>
          <w:u w:val="single"/>
        </w:rPr>
        <w:t>1</w:t>
      </w:r>
      <w:r w:rsidR="00AE50FD">
        <w:rPr>
          <w:b/>
          <w:u w:val="single"/>
        </w:rPr>
        <w:t>1</w:t>
      </w:r>
      <w:r w:rsidR="005C2F85">
        <w:rPr>
          <w:b/>
          <w:u w:val="single"/>
          <w:vertAlign w:val="superscript"/>
        </w:rPr>
        <w:t>th</w:t>
      </w:r>
      <w:r w:rsidR="00C87EF8">
        <w:rPr>
          <w:b/>
          <w:u w:val="single"/>
        </w:rPr>
        <w:t xml:space="preserve"> </w:t>
      </w:r>
      <w:r>
        <w:rPr>
          <w:b/>
          <w:u w:val="single"/>
        </w:rPr>
        <w:t xml:space="preserve">day of </w:t>
      </w:r>
      <w:r w:rsidR="00C87EF8">
        <w:rPr>
          <w:b/>
          <w:u w:val="single"/>
        </w:rPr>
        <w:t xml:space="preserve">February </w:t>
      </w:r>
      <w:r>
        <w:rPr>
          <w:b/>
          <w:u w:val="single"/>
        </w:rPr>
        <w:t>2022</w:t>
      </w:r>
    </w:p>
    <w:p w14:paraId="61E49979" w14:textId="77777777" w:rsidR="00667046" w:rsidRDefault="00667046" w:rsidP="00701276">
      <w:pPr>
        <w:widowControl w:val="0"/>
        <w:spacing w:line="480" w:lineRule="auto"/>
        <w:jc w:val="center"/>
        <w:rPr>
          <w:b/>
          <w:u w:val="single"/>
        </w:rPr>
      </w:pPr>
    </w:p>
    <w:p w14:paraId="19E08F60" w14:textId="77777777" w:rsidR="00667046" w:rsidRDefault="00667046" w:rsidP="00701276">
      <w:pPr>
        <w:widowControl w:val="0"/>
        <w:spacing w:line="480" w:lineRule="auto"/>
        <w:jc w:val="center"/>
        <w:rPr>
          <w:b/>
          <w:u w:val="single"/>
        </w:rPr>
      </w:pPr>
    </w:p>
    <w:p w14:paraId="56E9163D" w14:textId="77777777" w:rsidR="00667046" w:rsidRDefault="00667046" w:rsidP="00701276">
      <w:pPr>
        <w:widowControl w:val="0"/>
        <w:spacing w:line="480" w:lineRule="auto"/>
        <w:jc w:val="center"/>
        <w:rPr>
          <w:b/>
          <w:u w:val="single"/>
        </w:rPr>
      </w:pPr>
    </w:p>
    <w:p w14:paraId="4706FD1F" w14:textId="4FBA215F" w:rsidR="007B6F97" w:rsidRPr="007B6F97" w:rsidRDefault="001844A5" w:rsidP="007B6F9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Section 49 of the Valuation Act 2001 (‘the Act’)</w:t>
      </w:r>
      <w:r w:rsidR="001E6061">
        <w:rPr>
          <w:rFonts w:ascii="Times New Roman" w:hAnsi="Times New Roman" w:cs="Times New Roman"/>
        </w:rPr>
        <w:t xml:space="preserve"> </w:t>
      </w:r>
      <w:r>
        <w:rPr>
          <w:rFonts w:ascii="Times New Roman" w:hAnsi="Times New Roman" w:cs="Times New Roman"/>
        </w:rPr>
        <w:t xml:space="preserve">provides that, in </w:t>
      </w:r>
      <w:r w:rsidR="001449AF">
        <w:rPr>
          <w:rFonts w:ascii="Times New Roman" w:hAnsi="Times New Roman" w:cs="Times New Roman"/>
        </w:rPr>
        <w:t xml:space="preserve">certain </w:t>
      </w:r>
      <w:r>
        <w:rPr>
          <w:rFonts w:ascii="Times New Roman" w:hAnsi="Times New Roman" w:cs="Times New Roman"/>
        </w:rPr>
        <w:t xml:space="preserve">specified circumstances, </w:t>
      </w:r>
      <w:r w:rsidR="00A45E58">
        <w:rPr>
          <w:rFonts w:ascii="Times New Roman" w:hAnsi="Times New Roman" w:cs="Times New Roman"/>
        </w:rPr>
        <w:t xml:space="preserve">the </w:t>
      </w:r>
      <w:r>
        <w:rPr>
          <w:rFonts w:ascii="Times New Roman" w:hAnsi="Times New Roman" w:cs="Times New Roman"/>
        </w:rPr>
        <w:t xml:space="preserve">determination of the value of a property </w:t>
      </w:r>
      <w:r w:rsidR="00C87EF8">
        <w:rPr>
          <w:rFonts w:ascii="Times New Roman" w:hAnsi="Times New Roman" w:cs="Times New Roman"/>
        </w:rPr>
        <w:t xml:space="preserve">for the purposes of the Act </w:t>
      </w:r>
      <w:r>
        <w:rPr>
          <w:rFonts w:ascii="Times New Roman" w:hAnsi="Times New Roman" w:cs="Times New Roman"/>
        </w:rPr>
        <w:t>shall be made by reference to the values as they appear in th</w:t>
      </w:r>
      <w:r w:rsidR="00D71C59">
        <w:rPr>
          <w:rFonts w:ascii="Times New Roman" w:hAnsi="Times New Roman" w:cs="Times New Roman"/>
        </w:rPr>
        <w:t>e ‘</w:t>
      </w:r>
      <w:r w:rsidR="00D71C59">
        <w:rPr>
          <w:rFonts w:ascii="Times New Roman" w:hAnsi="Times New Roman" w:cs="Times New Roman"/>
          <w:i/>
        </w:rPr>
        <w:t xml:space="preserve">valuation list’ </w:t>
      </w:r>
      <w:r>
        <w:rPr>
          <w:rFonts w:ascii="Times New Roman" w:hAnsi="Times New Roman" w:cs="Times New Roman"/>
        </w:rPr>
        <w:t>of certain ‘</w:t>
      </w:r>
      <w:r>
        <w:rPr>
          <w:rFonts w:ascii="Times New Roman" w:hAnsi="Times New Roman" w:cs="Times New Roman"/>
          <w:i/>
        </w:rPr>
        <w:t xml:space="preserve">other properties comparable to’ </w:t>
      </w:r>
      <w:r>
        <w:rPr>
          <w:rFonts w:ascii="Times New Roman" w:hAnsi="Times New Roman" w:cs="Times New Roman"/>
        </w:rPr>
        <w:t xml:space="preserve">the property </w:t>
      </w:r>
      <w:r w:rsidR="001E6061">
        <w:rPr>
          <w:rFonts w:ascii="Times New Roman" w:hAnsi="Times New Roman" w:cs="Times New Roman"/>
        </w:rPr>
        <w:t>being valued</w:t>
      </w:r>
      <w:r>
        <w:rPr>
          <w:rFonts w:ascii="Times New Roman" w:hAnsi="Times New Roman" w:cs="Times New Roman"/>
        </w:rPr>
        <w:t xml:space="preserve">.  The issue in this appeal is whether </w:t>
      </w:r>
      <w:r w:rsidR="001E6061">
        <w:rPr>
          <w:rFonts w:ascii="Times New Roman" w:hAnsi="Times New Roman" w:cs="Times New Roman"/>
        </w:rPr>
        <w:t xml:space="preserve">the valuation of </w:t>
      </w:r>
      <w:r>
        <w:rPr>
          <w:rFonts w:ascii="Times New Roman" w:hAnsi="Times New Roman" w:cs="Times New Roman"/>
        </w:rPr>
        <w:t>a property (C) which is formed by the amalgamation of two other properties (A and B) m</w:t>
      </w:r>
      <w:r w:rsidR="000F7756">
        <w:rPr>
          <w:rFonts w:ascii="Times New Roman" w:hAnsi="Times New Roman" w:cs="Times New Roman"/>
        </w:rPr>
        <w:t xml:space="preserve">ust - if A and B are found comparable to C - </w:t>
      </w:r>
      <w:r>
        <w:rPr>
          <w:rFonts w:ascii="Times New Roman" w:hAnsi="Times New Roman" w:cs="Times New Roman"/>
        </w:rPr>
        <w:t>be conducted by reference to the pre-amalgamation values of A and</w:t>
      </w:r>
      <w:r w:rsidR="003A2DCE">
        <w:rPr>
          <w:rFonts w:ascii="Times New Roman" w:hAnsi="Times New Roman" w:cs="Times New Roman"/>
        </w:rPr>
        <w:t xml:space="preserve"> </w:t>
      </w:r>
      <w:r>
        <w:rPr>
          <w:rFonts w:ascii="Times New Roman" w:hAnsi="Times New Roman" w:cs="Times New Roman"/>
        </w:rPr>
        <w:t xml:space="preserve">B </w:t>
      </w:r>
      <w:r w:rsidR="00C120FF">
        <w:rPr>
          <w:rFonts w:ascii="Times New Roman" w:hAnsi="Times New Roman" w:cs="Times New Roman"/>
        </w:rPr>
        <w:t>as they appear in the valuation list</w:t>
      </w:r>
      <w:r w:rsidR="00A45E58">
        <w:rPr>
          <w:rFonts w:ascii="Times New Roman" w:hAnsi="Times New Roman" w:cs="Times New Roman"/>
        </w:rPr>
        <w:t>.  The appellant Dayhoff Limited (‘Dayhoff)</w:t>
      </w:r>
      <w:r>
        <w:rPr>
          <w:rFonts w:ascii="Times New Roman" w:hAnsi="Times New Roman" w:cs="Times New Roman"/>
        </w:rPr>
        <w:t xml:space="preserve"> </w:t>
      </w:r>
      <w:r w:rsidR="00A45E58">
        <w:rPr>
          <w:rFonts w:ascii="Times New Roman" w:hAnsi="Times New Roman" w:cs="Times New Roman"/>
        </w:rPr>
        <w:t xml:space="preserve">says that </w:t>
      </w:r>
      <w:r>
        <w:rPr>
          <w:rFonts w:ascii="Times New Roman" w:hAnsi="Times New Roman" w:cs="Times New Roman"/>
        </w:rPr>
        <w:t>A and B are not ‘</w:t>
      </w:r>
      <w:r>
        <w:rPr>
          <w:rFonts w:ascii="Times New Roman" w:hAnsi="Times New Roman" w:cs="Times New Roman"/>
          <w:i/>
        </w:rPr>
        <w:t>other properties’</w:t>
      </w:r>
      <w:r>
        <w:rPr>
          <w:rFonts w:ascii="Times New Roman" w:hAnsi="Times New Roman" w:cs="Times New Roman"/>
        </w:rPr>
        <w:t xml:space="preserve"> for the purposes of the section but instead the ‘</w:t>
      </w:r>
      <w:r>
        <w:rPr>
          <w:rFonts w:ascii="Times New Roman" w:hAnsi="Times New Roman" w:cs="Times New Roman"/>
          <w:i/>
        </w:rPr>
        <w:t xml:space="preserve">same property’ </w:t>
      </w:r>
      <w:r>
        <w:rPr>
          <w:rFonts w:ascii="Times New Roman" w:hAnsi="Times New Roman" w:cs="Times New Roman"/>
        </w:rPr>
        <w:t xml:space="preserve">as </w:t>
      </w:r>
      <w:r w:rsidR="001E6061">
        <w:rPr>
          <w:rFonts w:ascii="Times New Roman" w:hAnsi="Times New Roman" w:cs="Times New Roman"/>
        </w:rPr>
        <w:t>C</w:t>
      </w:r>
      <w:r w:rsidR="00D8308F">
        <w:rPr>
          <w:rFonts w:ascii="Times New Roman" w:hAnsi="Times New Roman" w:cs="Times New Roman"/>
        </w:rPr>
        <w:t xml:space="preserve"> and that, accordingly</w:t>
      </w:r>
      <w:r w:rsidR="00D30773">
        <w:rPr>
          <w:rFonts w:ascii="Times New Roman" w:hAnsi="Times New Roman" w:cs="Times New Roman"/>
        </w:rPr>
        <w:t xml:space="preserve"> regard </w:t>
      </w:r>
      <w:r w:rsidR="009103FB">
        <w:rPr>
          <w:rFonts w:ascii="Times New Roman" w:hAnsi="Times New Roman" w:cs="Times New Roman"/>
        </w:rPr>
        <w:t>cannot be had to them</w:t>
      </w:r>
      <w:r w:rsidR="00B21329">
        <w:rPr>
          <w:rFonts w:ascii="Times New Roman" w:hAnsi="Times New Roman" w:cs="Times New Roman"/>
        </w:rPr>
        <w:t xml:space="preserve"> </w:t>
      </w:r>
      <w:r w:rsidR="00DB4527">
        <w:rPr>
          <w:rFonts w:ascii="Times New Roman" w:hAnsi="Times New Roman" w:cs="Times New Roman"/>
        </w:rPr>
        <w:t>in the valuation exercise provided for in the Act.</w:t>
      </w:r>
      <w:r w:rsidR="00BC33E2">
        <w:rPr>
          <w:rFonts w:ascii="Times New Roman" w:hAnsi="Times New Roman" w:cs="Times New Roman"/>
        </w:rPr>
        <w:t xml:space="preserve">  The respondent Commissioner contends that A and B are for rating purposes di</w:t>
      </w:r>
      <w:r w:rsidR="00F81D6C">
        <w:rPr>
          <w:rFonts w:ascii="Times New Roman" w:hAnsi="Times New Roman" w:cs="Times New Roman"/>
        </w:rPr>
        <w:t>sti</w:t>
      </w:r>
      <w:r w:rsidR="000064F3">
        <w:rPr>
          <w:rFonts w:ascii="Times New Roman" w:hAnsi="Times New Roman" w:cs="Times New Roman"/>
        </w:rPr>
        <w:t>n</w:t>
      </w:r>
      <w:r w:rsidR="00F81D6C">
        <w:rPr>
          <w:rFonts w:ascii="Times New Roman" w:hAnsi="Times New Roman" w:cs="Times New Roman"/>
        </w:rPr>
        <w:t>ct</w:t>
      </w:r>
      <w:r w:rsidR="00BC33E2">
        <w:rPr>
          <w:rFonts w:ascii="Times New Roman" w:hAnsi="Times New Roman" w:cs="Times New Roman"/>
        </w:rPr>
        <w:t xml:space="preserve"> from C and must, if comparable to C, be taken into account </w:t>
      </w:r>
      <w:r w:rsidR="0028756F">
        <w:rPr>
          <w:rFonts w:ascii="Times New Roman" w:hAnsi="Times New Roman" w:cs="Times New Roman"/>
        </w:rPr>
        <w:t xml:space="preserve">in the </w:t>
      </w:r>
      <w:r w:rsidR="00525E04">
        <w:rPr>
          <w:rFonts w:ascii="Times New Roman" w:hAnsi="Times New Roman" w:cs="Times New Roman"/>
        </w:rPr>
        <w:t>exercise of valuing that property</w:t>
      </w:r>
      <w:r w:rsidR="00BC33E2">
        <w:rPr>
          <w:rFonts w:ascii="Times New Roman" w:hAnsi="Times New Roman" w:cs="Times New Roman"/>
        </w:rPr>
        <w:t xml:space="preserve">.  </w:t>
      </w:r>
    </w:p>
    <w:p w14:paraId="72297BBB" w14:textId="77777777" w:rsidR="007B6F97" w:rsidRPr="007B6F97" w:rsidRDefault="007B6F97" w:rsidP="007B6F97">
      <w:pPr>
        <w:pStyle w:val="ListParagraph"/>
        <w:spacing w:line="480" w:lineRule="auto"/>
        <w:jc w:val="both"/>
        <w:rPr>
          <w:rFonts w:ascii="Times New Roman" w:hAnsi="Times New Roman" w:cs="Times New Roman"/>
          <w:b/>
        </w:rPr>
      </w:pPr>
      <w:r>
        <w:t xml:space="preserve">  </w:t>
      </w:r>
    </w:p>
    <w:p w14:paraId="3C7C9D3C" w14:textId="2BE70C68" w:rsidR="007B6F97" w:rsidRPr="007B6F97" w:rsidRDefault="001844A5" w:rsidP="00383FCC">
      <w:pPr>
        <w:pStyle w:val="ListParagraph"/>
        <w:numPr>
          <w:ilvl w:val="0"/>
          <w:numId w:val="1"/>
        </w:numPr>
        <w:spacing w:line="480" w:lineRule="auto"/>
        <w:jc w:val="both"/>
        <w:rPr>
          <w:rFonts w:ascii="Times New Roman" w:hAnsi="Times New Roman" w:cs="Times New Roman"/>
          <w:b/>
        </w:rPr>
      </w:pPr>
      <w:r w:rsidRPr="007B6F97">
        <w:rPr>
          <w:rFonts w:ascii="Times New Roman" w:hAnsi="Times New Roman" w:cs="Times New Roman"/>
        </w:rPr>
        <w:t xml:space="preserve">The issue is framed </w:t>
      </w:r>
      <w:r w:rsidR="00B03AEE">
        <w:rPr>
          <w:rFonts w:ascii="Times New Roman" w:hAnsi="Times New Roman" w:cs="Times New Roman"/>
        </w:rPr>
        <w:t>in</w:t>
      </w:r>
      <w:r w:rsidRPr="007B6F97">
        <w:rPr>
          <w:rFonts w:ascii="Times New Roman" w:hAnsi="Times New Roman" w:cs="Times New Roman"/>
        </w:rPr>
        <w:t xml:space="preserve"> </w:t>
      </w:r>
      <w:r w:rsidR="00C87EF8" w:rsidRPr="007B6F97">
        <w:rPr>
          <w:rFonts w:ascii="Times New Roman" w:hAnsi="Times New Roman" w:cs="Times New Roman"/>
        </w:rPr>
        <w:t xml:space="preserve">a </w:t>
      </w:r>
      <w:r w:rsidRPr="007B6F97">
        <w:rPr>
          <w:rFonts w:ascii="Times New Roman" w:hAnsi="Times New Roman" w:cs="Times New Roman"/>
        </w:rPr>
        <w:t xml:space="preserve">case stated by the Valuation Tribunal </w:t>
      </w:r>
      <w:r w:rsidR="0094082D" w:rsidRPr="007B6F97">
        <w:rPr>
          <w:rFonts w:ascii="Times New Roman" w:hAnsi="Times New Roman" w:cs="Times New Roman"/>
        </w:rPr>
        <w:t xml:space="preserve">(‘the Tribunal’) </w:t>
      </w:r>
      <w:r w:rsidRPr="007B6F97">
        <w:rPr>
          <w:rFonts w:ascii="Times New Roman" w:hAnsi="Times New Roman" w:cs="Times New Roman"/>
        </w:rPr>
        <w:t>pursuant to s.</w:t>
      </w:r>
      <w:r w:rsidR="000064F3">
        <w:rPr>
          <w:rFonts w:ascii="Times New Roman" w:hAnsi="Times New Roman" w:cs="Times New Roman"/>
        </w:rPr>
        <w:t xml:space="preserve"> </w:t>
      </w:r>
      <w:r w:rsidRPr="007B6F97">
        <w:rPr>
          <w:rFonts w:ascii="Times New Roman" w:hAnsi="Times New Roman" w:cs="Times New Roman"/>
        </w:rPr>
        <w:t xml:space="preserve">39 of the Act, which in turn </w:t>
      </w:r>
      <w:r w:rsidR="00C70DBA" w:rsidRPr="007B6F97">
        <w:rPr>
          <w:rFonts w:ascii="Times New Roman" w:hAnsi="Times New Roman" w:cs="Times New Roman"/>
        </w:rPr>
        <w:t xml:space="preserve">arose from </w:t>
      </w:r>
      <w:r w:rsidRPr="007B6F97">
        <w:rPr>
          <w:rFonts w:ascii="Times New Roman" w:hAnsi="Times New Roman" w:cs="Times New Roman"/>
        </w:rPr>
        <w:t>the revision of the valuation of a licensed premises at 23/24 John Street Upper Kilkenny</w:t>
      </w:r>
      <w:r w:rsidR="00F81D6C" w:rsidRPr="007B6F97">
        <w:rPr>
          <w:rFonts w:ascii="Times New Roman" w:hAnsi="Times New Roman" w:cs="Times New Roman"/>
        </w:rPr>
        <w:t xml:space="preserve"> (‘</w:t>
      </w:r>
      <w:r w:rsidR="00F81D6C" w:rsidRPr="007B6F97">
        <w:rPr>
          <w:rFonts w:ascii="Times New Roman" w:hAnsi="Times New Roman" w:cs="Times New Roman"/>
          <w:i/>
        </w:rPr>
        <w:t>the subject property’</w:t>
      </w:r>
      <w:r w:rsidR="00F81D6C" w:rsidRPr="007B6F97">
        <w:rPr>
          <w:rFonts w:ascii="Times New Roman" w:hAnsi="Times New Roman" w:cs="Times New Roman"/>
        </w:rPr>
        <w:t>).</w:t>
      </w:r>
      <w:r w:rsidRPr="007B6F97">
        <w:rPr>
          <w:rFonts w:ascii="Times New Roman" w:hAnsi="Times New Roman" w:cs="Times New Roman"/>
        </w:rPr>
        <w:t xml:space="preserve"> </w:t>
      </w:r>
      <w:r w:rsidR="00F81D6C" w:rsidRPr="007B6F97">
        <w:rPr>
          <w:rFonts w:ascii="Times New Roman" w:hAnsi="Times New Roman" w:cs="Times New Roman"/>
        </w:rPr>
        <w:t xml:space="preserve"> </w:t>
      </w:r>
      <w:r w:rsidR="00F71D8E" w:rsidRPr="007B6F97">
        <w:rPr>
          <w:rFonts w:ascii="Times New Roman" w:hAnsi="Times New Roman" w:cs="Times New Roman"/>
        </w:rPr>
        <w:t>U</w:t>
      </w:r>
      <w:r w:rsidRPr="007B6F97">
        <w:rPr>
          <w:rFonts w:ascii="Times New Roman" w:hAnsi="Times New Roman" w:cs="Times New Roman"/>
        </w:rPr>
        <w:t>ntil 2009, th</w:t>
      </w:r>
      <w:r w:rsidR="00A46965" w:rsidRPr="007B6F97">
        <w:rPr>
          <w:rFonts w:ascii="Times New Roman" w:hAnsi="Times New Roman" w:cs="Times New Roman"/>
        </w:rPr>
        <w:t>at</w:t>
      </w:r>
      <w:r w:rsidRPr="007B6F97">
        <w:rPr>
          <w:rFonts w:ascii="Times New Roman" w:hAnsi="Times New Roman" w:cs="Times New Roman"/>
        </w:rPr>
        <w:t xml:space="preserve"> property consisted of a ground floor bar and lounge and a first</w:t>
      </w:r>
      <w:r w:rsidR="00F81D6C" w:rsidRPr="007B6F97">
        <w:rPr>
          <w:rFonts w:ascii="Times New Roman" w:hAnsi="Times New Roman" w:cs="Times New Roman"/>
        </w:rPr>
        <w:t>-</w:t>
      </w:r>
      <w:r w:rsidRPr="007B6F97">
        <w:rPr>
          <w:rFonts w:ascii="Times New Roman" w:hAnsi="Times New Roman" w:cs="Times New Roman"/>
        </w:rPr>
        <w:t xml:space="preserve">floor domestic dwelling. </w:t>
      </w:r>
      <w:r w:rsidR="00F64D06">
        <w:rPr>
          <w:rFonts w:ascii="Times New Roman" w:hAnsi="Times New Roman" w:cs="Times New Roman"/>
        </w:rPr>
        <w:t xml:space="preserve">The </w:t>
      </w:r>
      <w:r w:rsidRPr="007B6F97">
        <w:rPr>
          <w:rFonts w:ascii="Times New Roman" w:hAnsi="Times New Roman" w:cs="Times New Roman"/>
        </w:rPr>
        <w:t xml:space="preserve">ground floor </w:t>
      </w:r>
      <w:r w:rsidR="00415799">
        <w:rPr>
          <w:rFonts w:ascii="Times New Roman" w:hAnsi="Times New Roman" w:cs="Times New Roman"/>
        </w:rPr>
        <w:t xml:space="preserve">valuation was revised </w:t>
      </w:r>
      <w:r w:rsidR="00F64D06">
        <w:rPr>
          <w:rFonts w:ascii="Times New Roman" w:hAnsi="Times New Roman" w:cs="Times New Roman"/>
        </w:rPr>
        <w:t xml:space="preserve">in </w:t>
      </w:r>
      <w:r w:rsidR="00415799">
        <w:rPr>
          <w:rFonts w:ascii="Times New Roman" w:hAnsi="Times New Roman" w:cs="Times New Roman"/>
        </w:rPr>
        <w:t xml:space="preserve">1995, </w:t>
      </w:r>
      <w:r w:rsidRPr="007B6F97">
        <w:rPr>
          <w:rFonts w:ascii="Times New Roman" w:hAnsi="Times New Roman" w:cs="Times New Roman"/>
        </w:rPr>
        <w:t xml:space="preserve">2000 and 2003.  In May 2009, the </w:t>
      </w:r>
      <w:r w:rsidR="00F81D6C" w:rsidRPr="007B6F97">
        <w:rPr>
          <w:rFonts w:ascii="Times New Roman" w:hAnsi="Times New Roman" w:cs="Times New Roman"/>
        </w:rPr>
        <w:t xml:space="preserve">subject </w:t>
      </w:r>
      <w:r w:rsidRPr="007B6F97">
        <w:rPr>
          <w:rFonts w:ascii="Times New Roman" w:hAnsi="Times New Roman" w:cs="Times New Roman"/>
        </w:rPr>
        <w:t xml:space="preserve">property was subdivided into a restaurant on the first floor, and a </w:t>
      </w:r>
      <w:r w:rsidR="00F1469D">
        <w:rPr>
          <w:rFonts w:ascii="Times New Roman" w:hAnsi="Times New Roman" w:cs="Times New Roman"/>
        </w:rPr>
        <w:t xml:space="preserve">bar and lounge </w:t>
      </w:r>
      <w:r w:rsidRPr="007B6F97">
        <w:rPr>
          <w:rFonts w:ascii="Times New Roman" w:hAnsi="Times New Roman" w:cs="Times New Roman"/>
        </w:rPr>
        <w:t>on the ground floor, and its valuation was thereupon revised to take account of the first</w:t>
      </w:r>
      <w:r w:rsidR="00F81D6C" w:rsidRPr="007B6F97">
        <w:rPr>
          <w:rFonts w:ascii="Times New Roman" w:hAnsi="Times New Roman" w:cs="Times New Roman"/>
        </w:rPr>
        <w:t>-</w:t>
      </w:r>
      <w:r w:rsidRPr="007B6F97">
        <w:rPr>
          <w:rFonts w:ascii="Times New Roman" w:hAnsi="Times New Roman" w:cs="Times New Roman"/>
        </w:rPr>
        <w:t>floor restaurant area</w:t>
      </w:r>
      <w:r w:rsidR="00415799">
        <w:rPr>
          <w:rFonts w:ascii="Times New Roman" w:hAnsi="Times New Roman" w:cs="Times New Roman"/>
        </w:rPr>
        <w:t>.</w:t>
      </w:r>
    </w:p>
    <w:p w14:paraId="13A8DAA5" w14:textId="77777777" w:rsidR="007B6F97" w:rsidRDefault="007B6F97" w:rsidP="00383FCC">
      <w:pPr>
        <w:pStyle w:val="ListParagraph"/>
        <w:spacing w:line="480" w:lineRule="auto"/>
      </w:pPr>
    </w:p>
    <w:p w14:paraId="4FD8A93B" w14:textId="77777777" w:rsidR="001844A5" w:rsidRPr="007B6F97" w:rsidRDefault="001844A5" w:rsidP="00383FCC">
      <w:pPr>
        <w:pStyle w:val="ListParagraph"/>
        <w:numPr>
          <w:ilvl w:val="0"/>
          <w:numId w:val="1"/>
        </w:numPr>
        <w:spacing w:line="480" w:lineRule="auto"/>
        <w:jc w:val="both"/>
        <w:rPr>
          <w:rFonts w:ascii="Times New Roman" w:hAnsi="Times New Roman" w:cs="Times New Roman"/>
          <w:b/>
        </w:rPr>
      </w:pPr>
      <w:r w:rsidRPr="007B6F97">
        <w:rPr>
          <w:rFonts w:ascii="Times New Roman" w:hAnsi="Times New Roman" w:cs="Times New Roman"/>
        </w:rPr>
        <w:t>From th</w:t>
      </w:r>
      <w:r w:rsidR="00F81D6C" w:rsidRPr="007B6F97">
        <w:rPr>
          <w:rFonts w:ascii="Times New Roman" w:hAnsi="Times New Roman" w:cs="Times New Roman"/>
        </w:rPr>
        <w:t xml:space="preserve">at point </w:t>
      </w:r>
      <w:r w:rsidRPr="007B6F97">
        <w:rPr>
          <w:rFonts w:ascii="Times New Roman" w:hAnsi="Times New Roman" w:cs="Times New Roman"/>
        </w:rPr>
        <w:t xml:space="preserve">until 2011 </w:t>
      </w:r>
      <w:r w:rsidR="00525E04" w:rsidRPr="007B6F97">
        <w:rPr>
          <w:rFonts w:ascii="Times New Roman" w:hAnsi="Times New Roman" w:cs="Times New Roman"/>
        </w:rPr>
        <w:t xml:space="preserve">these </w:t>
      </w:r>
      <w:r w:rsidR="00D71C59" w:rsidRPr="007B6F97">
        <w:rPr>
          <w:rFonts w:ascii="Times New Roman" w:hAnsi="Times New Roman" w:cs="Times New Roman"/>
        </w:rPr>
        <w:t xml:space="preserve">premises </w:t>
      </w:r>
      <w:r w:rsidRPr="007B6F97">
        <w:rPr>
          <w:rFonts w:ascii="Times New Roman" w:hAnsi="Times New Roman" w:cs="Times New Roman"/>
        </w:rPr>
        <w:t xml:space="preserve">were separate in all respects, being owned by different and unrelated entities, each </w:t>
      </w:r>
      <w:r w:rsidR="00222B38" w:rsidRPr="007B6F97">
        <w:rPr>
          <w:rFonts w:ascii="Times New Roman" w:hAnsi="Times New Roman" w:cs="Times New Roman"/>
        </w:rPr>
        <w:t xml:space="preserve">property </w:t>
      </w:r>
      <w:r w:rsidRPr="007B6F97">
        <w:rPr>
          <w:rFonts w:ascii="Times New Roman" w:hAnsi="Times New Roman" w:cs="Times New Roman"/>
        </w:rPr>
        <w:t xml:space="preserve">having its own entrance, telephone </w:t>
      </w:r>
      <w:r w:rsidRPr="007B6F97">
        <w:rPr>
          <w:rFonts w:ascii="Times New Roman" w:hAnsi="Times New Roman" w:cs="Times New Roman"/>
        </w:rPr>
        <w:lastRenderedPageBreak/>
        <w:t xml:space="preserve">number and booking system.  There was no physical connection between them.  </w:t>
      </w:r>
      <w:r w:rsidR="00525E04" w:rsidRPr="007B6F97">
        <w:rPr>
          <w:rFonts w:ascii="Times New Roman" w:hAnsi="Times New Roman" w:cs="Times New Roman"/>
        </w:rPr>
        <w:t xml:space="preserve">Each of the units was </w:t>
      </w:r>
      <w:r w:rsidR="00934669" w:rsidRPr="007B6F97">
        <w:rPr>
          <w:rFonts w:ascii="Times New Roman" w:hAnsi="Times New Roman" w:cs="Times New Roman"/>
        </w:rPr>
        <w:t xml:space="preserve">thus </w:t>
      </w:r>
      <w:r w:rsidR="00525E04" w:rsidRPr="007B6F97">
        <w:rPr>
          <w:rFonts w:ascii="Times New Roman" w:hAnsi="Times New Roman" w:cs="Times New Roman"/>
        </w:rPr>
        <w:t>used</w:t>
      </w:r>
      <w:r w:rsidR="00934669" w:rsidRPr="007B6F97">
        <w:rPr>
          <w:rFonts w:ascii="Times New Roman" w:hAnsi="Times New Roman" w:cs="Times New Roman"/>
        </w:rPr>
        <w:t>,</w:t>
      </w:r>
      <w:r w:rsidR="00525E04" w:rsidRPr="007B6F97">
        <w:rPr>
          <w:rFonts w:ascii="Times New Roman" w:hAnsi="Times New Roman" w:cs="Times New Roman"/>
        </w:rPr>
        <w:t xml:space="preserve"> and appeared on the valuation list as</w:t>
      </w:r>
      <w:r w:rsidR="00934669" w:rsidRPr="007B6F97">
        <w:rPr>
          <w:rFonts w:ascii="Times New Roman" w:hAnsi="Times New Roman" w:cs="Times New Roman"/>
        </w:rPr>
        <w:t>,</w:t>
      </w:r>
      <w:r w:rsidR="00525E04" w:rsidRPr="007B6F97">
        <w:rPr>
          <w:rFonts w:ascii="Times New Roman" w:hAnsi="Times New Roman" w:cs="Times New Roman"/>
        </w:rPr>
        <w:t xml:space="preserve"> distinct properties.  </w:t>
      </w:r>
      <w:r w:rsidRPr="007B6F97">
        <w:rPr>
          <w:rFonts w:ascii="Times New Roman" w:hAnsi="Times New Roman" w:cs="Times New Roman"/>
        </w:rPr>
        <w:t xml:space="preserve">The </w:t>
      </w:r>
      <w:r w:rsidR="00112099" w:rsidRPr="007B6F97">
        <w:rPr>
          <w:rFonts w:ascii="Times New Roman" w:hAnsi="Times New Roman" w:cs="Times New Roman"/>
        </w:rPr>
        <w:t xml:space="preserve">valuation of the </w:t>
      </w:r>
      <w:r w:rsidRPr="007B6F97">
        <w:rPr>
          <w:rFonts w:ascii="Times New Roman" w:hAnsi="Times New Roman" w:cs="Times New Roman"/>
        </w:rPr>
        <w:t xml:space="preserve">ground floor was </w:t>
      </w:r>
      <w:r w:rsidR="00112099" w:rsidRPr="007B6F97">
        <w:rPr>
          <w:rFonts w:ascii="Times New Roman" w:hAnsi="Times New Roman" w:cs="Times New Roman"/>
        </w:rPr>
        <w:t>recorded</w:t>
      </w:r>
      <w:r w:rsidRPr="007B6F97">
        <w:rPr>
          <w:rFonts w:ascii="Times New Roman" w:hAnsi="Times New Roman" w:cs="Times New Roman"/>
        </w:rPr>
        <w:t xml:space="preserve"> under reference </w:t>
      </w:r>
      <w:r w:rsidRPr="007B6F97">
        <w:rPr>
          <w:rFonts w:ascii="Times New Roman" w:hAnsi="Times New Roman" w:cs="Times New Roman"/>
          <w:b/>
        </w:rPr>
        <w:t>79381</w:t>
      </w:r>
      <w:r w:rsidRPr="007B6F97">
        <w:rPr>
          <w:rFonts w:ascii="Times New Roman" w:hAnsi="Times New Roman" w:cs="Times New Roman"/>
        </w:rPr>
        <w:t xml:space="preserve"> and</w:t>
      </w:r>
      <w:r w:rsidR="00BD5203" w:rsidRPr="007B6F97">
        <w:rPr>
          <w:rFonts w:ascii="Times New Roman" w:hAnsi="Times New Roman" w:cs="Times New Roman"/>
        </w:rPr>
        <w:t xml:space="preserve"> that of</w:t>
      </w:r>
      <w:r w:rsidRPr="007B6F97">
        <w:rPr>
          <w:rFonts w:ascii="Times New Roman" w:hAnsi="Times New Roman" w:cs="Times New Roman"/>
        </w:rPr>
        <w:t xml:space="preserve"> the first floor under reference </w:t>
      </w:r>
      <w:r w:rsidRPr="007B6F97">
        <w:rPr>
          <w:rFonts w:ascii="Times New Roman" w:hAnsi="Times New Roman" w:cs="Times New Roman"/>
          <w:b/>
        </w:rPr>
        <w:t>2199717</w:t>
      </w:r>
      <w:r w:rsidRPr="007B6F97">
        <w:rPr>
          <w:rFonts w:ascii="Times New Roman" w:hAnsi="Times New Roman" w:cs="Times New Roman"/>
        </w:rPr>
        <w:t xml:space="preserve">.  </w:t>
      </w:r>
      <w:r w:rsidR="00BD5203" w:rsidRPr="007B6F97">
        <w:rPr>
          <w:rFonts w:ascii="Times New Roman" w:hAnsi="Times New Roman" w:cs="Times New Roman"/>
        </w:rPr>
        <w:t xml:space="preserve">Having been </w:t>
      </w:r>
      <w:r w:rsidRPr="007B6F97">
        <w:rPr>
          <w:rFonts w:ascii="Times New Roman" w:hAnsi="Times New Roman" w:cs="Times New Roman"/>
        </w:rPr>
        <w:t xml:space="preserve">first valued separately in May 2009, </w:t>
      </w:r>
      <w:r w:rsidR="00BD5203" w:rsidRPr="007B6F97">
        <w:rPr>
          <w:rFonts w:ascii="Times New Roman" w:hAnsi="Times New Roman" w:cs="Times New Roman"/>
        </w:rPr>
        <w:t xml:space="preserve">the premises were valued </w:t>
      </w:r>
      <w:r w:rsidRPr="007B6F97">
        <w:rPr>
          <w:rFonts w:ascii="Times New Roman" w:hAnsi="Times New Roman" w:cs="Times New Roman"/>
        </w:rPr>
        <w:t xml:space="preserve">again in September 2009.  Following the latter valuation, the two properties appeared on the </w:t>
      </w:r>
      <w:r w:rsidR="00567859" w:rsidRPr="007B6F97">
        <w:rPr>
          <w:rFonts w:ascii="Times New Roman" w:hAnsi="Times New Roman" w:cs="Times New Roman"/>
        </w:rPr>
        <w:t xml:space="preserve">valuation </w:t>
      </w:r>
      <w:r w:rsidRPr="007B6F97">
        <w:rPr>
          <w:rFonts w:ascii="Times New Roman" w:hAnsi="Times New Roman" w:cs="Times New Roman"/>
        </w:rPr>
        <w:t>list with rateable valuations of, respectively, €198</w:t>
      </w:r>
      <w:r w:rsidR="003E3A20" w:rsidRPr="007B6F97">
        <w:rPr>
          <w:rFonts w:ascii="Times New Roman" w:hAnsi="Times New Roman" w:cs="Times New Roman"/>
        </w:rPr>
        <w:t>.00</w:t>
      </w:r>
      <w:r w:rsidRPr="007B6F97">
        <w:rPr>
          <w:rFonts w:ascii="Times New Roman" w:hAnsi="Times New Roman" w:cs="Times New Roman"/>
        </w:rPr>
        <w:t xml:space="preserve"> and €122.</w:t>
      </w:r>
      <w:r w:rsidR="003E3A20" w:rsidRPr="007B6F97">
        <w:rPr>
          <w:rFonts w:ascii="Times New Roman" w:hAnsi="Times New Roman" w:cs="Times New Roman"/>
        </w:rPr>
        <w:t>00.</w:t>
      </w:r>
    </w:p>
    <w:p w14:paraId="45E12C9A" w14:textId="77777777" w:rsidR="001844A5" w:rsidRPr="00553C59" w:rsidRDefault="001844A5" w:rsidP="00383FCC">
      <w:pPr>
        <w:pStyle w:val="ListParagraph"/>
        <w:spacing w:line="480" w:lineRule="auto"/>
        <w:rPr>
          <w:rFonts w:ascii="Times New Roman" w:hAnsi="Times New Roman" w:cs="Times New Roman"/>
          <w:b/>
        </w:rPr>
      </w:pPr>
    </w:p>
    <w:p w14:paraId="6A78E68F" w14:textId="77777777" w:rsidR="001844A5" w:rsidRPr="002C7C06" w:rsidRDefault="001844A5" w:rsidP="00383FCC">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2011, the two properties came under the ownership of Dayhoff and were </w:t>
      </w:r>
      <w:r w:rsidR="00415799">
        <w:rPr>
          <w:rFonts w:ascii="Times New Roman" w:hAnsi="Times New Roman" w:cs="Times New Roman"/>
        </w:rPr>
        <w:t xml:space="preserve">eventually </w:t>
      </w:r>
      <w:r>
        <w:rPr>
          <w:rFonts w:ascii="Times New Roman" w:hAnsi="Times New Roman" w:cs="Times New Roman"/>
        </w:rPr>
        <w:t>amalgamated</w:t>
      </w:r>
      <w:r w:rsidR="00222B38">
        <w:rPr>
          <w:rFonts w:ascii="Times New Roman" w:hAnsi="Times New Roman" w:cs="Times New Roman"/>
        </w:rPr>
        <w:t xml:space="preserve"> to form one unit</w:t>
      </w:r>
      <w:r>
        <w:rPr>
          <w:rFonts w:ascii="Times New Roman" w:hAnsi="Times New Roman" w:cs="Times New Roman"/>
        </w:rPr>
        <w:t xml:space="preserve">.  Works were undertaken to insert a mezzanine floor into a portion of the ground floor of the property, and a stairway </w:t>
      </w:r>
      <w:r w:rsidR="00222B38">
        <w:rPr>
          <w:rFonts w:ascii="Times New Roman" w:hAnsi="Times New Roman" w:cs="Times New Roman"/>
        </w:rPr>
        <w:t xml:space="preserve">was </w:t>
      </w:r>
      <w:r>
        <w:rPr>
          <w:rFonts w:ascii="Times New Roman" w:hAnsi="Times New Roman" w:cs="Times New Roman"/>
        </w:rPr>
        <w:t xml:space="preserve">installed connecting the ground floor to the first floor.  The entire property </w:t>
      </w:r>
      <w:r w:rsidR="00222B38">
        <w:rPr>
          <w:rFonts w:ascii="Times New Roman" w:hAnsi="Times New Roman" w:cs="Times New Roman"/>
        </w:rPr>
        <w:t xml:space="preserve">has since then been </w:t>
      </w:r>
      <w:r>
        <w:rPr>
          <w:rFonts w:ascii="Times New Roman" w:hAnsi="Times New Roman" w:cs="Times New Roman"/>
        </w:rPr>
        <w:t>used as a single</w:t>
      </w:r>
      <w:r w:rsidR="00934669">
        <w:rPr>
          <w:rFonts w:ascii="Times New Roman" w:hAnsi="Times New Roman" w:cs="Times New Roman"/>
        </w:rPr>
        <w:t xml:space="preserve">, </w:t>
      </w:r>
      <w:r>
        <w:rPr>
          <w:rFonts w:ascii="Times New Roman" w:hAnsi="Times New Roman" w:cs="Times New Roman"/>
        </w:rPr>
        <w:t>licensed premises.</w:t>
      </w:r>
    </w:p>
    <w:p w14:paraId="3B31FB41" w14:textId="77777777" w:rsidR="001844A5" w:rsidRDefault="001844A5" w:rsidP="001844A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2963ABC6" w14:textId="484BA950" w:rsidR="00236363" w:rsidRPr="00236363" w:rsidRDefault="00DB4527"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w:t>
      </w:r>
      <w:r w:rsidR="004038CB">
        <w:rPr>
          <w:rFonts w:ascii="Times New Roman" w:hAnsi="Times New Roman" w:cs="Times New Roman"/>
        </w:rPr>
        <w:t xml:space="preserve">he statutory context in which the amalgamation of the ground and first floor units gave rise to the valuation </w:t>
      </w:r>
      <w:r w:rsidR="001D6586">
        <w:rPr>
          <w:rFonts w:ascii="Times New Roman" w:hAnsi="Times New Roman" w:cs="Times New Roman"/>
        </w:rPr>
        <w:t xml:space="preserve">from which the </w:t>
      </w:r>
      <w:r w:rsidR="004038CB">
        <w:rPr>
          <w:rFonts w:ascii="Times New Roman" w:hAnsi="Times New Roman" w:cs="Times New Roman"/>
        </w:rPr>
        <w:t xml:space="preserve">Tribunal’s case stated </w:t>
      </w:r>
      <w:r w:rsidR="001D6586">
        <w:rPr>
          <w:rFonts w:ascii="Times New Roman" w:hAnsi="Times New Roman" w:cs="Times New Roman"/>
        </w:rPr>
        <w:t xml:space="preserve">arises, </w:t>
      </w:r>
      <w:r w:rsidR="004038CB">
        <w:rPr>
          <w:rFonts w:ascii="Times New Roman" w:hAnsi="Times New Roman" w:cs="Times New Roman"/>
        </w:rPr>
        <w:t xml:space="preserve">is </w:t>
      </w:r>
      <w:r w:rsidR="004038CB" w:rsidRPr="004038CB">
        <w:rPr>
          <w:rFonts w:ascii="Times New Roman" w:hAnsi="Times New Roman" w:cs="Times New Roman"/>
        </w:rPr>
        <w:t>this:</w:t>
      </w:r>
      <w:r w:rsidR="004038CB" w:rsidRPr="004038CB">
        <w:t xml:space="preserve"> </w:t>
      </w:r>
    </w:p>
    <w:p w14:paraId="70085BCE" w14:textId="77777777" w:rsidR="003B6262" w:rsidRPr="00236363" w:rsidRDefault="003B6262" w:rsidP="00236363">
      <w:pPr>
        <w:spacing w:line="480" w:lineRule="auto"/>
      </w:pPr>
    </w:p>
    <w:p w14:paraId="0BB6DDEF" w14:textId="257B6DF7" w:rsidR="00BC164F" w:rsidRPr="00AB0A69" w:rsidRDefault="00B10049"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Section 21 of the Act provides that t</w:t>
      </w:r>
      <w:r w:rsidR="00112441">
        <w:rPr>
          <w:rFonts w:ascii="Times New Roman" w:hAnsi="Times New Roman" w:cs="Times New Roman"/>
        </w:rPr>
        <w:t>he ‘</w:t>
      </w:r>
      <w:r w:rsidR="00112441">
        <w:rPr>
          <w:rFonts w:ascii="Times New Roman" w:hAnsi="Times New Roman" w:cs="Times New Roman"/>
          <w:i/>
        </w:rPr>
        <w:t xml:space="preserve">valuation list’ </w:t>
      </w:r>
      <w:r w:rsidR="00112441">
        <w:rPr>
          <w:rFonts w:ascii="Times New Roman" w:hAnsi="Times New Roman" w:cs="Times New Roman"/>
        </w:rPr>
        <w:t xml:space="preserve">comprises every </w:t>
      </w:r>
      <w:r w:rsidR="00277952">
        <w:rPr>
          <w:rFonts w:ascii="Times New Roman" w:hAnsi="Times New Roman" w:cs="Times New Roman"/>
        </w:rPr>
        <w:t>‘</w:t>
      </w:r>
      <w:r w:rsidR="00112441" w:rsidRPr="00277952">
        <w:rPr>
          <w:rFonts w:ascii="Times New Roman" w:hAnsi="Times New Roman" w:cs="Times New Roman"/>
          <w:i/>
        </w:rPr>
        <w:t>relevant property</w:t>
      </w:r>
      <w:r w:rsidR="00277952">
        <w:rPr>
          <w:rFonts w:ascii="Times New Roman" w:hAnsi="Times New Roman" w:cs="Times New Roman"/>
        </w:rPr>
        <w:t>’</w:t>
      </w:r>
      <w:r w:rsidR="00112441" w:rsidRPr="00277952">
        <w:rPr>
          <w:rFonts w:ascii="Times New Roman" w:hAnsi="Times New Roman" w:cs="Times New Roman"/>
          <w:i/>
        </w:rPr>
        <w:t xml:space="preserve"> </w:t>
      </w:r>
      <w:r w:rsidR="00112441">
        <w:rPr>
          <w:rFonts w:ascii="Times New Roman" w:hAnsi="Times New Roman" w:cs="Times New Roman"/>
        </w:rPr>
        <w:t>that has been the subject of a valuation</w:t>
      </w:r>
      <w:r>
        <w:rPr>
          <w:rFonts w:ascii="Times New Roman" w:hAnsi="Times New Roman" w:cs="Times New Roman"/>
        </w:rPr>
        <w:t xml:space="preserve"> order and the value of that property as determined by that valuation.</w:t>
      </w:r>
      <w:r w:rsidR="007806C4">
        <w:rPr>
          <w:rFonts w:ascii="Times New Roman" w:hAnsi="Times New Roman" w:cs="Times New Roman"/>
        </w:rPr>
        <w:t xml:space="preserve">  </w:t>
      </w:r>
      <w:r w:rsidR="00BC164F">
        <w:rPr>
          <w:rFonts w:ascii="Times New Roman" w:hAnsi="Times New Roman" w:cs="Times New Roman"/>
        </w:rPr>
        <w:t>‘</w:t>
      </w:r>
      <w:r w:rsidR="00BC164F">
        <w:rPr>
          <w:rFonts w:ascii="Times New Roman" w:hAnsi="Times New Roman" w:cs="Times New Roman"/>
          <w:i/>
        </w:rPr>
        <w:t xml:space="preserve">Value’ </w:t>
      </w:r>
      <w:r w:rsidR="00BC164F">
        <w:rPr>
          <w:rFonts w:ascii="Times New Roman" w:hAnsi="Times New Roman" w:cs="Times New Roman"/>
        </w:rPr>
        <w:t>for these purposes means the value by reference to which a rate made in respect of that property has effect (s.</w:t>
      </w:r>
      <w:r w:rsidR="000064F3">
        <w:rPr>
          <w:rFonts w:ascii="Times New Roman" w:hAnsi="Times New Roman" w:cs="Times New Roman"/>
        </w:rPr>
        <w:t xml:space="preserve"> </w:t>
      </w:r>
      <w:r w:rsidR="00BC164F">
        <w:rPr>
          <w:rFonts w:ascii="Times New Roman" w:hAnsi="Times New Roman" w:cs="Times New Roman"/>
        </w:rPr>
        <w:t>3(1)</w:t>
      </w:r>
      <w:r w:rsidR="00B555A9">
        <w:rPr>
          <w:rFonts w:ascii="Times New Roman" w:hAnsi="Times New Roman" w:cs="Times New Roman"/>
        </w:rPr>
        <w:t>)</w:t>
      </w:r>
      <w:r w:rsidR="00BC164F">
        <w:rPr>
          <w:rFonts w:ascii="Times New Roman" w:hAnsi="Times New Roman" w:cs="Times New Roman"/>
        </w:rPr>
        <w:t>.</w:t>
      </w:r>
    </w:p>
    <w:p w14:paraId="016CC31D" w14:textId="77777777" w:rsidR="00AB0A69" w:rsidRDefault="00AB0A69" w:rsidP="00AB0A69">
      <w:pPr>
        <w:pStyle w:val="ListParagraph"/>
        <w:spacing w:line="480" w:lineRule="auto"/>
        <w:ind w:left="1440"/>
        <w:jc w:val="both"/>
        <w:rPr>
          <w:rFonts w:ascii="Times New Roman" w:hAnsi="Times New Roman" w:cs="Times New Roman"/>
          <w:b/>
        </w:rPr>
      </w:pPr>
      <w:r>
        <w:rPr>
          <w:rFonts w:ascii="Times New Roman" w:hAnsi="Times New Roman" w:cs="Times New Roman"/>
          <w:b/>
        </w:rPr>
        <w:t xml:space="preserve">  </w:t>
      </w:r>
    </w:p>
    <w:p w14:paraId="1EF24F4A" w14:textId="52D3B1C9" w:rsidR="00BC164F" w:rsidRPr="00383FCC" w:rsidRDefault="00AB0A69" w:rsidP="000064F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The ‘</w:t>
      </w:r>
      <w:r>
        <w:rPr>
          <w:rFonts w:ascii="Times New Roman" w:hAnsi="Times New Roman" w:cs="Times New Roman"/>
          <w:i/>
        </w:rPr>
        <w:t>value’</w:t>
      </w:r>
      <w:r>
        <w:rPr>
          <w:rFonts w:ascii="Times New Roman" w:hAnsi="Times New Roman" w:cs="Times New Roman"/>
        </w:rPr>
        <w:t xml:space="preserve"> of a relevant property is determined by estimating the net annual value of the property which, in turn, means the rent for which, one year with </w:t>
      </w:r>
      <w:r>
        <w:rPr>
          <w:rFonts w:ascii="Times New Roman" w:hAnsi="Times New Roman" w:cs="Times New Roman"/>
        </w:rPr>
        <w:lastRenderedPageBreak/>
        <w:t xml:space="preserve">another, the property might in </w:t>
      </w:r>
      <w:r w:rsidR="009C21BD">
        <w:rPr>
          <w:rFonts w:ascii="Times New Roman" w:hAnsi="Times New Roman" w:cs="Times New Roman"/>
        </w:rPr>
        <w:t>its</w:t>
      </w:r>
      <w:r>
        <w:rPr>
          <w:rFonts w:ascii="Times New Roman" w:hAnsi="Times New Roman" w:cs="Times New Roman"/>
        </w:rPr>
        <w:t xml:space="preserve"> actual state, be reasonably expected to let from year to year subject to certain statutory assumptions (s.</w:t>
      </w:r>
      <w:r w:rsidR="000064F3">
        <w:rPr>
          <w:rFonts w:ascii="Times New Roman" w:hAnsi="Times New Roman" w:cs="Times New Roman"/>
        </w:rPr>
        <w:t xml:space="preserve"> </w:t>
      </w:r>
      <w:r>
        <w:rPr>
          <w:rFonts w:ascii="Times New Roman" w:hAnsi="Times New Roman" w:cs="Times New Roman"/>
        </w:rPr>
        <w:t>48).</w:t>
      </w:r>
    </w:p>
    <w:p w14:paraId="41C6E66B" w14:textId="77777777" w:rsidR="00383FCC" w:rsidRPr="00383FCC" w:rsidRDefault="00383FCC" w:rsidP="00383FCC">
      <w:pPr>
        <w:spacing w:line="480" w:lineRule="auto"/>
        <w:jc w:val="both"/>
        <w:rPr>
          <w:b/>
        </w:rPr>
      </w:pPr>
    </w:p>
    <w:p w14:paraId="50D87EC8" w14:textId="77777777" w:rsidR="003B6262" w:rsidRPr="003B6262" w:rsidRDefault="007806C4" w:rsidP="003B6262">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Section 63 provides that the statement of the value of a property as appearing on a valuation list shall be deemed to be a correct statement of t</w:t>
      </w:r>
      <w:r w:rsidR="00A32269">
        <w:rPr>
          <w:rFonts w:ascii="Times New Roman" w:hAnsi="Times New Roman" w:cs="Times New Roman"/>
        </w:rPr>
        <w:t>h</w:t>
      </w:r>
      <w:r>
        <w:rPr>
          <w:rFonts w:ascii="Times New Roman" w:hAnsi="Times New Roman" w:cs="Times New Roman"/>
        </w:rPr>
        <w:t>at value until it has been altered in accordance with the provisions of the Act.</w:t>
      </w:r>
      <w:r w:rsidR="00B10049">
        <w:rPr>
          <w:rFonts w:ascii="Times New Roman" w:hAnsi="Times New Roman" w:cs="Times New Roman"/>
        </w:rPr>
        <w:t xml:space="preserve"> </w:t>
      </w:r>
    </w:p>
    <w:p w14:paraId="1C84A1A4" w14:textId="77777777" w:rsidR="003B6262" w:rsidRPr="003B6262" w:rsidRDefault="003B6262" w:rsidP="003B6262">
      <w:pPr>
        <w:pStyle w:val="ListParagraph"/>
        <w:spacing w:line="480" w:lineRule="auto"/>
        <w:ind w:left="1440"/>
        <w:jc w:val="both"/>
        <w:rPr>
          <w:rFonts w:ascii="Times New Roman" w:hAnsi="Times New Roman" w:cs="Times New Roman"/>
          <w:b/>
        </w:rPr>
      </w:pPr>
      <w:r>
        <w:rPr>
          <w:rFonts w:ascii="Times New Roman" w:hAnsi="Times New Roman" w:cs="Times New Roman"/>
        </w:rPr>
        <w:t xml:space="preserve">  </w:t>
      </w:r>
    </w:p>
    <w:p w14:paraId="2739C208" w14:textId="45DD98D4" w:rsidR="003B6262" w:rsidRPr="003B6262" w:rsidRDefault="00277952"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w:t>
      </w:r>
      <w:r>
        <w:rPr>
          <w:rFonts w:ascii="Times New Roman" w:hAnsi="Times New Roman" w:cs="Times New Roman"/>
          <w:i/>
        </w:rPr>
        <w:t xml:space="preserve">Relevant property’ </w:t>
      </w:r>
      <w:r>
        <w:rPr>
          <w:rFonts w:ascii="Times New Roman" w:hAnsi="Times New Roman" w:cs="Times New Roman"/>
        </w:rPr>
        <w:t>as that term appears throughout the Act is defined by reference to Schedule 3 thereof</w:t>
      </w:r>
      <w:r w:rsidR="00BC164F">
        <w:rPr>
          <w:rFonts w:ascii="Times New Roman" w:hAnsi="Times New Roman" w:cs="Times New Roman"/>
        </w:rPr>
        <w:t xml:space="preserve"> (s.</w:t>
      </w:r>
      <w:r w:rsidR="000064F3">
        <w:rPr>
          <w:rFonts w:ascii="Times New Roman" w:hAnsi="Times New Roman" w:cs="Times New Roman"/>
        </w:rPr>
        <w:t xml:space="preserve"> </w:t>
      </w:r>
      <w:r w:rsidR="00BC164F">
        <w:rPr>
          <w:rFonts w:ascii="Times New Roman" w:hAnsi="Times New Roman" w:cs="Times New Roman"/>
        </w:rPr>
        <w:t>3(1))</w:t>
      </w:r>
      <w:r>
        <w:rPr>
          <w:rFonts w:ascii="Times New Roman" w:hAnsi="Times New Roman" w:cs="Times New Roman"/>
        </w:rPr>
        <w:t>, which in turn lists various species of property</w:t>
      </w:r>
      <w:r w:rsidR="00B555A9">
        <w:rPr>
          <w:rFonts w:ascii="Times New Roman" w:hAnsi="Times New Roman" w:cs="Times New Roman"/>
        </w:rPr>
        <w:t>.</w:t>
      </w:r>
      <w:r>
        <w:rPr>
          <w:rFonts w:ascii="Times New Roman" w:hAnsi="Times New Roman" w:cs="Times New Roman"/>
          <w:i/>
        </w:rPr>
        <w:t xml:space="preserve"> </w:t>
      </w:r>
    </w:p>
    <w:p w14:paraId="6DD5823F" w14:textId="77777777" w:rsidR="003B6262" w:rsidRPr="003B6262" w:rsidRDefault="003B6262" w:rsidP="00236363">
      <w:pPr>
        <w:pStyle w:val="ListParagraph"/>
        <w:spacing w:line="480" w:lineRule="auto"/>
        <w:rPr>
          <w:rFonts w:ascii="Times New Roman" w:hAnsi="Times New Roman" w:cs="Times New Roman"/>
        </w:rPr>
      </w:pPr>
    </w:p>
    <w:p w14:paraId="32F2A6D2" w14:textId="77777777" w:rsidR="00277952" w:rsidRPr="00277952" w:rsidRDefault="00277952"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Section 15 of the Act decrees that – subject to certain prescribed exclusions - ‘</w:t>
      </w:r>
      <w:r>
        <w:rPr>
          <w:rFonts w:ascii="Times New Roman" w:hAnsi="Times New Roman" w:cs="Times New Roman"/>
          <w:i/>
        </w:rPr>
        <w:t xml:space="preserve">relevant property’ </w:t>
      </w:r>
      <w:r>
        <w:rPr>
          <w:rFonts w:ascii="Times New Roman" w:hAnsi="Times New Roman" w:cs="Times New Roman"/>
        </w:rPr>
        <w:t>shall be rateable.</w:t>
      </w:r>
    </w:p>
    <w:p w14:paraId="21F68A8D" w14:textId="77777777" w:rsidR="00277952" w:rsidRPr="00277952" w:rsidRDefault="00277952" w:rsidP="00236363">
      <w:pPr>
        <w:pStyle w:val="ListParagraph"/>
        <w:spacing w:line="480" w:lineRule="auto"/>
        <w:rPr>
          <w:rFonts w:ascii="Times New Roman" w:hAnsi="Times New Roman" w:cs="Times New Roman"/>
        </w:rPr>
      </w:pPr>
    </w:p>
    <w:p w14:paraId="0A2E08E9" w14:textId="77777777" w:rsidR="003B6262" w:rsidRPr="003B6262" w:rsidRDefault="00277952"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 xml:space="preserve">Relevant </w:t>
      </w:r>
      <w:r w:rsidR="001844A5">
        <w:rPr>
          <w:rFonts w:ascii="Times New Roman" w:hAnsi="Times New Roman" w:cs="Times New Roman"/>
        </w:rPr>
        <w:t xml:space="preserve">property may be ascribed a rateable valuation on the valuation list in one of two ways.  The rating authority may conduct a </w:t>
      </w:r>
      <w:r w:rsidR="001844A5">
        <w:rPr>
          <w:rFonts w:ascii="Times New Roman" w:hAnsi="Times New Roman" w:cs="Times New Roman"/>
          <w:i/>
        </w:rPr>
        <w:t xml:space="preserve">revaluation </w:t>
      </w:r>
      <w:r w:rsidR="001844A5">
        <w:rPr>
          <w:rFonts w:ascii="Times New Roman" w:hAnsi="Times New Roman" w:cs="Times New Roman"/>
        </w:rPr>
        <w:t xml:space="preserve">of the list in respect of its area, which involves a re-assessment of the rateable valuation of all rateable properties in that area, or it may undertake a </w:t>
      </w:r>
      <w:r w:rsidR="001844A5">
        <w:rPr>
          <w:rFonts w:ascii="Times New Roman" w:hAnsi="Times New Roman" w:cs="Times New Roman"/>
          <w:i/>
        </w:rPr>
        <w:t>revision</w:t>
      </w:r>
      <w:r w:rsidR="001844A5">
        <w:rPr>
          <w:rFonts w:ascii="Times New Roman" w:hAnsi="Times New Roman" w:cs="Times New Roman"/>
        </w:rPr>
        <w:t xml:space="preserve"> of the list in respect of an individual entry on the list.  </w:t>
      </w:r>
      <w:r w:rsidR="00942F3D">
        <w:rPr>
          <w:rFonts w:ascii="Times New Roman" w:hAnsi="Times New Roman" w:cs="Times New Roman"/>
        </w:rPr>
        <w:t>T</w:t>
      </w:r>
      <w:r w:rsidR="001844A5">
        <w:rPr>
          <w:rFonts w:ascii="Times New Roman" w:hAnsi="Times New Roman" w:cs="Times New Roman"/>
        </w:rPr>
        <w:t xml:space="preserve">he valuation of a premises may </w:t>
      </w:r>
      <w:r w:rsidR="00942F3D">
        <w:rPr>
          <w:rFonts w:ascii="Times New Roman" w:hAnsi="Times New Roman" w:cs="Times New Roman"/>
        </w:rPr>
        <w:t xml:space="preserve">thus </w:t>
      </w:r>
      <w:r w:rsidR="001844A5">
        <w:rPr>
          <w:rFonts w:ascii="Times New Roman" w:hAnsi="Times New Roman" w:cs="Times New Roman"/>
        </w:rPr>
        <w:t xml:space="preserve">be assessed prior to a revaluation or between revaluations.  </w:t>
      </w:r>
    </w:p>
    <w:p w14:paraId="23188346" w14:textId="77777777" w:rsidR="003B6262" w:rsidRPr="003B6262" w:rsidRDefault="003B6262" w:rsidP="00236363">
      <w:pPr>
        <w:pStyle w:val="ListParagraph"/>
        <w:spacing w:line="480" w:lineRule="auto"/>
        <w:rPr>
          <w:rFonts w:ascii="Times New Roman" w:hAnsi="Times New Roman" w:cs="Times New Roman"/>
        </w:rPr>
      </w:pPr>
    </w:p>
    <w:p w14:paraId="7E70E9D8" w14:textId="613CE8C3" w:rsidR="007D23EC" w:rsidRPr="007D23EC" w:rsidRDefault="001844A5"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Under s.</w:t>
      </w:r>
      <w:r w:rsidR="000064F3">
        <w:rPr>
          <w:rFonts w:ascii="Times New Roman" w:hAnsi="Times New Roman" w:cs="Times New Roman"/>
        </w:rPr>
        <w:t xml:space="preserve"> </w:t>
      </w:r>
      <w:r>
        <w:rPr>
          <w:rFonts w:ascii="Times New Roman" w:hAnsi="Times New Roman" w:cs="Times New Roman"/>
        </w:rPr>
        <w:t>28 of the Act, a revision may be undertaken only if there has been a ‘</w:t>
      </w:r>
      <w:r>
        <w:rPr>
          <w:rFonts w:ascii="Times New Roman" w:hAnsi="Times New Roman" w:cs="Times New Roman"/>
          <w:i/>
        </w:rPr>
        <w:t xml:space="preserve">material change of circumstances’ </w:t>
      </w:r>
      <w:r w:rsidR="00C87EF8">
        <w:rPr>
          <w:rFonts w:ascii="Times New Roman" w:hAnsi="Times New Roman" w:cs="Times New Roman"/>
        </w:rPr>
        <w:t xml:space="preserve">(‘MCC’) </w:t>
      </w:r>
      <w:r>
        <w:rPr>
          <w:rFonts w:ascii="Times New Roman" w:hAnsi="Times New Roman" w:cs="Times New Roman"/>
        </w:rPr>
        <w:t>since the property was last valued.</w:t>
      </w:r>
    </w:p>
    <w:p w14:paraId="4CC8065E" w14:textId="77777777" w:rsidR="007D23EC" w:rsidRPr="007D23EC" w:rsidRDefault="007D23EC" w:rsidP="00236363">
      <w:pPr>
        <w:pStyle w:val="ListParagraph"/>
        <w:spacing w:line="480" w:lineRule="auto"/>
        <w:rPr>
          <w:rFonts w:ascii="Times New Roman" w:hAnsi="Times New Roman" w:cs="Times New Roman"/>
        </w:rPr>
      </w:pPr>
    </w:p>
    <w:p w14:paraId="30A92A94" w14:textId="4BCA2864" w:rsidR="007B6F97" w:rsidRPr="007B6F97" w:rsidRDefault="007D23EC" w:rsidP="00236363">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lastRenderedPageBreak/>
        <w:t>Where a revision officer determines that there is such an MCC, he or she proceeds to value the property in accordance with s.</w:t>
      </w:r>
      <w:r w:rsidR="000064F3">
        <w:rPr>
          <w:rFonts w:ascii="Times New Roman" w:hAnsi="Times New Roman" w:cs="Times New Roman"/>
        </w:rPr>
        <w:t xml:space="preserve"> </w:t>
      </w:r>
      <w:r>
        <w:rPr>
          <w:rFonts w:ascii="Times New Roman" w:hAnsi="Times New Roman" w:cs="Times New Roman"/>
        </w:rPr>
        <w:t>49</w:t>
      </w:r>
      <w:r w:rsidR="00934669">
        <w:rPr>
          <w:rFonts w:ascii="Times New Roman" w:hAnsi="Times New Roman" w:cs="Times New Roman"/>
        </w:rPr>
        <w:t>(1)</w:t>
      </w:r>
      <w:r>
        <w:rPr>
          <w:rFonts w:ascii="Times New Roman" w:hAnsi="Times New Roman" w:cs="Times New Roman"/>
        </w:rPr>
        <w:t>.  That decision may be appealed to the Commissioner under s.</w:t>
      </w:r>
      <w:r w:rsidR="000064F3">
        <w:rPr>
          <w:rFonts w:ascii="Times New Roman" w:hAnsi="Times New Roman" w:cs="Times New Roman"/>
        </w:rPr>
        <w:t xml:space="preserve"> </w:t>
      </w:r>
      <w:r>
        <w:rPr>
          <w:rFonts w:ascii="Times New Roman" w:hAnsi="Times New Roman" w:cs="Times New Roman"/>
        </w:rPr>
        <w:t>3</w:t>
      </w:r>
      <w:r w:rsidR="006819E6">
        <w:rPr>
          <w:rFonts w:ascii="Times New Roman" w:hAnsi="Times New Roman" w:cs="Times New Roman"/>
        </w:rPr>
        <w:t>0</w:t>
      </w:r>
      <w:r w:rsidR="003A2DCE">
        <w:rPr>
          <w:rFonts w:ascii="Times New Roman" w:hAnsi="Times New Roman" w:cs="Times New Roman"/>
        </w:rPr>
        <w:t xml:space="preserve"> of the Act</w:t>
      </w:r>
      <w:r>
        <w:rPr>
          <w:rFonts w:ascii="Times New Roman" w:hAnsi="Times New Roman" w:cs="Times New Roman"/>
        </w:rPr>
        <w:t>, being subject to an onward appeal to the Tribunal under s.</w:t>
      </w:r>
      <w:r w:rsidR="000064F3">
        <w:rPr>
          <w:rFonts w:ascii="Times New Roman" w:hAnsi="Times New Roman" w:cs="Times New Roman"/>
        </w:rPr>
        <w:t xml:space="preserve"> </w:t>
      </w:r>
      <w:r>
        <w:rPr>
          <w:rFonts w:ascii="Times New Roman" w:hAnsi="Times New Roman" w:cs="Times New Roman"/>
        </w:rPr>
        <w:t>3</w:t>
      </w:r>
      <w:r w:rsidR="006819E6">
        <w:rPr>
          <w:rFonts w:ascii="Times New Roman" w:hAnsi="Times New Roman" w:cs="Times New Roman"/>
        </w:rPr>
        <w:t>4</w:t>
      </w:r>
      <w:r>
        <w:rPr>
          <w:rFonts w:ascii="Times New Roman" w:hAnsi="Times New Roman" w:cs="Times New Roman"/>
        </w:rPr>
        <w:t>.</w:t>
      </w:r>
    </w:p>
    <w:p w14:paraId="64D32EDA" w14:textId="77777777" w:rsidR="001844A5" w:rsidRPr="007B6F97" w:rsidRDefault="001844A5" w:rsidP="007B6F97">
      <w:pPr>
        <w:spacing w:line="480" w:lineRule="auto"/>
        <w:jc w:val="both"/>
        <w:rPr>
          <w:b/>
        </w:rPr>
      </w:pPr>
      <w:r w:rsidRPr="007B6F97">
        <w:t xml:space="preserve"> </w:t>
      </w:r>
    </w:p>
    <w:p w14:paraId="14B95F27" w14:textId="77777777" w:rsidR="001844A5" w:rsidRPr="006D3B74" w:rsidRDefault="001844A5" w:rsidP="001844A5">
      <w:pPr>
        <w:pStyle w:val="ListParagraph"/>
        <w:rPr>
          <w:rFonts w:ascii="Times New Roman" w:hAnsi="Times New Roman" w:cs="Times New Roman"/>
          <w:b/>
        </w:rPr>
      </w:pPr>
    </w:p>
    <w:p w14:paraId="26841B9C" w14:textId="45E88304" w:rsidR="001844A5" w:rsidRPr="003B6262" w:rsidRDefault="001844A5" w:rsidP="003B6262">
      <w:pPr>
        <w:pStyle w:val="ListParagraph"/>
        <w:numPr>
          <w:ilvl w:val="0"/>
          <w:numId w:val="1"/>
        </w:numPr>
        <w:spacing w:line="480" w:lineRule="auto"/>
        <w:jc w:val="both"/>
        <w:rPr>
          <w:rFonts w:ascii="Times New Roman" w:hAnsi="Times New Roman" w:cs="Times New Roman"/>
          <w:b/>
        </w:rPr>
      </w:pPr>
      <w:r w:rsidRPr="003B6262">
        <w:rPr>
          <w:rFonts w:ascii="Times New Roman" w:hAnsi="Times New Roman" w:cs="Times New Roman"/>
        </w:rPr>
        <w:t xml:space="preserve">In November 2011 Dayhoff sought a revision of the </w:t>
      </w:r>
      <w:r w:rsidR="00B10049" w:rsidRPr="003B6262">
        <w:rPr>
          <w:rFonts w:ascii="Times New Roman" w:hAnsi="Times New Roman" w:cs="Times New Roman"/>
        </w:rPr>
        <w:t xml:space="preserve">valuation of the </w:t>
      </w:r>
      <w:r w:rsidRPr="003B6262">
        <w:rPr>
          <w:rFonts w:ascii="Times New Roman" w:hAnsi="Times New Roman" w:cs="Times New Roman"/>
        </w:rPr>
        <w:t>property</w:t>
      </w:r>
      <w:r w:rsidR="00415799">
        <w:rPr>
          <w:rFonts w:ascii="Times New Roman" w:hAnsi="Times New Roman" w:cs="Times New Roman"/>
        </w:rPr>
        <w:t xml:space="preserve"> seeking </w:t>
      </w:r>
      <w:r w:rsidRPr="003B6262">
        <w:rPr>
          <w:rFonts w:ascii="Times New Roman" w:hAnsi="Times New Roman" w:cs="Times New Roman"/>
        </w:rPr>
        <w:t>amalgamation of the ground floor and first floor of the premises.  That request was at first refused but following an appeal against that decision first to the Commissioner of Valuation and then to the Tribunal, the Commissioner conceded (in August 2012) that a material change in circumstances within the meaning of s.</w:t>
      </w:r>
      <w:r w:rsidR="000064F3">
        <w:rPr>
          <w:rFonts w:ascii="Times New Roman" w:hAnsi="Times New Roman" w:cs="Times New Roman"/>
        </w:rPr>
        <w:t xml:space="preserve"> </w:t>
      </w:r>
      <w:r w:rsidRPr="003B6262">
        <w:rPr>
          <w:rFonts w:ascii="Times New Roman" w:hAnsi="Times New Roman" w:cs="Times New Roman"/>
        </w:rPr>
        <w:t>28 had occurred and that Dayhoff was entitled to a revision.  From there, the sequence was as follows:</w:t>
      </w:r>
    </w:p>
    <w:p w14:paraId="3523EB3E" w14:textId="77777777" w:rsidR="001844A5" w:rsidRDefault="001844A5" w:rsidP="001844A5">
      <w:pPr>
        <w:pStyle w:val="ListParagraph"/>
      </w:pPr>
    </w:p>
    <w:p w14:paraId="3E046C83" w14:textId="77777777" w:rsidR="001844A5" w:rsidRPr="006D3B74" w:rsidRDefault="001844A5" w:rsidP="001844A5">
      <w:pPr>
        <w:pStyle w:val="ListParagraph"/>
        <w:rPr>
          <w:rFonts w:ascii="Times New Roman" w:hAnsi="Times New Roman" w:cs="Times New Roman"/>
          <w:b/>
        </w:rPr>
      </w:pPr>
    </w:p>
    <w:p w14:paraId="4AC39FE7" w14:textId="7DD29F03" w:rsidR="001844A5" w:rsidRPr="00C322B0" w:rsidRDefault="001844A5" w:rsidP="001844A5">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 xml:space="preserve">On </w:t>
      </w:r>
      <w:r w:rsidR="000064F3">
        <w:rPr>
          <w:rFonts w:ascii="Times New Roman" w:hAnsi="Times New Roman" w:cs="Times New Roman"/>
        </w:rPr>
        <w:t>9</w:t>
      </w:r>
      <w:r>
        <w:rPr>
          <w:rFonts w:ascii="Times New Roman" w:hAnsi="Times New Roman" w:cs="Times New Roman"/>
        </w:rPr>
        <w:t xml:space="preserve"> May 2014 the Commissioner issued a proposed certificate of valuation for the entire property of €278.</w:t>
      </w:r>
      <w:r w:rsidR="003E3A20">
        <w:rPr>
          <w:rFonts w:ascii="Times New Roman" w:hAnsi="Times New Roman" w:cs="Times New Roman"/>
        </w:rPr>
        <w:t>00.</w:t>
      </w:r>
    </w:p>
    <w:p w14:paraId="4DDA313E" w14:textId="77777777" w:rsidR="001844A5" w:rsidRPr="006D3B74" w:rsidRDefault="001844A5" w:rsidP="001844A5">
      <w:pPr>
        <w:pStyle w:val="ListParagraph"/>
        <w:spacing w:line="480" w:lineRule="auto"/>
        <w:ind w:left="1440"/>
        <w:jc w:val="both"/>
        <w:rPr>
          <w:rFonts w:ascii="Times New Roman" w:hAnsi="Times New Roman" w:cs="Times New Roman"/>
          <w:b/>
        </w:rPr>
      </w:pPr>
    </w:p>
    <w:p w14:paraId="469FE693" w14:textId="65515FBC" w:rsidR="001844A5" w:rsidRPr="00D15C32" w:rsidRDefault="001844A5" w:rsidP="001844A5">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On 7 October 2014 (and following representations on behalf of Dayhoff) the Commissioner issued a certificate with a rateable valuation of €257.</w:t>
      </w:r>
      <w:r w:rsidR="003E3A20">
        <w:rPr>
          <w:rFonts w:ascii="Times New Roman" w:hAnsi="Times New Roman" w:cs="Times New Roman"/>
        </w:rPr>
        <w:t xml:space="preserve">00.  That </w:t>
      </w:r>
      <w:r w:rsidR="00866C10">
        <w:rPr>
          <w:rFonts w:ascii="Times New Roman" w:hAnsi="Times New Roman" w:cs="Times New Roman"/>
        </w:rPr>
        <w:t>was calculated by reference to a rate per square metre on the ground floor of the property</w:t>
      </w:r>
      <w:r w:rsidR="00F839B2">
        <w:rPr>
          <w:rFonts w:ascii="Times New Roman" w:hAnsi="Times New Roman" w:cs="Times New Roman"/>
        </w:rPr>
        <w:t>.  By agreement, the value of the first floor was determined to be one third of this.</w:t>
      </w:r>
    </w:p>
    <w:p w14:paraId="7F5D6114" w14:textId="77777777" w:rsidR="001844A5" w:rsidRDefault="001844A5" w:rsidP="001844A5">
      <w:pPr>
        <w:pStyle w:val="ListParagraph"/>
        <w:spacing w:line="480" w:lineRule="auto"/>
        <w:ind w:left="1440"/>
        <w:jc w:val="both"/>
        <w:rPr>
          <w:rFonts w:ascii="Times New Roman" w:hAnsi="Times New Roman" w:cs="Times New Roman"/>
          <w:b/>
        </w:rPr>
      </w:pPr>
      <w:r>
        <w:rPr>
          <w:rFonts w:ascii="Times New Roman" w:hAnsi="Times New Roman" w:cs="Times New Roman"/>
          <w:b/>
        </w:rPr>
        <w:t xml:space="preserve">  </w:t>
      </w:r>
    </w:p>
    <w:p w14:paraId="3C6227A3" w14:textId="7845D4CC" w:rsidR="001844A5" w:rsidRPr="006D3B74" w:rsidRDefault="001844A5" w:rsidP="001844A5">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On 23 May 2016, the Commissioner determined an appeal brought against that valuation, declining to change the certificate issued on 7 October 2014.</w:t>
      </w:r>
    </w:p>
    <w:p w14:paraId="7AAE815B" w14:textId="68C5A5AE" w:rsidR="001844A5" w:rsidRPr="00236363" w:rsidRDefault="001844A5" w:rsidP="00236363">
      <w:pPr>
        <w:pStyle w:val="ListParagraph"/>
        <w:spacing w:line="480" w:lineRule="auto"/>
        <w:jc w:val="both"/>
        <w:rPr>
          <w:rFonts w:ascii="Times New Roman" w:hAnsi="Times New Roman" w:cs="Times New Roman"/>
          <w:b/>
        </w:rPr>
      </w:pPr>
      <w:r>
        <w:t xml:space="preserve"> </w:t>
      </w:r>
    </w:p>
    <w:p w14:paraId="13A57B78" w14:textId="0EDC7DBB" w:rsidR="00032D31" w:rsidRPr="00032D31" w:rsidRDefault="001844A5" w:rsidP="00AD6499">
      <w:pPr>
        <w:pStyle w:val="ListParagraph"/>
        <w:numPr>
          <w:ilvl w:val="0"/>
          <w:numId w:val="1"/>
        </w:numPr>
        <w:spacing w:line="480" w:lineRule="auto"/>
        <w:jc w:val="both"/>
        <w:rPr>
          <w:rFonts w:ascii="Times New Roman" w:hAnsi="Times New Roman" w:cs="Times New Roman"/>
          <w:b/>
        </w:rPr>
      </w:pPr>
      <w:proofErr w:type="spellStart"/>
      <w:r w:rsidRPr="004C3A44">
        <w:rPr>
          <w:rFonts w:ascii="Times New Roman" w:hAnsi="Times New Roman" w:cs="Times New Roman"/>
        </w:rPr>
        <w:lastRenderedPageBreak/>
        <w:t>Dayhoff’s</w:t>
      </w:r>
      <w:proofErr w:type="spellEnd"/>
      <w:r w:rsidRPr="004C3A44">
        <w:rPr>
          <w:rFonts w:ascii="Times New Roman" w:hAnsi="Times New Roman" w:cs="Times New Roman"/>
        </w:rPr>
        <w:t xml:space="preserve"> appeal </w:t>
      </w:r>
      <w:r w:rsidR="00226399">
        <w:rPr>
          <w:rFonts w:ascii="Times New Roman" w:hAnsi="Times New Roman" w:cs="Times New Roman"/>
        </w:rPr>
        <w:t xml:space="preserve">to the Tribunal </w:t>
      </w:r>
      <w:r w:rsidRPr="004C3A44">
        <w:rPr>
          <w:rFonts w:ascii="Times New Roman" w:hAnsi="Times New Roman" w:cs="Times New Roman"/>
        </w:rPr>
        <w:t xml:space="preserve">against that valuation </w:t>
      </w:r>
      <w:r w:rsidR="00226428">
        <w:rPr>
          <w:rFonts w:ascii="Times New Roman" w:hAnsi="Times New Roman" w:cs="Times New Roman"/>
        </w:rPr>
        <w:t xml:space="preserve">(which it should be said </w:t>
      </w:r>
      <w:r w:rsidR="00E767EE">
        <w:rPr>
          <w:rFonts w:ascii="Times New Roman" w:hAnsi="Times New Roman" w:cs="Times New Roman"/>
        </w:rPr>
        <w:t xml:space="preserve">was assigned to a </w:t>
      </w:r>
      <w:r w:rsidR="00226428">
        <w:rPr>
          <w:rFonts w:ascii="Times New Roman" w:hAnsi="Times New Roman" w:cs="Times New Roman"/>
        </w:rPr>
        <w:t xml:space="preserve">property </w:t>
      </w:r>
      <w:r w:rsidR="00112099">
        <w:rPr>
          <w:rFonts w:ascii="Times New Roman" w:hAnsi="Times New Roman" w:cs="Times New Roman"/>
        </w:rPr>
        <w:t xml:space="preserve">also </w:t>
      </w:r>
      <w:r w:rsidR="00226428">
        <w:rPr>
          <w:rFonts w:ascii="Times New Roman" w:hAnsi="Times New Roman" w:cs="Times New Roman"/>
        </w:rPr>
        <w:t>designated as number</w:t>
      </w:r>
      <w:r w:rsidR="00226428" w:rsidRPr="00B10049">
        <w:rPr>
          <w:rFonts w:ascii="Times New Roman" w:hAnsi="Times New Roman" w:cs="Times New Roman"/>
          <w:b/>
        </w:rPr>
        <w:t xml:space="preserve"> </w:t>
      </w:r>
      <w:r w:rsidR="002537A3" w:rsidRPr="00B10049">
        <w:rPr>
          <w:rFonts w:ascii="Times New Roman" w:hAnsi="Times New Roman" w:cs="Times New Roman"/>
          <w:b/>
        </w:rPr>
        <w:t xml:space="preserve">79381 </w:t>
      </w:r>
      <w:r w:rsidR="002537A3">
        <w:rPr>
          <w:rFonts w:ascii="Times New Roman" w:hAnsi="Times New Roman" w:cs="Times New Roman"/>
        </w:rPr>
        <w:t xml:space="preserve">on the relevant list) </w:t>
      </w:r>
      <w:r w:rsidRPr="004C3A44">
        <w:rPr>
          <w:rFonts w:ascii="Times New Roman" w:hAnsi="Times New Roman" w:cs="Times New Roman"/>
        </w:rPr>
        <w:t xml:space="preserve">was based upon the </w:t>
      </w:r>
      <w:r w:rsidR="005A1AC8">
        <w:rPr>
          <w:rFonts w:ascii="Times New Roman" w:hAnsi="Times New Roman" w:cs="Times New Roman"/>
        </w:rPr>
        <w:t xml:space="preserve">contention </w:t>
      </w:r>
      <w:r w:rsidRPr="004C3A44">
        <w:rPr>
          <w:rFonts w:ascii="Times New Roman" w:hAnsi="Times New Roman" w:cs="Times New Roman"/>
        </w:rPr>
        <w:t xml:space="preserve">that the </w:t>
      </w:r>
      <w:r w:rsidR="009C21BD">
        <w:rPr>
          <w:rFonts w:ascii="Times New Roman" w:hAnsi="Times New Roman" w:cs="Times New Roman"/>
        </w:rPr>
        <w:t>r</w:t>
      </w:r>
      <w:r w:rsidRPr="004C3A44">
        <w:rPr>
          <w:rFonts w:ascii="Times New Roman" w:hAnsi="Times New Roman" w:cs="Times New Roman"/>
        </w:rPr>
        <w:t xml:space="preserve">ateable </w:t>
      </w:r>
      <w:r w:rsidR="009C21BD">
        <w:rPr>
          <w:rFonts w:ascii="Times New Roman" w:hAnsi="Times New Roman" w:cs="Times New Roman"/>
        </w:rPr>
        <w:t>v</w:t>
      </w:r>
      <w:r w:rsidRPr="004C3A44">
        <w:rPr>
          <w:rFonts w:ascii="Times New Roman" w:hAnsi="Times New Roman" w:cs="Times New Roman"/>
        </w:rPr>
        <w:t>aluation as assessed was excessive and inequitable</w:t>
      </w:r>
      <w:r w:rsidR="00A71CA5">
        <w:rPr>
          <w:rFonts w:ascii="Times New Roman" w:hAnsi="Times New Roman" w:cs="Times New Roman"/>
        </w:rPr>
        <w:t xml:space="preserve"> and that </w:t>
      </w:r>
      <w:r w:rsidR="00EA117F">
        <w:rPr>
          <w:rFonts w:ascii="Times New Roman" w:hAnsi="Times New Roman" w:cs="Times New Roman"/>
        </w:rPr>
        <w:t xml:space="preserve">the Commissioner had failed to revise the property in line with the </w:t>
      </w:r>
      <w:r w:rsidR="003A2DCE">
        <w:rPr>
          <w:rFonts w:ascii="Times New Roman" w:hAnsi="Times New Roman" w:cs="Times New Roman"/>
        </w:rPr>
        <w:t>‘</w:t>
      </w:r>
      <w:r w:rsidR="00EA117F" w:rsidRPr="003A2DCE">
        <w:rPr>
          <w:rFonts w:ascii="Times New Roman" w:hAnsi="Times New Roman" w:cs="Times New Roman"/>
          <w:i/>
        </w:rPr>
        <w:t>tone of the list</w:t>
      </w:r>
      <w:r w:rsidR="003A2DCE">
        <w:rPr>
          <w:rFonts w:ascii="Times New Roman" w:hAnsi="Times New Roman" w:cs="Times New Roman"/>
        </w:rPr>
        <w:t>’</w:t>
      </w:r>
      <w:r w:rsidR="00343F15">
        <w:rPr>
          <w:rFonts w:ascii="Times New Roman" w:hAnsi="Times New Roman" w:cs="Times New Roman"/>
        </w:rPr>
        <w:t xml:space="preserve">. </w:t>
      </w:r>
      <w:r w:rsidR="00032D31">
        <w:rPr>
          <w:rFonts w:ascii="Times New Roman" w:hAnsi="Times New Roman" w:cs="Times New Roman"/>
        </w:rPr>
        <w:t>It contended that the valuation of the subject property ought to have been determined in the sum of €130.00</w:t>
      </w:r>
      <w:r w:rsidR="003A2DCE">
        <w:rPr>
          <w:rFonts w:ascii="Times New Roman" w:hAnsi="Times New Roman" w:cs="Times New Roman"/>
        </w:rPr>
        <w:t>.</w:t>
      </w:r>
      <w:r w:rsidR="00032D31">
        <w:rPr>
          <w:rFonts w:ascii="Times New Roman" w:hAnsi="Times New Roman" w:cs="Times New Roman"/>
        </w:rPr>
        <w:t xml:space="preserve">  </w:t>
      </w:r>
    </w:p>
    <w:p w14:paraId="4E7E645D" w14:textId="77777777" w:rsidR="00032D31" w:rsidRPr="00032D31" w:rsidRDefault="00032D31" w:rsidP="00032D31">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61DD1F59" w14:textId="051A0979" w:rsidR="001844A5" w:rsidRPr="00AD6499" w:rsidRDefault="001844A5" w:rsidP="00AD6499">
      <w:pPr>
        <w:pStyle w:val="ListParagraph"/>
        <w:numPr>
          <w:ilvl w:val="0"/>
          <w:numId w:val="1"/>
        </w:numPr>
        <w:spacing w:line="480" w:lineRule="auto"/>
        <w:jc w:val="both"/>
        <w:rPr>
          <w:rFonts w:ascii="Times New Roman" w:hAnsi="Times New Roman" w:cs="Times New Roman"/>
          <w:b/>
        </w:rPr>
      </w:pPr>
      <w:r w:rsidRPr="004C3A44">
        <w:rPr>
          <w:rFonts w:ascii="Times New Roman" w:hAnsi="Times New Roman" w:cs="Times New Roman"/>
        </w:rPr>
        <w:t xml:space="preserve">The appeal was heard by the Valuation Tribunal on a number of dates in 2017 and 2018, and its decision issued on </w:t>
      </w:r>
      <w:r w:rsidR="009C21BD">
        <w:rPr>
          <w:rFonts w:ascii="Times New Roman" w:hAnsi="Times New Roman" w:cs="Times New Roman"/>
        </w:rPr>
        <w:t xml:space="preserve">16 </w:t>
      </w:r>
      <w:r w:rsidRPr="004C3A44">
        <w:rPr>
          <w:rFonts w:ascii="Times New Roman" w:hAnsi="Times New Roman" w:cs="Times New Roman"/>
        </w:rPr>
        <w:t xml:space="preserve">November 2018.  </w:t>
      </w:r>
      <w:r w:rsidR="00032D31">
        <w:rPr>
          <w:rFonts w:ascii="Times New Roman" w:hAnsi="Times New Roman" w:cs="Times New Roman"/>
        </w:rPr>
        <w:t>Having regard to the grounds of appeal, o</w:t>
      </w:r>
      <w:r w:rsidRPr="004C3A44">
        <w:rPr>
          <w:rFonts w:ascii="Times New Roman" w:hAnsi="Times New Roman" w:cs="Times New Roman"/>
        </w:rPr>
        <w:t>ne of the issues that presented itself in the course of the hearing arose from the proper approach to be adopted in seeking to value the property</w:t>
      </w:r>
      <w:r w:rsidR="00032D31">
        <w:rPr>
          <w:rFonts w:ascii="Times New Roman" w:hAnsi="Times New Roman" w:cs="Times New Roman"/>
        </w:rPr>
        <w:t xml:space="preserve"> in accordance with </w:t>
      </w:r>
      <w:r w:rsidRPr="004C3A44">
        <w:rPr>
          <w:rFonts w:ascii="Times New Roman" w:hAnsi="Times New Roman" w:cs="Times New Roman"/>
        </w:rPr>
        <w:t>the ‘</w:t>
      </w:r>
      <w:r w:rsidRPr="004C3A44">
        <w:rPr>
          <w:rFonts w:ascii="Times New Roman" w:hAnsi="Times New Roman" w:cs="Times New Roman"/>
          <w:i/>
        </w:rPr>
        <w:t>tone of the list’</w:t>
      </w:r>
      <w:r w:rsidRPr="004C3A44">
        <w:rPr>
          <w:rFonts w:ascii="Times New Roman" w:hAnsi="Times New Roman" w:cs="Times New Roman"/>
        </w:rPr>
        <w:t xml:space="preserve">.  </w:t>
      </w:r>
      <w:r w:rsidR="00A45E58">
        <w:rPr>
          <w:rFonts w:ascii="Times New Roman" w:hAnsi="Times New Roman" w:cs="Times New Roman"/>
        </w:rPr>
        <w:t xml:space="preserve"> This </w:t>
      </w:r>
      <w:r w:rsidR="001E6061" w:rsidRPr="00A45E58">
        <w:rPr>
          <w:rFonts w:ascii="Times New Roman" w:hAnsi="Times New Roman" w:cs="Times New Roman"/>
        </w:rPr>
        <w:t xml:space="preserve">is </w:t>
      </w:r>
      <w:r w:rsidR="009849CE" w:rsidRPr="00A45E58">
        <w:rPr>
          <w:rFonts w:ascii="Times New Roman" w:hAnsi="Times New Roman" w:cs="Times New Roman"/>
        </w:rPr>
        <w:t xml:space="preserve">a term used by valuers to describe the </w:t>
      </w:r>
      <w:r w:rsidR="004829E0" w:rsidRPr="00A45E58">
        <w:rPr>
          <w:rFonts w:ascii="Times New Roman" w:hAnsi="Times New Roman" w:cs="Times New Roman"/>
        </w:rPr>
        <w:t>process whereby a property is valued by reference to the prevailing values of comparable properties appearing on the valuation list in the same rating area.</w:t>
      </w:r>
      <w:r w:rsidR="00AD6499">
        <w:rPr>
          <w:rFonts w:ascii="Times New Roman" w:hAnsi="Times New Roman" w:cs="Times New Roman"/>
        </w:rPr>
        <w:t xml:space="preserve"> </w:t>
      </w:r>
      <w:r w:rsidR="00343F15" w:rsidRPr="00AD6499">
        <w:rPr>
          <w:rFonts w:ascii="Times New Roman" w:hAnsi="Times New Roman" w:cs="Times New Roman"/>
        </w:rPr>
        <w:t>T</w:t>
      </w:r>
      <w:r w:rsidR="001E6061" w:rsidRPr="00AD6499">
        <w:rPr>
          <w:rFonts w:ascii="Times New Roman" w:hAnsi="Times New Roman" w:cs="Times New Roman"/>
        </w:rPr>
        <w:t xml:space="preserve">he use </w:t>
      </w:r>
      <w:r w:rsidR="009F60BA" w:rsidRPr="00AD6499">
        <w:rPr>
          <w:rFonts w:ascii="Times New Roman" w:hAnsi="Times New Roman" w:cs="Times New Roman"/>
        </w:rPr>
        <w:t xml:space="preserve">in this way </w:t>
      </w:r>
      <w:r w:rsidR="001E6061" w:rsidRPr="00AD6499">
        <w:rPr>
          <w:rFonts w:ascii="Times New Roman" w:hAnsi="Times New Roman" w:cs="Times New Roman"/>
        </w:rPr>
        <w:t>of the ‘</w:t>
      </w:r>
      <w:r w:rsidR="001E6061" w:rsidRPr="00AD6499">
        <w:rPr>
          <w:rFonts w:ascii="Times New Roman" w:hAnsi="Times New Roman" w:cs="Times New Roman"/>
          <w:i/>
        </w:rPr>
        <w:t xml:space="preserve">tone of the list’ </w:t>
      </w:r>
      <w:r w:rsidRPr="00AD6499">
        <w:rPr>
          <w:rFonts w:ascii="Times New Roman" w:hAnsi="Times New Roman" w:cs="Times New Roman"/>
        </w:rPr>
        <w:t xml:space="preserve">is </w:t>
      </w:r>
      <w:r w:rsidR="00AD6499">
        <w:rPr>
          <w:rFonts w:ascii="Times New Roman" w:hAnsi="Times New Roman" w:cs="Times New Roman"/>
        </w:rPr>
        <w:t xml:space="preserve">mandated </w:t>
      </w:r>
      <w:r w:rsidRPr="00AD6499">
        <w:rPr>
          <w:rFonts w:ascii="Times New Roman" w:hAnsi="Times New Roman" w:cs="Times New Roman"/>
        </w:rPr>
        <w:t>by s.</w:t>
      </w:r>
      <w:r w:rsidR="000064F3">
        <w:rPr>
          <w:rFonts w:ascii="Times New Roman" w:hAnsi="Times New Roman" w:cs="Times New Roman"/>
        </w:rPr>
        <w:t xml:space="preserve"> </w:t>
      </w:r>
      <w:r w:rsidRPr="00AD6499">
        <w:rPr>
          <w:rFonts w:ascii="Times New Roman" w:hAnsi="Times New Roman" w:cs="Times New Roman"/>
        </w:rPr>
        <w:t>49</w:t>
      </w:r>
      <w:r w:rsidR="004038CB" w:rsidRPr="00AD6499">
        <w:rPr>
          <w:rFonts w:ascii="Times New Roman" w:hAnsi="Times New Roman" w:cs="Times New Roman"/>
        </w:rPr>
        <w:t>(1)</w:t>
      </w:r>
      <w:r w:rsidR="009849CE" w:rsidRPr="00AD6499">
        <w:rPr>
          <w:rFonts w:ascii="Times New Roman" w:hAnsi="Times New Roman" w:cs="Times New Roman"/>
        </w:rPr>
        <w:t xml:space="preserve"> of the Act</w:t>
      </w:r>
      <w:r w:rsidR="00747923">
        <w:rPr>
          <w:rFonts w:ascii="Times New Roman" w:hAnsi="Times New Roman" w:cs="Times New Roman"/>
        </w:rPr>
        <w:t xml:space="preserve"> </w:t>
      </w:r>
      <w:r w:rsidR="00AA74B8">
        <w:rPr>
          <w:rFonts w:ascii="Times New Roman" w:hAnsi="Times New Roman" w:cs="Times New Roman"/>
        </w:rPr>
        <w:t xml:space="preserve">via the requirement imposed by </w:t>
      </w:r>
      <w:r w:rsidR="00921D88">
        <w:rPr>
          <w:rFonts w:ascii="Times New Roman" w:hAnsi="Times New Roman" w:cs="Times New Roman"/>
        </w:rPr>
        <w:t xml:space="preserve">that provision </w:t>
      </w:r>
      <w:r w:rsidR="00064C38">
        <w:rPr>
          <w:rFonts w:ascii="Times New Roman" w:hAnsi="Times New Roman" w:cs="Times New Roman"/>
        </w:rPr>
        <w:t xml:space="preserve">and to which I have earlier referred </w:t>
      </w:r>
      <w:r w:rsidR="00AD6499">
        <w:rPr>
          <w:rFonts w:ascii="Times New Roman" w:hAnsi="Times New Roman" w:cs="Times New Roman"/>
        </w:rPr>
        <w:t xml:space="preserve">that </w:t>
      </w:r>
      <w:r w:rsidR="00A46965">
        <w:rPr>
          <w:rFonts w:ascii="Times New Roman" w:hAnsi="Times New Roman" w:cs="Times New Roman"/>
        </w:rPr>
        <w:t>upon a revision the valuation must be conducted by reference to the listed value of ‘</w:t>
      </w:r>
      <w:r w:rsidR="00A46965">
        <w:rPr>
          <w:rFonts w:ascii="Times New Roman" w:hAnsi="Times New Roman" w:cs="Times New Roman"/>
          <w:i/>
        </w:rPr>
        <w:t>other properties comparable to that property’</w:t>
      </w:r>
      <w:r w:rsidR="00A46965">
        <w:rPr>
          <w:rFonts w:ascii="Times New Roman" w:hAnsi="Times New Roman" w:cs="Times New Roman"/>
        </w:rPr>
        <w:t>.</w:t>
      </w:r>
    </w:p>
    <w:p w14:paraId="7B0871D2" w14:textId="77777777" w:rsidR="00A45E58" w:rsidRPr="00A46965" w:rsidRDefault="001844A5" w:rsidP="00A46965">
      <w:pPr>
        <w:spacing w:line="480" w:lineRule="auto"/>
        <w:jc w:val="both"/>
        <w:rPr>
          <w:b/>
        </w:rPr>
      </w:pPr>
      <w:r w:rsidRPr="00A46965">
        <w:t xml:space="preserve"> </w:t>
      </w:r>
    </w:p>
    <w:p w14:paraId="0E0372FD" w14:textId="64E0294C" w:rsidR="008C4A3A" w:rsidRPr="008C4A3A" w:rsidRDefault="00EC0DFC" w:rsidP="003B6262">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In this case, t</w:t>
      </w:r>
      <w:r w:rsidR="001844A5">
        <w:rPr>
          <w:rFonts w:ascii="Times New Roman" w:hAnsi="Times New Roman" w:cs="Times New Roman"/>
        </w:rPr>
        <w:t xml:space="preserve">he Commissioner’s expert witness sought to conduct the exercise of valuation </w:t>
      </w:r>
      <w:r w:rsidR="00343F15">
        <w:rPr>
          <w:rFonts w:ascii="Times New Roman" w:hAnsi="Times New Roman" w:cs="Times New Roman"/>
        </w:rPr>
        <w:t xml:space="preserve">before the Tribunal </w:t>
      </w:r>
      <w:r w:rsidR="001844A5">
        <w:rPr>
          <w:rFonts w:ascii="Times New Roman" w:hAnsi="Times New Roman" w:cs="Times New Roman"/>
        </w:rPr>
        <w:t>by reference to the valuation of other properties</w:t>
      </w:r>
      <w:r w:rsidR="00221FF8">
        <w:rPr>
          <w:rFonts w:ascii="Times New Roman" w:hAnsi="Times New Roman" w:cs="Times New Roman"/>
        </w:rPr>
        <w:t xml:space="preserve"> </w:t>
      </w:r>
      <w:r w:rsidR="00112099">
        <w:rPr>
          <w:rFonts w:ascii="Times New Roman" w:hAnsi="Times New Roman" w:cs="Times New Roman"/>
        </w:rPr>
        <w:t xml:space="preserve">she </w:t>
      </w:r>
      <w:r w:rsidR="00221FF8">
        <w:rPr>
          <w:rFonts w:ascii="Times New Roman" w:hAnsi="Times New Roman" w:cs="Times New Roman"/>
        </w:rPr>
        <w:t>contended w</w:t>
      </w:r>
      <w:r w:rsidR="00112099">
        <w:rPr>
          <w:rFonts w:ascii="Times New Roman" w:hAnsi="Times New Roman" w:cs="Times New Roman"/>
        </w:rPr>
        <w:t>ere</w:t>
      </w:r>
      <w:r w:rsidR="00221FF8">
        <w:rPr>
          <w:rFonts w:ascii="Times New Roman" w:hAnsi="Times New Roman" w:cs="Times New Roman"/>
        </w:rPr>
        <w:t xml:space="preserve"> comparable to the subject property.  These</w:t>
      </w:r>
      <w:r w:rsidR="001844A5">
        <w:rPr>
          <w:rFonts w:ascii="Times New Roman" w:hAnsi="Times New Roman" w:cs="Times New Roman"/>
        </w:rPr>
        <w:t xml:space="preserve"> includ</w:t>
      </w:r>
      <w:r w:rsidR="00221FF8">
        <w:rPr>
          <w:rFonts w:ascii="Times New Roman" w:hAnsi="Times New Roman" w:cs="Times New Roman"/>
        </w:rPr>
        <w:t xml:space="preserve">ed </w:t>
      </w:r>
      <w:r w:rsidR="001844A5">
        <w:rPr>
          <w:rFonts w:ascii="Times New Roman" w:hAnsi="Times New Roman" w:cs="Times New Roman"/>
        </w:rPr>
        <w:t xml:space="preserve">the two premises which had previously appeared separately on the list, but </w:t>
      </w:r>
      <w:r w:rsidR="00B80B81">
        <w:rPr>
          <w:rFonts w:ascii="Times New Roman" w:hAnsi="Times New Roman" w:cs="Times New Roman"/>
        </w:rPr>
        <w:t xml:space="preserve">which </w:t>
      </w:r>
      <w:r w:rsidR="001844A5">
        <w:rPr>
          <w:rFonts w:ascii="Times New Roman" w:hAnsi="Times New Roman" w:cs="Times New Roman"/>
        </w:rPr>
        <w:t>upon amalgamation now constituted ‘</w:t>
      </w:r>
      <w:r w:rsidR="001844A5">
        <w:rPr>
          <w:rFonts w:ascii="Times New Roman" w:hAnsi="Times New Roman" w:cs="Times New Roman"/>
          <w:i/>
        </w:rPr>
        <w:t xml:space="preserve">the property’ </w:t>
      </w:r>
      <w:r w:rsidR="001844A5">
        <w:rPr>
          <w:rFonts w:ascii="Times New Roman" w:hAnsi="Times New Roman" w:cs="Times New Roman"/>
        </w:rPr>
        <w:t>being valued.  Dayhoff objected to this, adopting the position that the previously separate premises that now comprised ‘</w:t>
      </w:r>
      <w:r w:rsidR="001844A5">
        <w:rPr>
          <w:rFonts w:ascii="Times New Roman" w:hAnsi="Times New Roman" w:cs="Times New Roman"/>
          <w:i/>
        </w:rPr>
        <w:t xml:space="preserve">the property’ </w:t>
      </w:r>
      <w:r w:rsidR="001844A5">
        <w:rPr>
          <w:rFonts w:ascii="Times New Roman" w:hAnsi="Times New Roman" w:cs="Times New Roman"/>
        </w:rPr>
        <w:t xml:space="preserve">could </w:t>
      </w:r>
      <w:r w:rsidR="001844A5">
        <w:rPr>
          <w:rFonts w:ascii="Times New Roman" w:hAnsi="Times New Roman" w:cs="Times New Roman"/>
        </w:rPr>
        <w:lastRenderedPageBreak/>
        <w:t>not be ‘</w:t>
      </w:r>
      <w:r w:rsidR="001844A5">
        <w:rPr>
          <w:rFonts w:ascii="Times New Roman" w:hAnsi="Times New Roman" w:cs="Times New Roman"/>
          <w:i/>
        </w:rPr>
        <w:t xml:space="preserve">other properties’ </w:t>
      </w:r>
      <w:r w:rsidR="001844A5">
        <w:rPr>
          <w:rFonts w:ascii="Times New Roman" w:hAnsi="Times New Roman" w:cs="Times New Roman"/>
        </w:rPr>
        <w:t xml:space="preserve">for the purposes of this provision.  </w:t>
      </w:r>
      <w:r w:rsidR="008C4A3A">
        <w:rPr>
          <w:rFonts w:ascii="Times New Roman" w:hAnsi="Times New Roman" w:cs="Times New Roman"/>
        </w:rPr>
        <w:t xml:space="preserve">That </w:t>
      </w:r>
      <w:r w:rsidR="003620C6">
        <w:rPr>
          <w:rFonts w:ascii="Times New Roman" w:hAnsi="Times New Roman" w:cs="Times New Roman"/>
        </w:rPr>
        <w:t xml:space="preserve">contention </w:t>
      </w:r>
      <w:r w:rsidR="008C4A3A">
        <w:rPr>
          <w:rFonts w:ascii="Times New Roman" w:hAnsi="Times New Roman" w:cs="Times New Roman"/>
        </w:rPr>
        <w:t>depend</w:t>
      </w:r>
      <w:r w:rsidR="003620C6">
        <w:rPr>
          <w:rFonts w:ascii="Times New Roman" w:hAnsi="Times New Roman" w:cs="Times New Roman"/>
        </w:rPr>
        <w:t>ed</w:t>
      </w:r>
      <w:r w:rsidR="008C4A3A">
        <w:rPr>
          <w:rFonts w:ascii="Times New Roman" w:hAnsi="Times New Roman" w:cs="Times New Roman"/>
        </w:rPr>
        <w:t xml:space="preserve"> on </w:t>
      </w:r>
      <w:r w:rsidR="009C21BD">
        <w:rPr>
          <w:rFonts w:ascii="Times New Roman" w:hAnsi="Times New Roman" w:cs="Times New Roman"/>
        </w:rPr>
        <w:t xml:space="preserve">the </w:t>
      </w:r>
      <w:r w:rsidR="003620C6">
        <w:rPr>
          <w:rFonts w:ascii="Times New Roman" w:hAnsi="Times New Roman" w:cs="Times New Roman"/>
        </w:rPr>
        <w:t xml:space="preserve">meaning of </w:t>
      </w:r>
      <w:r w:rsidR="008C4A3A">
        <w:rPr>
          <w:rFonts w:ascii="Times New Roman" w:hAnsi="Times New Roman" w:cs="Times New Roman"/>
        </w:rPr>
        <w:t xml:space="preserve">the </w:t>
      </w:r>
      <w:r w:rsidR="003620C6">
        <w:rPr>
          <w:rFonts w:ascii="Times New Roman" w:hAnsi="Times New Roman" w:cs="Times New Roman"/>
        </w:rPr>
        <w:t xml:space="preserve">term </w:t>
      </w:r>
      <w:r w:rsidR="008C4A3A">
        <w:rPr>
          <w:rFonts w:ascii="Times New Roman" w:hAnsi="Times New Roman" w:cs="Times New Roman"/>
        </w:rPr>
        <w:t>‘</w:t>
      </w:r>
      <w:r w:rsidR="008C4A3A">
        <w:rPr>
          <w:rFonts w:ascii="Times New Roman" w:hAnsi="Times New Roman" w:cs="Times New Roman"/>
          <w:i/>
        </w:rPr>
        <w:t>other properties’</w:t>
      </w:r>
      <w:r w:rsidR="00343F15">
        <w:rPr>
          <w:rFonts w:ascii="Times New Roman" w:hAnsi="Times New Roman" w:cs="Times New Roman"/>
          <w:i/>
        </w:rPr>
        <w:t xml:space="preserve"> </w:t>
      </w:r>
      <w:r w:rsidR="00343F15">
        <w:rPr>
          <w:rFonts w:ascii="Times New Roman" w:hAnsi="Times New Roman" w:cs="Times New Roman"/>
        </w:rPr>
        <w:t>as it appears in s.</w:t>
      </w:r>
      <w:r w:rsidR="000064F3">
        <w:rPr>
          <w:rFonts w:ascii="Times New Roman" w:hAnsi="Times New Roman" w:cs="Times New Roman"/>
        </w:rPr>
        <w:t xml:space="preserve"> </w:t>
      </w:r>
      <w:r w:rsidR="00343F15">
        <w:rPr>
          <w:rFonts w:ascii="Times New Roman" w:hAnsi="Times New Roman" w:cs="Times New Roman"/>
        </w:rPr>
        <w:t>49(1).</w:t>
      </w:r>
      <w:r w:rsidR="008C4A3A">
        <w:rPr>
          <w:rFonts w:ascii="Times New Roman" w:hAnsi="Times New Roman" w:cs="Times New Roman"/>
          <w:i/>
        </w:rPr>
        <w:t xml:space="preserve"> </w:t>
      </w:r>
    </w:p>
    <w:p w14:paraId="355F0464" w14:textId="77777777" w:rsidR="008C4A3A" w:rsidRPr="008C4A3A" w:rsidRDefault="008C4A3A" w:rsidP="008C4A3A">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193837D0" w14:textId="593E5458" w:rsidR="001844A5" w:rsidRPr="009E4684" w:rsidRDefault="001844A5" w:rsidP="003B6262">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Tribunal </w:t>
      </w:r>
      <w:r w:rsidR="00221FF8">
        <w:rPr>
          <w:rFonts w:ascii="Times New Roman" w:hAnsi="Times New Roman" w:cs="Times New Roman"/>
        </w:rPr>
        <w:t xml:space="preserve">- </w:t>
      </w:r>
      <w:r>
        <w:rPr>
          <w:rFonts w:ascii="Times New Roman" w:hAnsi="Times New Roman" w:cs="Times New Roman"/>
        </w:rPr>
        <w:t>agree</w:t>
      </w:r>
      <w:r w:rsidR="00221FF8">
        <w:rPr>
          <w:rFonts w:ascii="Times New Roman" w:hAnsi="Times New Roman" w:cs="Times New Roman"/>
        </w:rPr>
        <w:t>ing</w:t>
      </w:r>
      <w:r>
        <w:rPr>
          <w:rFonts w:ascii="Times New Roman" w:hAnsi="Times New Roman" w:cs="Times New Roman"/>
        </w:rPr>
        <w:t xml:space="preserve"> with Dayhoff</w:t>
      </w:r>
      <w:r w:rsidR="00221FF8">
        <w:rPr>
          <w:rFonts w:ascii="Times New Roman" w:hAnsi="Times New Roman" w:cs="Times New Roman"/>
        </w:rPr>
        <w:t xml:space="preserve"> – addressed its understanding of the </w:t>
      </w:r>
      <w:r w:rsidR="003620C6">
        <w:rPr>
          <w:rFonts w:ascii="Times New Roman" w:hAnsi="Times New Roman" w:cs="Times New Roman"/>
        </w:rPr>
        <w:t xml:space="preserve">import of that language, </w:t>
      </w:r>
      <w:r>
        <w:rPr>
          <w:rFonts w:ascii="Times New Roman" w:hAnsi="Times New Roman" w:cs="Times New Roman"/>
        </w:rPr>
        <w:t>stating (</w:t>
      </w:r>
      <w:r w:rsidR="00361BAB">
        <w:rPr>
          <w:rFonts w:ascii="Times New Roman" w:hAnsi="Times New Roman" w:cs="Times New Roman"/>
        </w:rPr>
        <w:t xml:space="preserve">at </w:t>
      </w:r>
      <w:r>
        <w:rPr>
          <w:rFonts w:ascii="Times New Roman" w:hAnsi="Times New Roman" w:cs="Times New Roman"/>
        </w:rPr>
        <w:t>paras. 8.16</w:t>
      </w:r>
      <w:r w:rsidR="000064F3">
        <w:rPr>
          <w:rFonts w:ascii="Times New Roman" w:hAnsi="Times New Roman" w:cs="Times New Roman"/>
        </w:rPr>
        <w:t xml:space="preserve"> to </w:t>
      </w:r>
      <w:r>
        <w:rPr>
          <w:rFonts w:ascii="Times New Roman" w:hAnsi="Times New Roman" w:cs="Times New Roman"/>
        </w:rPr>
        <w:t>8.18):</w:t>
      </w:r>
    </w:p>
    <w:p w14:paraId="1CC1E4FB" w14:textId="77777777" w:rsidR="001844A5" w:rsidRDefault="001844A5" w:rsidP="001844A5">
      <w:pPr>
        <w:pStyle w:val="ListParagraph"/>
        <w:spacing w:line="480" w:lineRule="auto"/>
        <w:jc w:val="both"/>
        <w:rPr>
          <w:rFonts w:ascii="Times New Roman" w:hAnsi="Times New Roman" w:cs="Times New Roman"/>
          <w:b/>
        </w:rPr>
      </w:pPr>
    </w:p>
    <w:p w14:paraId="557A306C" w14:textId="77777777" w:rsidR="001844A5" w:rsidRDefault="001844A5" w:rsidP="001844A5">
      <w:pPr>
        <w:pStyle w:val="ListParagraph"/>
        <w:spacing w:line="480" w:lineRule="auto"/>
        <w:ind w:left="1440"/>
        <w:jc w:val="both"/>
        <w:rPr>
          <w:rFonts w:ascii="Times New Roman" w:hAnsi="Times New Roman" w:cs="Times New Roman"/>
          <w:i/>
        </w:rPr>
      </w:pPr>
      <w:r>
        <w:rPr>
          <w:rFonts w:ascii="Times New Roman" w:hAnsi="Times New Roman" w:cs="Times New Roman"/>
          <w:i/>
        </w:rPr>
        <w:t>‘It is clear that the same property falls to be valued both before and after the material change of circumstances ; what changes is not the property to be valued but the mode of valuation, in the present case, from valuation as two relevant properties to valuation as a single relevant property</w:t>
      </w:r>
      <w:r>
        <w:rPr>
          <w:rFonts w:ascii="Times New Roman" w:hAnsi="Times New Roman" w:cs="Times New Roman"/>
        </w:rPr>
        <w:t>.</w:t>
      </w:r>
    </w:p>
    <w:p w14:paraId="4BA084C3" w14:textId="77777777" w:rsidR="001844A5" w:rsidRDefault="001844A5" w:rsidP="001844A5">
      <w:pPr>
        <w:pStyle w:val="ListParagraph"/>
        <w:spacing w:line="480" w:lineRule="auto"/>
        <w:ind w:left="1440"/>
        <w:jc w:val="both"/>
        <w:rPr>
          <w:rFonts w:ascii="Times New Roman" w:hAnsi="Times New Roman" w:cs="Times New Roman"/>
          <w:i/>
        </w:rPr>
      </w:pPr>
    </w:p>
    <w:p w14:paraId="68120B66" w14:textId="77777777" w:rsidR="001844A5" w:rsidRDefault="001844A5" w:rsidP="001844A5">
      <w:pPr>
        <w:pStyle w:val="ListParagraph"/>
        <w:spacing w:line="480" w:lineRule="auto"/>
        <w:ind w:left="1440"/>
        <w:jc w:val="both"/>
        <w:rPr>
          <w:rFonts w:ascii="Times New Roman" w:hAnsi="Times New Roman" w:cs="Times New Roman"/>
          <w:i/>
        </w:rPr>
      </w:pPr>
      <w:r>
        <w:rPr>
          <w:rFonts w:ascii="Times New Roman" w:hAnsi="Times New Roman" w:cs="Times New Roman"/>
          <w:i/>
        </w:rPr>
        <w:t>Accordingly, to argue that the two relevant properties constitute other properties for the purposes of section 49(1) is to fundamentally misunderstand the operation of the provisions of the Act and, in particular, the interactions between subparagraph (f) of the definition of a material change of circumstances, section 28(4) and section 49(1) of the Act.</w:t>
      </w:r>
    </w:p>
    <w:p w14:paraId="174C2ABD" w14:textId="77777777" w:rsidR="001844A5" w:rsidRDefault="001844A5" w:rsidP="001844A5">
      <w:pPr>
        <w:pStyle w:val="ListParagraph"/>
        <w:spacing w:line="480" w:lineRule="auto"/>
        <w:ind w:left="1440"/>
        <w:jc w:val="both"/>
        <w:rPr>
          <w:rFonts w:ascii="Times New Roman" w:hAnsi="Times New Roman" w:cs="Times New Roman"/>
          <w:i/>
        </w:rPr>
      </w:pPr>
    </w:p>
    <w:p w14:paraId="6010509A" w14:textId="77777777" w:rsidR="001844A5" w:rsidRPr="008171CB" w:rsidRDefault="001844A5" w:rsidP="001844A5">
      <w:pPr>
        <w:pStyle w:val="ListParagraph"/>
        <w:spacing w:line="480" w:lineRule="auto"/>
        <w:ind w:left="1440"/>
        <w:jc w:val="both"/>
        <w:rPr>
          <w:rFonts w:ascii="Times New Roman" w:hAnsi="Times New Roman" w:cs="Times New Roman"/>
        </w:rPr>
      </w:pPr>
      <w:r>
        <w:rPr>
          <w:rFonts w:ascii="Times New Roman" w:hAnsi="Times New Roman" w:cs="Times New Roman"/>
          <w:i/>
        </w:rPr>
        <w:t>In truth, at all times material to the present appeal, there was only one property to be valued.  It necessarily follows the Property cannot constitute other property for the purposes of section 49(1).  In the circumstances, the Tribunal does not find it necessary to consider the argument advanced by the Respondent by reference to section 18(a) of the Interpretation Act 2005.’</w:t>
      </w:r>
    </w:p>
    <w:p w14:paraId="6CF109C5" w14:textId="77777777" w:rsidR="001844A5" w:rsidRDefault="001844A5" w:rsidP="001844A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7610C4FF" w14:textId="2CD8CD62" w:rsidR="001844A5" w:rsidRPr="008171CB" w:rsidRDefault="001844A5" w:rsidP="003B6262">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From there, the Tribunal determined by reference to the valuation evidence adduced by the parties that the valuation of</w:t>
      </w:r>
      <w:r w:rsidR="00064C38">
        <w:rPr>
          <w:rFonts w:ascii="Times New Roman" w:hAnsi="Times New Roman" w:cs="Times New Roman"/>
        </w:rPr>
        <w:t xml:space="preserve"> the property was</w:t>
      </w:r>
      <w:r>
        <w:rPr>
          <w:rFonts w:ascii="Times New Roman" w:hAnsi="Times New Roman" w:cs="Times New Roman"/>
        </w:rPr>
        <w:t xml:space="preserve"> €19</w:t>
      </w:r>
      <w:r w:rsidR="00AA74B8">
        <w:rPr>
          <w:rFonts w:ascii="Times New Roman" w:hAnsi="Times New Roman" w:cs="Times New Roman"/>
        </w:rPr>
        <w:t>0.00</w:t>
      </w:r>
      <w:r>
        <w:rPr>
          <w:rFonts w:ascii="Times New Roman" w:hAnsi="Times New Roman" w:cs="Times New Roman"/>
        </w:rPr>
        <w:t>. The Commissioner</w:t>
      </w:r>
      <w:r w:rsidR="006819E6">
        <w:rPr>
          <w:rFonts w:ascii="Times New Roman" w:hAnsi="Times New Roman" w:cs="Times New Roman"/>
        </w:rPr>
        <w:t xml:space="preserve"> declared </w:t>
      </w:r>
      <w:r w:rsidR="006819E6">
        <w:rPr>
          <w:rFonts w:ascii="Times New Roman" w:hAnsi="Times New Roman" w:cs="Times New Roman"/>
        </w:rPr>
        <w:lastRenderedPageBreak/>
        <w:t>his dissatisfaction in accordance with the requirements of s.</w:t>
      </w:r>
      <w:r w:rsidR="000064F3">
        <w:rPr>
          <w:rFonts w:ascii="Times New Roman" w:hAnsi="Times New Roman" w:cs="Times New Roman"/>
        </w:rPr>
        <w:t xml:space="preserve"> </w:t>
      </w:r>
      <w:r w:rsidR="006819E6">
        <w:rPr>
          <w:rFonts w:ascii="Times New Roman" w:hAnsi="Times New Roman" w:cs="Times New Roman"/>
        </w:rPr>
        <w:t xml:space="preserve">39 of the Act, and </w:t>
      </w:r>
      <w:r>
        <w:rPr>
          <w:rFonts w:ascii="Times New Roman" w:hAnsi="Times New Roman" w:cs="Times New Roman"/>
        </w:rPr>
        <w:t>the Tribunal present</w:t>
      </w:r>
      <w:r w:rsidR="006819E6">
        <w:rPr>
          <w:rFonts w:ascii="Times New Roman" w:hAnsi="Times New Roman" w:cs="Times New Roman"/>
        </w:rPr>
        <w:t>ed</w:t>
      </w:r>
      <w:r>
        <w:rPr>
          <w:rFonts w:ascii="Times New Roman" w:hAnsi="Times New Roman" w:cs="Times New Roman"/>
        </w:rPr>
        <w:t xml:space="preserve"> the following question in its </w:t>
      </w:r>
      <w:r w:rsidR="00E767EE">
        <w:rPr>
          <w:rFonts w:ascii="Times New Roman" w:hAnsi="Times New Roman" w:cs="Times New Roman"/>
        </w:rPr>
        <w:t xml:space="preserve">consequent </w:t>
      </w:r>
      <w:r>
        <w:rPr>
          <w:rFonts w:ascii="Times New Roman" w:hAnsi="Times New Roman" w:cs="Times New Roman"/>
        </w:rPr>
        <w:t>case stated:</w:t>
      </w:r>
    </w:p>
    <w:p w14:paraId="7C626358" w14:textId="77777777" w:rsidR="001844A5" w:rsidRDefault="001844A5" w:rsidP="001844A5">
      <w:pPr>
        <w:pStyle w:val="ListParagraph"/>
        <w:spacing w:line="480" w:lineRule="auto"/>
        <w:jc w:val="both"/>
        <w:rPr>
          <w:rFonts w:ascii="Times New Roman" w:hAnsi="Times New Roman" w:cs="Times New Roman"/>
          <w:b/>
        </w:rPr>
      </w:pPr>
    </w:p>
    <w:p w14:paraId="658A18C8" w14:textId="4B37BAB8" w:rsidR="001844A5" w:rsidRPr="008171CB" w:rsidRDefault="001844A5" w:rsidP="001844A5">
      <w:pPr>
        <w:pStyle w:val="ListParagraph"/>
        <w:spacing w:line="48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Whether the Valuation Tribunal was correct in law in holding that the Property or the two relevant properties </w:t>
      </w:r>
      <w:r w:rsidR="00D841F6">
        <w:rPr>
          <w:rFonts w:ascii="Times New Roman" w:hAnsi="Times New Roman" w:cs="Times New Roman"/>
          <w:i/>
        </w:rPr>
        <w:t>(</w:t>
      </w:r>
      <w:r>
        <w:rPr>
          <w:rFonts w:ascii="Times New Roman" w:hAnsi="Times New Roman" w:cs="Times New Roman"/>
          <w:i/>
        </w:rPr>
        <w:t>i</w:t>
      </w:r>
      <w:r w:rsidR="000064F3">
        <w:rPr>
          <w:rFonts w:ascii="Times New Roman" w:hAnsi="Times New Roman" w:cs="Times New Roman"/>
          <w:i/>
        </w:rPr>
        <w:t>.</w:t>
      </w:r>
      <w:r>
        <w:rPr>
          <w:rFonts w:ascii="Times New Roman" w:hAnsi="Times New Roman" w:cs="Times New Roman"/>
          <w:i/>
        </w:rPr>
        <w:t>e</w:t>
      </w:r>
      <w:r w:rsidR="000064F3">
        <w:rPr>
          <w:rFonts w:ascii="Times New Roman" w:hAnsi="Times New Roman" w:cs="Times New Roman"/>
          <w:i/>
        </w:rPr>
        <w:t>.</w:t>
      </w:r>
      <w:r>
        <w:rPr>
          <w:rFonts w:ascii="Times New Roman" w:hAnsi="Times New Roman" w:cs="Times New Roman"/>
          <w:i/>
        </w:rPr>
        <w:t xml:space="preserve"> property number 79381 (ground floor pub) and property number 2199717 (first floor restaurant)</w:t>
      </w:r>
      <w:r w:rsidR="00D841F6">
        <w:rPr>
          <w:rFonts w:ascii="Times New Roman" w:hAnsi="Times New Roman" w:cs="Times New Roman"/>
          <w:i/>
        </w:rPr>
        <w:t>)</w:t>
      </w:r>
      <w:r>
        <w:rPr>
          <w:rFonts w:ascii="Times New Roman" w:hAnsi="Times New Roman" w:cs="Times New Roman"/>
          <w:i/>
        </w:rPr>
        <w:t xml:space="preserve"> do not constitute other property for the purposes of s.</w:t>
      </w:r>
      <w:r w:rsidR="000064F3">
        <w:rPr>
          <w:rFonts w:ascii="Times New Roman" w:hAnsi="Times New Roman" w:cs="Times New Roman"/>
          <w:i/>
        </w:rPr>
        <w:t xml:space="preserve"> </w:t>
      </w:r>
      <w:r>
        <w:rPr>
          <w:rFonts w:ascii="Times New Roman" w:hAnsi="Times New Roman" w:cs="Times New Roman"/>
          <w:i/>
        </w:rPr>
        <w:t xml:space="preserve">49(1) and having </w:t>
      </w:r>
      <w:r w:rsidR="00DE6061">
        <w:rPr>
          <w:rFonts w:ascii="Times New Roman" w:hAnsi="Times New Roman" w:cs="Times New Roman"/>
          <w:i/>
        </w:rPr>
        <w:t xml:space="preserve">no </w:t>
      </w:r>
      <w:r>
        <w:rPr>
          <w:rFonts w:ascii="Times New Roman" w:hAnsi="Times New Roman" w:cs="Times New Roman"/>
          <w:i/>
        </w:rPr>
        <w:t>regard to their valuations in determining the appeal’</w:t>
      </w:r>
      <w:r>
        <w:rPr>
          <w:rFonts w:ascii="Times New Roman" w:hAnsi="Times New Roman" w:cs="Times New Roman"/>
        </w:rPr>
        <w:t>.</w:t>
      </w:r>
    </w:p>
    <w:p w14:paraId="7DE5AD8F" w14:textId="77777777" w:rsidR="001844A5" w:rsidRDefault="001844A5" w:rsidP="001844A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6F403F48" w14:textId="77777777" w:rsidR="001E6061" w:rsidRPr="001E6061" w:rsidRDefault="001844A5" w:rsidP="003B6262">
      <w:pPr>
        <w:pStyle w:val="ListParagraph"/>
        <w:numPr>
          <w:ilvl w:val="0"/>
          <w:numId w:val="1"/>
        </w:numPr>
        <w:spacing w:line="480" w:lineRule="auto"/>
        <w:jc w:val="both"/>
        <w:rPr>
          <w:rFonts w:ascii="Times New Roman" w:hAnsi="Times New Roman" w:cs="Times New Roman"/>
          <w:b/>
        </w:rPr>
      </w:pPr>
      <w:r w:rsidRPr="009B10A5">
        <w:rPr>
          <w:rFonts w:ascii="Times New Roman" w:hAnsi="Times New Roman" w:cs="Times New Roman"/>
        </w:rPr>
        <w:t xml:space="preserve">The trial judge ([2020] IEHC 661) answered this question in the negative and allowed the Commissioner’s appeal.  </w:t>
      </w:r>
      <w:r>
        <w:rPr>
          <w:rFonts w:ascii="Times New Roman" w:hAnsi="Times New Roman" w:cs="Times New Roman"/>
        </w:rPr>
        <w:t>I believe that he was</w:t>
      </w:r>
      <w:r w:rsidR="00B620CC">
        <w:rPr>
          <w:rFonts w:ascii="Times New Roman" w:hAnsi="Times New Roman" w:cs="Times New Roman"/>
        </w:rPr>
        <w:t xml:space="preserve"> </w:t>
      </w:r>
      <w:r>
        <w:rPr>
          <w:rFonts w:ascii="Times New Roman" w:hAnsi="Times New Roman" w:cs="Times New Roman"/>
        </w:rPr>
        <w:t>correct to do so.</w:t>
      </w:r>
    </w:p>
    <w:p w14:paraId="0EC8A292" w14:textId="77777777" w:rsidR="001E6061" w:rsidRPr="001E6061" w:rsidRDefault="001E6061" w:rsidP="00236363">
      <w:pPr>
        <w:pStyle w:val="ListParagraph"/>
        <w:spacing w:line="480" w:lineRule="auto"/>
        <w:jc w:val="both"/>
        <w:rPr>
          <w:rFonts w:ascii="Times New Roman" w:hAnsi="Times New Roman" w:cs="Times New Roman"/>
          <w:b/>
        </w:rPr>
      </w:pPr>
      <w:r>
        <w:t xml:space="preserve">  </w:t>
      </w:r>
    </w:p>
    <w:p w14:paraId="57EC006B" w14:textId="4DC24CB6" w:rsidR="00236363" w:rsidRPr="00236363" w:rsidRDefault="00A46965"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Section 49(1) is as follows:</w:t>
      </w:r>
    </w:p>
    <w:p w14:paraId="356CE5B9" w14:textId="77777777" w:rsidR="00A46965" w:rsidRPr="00A46965" w:rsidRDefault="00A46965" w:rsidP="00236363">
      <w:pPr>
        <w:pStyle w:val="ListParagraph"/>
        <w:spacing w:line="480" w:lineRule="auto"/>
        <w:rPr>
          <w:rFonts w:ascii="Times New Roman" w:hAnsi="Times New Roman" w:cs="Times New Roman"/>
        </w:rPr>
      </w:pPr>
    </w:p>
    <w:p w14:paraId="2DB5CB17" w14:textId="77777777" w:rsidR="00A46965" w:rsidRDefault="00A46965" w:rsidP="00236363">
      <w:pPr>
        <w:pStyle w:val="ListParagraph"/>
        <w:spacing w:line="48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If the value of a </w:t>
      </w:r>
      <w:r w:rsidRPr="00E11016">
        <w:rPr>
          <w:rFonts w:ascii="Times New Roman" w:hAnsi="Times New Roman" w:cs="Times New Roman"/>
          <w:b/>
          <w:i/>
        </w:rPr>
        <w:t>relevant property</w:t>
      </w:r>
      <w:r>
        <w:rPr>
          <w:rFonts w:ascii="Times New Roman" w:hAnsi="Times New Roman" w:cs="Times New Roman"/>
          <w:i/>
        </w:rPr>
        <w:t xml:space="preserve"> … falls to be determined for the purpose of s.28(4), (or of an appeal from a decision under that section) that determination shall be made by reference to the values as appearing on the valuation list relating to the same rating authority area as that property is situate in, of </w:t>
      </w:r>
      <w:r w:rsidRPr="0054140F">
        <w:rPr>
          <w:rFonts w:ascii="Times New Roman" w:hAnsi="Times New Roman" w:cs="Times New Roman"/>
          <w:b/>
          <w:i/>
        </w:rPr>
        <w:t>other properties</w:t>
      </w:r>
      <w:r w:rsidRPr="00B95045">
        <w:rPr>
          <w:rFonts w:ascii="Times New Roman" w:hAnsi="Times New Roman" w:cs="Times New Roman"/>
          <w:b/>
          <w:i/>
        </w:rPr>
        <w:t xml:space="preserve"> comparable to that property’</w:t>
      </w:r>
      <w:r>
        <w:rPr>
          <w:rFonts w:ascii="Times New Roman" w:hAnsi="Times New Roman" w:cs="Times New Roman"/>
        </w:rPr>
        <w:t>.</w:t>
      </w:r>
    </w:p>
    <w:p w14:paraId="323D05E0" w14:textId="77777777" w:rsidR="00A46965" w:rsidRDefault="00A46965" w:rsidP="00A46965">
      <w:pPr>
        <w:pStyle w:val="ListParagraph"/>
        <w:spacing w:line="480" w:lineRule="auto"/>
        <w:ind w:left="1440"/>
        <w:jc w:val="both"/>
        <w:rPr>
          <w:rFonts w:ascii="Times New Roman" w:hAnsi="Times New Roman" w:cs="Times New Roman"/>
        </w:rPr>
      </w:pPr>
    </w:p>
    <w:p w14:paraId="6A173804" w14:textId="77777777" w:rsidR="00A46965" w:rsidRPr="0054140F" w:rsidRDefault="00A46965" w:rsidP="00A46965">
      <w:pPr>
        <w:pStyle w:val="ListParagraph"/>
        <w:spacing w:line="480" w:lineRule="auto"/>
        <w:ind w:left="1440"/>
        <w:jc w:val="both"/>
        <w:rPr>
          <w:rFonts w:ascii="Times New Roman" w:hAnsi="Times New Roman" w:cs="Times New Roman"/>
        </w:rPr>
      </w:pPr>
      <w:r>
        <w:rPr>
          <w:rFonts w:ascii="Times New Roman" w:hAnsi="Times New Roman" w:cs="Times New Roman"/>
        </w:rPr>
        <w:t>(Emphasis added).</w:t>
      </w:r>
    </w:p>
    <w:p w14:paraId="2A29452F" w14:textId="3205C70C" w:rsidR="00A46965" w:rsidRPr="00236363" w:rsidRDefault="00A46965" w:rsidP="00236363">
      <w:pPr>
        <w:pStyle w:val="ListParagraph"/>
        <w:spacing w:line="480" w:lineRule="auto"/>
        <w:ind w:left="1440"/>
        <w:jc w:val="both"/>
        <w:rPr>
          <w:rFonts w:ascii="Times New Roman" w:hAnsi="Times New Roman" w:cs="Times New Roman"/>
          <w:b/>
        </w:rPr>
      </w:pPr>
      <w:r>
        <w:rPr>
          <w:rFonts w:ascii="Times New Roman" w:hAnsi="Times New Roman" w:cs="Times New Roman"/>
        </w:rPr>
        <w:t xml:space="preserve">  </w:t>
      </w:r>
    </w:p>
    <w:p w14:paraId="0C4FD553" w14:textId="7CF490DB" w:rsidR="001844A5" w:rsidRPr="001E6061" w:rsidRDefault="001844A5" w:rsidP="003B6262">
      <w:pPr>
        <w:pStyle w:val="ListParagraph"/>
        <w:numPr>
          <w:ilvl w:val="0"/>
          <w:numId w:val="1"/>
        </w:numPr>
        <w:spacing w:line="480" w:lineRule="auto"/>
        <w:jc w:val="both"/>
        <w:rPr>
          <w:rFonts w:ascii="Times New Roman" w:hAnsi="Times New Roman" w:cs="Times New Roman"/>
          <w:b/>
        </w:rPr>
      </w:pPr>
      <w:r w:rsidRPr="001E6061">
        <w:rPr>
          <w:rFonts w:ascii="Times New Roman" w:hAnsi="Times New Roman" w:cs="Times New Roman"/>
        </w:rPr>
        <w:t>The language used in s.</w:t>
      </w:r>
      <w:r w:rsidR="000064F3">
        <w:rPr>
          <w:rFonts w:ascii="Times New Roman" w:hAnsi="Times New Roman" w:cs="Times New Roman"/>
        </w:rPr>
        <w:t xml:space="preserve"> </w:t>
      </w:r>
      <w:r w:rsidRPr="001E6061">
        <w:rPr>
          <w:rFonts w:ascii="Times New Roman" w:hAnsi="Times New Roman" w:cs="Times New Roman"/>
        </w:rPr>
        <w:t>49, and in particular the conjunction between ‘</w:t>
      </w:r>
      <w:r w:rsidRPr="001E6061">
        <w:rPr>
          <w:rFonts w:ascii="Times New Roman" w:hAnsi="Times New Roman" w:cs="Times New Roman"/>
          <w:i/>
        </w:rPr>
        <w:t xml:space="preserve">a relevant property’ </w:t>
      </w:r>
      <w:r w:rsidRPr="001E6061">
        <w:rPr>
          <w:rFonts w:ascii="Times New Roman" w:hAnsi="Times New Roman" w:cs="Times New Roman"/>
        </w:rPr>
        <w:t>and ‘</w:t>
      </w:r>
      <w:r w:rsidRPr="001E6061">
        <w:rPr>
          <w:rFonts w:ascii="Times New Roman" w:hAnsi="Times New Roman" w:cs="Times New Roman"/>
          <w:i/>
        </w:rPr>
        <w:t xml:space="preserve">other properties’ </w:t>
      </w:r>
      <w:r w:rsidRPr="001E6061">
        <w:rPr>
          <w:rFonts w:ascii="Times New Roman" w:hAnsi="Times New Roman" w:cs="Times New Roman"/>
        </w:rPr>
        <w:t xml:space="preserve">as they appear in the provision </w:t>
      </w:r>
      <w:r w:rsidR="00221FF8">
        <w:rPr>
          <w:rFonts w:ascii="Times New Roman" w:hAnsi="Times New Roman" w:cs="Times New Roman"/>
        </w:rPr>
        <w:t xml:space="preserve">define the </w:t>
      </w:r>
      <w:r w:rsidRPr="001E6061">
        <w:rPr>
          <w:rFonts w:ascii="Times New Roman" w:hAnsi="Times New Roman" w:cs="Times New Roman"/>
        </w:rPr>
        <w:t>starting point</w:t>
      </w:r>
      <w:r w:rsidR="00A57468" w:rsidRPr="001E6061">
        <w:rPr>
          <w:rFonts w:ascii="Times New Roman" w:hAnsi="Times New Roman" w:cs="Times New Roman"/>
        </w:rPr>
        <w:t>.</w:t>
      </w:r>
      <w:r w:rsidRPr="001E6061">
        <w:rPr>
          <w:rFonts w:ascii="Times New Roman" w:hAnsi="Times New Roman" w:cs="Times New Roman"/>
        </w:rPr>
        <w:t xml:space="preserve">  </w:t>
      </w:r>
      <w:r w:rsidR="001E6061">
        <w:rPr>
          <w:rFonts w:ascii="Times New Roman" w:hAnsi="Times New Roman" w:cs="Times New Roman"/>
        </w:rPr>
        <w:t xml:space="preserve">From there, the matter can be viewed in one of two ways.  </w:t>
      </w:r>
      <w:r w:rsidRPr="001E6061">
        <w:rPr>
          <w:rFonts w:ascii="Times New Roman" w:hAnsi="Times New Roman" w:cs="Times New Roman"/>
        </w:rPr>
        <w:t xml:space="preserve">One is to say that two parts </w:t>
      </w:r>
      <w:r w:rsidRPr="001E6061">
        <w:rPr>
          <w:rFonts w:ascii="Times New Roman" w:hAnsi="Times New Roman" w:cs="Times New Roman"/>
        </w:rPr>
        <w:lastRenderedPageBreak/>
        <w:t>of a whole cannot be differentiated from the entire unit so that the constituent elements of ‘</w:t>
      </w:r>
      <w:r w:rsidRPr="001E6061">
        <w:rPr>
          <w:rFonts w:ascii="Times New Roman" w:hAnsi="Times New Roman" w:cs="Times New Roman"/>
          <w:i/>
        </w:rPr>
        <w:t xml:space="preserve">the relevant property’ </w:t>
      </w:r>
      <w:r w:rsidRPr="001E6061">
        <w:rPr>
          <w:rFonts w:ascii="Times New Roman" w:hAnsi="Times New Roman" w:cs="Times New Roman"/>
        </w:rPr>
        <w:t>cannot be distinguished from the property itself.  That which is part of the unit cannot be ‘</w:t>
      </w:r>
      <w:r w:rsidRPr="001E6061">
        <w:rPr>
          <w:rFonts w:ascii="Times New Roman" w:hAnsi="Times New Roman" w:cs="Times New Roman"/>
          <w:i/>
        </w:rPr>
        <w:t>other’</w:t>
      </w:r>
      <w:r w:rsidRPr="001E6061">
        <w:rPr>
          <w:rFonts w:ascii="Times New Roman" w:hAnsi="Times New Roman" w:cs="Times New Roman"/>
        </w:rPr>
        <w:t xml:space="preserve">.  This is one of the points made by Dayhoff in its submissions: the two relevant properties formerly contained in property reference numbers 79381 and 2199717 were not comparable to the property, </w:t>
      </w:r>
      <w:r w:rsidR="001D3A17">
        <w:rPr>
          <w:rFonts w:ascii="Times New Roman" w:hAnsi="Times New Roman" w:cs="Times New Roman"/>
        </w:rPr>
        <w:t xml:space="preserve">it says, as </w:t>
      </w:r>
      <w:r w:rsidRPr="001E6061">
        <w:rPr>
          <w:rFonts w:ascii="Times New Roman" w:hAnsi="Times New Roman" w:cs="Times New Roman"/>
          <w:i/>
        </w:rPr>
        <w:t>‘they were the property itself</w:t>
      </w:r>
      <w:r w:rsidR="00F474F5">
        <w:rPr>
          <w:rFonts w:ascii="Times New Roman" w:hAnsi="Times New Roman" w:cs="Times New Roman"/>
          <w:i/>
        </w:rPr>
        <w:t>, or the first mentioned property, to use the language of the section itself</w:t>
      </w:r>
      <w:r w:rsidRPr="001E6061">
        <w:rPr>
          <w:rFonts w:ascii="Times New Roman" w:hAnsi="Times New Roman" w:cs="Times New Roman"/>
          <w:i/>
        </w:rPr>
        <w:t>’</w:t>
      </w:r>
      <w:r w:rsidRPr="001E6061">
        <w:rPr>
          <w:rFonts w:ascii="Times New Roman" w:hAnsi="Times New Roman" w:cs="Times New Roman"/>
        </w:rPr>
        <w:t>.  Th</w:t>
      </w:r>
      <w:r w:rsidR="00C80179">
        <w:rPr>
          <w:rFonts w:ascii="Times New Roman" w:hAnsi="Times New Roman" w:cs="Times New Roman"/>
        </w:rPr>
        <w:t>e Tribunal agreed</w:t>
      </w:r>
      <w:r w:rsidRPr="001E6061">
        <w:rPr>
          <w:rFonts w:ascii="Times New Roman" w:hAnsi="Times New Roman" w:cs="Times New Roman"/>
        </w:rPr>
        <w:t>:</w:t>
      </w:r>
      <w:r w:rsidR="00D841F6">
        <w:rPr>
          <w:rFonts w:ascii="Times New Roman" w:hAnsi="Times New Roman" w:cs="Times New Roman"/>
        </w:rPr>
        <w:t xml:space="preserve"> ‘</w:t>
      </w:r>
      <w:r w:rsidRPr="001E6061">
        <w:rPr>
          <w:rFonts w:ascii="Times New Roman" w:hAnsi="Times New Roman" w:cs="Times New Roman"/>
          <w:i/>
        </w:rPr>
        <w:t>at all times material to the present appeal, there was only one property to be valued’</w:t>
      </w:r>
      <w:r w:rsidRPr="001E6061">
        <w:rPr>
          <w:rFonts w:ascii="Times New Roman" w:hAnsi="Times New Roman" w:cs="Times New Roman"/>
        </w:rPr>
        <w:t>.</w:t>
      </w:r>
    </w:p>
    <w:p w14:paraId="6DB77BEF" w14:textId="77777777" w:rsidR="001844A5" w:rsidRDefault="001844A5" w:rsidP="001844A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331A752A" w14:textId="5A2D4EAD" w:rsidR="001844A5" w:rsidRPr="003957AD" w:rsidRDefault="001844A5"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other approach is </w:t>
      </w:r>
      <w:r w:rsidR="00B80B81">
        <w:rPr>
          <w:rFonts w:ascii="Times New Roman" w:hAnsi="Times New Roman" w:cs="Times New Roman"/>
        </w:rPr>
        <w:t>practical</w:t>
      </w:r>
      <w:r w:rsidR="005400C8">
        <w:rPr>
          <w:rFonts w:ascii="Times New Roman" w:hAnsi="Times New Roman" w:cs="Times New Roman"/>
        </w:rPr>
        <w:t xml:space="preserve"> </w:t>
      </w:r>
      <w:r w:rsidR="00B620CC">
        <w:rPr>
          <w:rFonts w:ascii="Times New Roman" w:hAnsi="Times New Roman" w:cs="Times New Roman"/>
        </w:rPr>
        <w:t>and focusses upon what is described in the marginal note to s.</w:t>
      </w:r>
      <w:r w:rsidR="000064F3">
        <w:rPr>
          <w:rFonts w:ascii="Times New Roman" w:hAnsi="Times New Roman" w:cs="Times New Roman"/>
        </w:rPr>
        <w:t xml:space="preserve"> </w:t>
      </w:r>
      <w:r w:rsidR="00B620CC">
        <w:rPr>
          <w:rFonts w:ascii="Times New Roman" w:hAnsi="Times New Roman" w:cs="Times New Roman"/>
        </w:rPr>
        <w:t>17 of the Act as the ‘</w:t>
      </w:r>
      <w:r w:rsidR="00B620CC">
        <w:rPr>
          <w:rFonts w:ascii="Times New Roman" w:hAnsi="Times New Roman" w:cs="Times New Roman"/>
          <w:i/>
        </w:rPr>
        <w:t>unit of valuation’</w:t>
      </w:r>
      <w:r>
        <w:rPr>
          <w:rFonts w:ascii="Times New Roman" w:hAnsi="Times New Roman" w:cs="Times New Roman"/>
        </w:rPr>
        <w:t xml:space="preserve">.  </w:t>
      </w:r>
      <w:r w:rsidR="00E11016">
        <w:rPr>
          <w:rFonts w:ascii="Times New Roman" w:hAnsi="Times New Roman" w:cs="Times New Roman"/>
        </w:rPr>
        <w:t>According to this approach, the court must look at the matter in what the Commissioner variously describes as ‘</w:t>
      </w:r>
      <w:r w:rsidR="00E11016">
        <w:rPr>
          <w:rFonts w:ascii="Times New Roman" w:hAnsi="Times New Roman" w:cs="Times New Roman"/>
          <w:i/>
        </w:rPr>
        <w:t xml:space="preserve">valuation terms’ </w:t>
      </w:r>
      <w:r w:rsidR="00E11016">
        <w:rPr>
          <w:rFonts w:ascii="Times New Roman" w:hAnsi="Times New Roman" w:cs="Times New Roman"/>
        </w:rPr>
        <w:t>or ‘</w:t>
      </w:r>
      <w:r w:rsidR="00E11016">
        <w:rPr>
          <w:rFonts w:ascii="Times New Roman" w:hAnsi="Times New Roman" w:cs="Times New Roman"/>
          <w:i/>
        </w:rPr>
        <w:t xml:space="preserve">rating terms’.   </w:t>
      </w:r>
      <w:r>
        <w:rPr>
          <w:rFonts w:ascii="Times New Roman" w:hAnsi="Times New Roman" w:cs="Times New Roman"/>
        </w:rPr>
        <w:t>Whether or not ultimately amalgamated into a single property, the two premises in operation prior to 2011 were commercially distinct</w:t>
      </w:r>
      <w:r w:rsidR="00E11016">
        <w:rPr>
          <w:rFonts w:ascii="Times New Roman" w:hAnsi="Times New Roman" w:cs="Times New Roman"/>
        </w:rPr>
        <w:t xml:space="preserve"> and were rated distinctly</w:t>
      </w:r>
      <w:r>
        <w:rPr>
          <w:rFonts w:ascii="Times New Roman" w:hAnsi="Times New Roman" w:cs="Times New Roman"/>
        </w:rPr>
        <w:t xml:space="preserve">.  Being </w:t>
      </w:r>
      <w:r w:rsidR="00E11016">
        <w:rPr>
          <w:rFonts w:ascii="Times New Roman" w:hAnsi="Times New Roman" w:cs="Times New Roman"/>
        </w:rPr>
        <w:t xml:space="preserve">thus </w:t>
      </w:r>
      <w:r>
        <w:rPr>
          <w:rFonts w:ascii="Times New Roman" w:hAnsi="Times New Roman" w:cs="Times New Roman"/>
        </w:rPr>
        <w:t xml:space="preserve">different from each other, they cannot together be equated with a single property formed by their being combined.  This was an important part of the reasoning of the trial </w:t>
      </w:r>
      <w:r w:rsidR="009C21BD">
        <w:rPr>
          <w:rFonts w:ascii="Times New Roman" w:hAnsi="Times New Roman" w:cs="Times New Roman"/>
        </w:rPr>
        <w:t>j</w:t>
      </w:r>
      <w:r>
        <w:rPr>
          <w:rFonts w:ascii="Times New Roman" w:hAnsi="Times New Roman" w:cs="Times New Roman"/>
        </w:rPr>
        <w:t>udge who said (</w:t>
      </w:r>
      <w:r w:rsidR="00361BAB">
        <w:rPr>
          <w:rFonts w:ascii="Times New Roman" w:hAnsi="Times New Roman" w:cs="Times New Roman"/>
        </w:rPr>
        <w:t xml:space="preserve">at </w:t>
      </w:r>
      <w:r>
        <w:rPr>
          <w:rFonts w:ascii="Times New Roman" w:hAnsi="Times New Roman" w:cs="Times New Roman"/>
        </w:rPr>
        <w:t>para. 55):</w:t>
      </w:r>
    </w:p>
    <w:p w14:paraId="190D911F" w14:textId="77777777" w:rsidR="001844A5" w:rsidRPr="003957AD" w:rsidRDefault="001844A5" w:rsidP="00236363">
      <w:pPr>
        <w:pStyle w:val="ListParagraph"/>
        <w:spacing w:line="480" w:lineRule="auto"/>
        <w:rPr>
          <w:rFonts w:ascii="Times New Roman" w:hAnsi="Times New Roman" w:cs="Times New Roman"/>
          <w:b/>
        </w:rPr>
      </w:pPr>
    </w:p>
    <w:p w14:paraId="388502F7" w14:textId="77777777" w:rsidR="0050009B" w:rsidRDefault="001844A5" w:rsidP="00236363">
      <w:pPr>
        <w:pStyle w:val="ListParagraph"/>
        <w:spacing w:line="48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The Court … accepts the argument put forward on behalf of the Commissioner that the 2 pre-MCC properties in this case were certainly ‘other properties’ due to the fact that they were totally separate in their operation; they had separate owners; they had separate entrances; they had separate telephone numbers and booking systems and there was no physical interconnection between the 2 properties.  The court is satisfied that they constituted ‘other properties’ and their valuations were relevant because, given the nature of the use of the </w:t>
      </w:r>
      <w:r>
        <w:rPr>
          <w:rFonts w:ascii="Times New Roman" w:hAnsi="Times New Roman" w:cs="Times New Roman"/>
          <w:i/>
        </w:rPr>
        <w:lastRenderedPageBreak/>
        <w:t>premises and the businesses carried on in the pre-MCC properties and in the post-MCC property, they were certainly comparable to the subject property’</w:t>
      </w:r>
      <w:r>
        <w:rPr>
          <w:rFonts w:ascii="Times New Roman" w:hAnsi="Times New Roman" w:cs="Times New Roman"/>
        </w:rPr>
        <w:t>.</w:t>
      </w:r>
    </w:p>
    <w:p w14:paraId="74584950" w14:textId="41618A08" w:rsidR="001844A5" w:rsidRPr="00236363" w:rsidRDefault="001844A5" w:rsidP="00236363">
      <w:pPr>
        <w:pStyle w:val="ListParagraph"/>
        <w:spacing w:line="480" w:lineRule="auto"/>
        <w:ind w:left="1440"/>
        <w:jc w:val="both"/>
        <w:rPr>
          <w:rFonts w:ascii="Times New Roman" w:hAnsi="Times New Roman" w:cs="Times New Roman"/>
          <w:b/>
        </w:rPr>
      </w:pPr>
      <w:r>
        <w:rPr>
          <w:rFonts w:ascii="Times New Roman" w:hAnsi="Times New Roman" w:cs="Times New Roman"/>
          <w:b/>
        </w:rPr>
        <w:t xml:space="preserve">  </w:t>
      </w:r>
    </w:p>
    <w:p w14:paraId="7A0168C9" w14:textId="646E1476" w:rsidR="00D32452" w:rsidRPr="00D32452" w:rsidRDefault="0019446A" w:rsidP="003B6262">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Obviously, t</w:t>
      </w:r>
      <w:r w:rsidR="001844A5">
        <w:rPr>
          <w:rFonts w:ascii="Times New Roman" w:hAnsi="Times New Roman" w:cs="Times New Roman"/>
        </w:rPr>
        <w:t xml:space="preserve">he correct </w:t>
      </w:r>
      <w:r w:rsidR="00452678">
        <w:rPr>
          <w:rFonts w:ascii="Times New Roman" w:hAnsi="Times New Roman" w:cs="Times New Roman"/>
        </w:rPr>
        <w:t>construction</w:t>
      </w:r>
      <w:r w:rsidR="001844A5">
        <w:rPr>
          <w:rFonts w:ascii="Times New Roman" w:hAnsi="Times New Roman" w:cs="Times New Roman"/>
        </w:rPr>
        <w:t xml:space="preserve"> of </w:t>
      </w:r>
      <w:r w:rsidR="00D841F6">
        <w:rPr>
          <w:rFonts w:ascii="Times New Roman" w:hAnsi="Times New Roman" w:cs="Times New Roman"/>
        </w:rPr>
        <w:t>s.</w:t>
      </w:r>
      <w:r w:rsidR="000064F3">
        <w:rPr>
          <w:rFonts w:ascii="Times New Roman" w:hAnsi="Times New Roman" w:cs="Times New Roman"/>
        </w:rPr>
        <w:t xml:space="preserve"> </w:t>
      </w:r>
      <w:r w:rsidR="00D841F6">
        <w:rPr>
          <w:rFonts w:ascii="Times New Roman" w:hAnsi="Times New Roman" w:cs="Times New Roman"/>
        </w:rPr>
        <w:t>49</w:t>
      </w:r>
      <w:r w:rsidR="004F6242">
        <w:rPr>
          <w:rFonts w:ascii="Times New Roman" w:hAnsi="Times New Roman" w:cs="Times New Roman"/>
        </w:rPr>
        <w:t>(1)</w:t>
      </w:r>
      <w:r w:rsidR="00D841F6">
        <w:rPr>
          <w:rFonts w:ascii="Times New Roman" w:hAnsi="Times New Roman" w:cs="Times New Roman"/>
        </w:rPr>
        <w:t xml:space="preserve"> </w:t>
      </w:r>
      <w:r w:rsidR="001844A5">
        <w:rPr>
          <w:rFonts w:ascii="Times New Roman" w:hAnsi="Times New Roman" w:cs="Times New Roman"/>
        </w:rPr>
        <w:t>falls to be ascertained by reference to the words used by the Oireachtas</w:t>
      </w:r>
      <w:r w:rsidR="004607A4">
        <w:rPr>
          <w:rFonts w:ascii="Times New Roman" w:hAnsi="Times New Roman" w:cs="Times New Roman"/>
        </w:rPr>
        <w:t xml:space="preserve"> </w:t>
      </w:r>
      <w:r w:rsidR="001844A5">
        <w:rPr>
          <w:rFonts w:ascii="Times New Roman" w:hAnsi="Times New Roman" w:cs="Times New Roman"/>
        </w:rPr>
        <w:t>but viewing th</w:t>
      </w:r>
      <w:r w:rsidR="00E11016">
        <w:rPr>
          <w:rFonts w:ascii="Times New Roman" w:hAnsi="Times New Roman" w:cs="Times New Roman"/>
        </w:rPr>
        <w:t>at language</w:t>
      </w:r>
      <w:r w:rsidR="001844A5">
        <w:rPr>
          <w:rFonts w:ascii="Times New Roman" w:hAnsi="Times New Roman" w:cs="Times New Roman"/>
        </w:rPr>
        <w:t xml:space="preserve"> in the light of the context and purpose of the statute as a whole.  Either of the interpretations I have outlined </w:t>
      </w:r>
      <w:r w:rsidR="00553FC6">
        <w:rPr>
          <w:rFonts w:ascii="Times New Roman" w:hAnsi="Times New Roman" w:cs="Times New Roman"/>
        </w:rPr>
        <w:t xml:space="preserve">may be </w:t>
      </w:r>
      <w:r w:rsidR="001844A5">
        <w:rPr>
          <w:rFonts w:ascii="Times New Roman" w:hAnsi="Times New Roman" w:cs="Times New Roman"/>
        </w:rPr>
        <w:t xml:space="preserve">plausible on the </w:t>
      </w:r>
      <w:r w:rsidR="00E11016">
        <w:rPr>
          <w:rFonts w:ascii="Times New Roman" w:hAnsi="Times New Roman" w:cs="Times New Roman"/>
        </w:rPr>
        <w:t xml:space="preserve">wording </w:t>
      </w:r>
      <w:r w:rsidR="001844A5">
        <w:rPr>
          <w:rFonts w:ascii="Times New Roman" w:hAnsi="Times New Roman" w:cs="Times New Roman"/>
        </w:rPr>
        <w:t xml:space="preserve">of the section, but both parties rightly acknowledged the limitations of that language and </w:t>
      </w:r>
      <w:r w:rsidR="003D021E">
        <w:rPr>
          <w:rFonts w:ascii="Times New Roman" w:hAnsi="Times New Roman" w:cs="Times New Roman"/>
        </w:rPr>
        <w:t xml:space="preserve">also </w:t>
      </w:r>
      <w:r w:rsidR="001844A5">
        <w:rPr>
          <w:rFonts w:ascii="Times New Roman" w:hAnsi="Times New Roman" w:cs="Times New Roman"/>
        </w:rPr>
        <w:t xml:space="preserve">pitched their cases by reference to differing perspectives on </w:t>
      </w:r>
      <w:r w:rsidR="00553FC6">
        <w:rPr>
          <w:rFonts w:ascii="Times New Roman" w:hAnsi="Times New Roman" w:cs="Times New Roman"/>
        </w:rPr>
        <w:t xml:space="preserve">the </w:t>
      </w:r>
      <w:r w:rsidR="001844A5">
        <w:rPr>
          <w:rFonts w:ascii="Times New Roman" w:hAnsi="Times New Roman" w:cs="Times New Roman"/>
        </w:rPr>
        <w:t xml:space="preserve">place </w:t>
      </w:r>
      <w:r w:rsidR="00553FC6">
        <w:rPr>
          <w:rFonts w:ascii="Times New Roman" w:hAnsi="Times New Roman" w:cs="Times New Roman"/>
        </w:rPr>
        <w:t xml:space="preserve">of the section </w:t>
      </w:r>
      <w:r w:rsidR="001844A5">
        <w:rPr>
          <w:rFonts w:ascii="Times New Roman" w:hAnsi="Times New Roman" w:cs="Times New Roman"/>
        </w:rPr>
        <w:t>in the overall statutory scheme.  Of these competing claims it seems to me that that advanced by the Commissioner must be the correct one.</w:t>
      </w:r>
      <w:r w:rsidR="00B80B81" w:rsidRPr="00B80B81">
        <w:rPr>
          <w:b/>
        </w:rPr>
        <w:t xml:space="preserve">  </w:t>
      </w:r>
    </w:p>
    <w:p w14:paraId="231DE86C" w14:textId="77777777" w:rsidR="00770AE8" w:rsidRPr="00770AE8" w:rsidRDefault="00770AE8" w:rsidP="00770AE8">
      <w:pPr>
        <w:pStyle w:val="ListParagraph"/>
        <w:spacing w:line="480" w:lineRule="auto"/>
        <w:jc w:val="both"/>
        <w:rPr>
          <w:rFonts w:ascii="Times New Roman" w:hAnsi="Times New Roman" w:cs="Times New Roman"/>
          <w:b/>
        </w:rPr>
      </w:pPr>
      <w:r>
        <w:t xml:space="preserve">  </w:t>
      </w:r>
    </w:p>
    <w:p w14:paraId="4D6A4562" w14:textId="0D8C14C9" w:rsidR="007E2CB3" w:rsidRPr="009F60BA" w:rsidRDefault="00496F93"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Central</w:t>
      </w:r>
      <w:r w:rsidR="009F60BA">
        <w:rPr>
          <w:rFonts w:ascii="Times New Roman" w:hAnsi="Times New Roman" w:cs="Times New Roman"/>
        </w:rPr>
        <w:t xml:space="preserve"> to the </w:t>
      </w:r>
      <w:r>
        <w:rPr>
          <w:rFonts w:ascii="Times New Roman" w:hAnsi="Times New Roman" w:cs="Times New Roman"/>
        </w:rPr>
        <w:t xml:space="preserve">proper </w:t>
      </w:r>
      <w:r w:rsidR="00B96399">
        <w:rPr>
          <w:rFonts w:ascii="Times New Roman" w:hAnsi="Times New Roman" w:cs="Times New Roman"/>
        </w:rPr>
        <w:t>understanding</w:t>
      </w:r>
      <w:r>
        <w:rPr>
          <w:rFonts w:ascii="Times New Roman" w:hAnsi="Times New Roman" w:cs="Times New Roman"/>
        </w:rPr>
        <w:t xml:space="preserve"> of s.</w:t>
      </w:r>
      <w:r w:rsidR="000064F3">
        <w:rPr>
          <w:rFonts w:ascii="Times New Roman" w:hAnsi="Times New Roman" w:cs="Times New Roman"/>
        </w:rPr>
        <w:t xml:space="preserve"> </w:t>
      </w:r>
      <w:r>
        <w:rPr>
          <w:rFonts w:ascii="Times New Roman" w:hAnsi="Times New Roman" w:cs="Times New Roman"/>
        </w:rPr>
        <w:t xml:space="preserve">49(1) </w:t>
      </w:r>
      <w:r w:rsidR="009F60BA">
        <w:rPr>
          <w:rFonts w:ascii="Times New Roman" w:hAnsi="Times New Roman" w:cs="Times New Roman"/>
        </w:rPr>
        <w:t xml:space="preserve">in this regard </w:t>
      </w:r>
      <w:r>
        <w:rPr>
          <w:rFonts w:ascii="Times New Roman" w:hAnsi="Times New Roman" w:cs="Times New Roman"/>
        </w:rPr>
        <w:t xml:space="preserve">is the </w:t>
      </w:r>
      <w:r w:rsidR="00183907" w:rsidRPr="00770AE8">
        <w:rPr>
          <w:rFonts w:ascii="Times New Roman" w:hAnsi="Times New Roman" w:cs="Times New Roman"/>
        </w:rPr>
        <w:t>definition of ‘</w:t>
      </w:r>
      <w:r w:rsidR="00183907" w:rsidRPr="00770AE8">
        <w:rPr>
          <w:rFonts w:ascii="Times New Roman" w:hAnsi="Times New Roman" w:cs="Times New Roman"/>
          <w:i/>
        </w:rPr>
        <w:t xml:space="preserve">material change of circumstances’ </w:t>
      </w:r>
      <w:r>
        <w:rPr>
          <w:rFonts w:ascii="Times New Roman" w:hAnsi="Times New Roman" w:cs="Times New Roman"/>
        </w:rPr>
        <w:t xml:space="preserve">appearing </w:t>
      </w:r>
      <w:r w:rsidR="00183907" w:rsidRPr="00770AE8">
        <w:rPr>
          <w:rFonts w:ascii="Times New Roman" w:hAnsi="Times New Roman" w:cs="Times New Roman"/>
        </w:rPr>
        <w:t xml:space="preserve">in s. 3(1).  </w:t>
      </w:r>
      <w:r w:rsidR="00277952" w:rsidRPr="00770AE8">
        <w:rPr>
          <w:rFonts w:ascii="Times New Roman" w:hAnsi="Times New Roman" w:cs="Times New Roman"/>
        </w:rPr>
        <w:t>MCC, it will be recalled, is the trigger for a revision, and it is with the process of valuation upon a revision that s.</w:t>
      </w:r>
      <w:r w:rsidR="000064F3">
        <w:rPr>
          <w:rFonts w:ascii="Times New Roman" w:hAnsi="Times New Roman" w:cs="Times New Roman"/>
        </w:rPr>
        <w:t xml:space="preserve"> </w:t>
      </w:r>
      <w:r w:rsidR="00277952" w:rsidRPr="00770AE8">
        <w:rPr>
          <w:rFonts w:ascii="Times New Roman" w:hAnsi="Times New Roman" w:cs="Times New Roman"/>
        </w:rPr>
        <w:t>49</w:t>
      </w:r>
      <w:r w:rsidR="0050009B">
        <w:rPr>
          <w:rFonts w:ascii="Times New Roman" w:hAnsi="Times New Roman" w:cs="Times New Roman"/>
        </w:rPr>
        <w:t>(1)</w:t>
      </w:r>
      <w:r w:rsidR="00277952" w:rsidRPr="00770AE8">
        <w:rPr>
          <w:rFonts w:ascii="Times New Roman" w:hAnsi="Times New Roman" w:cs="Times New Roman"/>
        </w:rPr>
        <w:t xml:space="preserve"> is concerned. </w:t>
      </w:r>
      <w:r w:rsidR="00D32452" w:rsidRPr="00770AE8">
        <w:rPr>
          <w:rFonts w:ascii="Times New Roman" w:hAnsi="Times New Roman" w:cs="Times New Roman"/>
        </w:rPr>
        <w:t xml:space="preserve"> The two provisions must be construed together and, in particular, each must be </w:t>
      </w:r>
      <w:r w:rsidR="0050009B">
        <w:rPr>
          <w:rFonts w:ascii="Times New Roman" w:hAnsi="Times New Roman" w:cs="Times New Roman"/>
        </w:rPr>
        <w:t xml:space="preserve">understood as being concerned with </w:t>
      </w:r>
      <w:r w:rsidR="00D32452" w:rsidRPr="00770AE8">
        <w:rPr>
          <w:rFonts w:ascii="Times New Roman" w:hAnsi="Times New Roman" w:cs="Times New Roman"/>
        </w:rPr>
        <w:t>the same component</w:t>
      </w:r>
      <w:r w:rsidR="0050009B">
        <w:rPr>
          <w:rFonts w:ascii="Times New Roman" w:hAnsi="Times New Roman" w:cs="Times New Roman"/>
        </w:rPr>
        <w:t>s within the valuation process.</w:t>
      </w:r>
      <w:r w:rsidR="009F60BA">
        <w:rPr>
          <w:rFonts w:ascii="Times New Roman" w:hAnsi="Times New Roman" w:cs="Times New Roman"/>
        </w:rPr>
        <w:t xml:space="preserve">  </w:t>
      </w:r>
      <w:r w:rsidR="00D32452" w:rsidRPr="009F60BA">
        <w:rPr>
          <w:rFonts w:ascii="Times New Roman" w:hAnsi="Times New Roman" w:cs="Times New Roman"/>
        </w:rPr>
        <w:t>It is th</w:t>
      </w:r>
      <w:r w:rsidR="00704365" w:rsidRPr="009F60BA">
        <w:rPr>
          <w:rFonts w:ascii="Times New Roman" w:hAnsi="Times New Roman" w:cs="Times New Roman"/>
        </w:rPr>
        <w:t>erefore</w:t>
      </w:r>
      <w:r w:rsidR="00D32452" w:rsidRPr="009F60BA">
        <w:rPr>
          <w:rFonts w:ascii="Times New Roman" w:hAnsi="Times New Roman" w:cs="Times New Roman"/>
        </w:rPr>
        <w:t xml:space="preserve"> critical to the issue arising in this appeal that the definition of MCC addresses itself to the combination of previously separate properties</w:t>
      </w:r>
      <w:r w:rsidR="007E2CB3" w:rsidRPr="009F60BA">
        <w:rPr>
          <w:rFonts w:ascii="Times New Roman" w:hAnsi="Times New Roman" w:cs="Times New Roman"/>
        </w:rPr>
        <w:t>, and that it does so in a way that is only consistent with pre-amalgamation units being viewed as distinct for the purposes of rating from the single property formed by their joinder.</w:t>
      </w:r>
      <w:r w:rsidR="007E2CB3" w:rsidRPr="009F60BA">
        <w:t xml:space="preserve">  </w:t>
      </w:r>
    </w:p>
    <w:p w14:paraId="00F4ABC1" w14:textId="77777777" w:rsidR="007E2CB3" w:rsidRPr="007E2CB3" w:rsidRDefault="007E2CB3" w:rsidP="00236363">
      <w:pPr>
        <w:pStyle w:val="ListParagraph"/>
        <w:spacing w:line="480" w:lineRule="auto"/>
        <w:rPr>
          <w:rFonts w:ascii="Times New Roman" w:hAnsi="Times New Roman" w:cs="Times New Roman"/>
        </w:rPr>
      </w:pPr>
    </w:p>
    <w:p w14:paraId="456DB4D9" w14:textId="52061419" w:rsidR="00704365" w:rsidRPr="00704365" w:rsidRDefault="00D32452" w:rsidP="00236363">
      <w:pPr>
        <w:pStyle w:val="ListParagraph"/>
        <w:numPr>
          <w:ilvl w:val="0"/>
          <w:numId w:val="1"/>
        </w:numPr>
        <w:spacing w:line="480" w:lineRule="auto"/>
        <w:jc w:val="both"/>
        <w:rPr>
          <w:rFonts w:ascii="Times New Roman" w:hAnsi="Times New Roman" w:cs="Times New Roman"/>
          <w:b/>
        </w:rPr>
      </w:pPr>
      <w:r w:rsidRPr="00770AE8">
        <w:rPr>
          <w:rFonts w:ascii="Times New Roman" w:hAnsi="Times New Roman" w:cs="Times New Roman"/>
        </w:rPr>
        <w:t>Section 3(1) includes within the definition of a ‘</w:t>
      </w:r>
      <w:r w:rsidRPr="00770AE8">
        <w:rPr>
          <w:rFonts w:ascii="Times New Roman" w:hAnsi="Times New Roman" w:cs="Times New Roman"/>
          <w:i/>
        </w:rPr>
        <w:t xml:space="preserve">material change of circumstances’ </w:t>
      </w:r>
      <w:r w:rsidR="007E2CB3">
        <w:rPr>
          <w:rFonts w:ascii="Times New Roman" w:hAnsi="Times New Roman" w:cs="Times New Roman"/>
        </w:rPr>
        <w:t xml:space="preserve">that </w:t>
      </w:r>
      <w:r w:rsidRPr="00770AE8">
        <w:rPr>
          <w:rFonts w:ascii="Times New Roman" w:hAnsi="Times New Roman" w:cs="Times New Roman"/>
        </w:rPr>
        <w:t>will give rise to a revision</w:t>
      </w:r>
      <w:r w:rsidR="00704365">
        <w:rPr>
          <w:rFonts w:ascii="Times New Roman" w:hAnsi="Times New Roman" w:cs="Times New Roman"/>
        </w:rPr>
        <w:t>:</w:t>
      </w:r>
    </w:p>
    <w:p w14:paraId="1CBFC958" w14:textId="77777777" w:rsidR="00704365" w:rsidRPr="00704365" w:rsidRDefault="00704365" w:rsidP="00704365">
      <w:pPr>
        <w:pStyle w:val="ListParagraph"/>
        <w:rPr>
          <w:rFonts w:ascii="Times New Roman" w:hAnsi="Times New Roman" w:cs="Times New Roman"/>
        </w:rPr>
      </w:pPr>
    </w:p>
    <w:p w14:paraId="049BF21D" w14:textId="77777777" w:rsidR="00704365" w:rsidRDefault="00D32452" w:rsidP="00704365">
      <w:pPr>
        <w:pStyle w:val="ListParagraph"/>
        <w:spacing w:line="480" w:lineRule="auto"/>
        <w:ind w:left="1440"/>
        <w:jc w:val="both"/>
        <w:rPr>
          <w:rFonts w:ascii="Times New Roman" w:hAnsi="Times New Roman" w:cs="Times New Roman"/>
        </w:rPr>
      </w:pPr>
      <w:r w:rsidRPr="00770AE8">
        <w:rPr>
          <w:rFonts w:ascii="Times New Roman" w:hAnsi="Times New Roman" w:cs="Times New Roman"/>
        </w:rPr>
        <w:t>‘</w:t>
      </w:r>
      <w:r w:rsidRPr="00770AE8">
        <w:rPr>
          <w:rFonts w:ascii="Times New Roman" w:hAnsi="Times New Roman" w:cs="Times New Roman"/>
          <w:i/>
        </w:rPr>
        <w:t>property previously valued as 2 or more relevant properties becoming liable to be valued as a single relevant property’</w:t>
      </w:r>
      <w:r w:rsidRPr="00770AE8">
        <w:rPr>
          <w:rFonts w:ascii="Times New Roman" w:hAnsi="Times New Roman" w:cs="Times New Roman"/>
        </w:rPr>
        <w:t xml:space="preserve"> </w:t>
      </w:r>
    </w:p>
    <w:p w14:paraId="6DA3FE67" w14:textId="77777777" w:rsidR="00704365" w:rsidRDefault="00704365" w:rsidP="00704365">
      <w:pPr>
        <w:spacing w:line="480" w:lineRule="auto"/>
        <w:jc w:val="both"/>
      </w:pPr>
    </w:p>
    <w:p w14:paraId="47639447" w14:textId="4E3DDBF2" w:rsidR="00704365" w:rsidRPr="007E2CB3" w:rsidRDefault="00704365" w:rsidP="003B6262">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It </w:t>
      </w:r>
      <w:r w:rsidR="00D32452" w:rsidRPr="00704365">
        <w:rPr>
          <w:rFonts w:ascii="Times New Roman" w:hAnsi="Times New Roman" w:cs="Times New Roman"/>
        </w:rPr>
        <w:t xml:space="preserve">also </w:t>
      </w:r>
      <w:r>
        <w:rPr>
          <w:rFonts w:ascii="Times New Roman" w:hAnsi="Times New Roman" w:cs="Times New Roman"/>
        </w:rPr>
        <w:t>provides that a ‘</w:t>
      </w:r>
      <w:r>
        <w:rPr>
          <w:rFonts w:ascii="Times New Roman" w:hAnsi="Times New Roman" w:cs="Times New Roman"/>
          <w:i/>
        </w:rPr>
        <w:t xml:space="preserve">material change of circumstances’ </w:t>
      </w:r>
      <w:r>
        <w:rPr>
          <w:rFonts w:ascii="Times New Roman" w:hAnsi="Times New Roman" w:cs="Times New Roman"/>
        </w:rPr>
        <w:t>will occur in the event of:</w:t>
      </w:r>
    </w:p>
    <w:p w14:paraId="523C4022" w14:textId="77777777" w:rsidR="007E2CB3" w:rsidRPr="00704365" w:rsidRDefault="007E2CB3" w:rsidP="007E2CB3">
      <w:pPr>
        <w:pStyle w:val="ListParagraph"/>
        <w:spacing w:line="480" w:lineRule="auto"/>
        <w:jc w:val="both"/>
        <w:rPr>
          <w:rFonts w:ascii="Times New Roman" w:hAnsi="Times New Roman" w:cs="Times New Roman"/>
          <w:b/>
        </w:rPr>
      </w:pPr>
    </w:p>
    <w:p w14:paraId="6C75381C" w14:textId="77777777" w:rsidR="00704365" w:rsidRDefault="00D32452" w:rsidP="00704365">
      <w:pPr>
        <w:pStyle w:val="ListParagraph"/>
        <w:spacing w:line="480" w:lineRule="auto"/>
        <w:ind w:left="1440"/>
        <w:jc w:val="both"/>
        <w:rPr>
          <w:rFonts w:ascii="Times New Roman" w:hAnsi="Times New Roman" w:cs="Times New Roman"/>
        </w:rPr>
      </w:pPr>
      <w:r w:rsidRPr="00704365">
        <w:rPr>
          <w:rFonts w:ascii="Times New Roman" w:hAnsi="Times New Roman" w:cs="Times New Roman"/>
        </w:rPr>
        <w:t>‘</w:t>
      </w:r>
      <w:r w:rsidRPr="00704365">
        <w:rPr>
          <w:rFonts w:ascii="Times New Roman" w:hAnsi="Times New Roman" w:cs="Times New Roman"/>
          <w:i/>
        </w:rPr>
        <w:t>property previously valued as a single relevant property becoming liable to be valued as 2 or more relevant properties’</w:t>
      </w:r>
      <w:r w:rsidRPr="00704365">
        <w:rPr>
          <w:rFonts w:ascii="Times New Roman" w:hAnsi="Times New Roman" w:cs="Times New Roman"/>
        </w:rPr>
        <w:t xml:space="preserve">. </w:t>
      </w:r>
    </w:p>
    <w:p w14:paraId="67F66941" w14:textId="77777777" w:rsidR="00704365" w:rsidRDefault="00704365" w:rsidP="00704365">
      <w:pPr>
        <w:spacing w:line="480" w:lineRule="auto"/>
        <w:jc w:val="both"/>
      </w:pPr>
    </w:p>
    <w:p w14:paraId="7330CFC8" w14:textId="5122EF68" w:rsidR="00572440" w:rsidRPr="00B95045" w:rsidRDefault="00183907" w:rsidP="003B6262">
      <w:pPr>
        <w:pStyle w:val="ListParagraph"/>
        <w:numPr>
          <w:ilvl w:val="0"/>
          <w:numId w:val="1"/>
        </w:numPr>
        <w:spacing w:line="480" w:lineRule="auto"/>
        <w:jc w:val="both"/>
        <w:rPr>
          <w:rFonts w:ascii="Times New Roman" w:hAnsi="Times New Roman" w:cs="Times New Roman"/>
          <w:b/>
        </w:rPr>
      </w:pPr>
      <w:r w:rsidRPr="00704365">
        <w:rPr>
          <w:rFonts w:ascii="Times New Roman" w:hAnsi="Times New Roman" w:cs="Times New Roman"/>
        </w:rPr>
        <w:t>T</w:t>
      </w:r>
      <w:r w:rsidR="00572440">
        <w:rPr>
          <w:rFonts w:ascii="Times New Roman" w:hAnsi="Times New Roman" w:cs="Times New Roman"/>
        </w:rPr>
        <w:t>here are in each of these parts of the</w:t>
      </w:r>
      <w:r w:rsidRPr="00704365">
        <w:rPr>
          <w:rFonts w:ascii="Times New Roman" w:hAnsi="Times New Roman" w:cs="Times New Roman"/>
        </w:rPr>
        <w:t xml:space="preserve"> definition </w:t>
      </w:r>
      <w:r w:rsidR="00572440">
        <w:rPr>
          <w:rFonts w:ascii="Times New Roman" w:hAnsi="Times New Roman" w:cs="Times New Roman"/>
        </w:rPr>
        <w:t xml:space="preserve">of MCC four key terms </w:t>
      </w:r>
      <w:r w:rsidR="003944E8">
        <w:rPr>
          <w:rFonts w:ascii="Times New Roman" w:hAnsi="Times New Roman" w:cs="Times New Roman"/>
        </w:rPr>
        <w:t xml:space="preserve">(albeit </w:t>
      </w:r>
      <w:r w:rsidR="00572440">
        <w:rPr>
          <w:rFonts w:ascii="Times New Roman" w:hAnsi="Times New Roman" w:cs="Times New Roman"/>
        </w:rPr>
        <w:t>re-ordered as between the two different situations addressed in the provision</w:t>
      </w:r>
      <w:r w:rsidR="003944E8">
        <w:rPr>
          <w:rFonts w:ascii="Times New Roman" w:hAnsi="Times New Roman" w:cs="Times New Roman"/>
        </w:rPr>
        <w:t>)</w:t>
      </w:r>
      <w:r w:rsidR="00572440">
        <w:rPr>
          <w:rFonts w:ascii="Times New Roman" w:hAnsi="Times New Roman" w:cs="Times New Roman"/>
        </w:rPr>
        <w:t>: ‘</w:t>
      </w:r>
      <w:r w:rsidR="00572440">
        <w:rPr>
          <w:rFonts w:ascii="Times New Roman" w:hAnsi="Times New Roman" w:cs="Times New Roman"/>
          <w:i/>
        </w:rPr>
        <w:t xml:space="preserve">property previously valued’, ‘becoming liable to be valued as’,  </w:t>
      </w:r>
      <w:r w:rsidR="00572440">
        <w:rPr>
          <w:rFonts w:ascii="Times New Roman" w:hAnsi="Times New Roman" w:cs="Times New Roman"/>
        </w:rPr>
        <w:t>‘</w:t>
      </w:r>
      <w:r w:rsidR="00572440">
        <w:rPr>
          <w:rFonts w:ascii="Times New Roman" w:hAnsi="Times New Roman" w:cs="Times New Roman"/>
          <w:i/>
        </w:rPr>
        <w:t xml:space="preserve">single relevant property’ </w:t>
      </w:r>
      <w:r w:rsidR="00572440">
        <w:rPr>
          <w:rFonts w:ascii="Times New Roman" w:hAnsi="Times New Roman" w:cs="Times New Roman"/>
        </w:rPr>
        <w:t>and ‘</w:t>
      </w:r>
      <w:r w:rsidR="00572440">
        <w:rPr>
          <w:rFonts w:ascii="Times New Roman" w:hAnsi="Times New Roman" w:cs="Times New Roman"/>
          <w:i/>
        </w:rPr>
        <w:t xml:space="preserve">2 or more relevant properties’.  </w:t>
      </w:r>
      <w:r w:rsidR="00572440" w:rsidRPr="00B95045">
        <w:rPr>
          <w:rFonts w:ascii="Times New Roman" w:hAnsi="Times New Roman" w:cs="Times New Roman"/>
        </w:rPr>
        <w:t>What s</w:t>
      </w:r>
      <w:r w:rsidR="000F36BF">
        <w:rPr>
          <w:rFonts w:ascii="Times New Roman" w:hAnsi="Times New Roman" w:cs="Times New Roman"/>
        </w:rPr>
        <w:t>.</w:t>
      </w:r>
      <w:r w:rsidR="00572440" w:rsidRPr="00B95045">
        <w:rPr>
          <w:rFonts w:ascii="Times New Roman" w:hAnsi="Times New Roman" w:cs="Times New Roman"/>
        </w:rPr>
        <w:t xml:space="preserve"> 3(1) </w:t>
      </w:r>
      <w:r w:rsidR="00572440">
        <w:rPr>
          <w:rFonts w:ascii="Times New Roman" w:hAnsi="Times New Roman" w:cs="Times New Roman"/>
        </w:rPr>
        <w:t xml:space="preserve">in this way </w:t>
      </w:r>
      <w:r w:rsidR="00572440" w:rsidRPr="00B95045">
        <w:rPr>
          <w:rFonts w:ascii="Times New Roman" w:hAnsi="Times New Roman" w:cs="Times New Roman"/>
        </w:rPr>
        <w:t>makes clear is that the ‘</w:t>
      </w:r>
      <w:r w:rsidR="00572440" w:rsidRPr="00B95045">
        <w:rPr>
          <w:rFonts w:ascii="Times New Roman" w:hAnsi="Times New Roman" w:cs="Times New Roman"/>
          <w:i/>
        </w:rPr>
        <w:t xml:space="preserve">relevant property’ </w:t>
      </w:r>
      <w:r w:rsidR="00112099">
        <w:rPr>
          <w:rFonts w:ascii="Times New Roman" w:hAnsi="Times New Roman" w:cs="Times New Roman"/>
        </w:rPr>
        <w:t xml:space="preserve">that is </w:t>
      </w:r>
      <w:r w:rsidR="00572440" w:rsidRPr="00B95045">
        <w:rPr>
          <w:rFonts w:ascii="Times New Roman" w:hAnsi="Times New Roman" w:cs="Times New Roman"/>
        </w:rPr>
        <w:t xml:space="preserve">produced by amalgamation </w:t>
      </w:r>
      <w:r w:rsidR="00112099">
        <w:rPr>
          <w:rFonts w:ascii="Times New Roman" w:hAnsi="Times New Roman" w:cs="Times New Roman"/>
        </w:rPr>
        <w:t>and is ‘</w:t>
      </w:r>
      <w:r w:rsidR="00112099" w:rsidRPr="00112099">
        <w:rPr>
          <w:rFonts w:ascii="Times New Roman" w:hAnsi="Times New Roman" w:cs="Times New Roman"/>
          <w:i/>
        </w:rPr>
        <w:t>liable to be value</w:t>
      </w:r>
      <w:r w:rsidR="00112099">
        <w:rPr>
          <w:rFonts w:ascii="Times New Roman" w:hAnsi="Times New Roman" w:cs="Times New Roman"/>
          <w:i/>
        </w:rPr>
        <w:t xml:space="preserve">d’ </w:t>
      </w:r>
      <w:r w:rsidR="00572440">
        <w:rPr>
          <w:rFonts w:ascii="Times New Roman" w:hAnsi="Times New Roman" w:cs="Times New Roman"/>
        </w:rPr>
        <w:t>is not the same as the ‘</w:t>
      </w:r>
      <w:r w:rsidR="00572440">
        <w:rPr>
          <w:rFonts w:ascii="Times New Roman" w:hAnsi="Times New Roman" w:cs="Times New Roman"/>
          <w:i/>
        </w:rPr>
        <w:t xml:space="preserve">relevant properties’ </w:t>
      </w:r>
      <w:r w:rsidR="00572440">
        <w:rPr>
          <w:rFonts w:ascii="Times New Roman" w:hAnsi="Times New Roman" w:cs="Times New Roman"/>
        </w:rPr>
        <w:t xml:space="preserve">that were </w:t>
      </w:r>
      <w:r w:rsidR="00112099">
        <w:rPr>
          <w:rFonts w:ascii="Times New Roman" w:hAnsi="Times New Roman" w:cs="Times New Roman"/>
        </w:rPr>
        <w:t>‘</w:t>
      </w:r>
      <w:r w:rsidR="00572440" w:rsidRPr="00112099">
        <w:rPr>
          <w:rFonts w:ascii="Times New Roman" w:hAnsi="Times New Roman" w:cs="Times New Roman"/>
          <w:i/>
        </w:rPr>
        <w:t>previously valued</w:t>
      </w:r>
      <w:r w:rsidR="00112099">
        <w:rPr>
          <w:rFonts w:ascii="Times New Roman" w:hAnsi="Times New Roman" w:cs="Times New Roman"/>
          <w:i/>
        </w:rPr>
        <w:t>’</w:t>
      </w:r>
      <w:r w:rsidR="00572440">
        <w:rPr>
          <w:rFonts w:ascii="Times New Roman" w:hAnsi="Times New Roman" w:cs="Times New Roman"/>
        </w:rPr>
        <w:t xml:space="preserve"> as separate units.  Similarly, it makes it clear that the </w:t>
      </w:r>
      <w:r w:rsidR="00572440" w:rsidRPr="00B95045">
        <w:rPr>
          <w:rFonts w:ascii="Times New Roman" w:hAnsi="Times New Roman" w:cs="Times New Roman"/>
        </w:rPr>
        <w:t>‘</w:t>
      </w:r>
      <w:r w:rsidR="00572440" w:rsidRPr="00B95045">
        <w:rPr>
          <w:rFonts w:ascii="Times New Roman" w:hAnsi="Times New Roman" w:cs="Times New Roman"/>
          <w:i/>
        </w:rPr>
        <w:t xml:space="preserve">relevant properties’ </w:t>
      </w:r>
      <w:r w:rsidR="00572440" w:rsidRPr="00B95045">
        <w:rPr>
          <w:rFonts w:ascii="Times New Roman" w:hAnsi="Times New Roman" w:cs="Times New Roman"/>
        </w:rPr>
        <w:t>produced by subdivision are not the same as the ‘</w:t>
      </w:r>
      <w:r w:rsidR="00572440" w:rsidRPr="00B95045">
        <w:rPr>
          <w:rFonts w:ascii="Times New Roman" w:hAnsi="Times New Roman" w:cs="Times New Roman"/>
          <w:i/>
        </w:rPr>
        <w:t xml:space="preserve">relevant property’ </w:t>
      </w:r>
      <w:r w:rsidR="00572440" w:rsidRPr="00B95045">
        <w:rPr>
          <w:rFonts w:ascii="Times New Roman" w:hAnsi="Times New Roman" w:cs="Times New Roman"/>
        </w:rPr>
        <w:t xml:space="preserve">thereafter divided.  </w:t>
      </w:r>
      <w:r w:rsidR="00572440">
        <w:rPr>
          <w:rFonts w:ascii="Times New Roman" w:hAnsi="Times New Roman" w:cs="Times New Roman"/>
        </w:rPr>
        <w:t xml:space="preserve">In each of these situations the MCC has given rise to </w:t>
      </w:r>
      <w:r w:rsidR="00572440" w:rsidRPr="00B95045">
        <w:rPr>
          <w:rFonts w:ascii="Times New Roman" w:hAnsi="Times New Roman" w:cs="Times New Roman"/>
          <w:i/>
        </w:rPr>
        <w:t>separate</w:t>
      </w:r>
      <w:r w:rsidR="00572440" w:rsidRPr="00B95045">
        <w:rPr>
          <w:rFonts w:ascii="Times New Roman" w:hAnsi="Times New Roman" w:cs="Times New Roman"/>
        </w:rPr>
        <w:t xml:space="preserve"> </w:t>
      </w:r>
      <w:r w:rsidR="00572440" w:rsidRPr="00572440">
        <w:rPr>
          <w:rFonts w:ascii="Times New Roman" w:hAnsi="Times New Roman" w:cs="Times New Roman"/>
          <w:i/>
        </w:rPr>
        <w:t>relevant properties</w:t>
      </w:r>
      <w:r w:rsidR="00572440" w:rsidRPr="00B95045">
        <w:rPr>
          <w:rFonts w:ascii="Times New Roman" w:hAnsi="Times New Roman" w:cs="Times New Roman"/>
        </w:rPr>
        <w:t xml:space="preserve"> as envisaged by </w:t>
      </w:r>
      <w:r w:rsidR="00572440">
        <w:rPr>
          <w:rFonts w:ascii="Times New Roman" w:hAnsi="Times New Roman" w:cs="Times New Roman"/>
        </w:rPr>
        <w:t>s.</w:t>
      </w:r>
      <w:r w:rsidR="000064F3">
        <w:rPr>
          <w:rFonts w:ascii="Times New Roman" w:hAnsi="Times New Roman" w:cs="Times New Roman"/>
        </w:rPr>
        <w:t xml:space="preserve"> </w:t>
      </w:r>
      <w:r w:rsidR="00572440">
        <w:rPr>
          <w:rFonts w:ascii="Times New Roman" w:hAnsi="Times New Roman" w:cs="Times New Roman"/>
        </w:rPr>
        <w:t>17(1) of the Act:</w:t>
      </w:r>
    </w:p>
    <w:p w14:paraId="32A01E73" w14:textId="77777777" w:rsidR="00572440" w:rsidRPr="00B95045" w:rsidRDefault="00572440" w:rsidP="00572440">
      <w:pPr>
        <w:spacing w:line="480" w:lineRule="auto"/>
        <w:jc w:val="both"/>
        <w:rPr>
          <w:b/>
        </w:rPr>
      </w:pPr>
    </w:p>
    <w:p w14:paraId="43BCDFBE" w14:textId="77777777" w:rsidR="00572440" w:rsidRPr="005C5253" w:rsidRDefault="00572440" w:rsidP="00572440">
      <w:pPr>
        <w:pStyle w:val="ListParagraph"/>
        <w:spacing w:line="480" w:lineRule="auto"/>
        <w:ind w:left="1440"/>
        <w:jc w:val="both"/>
        <w:rPr>
          <w:rFonts w:ascii="Times New Roman" w:hAnsi="Times New Roman" w:cs="Times New Roman"/>
        </w:rPr>
      </w:pPr>
      <w:r>
        <w:rPr>
          <w:rFonts w:ascii="Times New Roman" w:hAnsi="Times New Roman" w:cs="Times New Roman"/>
          <w:i/>
        </w:rPr>
        <w:t>‘where a valuation falls to be made under this Act of relevant properties, each separate relevant property shall be valued separately and entered as a separate item in the relevant valuation list’</w:t>
      </w:r>
      <w:r>
        <w:rPr>
          <w:rFonts w:ascii="Times New Roman" w:hAnsi="Times New Roman" w:cs="Times New Roman"/>
        </w:rPr>
        <w:t>.</w:t>
      </w:r>
    </w:p>
    <w:p w14:paraId="3FE05E2E" w14:textId="77777777" w:rsidR="00572440" w:rsidRPr="00572440" w:rsidRDefault="00572440" w:rsidP="00572440">
      <w:pPr>
        <w:spacing w:line="480" w:lineRule="auto"/>
        <w:jc w:val="both"/>
        <w:rPr>
          <w:b/>
        </w:rPr>
      </w:pPr>
      <w:r w:rsidRPr="00572440">
        <w:t xml:space="preserve">  </w:t>
      </w:r>
    </w:p>
    <w:p w14:paraId="1D89E29B" w14:textId="010F35EF" w:rsidR="00862B6E" w:rsidRPr="005E2A6A" w:rsidRDefault="00862B6E" w:rsidP="003B6262">
      <w:pPr>
        <w:pStyle w:val="ListParagraph"/>
        <w:numPr>
          <w:ilvl w:val="0"/>
          <w:numId w:val="1"/>
        </w:numPr>
        <w:spacing w:line="480" w:lineRule="auto"/>
        <w:jc w:val="both"/>
        <w:rPr>
          <w:rFonts w:ascii="Times New Roman" w:hAnsi="Times New Roman" w:cs="Times New Roman"/>
          <w:b/>
        </w:rPr>
      </w:pPr>
      <w:r w:rsidRPr="00862B6E">
        <w:rPr>
          <w:rFonts w:ascii="Times New Roman" w:hAnsi="Times New Roman" w:cs="Times New Roman"/>
        </w:rPr>
        <w:t>If the pre-amalgamation units are ‘</w:t>
      </w:r>
      <w:r w:rsidRPr="00862B6E">
        <w:rPr>
          <w:rFonts w:ascii="Times New Roman" w:hAnsi="Times New Roman" w:cs="Times New Roman"/>
          <w:i/>
        </w:rPr>
        <w:t xml:space="preserve">separate </w:t>
      </w:r>
      <w:r w:rsidR="00B61B92">
        <w:rPr>
          <w:rFonts w:ascii="Times New Roman" w:hAnsi="Times New Roman" w:cs="Times New Roman"/>
          <w:i/>
        </w:rPr>
        <w:t xml:space="preserve">relevant </w:t>
      </w:r>
      <w:r w:rsidRPr="00862B6E">
        <w:rPr>
          <w:rFonts w:ascii="Times New Roman" w:hAnsi="Times New Roman" w:cs="Times New Roman"/>
          <w:i/>
        </w:rPr>
        <w:t xml:space="preserve">properties’ </w:t>
      </w:r>
      <w:r w:rsidRPr="00862B6E">
        <w:rPr>
          <w:rFonts w:ascii="Times New Roman" w:hAnsi="Times New Roman" w:cs="Times New Roman"/>
        </w:rPr>
        <w:t>from the post amalgamation</w:t>
      </w:r>
      <w:r w:rsidR="00B61B92">
        <w:rPr>
          <w:rFonts w:ascii="Times New Roman" w:hAnsi="Times New Roman" w:cs="Times New Roman"/>
        </w:rPr>
        <w:t xml:space="preserve"> relevant</w:t>
      </w:r>
      <w:r w:rsidRPr="00862B6E">
        <w:rPr>
          <w:rFonts w:ascii="Times New Roman" w:hAnsi="Times New Roman" w:cs="Times New Roman"/>
        </w:rPr>
        <w:t xml:space="preserve"> property, then they are not the same </w:t>
      </w:r>
      <w:r w:rsidR="00B61B92">
        <w:rPr>
          <w:rFonts w:ascii="Times New Roman" w:hAnsi="Times New Roman" w:cs="Times New Roman"/>
        </w:rPr>
        <w:t xml:space="preserve">relevant </w:t>
      </w:r>
      <w:r w:rsidRPr="00862B6E">
        <w:rPr>
          <w:rFonts w:ascii="Times New Roman" w:hAnsi="Times New Roman" w:cs="Times New Roman"/>
        </w:rPr>
        <w:t xml:space="preserve">property.  If not </w:t>
      </w:r>
      <w:r w:rsidRPr="00862B6E">
        <w:rPr>
          <w:rFonts w:ascii="Times New Roman" w:hAnsi="Times New Roman" w:cs="Times New Roman"/>
        </w:rPr>
        <w:lastRenderedPageBreak/>
        <w:t xml:space="preserve">the same </w:t>
      </w:r>
      <w:r w:rsidR="00B61B92">
        <w:rPr>
          <w:rFonts w:ascii="Times New Roman" w:hAnsi="Times New Roman" w:cs="Times New Roman"/>
        </w:rPr>
        <w:t xml:space="preserve">relevant </w:t>
      </w:r>
      <w:r w:rsidRPr="00862B6E">
        <w:rPr>
          <w:rFonts w:ascii="Times New Roman" w:hAnsi="Times New Roman" w:cs="Times New Roman"/>
        </w:rPr>
        <w:t xml:space="preserve">property, they must be different </w:t>
      </w:r>
      <w:r w:rsidR="00B61B92">
        <w:rPr>
          <w:rFonts w:ascii="Times New Roman" w:hAnsi="Times New Roman" w:cs="Times New Roman"/>
        </w:rPr>
        <w:t xml:space="preserve">relevant </w:t>
      </w:r>
      <w:r w:rsidRPr="00862B6E">
        <w:rPr>
          <w:rFonts w:ascii="Times New Roman" w:hAnsi="Times New Roman" w:cs="Times New Roman"/>
        </w:rPr>
        <w:t xml:space="preserve">properties, and if they are different </w:t>
      </w:r>
      <w:r w:rsidR="00B61B92">
        <w:rPr>
          <w:rFonts w:ascii="Times New Roman" w:hAnsi="Times New Roman" w:cs="Times New Roman"/>
        </w:rPr>
        <w:t xml:space="preserve">relevant </w:t>
      </w:r>
      <w:r w:rsidRPr="00862B6E">
        <w:rPr>
          <w:rFonts w:ascii="Times New Roman" w:hAnsi="Times New Roman" w:cs="Times New Roman"/>
        </w:rPr>
        <w:t>properties the pre-amalgamation units are</w:t>
      </w:r>
      <w:r w:rsidR="00622E45">
        <w:rPr>
          <w:rFonts w:ascii="Times New Roman" w:hAnsi="Times New Roman" w:cs="Times New Roman"/>
        </w:rPr>
        <w:t>,</w:t>
      </w:r>
      <w:r w:rsidRPr="00862B6E">
        <w:rPr>
          <w:rFonts w:ascii="Times New Roman" w:hAnsi="Times New Roman" w:cs="Times New Roman"/>
        </w:rPr>
        <w:t xml:space="preserve"> when matched against the amalgamated property for</w:t>
      </w:r>
      <w:r>
        <w:rPr>
          <w:rFonts w:ascii="Times New Roman" w:hAnsi="Times New Roman" w:cs="Times New Roman"/>
        </w:rPr>
        <w:t xml:space="preserve"> the purposes with which </w:t>
      </w:r>
      <w:r w:rsidR="00622E45">
        <w:rPr>
          <w:rFonts w:ascii="Times New Roman" w:hAnsi="Times New Roman" w:cs="Times New Roman"/>
        </w:rPr>
        <w:t>s</w:t>
      </w:r>
      <w:r>
        <w:rPr>
          <w:rFonts w:ascii="Times New Roman" w:hAnsi="Times New Roman" w:cs="Times New Roman"/>
        </w:rPr>
        <w:t>s.</w:t>
      </w:r>
      <w:r w:rsidR="000064F3">
        <w:rPr>
          <w:rFonts w:ascii="Times New Roman" w:hAnsi="Times New Roman" w:cs="Times New Roman"/>
        </w:rPr>
        <w:t xml:space="preserve"> </w:t>
      </w:r>
      <w:r>
        <w:rPr>
          <w:rFonts w:ascii="Times New Roman" w:hAnsi="Times New Roman" w:cs="Times New Roman"/>
        </w:rPr>
        <w:t xml:space="preserve">3(1) and s. 28 are concerned, </w:t>
      </w:r>
      <w:r w:rsidRPr="00862B6E">
        <w:rPr>
          <w:rFonts w:ascii="Times New Roman" w:hAnsi="Times New Roman" w:cs="Times New Roman"/>
        </w:rPr>
        <w:t>‘</w:t>
      </w:r>
      <w:r w:rsidRPr="00862B6E">
        <w:rPr>
          <w:rFonts w:ascii="Times New Roman" w:hAnsi="Times New Roman" w:cs="Times New Roman"/>
          <w:i/>
        </w:rPr>
        <w:t xml:space="preserve">other’ </w:t>
      </w:r>
      <w:r w:rsidR="00B61B92">
        <w:rPr>
          <w:rFonts w:ascii="Times New Roman" w:hAnsi="Times New Roman" w:cs="Times New Roman"/>
        </w:rPr>
        <w:t xml:space="preserve">relevant </w:t>
      </w:r>
      <w:r w:rsidRPr="00862B6E">
        <w:rPr>
          <w:rFonts w:ascii="Times New Roman" w:hAnsi="Times New Roman" w:cs="Times New Roman"/>
        </w:rPr>
        <w:t>properties.</w:t>
      </w:r>
    </w:p>
    <w:p w14:paraId="4DC70A42" w14:textId="77777777" w:rsidR="005E2A6A" w:rsidRDefault="005E2A6A" w:rsidP="005E2A6A">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67E1576C" w14:textId="1008BDC1" w:rsidR="002656E6" w:rsidRPr="002656E6" w:rsidRDefault="005E2A6A"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 have earlier observed that s.</w:t>
      </w:r>
      <w:r w:rsidR="000064F3">
        <w:rPr>
          <w:rFonts w:ascii="Times New Roman" w:hAnsi="Times New Roman" w:cs="Times New Roman"/>
        </w:rPr>
        <w:t xml:space="preserve"> </w:t>
      </w:r>
      <w:r>
        <w:rPr>
          <w:rFonts w:ascii="Times New Roman" w:hAnsi="Times New Roman" w:cs="Times New Roman"/>
        </w:rPr>
        <w:t xml:space="preserve">49(1) must be construed so as to operate harmoniously with these provisions.  </w:t>
      </w:r>
      <w:r w:rsidRPr="00AF7365">
        <w:rPr>
          <w:rFonts w:ascii="Times New Roman" w:hAnsi="Times New Roman" w:cs="Times New Roman"/>
        </w:rPr>
        <w:t>While the ‘</w:t>
      </w:r>
      <w:r w:rsidRPr="00AF7365">
        <w:rPr>
          <w:rFonts w:ascii="Times New Roman" w:hAnsi="Times New Roman" w:cs="Times New Roman"/>
          <w:i/>
        </w:rPr>
        <w:t xml:space="preserve">tone of the list’ </w:t>
      </w:r>
      <w:r w:rsidRPr="00AF7365">
        <w:rPr>
          <w:rFonts w:ascii="Times New Roman" w:hAnsi="Times New Roman" w:cs="Times New Roman"/>
        </w:rPr>
        <w:t>has some relevance in the context of a revaluation (see s.</w:t>
      </w:r>
      <w:r w:rsidR="000064F3">
        <w:rPr>
          <w:rFonts w:ascii="Times New Roman" w:hAnsi="Times New Roman" w:cs="Times New Roman"/>
        </w:rPr>
        <w:t xml:space="preserve"> </w:t>
      </w:r>
      <w:r w:rsidRPr="00AF7365">
        <w:rPr>
          <w:rFonts w:ascii="Times New Roman" w:hAnsi="Times New Roman" w:cs="Times New Roman"/>
        </w:rPr>
        <w:t>31(a)(ii)), s.</w:t>
      </w:r>
      <w:r w:rsidR="000064F3">
        <w:rPr>
          <w:rFonts w:ascii="Times New Roman" w:hAnsi="Times New Roman" w:cs="Times New Roman"/>
        </w:rPr>
        <w:t xml:space="preserve"> </w:t>
      </w:r>
      <w:r w:rsidRPr="00AF7365">
        <w:rPr>
          <w:rFonts w:ascii="Times New Roman" w:hAnsi="Times New Roman" w:cs="Times New Roman"/>
        </w:rPr>
        <w:t xml:space="preserve">49(1) is concerned only with a revision, and </w:t>
      </w:r>
      <w:r>
        <w:rPr>
          <w:rFonts w:ascii="Times New Roman" w:hAnsi="Times New Roman" w:cs="Times New Roman"/>
        </w:rPr>
        <w:t xml:space="preserve">as I have previously stressed </w:t>
      </w:r>
      <w:r w:rsidRPr="00AF7365">
        <w:rPr>
          <w:rFonts w:ascii="Times New Roman" w:hAnsi="Times New Roman" w:cs="Times New Roman"/>
        </w:rPr>
        <w:t>it is a ‘</w:t>
      </w:r>
      <w:r w:rsidRPr="00AF7365">
        <w:rPr>
          <w:rFonts w:ascii="Times New Roman" w:hAnsi="Times New Roman" w:cs="Times New Roman"/>
          <w:i/>
        </w:rPr>
        <w:t>material change of circumstances’</w:t>
      </w:r>
      <w:r w:rsidRPr="00AF7365">
        <w:rPr>
          <w:rFonts w:ascii="Times New Roman" w:hAnsi="Times New Roman" w:cs="Times New Roman"/>
        </w:rPr>
        <w:t xml:space="preserve"> as defined in s.</w:t>
      </w:r>
      <w:r w:rsidR="000064F3">
        <w:rPr>
          <w:rFonts w:ascii="Times New Roman" w:hAnsi="Times New Roman" w:cs="Times New Roman"/>
        </w:rPr>
        <w:t xml:space="preserve"> </w:t>
      </w:r>
      <w:r w:rsidRPr="00AF7365">
        <w:rPr>
          <w:rFonts w:ascii="Times New Roman" w:hAnsi="Times New Roman" w:cs="Times New Roman"/>
        </w:rPr>
        <w:t>3(1) that, pursuant to s. 28(4), enables a revision to occur.  Indeed, s.</w:t>
      </w:r>
      <w:r w:rsidR="000064F3">
        <w:rPr>
          <w:rFonts w:ascii="Times New Roman" w:hAnsi="Times New Roman" w:cs="Times New Roman"/>
        </w:rPr>
        <w:t xml:space="preserve"> </w:t>
      </w:r>
      <w:r w:rsidRPr="00AF7365">
        <w:rPr>
          <w:rFonts w:ascii="Times New Roman" w:hAnsi="Times New Roman" w:cs="Times New Roman"/>
        </w:rPr>
        <w:t>49(1) itself refers to s.</w:t>
      </w:r>
      <w:r w:rsidR="000064F3">
        <w:rPr>
          <w:rFonts w:ascii="Times New Roman" w:hAnsi="Times New Roman" w:cs="Times New Roman"/>
        </w:rPr>
        <w:t xml:space="preserve"> </w:t>
      </w:r>
      <w:r w:rsidRPr="00AF7365">
        <w:rPr>
          <w:rFonts w:ascii="Times New Roman" w:hAnsi="Times New Roman" w:cs="Times New Roman"/>
        </w:rPr>
        <w:t xml:space="preserve">28(4).  All of these provisions </w:t>
      </w:r>
      <w:r w:rsidRPr="00AF7365">
        <w:rPr>
          <w:rFonts w:ascii="Times New Roman" w:hAnsi="Times New Roman" w:cs="Times New Roman"/>
          <w:i/>
        </w:rPr>
        <w:t>must</w:t>
      </w:r>
      <w:r w:rsidRPr="00AF7365">
        <w:rPr>
          <w:rFonts w:ascii="Times New Roman" w:hAnsi="Times New Roman" w:cs="Times New Roman"/>
        </w:rPr>
        <w:t xml:space="preserve"> be construed as having the same meaning and effect</w:t>
      </w:r>
      <w:r>
        <w:rPr>
          <w:rFonts w:ascii="Times New Roman" w:hAnsi="Times New Roman" w:cs="Times New Roman"/>
        </w:rPr>
        <w:t>.  It follow</w:t>
      </w:r>
      <w:r w:rsidR="00BF2901">
        <w:rPr>
          <w:rFonts w:ascii="Times New Roman" w:hAnsi="Times New Roman" w:cs="Times New Roman"/>
        </w:rPr>
        <w:t>s</w:t>
      </w:r>
      <w:r>
        <w:rPr>
          <w:rFonts w:ascii="Times New Roman" w:hAnsi="Times New Roman" w:cs="Times New Roman"/>
        </w:rPr>
        <w:t xml:space="preserve"> that if (as I have found to be the case) </w:t>
      </w:r>
      <w:r w:rsidR="00223551">
        <w:rPr>
          <w:rFonts w:ascii="Times New Roman" w:hAnsi="Times New Roman" w:cs="Times New Roman"/>
        </w:rPr>
        <w:t>s</w:t>
      </w:r>
      <w:r>
        <w:rPr>
          <w:rFonts w:ascii="Times New Roman" w:hAnsi="Times New Roman" w:cs="Times New Roman"/>
        </w:rPr>
        <w:t>s.</w:t>
      </w:r>
      <w:r w:rsidR="000064F3">
        <w:rPr>
          <w:rFonts w:ascii="Times New Roman" w:hAnsi="Times New Roman" w:cs="Times New Roman"/>
        </w:rPr>
        <w:t xml:space="preserve"> </w:t>
      </w:r>
      <w:r>
        <w:rPr>
          <w:rFonts w:ascii="Times New Roman" w:hAnsi="Times New Roman" w:cs="Times New Roman"/>
        </w:rPr>
        <w:t>3(1) and 28(4) provide that two separate properties and the unit formed by their amalgamation are different, and therefore ‘</w:t>
      </w:r>
      <w:r>
        <w:rPr>
          <w:rFonts w:ascii="Times New Roman" w:hAnsi="Times New Roman" w:cs="Times New Roman"/>
          <w:i/>
        </w:rPr>
        <w:t>other’</w:t>
      </w:r>
      <w:r>
        <w:rPr>
          <w:rFonts w:ascii="Times New Roman" w:hAnsi="Times New Roman" w:cs="Times New Roman"/>
        </w:rPr>
        <w:t xml:space="preserve"> properties, the same conclusion must be assumed to have been intended to follow within the text of s.</w:t>
      </w:r>
      <w:r w:rsidR="000064F3">
        <w:rPr>
          <w:rFonts w:ascii="Times New Roman" w:hAnsi="Times New Roman" w:cs="Times New Roman"/>
        </w:rPr>
        <w:t xml:space="preserve"> </w:t>
      </w:r>
      <w:r>
        <w:rPr>
          <w:rFonts w:ascii="Times New Roman" w:hAnsi="Times New Roman" w:cs="Times New Roman"/>
        </w:rPr>
        <w:t>49(1).</w:t>
      </w:r>
      <w:r w:rsidR="00F56B1A" w:rsidRPr="00F56B1A">
        <w:rPr>
          <w:rFonts w:ascii="Times New Roman" w:hAnsi="Times New Roman" w:cs="Times New Roman"/>
        </w:rPr>
        <w:t xml:space="preserve">  </w:t>
      </w:r>
      <w:r w:rsidR="008F107B" w:rsidRPr="00F56B1A">
        <w:rPr>
          <w:rFonts w:ascii="Times New Roman" w:hAnsi="Times New Roman" w:cs="Times New Roman"/>
        </w:rPr>
        <w:t xml:space="preserve">I can see nothing in the </w:t>
      </w:r>
      <w:r w:rsidR="00F56B1A" w:rsidRPr="00F56B1A">
        <w:rPr>
          <w:rFonts w:ascii="Times New Roman" w:hAnsi="Times New Roman" w:cs="Times New Roman"/>
        </w:rPr>
        <w:t xml:space="preserve">language used in </w:t>
      </w:r>
      <w:r w:rsidR="008F107B" w:rsidRPr="00F56B1A">
        <w:rPr>
          <w:rFonts w:ascii="Times New Roman" w:hAnsi="Times New Roman" w:cs="Times New Roman"/>
        </w:rPr>
        <w:t>s.</w:t>
      </w:r>
      <w:r w:rsidR="000064F3">
        <w:rPr>
          <w:rFonts w:ascii="Times New Roman" w:hAnsi="Times New Roman" w:cs="Times New Roman"/>
        </w:rPr>
        <w:t xml:space="preserve"> </w:t>
      </w:r>
      <w:r w:rsidR="008F107B" w:rsidRPr="00F56B1A">
        <w:rPr>
          <w:rFonts w:ascii="Times New Roman" w:hAnsi="Times New Roman" w:cs="Times New Roman"/>
        </w:rPr>
        <w:t xml:space="preserve">49(1) that would displace that conclusion.  </w:t>
      </w:r>
      <w:r w:rsidR="00F56B1A" w:rsidRPr="00F56B1A">
        <w:rPr>
          <w:rFonts w:ascii="Times New Roman" w:hAnsi="Times New Roman" w:cs="Times New Roman"/>
        </w:rPr>
        <w:t>While some reference was made to the fact that the text refers to ‘</w:t>
      </w:r>
      <w:r w:rsidR="00F56B1A" w:rsidRPr="00F56B1A">
        <w:rPr>
          <w:rFonts w:ascii="Times New Roman" w:hAnsi="Times New Roman" w:cs="Times New Roman"/>
          <w:i/>
        </w:rPr>
        <w:t xml:space="preserve">relevant property’ </w:t>
      </w:r>
      <w:r w:rsidR="00F56B1A" w:rsidRPr="00F56B1A">
        <w:rPr>
          <w:rFonts w:ascii="Times New Roman" w:hAnsi="Times New Roman" w:cs="Times New Roman"/>
        </w:rPr>
        <w:t>in describing the property to be valued, and to ‘</w:t>
      </w:r>
      <w:r w:rsidR="00F56B1A" w:rsidRPr="00F56B1A">
        <w:rPr>
          <w:rFonts w:ascii="Times New Roman" w:hAnsi="Times New Roman" w:cs="Times New Roman"/>
          <w:i/>
        </w:rPr>
        <w:t>other properties’</w:t>
      </w:r>
      <w:r w:rsidR="00F56B1A" w:rsidRPr="00F56B1A">
        <w:rPr>
          <w:rFonts w:ascii="Times New Roman" w:hAnsi="Times New Roman" w:cs="Times New Roman"/>
        </w:rPr>
        <w:t xml:space="preserve"> when referring to the comparators, these by definition must also be other ‘</w:t>
      </w:r>
      <w:r w:rsidR="00F56B1A" w:rsidRPr="00F56B1A">
        <w:rPr>
          <w:rFonts w:ascii="Times New Roman" w:hAnsi="Times New Roman" w:cs="Times New Roman"/>
          <w:i/>
        </w:rPr>
        <w:t>relevant’</w:t>
      </w:r>
      <w:r w:rsidR="00F56B1A" w:rsidRPr="00F56B1A">
        <w:rPr>
          <w:rFonts w:ascii="Times New Roman" w:hAnsi="Times New Roman" w:cs="Times New Roman"/>
        </w:rPr>
        <w:t xml:space="preserve"> properties as it is only such properties that will appear on the list.</w:t>
      </w:r>
      <w:r w:rsidR="002656E6">
        <w:rPr>
          <w:rFonts w:ascii="Times New Roman" w:hAnsi="Times New Roman" w:cs="Times New Roman"/>
        </w:rPr>
        <w:t xml:space="preserve">  It follows that for the purposes of s.</w:t>
      </w:r>
      <w:r w:rsidR="000064F3">
        <w:rPr>
          <w:rFonts w:ascii="Times New Roman" w:hAnsi="Times New Roman" w:cs="Times New Roman"/>
        </w:rPr>
        <w:t xml:space="preserve"> </w:t>
      </w:r>
      <w:r w:rsidR="002656E6">
        <w:rPr>
          <w:rFonts w:ascii="Times New Roman" w:hAnsi="Times New Roman" w:cs="Times New Roman"/>
        </w:rPr>
        <w:t>49(1) properties appearing on the valuation list that are subsequently amalgamated to form a new ‘</w:t>
      </w:r>
      <w:r w:rsidR="002656E6">
        <w:rPr>
          <w:rFonts w:ascii="Times New Roman" w:hAnsi="Times New Roman" w:cs="Times New Roman"/>
          <w:i/>
        </w:rPr>
        <w:t xml:space="preserve">relevant property’ </w:t>
      </w:r>
      <w:r w:rsidR="002656E6">
        <w:rPr>
          <w:rFonts w:ascii="Times New Roman" w:hAnsi="Times New Roman" w:cs="Times New Roman"/>
        </w:rPr>
        <w:t>for the purposes of the Act are ‘</w:t>
      </w:r>
      <w:r w:rsidR="002656E6">
        <w:rPr>
          <w:rFonts w:ascii="Times New Roman" w:hAnsi="Times New Roman" w:cs="Times New Roman"/>
          <w:i/>
        </w:rPr>
        <w:t>other properties’</w:t>
      </w:r>
      <w:r w:rsidR="002656E6">
        <w:rPr>
          <w:rFonts w:ascii="Times New Roman" w:hAnsi="Times New Roman" w:cs="Times New Roman"/>
        </w:rPr>
        <w:t xml:space="preserve"> within the meaning of the final clause of that provision.  They are </w:t>
      </w:r>
      <w:r w:rsidR="002656E6">
        <w:rPr>
          <w:rFonts w:ascii="Times New Roman" w:hAnsi="Times New Roman" w:cs="Times New Roman"/>
          <w:i/>
        </w:rPr>
        <w:t>different</w:t>
      </w:r>
      <w:r w:rsidR="002656E6">
        <w:rPr>
          <w:rFonts w:ascii="Times New Roman" w:hAnsi="Times New Roman" w:cs="Times New Roman"/>
        </w:rPr>
        <w:t xml:space="preserve"> valuation units.</w:t>
      </w:r>
    </w:p>
    <w:p w14:paraId="4AE3B515" w14:textId="77777777" w:rsidR="00183907" w:rsidRPr="005A4120" w:rsidRDefault="00183907" w:rsidP="00236363">
      <w:pPr>
        <w:pStyle w:val="ListParagraph"/>
        <w:spacing w:line="480" w:lineRule="auto"/>
        <w:rPr>
          <w:rFonts w:ascii="Times New Roman" w:hAnsi="Times New Roman" w:cs="Times New Roman"/>
          <w:b/>
        </w:rPr>
      </w:pPr>
    </w:p>
    <w:p w14:paraId="1CA6C138" w14:textId="77777777" w:rsidR="00C46DE1" w:rsidRPr="00540F6B" w:rsidRDefault="00540F6B"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There</w:t>
      </w:r>
      <w:r w:rsidR="00636C98" w:rsidRPr="00540F6B">
        <w:rPr>
          <w:rFonts w:ascii="Times New Roman" w:hAnsi="Times New Roman" w:cs="Times New Roman"/>
        </w:rPr>
        <w:t xml:space="preserve"> are </w:t>
      </w:r>
      <w:r w:rsidR="004B1B20">
        <w:rPr>
          <w:rFonts w:ascii="Times New Roman" w:hAnsi="Times New Roman" w:cs="Times New Roman"/>
        </w:rPr>
        <w:t xml:space="preserve">a series </w:t>
      </w:r>
      <w:r w:rsidR="00921D88">
        <w:rPr>
          <w:rFonts w:ascii="Times New Roman" w:hAnsi="Times New Roman" w:cs="Times New Roman"/>
        </w:rPr>
        <w:t xml:space="preserve">of </w:t>
      </w:r>
      <w:r w:rsidR="00B620CC" w:rsidRPr="00540F6B">
        <w:rPr>
          <w:rFonts w:ascii="Times New Roman" w:hAnsi="Times New Roman" w:cs="Times New Roman"/>
        </w:rPr>
        <w:t xml:space="preserve">closely related </w:t>
      </w:r>
      <w:r w:rsidR="005400C8" w:rsidRPr="00540F6B">
        <w:rPr>
          <w:rFonts w:ascii="Times New Roman" w:hAnsi="Times New Roman" w:cs="Times New Roman"/>
        </w:rPr>
        <w:t>considerations</w:t>
      </w:r>
      <w:r>
        <w:rPr>
          <w:rFonts w:ascii="Times New Roman" w:hAnsi="Times New Roman" w:cs="Times New Roman"/>
        </w:rPr>
        <w:t xml:space="preserve"> of context that support this construction</w:t>
      </w:r>
      <w:r w:rsidR="00636C98" w:rsidRPr="00540F6B">
        <w:rPr>
          <w:rFonts w:ascii="Times New Roman" w:hAnsi="Times New Roman" w:cs="Times New Roman"/>
        </w:rPr>
        <w:t>.  The first is the importance of ensuring that the valu</w:t>
      </w:r>
      <w:r w:rsidR="0050009B">
        <w:rPr>
          <w:rFonts w:ascii="Times New Roman" w:hAnsi="Times New Roman" w:cs="Times New Roman"/>
        </w:rPr>
        <w:t>ing body</w:t>
      </w:r>
      <w:r w:rsidR="00636C98" w:rsidRPr="00540F6B">
        <w:rPr>
          <w:rFonts w:ascii="Times New Roman" w:hAnsi="Times New Roman" w:cs="Times New Roman"/>
        </w:rPr>
        <w:t xml:space="preserve"> has before it all information necessary to achieve a fair and just valuation</w:t>
      </w:r>
      <w:r w:rsidR="002656E6">
        <w:rPr>
          <w:rFonts w:ascii="Times New Roman" w:hAnsi="Times New Roman" w:cs="Times New Roman"/>
        </w:rPr>
        <w:t xml:space="preserve"> in accordance with the rules provided for in the Act</w:t>
      </w:r>
      <w:r w:rsidR="00636C98" w:rsidRPr="00540F6B">
        <w:rPr>
          <w:rFonts w:ascii="Times New Roman" w:hAnsi="Times New Roman" w:cs="Times New Roman"/>
        </w:rPr>
        <w:t xml:space="preserve">.  The construction contended for by Dayhoff is, as Mr. Hickey SC readily acknowledged, exclusionary. Its consequence would be that neither the Commissioner nor the Tribunal could have regard to a valuation which they might </w:t>
      </w:r>
      <w:r w:rsidR="002656E6">
        <w:rPr>
          <w:rFonts w:ascii="Times New Roman" w:hAnsi="Times New Roman" w:cs="Times New Roman"/>
        </w:rPr>
        <w:t xml:space="preserve">otherwise </w:t>
      </w:r>
      <w:r w:rsidR="00636C98" w:rsidRPr="00540F6B">
        <w:rPr>
          <w:rFonts w:ascii="Times New Roman" w:hAnsi="Times New Roman" w:cs="Times New Roman"/>
        </w:rPr>
        <w:t xml:space="preserve">think directly relevant to the task of valuation in hand.  To my mind very clear language would be required to justify that conclusion.  </w:t>
      </w:r>
    </w:p>
    <w:p w14:paraId="444F4BF9" w14:textId="77777777" w:rsidR="00C46DE1" w:rsidRPr="00C46DE1" w:rsidRDefault="00C46DE1" w:rsidP="00236363">
      <w:pPr>
        <w:pStyle w:val="ListParagraph"/>
        <w:spacing w:line="480" w:lineRule="auto"/>
        <w:rPr>
          <w:rFonts w:ascii="Times New Roman" w:hAnsi="Times New Roman" w:cs="Times New Roman"/>
        </w:rPr>
      </w:pPr>
    </w:p>
    <w:p w14:paraId="31226600" w14:textId="0D5A0C06" w:rsidR="007D3051" w:rsidRPr="007D3051" w:rsidRDefault="00636C98"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position as contended for by the Commissioner is both more logical and fairer: the valu</w:t>
      </w:r>
      <w:r w:rsidR="00F56B1A">
        <w:rPr>
          <w:rFonts w:ascii="Times New Roman" w:hAnsi="Times New Roman" w:cs="Times New Roman"/>
        </w:rPr>
        <w:t xml:space="preserve">er </w:t>
      </w:r>
      <w:r>
        <w:rPr>
          <w:rFonts w:ascii="Times New Roman" w:hAnsi="Times New Roman" w:cs="Times New Roman"/>
        </w:rPr>
        <w:t xml:space="preserve">may have regard to the pre-amalgamation properties if </w:t>
      </w:r>
      <w:r w:rsidR="00BC164F">
        <w:rPr>
          <w:rFonts w:ascii="Times New Roman" w:hAnsi="Times New Roman" w:cs="Times New Roman"/>
        </w:rPr>
        <w:t xml:space="preserve">it </w:t>
      </w:r>
      <w:r>
        <w:rPr>
          <w:rFonts w:ascii="Times New Roman" w:hAnsi="Times New Roman" w:cs="Times New Roman"/>
        </w:rPr>
        <w:t>believe</w:t>
      </w:r>
      <w:r w:rsidR="00BC164F">
        <w:rPr>
          <w:rFonts w:ascii="Times New Roman" w:hAnsi="Times New Roman" w:cs="Times New Roman"/>
        </w:rPr>
        <w:t>s</w:t>
      </w:r>
      <w:r>
        <w:rPr>
          <w:rFonts w:ascii="Times New Roman" w:hAnsi="Times New Roman" w:cs="Times New Roman"/>
        </w:rPr>
        <w:t xml:space="preserve"> that they are in fact reliable comparators.  If </w:t>
      </w:r>
      <w:r w:rsidR="00BC164F">
        <w:rPr>
          <w:rFonts w:ascii="Times New Roman" w:hAnsi="Times New Roman" w:cs="Times New Roman"/>
        </w:rPr>
        <w:t xml:space="preserve">it </w:t>
      </w:r>
      <w:r>
        <w:rPr>
          <w:rFonts w:ascii="Times New Roman" w:hAnsi="Times New Roman" w:cs="Times New Roman"/>
        </w:rPr>
        <w:t>conclude</w:t>
      </w:r>
      <w:r w:rsidR="00BC164F">
        <w:rPr>
          <w:rFonts w:ascii="Times New Roman" w:hAnsi="Times New Roman" w:cs="Times New Roman"/>
        </w:rPr>
        <w:t>s</w:t>
      </w:r>
      <w:r>
        <w:rPr>
          <w:rFonts w:ascii="Times New Roman" w:hAnsi="Times New Roman" w:cs="Times New Roman"/>
        </w:rPr>
        <w:t xml:space="preserve"> that they are, in fact, not comparable the valuer is free to disregard them.  This, I think, was what the trial judge was getting at when he said in his judgment that </w:t>
      </w:r>
      <w:r w:rsidR="00C46DE1">
        <w:rPr>
          <w:rFonts w:ascii="Times New Roman" w:hAnsi="Times New Roman" w:cs="Times New Roman"/>
        </w:rPr>
        <w:t>the construction contended for by Dayhoff would ‘</w:t>
      </w:r>
      <w:r w:rsidR="00C46DE1">
        <w:rPr>
          <w:rFonts w:ascii="Times New Roman" w:hAnsi="Times New Roman" w:cs="Times New Roman"/>
          <w:i/>
        </w:rPr>
        <w:t xml:space="preserve">have the effect of denying curial deference to the Tribunal, by denying the ability of the Tribunal in future cases to correctly decide what weight, if any, to apply to the previous valuations of the two properties pre-MCC’ </w:t>
      </w:r>
      <w:r w:rsidR="00C46DE1">
        <w:rPr>
          <w:rFonts w:ascii="Times New Roman" w:hAnsi="Times New Roman" w:cs="Times New Roman"/>
        </w:rPr>
        <w:t xml:space="preserve">(at para. 54).  </w:t>
      </w:r>
      <w:r w:rsidR="00BE147D">
        <w:rPr>
          <w:rFonts w:ascii="Times New Roman" w:hAnsi="Times New Roman" w:cs="Times New Roman"/>
        </w:rPr>
        <w:t xml:space="preserve">While counsel for Dayhoff described this statement as </w:t>
      </w:r>
      <w:r w:rsidR="00BE147D" w:rsidRPr="00BE147D">
        <w:rPr>
          <w:rFonts w:ascii="Times New Roman" w:hAnsi="Times New Roman" w:cs="Times New Roman"/>
          <w:i/>
        </w:rPr>
        <w:t>‘curious’</w:t>
      </w:r>
      <w:r w:rsidR="00D841F6">
        <w:rPr>
          <w:rFonts w:ascii="Times New Roman" w:hAnsi="Times New Roman" w:cs="Times New Roman"/>
        </w:rPr>
        <w:t>,</w:t>
      </w:r>
      <w:r w:rsidR="00BE147D" w:rsidRPr="00BE147D">
        <w:rPr>
          <w:rFonts w:ascii="Times New Roman" w:hAnsi="Times New Roman" w:cs="Times New Roman"/>
          <w:i/>
        </w:rPr>
        <w:t xml:space="preserve"> </w:t>
      </w:r>
      <w:r w:rsidR="00BE147D">
        <w:rPr>
          <w:rFonts w:ascii="Times New Roman" w:hAnsi="Times New Roman" w:cs="Times New Roman"/>
        </w:rPr>
        <w:t xml:space="preserve">when thus understood what the judge said was </w:t>
      </w:r>
      <w:r w:rsidR="00C46DE1">
        <w:rPr>
          <w:rFonts w:ascii="Times New Roman" w:hAnsi="Times New Roman" w:cs="Times New Roman"/>
        </w:rPr>
        <w:t xml:space="preserve">both correct in fact and </w:t>
      </w:r>
      <w:r w:rsidR="00710567">
        <w:rPr>
          <w:rFonts w:ascii="Times New Roman" w:hAnsi="Times New Roman" w:cs="Times New Roman"/>
        </w:rPr>
        <w:t xml:space="preserve">it </w:t>
      </w:r>
      <w:r w:rsidR="00C46DE1">
        <w:rPr>
          <w:rFonts w:ascii="Times New Roman" w:hAnsi="Times New Roman" w:cs="Times New Roman"/>
        </w:rPr>
        <w:t xml:space="preserve">was in law properly viewed as a relevant factor in construing the Act.  </w:t>
      </w:r>
    </w:p>
    <w:p w14:paraId="0FAFDFFA" w14:textId="77777777" w:rsidR="007D3051" w:rsidRPr="007D3051" w:rsidRDefault="007D3051" w:rsidP="00236363">
      <w:pPr>
        <w:pStyle w:val="ListParagraph"/>
        <w:spacing w:line="480" w:lineRule="auto"/>
        <w:rPr>
          <w:rFonts w:ascii="Times New Roman" w:hAnsi="Times New Roman" w:cs="Times New Roman"/>
        </w:rPr>
      </w:pPr>
    </w:p>
    <w:p w14:paraId="6930225B" w14:textId="77777777" w:rsidR="00636C98" w:rsidRPr="007D3051" w:rsidRDefault="00C46DE1"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It is for the Tribunal to decide based upon its expertise whether a specific property is in fact comparable to the subject property</w:t>
      </w:r>
      <w:r w:rsidR="00636C98">
        <w:rPr>
          <w:rFonts w:ascii="Times New Roman" w:hAnsi="Times New Roman" w:cs="Times New Roman"/>
        </w:rPr>
        <w:t xml:space="preserve"> </w:t>
      </w:r>
      <w:r>
        <w:rPr>
          <w:rFonts w:ascii="Times New Roman" w:hAnsi="Times New Roman" w:cs="Times New Roman"/>
        </w:rPr>
        <w:t xml:space="preserve">and this is precisely the </w:t>
      </w:r>
      <w:r w:rsidR="00ED3121">
        <w:rPr>
          <w:rFonts w:ascii="Times New Roman" w:hAnsi="Times New Roman" w:cs="Times New Roman"/>
        </w:rPr>
        <w:t xml:space="preserve">arena </w:t>
      </w:r>
      <w:r>
        <w:rPr>
          <w:rFonts w:ascii="Times New Roman" w:hAnsi="Times New Roman" w:cs="Times New Roman"/>
        </w:rPr>
        <w:t xml:space="preserve">within which the Tribunal’s decisions will be deferred to by the courts. In </w:t>
      </w:r>
      <w:r>
        <w:rPr>
          <w:rFonts w:ascii="Times New Roman" w:hAnsi="Times New Roman" w:cs="Times New Roman"/>
          <w:i/>
        </w:rPr>
        <w:t xml:space="preserve">Stanberry Investments Ltd. v. Commissioner of Valuation </w:t>
      </w:r>
      <w:r>
        <w:rPr>
          <w:rFonts w:ascii="Times New Roman" w:hAnsi="Times New Roman" w:cs="Times New Roman"/>
        </w:rPr>
        <w:t xml:space="preserve">[2020] IECA 33 </w:t>
      </w:r>
      <w:r w:rsidR="00A52542">
        <w:rPr>
          <w:rFonts w:ascii="Times New Roman" w:hAnsi="Times New Roman" w:cs="Times New Roman"/>
        </w:rPr>
        <w:t>(‘</w:t>
      </w:r>
      <w:r w:rsidR="00A52542">
        <w:rPr>
          <w:rFonts w:ascii="Times New Roman" w:hAnsi="Times New Roman" w:cs="Times New Roman"/>
          <w:i/>
        </w:rPr>
        <w:t>Stanberry’</w:t>
      </w:r>
      <w:r w:rsidR="005E2A6A">
        <w:rPr>
          <w:rFonts w:ascii="Times New Roman" w:hAnsi="Times New Roman" w:cs="Times New Roman"/>
        </w:rPr>
        <w:t xml:space="preserve">) </w:t>
      </w:r>
      <w:r>
        <w:rPr>
          <w:rFonts w:ascii="Times New Roman" w:hAnsi="Times New Roman" w:cs="Times New Roman"/>
        </w:rPr>
        <w:t xml:space="preserve">at para. 51, I described those </w:t>
      </w:r>
      <w:r>
        <w:rPr>
          <w:rFonts w:ascii="Times New Roman" w:hAnsi="Times New Roman" w:cs="Times New Roman"/>
        </w:rPr>
        <w:lastRenderedPageBreak/>
        <w:t xml:space="preserve">aspects of the Tribunal’s decision making with which the courts would not </w:t>
      </w:r>
      <w:r w:rsidR="007D3051">
        <w:rPr>
          <w:rFonts w:ascii="Times New Roman" w:hAnsi="Times New Roman" w:cs="Times New Roman"/>
        </w:rPr>
        <w:t xml:space="preserve">easily </w:t>
      </w:r>
      <w:r>
        <w:rPr>
          <w:rFonts w:ascii="Times New Roman" w:hAnsi="Times New Roman" w:cs="Times New Roman"/>
        </w:rPr>
        <w:t>interfere as including ‘</w:t>
      </w:r>
      <w:r>
        <w:rPr>
          <w:rFonts w:ascii="Times New Roman" w:hAnsi="Times New Roman" w:cs="Times New Roman"/>
          <w:i/>
        </w:rPr>
        <w:t>the reliability of comparators, the appropriate method of valuation and the correct approach to the application of particular valuation concepts such as the tenant’s share or divisible balance’</w:t>
      </w:r>
      <w:r>
        <w:rPr>
          <w:rFonts w:ascii="Times New Roman" w:hAnsi="Times New Roman" w:cs="Times New Roman"/>
        </w:rPr>
        <w:t xml:space="preserve">.  In my view the court should not lightly attribute to the Oireachtas an intention to remove from that zone of expertise potentially relevant information.  And, to repeat, </w:t>
      </w:r>
      <w:r w:rsidR="007D3051">
        <w:rPr>
          <w:rFonts w:ascii="Times New Roman" w:hAnsi="Times New Roman" w:cs="Times New Roman"/>
        </w:rPr>
        <w:t>in enabling the Tribunal to take account of the pre-amalgamation units there is no injustice of any kind occasioned to Dayhoff.  If those units are not truly comparable, Dayhoff is free to so contend</w:t>
      </w:r>
      <w:r w:rsidR="00E11016">
        <w:rPr>
          <w:rFonts w:ascii="Times New Roman" w:hAnsi="Times New Roman" w:cs="Times New Roman"/>
        </w:rPr>
        <w:t xml:space="preserve"> and to lead expert evidence accordingly</w:t>
      </w:r>
      <w:r w:rsidR="007D3051">
        <w:rPr>
          <w:rFonts w:ascii="Times New Roman" w:hAnsi="Times New Roman" w:cs="Times New Roman"/>
        </w:rPr>
        <w:t xml:space="preserve">. </w:t>
      </w:r>
    </w:p>
    <w:p w14:paraId="76A2E129" w14:textId="77777777" w:rsidR="007D3051" w:rsidRDefault="007D3051" w:rsidP="007D3051">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61A4D582" w14:textId="528C0ADC" w:rsidR="00303AB1" w:rsidRPr="00303AB1" w:rsidRDefault="004B1B20" w:rsidP="00303AB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this regard </w:t>
      </w:r>
      <w:r w:rsidR="007D3051">
        <w:rPr>
          <w:rFonts w:ascii="Times New Roman" w:hAnsi="Times New Roman" w:cs="Times New Roman"/>
        </w:rPr>
        <w:t>the purpose driving the statutory recognition accorded by s.</w:t>
      </w:r>
      <w:r w:rsidR="000064F3">
        <w:rPr>
          <w:rFonts w:ascii="Times New Roman" w:hAnsi="Times New Roman" w:cs="Times New Roman"/>
        </w:rPr>
        <w:t xml:space="preserve"> </w:t>
      </w:r>
      <w:r w:rsidR="007D3051">
        <w:rPr>
          <w:rFonts w:ascii="Times New Roman" w:hAnsi="Times New Roman" w:cs="Times New Roman"/>
        </w:rPr>
        <w:t>49 to the ‘</w:t>
      </w:r>
      <w:r w:rsidR="007D3051">
        <w:rPr>
          <w:rFonts w:ascii="Times New Roman" w:hAnsi="Times New Roman" w:cs="Times New Roman"/>
          <w:i/>
        </w:rPr>
        <w:t>tone of the list’</w:t>
      </w:r>
      <w:r>
        <w:rPr>
          <w:rFonts w:ascii="Times New Roman" w:hAnsi="Times New Roman" w:cs="Times New Roman"/>
        </w:rPr>
        <w:t xml:space="preserve"> is significant. </w:t>
      </w:r>
      <w:r w:rsidR="007D3051">
        <w:rPr>
          <w:rFonts w:ascii="Times New Roman" w:hAnsi="Times New Roman" w:cs="Times New Roman"/>
        </w:rPr>
        <w:t xml:space="preserve"> </w:t>
      </w:r>
      <w:r w:rsidR="00303AB1">
        <w:rPr>
          <w:rFonts w:ascii="Times New Roman" w:hAnsi="Times New Roman" w:cs="Times New Roman"/>
        </w:rPr>
        <w:t xml:space="preserve">This </w:t>
      </w:r>
      <w:r w:rsidR="00303AB1" w:rsidRPr="004C3A44">
        <w:rPr>
          <w:rFonts w:ascii="Times New Roman" w:hAnsi="Times New Roman" w:cs="Times New Roman"/>
        </w:rPr>
        <w:t xml:space="preserve">is intended to ensure consistency of the </w:t>
      </w:r>
      <w:r w:rsidR="00303AB1">
        <w:rPr>
          <w:rFonts w:ascii="Times New Roman" w:hAnsi="Times New Roman" w:cs="Times New Roman"/>
        </w:rPr>
        <w:t>net asset value of property</w:t>
      </w:r>
      <w:r w:rsidR="00303AB1" w:rsidRPr="004C3A44">
        <w:rPr>
          <w:rFonts w:ascii="Times New Roman" w:hAnsi="Times New Roman" w:cs="Times New Roman"/>
        </w:rPr>
        <w:t xml:space="preserve"> across a rating authority area</w:t>
      </w:r>
      <w:r w:rsidR="00303AB1">
        <w:rPr>
          <w:rFonts w:ascii="Times New Roman" w:hAnsi="Times New Roman" w:cs="Times New Roman"/>
        </w:rPr>
        <w:t xml:space="preserve">, arising </w:t>
      </w:r>
      <w:r w:rsidR="00303AB1" w:rsidRPr="004C3A44">
        <w:rPr>
          <w:rFonts w:ascii="Times New Roman" w:hAnsi="Times New Roman" w:cs="Times New Roman"/>
        </w:rPr>
        <w:t xml:space="preserve">in a context in which the value of properties on the list reflects not just the values of those properties, but their relative values in relation to other </w:t>
      </w:r>
      <w:r w:rsidR="00303AB1">
        <w:rPr>
          <w:rFonts w:ascii="Times New Roman" w:hAnsi="Times New Roman" w:cs="Times New Roman"/>
        </w:rPr>
        <w:t>‘</w:t>
      </w:r>
      <w:r w:rsidR="00303AB1" w:rsidRPr="00C87EF8">
        <w:rPr>
          <w:rFonts w:ascii="Times New Roman" w:hAnsi="Times New Roman" w:cs="Times New Roman"/>
          <w:i/>
        </w:rPr>
        <w:t>relevant properties</w:t>
      </w:r>
      <w:r w:rsidR="00303AB1">
        <w:rPr>
          <w:rFonts w:ascii="Times New Roman" w:hAnsi="Times New Roman" w:cs="Times New Roman"/>
          <w:i/>
        </w:rPr>
        <w:t>’</w:t>
      </w:r>
      <w:r w:rsidR="00303AB1" w:rsidRPr="004C3A44">
        <w:rPr>
          <w:rFonts w:ascii="Times New Roman" w:hAnsi="Times New Roman" w:cs="Times New Roman"/>
        </w:rPr>
        <w:t xml:space="preserve"> of a similar use and</w:t>
      </w:r>
      <w:r w:rsidR="00303AB1">
        <w:rPr>
          <w:rFonts w:ascii="Times New Roman" w:hAnsi="Times New Roman" w:cs="Times New Roman"/>
        </w:rPr>
        <w:t>, indeed, to</w:t>
      </w:r>
      <w:r w:rsidR="00303AB1" w:rsidRPr="004C3A44">
        <w:rPr>
          <w:rFonts w:ascii="Times New Roman" w:hAnsi="Times New Roman" w:cs="Times New Roman"/>
        </w:rPr>
        <w:t xml:space="preserve"> other properties in different use categories at the relevant valuation date.</w:t>
      </w:r>
      <w:r w:rsidR="00303AB1">
        <w:rPr>
          <w:rFonts w:ascii="Times New Roman" w:hAnsi="Times New Roman" w:cs="Times New Roman"/>
        </w:rPr>
        <w:t xml:space="preserve">  As the Commissioner puts it in his written legal submissions, relative value rather than absolute value is what is important in the rating system.  The system as provided for in the 2001 Act requires that a property be valued by reference to an estimate of the annual rental value of that property at a specified valuation date.  The ‘</w:t>
      </w:r>
      <w:r w:rsidR="00303AB1">
        <w:rPr>
          <w:rFonts w:ascii="Times New Roman" w:hAnsi="Times New Roman" w:cs="Times New Roman"/>
          <w:i/>
        </w:rPr>
        <w:t>tone of the list’</w:t>
      </w:r>
      <w:r w:rsidR="00303AB1">
        <w:rPr>
          <w:rFonts w:ascii="Times New Roman" w:hAnsi="Times New Roman" w:cs="Times New Roman"/>
        </w:rPr>
        <w:t xml:space="preserve"> assumes that values as they appear in the valuation list are accurate assessments of the rent the properties would command under the relevant statutory conditions, and it thus makes sense that the valuation of comparable properties be conducted by reference to that listing.</w:t>
      </w:r>
    </w:p>
    <w:p w14:paraId="0B9FC08F" w14:textId="77777777" w:rsidR="00303AB1" w:rsidRPr="00303AB1" w:rsidRDefault="00303AB1" w:rsidP="00303AB1">
      <w:pPr>
        <w:pStyle w:val="ListParagraph"/>
        <w:spacing w:line="480" w:lineRule="auto"/>
        <w:jc w:val="both"/>
        <w:rPr>
          <w:rFonts w:ascii="Times New Roman" w:hAnsi="Times New Roman" w:cs="Times New Roman"/>
          <w:b/>
        </w:rPr>
      </w:pPr>
      <w:r>
        <w:t xml:space="preserve">  </w:t>
      </w:r>
    </w:p>
    <w:p w14:paraId="0AAAE9BF" w14:textId="724484D6" w:rsidR="00055A4D" w:rsidRPr="00303AB1" w:rsidRDefault="00303AB1" w:rsidP="00361BAB">
      <w:pPr>
        <w:pStyle w:val="ListParagraph"/>
        <w:numPr>
          <w:ilvl w:val="0"/>
          <w:numId w:val="1"/>
        </w:numPr>
        <w:spacing w:line="480" w:lineRule="auto"/>
        <w:jc w:val="both"/>
        <w:rPr>
          <w:rFonts w:ascii="Times New Roman" w:hAnsi="Times New Roman" w:cs="Times New Roman"/>
          <w:b/>
        </w:rPr>
      </w:pPr>
      <w:r w:rsidRPr="00303AB1">
        <w:rPr>
          <w:rFonts w:ascii="Times New Roman" w:hAnsi="Times New Roman" w:cs="Times New Roman"/>
        </w:rPr>
        <w:lastRenderedPageBreak/>
        <w:t xml:space="preserve">Section 49(1) </w:t>
      </w:r>
      <w:r w:rsidR="007D3051" w:rsidRPr="00303AB1">
        <w:rPr>
          <w:rFonts w:ascii="Times New Roman" w:hAnsi="Times New Roman" w:cs="Times New Roman"/>
        </w:rPr>
        <w:t>thus</w:t>
      </w:r>
      <w:r w:rsidR="004607A4" w:rsidRPr="00303AB1">
        <w:rPr>
          <w:rFonts w:ascii="Times New Roman" w:hAnsi="Times New Roman" w:cs="Times New Roman"/>
        </w:rPr>
        <w:t xml:space="preserve"> reflects the fact that equality of rating is a fundamental principle of the law.  </w:t>
      </w:r>
      <w:r w:rsidR="00055A4D" w:rsidRPr="00303AB1">
        <w:rPr>
          <w:rFonts w:ascii="Times New Roman" w:hAnsi="Times New Roman" w:cs="Times New Roman"/>
        </w:rPr>
        <w:t>I think that the matter was put particularly well by the trial judge when he said of s.</w:t>
      </w:r>
      <w:r w:rsidR="000064F3">
        <w:rPr>
          <w:rFonts w:ascii="Times New Roman" w:hAnsi="Times New Roman" w:cs="Times New Roman"/>
        </w:rPr>
        <w:t xml:space="preserve"> </w:t>
      </w:r>
      <w:r w:rsidR="00055A4D" w:rsidRPr="00303AB1">
        <w:rPr>
          <w:rFonts w:ascii="Times New Roman" w:hAnsi="Times New Roman" w:cs="Times New Roman"/>
        </w:rPr>
        <w:t>49(1) (at para. 40):</w:t>
      </w:r>
    </w:p>
    <w:p w14:paraId="59D5F5EA" w14:textId="77777777" w:rsidR="00055A4D" w:rsidRPr="00055A4D" w:rsidRDefault="00055A4D" w:rsidP="00361BAB">
      <w:pPr>
        <w:pStyle w:val="ListParagraph"/>
        <w:spacing w:line="480" w:lineRule="auto"/>
        <w:rPr>
          <w:rFonts w:ascii="Times New Roman" w:hAnsi="Times New Roman" w:cs="Times New Roman"/>
        </w:rPr>
      </w:pPr>
    </w:p>
    <w:p w14:paraId="0047EE53" w14:textId="77777777" w:rsidR="00055A4D" w:rsidRPr="00055A4D" w:rsidRDefault="00055A4D" w:rsidP="00361BAB">
      <w:pPr>
        <w:pStyle w:val="ListParagraph"/>
        <w:spacing w:line="480" w:lineRule="auto"/>
        <w:ind w:left="1440"/>
        <w:jc w:val="both"/>
        <w:rPr>
          <w:rFonts w:ascii="Times New Roman" w:hAnsi="Times New Roman" w:cs="Times New Roman"/>
          <w:b/>
        </w:rPr>
      </w:pPr>
      <w:r>
        <w:rPr>
          <w:rFonts w:ascii="Times New Roman" w:hAnsi="Times New Roman" w:cs="Times New Roman"/>
        </w:rPr>
        <w:t>‘</w:t>
      </w:r>
      <w:r>
        <w:rPr>
          <w:rFonts w:ascii="Times New Roman" w:hAnsi="Times New Roman" w:cs="Times New Roman"/>
          <w:i/>
        </w:rPr>
        <w:t>Adopting such a comparative approach ensures that there is a symmetry between the valuation placed on the subject property and the valuations placed on other properties of a similar kind in the relevant area.  To that end, the revision officer is allowed to look at valuations of other comparable properties.  Basically, this is to ensure that the subject property is valued on the same basis as other similar properties in the rating area’</w:t>
      </w:r>
      <w:r>
        <w:rPr>
          <w:rFonts w:ascii="Times New Roman" w:hAnsi="Times New Roman" w:cs="Times New Roman"/>
        </w:rPr>
        <w:t>.</w:t>
      </w:r>
    </w:p>
    <w:p w14:paraId="628E913C" w14:textId="77777777" w:rsidR="00055A4D" w:rsidRPr="00055A4D" w:rsidRDefault="00055A4D" w:rsidP="00236363">
      <w:pPr>
        <w:pStyle w:val="ListParagraph"/>
        <w:spacing w:line="480" w:lineRule="auto"/>
        <w:rPr>
          <w:rFonts w:ascii="Times New Roman" w:hAnsi="Times New Roman" w:cs="Times New Roman"/>
        </w:rPr>
      </w:pPr>
    </w:p>
    <w:p w14:paraId="126695A6" w14:textId="77777777" w:rsidR="00AC359A" w:rsidRPr="007D3051" w:rsidRDefault="00514862" w:rsidP="00236363">
      <w:pPr>
        <w:pStyle w:val="ListParagraph"/>
        <w:numPr>
          <w:ilvl w:val="0"/>
          <w:numId w:val="1"/>
        </w:numPr>
        <w:spacing w:line="480" w:lineRule="auto"/>
        <w:jc w:val="both"/>
        <w:rPr>
          <w:rFonts w:ascii="Times New Roman" w:hAnsi="Times New Roman" w:cs="Times New Roman"/>
          <w:b/>
        </w:rPr>
      </w:pPr>
      <w:r w:rsidRPr="007D3051">
        <w:rPr>
          <w:rFonts w:ascii="Times New Roman" w:hAnsi="Times New Roman" w:cs="Times New Roman"/>
        </w:rPr>
        <w:t>In seeking to ensure consistency in the process of valuation in a revision, the</w:t>
      </w:r>
      <w:r w:rsidR="007D3051">
        <w:rPr>
          <w:rFonts w:ascii="Times New Roman" w:hAnsi="Times New Roman" w:cs="Times New Roman"/>
        </w:rPr>
        <w:t>re will inevitably be cases in which the</w:t>
      </w:r>
      <w:r w:rsidRPr="007D3051">
        <w:rPr>
          <w:rFonts w:ascii="Times New Roman" w:hAnsi="Times New Roman" w:cs="Times New Roman"/>
        </w:rPr>
        <w:t xml:space="preserve"> valuation of </w:t>
      </w:r>
      <w:r w:rsidR="00636C98" w:rsidRPr="007D3051">
        <w:rPr>
          <w:rFonts w:ascii="Times New Roman" w:hAnsi="Times New Roman" w:cs="Times New Roman"/>
        </w:rPr>
        <w:t>part of the property</w:t>
      </w:r>
      <w:r w:rsidRPr="007D3051">
        <w:rPr>
          <w:rFonts w:ascii="Times New Roman" w:hAnsi="Times New Roman" w:cs="Times New Roman"/>
        </w:rPr>
        <w:t xml:space="preserve"> itself as it appears in the list </w:t>
      </w:r>
      <w:r w:rsidR="007D3051">
        <w:rPr>
          <w:rFonts w:ascii="Times New Roman" w:hAnsi="Times New Roman" w:cs="Times New Roman"/>
        </w:rPr>
        <w:t xml:space="preserve">may </w:t>
      </w:r>
      <w:r w:rsidRPr="007D3051">
        <w:rPr>
          <w:rFonts w:ascii="Times New Roman" w:hAnsi="Times New Roman" w:cs="Times New Roman"/>
        </w:rPr>
        <w:t xml:space="preserve">be of prime importance as it is both likely to afford the surest guide to the valuation of the property in its adjusted state, and should </w:t>
      </w:r>
      <w:r w:rsidR="0050009B" w:rsidRPr="007D3051">
        <w:rPr>
          <w:rFonts w:ascii="Times New Roman" w:hAnsi="Times New Roman" w:cs="Times New Roman"/>
        </w:rPr>
        <w:t xml:space="preserve">itself </w:t>
      </w:r>
      <w:r w:rsidRPr="007D3051">
        <w:rPr>
          <w:rFonts w:ascii="Times New Roman" w:hAnsi="Times New Roman" w:cs="Times New Roman"/>
        </w:rPr>
        <w:t>reflect the value of properties comparable to it at the time it was valued.</w:t>
      </w:r>
      <w:r w:rsidR="009C7855" w:rsidRPr="007D3051">
        <w:rPr>
          <w:rFonts w:ascii="Times New Roman" w:hAnsi="Times New Roman" w:cs="Times New Roman"/>
        </w:rPr>
        <w:t xml:space="preserve">  This is </w:t>
      </w:r>
      <w:r w:rsidR="00325FFC">
        <w:rPr>
          <w:rFonts w:ascii="Times New Roman" w:hAnsi="Times New Roman" w:cs="Times New Roman"/>
        </w:rPr>
        <w:t xml:space="preserve">particularly </w:t>
      </w:r>
      <w:r w:rsidR="008872A7" w:rsidRPr="007D3051">
        <w:rPr>
          <w:rFonts w:ascii="Times New Roman" w:hAnsi="Times New Roman" w:cs="Times New Roman"/>
        </w:rPr>
        <w:t xml:space="preserve">the case in relation to the joinder in a single unit </w:t>
      </w:r>
      <w:r w:rsidR="00636C98" w:rsidRPr="007D3051">
        <w:rPr>
          <w:rFonts w:ascii="Times New Roman" w:hAnsi="Times New Roman" w:cs="Times New Roman"/>
        </w:rPr>
        <w:t xml:space="preserve">of </w:t>
      </w:r>
      <w:r w:rsidR="008872A7" w:rsidRPr="007D3051">
        <w:rPr>
          <w:rFonts w:ascii="Times New Roman" w:hAnsi="Times New Roman" w:cs="Times New Roman"/>
        </w:rPr>
        <w:t>two parts of the same propert</w:t>
      </w:r>
      <w:r w:rsidR="00553FC6" w:rsidRPr="007D3051">
        <w:rPr>
          <w:rFonts w:ascii="Times New Roman" w:hAnsi="Times New Roman" w:cs="Times New Roman"/>
        </w:rPr>
        <w:t>y</w:t>
      </w:r>
      <w:r w:rsidR="008872A7" w:rsidRPr="007D3051">
        <w:rPr>
          <w:rFonts w:ascii="Times New Roman" w:hAnsi="Times New Roman" w:cs="Times New Roman"/>
        </w:rPr>
        <w:t xml:space="preserve"> </w:t>
      </w:r>
      <w:r w:rsidR="00F56B1A">
        <w:rPr>
          <w:rFonts w:ascii="Times New Roman" w:hAnsi="Times New Roman" w:cs="Times New Roman"/>
        </w:rPr>
        <w:t xml:space="preserve">which are then applied to the same or a similar use and </w:t>
      </w:r>
      <w:r w:rsidR="008872A7" w:rsidRPr="007D3051">
        <w:rPr>
          <w:rFonts w:ascii="Times New Roman" w:hAnsi="Times New Roman" w:cs="Times New Roman"/>
        </w:rPr>
        <w:t>where (as the Commissioner puts it in his submissions) most of the relevant valuation factors remain constant.  The properties are in the same location, they are used for the same purpose and have the same potential.</w:t>
      </w:r>
      <w:r w:rsidR="004607A4" w:rsidRPr="007D3051">
        <w:rPr>
          <w:rFonts w:ascii="Times New Roman" w:hAnsi="Times New Roman" w:cs="Times New Roman"/>
        </w:rPr>
        <w:t xml:space="preserve">  The Commis</w:t>
      </w:r>
      <w:r w:rsidR="00D51899" w:rsidRPr="007D3051">
        <w:rPr>
          <w:rFonts w:ascii="Times New Roman" w:hAnsi="Times New Roman" w:cs="Times New Roman"/>
        </w:rPr>
        <w:t>s</w:t>
      </w:r>
      <w:r w:rsidR="004607A4" w:rsidRPr="007D3051">
        <w:rPr>
          <w:rFonts w:ascii="Times New Roman" w:hAnsi="Times New Roman" w:cs="Times New Roman"/>
        </w:rPr>
        <w:t>ioner’s interpretation of the section most effectively implements that objective. That urged by Dayhoff is liable to thwart it by precluding the decision</w:t>
      </w:r>
      <w:r w:rsidR="00642A5A">
        <w:rPr>
          <w:rFonts w:ascii="Times New Roman" w:hAnsi="Times New Roman" w:cs="Times New Roman"/>
        </w:rPr>
        <w:t>-</w:t>
      </w:r>
      <w:r w:rsidR="004607A4" w:rsidRPr="007D3051">
        <w:rPr>
          <w:rFonts w:ascii="Times New Roman" w:hAnsi="Times New Roman" w:cs="Times New Roman"/>
        </w:rPr>
        <w:t>making body from having regard to what may in some cases be a key indicator of value.</w:t>
      </w:r>
    </w:p>
    <w:p w14:paraId="0487C3EB" w14:textId="77777777" w:rsidR="007D3051" w:rsidRDefault="007D3051" w:rsidP="007D3051">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6773D434" w14:textId="4D87B6BB" w:rsidR="00642A5A" w:rsidRPr="00642A5A" w:rsidRDefault="00642A5A"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Aside from these objectives</w:t>
      </w:r>
      <w:r w:rsidR="004B1B20">
        <w:rPr>
          <w:rFonts w:ascii="Times New Roman" w:hAnsi="Times New Roman" w:cs="Times New Roman"/>
        </w:rPr>
        <w:t xml:space="preserve">, </w:t>
      </w:r>
      <w:r>
        <w:rPr>
          <w:rFonts w:ascii="Times New Roman" w:hAnsi="Times New Roman" w:cs="Times New Roman"/>
        </w:rPr>
        <w:t xml:space="preserve">the argument advanced by Dayhoff is illogical.  The </w:t>
      </w:r>
      <w:r w:rsidR="00B13A44">
        <w:rPr>
          <w:rFonts w:ascii="Times New Roman" w:hAnsi="Times New Roman" w:cs="Times New Roman"/>
        </w:rPr>
        <w:t>‘</w:t>
      </w:r>
      <w:r>
        <w:rPr>
          <w:rFonts w:ascii="Times New Roman" w:hAnsi="Times New Roman" w:cs="Times New Roman"/>
          <w:i/>
        </w:rPr>
        <w:t>valuation list</w:t>
      </w:r>
      <w:r w:rsidR="00B13A44">
        <w:rPr>
          <w:rFonts w:ascii="Times New Roman" w:hAnsi="Times New Roman" w:cs="Times New Roman"/>
          <w:iCs/>
        </w:rPr>
        <w:t>’</w:t>
      </w:r>
      <w:r>
        <w:rPr>
          <w:rFonts w:ascii="Times New Roman" w:hAnsi="Times New Roman" w:cs="Times New Roman"/>
        </w:rPr>
        <w:t xml:space="preserve"> cannot be </w:t>
      </w:r>
      <w:r w:rsidR="007C0FFE">
        <w:rPr>
          <w:rFonts w:ascii="Times New Roman" w:hAnsi="Times New Roman" w:cs="Times New Roman"/>
        </w:rPr>
        <w:t xml:space="preserve">understood solely </w:t>
      </w:r>
      <w:r>
        <w:rPr>
          <w:rFonts w:ascii="Times New Roman" w:hAnsi="Times New Roman" w:cs="Times New Roman"/>
        </w:rPr>
        <w:t>by reference to individual properties</w:t>
      </w:r>
      <w:r w:rsidR="007C0FFE">
        <w:rPr>
          <w:rFonts w:ascii="Times New Roman" w:hAnsi="Times New Roman" w:cs="Times New Roman"/>
        </w:rPr>
        <w:t xml:space="preserve"> appearing on it</w:t>
      </w:r>
      <w:r>
        <w:rPr>
          <w:rFonts w:ascii="Times New Roman" w:hAnsi="Times New Roman" w:cs="Times New Roman"/>
        </w:rPr>
        <w:t>.  Each property on the list of a particular class or category should reflect the value of other similar properties.  The point was well made by the Commissioner’s valuer in her evidence to the Tribunal</w:t>
      </w:r>
      <w:r w:rsidR="00F56B1A">
        <w:rPr>
          <w:rFonts w:ascii="Times New Roman" w:hAnsi="Times New Roman" w:cs="Times New Roman"/>
        </w:rPr>
        <w:t>:</w:t>
      </w:r>
      <w:r>
        <w:rPr>
          <w:rFonts w:ascii="Times New Roman" w:hAnsi="Times New Roman" w:cs="Times New Roman"/>
        </w:rPr>
        <w:t xml:space="preserve"> the valuation of the subject property, she said</w:t>
      </w:r>
      <w:r w:rsidR="00B13A44">
        <w:rPr>
          <w:rFonts w:ascii="Times New Roman" w:hAnsi="Times New Roman" w:cs="Times New Roman"/>
        </w:rPr>
        <w:t>:</w:t>
      </w:r>
      <w:r>
        <w:rPr>
          <w:rFonts w:ascii="Times New Roman" w:hAnsi="Times New Roman" w:cs="Times New Roman"/>
        </w:rPr>
        <w:t xml:space="preserve"> </w:t>
      </w:r>
    </w:p>
    <w:p w14:paraId="61A0B3D1" w14:textId="77777777" w:rsidR="00642A5A" w:rsidRPr="00642A5A" w:rsidRDefault="00642A5A" w:rsidP="00236363">
      <w:pPr>
        <w:pStyle w:val="ListParagraph"/>
        <w:spacing w:line="480" w:lineRule="auto"/>
        <w:rPr>
          <w:rFonts w:ascii="Times New Roman" w:hAnsi="Times New Roman" w:cs="Times New Roman"/>
        </w:rPr>
      </w:pPr>
    </w:p>
    <w:p w14:paraId="6D1F4C76" w14:textId="77777777" w:rsidR="007D3051" w:rsidRPr="005400C8" w:rsidRDefault="00642A5A" w:rsidP="00236363">
      <w:pPr>
        <w:pStyle w:val="ListParagraph"/>
        <w:spacing w:line="480" w:lineRule="auto"/>
        <w:ind w:left="1440"/>
        <w:jc w:val="both"/>
        <w:rPr>
          <w:rFonts w:ascii="Times New Roman" w:hAnsi="Times New Roman" w:cs="Times New Roman"/>
          <w:b/>
        </w:rPr>
      </w:pPr>
      <w:r>
        <w:rPr>
          <w:rFonts w:ascii="Times New Roman" w:hAnsi="Times New Roman" w:cs="Times New Roman"/>
        </w:rPr>
        <w:t>‘</w:t>
      </w:r>
      <w:r>
        <w:rPr>
          <w:rFonts w:ascii="Times New Roman" w:hAnsi="Times New Roman" w:cs="Times New Roman"/>
          <w:i/>
        </w:rPr>
        <w:t xml:space="preserve">has been indelibly woven into the fabric of the list and has itself been a factor in establishing and maintaining the integrity of the list. During the course of time since the property has been placed on the list, it has contributed to an unquantifiable number of occasions to the assessment of other properties which fell to be revised over that period.  To change the relative position now would be tantamount to unravelling the entire valuation list and undermining </w:t>
      </w:r>
      <w:r w:rsidR="005400C8">
        <w:rPr>
          <w:rFonts w:ascii="Times New Roman" w:hAnsi="Times New Roman" w:cs="Times New Roman"/>
          <w:i/>
        </w:rPr>
        <w:t>the existing tone, particularly if similar applications for other properties become common place.’</w:t>
      </w:r>
    </w:p>
    <w:p w14:paraId="64C54E84" w14:textId="77777777" w:rsidR="00AC359A" w:rsidRPr="007D3051" w:rsidRDefault="00AC359A" w:rsidP="00236363">
      <w:pPr>
        <w:pStyle w:val="ListParagraph"/>
        <w:spacing w:line="480" w:lineRule="auto"/>
        <w:rPr>
          <w:rFonts w:ascii="Times New Roman" w:hAnsi="Times New Roman" w:cs="Times New Roman"/>
        </w:rPr>
      </w:pPr>
    </w:p>
    <w:p w14:paraId="0061FD57" w14:textId="2059E8C2" w:rsidR="003B41C6" w:rsidRPr="00334351" w:rsidRDefault="005400C8"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w:t>
      </w:r>
      <w:r w:rsidR="00921405">
        <w:rPr>
          <w:rFonts w:ascii="Times New Roman" w:hAnsi="Times New Roman" w:cs="Times New Roman"/>
        </w:rPr>
        <w:t>part</w:t>
      </w:r>
      <w:r>
        <w:rPr>
          <w:rFonts w:ascii="Times New Roman" w:hAnsi="Times New Roman" w:cs="Times New Roman"/>
        </w:rPr>
        <w:t xml:space="preserve"> from the distortion of the list suggested in this quotation, even if the pre-amalgamation units are disregarded for the purposes of the valuation exercise, </w:t>
      </w:r>
      <w:r w:rsidR="001C04E3">
        <w:rPr>
          <w:rFonts w:ascii="Times New Roman" w:hAnsi="Times New Roman" w:cs="Times New Roman"/>
        </w:rPr>
        <w:t xml:space="preserve">one must expect that their </w:t>
      </w:r>
      <w:r>
        <w:rPr>
          <w:rFonts w:ascii="Times New Roman" w:hAnsi="Times New Roman" w:cs="Times New Roman"/>
        </w:rPr>
        <w:t xml:space="preserve">value </w:t>
      </w:r>
      <w:r w:rsidR="0094082D">
        <w:rPr>
          <w:rFonts w:ascii="Times New Roman" w:hAnsi="Times New Roman" w:cs="Times New Roman"/>
        </w:rPr>
        <w:t>may be</w:t>
      </w:r>
      <w:r>
        <w:rPr>
          <w:rFonts w:ascii="Times New Roman" w:hAnsi="Times New Roman" w:cs="Times New Roman"/>
        </w:rPr>
        <w:t xml:space="preserve"> embedded in the valuation of other comparable properties to which regard </w:t>
      </w:r>
      <w:r>
        <w:rPr>
          <w:rFonts w:ascii="Times New Roman" w:hAnsi="Times New Roman" w:cs="Times New Roman"/>
          <w:i/>
        </w:rPr>
        <w:t xml:space="preserve">must </w:t>
      </w:r>
      <w:r>
        <w:rPr>
          <w:rFonts w:ascii="Times New Roman" w:hAnsi="Times New Roman" w:cs="Times New Roman"/>
        </w:rPr>
        <w:t>be had by the Commissioner under s.</w:t>
      </w:r>
      <w:r w:rsidR="006264A7">
        <w:rPr>
          <w:rFonts w:ascii="Times New Roman" w:hAnsi="Times New Roman" w:cs="Times New Roman"/>
        </w:rPr>
        <w:t xml:space="preserve"> </w:t>
      </w:r>
      <w:r>
        <w:rPr>
          <w:rFonts w:ascii="Times New Roman" w:hAnsi="Times New Roman" w:cs="Times New Roman"/>
        </w:rPr>
        <w:t xml:space="preserve">49.   </w:t>
      </w:r>
      <w:r w:rsidR="008756D3">
        <w:rPr>
          <w:rFonts w:ascii="Times New Roman" w:hAnsi="Times New Roman" w:cs="Times New Roman"/>
        </w:rPr>
        <w:t>In those circumstances it makes little sense to exclude from consideration some properties which in tu</w:t>
      </w:r>
      <w:r w:rsidR="003B41C6">
        <w:rPr>
          <w:rFonts w:ascii="Times New Roman" w:hAnsi="Times New Roman" w:cs="Times New Roman"/>
        </w:rPr>
        <w:t xml:space="preserve">rn may have their values reflected in those of other relevant properties to which regard </w:t>
      </w:r>
      <w:r w:rsidR="003B41C6">
        <w:rPr>
          <w:rFonts w:ascii="Times New Roman" w:hAnsi="Times New Roman" w:cs="Times New Roman"/>
          <w:i/>
        </w:rPr>
        <w:t>must</w:t>
      </w:r>
      <w:r w:rsidR="003B41C6">
        <w:rPr>
          <w:rFonts w:ascii="Times New Roman" w:hAnsi="Times New Roman" w:cs="Times New Roman"/>
        </w:rPr>
        <w:t xml:space="preserve"> be had.</w:t>
      </w:r>
    </w:p>
    <w:p w14:paraId="4A40AED9" w14:textId="77777777" w:rsidR="00334351" w:rsidRDefault="00334351" w:rsidP="00334351">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2E80962C" w14:textId="77777777" w:rsidR="003F490C" w:rsidRPr="003F490C" w:rsidRDefault="00921405"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Together with </w:t>
      </w:r>
      <w:r w:rsidR="00334351">
        <w:rPr>
          <w:rFonts w:ascii="Times New Roman" w:hAnsi="Times New Roman" w:cs="Times New Roman"/>
        </w:rPr>
        <w:t>its argument based upon the literal wording of the provision (the components of a property cannot be ‘</w:t>
      </w:r>
      <w:r w:rsidR="00334351">
        <w:rPr>
          <w:rFonts w:ascii="Times New Roman" w:hAnsi="Times New Roman" w:cs="Times New Roman"/>
          <w:i/>
        </w:rPr>
        <w:t>other properties’</w:t>
      </w:r>
      <w:r w:rsidR="00334351">
        <w:rPr>
          <w:rFonts w:ascii="Times New Roman" w:hAnsi="Times New Roman" w:cs="Times New Roman"/>
        </w:rPr>
        <w:t xml:space="preserve">), Dayhoff relies on a number of </w:t>
      </w:r>
      <w:r w:rsidR="00334351">
        <w:rPr>
          <w:rFonts w:ascii="Times New Roman" w:hAnsi="Times New Roman" w:cs="Times New Roman"/>
        </w:rPr>
        <w:lastRenderedPageBreak/>
        <w:t xml:space="preserve">features of the context which it says supports its construction.  </w:t>
      </w:r>
      <w:r w:rsidR="002615D9">
        <w:rPr>
          <w:rFonts w:ascii="Times New Roman" w:hAnsi="Times New Roman" w:cs="Times New Roman"/>
        </w:rPr>
        <w:t xml:space="preserve">In its notice of appeal it highlights a statement by the valuer tendered by the Commissioner who had referred in the course of her evidence to her valuation having been conducted by reference to </w:t>
      </w:r>
      <w:r w:rsidR="002615D9">
        <w:rPr>
          <w:rFonts w:ascii="Times New Roman" w:hAnsi="Times New Roman" w:cs="Times New Roman"/>
          <w:i/>
        </w:rPr>
        <w:t xml:space="preserve">inter alia </w:t>
      </w:r>
      <w:r w:rsidR="002615D9">
        <w:rPr>
          <w:rFonts w:ascii="Times New Roman" w:hAnsi="Times New Roman" w:cs="Times New Roman"/>
        </w:rPr>
        <w:t>the valuation of ‘</w:t>
      </w:r>
      <w:r w:rsidR="002615D9">
        <w:rPr>
          <w:rFonts w:ascii="Times New Roman" w:hAnsi="Times New Roman" w:cs="Times New Roman"/>
          <w:i/>
        </w:rPr>
        <w:t xml:space="preserve">the property itself before it was revised’.  </w:t>
      </w:r>
      <w:r w:rsidR="002615D9">
        <w:rPr>
          <w:rFonts w:ascii="Times New Roman" w:hAnsi="Times New Roman" w:cs="Times New Roman"/>
        </w:rPr>
        <w:t xml:space="preserve">While the Tribunal was inclined to attach some significance to this, the trial judge disregarded </w:t>
      </w:r>
      <w:r w:rsidR="00D74020">
        <w:rPr>
          <w:rFonts w:ascii="Times New Roman" w:hAnsi="Times New Roman" w:cs="Times New Roman"/>
        </w:rPr>
        <w:t>it</w:t>
      </w:r>
      <w:r w:rsidR="002615D9">
        <w:rPr>
          <w:rFonts w:ascii="Times New Roman" w:hAnsi="Times New Roman" w:cs="Times New Roman"/>
        </w:rPr>
        <w:t xml:space="preserve">.  I believe he was correct to do so.  The question of whether the subject property and </w:t>
      </w:r>
      <w:r w:rsidR="003F490C">
        <w:rPr>
          <w:rFonts w:ascii="Times New Roman" w:hAnsi="Times New Roman" w:cs="Times New Roman"/>
        </w:rPr>
        <w:t>the pre-existing units which were amalgamated to form it are the same or different properties is one of law the correct answer to which cannot be affected by the approach adopted by a witness tendered by one of the parties.   For the same reason the fact that the subject property was assigned the same property number as the ground floor cannot be relevant.</w:t>
      </w:r>
    </w:p>
    <w:p w14:paraId="160DE7F5" w14:textId="77777777" w:rsidR="003F490C" w:rsidRPr="003F490C" w:rsidRDefault="003F490C" w:rsidP="00236363">
      <w:pPr>
        <w:pStyle w:val="ListParagraph"/>
        <w:spacing w:line="480" w:lineRule="auto"/>
        <w:rPr>
          <w:rFonts w:ascii="Times New Roman" w:hAnsi="Times New Roman" w:cs="Times New Roman"/>
        </w:rPr>
      </w:pPr>
    </w:p>
    <w:p w14:paraId="2E8870E8" w14:textId="77777777" w:rsidR="00334351" w:rsidRPr="00921405" w:rsidRDefault="00334351"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the course of the case stated </w:t>
      </w:r>
      <w:r w:rsidR="00D74020">
        <w:rPr>
          <w:rFonts w:ascii="Times New Roman" w:hAnsi="Times New Roman" w:cs="Times New Roman"/>
        </w:rPr>
        <w:t>Dayhoff</w:t>
      </w:r>
      <w:r>
        <w:rPr>
          <w:rFonts w:ascii="Times New Roman" w:hAnsi="Times New Roman" w:cs="Times New Roman"/>
        </w:rPr>
        <w:t xml:space="preserve"> is recorded as contending that the displacement of the separate valuations of the ground floor and first floor properties upon amalgamation means that the listing of those pre-existing units cannot be referred to as </w:t>
      </w:r>
      <w:r w:rsidR="00921405">
        <w:rPr>
          <w:rFonts w:ascii="Times New Roman" w:hAnsi="Times New Roman" w:cs="Times New Roman"/>
        </w:rPr>
        <w:t xml:space="preserve">they will never appear on the same valuation list as the subject property.  </w:t>
      </w:r>
      <w:r w:rsidR="00D74020">
        <w:rPr>
          <w:rFonts w:ascii="Times New Roman" w:hAnsi="Times New Roman" w:cs="Times New Roman"/>
        </w:rPr>
        <w:t xml:space="preserve">Section 49, it is thus suggested, is focussed upon what was on the valuation list at the time of the appeal to the Commissioner or Tribunal.  </w:t>
      </w:r>
      <w:r w:rsidR="00921405">
        <w:rPr>
          <w:rFonts w:ascii="Times New Roman" w:hAnsi="Times New Roman" w:cs="Times New Roman"/>
        </w:rPr>
        <w:t>That argument</w:t>
      </w:r>
      <w:r w:rsidR="00032D31">
        <w:rPr>
          <w:rFonts w:ascii="Times New Roman" w:hAnsi="Times New Roman" w:cs="Times New Roman"/>
        </w:rPr>
        <w:t xml:space="preserve"> (which was rejected by the Tribunal)</w:t>
      </w:r>
      <w:r w:rsidR="00921405">
        <w:rPr>
          <w:rFonts w:ascii="Times New Roman" w:hAnsi="Times New Roman" w:cs="Times New Roman"/>
        </w:rPr>
        <w:t xml:space="preserve"> cannot be correct.  The pre-existing listing is removed only after the first stage of the valuation process (that is the point at which the new values are initially determined by a revision officer). The information which is available to the Commissioner and the Tribunal must, logically, be the same as that before the revision officer.  Therefore, the focus must be upon the list when the revision officer reaches his or her valuation.  The fact that as a consequence of that decision the pre-existing units are removed cannot, accordingly, affect the legal analysis.</w:t>
      </w:r>
    </w:p>
    <w:p w14:paraId="43603206" w14:textId="77777777" w:rsidR="00921405" w:rsidRDefault="00921405" w:rsidP="0092140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5C6BDD6E" w14:textId="7FEC2AB1" w:rsidR="00B14833" w:rsidRPr="00B14833" w:rsidRDefault="00921405"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In a related vein, Dayhoff argues that the construction urged by the Commissioner ignores the fact that the pre-amalgamation properties will,  by definition, no longer exist after an MCC in the form they presented at the time of the listing.  It says that the whole scheme of s.</w:t>
      </w:r>
      <w:r w:rsidR="00CD7F58">
        <w:rPr>
          <w:rFonts w:ascii="Times New Roman" w:hAnsi="Times New Roman" w:cs="Times New Roman"/>
        </w:rPr>
        <w:t xml:space="preserve"> </w:t>
      </w:r>
      <w:r>
        <w:rPr>
          <w:rFonts w:ascii="Times New Roman" w:hAnsi="Times New Roman" w:cs="Times New Roman"/>
        </w:rPr>
        <w:t>49(1) is based on comparing actual and existing other properties which are capable of b</w:t>
      </w:r>
      <w:r w:rsidR="00B13A44">
        <w:rPr>
          <w:rFonts w:ascii="Times New Roman" w:hAnsi="Times New Roman" w:cs="Times New Roman"/>
        </w:rPr>
        <w:t>eing</w:t>
      </w:r>
      <w:r>
        <w:rPr>
          <w:rFonts w:ascii="Times New Roman" w:hAnsi="Times New Roman" w:cs="Times New Roman"/>
        </w:rPr>
        <w:t xml:space="preserve"> inspected for comparison purposes with the subject property</w:t>
      </w:r>
      <w:r w:rsidR="00B14833">
        <w:rPr>
          <w:rFonts w:ascii="Times New Roman" w:hAnsi="Times New Roman" w:cs="Times New Roman"/>
        </w:rPr>
        <w:t xml:space="preserve">.  </w:t>
      </w:r>
      <w:r w:rsidR="004B1B20">
        <w:rPr>
          <w:rFonts w:ascii="Times New Roman" w:hAnsi="Times New Roman" w:cs="Times New Roman"/>
        </w:rPr>
        <w:t>It points to the fact that t</w:t>
      </w:r>
      <w:r w:rsidR="00B14833">
        <w:rPr>
          <w:rFonts w:ascii="Times New Roman" w:hAnsi="Times New Roman" w:cs="Times New Roman"/>
        </w:rPr>
        <w:t xml:space="preserve">he </w:t>
      </w:r>
      <w:r w:rsidR="00D74020">
        <w:rPr>
          <w:rFonts w:ascii="Times New Roman" w:hAnsi="Times New Roman" w:cs="Times New Roman"/>
        </w:rPr>
        <w:t xml:space="preserve">first </w:t>
      </w:r>
      <w:r w:rsidR="00B14833">
        <w:rPr>
          <w:rFonts w:ascii="Times New Roman" w:hAnsi="Times New Roman" w:cs="Times New Roman"/>
        </w:rPr>
        <w:t>floor relevant property – although still on the list – was not there at all as a separate relevant property when the revision was being carried out. All that existed was a listing and a paper record of what was there before the amalgamation.  That, it argues, does not constitute a ‘</w:t>
      </w:r>
      <w:r w:rsidR="00B14833">
        <w:rPr>
          <w:rFonts w:ascii="Times New Roman" w:hAnsi="Times New Roman" w:cs="Times New Roman"/>
          <w:i/>
        </w:rPr>
        <w:t xml:space="preserve">comparable other property’ </w:t>
      </w:r>
      <w:r w:rsidR="00B14833">
        <w:rPr>
          <w:rFonts w:ascii="Times New Roman" w:hAnsi="Times New Roman" w:cs="Times New Roman"/>
        </w:rPr>
        <w:t>within the meaning of the provision.</w:t>
      </w:r>
    </w:p>
    <w:p w14:paraId="311AA937" w14:textId="77777777" w:rsidR="00B14833" w:rsidRPr="00B14833" w:rsidRDefault="00B14833" w:rsidP="00236363">
      <w:pPr>
        <w:pStyle w:val="ListParagraph"/>
        <w:spacing w:line="480" w:lineRule="auto"/>
        <w:rPr>
          <w:rFonts w:ascii="Times New Roman" w:hAnsi="Times New Roman" w:cs="Times New Roman"/>
        </w:rPr>
      </w:pPr>
    </w:p>
    <w:p w14:paraId="66DA7E2B" w14:textId="58D1FF75" w:rsidR="00921405" w:rsidRPr="00617DB3" w:rsidRDefault="00B14833"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 do not believe this argument to be well placed.  </w:t>
      </w:r>
      <w:r w:rsidR="00921405">
        <w:rPr>
          <w:rFonts w:ascii="Times New Roman" w:hAnsi="Times New Roman" w:cs="Times New Roman"/>
        </w:rPr>
        <w:t>Th</w:t>
      </w:r>
      <w:r>
        <w:rPr>
          <w:rFonts w:ascii="Times New Roman" w:hAnsi="Times New Roman" w:cs="Times New Roman"/>
        </w:rPr>
        <w:t>e physical alteration of a property is a common consequence</w:t>
      </w:r>
      <w:r w:rsidR="00921405">
        <w:rPr>
          <w:rFonts w:ascii="Times New Roman" w:hAnsi="Times New Roman" w:cs="Times New Roman"/>
        </w:rPr>
        <w:t xml:space="preserve"> of</w:t>
      </w:r>
      <w:r w:rsidR="00B13A44">
        <w:rPr>
          <w:rFonts w:ascii="Times New Roman" w:hAnsi="Times New Roman" w:cs="Times New Roman"/>
        </w:rPr>
        <w:t xml:space="preserve"> an MCC</w:t>
      </w:r>
      <w:r>
        <w:rPr>
          <w:rFonts w:ascii="Times New Roman" w:hAnsi="Times New Roman" w:cs="Times New Roman"/>
        </w:rPr>
        <w:t>, and indeed there may be other circumstances in which property</w:t>
      </w:r>
      <w:r w:rsidR="00B13A44">
        <w:rPr>
          <w:rFonts w:ascii="Times New Roman" w:hAnsi="Times New Roman" w:cs="Times New Roman"/>
        </w:rPr>
        <w:t>,</w:t>
      </w:r>
      <w:r>
        <w:rPr>
          <w:rFonts w:ascii="Times New Roman" w:hAnsi="Times New Roman" w:cs="Times New Roman"/>
        </w:rPr>
        <w:t xml:space="preserve"> although on the valuation list, no longer presents as it did when the listing occurred</w:t>
      </w:r>
      <w:r w:rsidR="00921405">
        <w:rPr>
          <w:rFonts w:ascii="Times New Roman" w:hAnsi="Times New Roman" w:cs="Times New Roman"/>
        </w:rPr>
        <w:t xml:space="preserve">.  If the Tribunal concludes that there is insufficient evidence to allow it to reliably </w:t>
      </w:r>
      <w:r w:rsidR="007C0FFE">
        <w:rPr>
          <w:rFonts w:ascii="Times New Roman" w:hAnsi="Times New Roman" w:cs="Times New Roman"/>
        </w:rPr>
        <w:t xml:space="preserve">determine whether an asserted </w:t>
      </w:r>
      <w:r w:rsidR="00921405">
        <w:rPr>
          <w:rFonts w:ascii="Times New Roman" w:hAnsi="Times New Roman" w:cs="Times New Roman"/>
        </w:rPr>
        <w:t xml:space="preserve">comparator </w:t>
      </w:r>
      <w:r w:rsidR="007C0FFE">
        <w:rPr>
          <w:rFonts w:ascii="Times New Roman" w:hAnsi="Times New Roman" w:cs="Times New Roman"/>
        </w:rPr>
        <w:t>is in fact ‘</w:t>
      </w:r>
      <w:r w:rsidR="007C0FFE">
        <w:rPr>
          <w:rFonts w:ascii="Times New Roman" w:hAnsi="Times New Roman" w:cs="Times New Roman"/>
          <w:i/>
        </w:rPr>
        <w:t xml:space="preserve">comparable’ </w:t>
      </w:r>
      <w:r w:rsidR="007C0FFE">
        <w:rPr>
          <w:rFonts w:ascii="Times New Roman" w:hAnsi="Times New Roman" w:cs="Times New Roman"/>
        </w:rPr>
        <w:t xml:space="preserve">to the property being valued, </w:t>
      </w:r>
      <w:r w:rsidR="00921405">
        <w:rPr>
          <w:rFonts w:ascii="Times New Roman" w:hAnsi="Times New Roman" w:cs="Times New Roman"/>
        </w:rPr>
        <w:t>then it is entitled not to have regard to it.  The mere fact that the unit no longer exists as it once did does not mean that there will, necessarily, be such insufficient evidence.</w:t>
      </w:r>
      <w:r w:rsidR="00C929F0">
        <w:rPr>
          <w:rFonts w:ascii="Times New Roman" w:hAnsi="Times New Roman" w:cs="Times New Roman"/>
        </w:rPr>
        <w:t xml:space="preserve">  And, perhaps most critically, this is not an argument that justifies the construction contended for by Dayhoff as it merely precludes regard being had to </w:t>
      </w:r>
      <w:r w:rsidR="00536E2F">
        <w:rPr>
          <w:rFonts w:ascii="Times New Roman" w:hAnsi="Times New Roman" w:cs="Times New Roman"/>
        </w:rPr>
        <w:t>pre-amalgamation units in some – but not necessarily all – circumstances.</w:t>
      </w:r>
    </w:p>
    <w:p w14:paraId="672713A2" w14:textId="77777777" w:rsidR="00921405" w:rsidRDefault="00B14833" w:rsidP="00B14833">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612909C9" w14:textId="41CA5656" w:rsidR="003B41C6" w:rsidRPr="00B14833" w:rsidRDefault="00B14833"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Dayhoff in its submissions also refers to the fact that s.</w:t>
      </w:r>
      <w:r w:rsidR="00CD7F58">
        <w:rPr>
          <w:rFonts w:ascii="Times New Roman" w:hAnsi="Times New Roman" w:cs="Times New Roman"/>
        </w:rPr>
        <w:t xml:space="preserve"> </w:t>
      </w:r>
      <w:r>
        <w:rPr>
          <w:rFonts w:ascii="Times New Roman" w:hAnsi="Times New Roman" w:cs="Times New Roman"/>
        </w:rPr>
        <w:t>49 refers to ‘</w:t>
      </w:r>
      <w:r>
        <w:rPr>
          <w:rFonts w:ascii="Times New Roman" w:hAnsi="Times New Roman" w:cs="Times New Roman"/>
          <w:i/>
        </w:rPr>
        <w:t>other properties’</w:t>
      </w:r>
      <w:r>
        <w:rPr>
          <w:rFonts w:ascii="Times New Roman" w:hAnsi="Times New Roman" w:cs="Times New Roman"/>
        </w:rPr>
        <w:t xml:space="preserve"> for the purposes of the exercise in comparison, and it was suggested that this meant that there had to be more than one such property.  This is not correct.  Section 18(a) of the </w:t>
      </w:r>
      <w:r>
        <w:rPr>
          <w:rFonts w:ascii="Times New Roman" w:hAnsi="Times New Roman" w:cs="Times New Roman"/>
        </w:rPr>
        <w:lastRenderedPageBreak/>
        <w:t>Interpretation Act 2005 posits a default position whereby the singular in a statute imports the plural and vice versa. That default position can be displaced expressly or by context, but there must be something in the context to suggest that it was intended to displace it.  Not only is there no such indication in this case, but the conjunction between s.</w:t>
      </w:r>
      <w:r w:rsidR="00CD7F58">
        <w:rPr>
          <w:rFonts w:ascii="Times New Roman" w:hAnsi="Times New Roman" w:cs="Times New Roman"/>
        </w:rPr>
        <w:t xml:space="preserve"> </w:t>
      </w:r>
      <w:r>
        <w:rPr>
          <w:rFonts w:ascii="Times New Roman" w:hAnsi="Times New Roman" w:cs="Times New Roman"/>
        </w:rPr>
        <w:t>49 and the definition of ‘</w:t>
      </w:r>
      <w:r>
        <w:rPr>
          <w:rFonts w:ascii="Times New Roman" w:hAnsi="Times New Roman" w:cs="Times New Roman"/>
          <w:i/>
        </w:rPr>
        <w:t xml:space="preserve">material change in circumstance’ </w:t>
      </w:r>
      <w:r>
        <w:rPr>
          <w:rFonts w:ascii="Times New Roman" w:hAnsi="Times New Roman" w:cs="Times New Roman"/>
        </w:rPr>
        <w:t>in s.</w:t>
      </w:r>
      <w:r w:rsidR="00CD7F58">
        <w:rPr>
          <w:rFonts w:ascii="Times New Roman" w:hAnsi="Times New Roman" w:cs="Times New Roman"/>
        </w:rPr>
        <w:t xml:space="preserve"> </w:t>
      </w:r>
      <w:r>
        <w:rPr>
          <w:rFonts w:ascii="Times New Roman" w:hAnsi="Times New Roman" w:cs="Times New Roman"/>
        </w:rPr>
        <w:t xml:space="preserve">3(1) would strongly suggest the </w:t>
      </w:r>
      <w:r w:rsidR="007C0FFE">
        <w:rPr>
          <w:rFonts w:ascii="Times New Roman" w:hAnsi="Times New Roman" w:cs="Times New Roman"/>
        </w:rPr>
        <w:t xml:space="preserve">opposite </w:t>
      </w:r>
      <w:r>
        <w:rPr>
          <w:rFonts w:ascii="Times New Roman" w:hAnsi="Times New Roman" w:cs="Times New Roman"/>
        </w:rPr>
        <w:t>intent.  Moreover, as counsel for the Commissioner observed in the course of his submissions, s</w:t>
      </w:r>
      <w:r w:rsidR="00B13A44">
        <w:rPr>
          <w:rFonts w:ascii="Times New Roman" w:hAnsi="Times New Roman" w:cs="Times New Roman"/>
        </w:rPr>
        <w:t>.</w:t>
      </w:r>
      <w:r>
        <w:rPr>
          <w:rFonts w:ascii="Times New Roman" w:hAnsi="Times New Roman" w:cs="Times New Roman"/>
        </w:rPr>
        <w:t xml:space="preserve"> 49(2) addresses the correct approach where comparable properties cannot be located.  It says ‘</w:t>
      </w:r>
      <w:r>
        <w:rPr>
          <w:rFonts w:ascii="Times New Roman" w:hAnsi="Times New Roman" w:cs="Times New Roman"/>
          <w:i/>
        </w:rPr>
        <w:t>if there are no properties comparable to the first mentioned property’</w:t>
      </w:r>
      <w:r>
        <w:rPr>
          <w:rFonts w:ascii="Times New Roman" w:hAnsi="Times New Roman" w:cs="Times New Roman"/>
        </w:rPr>
        <w:t>.  Had it been intended to exclude the singular from s.</w:t>
      </w:r>
      <w:r w:rsidR="00CD7F58">
        <w:rPr>
          <w:rFonts w:ascii="Times New Roman" w:hAnsi="Times New Roman" w:cs="Times New Roman"/>
        </w:rPr>
        <w:t xml:space="preserve"> </w:t>
      </w:r>
      <w:r>
        <w:rPr>
          <w:rFonts w:ascii="Times New Roman" w:hAnsi="Times New Roman" w:cs="Times New Roman"/>
        </w:rPr>
        <w:t>49(1) this would have had to be quite differently expressed.</w:t>
      </w:r>
    </w:p>
    <w:p w14:paraId="7E695F59" w14:textId="77777777" w:rsidR="005A4120" w:rsidRPr="005A4120" w:rsidRDefault="005A4120" w:rsidP="00236363">
      <w:pPr>
        <w:pStyle w:val="ListParagraph"/>
        <w:spacing w:line="480" w:lineRule="auto"/>
        <w:rPr>
          <w:rFonts w:ascii="Times New Roman" w:hAnsi="Times New Roman" w:cs="Times New Roman"/>
          <w:b/>
        </w:rPr>
      </w:pPr>
    </w:p>
    <w:p w14:paraId="2B7BD8C9" w14:textId="77777777" w:rsidR="00B14833" w:rsidRPr="00B14833" w:rsidRDefault="00B14833"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Two other points should, finally, be noticed.  </w:t>
      </w:r>
      <w:r w:rsidR="00A52542">
        <w:rPr>
          <w:rFonts w:ascii="Times New Roman" w:hAnsi="Times New Roman" w:cs="Times New Roman"/>
        </w:rPr>
        <w:t>Dayhoff contended that the court should afford ‘</w:t>
      </w:r>
      <w:r w:rsidR="00A52542">
        <w:rPr>
          <w:rFonts w:ascii="Times New Roman" w:hAnsi="Times New Roman" w:cs="Times New Roman"/>
          <w:i/>
        </w:rPr>
        <w:t xml:space="preserve">curial </w:t>
      </w:r>
      <w:r w:rsidR="00A52542" w:rsidRPr="00A52542">
        <w:rPr>
          <w:rFonts w:ascii="Times New Roman" w:hAnsi="Times New Roman" w:cs="Times New Roman"/>
          <w:i/>
        </w:rPr>
        <w:t>deference</w:t>
      </w:r>
      <w:r w:rsidR="00A52542" w:rsidRPr="00A52542">
        <w:rPr>
          <w:rFonts w:ascii="Times New Roman" w:hAnsi="Times New Roman" w:cs="Times New Roman"/>
        </w:rPr>
        <w:t>’</w:t>
      </w:r>
      <w:r w:rsidR="00A52542">
        <w:rPr>
          <w:rFonts w:ascii="Times New Roman" w:hAnsi="Times New Roman" w:cs="Times New Roman"/>
        </w:rPr>
        <w:t xml:space="preserve"> to the decision of the Tribunal.  As I have noted earlier, I have addressed the operation of ‘</w:t>
      </w:r>
      <w:r w:rsidR="00A52542">
        <w:rPr>
          <w:rFonts w:ascii="Times New Roman" w:hAnsi="Times New Roman" w:cs="Times New Roman"/>
          <w:i/>
        </w:rPr>
        <w:t xml:space="preserve">curial deference’ </w:t>
      </w:r>
      <w:r w:rsidR="00A52542">
        <w:rPr>
          <w:rFonts w:ascii="Times New Roman" w:hAnsi="Times New Roman" w:cs="Times New Roman"/>
        </w:rPr>
        <w:t xml:space="preserve">in the course of my judgment in </w:t>
      </w:r>
      <w:r w:rsidR="005E2A6A">
        <w:rPr>
          <w:rFonts w:ascii="Times New Roman" w:hAnsi="Times New Roman" w:cs="Times New Roman"/>
          <w:i/>
        </w:rPr>
        <w:t xml:space="preserve">Stanberry.  </w:t>
      </w:r>
      <w:r w:rsidR="005E2A6A">
        <w:rPr>
          <w:rFonts w:ascii="Times New Roman" w:hAnsi="Times New Roman" w:cs="Times New Roman"/>
        </w:rPr>
        <w:t>As I explain there – and as indeed is well established – the concept has no role in relation to pure issues of law, and this was such an issue.</w:t>
      </w:r>
    </w:p>
    <w:p w14:paraId="49386FCF" w14:textId="77777777" w:rsidR="00B14833" w:rsidRDefault="00B14833" w:rsidP="00236363">
      <w:pPr>
        <w:pStyle w:val="ListParagraph"/>
        <w:spacing w:line="480" w:lineRule="auto"/>
      </w:pPr>
    </w:p>
    <w:p w14:paraId="15263B68" w14:textId="10623273" w:rsidR="00BE147D" w:rsidRPr="00B14833" w:rsidRDefault="00B14833" w:rsidP="00236363">
      <w:pPr>
        <w:pStyle w:val="ListParagraph"/>
        <w:numPr>
          <w:ilvl w:val="0"/>
          <w:numId w:val="1"/>
        </w:numPr>
        <w:spacing w:line="480" w:lineRule="auto"/>
        <w:jc w:val="both"/>
        <w:rPr>
          <w:rFonts w:ascii="Times New Roman" w:hAnsi="Times New Roman" w:cs="Times New Roman"/>
          <w:b/>
        </w:rPr>
      </w:pPr>
      <w:r w:rsidRPr="00B14833">
        <w:rPr>
          <w:rFonts w:ascii="Times New Roman" w:hAnsi="Times New Roman" w:cs="Times New Roman"/>
        </w:rPr>
        <w:t xml:space="preserve">Second, </w:t>
      </w:r>
      <w:r w:rsidR="005A463A" w:rsidRPr="00B14833">
        <w:rPr>
          <w:rFonts w:ascii="Times New Roman" w:hAnsi="Times New Roman" w:cs="Times New Roman"/>
        </w:rPr>
        <w:t>there was some discussion in the course of the hearing of this matter of the appropriateness of the use of what is described by valuers as a ‘</w:t>
      </w:r>
      <w:r w:rsidR="005A463A" w:rsidRPr="00B14833">
        <w:rPr>
          <w:rFonts w:ascii="Times New Roman" w:hAnsi="Times New Roman" w:cs="Times New Roman"/>
          <w:i/>
        </w:rPr>
        <w:t xml:space="preserve">bolt on’ </w:t>
      </w:r>
      <w:r w:rsidR="005A463A" w:rsidRPr="00B14833">
        <w:rPr>
          <w:rFonts w:ascii="Times New Roman" w:hAnsi="Times New Roman" w:cs="Times New Roman"/>
        </w:rPr>
        <w:t xml:space="preserve">approach to valuing a property that has been extended, the original valuation of part of it being used as a basis for valuing the remainder.  </w:t>
      </w:r>
      <w:r w:rsidR="00D74020">
        <w:rPr>
          <w:rFonts w:ascii="Times New Roman" w:hAnsi="Times New Roman" w:cs="Times New Roman"/>
        </w:rPr>
        <w:t xml:space="preserve">It was contended that the decision of the </w:t>
      </w:r>
      <w:r w:rsidR="00D74020" w:rsidRPr="00B14833">
        <w:rPr>
          <w:rFonts w:ascii="Times New Roman" w:hAnsi="Times New Roman" w:cs="Times New Roman"/>
        </w:rPr>
        <w:t xml:space="preserve">Tribunal in </w:t>
      </w:r>
      <w:r w:rsidR="00D74020" w:rsidRPr="00B14833">
        <w:rPr>
          <w:rFonts w:ascii="Times New Roman" w:hAnsi="Times New Roman" w:cs="Times New Roman"/>
          <w:i/>
        </w:rPr>
        <w:t xml:space="preserve">MMEM Public House Limited v. Commissioner of Valuation </w:t>
      </w:r>
      <w:r w:rsidR="00D74020" w:rsidRPr="00B14833">
        <w:rPr>
          <w:rFonts w:ascii="Times New Roman" w:hAnsi="Times New Roman" w:cs="Times New Roman"/>
        </w:rPr>
        <w:t>(VA 14/4/023)</w:t>
      </w:r>
      <w:r w:rsidR="00D74020">
        <w:rPr>
          <w:rFonts w:ascii="Times New Roman" w:hAnsi="Times New Roman" w:cs="Times New Roman"/>
        </w:rPr>
        <w:t xml:space="preserve"> supports the view that this approach is impermissible</w:t>
      </w:r>
      <w:r w:rsidR="00D74020" w:rsidRPr="00B14833">
        <w:rPr>
          <w:rFonts w:ascii="Times New Roman" w:hAnsi="Times New Roman" w:cs="Times New Roman"/>
        </w:rPr>
        <w:t>.</w:t>
      </w:r>
      <w:r w:rsidR="00F27E2F">
        <w:rPr>
          <w:rFonts w:ascii="Times New Roman" w:hAnsi="Times New Roman" w:cs="Times New Roman"/>
        </w:rPr>
        <w:t xml:space="preserve"> </w:t>
      </w:r>
      <w:r w:rsidR="005A463A" w:rsidRPr="00B14833">
        <w:rPr>
          <w:rFonts w:ascii="Times New Roman" w:hAnsi="Times New Roman" w:cs="Times New Roman"/>
        </w:rPr>
        <w:t xml:space="preserve">It is my view, given the frequency with which the Tribunal appears to have had resort to this method, that it would not be appropriate to express any </w:t>
      </w:r>
      <w:r w:rsidR="001C04E3" w:rsidRPr="00B14833">
        <w:rPr>
          <w:rFonts w:ascii="Times New Roman" w:hAnsi="Times New Roman" w:cs="Times New Roman"/>
        </w:rPr>
        <w:t xml:space="preserve">general </w:t>
      </w:r>
      <w:r w:rsidR="005A463A" w:rsidRPr="00B14833">
        <w:rPr>
          <w:rFonts w:ascii="Times New Roman" w:hAnsi="Times New Roman" w:cs="Times New Roman"/>
        </w:rPr>
        <w:t>view as to its use</w:t>
      </w:r>
      <w:r w:rsidR="001C04E3" w:rsidRPr="00B14833">
        <w:rPr>
          <w:rFonts w:ascii="Times New Roman" w:hAnsi="Times New Roman" w:cs="Times New Roman"/>
        </w:rPr>
        <w:t xml:space="preserve"> in a case in which it is not necessary </w:t>
      </w:r>
      <w:r w:rsidR="001C04E3" w:rsidRPr="00B14833">
        <w:rPr>
          <w:rFonts w:ascii="Times New Roman" w:hAnsi="Times New Roman" w:cs="Times New Roman"/>
        </w:rPr>
        <w:lastRenderedPageBreak/>
        <w:t>to do so</w:t>
      </w:r>
      <w:r w:rsidR="005A463A" w:rsidRPr="00B14833">
        <w:rPr>
          <w:rFonts w:ascii="Times New Roman" w:hAnsi="Times New Roman" w:cs="Times New Roman"/>
        </w:rPr>
        <w:t xml:space="preserve"> </w:t>
      </w:r>
      <w:r w:rsidR="005A463A" w:rsidRPr="00B14833">
        <w:rPr>
          <w:rFonts w:ascii="Times New Roman" w:hAnsi="Times New Roman" w:cs="Times New Roman"/>
          <w:i/>
        </w:rPr>
        <w:t>save</w:t>
      </w:r>
      <w:r w:rsidR="005A463A" w:rsidRPr="00B14833">
        <w:rPr>
          <w:rFonts w:ascii="Times New Roman" w:hAnsi="Times New Roman" w:cs="Times New Roman"/>
        </w:rPr>
        <w:t xml:space="preserve"> to observe that insofar as such objection is grounded upon an argument analogous to that advanced by Dayhoff here on the basis of the meaning of ‘</w:t>
      </w:r>
      <w:r w:rsidR="005A463A" w:rsidRPr="00B14833">
        <w:rPr>
          <w:rFonts w:ascii="Times New Roman" w:hAnsi="Times New Roman" w:cs="Times New Roman"/>
          <w:i/>
        </w:rPr>
        <w:t>other properties’</w:t>
      </w:r>
      <w:r w:rsidR="005A463A" w:rsidRPr="00B14833">
        <w:rPr>
          <w:rFonts w:ascii="Times New Roman" w:hAnsi="Times New Roman" w:cs="Times New Roman"/>
        </w:rPr>
        <w:t xml:space="preserve"> in s.</w:t>
      </w:r>
      <w:r w:rsidR="00CD7F58">
        <w:rPr>
          <w:rFonts w:ascii="Times New Roman" w:hAnsi="Times New Roman" w:cs="Times New Roman"/>
        </w:rPr>
        <w:t xml:space="preserve"> </w:t>
      </w:r>
      <w:r w:rsidR="005A463A" w:rsidRPr="00B14833">
        <w:rPr>
          <w:rFonts w:ascii="Times New Roman" w:hAnsi="Times New Roman" w:cs="Times New Roman"/>
        </w:rPr>
        <w:t>49(1) it necessarily follows from what I have said earlier that it is ill founded.</w:t>
      </w:r>
      <w:r w:rsidR="005E2A6A" w:rsidRPr="00B14833">
        <w:rPr>
          <w:rFonts w:ascii="Times New Roman" w:hAnsi="Times New Roman" w:cs="Times New Roman"/>
        </w:rPr>
        <w:t xml:space="preserve"> </w:t>
      </w:r>
    </w:p>
    <w:p w14:paraId="76C1CB23" w14:textId="77777777" w:rsidR="00B14833" w:rsidRPr="00B14833" w:rsidRDefault="00B14833" w:rsidP="00236363">
      <w:pPr>
        <w:pStyle w:val="ListParagraph"/>
        <w:spacing w:line="480" w:lineRule="auto"/>
        <w:rPr>
          <w:rFonts w:ascii="Times New Roman" w:hAnsi="Times New Roman" w:cs="Times New Roman"/>
          <w:b/>
        </w:rPr>
      </w:pPr>
    </w:p>
    <w:p w14:paraId="039AED10" w14:textId="79CA86C5" w:rsidR="00B14833" w:rsidRPr="00B14833" w:rsidRDefault="00B14833" w:rsidP="0023636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My conclusion </w:t>
      </w:r>
      <w:r w:rsidR="00C25561">
        <w:rPr>
          <w:rFonts w:ascii="Times New Roman" w:hAnsi="Times New Roman" w:cs="Times New Roman"/>
        </w:rPr>
        <w:t xml:space="preserve">having regard to the foregoing </w:t>
      </w:r>
      <w:r>
        <w:rPr>
          <w:rFonts w:ascii="Times New Roman" w:hAnsi="Times New Roman" w:cs="Times New Roman"/>
        </w:rPr>
        <w:t xml:space="preserve">can be shortly stated.  Where </w:t>
      </w:r>
      <w:r w:rsidRPr="003B41C6">
        <w:rPr>
          <w:rFonts w:ascii="Times New Roman" w:hAnsi="Times New Roman" w:cs="Times New Roman"/>
        </w:rPr>
        <w:t>a new ‘</w:t>
      </w:r>
      <w:r w:rsidRPr="003B41C6">
        <w:rPr>
          <w:rFonts w:ascii="Times New Roman" w:hAnsi="Times New Roman" w:cs="Times New Roman"/>
          <w:i/>
        </w:rPr>
        <w:t>relevant property’</w:t>
      </w:r>
      <w:r w:rsidRPr="003B41C6">
        <w:rPr>
          <w:rFonts w:ascii="Times New Roman" w:hAnsi="Times New Roman" w:cs="Times New Roman"/>
        </w:rPr>
        <w:t xml:space="preserve"> is created following the amalgamation of two pre-existing ‘</w:t>
      </w:r>
      <w:r w:rsidRPr="003B41C6">
        <w:rPr>
          <w:rFonts w:ascii="Times New Roman" w:hAnsi="Times New Roman" w:cs="Times New Roman"/>
          <w:i/>
        </w:rPr>
        <w:t>relevant properties’</w:t>
      </w:r>
      <w:r w:rsidRPr="003B41C6">
        <w:rPr>
          <w:rFonts w:ascii="Times New Roman" w:hAnsi="Times New Roman" w:cs="Times New Roman"/>
        </w:rPr>
        <w:t>, those pre-existing ‘</w:t>
      </w:r>
      <w:r w:rsidRPr="003B41C6">
        <w:rPr>
          <w:rFonts w:ascii="Times New Roman" w:hAnsi="Times New Roman" w:cs="Times New Roman"/>
          <w:i/>
        </w:rPr>
        <w:t>relevant properties’</w:t>
      </w:r>
      <w:r w:rsidRPr="003B41C6">
        <w:rPr>
          <w:rFonts w:ascii="Times New Roman" w:hAnsi="Times New Roman" w:cs="Times New Roman"/>
        </w:rPr>
        <w:t xml:space="preserve"> are ‘</w:t>
      </w:r>
      <w:r w:rsidRPr="003B41C6">
        <w:rPr>
          <w:rFonts w:ascii="Times New Roman" w:hAnsi="Times New Roman" w:cs="Times New Roman"/>
          <w:i/>
        </w:rPr>
        <w:t xml:space="preserve">other properties’ </w:t>
      </w:r>
      <w:r w:rsidRPr="003B41C6">
        <w:rPr>
          <w:rFonts w:ascii="Times New Roman" w:hAnsi="Times New Roman" w:cs="Times New Roman"/>
        </w:rPr>
        <w:t>for the purposes of s.</w:t>
      </w:r>
      <w:r w:rsidR="00CD7F58">
        <w:rPr>
          <w:rFonts w:ascii="Times New Roman" w:hAnsi="Times New Roman" w:cs="Times New Roman"/>
        </w:rPr>
        <w:t xml:space="preserve"> </w:t>
      </w:r>
      <w:r w:rsidRPr="003B41C6">
        <w:rPr>
          <w:rFonts w:ascii="Times New Roman" w:hAnsi="Times New Roman" w:cs="Times New Roman"/>
        </w:rPr>
        <w:t xml:space="preserve">49(1).  </w:t>
      </w:r>
      <w:r>
        <w:rPr>
          <w:rFonts w:ascii="Times New Roman" w:hAnsi="Times New Roman" w:cs="Times New Roman"/>
        </w:rPr>
        <w:t xml:space="preserve">The valuing body </w:t>
      </w:r>
      <w:r>
        <w:rPr>
          <w:rFonts w:ascii="Times New Roman" w:hAnsi="Times New Roman" w:cs="Times New Roman"/>
          <w:i/>
        </w:rPr>
        <w:t xml:space="preserve">may </w:t>
      </w:r>
      <w:r>
        <w:rPr>
          <w:rFonts w:ascii="Times New Roman" w:hAnsi="Times New Roman" w:cs="Times New Roman"/>
        </w:rPr>
        <w:t>accordingly take account of those properties in identifying properties that are ‘</w:t>
      </w:r>
      <w:r>
        <w:rPr>
          <w:rFonts w:ascii="Times New Roman" w:hAnsi="Times New Roman" w:cs="Times New Roman"/>
          <w:i/>
        </w:rPr>
        <w:t xml:space="preserve">comparable’ </w:t>
      </w:r>
      <w:r>
        <w:rPr>
          <w:rFonts w:ascii="Times New Roman" w:hAnsi="Times New Roman" w:cs="Times New Roman"/>
        </w:rPr>
        <w:t xml:space="preserve">to the property being valued, and if it concludes that they are so comparable </w:t>
      </w:r>
      <w:r>
        <w:rPr>
          <w:rFonts w:ascii="Times New Roman" w:hAnsi="Times New Roman" w:cs="Times New Roman"/>
          <w:i/>
        </w:rPr>
        <w:t xml:space="preserve">must </w:t>
      </w:r>
      <w:r>
        <w:rPr>
          <w:rFonts w:ascii="Times New Roman" w:hAnsi="Times New Roman" w:cs="Times New Roman"/>
        </w:rPr>
        <w:t>conduct the valuation ‘</w:t>
      </w:r>
      <w:r>
        <w:rPr>
          <w:rFonts w:ascii="Times New Roman" w:hAnsi="Times New Roman" w:cs="Times New Roman"/>
          <w:i/>
        </w:rPr>
        <w:t xml:space="preserve">by </w:t>
      </w:r>
      <w:r w:rsidRPr="008D4B29">
        <w:rPr>
          <w:rFonts w:ascii="Times New Roman" w:hAnsi="Times New Roman" w:cs="Times New Roman"/>
          <w:i/>
        </w:rPr>
        <w:t>reference</w:t>
      </w:r>
      <w:r w:rsidRPr="008D4B29">
        <w:rPr>
          <w:rFonts w:ascii="Times New Roman" w:hAnsi="Times New Roman" w:cs="Times New Roman"/>
        </w:rPr>
        <w:t>’</w:t>
      </w:r>
      <w:r>
        <w:rPr>
          <w:rFonts w:ascii="Times New Roman" w:hAnsi="Times New Roman" w:cs="Times New Roman"/>
        </w:rPr>
        <w:t xml:space="preserve"> to them.  </w:t>
      </w:r>
      <w:r w:rsidRPr="008D4B29">
        <w:rPr>
          <w:rFonts w:ascii="Times New Roman" w:hAnsi="Times New Roman" w:cs="Times New Roman"/>
        </w:rPr>
        <w:t>That</w:t>
      </w:r>
      <w:r w:rsidRPr="003B41C6">
        <w:rPr>
          <w:rFonts w:ascii="Times New Roman" w:hAnsi="Times New Roman" w:cs="Times New Roman"/>
        </w:rPr>
        <w:t xml:space="preserve"> interpretation (a) enables s.</w:t>
      </w:r>
      <w:r w:rsidR="00CD7F58">
        <w:rPr>
          <w:rFonts w:ascii="Times New Roman" w:hAnsi="Times New Roman" w:cs="Times New Roman"/>
        </w:rPr>
        <w:t xml:space="preserve"> </w:t>
      </w:r>
      <w:r w:rsidRPr="003B41C6">
        <w:rPr>
          <w:rFonts w:ascii="Times New Roman" w:hAnsi="Times New Roman" w:cs="Times New Roman"/>
        </w:rPr>
        <w:t>49(1) and the definition of MCC to function harmoniously and (b) gives effect to the policies of consistency in rating, of ensuring that the Tribunal has available to it all probative evidence relevant to its task, and of maintaining the essential ‘</w:t>
      </w:r>
      <w:r w:rsidRPr="003B41C6">
        <w:rPr>
          <w:rFonts w:ascii="Times New Roman" w:hAnsi="Times New Roman" w:cs="Times New Roman"/>
          <w:i/>
        </w:rPr>
        <w:t>fabric’</w:t>
      </w:r>
      <w:r w:rsidRPr="003B41C6">
        <w:rPr>
          <w:rFonts w:ascii="Times New Roman" w:hAnsi="Times New Roman" w:cs="Times New Roman"/>
        </w:rPr>
        <w:t xml:space="preserve"> of the valuation list.</w:t>
      </w:r>
    </w:p>
    <w:p w14:paraId="69852F4A" w14:textId="77777777" w:rsidR="00B14833" w:rsidRDefault="00B14833" w:rsidP="00236363">
      <w:pPr>
        <w:pStyle w:val="ListParagraph"/>
        <w:spacing w:line="480" w:lineRule="auto"/>
      </w:pPr>
    </w:p>
    <w:p w14:paraId="357417BB" w14:textId="77777777" w:rsidR="00B14833" w:rsidRPr="00B14833" w:rsidRDefault="005A463A" w:rsidP="00236363">
      <w:pPr>
        <w:pStyle w:val="ListParagraph"/>
        <w:numPr>
          <w:ilvl w:val="0"/>
          <w:numId w:val="1"/>
        </w:numPr>
        <w:spacing w:line="480" w:lineRule="auto"/>
        <w:jc w:val="both"/>
        <w:rPr>
          <w:rFonts w:ascii="Times New Roman" w:hAnsi="Times New Roman" w:cs="Times New Roman"/>
          <w:b/>
        </w:rPr>
      </w:pPr>
      <w:r w:rsidRPr="00B14833">
        <w:rPr>
          <w:rFonts w:ascii="Times New Roman" w:hAnsi="Times New Roman" w:cs="Times New Roman"/>
        </w:rPr>
        <w:t xml:space="preserve">Whelan J. and Pilkington J. agree with this judgment and </w:t>
      </w:r>
      <w:r w:rsidR="009D11D0" w:rsidRPr="00B14833">
        <w:rPr>
          <w:rFonts w:ascii="Times New Roman" w:hAnsi="Times New Roman" w:cs="Times New Roman"/>
        </w:rPr>
        <w:t>my</w:t>
      </w:r>
      <w:r w:rsidRPr="00B14833">
        <w:rPr>
          <w:rFonts w:ascii="Times New Roman" w:hAnsi="Times New Roman" w:cs="Times New Roman"/>
        </w:rPr>
        <w:t xml:space="preserve"> conclusion that the trial </w:t>
      </w:r>
      <w:r w:rsidR="00C25561">
        <w:rPr>
          <w:rFonts w:ascii="Times New Roman" w:hAnsi="Times New Roman" w:cs="Times New Roman"/>
        </w:rPr>
        <w:t>j</w:t>
      </w:r>
      <w:r w:rsidRPr="00B14833">
        <w:rPr>
          <w:rFonts w:ascii="Times New Roman" w:hAnsi="Times New Roman" w:cs="Times New Roman"/>
        </w:rPr>
        <w:t>udge correctly answered the question presented to him by way of the case stated.  It is the provisional view of all members of the court that Dayhoff having failed in its appeal should bear the costs of the appeal and of the proceedings in the High Court.  If Dayhoff wishes to contest this provisional view it should advise the Court of Appeal office within a week of the date of this judgment whereupon the court will convene a hearing</w:t>
      </w:r>
      <w:r w:rsidR="004F6242">
        <w:rPr>
          <w:rFonts w:ascii="Times New Roman" w:hAnsi="Times New Roman" w:cs="Times New Roman"/>
        </w:rPr>
        <w:t xml:space="preserve"> to address the question of costs</w:t>
      </w:r>
      <w:r w:rsidR="00B14833" w:rsidRPr="00B14833">
        <w:rPr>
          <w:rFonts w:ascii="Times New Roman" w:hAnsi="Times New Roman" w:cs="Times New Roman"/>
        </w:rPr>
        <w:t>.</w:t>
      </w:r>
    </w:p>
    <w:p w14:paraId="41BF1F59" w14:textId="77777777" w:rsidR="00921405" w:rsidRDefault="00921405" w:rsidP="00B14833">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FE50B4C" w14:textId="77777777" w:rsidR="006B6A39" w:rsidRDefault="00A577BD"/>
    <w:sectPr w:rsidR="006B6A39" w:rsidSect="00667046">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317CD" w14:textId="77777777" w:rsidR="00701276" w:rsidRDefault="00701276" w:rsidP="00701276">
      <w:r>
        <w:separator/>
      </w:r>
    </w:p>
  </w:endnote>
  <w:endnote w:type="continuationSeparator" w:id="0">
    <w:p w14:paraId="48491B85" w14:textId="77777777" w:rsidR="00701276" w:rsidRDefault="00701276" w:rsidP="0070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ED0D" w14:textId="77777777" w:rsidR="00701276" w:rsidRDefault="00701276" w:rsidP="00701276">
      <w:r>
        <w:separator/>
      </w:r>
    </w:p>
  </w:footnote>
  <w:footnote w:type="continuationSeparator" w:id="0">
    <w:p w14:paraId="34EB40F2" w14:textId="77777777" w:rsidR="00701276" w:rsidRDefault="00701276" w:rsidP="00701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F24" w14:textId="77777777" w:rsidR="00667046" w:rsidRDefault="00667046">
    <w:pPr>
      <w:pStyle w:val="Header"/>
      <w:jc w:val="center"/>
    </w:pPr>
    <w:r>
      <w:t xml:space="preserve">- </w:t>
    </w:r>
    <w:sdt>
      <w:sdtPr>
        <w:id w:val="-18827717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564858E" w14:textId="77777777" w:rsidR="00701276" w:rsidRDefault="00701276" w:rsidP="0070127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5D6D" w14:textId="77777777" w:rsidR="00667046" w:rsidRDefault="00667046" w:rsidP="00667046">
    <w:pPr>
      <w:pStyle w:val="Header"/>
      <w:jc w:val="center"/>
    </w:pPr>
    <w:r>
      <w:rPr>
        <w:noProof/>
      </w:rPr>
      <w:drawing>
        <wp:inline distT="0" distB="0" distL="0" distR="0" wp14:anchorId="55708000" wp14:editId="57EB5EB5">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739C"/>
    <w:multiLevelType w:val="hybridMultilevel"/>
    <w:tmpl w:val="452028D0"/>
    <w:lvl w:ilvl="0" w:tplc="B6846F9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DC0CBD"/>
    <w:multiLevelType w:val="hybridMultilevel"/>
    <w:tmpl w:val="5DA84C7A"/>
    <w:lvl w:ilvl="0" w:tplc="AA422922">
      <w:start w:val="1"/>
      <w:numFmt w:val="lowerRoman"/>
      <w:lvlText w:val="(%1)"/>
      <w:lvlJc w:val="left"/>
      <w:pPr>
        <w:ind w:left="1440" w:hanging="720"/>
      </w:pPr>
      <w:rPr>
        <w:rFonts w:hint="default"/>
        <w:b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CAA7EB9"/>
    <w:multiLevelType w:val="hybridMultilevel"/>
    <w:tmpl w:val="298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45723"/>
    <w:multiLevelType w:val="hybridMultilevel"/>
    <w:tmpl w:val="298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76"/>
    <w:rsid w:val="00001715"/>
    <w:rsid w:val="000064F3"/>
    <w:rsid w:val="00013F55"/>
    <w:rsid w:val="000239E9"/>
    <w:rsid w:val="0002684D"/>
    <w:rsid w:val="00032D31"/>
    <w:rsid w:val="0003312D"/>
    <w:rsid w:val="00042742"/>
    <w:rsid w:val="00055A4D"/>
    <w:rsid w:val="00064C38"/>
    <w:rsid w:val="0007700F"/>
    <w:rsid w:val="000F36BF"/>
    <w:rsid w:val="000F5AF7"/>
    <w:rsid w:val="000F7756"/>
    <w:rsid w:val="0010213D"/>
    <w:rsid w:val="00112099"/>
    <w:rsid w:val="00112441"/>
    <w:rsid w:val="00135CE5"/>
    <w:rsid w:val="00142987"/>
    <w:rsid w:val="00143597"/>
    <w:rsid w:val="001449AF"/>
    <w:rsid w:val="00147098"/>
    <w:rsid w:val="001548E8"/>
    <w:rsid w:val="00165057"/>
    <w:rsid w:val="00173EC8"/>
    <w:rsid w:val="0017504D"/>
    <w:rsid w:val="00180892"/>
    <w:rsid w:val="00183907"/>
    <w:rsid w:val="001844A5"/>
    <w:rsid w:val="0019446A"/>
    <w:rsid w:val="001B052A"/>
    <w:rsid w:val="001B27FC"/>
    <w:rsid w:val="001C04E3"/>
    <w:rsid w:val="001C6422"/>
    <w:rsid w:val="001D3A17"/>
    <w:rsid w:val="001D6586"/>
    <w:rsid w:val="001E6061"/>
    <w:rsid w:val="00221D54"/>
    <w:rsid w:val="00221FF8"/>
    <w:rsid w:val="00222B38"/>
    <w:rsid w:val="00223551"/>
    <w:rsid w:val="00226399"/>
    <w:rsid w:val="00226428"/>
    <w:rsid w:val="00236363"/>
    <w:rsid w:val="00241634"/>
    <w:rsid w:val="002537A3"/>
    <w:rsid w:val="00256517"/>
    <w:rsid w:val="002615D9"/>
    <w:rsid w:val="002656E6"/>
    <w:rsid w:val="00277952"/>
    <w:rsid w:val="0028756F"/>
    <w:rsid w:val="002908B1"/>
    <w:rsid w:val="002A5F2D"/>
    <w:rsid w:val="002B4400"/>
    <w:rsid w:val="002B597B"/>
    <w:rsid w:val="002C248C"/>
    <w:rsid w:val="002E537B"/>
    <w:rsid w:val="00303AB1"/>
    <w:rsid w:val="00325FFC"/>
    <w:rsid w:val="00334351"/>
    <w:rsid w:val="00343F15"/>
    <w:rsid w:val="0035754F"/>
    <w:rsid w:val="0036173C"/>
    <w:rsid w:val="00361BAB"/>
    <w:rsid w:val="003620C6"/>
    <w:rsid w:val="00383FCC"/>
    <w:rsid w:val="003944E8"/>
    <w:rsid w:val="00394CDD"/>
    <w:rsid w:val="003A2DCE"/>
    <w:rsid w:val="003B41C6"/>
    <w:rsid w:val="003B6262"/>
    <w:rsid w:val="003D021E"/>
    <w:rsid w:val="003E3A20"/>
    <w:rsid w:val="003F0FD7"/>
    <w:rsid w:val="003F490C"/>
    <w:rsid w:val="003F4DE0"/>
    <w:rsid w:val="003F764B"/>
    <w:rsid w:val="004038CB"/>
    <w:rsid w:val="00415799"/>
    <w:rsid w:val="004173A0"/>
    <w:rsid w:val="00423F90"/>
    <w:rsid w:val="004256E7"/>
    <w:rsid w:val="00434A8C"/>
    <w:rsid w:val="00452678"/>
    <w:rsid w:val="0045651B"/>
    <w:rsid w:val="004607A4"/>
    <w:rsid w:val="004829E0"/>
    <w:rsid w:val="00496B3A"/>
    <w:rsid w:val="00496F93"/>
    <w:rsid w:val="004A1C8B"/>
    <w:rsid w:val="004B1B20"/>
    <w:rsid w:val="004C3E3B"/>
    <w:rsid w:val="004F4CCC"/>
    <w:rsid w:val="004F6242"/>
    <w:rsid w:val="0050009B"/>
    <w:rsid w:val="00514862"/>
    <w:rsid w:val="00521972"/>
    <w:rsid w:val="00525E04"/>
    <w:rsid w:val="00536E2F"/>
    <w:rsid w:val="005400C8"/>
    <w:rsid w:val="00540F6B"/>
    <w:rsid w:val="00553FC6"/>
    <w:rsid w:val="005540A7"/>
    <w:rsid w:val="005550DC"/>
    <w:rsid w:val="00567859"/>
    <w:rsid w:val="00570C5E"/>
    <w:rsid w:val="00572440"/>
    <w:rsid w:val="00587226"/>
    <w:rsid w:val="00593445"/>
    <w:rsid w:val="005A1AC8"/>
    <w:rsid w:val="005A4120"/>
    <w:rsid w:val="005A463A"/>
    <w:rsid w:val="005A5F2C"/>
    <w:rsid w:val="005B5364"/>
    <w:rsid w:val="005C2F85"/>
    <w:rsid w:val="005C5253"/>
    <w:rsid w:val="005E2A6A"/>
    <w:rsid w:val="00612DD2"/>
    <w:rsid w:val="00617DB3"/>
    <w:rsid w:val="00622E45"/>
    <w:rsid w:val="006264A7"/>
    <w:rsid w:val="00636C98"/>
    <w:rsid w:val="00642A5A"/>
    <w:rsid w:val="00667046"/>
    <w:rsid w:val="006819E6"/>
    <w:rsid w:val="006B6B11"/>
    <w:rsid w:val="006C3111"/>
    <w:rsid w:val="006F6306"/>
    <w:rsid w:val="00701276"/>
    <w:rsid w:val="00703ECC"/>
    <w:rsid w:val="00704365"/>
    <w:rsid w:val="00710567"/>
    <w:rsid w:val="007434AB"/>
    <w:rsid w:val="00747923"/>
    <w:rsid w:val="00770AE8"/>
    <w:rsid w:val="007806C4"/>
    <w:rsid w:val="007B5569"/>
    <w:rsid w:val="007B6F97"/>
    <w:rsid w:val="007C0FFE"/>
    <w:rsid w:val="007D23EC"/>
    <w:rsid w:val="007D3051"/>
    <w:rsid w:val="007D79AC"/>
    <w:rsid w:val="007E2CB3"/>
    <w:rsid w:val="00820DDE"/>
    <w:rsid w:val="00825400"/>
    <w:rsid w:val="00840F76"/>
    <w:rsid w:val="00862B6E"/>
    <w:rsid w:val="00866C10"/>
    <w:rsid w:val="008756D3"/>
    <w:rsid w:val="008872A7"/>
    <w:rsid w:val="00891F56"/>
    <w:rsid w:val="008B19A6"/>
    <w:rsid w:val="008C4A3A"/>
    <w:rsid w:val="008D4B29"/>
    <w:rsid w:val="008F107B"/>
    <w:rsid w:val="008F2C8C"/>
    <w:rsid w:val="009103FB"/>
    <w:rsid w:val="00921405"/>
    <w:rsid w:val="00921D88"/>
    <w:rsid w:val="00934669"/>
    <w:rsid w:val="0094082D"/>
    <w:rsid w:val="00942F3D"/>
    <w:rsid w:val="00947A31"/>
    <w:rsid w:val="0095045C"/>
    <w:rsid w:val="00963C53"/>
    <w:rsid w:val="00971578"/>
    <w:rsid w:val="009849CE"/>
    <w:rsid w:val="009C21BD"/>
    <w:rsid w:val="009C7855"/>
    <w:rsid w:val="009D11D0"/>
    <w:rsid w:val="009D44DC"/>
    <w:rsid w:val="009E11C5"/>
    <w:rsid w:val="009F60BA"/>
    <w:rsid w:val="00A32269"/>
    <w:rsid w:val="00A45E58"/>
    <w:rsid w:val="00A46965"/>
    <w:rsid w:val="00A52542"/>
    <w:rsid w:val="00A53DB2"/>
    <w:rsid w:val="00A56BED"/>
    <w:rsid w:val="00A57468"/>
    <w:rsid w:val="00A577BD"/>
    <w:rsid w:val="00A71CA5"/>
    <w:rsid w:val="00A71F5F"/>
    <w:rsid w:val="00A76143"/>
    <w:rsid w:val="00A773C1"/>
    <w:rsid w:val="00A9363F"/>
    <w:rsid w:val="00AA74B8"/>
    <w:rsid w:val="00AB0A69"/>
    <w:rsid w:val="00AC359A"/>
    <w:rsid w:val="00AD46F2"/>
    <w:rsid w:val="00AD6499"/>
    <w:rsid w:val="00AE50FD"/>
    <w:rsid w:val="00AF6239"/>
    <w:rsid w:val="00AF735E"/>
    <w:rsid w:val="00AF7365"/>
    <w:rsid w:val="00B03AEE"/>
    <w:rsid w:val="00B10049"/>
    <w:rsid w:val="00B13A44"/>
    <w:rsid w:val="00B14833"/>
    <w:rsid w:val="00B21329"/>
    <w:rsid w:val="00B259DA"/>
    <w:rsid w:val="00B555A9"/>
    <w:rsid w:val="00B61B92"/>
    <w:rsid w:val="00B620CC"/>
    <w:rsid w:val="00B66351"/>
    <w:rsid w:val="00B80B81"/>
    <w:rsid w:val="00B95045"/>
    <w:rsid w:val="00B96399"/>
    <w:rsid w:val="00BA132E"/>
    <w:rsid w:val="00BC164F"/>
    <w:rsid w:val="00BC33E2"/>
    <w:rsid w:val="00BD5203"/>
    <w:rsid w:val="00BE147D"/>
    <w:rsid w:val="00BF2901"/>
    <w:rsid w:val="00C11AFC"/>
    <w:rsid w:val="00C11C5E"/>
    <w:rsid w:val="00C120FF"/>
    <w:rsid w:val="00C20D49"/>
    <w:rsid w:val="00C25561"/>
    <w:rsid w:val="00C42314"/>
    <w:rsid w:val="00C46DE1"/>
    <w:rsid w:val="00C5010B"/>
    <w:rsid w:val="00C614A3"/>
    <w:rsid w:val="00C70DBA"/>
    <w:rsid w:val="00C80179"/>
    <w:rsid w:val="00C82726"/>
    <w:rsid w:val="00C87EF8"/>
    <w:rsid w:val="00C929F0"/>
    <w:rsid w:val="00CA69B5"/>
    <w:rsid w:val="00CC1AB3"/>
    <w:rsid w:val="00CD5792"/>
    <w:rsid w:val="00CD7F58"/>
    <w:rsid w:val="00CF0A00"/>
    <w:rsid w:val="00D30773"/>
    <w:rsid w:val="00D308C4"/>
    <w:rsid w:val="00D32452"/>
    <w:rsid w:val="00D32D35"/>
    <w:rsid w:val="00D36AEA"/>
    <w:rsid w:val="00D47DD5"/>
    <w:rsid w:val="00D50EDC"/>
    <w:rsid w:val="00D51899"/>
    <w:rsid w:val="00D66679"/>
    <w:rsid w:val="00D71C59"/>
    <w:rsid w:val="00D73391"/>
    <w:rsid w:val="00D74020"/>
    <w:rsid w:val="00D8308F"/>
    <w:rsid w:val="00D841F6"/>
    <w:rsid w:val="00DB0380"/>
    <w:rsid w:val="00DB27A4"/>
    <w:rsid w:val="00DB4527"/>
    <w:rsid w:val="00DC09B6"/>
    <w:rsid w:val="00DD59BE"/>
    <w:rsid w:val="00DE6061"/>
    <w:rsid w:val="00DF67E1"/>
    <w:rsid w:val="00DF7BCC"/>
    <w:rsid w:val="00E11016"/>
    <w:rsid w:val="00E12114"/>
    <w:rsid w:val="00E13AB2"/>
    <w:rsid w:val="00E62FF7"/>
    <w:rsid w:val="00E6571A"/>
    <w:rsid w:val="00E767EE"/>
    <w:rsid w:val="00E84198"/>
    <w:rsid w:val="00E93B64"/>
    <w:rsid w:val="00EA117F"/>
    <w:rsid w:val="00EC0DFC"/>
    <w:rsid w:val="00ED1466"/>
    <w:rsid w:val="00ED3121"/>
    <w:rsid w:val="00F1469D"/>
    <w:rsid w:val="00F27E2F"/>
    <w:rsid w:val="00F474F5"/>
    <w:rsid w:val="00F55F9B"/>
    <w:rsid w:val="00F56B1A"/>
    <w:rsid w:val="00F64D06"/>
    <w:rsid w:val="00F71D8E"/>
    <w:rsid w:val="00F81D6C"/>
    <w:rsid w:val="00F839B2"/>
    <w:rsid w:val="00FA7FD1"/>
    <w:rsid w:val="00FB3D4D"/>
    <w:rsid w:val="00FC0951"/>
    <w:rsid w:val="00FC14D6"/>
    <w:rsid w:val="00FC4E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93BB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76"/>
    <w:pPr>
      <w:spacing w:before="0" w:after="0" w:line="240" w:lineRule="auto"/>
      <w:ind w:left="0" w:firstLine="0"/>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276"/>
    <w:pPr>
      <w:tabs>
        <w:tab w:val="center" w:pos="4513"/>
        <w:tab w:val="right" w:pos="9026"/>
      </w:tabs>
    </w:pPr>
  </w:style>
  <w:style w:type="character" w:customStyle="1" w:styleId="HeaderChar">
    <w:name w:val="Header Char"/>
    <w:basedOn w:val="DefaultParagraphFont"/>
    <w:link w:val="Header"/>
    <w:uiPriority w:val="99"/>
    <w:rsid w:val="00701276"/>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701276"/>
    <w:pPr>
      <w:tabs>
        <w:tab w:val="center" w:pos="4513"/>
        <w:tab w:val="right" w:pos="9026"/>
      </w:tabs>
    </w:pPr>
  </w:style>
  <w:style w:type="character" w:customStyle="1" w:styleId="FooterChar">
    <w:name w:val="Footer Char"/>
    <w:basedOn w:val="DefaultParagraphFont"/>
    <w:link w:val="Footer"/>
    <w:uiPriority w:val="99"/>
    <w:rsid w:val="00701276"/>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844A5"/>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844A5"/>
    <w:pPr>
      <w:spacing w:before="100" w:beforeAutospacing="1" w:after="100" w:afterAutospacing="1"/>
    </w:pPr>
    <w:rPr>
      <w:lang w:eastAsia="en-US"/>
    </w:rPr>
  </w:style>
  <w:style w:type="character" w:styleId="CommentReference">
    <w:name w:val="annotation reference"/>
    <w:basedOn w:val="DefaultParagraphFont"/>
    <w:uiPriority w:val="99"/>
    <w:semiHidden/>
    <w:unhideWhenUsed/>
    <w:rsid w:val="002537A3"/>
    <w:rPr>
      <w:sz w:val="16"/>
      <w:szCs w:val="16"/>
    </w:rPr>
  </w:style>
  <w:style w:type="paragraph" w:styleId="CommentText">
    <w:name w:val="annotation text"/>
    <w:basedOn w:val="Normal"/>
    <w:link w:val="CommentTextChar"/>
    <w:uiPriority w:val="99"/>
    <w:semiHidden/>
    <w:unhideWhenUsed/>
    <w:rsid w:val="002537A3"/>
    <w:rPr>
      <w:sz w:val="20"/>
      <w:szCs w:val="20"/>
    </w:rPr>
  </w:style>
  <w:style w:type="character" w:customStyle="1" w:styleId="CommentTextChar">
    <w:name w:val="Comment Text Char"/>
    <w:basedOn w:val="DefaultParagraphFont"/>
    <w:link w:val="CommentText"/>
    <w:uiPriority w:val="99"/>
    <w:semiHidden/>
    <w:rsid w:val="002537A3"/>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2537A3"/>
    <w:rPr>
      <w:b/>
      <w:bCs/>
    </w:rPr>
  </w:style>
  <w:style w:type="character" w:customStyle="1" w:styleId="CommentSubjectChar">
    <w:name w:val="Comment Subject Char"/>
    <w:basedOn w:val="CommentTextChar"/>
    <w:link w:val="CommentSubject"/>
    <w:uiPriority w:val="99"/>
    <w:semiHidden/>
    <w:rsid w:val="002537A3"/>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2537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7A3"/>
    <w:rPr>
      <w:rFonts w:ascii="Segoe UI" w:eastAsia="Times New Roman" w:hAnsi="Segoe UI" w:cs="Segoe UI"/>
      <w:sz w:val="18"/>
      <w:szCs w:val="18"/>
      <w:lang w:eastAsia="en-IE"/>
    </w:rPr>
  </w:style>
  <w:style w:type="paragraph" w:styleId="FootnoteText">
    <w:name w:val="footnote text"/>
    <w:basedOn w:val="Normal"/>
    <w:link w:val="FootnoteTextChar"/>
    <w:uiPriority w:val="99"/>
    <w:semiHidden/>
    <w:unhideWhenUsed/>
    <w:rsid w:val="00CF0A00"/>
    <w:rPr>
      <w:sz w:val="20"/>
      <w:szCs w:val="20"/>
    </w:rPr>
  </w:style>
  <w:style w:type="character" w:customStyle="1" w:styleId="FootnoteTextChar">
    <w:name w:val="Footnote Text Char"/>
    <w:basedOn w:val="DefaultParagraphFont"/>
    <w:link w:val="FootnoteText"/>
    <w:uiPriority w:val="99"/>
    <w:semiHidden/>
    <w:rsid w:val="00CF0A00"/>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F0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DF83-6CBC-4943-AB2F-7B1445F1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4891</Words>
  <Characters>27884</Characters>
  <Application>Microsoft Office Word</Application>
  <DocSecurity>0</DocSecurity>
  <Lines>232</Lines>
  <Paragraphs>65</Paragraphs>
  <ScaleCrop>false</ScaleCrop>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2022-02-17T13:34:00Z</dcterms:created>
  <dcterms:modified xsi:type="dcterms:W3CDTF">2022-02-17T13:35:00Z</dcterms:modified>
</cp:coreProperties>
</file>