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AAD97" w14:textId="77777777" w:rsidR="007F1903" w:rsidRPr="00CE0390" w:rsidRDefault="007F1903" w:rsidP="00CE0390">
      <w:pPr>
        <w:spacing w:line="276" w:lineRule="auto"/>
        <w:jc w:val="center"/>
        <w:rPr>
          <w:rFonts w:ascii="Calibri" w:hAnsi="Calibri" w:cs="Calibri"/>
          <w:b/>
          <w:sz w:val="22"/>
          <w:szCs w:val="22"/>
        </w:rPr>
      </w:pPr>
      <w:bookmarkStart w:id="0" w:name="_GoBack"/>
      <w:bookmarkEnd w:id="0"/>
      <w:r w:rsidRPr="00CE0390">
        <w:rPr>
          <w:rFonts w:ascii="Calibri" w:hAnsi="Calibri" w:cs="Calibri"/>
          <w:b/>
          <w:sz w:val="22"/>
          <w:szCs w:val="22"/>
        </w:rPr>
        <w:t>THE HIGH COURT</w:t>
      </w:r>
    </w:p>
    <w:p w14:paraId="4FE89A18" w14:textId="77777777" w:rsidR="00CB4911" w:rsidRPr="00CB4911" w:rsidRDefault="00CB4911" w:rsidP="00CE0390">
      <w:pPr>
        <w:spacing w:line="276" w:lineRule="auto"/>
        <w:jc w:val="right"/>
        <w:rPr>
          <w:rFonts w:ascii="Calibri" w:hAnsi="Calibri" w:cs="Calibri"/>
          <w:bCs/>
          <w:sz w:val="22"/>
          <w:szCs w:val="22"/>
        </w:rPr>
      </w:pPr>
      <w:r w:rsidRPr="00CB4911">
        <w:rPr>
          <w:rFonts w:ascii="Calibri" w:hAnsi="Calibri" w:cs="Calibri"/>
          <w:bCs/>
          <w:sz w:val="22"/>
          <w:szCs w:val="22"/>
        </w:rPr>
        <w:t>[2022] IEHC 62</w:t>
      </w:r>
    </w:p>
    <w:p w14:paraId="79427688" w14:textId="4240ED9E" w:rsidR="007F1903" w:rsidRPr="00CE0390" w:rsidRDefault="005A466E" w:rsidP="00CE0390">
      <w:pPr>
        <w:spacing w:line="276" w:lineRule="auto"/>
        <w:jc w:val="right"/>
        <w:rPr>
          <w:rFonts w:ascii="Calibri" w:hAnsi="Calibri" w:cs="Calibri"/>
          <w:b/>
          <w:sz w:val="22"/>
          <w:szCs w:val="22"/>
        </w:rPr>
      </w:pPr>
      <w:r w:rsidRPr="00CE0390">
        <w:rPr>
          <w:rFonts w:ascii="Calibri" w:hAnsi="Calibri" w:cs="Calibri"/>
          <w:b/>
          <w:sz w:val="22"/>
          <w:szCs w:val="22"/>
        </w:rPr>
        <w:t>[</w:t>
      </w:r>
      <w:r w:rsidR="00FA54F7" w:rsidRPr="00CE0390">
        <w:rPr>
          <w:rFonts w:ascii="Calibri" w:hAnsi="Calibri" w:cs="Calibri"/>
          <w:b/>
          <w:sz w:val="22"/>
          <w:szCs w:val="22"/>
        </w:rPr>
        <w:t>2020/248 S</w:t>
      </w:r>
      <w:r w:rsidRPr="00CE0390">
        <w:rPr>
          <w:rFonts w:ascii="Calibri" w:hAnsi="Calibri" w:cs="Calibri"/>
          <w:b/>
          <w:sz w:val="22"/>
          <w:szCs w:val="22"/>
        </w:rPr>
        <w:t>]</w:t>
      </w:r>
    </w:p>
    <w:p w14:paraId="05CA4934" w14:textId="7D11181E" w:rsidR="002E41CE" w:rsidRPr="00CE0390" w:rsidRDefault="002E41CE" w:rsidP="00CE0390">
      <w:pPr>
        <w:spacing w:line="276" w:lineRule="auto"/>
        <w:rPr>
          <w:rFonts w:ascii="Calibri" w:hAnsi="Calibri" w:cs="Calibri"/>
          <w:b/>
          <w:sz w:val="22"/>
          <w:szCs w:val="22"/>
        </w:rPr>
      </w:pPr>
      <w:r w:rsidRPr="00CE0390">
        <w:rPr>
          <w:rFonts w:ascii="Calibri" w:hAnsi="Calibri" w:cs="Calibri"/>
          <w:b/>
          <w:sz w:val="22"/>
          <w:szCs w:val="22"/>
        </w:rPr>
        <w:t>BETWEEN</w:t>
      </w:r>
    </w:p>
    <w:p w14:paraId="3C6704DE" w14:textId="77777777" w:rsidR="002E41CE" w:rsidRPr="00CE0390" w:rsidRDefault="00FA54F7" w:rsidP="00CE0390">
      <w:pPr>
        <w:spacing w:line="276" w:lineRule="auto"/>
        <w:jc w:val="center"/>
        <w:rPr>
          <w:rFonts w:ascii="Calibri" w:hAnsi="Calibri" w:cs="Calibri"/>
          <w:b/>
          <w:sz w:val="22"/>
          <w:szCs w:val="22"/>
        </w:rPr>
      </w:pPr>
      <w:r w:rsidRPr="00CE0390">
        <w:rPr>
          <w:rFonts w:ascii="Calibri" w:hAnsi="Calibri" w:cs="Calibri"/>
          <w:b/>
          <w:sz w:val="22"/>
          <w:szCs w:val="22"/>
        </w:rPr>
        <w:t>ALLIED IRISH BANKS PLC</w:t>
      </w:r>
    </w:p>
    <w:p w14:paraId="57327C3C" w14:textId="77777777" w:rsidR="002E41CE" w:rsidRPr="00CE0390" w:rsidRDefault="00536877" w:rsidP="00CE0390">
      <w:pPr>
        <w:spacing w:line="276" w:lineRule="auto"/>
        <w:jc w:val="right"/>
        <w:rPr>
          <w:rFonts w:ascii="Calibri" w:hAnsi="Calibri" w:cs="Calibri"/>
          <w:b/>
          <w:sz w:val="22"/>
          <w:szCs w:val="22"/>
        </w:rPr>
      </w:pPr>
      <w:r w:rsidRPr="00CE0390">
        <w:rPr>
          <w:rFonts w:ascii="Calibri" w:hAnsi="Calibri" w:cs="Calibri"/>
          <w:b/>
          <w:sz w:val="22"/>
          <w:szCs w:val="22"/>
        </w:rPr>
        <w:t>PLAINTIFF</w:t>
      </w:r>
    </w:p>
    <w:p w14:paraId="46D4DD7E" w14:textId="77777777" w:rsidR="002E41CE" w:rsidRPr="00CE0390" w:rsidRDefault="002E41CE" w:rsidP="00CE0390">
      <w:pPr>
        <w:spacing w:line="276" w:lineRule="auto"/>
        <w:rPr>
          <w:rFonts w:ascii="Calibri" w:hAnsi="Calibri" w:cs="Calibri"/>
          <w:b/>
          <w:sz w:val="22"/>
          <w:szCs w:val="22"/>
        </w:rPr>
      </w:pPr>
      <w:r w:rsidRPr="00CE0390">
        <w:rPr>
          <w:rFonts w:ascii="Calibri" w:hAnsi="Calibri" w:cs="Calibri"/>
          <w:b/>
          <w:sz w:val="22"/>
          <w:szCs w:val="22"/>
        </w:rPr>
        <w:t xml:space="preserve">AND </w:t>
      </w:r>
    </w:p>
    <w:p w14:paraId="6F42007D" w14:textId="77777777" w:rsidR="00536877" w:rsidRPr="00CE0390" w:rsidRDefault="00536877" w:rsidP="00CE0390">
      <w:pPr>
        <w:spacing w:line="276" w:lineRule="auto"/>
        <w:jc w:val="center"/>
        <w:rPr>
          <w:rFonts w:ascii="Calibri" w:hAnsi="Calibri" w:cs="Calibri"/>
          <w:b/>
          <w:sz w:val="22"/>
          <w:szCs w:val="22"/>
        </w:rPr>
      </w:pPr>
    </w:p>
    <w:p w14:paraId="5219B3D2" w14:textId="4349E81B" w:rsidR="00CE0390" w:rsidRDefault="00FA54F7" w:rsidP="00CE0390">
      <w:pPr>
        <w:spacing w:line="276" w:lineRule="auto"/>
        <w:jc w:val="center"/>
        <w:rPr>
          <w:rFonts w:ascii="Calibri" w:hAnsi="Calibri" w:cs="Calibri"/>
          <w:b/>
          <w:sz w:val="22"/>
          <w:szCs w:val="22"/>
        </w:rPr>
      </w:pPr>
      <w:r w:rsidRPr="00CE0390">
        <w:rPr>
          <w:rFonts w:ascii="Calibri" w:hAnsi="Calibri" w:cs="Calibri"/>
          <w:b/>
          <w:sz w:val="22"/>
          <w:szCs w:val="22"/>
        </w:rPr>
        <w:t>KHAWAR WASIM (OTHERWISE WASIM KHAWAR)</w:t>
      </w:r>
    </w:p>
    <w:p w14:paraId="3F14553B" w14:textId="13D73CF3" w:rsidR="00CE0390" w:rsidRDefault="00FA54F7" w:rsidP="00CE0390">
      <w:pPr>
        <w:spacing w:line="276" w:lineRule="auto"/>
        <w:jc w:val="center"/>
        <w:rPr>
          <w:rFonts w:ascii="Calibri" w:hAnsi="Calibri" w:cs="Calibri"/>
          <w:b/>
          <w:sz w:val="22"/>
          <w:szCs w:val="22"/>
        </w:rPr>
      </w:pPr>
      <w:r w:rsidRPr="00CE0390">
        <w:rPr>
          <w:rFonts w:ascii="Calibri" w:hAnsi="Calibri" w:cs="Calibri"/>
          <w:b/>
          <w:sz w:val="22"/>
          <w:szCs w:val="22"/>
        </w:rPr>
        <w:t>AND</w:t>
      </w:r>
    </w:p>
    <w:p w14:paraId="0A169F64" w14:textId="77777777" w:rsidR="002E41CE" w:rsidRPr="00CE0390" w:rsidRDefault="00FA54F7" w:rsidP="00CE0390">
      <w:pPr>
        <w:spacing w:line="276" w:lineRule="auto"/>
        <w:jc w:val="center"/>
        <w:rPr>
          <w:rFonts w:ascii="Calibri" w:hAnsi="Calibri" w:cs="Calibri"/>
          <w:b/>
          <w:sz w:val="22"/>
          <w:szCs w:val="22"/>
        </w:rPr>
      </w:pPr>
      <w:r w:rsidRPr="00CE0390">
        <w:rPr>
          <w:rFonts w:ascii="Calibri" w:hAnsi="Calibri" w:cs="Calibri"/>
          <w:b/>
          <w:sz w:val="22"/>
          <w:szCs w:val="22"/>
        </w:rPr>
        <w:t>SAHER KHAWAR</w:t>
      </w:r>
    </w:p>
    <w:p w14:paraId="20ED6279" w14:textId="77777777" w:rsidR="00CE0390" w:rsidRDefault="00CE0390" w:rsidP="00CE0390">
      <w:pPr>
        <w:spacing w:line="276" w:lineRule="auto"/>
        <w:jc w:val="right"/>
        <w:rPr>
          <w:rFonts w:ascii="Calibri" w:hAnsi="Calibri" w:cs="Calibri"/>
          <w:b/>
          <w:sz w:val="22"/>
          <w:szCs w:val="22"/>
        </w:rPr>
      </w:pPr>
    </w:p>
    <w:p w14:paraId="4DE776B3" w14:textId="77777777" w:rsidR="002E41CE" w:rsidRPr="00CE0390" w:rsidRDefault="00536877" w:rsidP="00CE0390">
      <w:pPr>
        <w:spacing w:line="276" w:lineRule="auto"/>
        <w:jc w:val="right"/>
        <w:rPr>
          <w:rFonts w:ascii="Calibri" w:hAnsi="Calibri" w:cs="Calibri"/>
          <w:b/>
          <w:sz w:val="22"/>
          <w:szCs w:val="22"/>
        </w:rPr>
      </w:pPr>
      <w:r w:rsidRPr="00CE0390">
        <w:rPr>
          <w:rFonts w:ascii="Calibri" w:hAnsi="Calibri" w:cs="Calibri"/>
          <w:b/>
          <w:sz w:val="22"/>
          <w:szCs w:val="22"/>
        </w:rPr>
        <w:t>DEFENDANTS</w:t>
      </w:r>
    </w:p>
    <w:p w14:paraId="43C19A74" w14:textId="77777777" w:rsidR="002E41CE" w:rsidRPr="00CE0390" w:rsidRDefault="002E41CE" w:rsidP="00CE0390">
      <w:pPr>
        <w:spacing w:line="276" w:lineRule="auto"/>
        <w:jc w:val="right"/>
        <w:rPr>
          <w:rFonts w:ascii="Calibri" w:hAnsi="Calibri" w:cs="Calibri"/>
          <w:b/>
          <w:sz w:val="22"/>
          <w:szCs w:val="22"/>
        </w:rPr>
      </w:pPr>
    </w:p>
    <w:p w14:paraId="754F1D6B" w14:textId="51288E96" w:rsidR="002E41CE" w:rsidRPr="00CE0390" w:rsidRDefault="002E41CE" w:rsidP="00CE0390">
      <w:pPr>
        <w:spacing w:line="276" w:lineRule="auto"/>
        <w:rPr>
          <w:rFonts w:ascii="Calibri" w:hAnsi="Calibri" w:cs="Calibri"/>
          <w:b/>
          <w:sz w:val="22"/>
          <w:szCs w:val="22"/>
          <w:u w:val="single"/>
        </w:rPr>
      </w:pPr>
      <w:r w:rsidRPr="00CE0390">
        <w:rPr>
          <w:rFonts w:ascii="Calibri" w:hAnsi="Calibri" w:cs="Calibri"/>
          <w:b/>
          <w:sz w:val="22"/>
          <w:szCs w:val="22"/>
          <w:u w:val="single"/>
        </w:rPr>
        <w:t>JUDGMENT of M</w:t>
      </w:r>
      <w:r w:rsidR="007A698B" w:rsidRPr="00CE0390">
        <w:rPr>
          <w:rFonts w:ascii="Calibri" w:hAnsi="Calibri" w:cs="Calibri"/>
          <w:b/>
          <w:sz w:val="22"/>
          <w:szCs w:val="22"/>
          <w:u w:val="single"/>
        </w:rPr>
        <w:t>r</w:t>
      </w:r>
      <w:r w:rsidRPr="00CE0390">
        <w:rPr>
          <w:rFonts w:ascii="Calibri" w:hAnsi="Calibri" w:cs="Calibri"/>
          <w:b/>
          <w:sz w:val="22"/>
          <w:szCs w:val="22"/>
          <w:u w:val="single"/>
        </w:rPr>
        <w:t xml:space="preserve">. Justice </w:t>
      </w:r>
      <w:r w:rsidR="00FA54F7" w:rsidRPr="00CE0390">
        <w:rPr>
          <w:rFonts w:ascii="Calibri" w:hAnsi="Calibri" w:cs="Calibri"/>
          <w:b/>
          <w:sz w:val="22"/>
          <w:szCs w:val="22"/>
          <w:u w:val="single"/>
        </w:rPr>
        <w:t xml:space="preserve">David </w:t>
      </w:r>
      <w:r w:rsidR="007A698B" w:rsidRPr="00CE0390">
        <w:rPr>
          <w:rFonts w:ascii="Calibri" w:hAnsi="Calibri" w:cs="Calibri"/>
          <w:b/>
          <w:sz w:val="22"/>
          <w:szCs w:val="22"/>
          <w:u w:val="single"/>
        </w:rPr>
        <w:t>Holland</w:t>
      </w:r>
      <w:r w:rsidRPr="00CE0390">
        <w:rPr>
          <w:rFonts w:ascii="Calibri" w:hAnsi="Calibri" w:cs="Calibri"/>
          <w:b/>
          <w:sz w:val="22"/>
          <w:szCs w:val="22"/>
          <w:u w:val="single"/>
        </w:rPr>
        <w:t xml:space="preserve"> delivered on the</w:t>
      </w:r>
      <w:r w:rsidR="00CE0390">
        <w:rPr>
          <w:rFonts w:ascii="Calibri" w:hAnsi="Calibri" w:cs="Calibri"/>
          <w:b/>
          <w:sz w:val="22"/>
          <w:szCs w:val="22"/>
          <w:u w:val="single"/>
        </w:rPr>
        <w:t xml:space="preserve"> </w:t>
      </w:r>
      <w:r w:rsidR="008C4965">
        <w:rPr>
          <w:rFonts w:ascii="Calibri" w:hAnsi="Calibri" w:cs="Calibri"/>
          <w:b/>
          <w:sz w:val="22"/>
          <w:szCs w:val="22"/>
          <w:u w:val="single"/>
        </w:rPr>
        <w:t>7</w:t>
      </w:r>
      <w:r w:rsidR="00CE0390" w:rsidRPr="00CE0390">
        <w:rPr>
          <w:rFonts w:ascii="Calibri" w:hAnsi="Calibri" w:cs="Calibri"/>
          <w:b/>
          <w:sz w:val="22"/>
          <w:szCs w:val="22"/>
          <w:u w:val="single"/>
          <w:vertAlign w:val="superscript"/>
        </w:rPr>
        <w:t>th</w:t>
      </w:r>
      <w:r w:rsidR="00CE0390">
        <w:rPr>
          <w:rFonts w:ascii="Calibri" w:hAnsi="Calibri" w:cs="Calibri"/>
          <w:b/>
          <w:sz w:val="22"/>
          <w:szCs w:val="22"/>
          <w:u w:val="single"/>
        </w:rPr>
        <w:t xml:space="preserve"> </w:t>
      </w:r>
      <w:r w:rsidRPr="00CE0390">
        <w:rPr>
          <w:rFonts w:ascii="Calibri" w:hAnsi="Calibri" w:cs="Calibri"/>
          <w:b/>
          <w:sz w:val="22"/>
          <w:szCs w:val="22"/>
          <w:u w:val="single"/>
        </w:rPr>
        <w:t>of</w:t>
      </w:r>
      <w:r w:rsidR="00FA54F7" w:rsidRPr="00CE0390">
        <w:rPr>
          <w:rFonts w:ascii="Calibri" w:hAnsi="Calibri" w:cs="Calibri"/>
          <w:b/>
          <w:sz w:val="22"/>
          <w:szCs w:val="22"/>
          <w:u w:val="single"/>
        </w:rPr>
        <w:t xml:space="preserve"> February, 2022</w:t>
      </w:r>
    </w:p>
    <w:p w14:paraId="7728846F" w14:textId="77777777" w:rsidR="00CE0390" w:rsidRDefault="00CE0390" w:rsidP="00CE0390">
      <w:pPr>
        <w:pStyle w:val="ListParagraph"/>
        <w:numPr>
          <w:ilvl w:val="0"/>
          <w:numId w:val="0"/>
        </w:numPr>
      </w:pPr>
    </w:p>
    <w:p w14:paraId="686D8C2F" w14:textId="77777777" w:rsidR="00CE0390" w:rsidRDefault="00CE0390" w:rsidP="00CE0390"/>
    <w:p w14:paraId="4DA7DCA3" w14:textId="77777777" w:rsidR="00016440" w:rsidRPr="00CE0390" w:rsidRDefault="00FA54F7" w:rsidP="00CE0390">
      <w:pPr>
        <w:pStyle w:val="ListParagraph"/>
      </w:pPr>
      <w:r w:rsidRPr="00CE0390">
        <w:t xml:space="preserve">This is my judgment in respect of the application of the plaintiff </w:t>
      </w:r>
      <w:r w:rsidR="00CE0390">
        <w:t xml:space="preserve">(“AIB”) </w:t>
      </w:r>
      <w:r w:rsidRPr="00CE0390">
        <w:t xml:space="preserve">for summary judgment against the defendants </w:t>
      </w:r>
      <w:r w:rsidR="00CE0390" w:rsidRPr="00CE0390">
        <w:t xml:space="preserve">jointly and severally </w:t>
      </w:r>
      <w:r w:rsidR="00CE0390">
        <w:t>on foot</w:t>
      </w:r>
      <w:r w:rsidRPr="00CE0390">
        <w:t xml:space="preserve"> of their default in the repayment of a series of loans which I will describe in due course. The application was moved by counsel for </w:t>
      </w:r>
      <w:r w:rsidR="00CE0390">
        <w:t>AIB</w:t>
      </w:r>
      <w:r w:rsidRPr="00CE0390">
        <w:t xml:space="preserve"> in the summary judgment list</w:t>
      </w:r>
      <w:r w:rsidR="00CE0390" w:rsidRPr="00CE0390">
        <w:t xml:space="preserve"> on </w:t>
      </w:r>
      <w:r w:rsidRPr="00CE0390">
        <w:t>31</w:t>
      </w:r>
      <w:r w:rsidRPr="0072082D">
        <w:rPr>
          <w:vertAlign w:val="superscript"/>
        </w:rPr>
        <w:t>st</w:t>
      </w:r>
      <w:r w:rsidR="0072082D">
        <w:rPr>
          <w:vertAlign w:val="superscript"/>
        </w:rPr>
        <w:t xml:space="preserve"> </w:t>
      </w:r>
      <w:r w:rsidRPr="00CE0390">
        <w:t>January, 2022. The defendants did not appear. I was satisfied as to their having been served with the papers generally and specifically with notice of the hearing of 31</w:t>
      </w:r>
      <w:r w:rsidRPr="00CE0390">
        <w:rPr>
          <w:vertAlign w:val="superscript"/>
        </w:rPr>
        <w:t>st</w:t>
      </w:r>
      <w:r w:rsidRPr="00CE0390">
        <w:t xml:space="preserve"> January, 2022</w:t>
      </w:r>
      <w:r w:rsidR="00CE0390" w:rsidRPr="00CE0390">
        <w:t xml:space="preserve">. </w:t>
      </w:r>
      <w:r w:rsidRPr="00CE0390">
        <w:t xml:space="preserve">I gave judgment against them in the sum of €567,540.12 </w:t>
      </w:r>
      <w:r w:rsidR="00CE0390" w:rsidRPr="00CE0390">
        <w:t>plus</w:t>
      </w:r>
      <w:r w:rsidRPr="00CE0390">
        <w:t xml:space="preserve"> costs. On the suggestion of counsel for </w:t>
      </w:r>
      <w:r w:rsidR="00CE0390">
        <w:t>AIB</w:t>
      </w:r>
      <w:r w:rsidRPr="00CE0390">
        <w:t xml:space="preserve">, I </w:t>
      </w:r>
      <w:r w:rsidR="00CE0390" w:rsidRPr="00CE0390">
        <w:t>stayed</w:t>
      </w:r>
      <w:r w:rsidRPr="00CE0390">
        <w:t xml:space="preserve"> entry and execution of the judgment for two months from that date and gave the defendants liberty to apply within that period. I indicated at that time that I would give a brief judgment setting out my reasons for that decision, which I now do.</w:t>
      </w:r>
    </w:p>
    <w:p w14:paraId="3BC832D4" w14:textId="77777777" w:rsidR="00CE0390" w:rsidRDefault="00CE0390" w:rsidP="00CE0390"/>
    <w:p w14:paraId="0A52D226" w14:textId="77777777" w:rsidR="00CE0390" w:rsidRPr="00CE0390" w:rsidRDefault="00CE0390" w:rsidP="00CE0390"/>
    <w:p w14:paraId="2654BB32" w14:textId="055A25A2" w:rsidR="00CE0390" w:rsidRDefault="00FA54F7" w:rsidP="00CE0390">
      <w:pPr>
        <w:pStyle w:val="ListParagraph"/>
      </w:pPr>
      <w:r w:rsidRPr="00CE0390">
        <w:t>The proceedings commenced by summary summons issued</w:t>
      </w:r>
      <w:r w:rsidR="00CE0390">
        <w:t xml:space="preserve"> on</w:t>
      </w:r>
      <w:r w:rsidRPr="00CE0390">
        <w:t xml:space="preserve"> 8</w:t>
      </w:r>
      <w:r w:rsidRPr="00CE0390">
        <w:rPr>
          <w:vertAlign w:val="superscript"/>
        </w:rPr>
        <w:t>th</w:t>
      </w:r>
      <w:r w:rsidRPr="00CE0390">
        <w:t xml:space="preserve"> September, 2020. The defendants, by a single memorandum of appearance signed by both</w:t>
      </w:r>
      <w:r w:rsidR="00CE0390">
        <w:t>,</w:t>
      </w:r>
      <w:r w:rsidRPr="00CE0390">
        <w:t xml:space="preserve"> appeared in person on 17</w:t>
      </w:r>
      <w:r w:rsidRPr="00CE0390">
        <w:rPr>
          <w:vertAlign w:val="superscript"/>
        </w:rPr>
        <w:t>th</w:t>
      </w:r>
      <w:r w:rsidRPr="00CE0390">
        <w:t xml:space="preserve"> November, 2020. By notice of motion returnable for 22</w:t>
      </w:r>
      <w:r w:rsidRPr="00CE0390">
        <w:rPr>
          <w:vertAlign w:val="superscript"/>
        </w:rPr>
        <w:t>nd</w:t>
      </w:r>
      <w:r w:rsidRPr="00CE0390">
        <w:t xml:space="preserve"> March, 2021, </w:t>
      </w:r>
      <w:r w:rsidR="00CE0390">
        <w:t>AIB</w:t>
      </w:r>
      <w:r w:rsidRPr="00CE0390">
        <w:t xml:space="preserve"> sought final judgment </w:t>
      </w:r>
      <w:r w:rsidR="00CE0390">
        <w:t>for</w:t>
      </w:r>
      <w:r w:rsidR="00E8199C" w:rsidRPr="00CE0390">
        <w:t xml:space="preserve"> €567,540.12, being the sum in which I have granted judgment.</w:t>
      </w:r>
    </w:p>
    <w:p w14:paraId="1B9E3A45" w14:textId="77777777" w:rsidR="00CE0390" w:rsidRDefault="00CE0390" w:rsidP="00CE0390"/>
    <w:p w14:paraId="202E1906" w14:textId="77777777" w:rsidR="00CE0390" w:rsidRDefault="00CE0390" w:rsidP="00CE0390"/>
    <w:p w14:paraId="2382B840" w14:textId="6E6278D0" w:rsidR="00CE0390" w:rsidRDefault="00CE0390" w:rsidP="00CE0390">
      <w:pPr>
        <w:pStyle w:val="ListParagraph"/>
      </w:pPr>
      <w:r>
        <w:t>The motion</w:t>
      </w:r>
      <w:r w:rsidR="00E8199C" w:rsidRPr="00CE0390">
        <w:t xml:space="preserve"> for judgment was </w:t>
      </w:r>
      <w:r w:rsidR="00812F84">
        <w:t>gro</w:t>
      </w:r>
      <w:r w:rsidR="00E91E15">
        <w:t>u</w:t>
      </w:r>
      <w:r w:rsidR="00812F84">
        <w:t>nded</w:t>
      </w:r>
      <w:r w:rsidR="00E8199C" w:rsidRPr="00CE0390">
        <w:t xml:space="preserve"> </w:t>
      </w:r>
      <w:r>
        <w:t>i</w:t>
      </w:r>
      <w:r w:rsidR="00E8199C" w:rsidRPr="00CE0390">
        <w:t xml:space="preserve">n the first instance on the affidavit of Niall O’Reilly sworn on </w:t>
      </w:r>
      <w:r w:rsidR="00A5678E" w:rsidRPr="00CE0390">
        <w:t>3</w:t>
      </w:r>
      <w:r w:rsidR="00A5678E" w:rsidRPr="00A5678E">
        <w:rPr>
          <w:vertAlign w:val="superscript"/>
        </w:rPr>
        <w:t>rd</w:t>
      </w:r>
      <w:r w:rsidR="00A5678E">
        <w:t xml:space="preserve"> </w:t>
      </w:r>
      <w:r w:rsidR="00A5678E" w:rsidRPr="00CE0390">
        <w:t xml:space="preserve"> </w:t>
      </w:r>
      <w:r w:rsidR="00E8199C" w:rsidRPr="00CE0390">
        <w:t>February, 2021. In accordance with the plea</w:t>
      </w:r>
      <w:r>
        <w:t>s</w:t>
      </w:r>
      <w:r w:rsidR="00E8199C" w:rsidRPr="00CE0390">
        <w:t xml:space="preserve"> of the summary summons and as </w:t>
      </w:r>
      <w:r>
        <w:t xml:space="preserve">a </w:t>
      </w:r>
      <w:r w:rsidR="00E8199C" w:rsidRPr="00CE0390">
        <w:t xml:space="preserve">manager employed by </w:t>
      </w:r>
      <w:r>
        <w:t>AIB,</w:t>
      </w:r>
      <w:r w:rsidR="00E8199C" w:rsidRPr="00CE0390">
        <w:t xml:space="preserve"> stating his means of knowledge and the evidential basis of his averments, Mr. O’Reilly sets out the history of this matter by reference to five mortgage loan</w:t>
      </w:r>
      <w:r>
        <w:t>s by AIB</w:t>
      </w:r>
      <w:r w:rsidR="00E8199C" w:rsidRPr="00CE0390">
        <w:t xml:space="preserve"> </w:t>
      </w:r>
      <w:r>
        <w:t xml:space="preserve">to the Defendants. </w:t>
      </w:r>
      <w:r w:rsidR="00E8199C" w:rsidRPr="00CE0390">
        <w:t>€4,540 was advanced on or about 23</w:t>
      </w:r>
      <w:r w:rsidR="00E8199C" w:rsidRPr="00CE0390">
        <w:rPr>
          <w:vertAlign w:val="superscript"/>
        </w:rPr>
        <w:t>rd</w:t>
      </w:r>
      <w:r w:rsidR="00E8199C" w:rsidRPr="00CE0390">
        <w:t xml:space="preserve"> August, 2007, €190,460 was advanced on or about </w:t>
      </w:r>
      <w:r w:rsidR="003A3316" w:rsidRPr="00CE0390">
        <w:t>23</w:t>
      </w:r>
      <w:r w:rsidR="003A3316" w:rsidRPr="00CE0390">
        <w:rPr>
          <w:vertAlign w:val="superscript"/>
        </w:rPr>
        <w:t>rd</w:t>
      </w:r>
      <w:r w:rsidR="003A3316" w:rsidRPr="00CE0390">
        <w:t xml:space="preserve"> August, </w:t>
      </w:r>
      <w:r w:rsidR="006B493B" w:rsidRPr="00CE0390">
        <w:t>2007, €86,000 was advanced on or about 15</w:t>
      </w:r>
      <w:r w:rsidR="006B493B" w:rsidRPr="00CE0390">
        <w:rPr>
          <w:vertAlign w:val="superscript"/>
        </w:rPr>
        <w:t>th</w:t>
      </w:r>
      <w:r w:rsidR="006B493B" w:rsidRPr="00CE0390">
        <w:t xml:space="preserve"> January, 2008, €190,460 was advanced on or about 18</w:t>
      </w:r>
      <w:r w:rsidR="006B493B" w:rsidRPr="00CE0390">
        <w:rPr>
          <w:vertAlign w:val="superscript"/>
        </w:rPr>
        <w:t>th</w:t>
      </w:r>
      <w:r w:rsidR="006B493B" w:rsidRPr="00CE0390">
        <w:t xml:space="preserve"> February, 2008 and €139,540 was advanced on or about 18</w:t>
      </w:r>
      <w:r w:rsidR="006B493B" w:rsidRPr="00CE0390">
        <w:rPr>
          <w:vertAlign w:val="superscript"/>
        </w:rPr>
        <w:t>th</w:t>
      </w:r>
      <w:r w:rsidR="006B493B" w:rsidRPr="00CE0390">
        <w:t xml:space="preserve"> February, 2008. Mr. O’Reilly </w:t>
      </w:r>
      <w:r>
        <w:t>deposes</w:t>
      </w:r>
      <w:r w:rsidR="006B493B" w:rsidRPr="00CE0390">
        <w:t xml:space="preserve"> that, at 26</w:t>
      </w:r>
      <w:r w:rsidR="006B493B" w:rsidRPr="00CE0390">
        <w:rPr>
          <w:vertAlign w:val="superscript"/>
        </w:rPr>
        <w:t>th</w:t>
      </w:r>
      <w:r w:rsidR="006B493B" w:rsidRPr="00CE0390">
        <w:t xml:space="preserve"> January, 2021, </w:t>
      </w:r>
      <w:r>
        <w:t>a</w:t>
      </w:r>
      <w:r w:rsidR="006B493B" w:rsidRPr="00CE0390">
        <w:t xml:space="preserve"> total of </w:t>
      </w:r>
      <w:r w:rsidR="004B4670" w:rsidRPr="00CE0390">
        <w:t xml:space="preserve">€567,540.12 was due on those five loans </w:t>
      </w:r>
      <w:r>
        <w:t>(</w:t>
      </w:r>
      <w:r w:rsidR="00E91E15">
        <w:t>stat</w:t>
      </w:r>
      <w:r>
        <w:t xml:space="preserve">ing a separate </w:t>
      </w:r>
      <w:r w:rsidR="00E91E15">
        <w:t>balance</w:t>
      </w:r>
      <w:r>
        <w:t xml:space="preserve"> for each loan) </w:t>
      </w:r>
      <w:r w:rsidR="004B4670" w:rsidRPr="00CE0390">
        <w:t xml:space="preserve">and he exhibits, in respect of each </w:t>
      </w:r>
      <w:r>
        <w:t>loan</w:t>
      </w:r>
      <w:r w:rsidR="004B4670" w:rsidRPr="00CE0390">
        <w:t xml:space="preserve">, a statement of account from the opening balance </w:t>
      </w:r>
      <w:r w:rsidRPr="00CE0390">
        <w:t>of €0</w:t>
      </w:r>
      <w:r>
        <w:t xml:space="preserve"> </w:t>
      </w:r>
      <w:r w:rsidR="004B4670" w:rsidRPr="00CE0390">
        <w:t>in each case.</w:t>
      </w:r>
    </w:p>
    <w:p w14:paraId="68E32426" w14:textId="77777777" w:rsidR="00CE0390" w:rsidRDefault="00CE0390" w:rsidP="00CE0390">
      <w:pPr>
        <w:pStyle w:val="ListParagraph"/>
        <w:numPr>
          <w:ilvl w:val="0"/>
          <w:numId w:val="0"/>
        </w:numPr>
      </w:pPr>
    </w:p>
    <w:p w14:paraId="6CEEA8C8" w14:textId="77777777" w:rsidR="00CE0390" w:rsidRDefault="00CE0390" w:rsidP="00CE0390">
      <w:pPr>
        <w:pStyle w:val="ListParagraph"/>
        <w:numPr>
          <w:ilvl w:val="0"/>
          <w:numId w:val="0"/>
        </w:numPr>
      </w:pPr>
    </w:p>
    <w:p w14:paraId="1ACDFED7" w14:textId="52C1AFE8" w:rsidR="0072082D" w:rsidRDefault="00CE0390" w:rsidP="00CE0390">
      <w:pPr>
        <w:pStyle w:val="ListParagraph"/>
      </w:pPr>
      <w:r w:rsidRPr="00CE0390">
        <w:t>Mr. O’Reilly</w:t>
      </w:r>
      <w:r w:rsidR="004B4670" w:rsidRPr="00CE0390">
        <w:t xml:space="preserve"> also exhibits letter</w:t>
      </w:r>
      <w:r>
        <w:t>s</w:t>
      </w:r>
      <w:r w:rsidR="004B4670" w:rsidRPr="00CE0390">
        <w:t xml:space="preserve"> dated 6</w:t>
      </w:r>
      <w:r w:rsidR="004B4670" w:rsidRPr="00CE0390">
        <w:rPr>
          <w:vertAlign w:val="superscript"/>
        </w:rPr>
        <w:t>th</w:t>
      </w:r>
      <w:r w:rsidR="004B4670" w:rsidRPr="00CE0390">
        <w:t xml:space="preserve"> February, 2020 </w:t>
      </w:r>
      <w:r w:rsidR="00E91E15">
        <w:t xml:space="preserve">from the solicitors for AIB </w:t>
      </w:r>
      <w:r w:rsidR="004B4670" w:rsidRPr="00CE0390">
        <w:t>to each defendant</w:t>
      </w:r>
      <w:r w:rsidR="00E91E15" w:rsidRPr="00E91E15">
        <w:t xml:space="preserve"> </w:t>
      </w:r>
      <w:r w:rsidR="00E91E15" w:rsidRPr="00CE0390">
        <w:t>separately</w:t>
      </w:r>
      <w:r w:rsidR="004B4670" w:rsidRPr="00CE0390">
        <w:t>, demanding payment of the total then outstanding of €584,764.84 and letters dated 31</w:t>
      </w:r>
      <w:r w:rsidR="004B4670" w:rsidRPr="00CE0390">
        <w:rPr>
          <w:vertAlign w:val="superscript"/>
        </w:rPr>
        <w:t>st</w:t>
      </w:r>
      <w:r w:rsidR="004B4670" w:rsidRPr="00CE0390">
        <w:t xml:space="preserve"> August, 2020</w:t>
      </w:r>
      <w:r w:rsidR="00E91E15" w:rsidRPr="00E91E15">
        <w:t xml:space="preserve"> </w:t>
      </w:r>
      <w:r w:rsidR="00E91E15">
        <w:t xml:space="preserve">from the solicitors for AIB </w:t>
      </w:r>
      <w:r w:rsidR="00E91E15" w:rsidRPr="00CE0390">
        <w:t>to each defendant</w:t>
      </w:r>
      <w:r w:rsidR="00E91E15" w:rsidRPr="00E91E15">
        <w:t xml:space="preserve"> </w:t>
      </w:r>
      <w:r w:rsidR="00E91E15" w:rsidRPr="00CE0390">
        <w:t>separately</w:t>
      </w:r>
      <w:r w:rsidR="00BC5E22" w:rsidRPr="00CE0390">
        <w:t>,</w:t>
      </w:r>
      <w:r w:rsidR="004B4670" w:rsidRPr="00CE0390">
        <w:t xml:space="preserve"> enclosing up-to-date statements of </w:t>
      </w:r>
      <w:r w:rsidR="00E91E15">
        <w:t>each of the five</w:t>
      </w:r>
      <w:r w:rsidR="004B4670" w:rsidRPr="00CE0390">
        <w:t xml:space="preserve"> </w:t>
      </w:r>
      <w:r>
        <w:t xml:space="preserve">loan </w:t>
      </w:r>
      <w:r w:rsidR="004B4670" w:rsidRPr="00CE0390">
        <w:t xml:space="preserve">accounts since inception. Accordingly, the defendants were in possession </w:t>
      </w:r>
      <w:r w:rsidR="00462DD4" w:rsidRPr="00CE0390">
        <w:t xml:space="preserve">prior to the service of the summary summons of the particulars of indebtedness contemplated in the decision of the Supreme Court in </w:t>
      </w:r>
      <w:r w:rsidR="00462DD4" w:rsidRPr="00263C80">
        <w:rPr>
          <w:b/>
        </w:rPr>
        <w:t>Bank of Ireland Mortgage Bank v. O’Malley</w:t>
      </w:r>
      <w:r>
        <w:rPr>
          <w:rStyle w:val="FootnoteReference"/>
          <w:i/>
        </w:rPr>
        <w:footnoteReference w:id="1"/>
      </w:r>
      <w:r w:rsidR="00462DD4" w:rsidRPr="00CE0390">
        <w:t xml:space="preserve"> and the summons </w:t>
      </w:r>
      <w:r w:rsidR="0072082D">
        <w:t>plead</w:t>
      </w:r>
      <w:r w:rsidR="00462DD4" w:rsidRPr="00CE0390">
        <w:t>s the provision of those statements to the defendants.</w:t>
      </w:r>
    </w:p>
    <w:p w14:paraId="6BB62D15" w14:textId="77777777" w:rsidR="0072082D" w:rsidRDefault="0072082D" w:rsidP="0072082D">
      <w:pPr>
        <w:pStyle w:val="ListParagraph"/>
        <w:numPr>
          <w:ilvl w:val="0"/>
          <w:numId w:val="0"/>
        </w:numPr>
      </w:pPr>
    </w:p>
    <w:p w14:paraId="46EC7A8F" w14:textId="77777777" w:rsidR="0072082D" w:rsidRDefault="0072082D" w:rsidP="0072082D">
      <w:pPr>
        <w:pStyle w:val="ListParagraph"/>
        <w:numPr>
          <w:ilvl w:val="0"/>
          <w:numId w:val="0"/>
        </w:numPr>
      </w:pPr>
    </w:p>
    <w:p w14:paraId="7926AA92" w14:textId="6B864A4B" w:rsidR="0072082D" w:rsidRDefault="00462DD4" w:rsidP="00CE0390">
      <w:pPr>
        <w:pStyle w:val="ListParagraph"/>
      </w:pPr>
      <w:r w:rsidRPr="00CE0390">
        <w:t>Though the defendants, as stated, both appeared to the summons in November, 2020, it seems prudent to record that, by affidavit sworn 25</w:t>
      </w:r>
      <w:r w:rsidRPr="00CE0390">
        <w:rPr>
          <w:vertAlign w:val="superscript"/>
        </w:rPr>
        <w:t>th</w:t>
      </w:r>
      <w:r w:rsidRPr="00CE0390">
        <w:t xml:space="preserve"> September, 2020, Maria Cecilia Fava proves service of the proceedings by registered post on the defendants and exhibits proof of delivery in accordance with O.9, r.2(iii) of the Rules of the Superior Courts. </w:t>
      </w:r>
      <w:r w:rsidR="00F64796" w:rsidRPr="00CE0390">
        <w:t xml:space="preserve">By </w:t>
      </w:r>
      <w:r w:rsidR="0072082D">
        <w:t xml:space="preserve">her </w:t>
      </w:r>
      <w:r w:rsidR="00F64796" w:rsidRPr="00CE0390">
        <w:t>second affidavit of service sworn 4</w:t>
      </w:r>
      <w:r w:rsidR="00F64796" w:rsidRPr="00CE0390">
        <w:rPr>
          <w:vertAlign w:val="superscript"/>
        </w:rPr>
        <w:t>th</w:t>
      </w:r>
      <w:r w:rsidR="00F64796" w:rsidRPr="00CE0390">
        <w:t xml:space="preserve"> March, 2021, </w:t>
      </w:r>
      <w:r w:rsidR="00E91E15">
        <w:t>Ms</w:t>
      </w:r>
      <w:r w:rsidR="00E91E15" w:rsidRPr="00CE0390">
        <w:t xml:space="preserve"> Fava </w:t>
      </w:r>
      <w:r w:rsidR="00F64796" w:rsidRPr="00CE0390">
        <w:t xml:space="preserve">proves service by registered post </w:t>
      </w:r>
      <w:r w:rsidR="0072082D" w:rsidRPr="00CE0390">
        <w:t xml:space="preserve">on both defendants </w:t>
      </w:r>
      <w:r w:rsidR="00F64796" w:rsidRPr="00CE0390">
        <w:t xml:space="preserve">of </w:t>
      </w:r>
      <w:r w:rsidR="0072082D">
        <w:t>the</w:t>
      </w:r>
      <w:r w:rsidR="00F64796" w:rsidRPr="00CE0390">
        <w:t xml:space="preserve"> notice of motion for judgment returnable for 22</w:t>
      </w:r>
      <w:r w:rsidR="00F64796" w:rsidRPr="00CE0390">
        <w:rPr>
          <w:vertAlign w:val="superscript"/>
        </w:rPr>
        <w:t>nd</w:t>
      </w:r>
      <w:r w:rsidR="00F64796" w:rsidRPr="00CE0390">
        <w:t xml:space="preserve"> March, 2021 and the said affidavit of Niall O’Reilly </w:t>
      </w:r>
      <w:r w:rsidR="0072082D">
        <w:t>and</w:t>
      </w:r>
      <w:r w:rsidR="00F64796" w:rsidRPr="00CE0390">
        <w:t xml:space="preserve"> exhibits thereto. By </w:t>
      </w:r>
      <w:r w:rsidR="0072082D">
        <w:t xml:space="preserve">her </w:t>
      </w:r>
      <w:r w:rsidR="00F64796" w:rsidRPr="00CE0390">
        <w:t>third affidavit of service, Ms. Fava proves service by ordinary post on each separately of the defendants of a notification that the matter was listed for 21</w:t>
      </w:r>
      <w:r w:rsidR="00F64796" w:rsidRPr="00CE0390">
        <w:rPr>
          <w:vertAlign w:val="superscript"/>
        </w:rPr>
        <w:t>st</w:t>
      </w:r>
      <w:r w:rsidR="00F64796" w:rsidRPr="00CE0390">
        <w:t xml:space="preserve"> June, 2021</w:t>
      </w:r>
      <w:r w:rsidR="0072082D">
        <w:t>.</w:t>
      </w:r>
    </w:p>
    <w:p w14:paraId="5B6A8F16" w14:textId="77777777" w:rsidR="0072082D" w:rsidRDefault="0072082D" w:rsidP="0072082D">
      <w:pPr>
        <w:pStyle w:val="ListParagraph"/>
        <w:numPr>
          <w:ilvl w:val="0"/>
          <w:numId w:val="0"/>
        </w:numPr>
      </w:pPr>
    </w:p>
    <w:p w14:paraId="22001623" w14:textId="77777777" w:rsidR="0072082D" w:rsidRDefault="0072082D" w:rsidP="0072082D">
      <w:pPr>
        <w:pStyle w:val="ListParagraph"/>
        <w:numPr>
          <w:ilvl w:val="0"/>
          <w:numId w:val="0"/>
        </w:numPr>
      </w:pPr>
    </w:p>
    <w:p w14:paraId="785DF9B4" w14:textId="19DD187C" w:rsidR="0072082D" w:rsidRDefault="0072082D" w:rsidP="00CE0390">
      <w:pPr>
        <w:pStyle w:val="ListParagraph"/>
      </w:pPr>
      <w:r>
        <w:t>O</w:t>
      </w:r>
      <w:r w:rsidR="00F64796" w:rsidRPr="00CE0390">
        <w:t xml:space="preserve">n </w:t>
      </w:r>
      <w:r>
        <w:t>that</w:t>
      </w:r>
      <w:r w:rsidR="00F64796" w:rsidRPr="00CE0390">
        <w:t xml:space="preserve"> date Hanna J., made an order amending the notice of motion by deleting a reference therein to default of appearance. That reference had been in error given the appearance described above. The court dispensed with the requirement to re-serve the motion and adjourned the matter to 8</w:t>
      </w:r>
      <w:r w:rsidR="00F64796" w:rsidRPr="00CE0390">
        <w:rPr>
          <w:vertAlign w:val="superscript"/>
        </w:rPr>
        <w:t>th</w:t>
      </w:r>
      <w:r w:rsidR="00F64796" w:rsidRPr="00CE0390">
        <w:t xml:space="preserve"> November, 2021.</w:t>
      </w:r>
    </w:p>
    <w:p w14:paraId="4841690C" w14:textId="77777777" w:rsidR="0072082D" w:rsidRDefault="0072082D" w:rsidP="0072082D">
      <w:pPr>
        <w:pStyle w:val="ListParagraph"/>
        <w:numPr>
          <w:ilvl w:val="0"/>
          <w:numId w:val="0"/>
        </w:numPr>
      </w:pPr>
    </w:p>
    <w:p w14:paraId="1067D88A" w14:textId="77777777" w:rsidR="0072082D" w:rsidRDefault="0072082D" w:rsidP="0072082D">
      <w:pPr>
        <w:pStyle w:val="ListParagraph"/>
        <w:numPr>
          <w:ilvl w:val="0"/>
          <w:numId w:val="0"/>
        </w:numPr>
      </w:pPr>
    </w:p>
    <w:p w14:paraId="7AEADE2D" w14:textId="5200FCA0" w:rsidR="00FA54F7" w:rsidRDefault="00F64796" w:rsidP="00CE0390">
      <w:pPr>
        <w:pStyle w:val="ListParagraph"/>
      </w:pPr>
      <w:r w:rsidRPr="00CE0390">
        <w:t>The fourth affidavit of service of Ms. Fava, sworn 27</w:t>
      </w:r>
      <w:r w:rsidRPr="00CE0390">
        <w:rPr>
          <w:vertAlign w:val="superscript"/>
        </w:rPr>
        <w:t>th</w:t>
      </w:r>
      <w:r w:rsidRPr="00CE0390">
        <w:t xml:space="preserve"> October, 2021, similarly records notification by ordinary post of each defendant that the matter was now listed for 8</w:t>
      </w:r>
      <w:r w:rsidRPr="00CE0390">
        <w:rPr>
          <w:vertAlign w:val="superscript"/>
        </w:rPr>
        <w:t>th</w:t>
      </w:r>
      <w:r w:rsidRPr="00CE0390">
        <w:t xml:space="preserve"> November</w:t>
      </w:r>
      <w:r w:rsidR="00E91E15">
        <w:t xml:space="preserve"> 2021</w:t>
      </w:r>
      <w:r w:rsidRPr="00CE0390">
        <w:t xml:space="preserve">. The letter advised that </w:t>
      </w:r>
      <w:r w:rsidR="0072082D">
        <w:t>AIB</w:t>
      </w:r>
      <w:r w:rsidRPr="00CE0390">
        <w:t xml:space="preserve"> intended to seek judgment on that occasion and that any defence should be set out on affidavit in advance.</w:t>
      </w:r>
    </w:p>
    <w:p w14:paraId="1F5A5F75" w14:textId="77777777" w:rsidR="0072082D" w:rsidRDefault="0072082D" w:rsidP="0072082D">
      <w:pPr>
        <w:pStyle w:val="ListParagraph"/>
        <w:numPr>
          <w:ilvl w:val="0"/>
          <w:numId w:val="0"/>
        </w:numPr>
      </w:pPr>
    </w:p>
    <w:p w14:paraId="690CCFC3" w14:textId="77777777" w:rsidR="0072082D" w:rsidRPr="00CE0390" w:rsidRDefault="0072082D" w:rsidP="0072082D">
      <w:pPr>
        <w:pStyle w:val="ListParagraph"/>
        <w:numPr>
          <w:ilvl w:val="0"/>
          <w:numId w:val="0"/>
        </w:numPr>
      </w:pPr>
    </w:p>
    <w:p w14:paraId="2B8B57E3" w14:textId="0AE86D14" w:rsidR="00F64796" w:rsidRDefault="00F64796" w:rsidP="00CE0390">
      <w:pPr>
        <w:pStyle w:val="ListParagraph"/>
      </w:pPr>
      <w:r w:rsidRPr="00CE0390">
        <w:t>The matter came before me on 8</w:t>
      </w:r>
      <w:r w:rsidRPr="00CE0390">
        <w:rPr>
          <w:vertAlign w:val="superscript"/>
        </w:rPr>
        <w:t>th</w:t>
      </w:r>
      <w:r w:rsidRPr="00CE0390">
        <w:t xml:space="preserve"> November, 2021. The first defendant appeared in person and purported to appear on behalf of the second defendant though not, in law, entitled to do so. I should say that he did not, to my impression, intend any error in this regard and I note that the defendants reside at the same address. However, I have, for this reason, taken some care to record both the appearance of the second defendant and the various affidavits of service of documents upon her.</w:t>
      </w:r>
    </w:p>
    <w:p w14:paraId="1BB77676" w14:textId="77777777" w:rsidR="0072082D" w:rsidRDefault="0072082D" w:rsidP="0072082D">
      <w:pPr>
        <w:pStyle w:val="ListParagraph"/>
        <w:numPr>
          <w:ilvl w:val="0"/>
          <w:numId w:val="0"/>
        </w:numPr>
      </w:pPr>
    </w:p>
    <w:p w14:paraId="68483BEC" w14:textId="77777777" w:rsidR="0072082D" w:rsidRPr="00CE0390" w:rsidRDefault="0072082D" w:rsidP="0072082D">
      <w:pPr>
        <w:pStyle w:val="ListParagraph"/>
        <w:numPr>
          <w:ilvl w:val="0"/>
          <w:numId w:val="0"/>
        </w:numPr>
      </w:pPr>
    </w:p>
    <w:p w14:paraId="362FA946" w14:textId="11AD61C6" w:rsidR="0072082D" w:rsidRDefault="00F64796" w:rsidP="00CE0390">
      <w:pPr>
        <w:pStyle w:val="ListParagraph"/>
      </w:pPr>
      <w:r w:rsidRPr="00CE0390">
        <w:t>On 8</w:t>
      </w:r>
      <w:r w:rsidRPr="00CE0390">
        <w:rPr>
          <w:vertAlign w:val="superscript"/>
        </w:rPr>
        <w:t>th</w:t>
      </w:r>
      <w:r w:rsidRPr="00CE0390">
        <w:t xml:space="preserve"> November, 2021, the first defendant intimated that he expected to receive </w:t>
      </w:r>
      <w:r w:rsidR="0072082D" w:rsidRPr="00CE0390">
        <w:t xml:space="preserve">presently </w:t>
      </w:r>
      <w:r w:rsidR="00E91E15">
        <w:t xml:space="preserve">the </w:t>
      </w:r>
      <w:r w:rsidRPr="00CE0390">
        <w:t>proceeds of sale of properties in Pakistan and the United Arab Emirates</w:t>
      </w:r>
      <w:r w:rsidR="00E42C26" w:rsidRPr="00CE0390">
        <w:t xml:space="preserve"> </w:t>
      </w:r>
      <w:r w:rsidR="00E91E15">
        <w:t xml:space="preserve">- </w:t>
      </w:r>
      <w:r w:rsidR="00E42C26" w:rsidRPr="00CE0390">
        <w:t xml:space="preserve">which proceeds he intended to apply in repayment of the loans the subject of these proceedings. </w:t>
      </w:r>
      <w:r w:rsidR="0072082D">
        <w:t xml:space="preserve">He did not on that </w:t>
      </w:r>
      <w:r w:rsidR="0072082D">
        <w:lastRenderedPageBreak/>
        <w:t xml:space="preserve">occasion dispute the debts. </w:t>
      </w:r>
      <w:r w:rsidR="00E42C26" w:rsidRPr="00CE0390">
        <w:t>On that basis, I adjourned the proceedings to 31</w:t>
      </w:r>
      <w:r w:rsidR="00E42C26" w:rsidRPr="00CE0390">
        <w:rPr>
          <w:vertAlign w:val="superscript"/>
        </w:rPr>
        <w:t>st</w:t>
      </w:r>
      <w:r w:rsidR="00E42C26" w:rsidRPr="00CE0390">
        <w:t xml:space="preserve"> January, 2022 with </w:t>
      </w:r>
      <w:r w:rsidR="0072082D">
        <w:t>AIB</w:t>
      </w:r>
      <w:r w:rsidR="00E42C26" w:rsidRPr="00CE0390">
        <w:t xml:space="preserve"> having liberty to apply </w:t>
      </w:r>
      <w:r w:rsidR="0072082D">
        <w:t>if</w:t>
      </w:r>
      <w:r w:rsidR="00E42C26" w:rsidRPr="00CE0390">
        <w:t xml:space="preserve"> funds were not received</w:t>
      </w:r>
      <w:r w:rsidR="0072082D">
        <w:t xml:space="preserve"> by AIB</w:t>
      </w:r>
      <w:r w:rsidR="00E42C26" w:rsidRPr="00CE0390">
        <w:t xml:space="preserve"> in accordance with the timetable intimated by the first defendant. In the event, </w:t>
      </w:r>
      <w:r w:rsidR="0072082D">
        <w:t>AIB</w:t>
      </w:r>
      <w:r w:rsidR="00E42C26" w:rsidRPr="00CE0390">
        <w:t xml:space="preserve"> sought to avail of that liberty on foot of the affidavit of Peter Kelly, </w:t>
      </w:r>
      <w:r w:rsidR="0072082D">
        <w:t xml:space="preserve">solicitor for AIB, </w:t>
      </w:r>
      <w:r w:rsidR="00E42C26" w:rsidRPr="00CE0390">
        <w:t>affirmed 7</w:t>
      </w:r>
      <w:r w:rsidR="00E42C26" w:rsidRPr="00CE0390">
        <w:rPr>
          <w:vertAlign w:val="superscript"/>
        </w:rPr>
        <w:t>th</w:t>
      </w:r>
      <w:r w:rsidR="00E42C26" w:rsidRPr="00CE0390">
        <w:t xml:space="preserve"> December, 2021</w:t>
      </w:r>
      <w:r w:rsidR="0072082D">
        <w:t>.</w:t>
      </w:r>
      <w:r w:rsidR="00E42C26" w:rsidRPr="00CE0390">
        <w:t xml:space="preserve"> </w:t>
      </w:r>
      <w:r w:rsidR="0072082D">
        <w:t>Mr Kelly</w:t>
      </w:r>
      <w:r w:rsidR="00E42C26" w:rsidRPr="00CE0390">
        <w:t xml:space="preserve"> recited the course of negotiations between </w:t>
      </w:r>
      <w:r w:rsidR="0072082D">
        <w:t>AIB</w:t>
      </w:r>
      <w:r w:rsidR="00E42C26" w:rsidRPr="00CE0390">
        <w:t xml:space="preserve"> and the first defendant from February, 2020 by way both of telephone conversation and </w:t>
      </w:r>
      <w:r w:rsidR="0072082D" w:rsidRPr="00CE0390">
        <w:t xml:space="preserve">exhibited </w:t>
      </w:r>
      <w:r w:rsidR="00E42C26" w:rsidRPr="00CE0390">
        <w:t>emai</w:t>
      </w:r>
      <w:r w:rsidR="0072082D">
        <w:t>ls</w:t>
      </w:r>
      <w:r w:rsidR="00E42C26" w:rsidRPr="00CE0390">
        <w:t xml:space="preserve">. Essentially, Mr. Kelly records a series of promises to pay significant sums in defrayal of </w:t>
      </w:r>
      <w:r w:rsidR="0072082D">
        <w:t>AIB</w:t>
      </w:r>
      <w:r w:rsidR="00E42C26" w:rsidRPr="00CE0390">
        <w:t xml:space="preserve">’s claim, </w:t>
      </w:r>
      <w:r w:rsidR="00E42C26" w:rsidRPr="00CE0390">
        <w:rPr>
          <w:i/>
        </w:rPr>
        <w:t>inter alia</w:t>
      </w:r>
      <w:r w:rsidR="00E42C26" w:rsidRPr="00CE0390">
        <w:t>, by application of the proceeds of sale of the properties in Pakistan and the United Arab Emirates.</w:t>
      </w:r>
    </w:p>
    <w:p w14:paraId="5D7DA26B" w14:textId="77777777" w:rsidR="0072082D" w:rsidRDefault="0072082D" w:rsidP="0072082D">
      <w:pPr>
        <w:pStyle w:val="ListParagraph"/>
        <w:numPr>
          <w:ilvl w:val="0"/>
          <w:numId w:val="0"/>
        </w:numPr>
      </w:pPr>
    </w:p>
    <w:p w14:paraId="37CCC15B" w14:textId="77777777" w:rsidR="0072082D" w:rsidRDefault="0072082D" w:rsidP="0072082D">
      <w:pPr>
        <w:pStyle w:val="ListParagraph"/>
        <w:numPr>
          <w:ilvl w:val="0"/>
          <w:numId w:val="0"/>
        </w:numPr>
      </w:pPr>
    </w:p>
    <w:p w14:paraId="45229BC5" w14:textId="5AAE4CFA" w:rsidR="00F64796" w:rsidRDefault="00E42C26" w:rsidP="00CE0390">
      <w:pPr>
        <w:pStyle w:val="ListParagraph"/>
      </w:pPr>
      <w:r w:rsidRPr="00CE0390">
        <w:t>Mr. Kelly records that at the hearing of 8</w:t>
      </w:r>
      <w:r w:rsidRPr="00CE0390">
        <w:rPr>
          <w:vertAlign w:val="superscript"/>
        </w:rPr>
        <w:t>th</w:t>
      </w:r>
      <w:r w:rsidRPr="00CE0390">
        <w:t xml:space="preserve"> November, 2021 the first defendant </w:t>
      </w:r>
      <w:r w:rsidR="00EB64DD">
        <w:t xml:space="preserve">had </w:t>
      </w:r>
      <w:r w:rsidRPr="00CE0390">
        <w:t xml:space="preserve">intimated his intended application in diminution of </w:t>
      </w:r>
      <w:r w:rsidR="00EB64DD">
        <w:t>the</w:t>
      </w:r>
      <w:r w:rsidRPr="00CE0390">
        <w:t xml:space="preserve"> debt</w:t>
      </w:r>
      <w:r w:rsidR="00EB64DD">
        <w:t>s</w:t>
      </w:r>
      <w:r w:rsidRPr="00CE0390">
        <w:t xml:space="preserve"> of the proceeds </w:t>
      </w:r>
      <w:r w:rsidR="00EB64DD">
        <w:t xml:space="preserve">of </w:t>
      </w:r>
      <w:r w:rsidRPr="00CE0390">
        <w:t xml:space="preserve">both sales </w:t>
      </w:r>
      <w:r w:rsidR="00EB64DD">
        <w:t xml:space="preserve">- </w:t>
      </w:r>
      <w:r w:rsidRPr="00CE0390">
        <w:t>which</w:t>
      </w:r>
      <w:r w:rsidR="0072082D">
        <w:t xml:space="preserve"> he</w:t>
      </w:r>
      <w:r w:rsidRPr="00CE0390">
        <w:t xml:space="preserve"> expected </w:t>
      </w:r>
      <w:r w:rsidR="0072082D">
        <w:t xml:space="preserve">to come </w:t>
      </w:r>
      <w:r w:rsidRPr="00CE0390">
        <w:t xml:space="preserve">close to €700,000. Accordingly, while </w:t>
      </w:r>
      <w:r w:rsidR="0072082D">
        <w:t>AIB</w:t>
      </w:r>
      <w:r w:rsidRPr="00CE0390">
        <w:t xml:space="preserve">, before me on </w:t>
      </w:r>
      <w:r w:rsidR="0072082D" w:rsidRPr="00CE0390">
        <w:t>31</w:t>
      </w:r>
      <w:r w:rsidR="0072082D" w:rsidRPr="0072082D">
        <w:rPr>
          <w:vertAlign w:val="superscript"/>
        </w:rPr>
        <w:t>st</w:t>
      </w:r>
      <w:r w:rsidR="0072082D">
        <w:rPr>
          <w:vertAlign w:val="superscript"/>
        </w:rPr>
        <w:t xml:space="preserve"> </w:t>
      </w:r>
      <w:r w:rsidR="0072082D" w:rsidRPr="00CE0390">
        <w:t>January, 2022</w:t>
      </w:r>
      <w:r w:rsidRPr="00CE0390">
        <w:t xml:space="preserve">, asserted that the first defendant had, on </w:t>
      </w:r>
      <w:r w:rsidR="0072082D" w:rsidRPr="00CE0390">
        <w:t>8</w:t>
      </w:r>
      <w:r w:rsidR="0072082D" w:rsidRPr="00CE0390">
        <w:rPr>
          <w:vertAlign w:val="superscript"/>
        </w:rPr>
        <w:t>th</w:t>
      </w:r>
      <w:r w:rsidR="0072082D" w:rsidRPr="00CE0390">
        <w:t xml:space="preserve"> </w:t>
      </w:r>
      <w:r w:rsidRPr="00CE0390">
        <w:t>November, 2021, acknowledged his indebtedness in full, that assertion w</w:t>
      </w:r>
      <w:r w:rsidR="0072082D">
        <w:t>as</w:t>
      </w:r>
      <w:r w:rsidRPr="00CE0390">
        <w:t xml:space="preserve"> not strictly </w:t>
      </w:r>
      <w:r w:rsidR="00665E2F">
        <w:t>c</w:t>
      </w:r>
      <w:r w:rsidR="0072082D">
        <w:t xml:space="preserve">orrect. </w:t>
      </w:r>
      <w:r w:rsidR="00EB64DD">
        <w:t>However</w:t>
      </w:r>
      <w:r w:rsidRPr="00CE0390">
        <w:t xml:space="preserve"> the </w:t>
      </w:r>
      <w:r w:rsidR="0072082D">
        <w:t xml:space="preserve">first </w:t>
      </w:r>
      <w:r w:rsidRPr="00CE0390">
        <w:t xml:space="preserve">defendant </w:t>
      </w:r>
      <w:r w:rsidR="0072082D">
        <w:t>did not deny the debts and</w:t>
      </w:r>
      <w:r w:rsidR="00EB64DD">
        <w:t>,</w:t>
      </w:r>
      <w:r w:rsidR="0072082D">
        <w:t xml:space="preserve"> </w:t>
      </w:r>
      <w:r w:rsidRPr="00CE0390">
        <w:t>as Mr. Kelly states, indicated his intention to apply proceeds of sale to that indebtedness</w:t>
      </w:r>
      <w:r w:rsidR="0072082D">
        <w:t>.</w:t>
      </w:r>
    </w:p>
    <w:p w14:paraId="5BBEBAFE" w14:textId="77777777" w:rsidR="0072082D" w:rsidRDefault="0072082D" w:rsidP="0072082D">
      <w:pPr>
        <w:pStyle w:val="ListParagraph"/>
        <w:numPr>
          <w:ilvl w:val="0"/>
          <w:numId w:val="0"/>
        </w:numPr>
      </w:pPr>
    </w:p>
    <w:p w14:paraId="3F1887BA" w14:textId="77777777" w:rsidR="0072082D" w:rsidRPr="00CE0390" w:rsidRDefault="0072082D" w:rsidP="0072082D">
      <w:pPr>
        <w:pStyle w:val="ListParagraph"/>
        <w:numPr>
          <w:ilvl w:val="0"/>
          <w:numId w:val="0"/>
        </w:numPr>
      </w:pPr>
    </w:p>
    <w:p w14:paraId="2B1BC22A" w14:textId="438CA3AC" w:rsidR="0072082D" w:rsidRDefault="00E42C26" w:rsidP="00CE0390">
      <w:pPr>
        <w:pStyle w:val="ListParagraph"/>
      </w:pPr>
      <w:r w:rsidRPr="00CE0390">
        <w:t>Mr. Kelly’s affidavit also recounts events after the hearing of 8</w:t>
      </w:r>
      <w:r w:rsidRPr="00CE0390">
        <w:rPr>
          <w:vertAlign w:val="superscript"/>
        </w:rPr>
        <w:t>th</w:t>
      </w:r>
      <w:r w:rsidRPr="00CE0390">
        <w:t xml:space="preserve"> November, 2021. Essentially, he asserts that, despite the first defendant having intimated by email that he had already made transfers to </w:t>
      </w:r>
      <w:r w:rsidR="0072082D">
        <w:t>AIB</w:t>
      </w:r>
      <w:r w:rsidRPr="00CE0390">
        <w:t xml:space="preserve"> or had monies to hand to make such transfers, no monies had in fact been received by </w:t>
      </w:r>
      <w:r w:rsidR="0072082D">
        <w:t>AIB</w:t>
      </w:r>
      <w:r w:rsidRPr="00CE0390">
        <w:t>. Mr. Kelly also records that, on the information provided to him by the first defendant, it had become apparent that the net proceeds of sale were likely to be</w:t>
      </w:r>
      <w:r w:rsidR="00EB64DD">
        <w:t xml:space="preserve"> </w:t>
      </w:r>
      <w:r w:rsidRPr="00CE0390">
        <w:t xml:space="preserve">in the region of €451,000 rather than the figure close to €700,000 intimated by </w:t>
      </w:r>
      <w:r w:rsidR="00EB64DD" w:rsidRPr="00CE0390">
        <w:t>the first defendant</w:t>
      </w:r>
      <w:r w:rsidRPr="00CE0390">
        <w:t xml:space="preserve"> to the court on 8</w:t>
      </w:r>
      <w:r w:rsidRPr="00CE0390">
        <w:rPr>
          <w:vertAlign w:val="superscript"/>
        </w:rPr>
        <w:t>th</w:t>
      </w:r>
      <w:r w:rsidRPr="00CE0390">
        <w:t xml:space="preserve"> November, 2021. Mr. Kelly also exhibits</w:t>
      </w:r>
      <w:r w:rsidR="0072082D">
        <w:t>,</w:t>
      </w:r>
      <w:r w:rsidRPr="00CE0390">
        <w:t xml:space="preserve"> by way of proof of service</w:t>
      </w:r>
      <w:r w:rsidR="0072082D">
        <w:t>,</w:t>
      </w:r>
      <w:r w:rsidRPr="00CE0390">
        <w:t xml:space="preserve"> two letters dated 6</w:t>
      </w:r>
      <w:r w:rsidRPr="00CE0390">
        <w:rPr>
          <w:vertAlign w:val="superscript"/>
        </w:rPr>
        <w:t>th</w:t>
      </w:r>
      <w:r w:rsidRPr="00CE0390">
        <w:t xml:space="preserve"> December, 2021 advising each of the defendants that </w:t>
      </w:r>
      <w:r w:rsidR="0072082D">
        <w:t>AIB</w:t>
      </w:r>
      <w:r w:rsidRPr="00CE0390">
        <w:t xml:space="preserve"> intended to avail of the liberty to apply whic</w:t>
      </w:r>
      <w:r w:rsidR="00F7011D" w:rsidRPr="00CE0390">
        <w:t>h I had granted on 8</w:t>
      </w:r>
      <w:r w:rsidR="00F7011D" w:rsidRPr="00CE0390">
        <w:rPr>
          <w:vertAlign w:val="superscript"/>
        </w:rPr>
        <w:t>th</w:t>
      </w:r>
      <w:r w:rsidR="00F7011D" w:rsidRPr="00CE0390">
        <w:t xml:space="preserve"> November, 2021 and </w:t>
      </w:r>
      <w:r w:rsidR="0072082D">
        <w:t xml:space="preserve">to </w:t>
      </w:r>
      <w:r w:rsidR="00F7011D" w:rsidRPr="00CE0390">
        <w:t>seek judgment when the matter was again listed on 20</w:t>
      </w:r>
      <w:r w:rsidR="00F7011D" w:rsidRPr="00CE0390">
        <w:rPr>
          <w:vertAlign w:val="superscript"/>
        </w:rPr>
        <w:t>th</w:t>
      </w:r>
      <w:r w:rsidR="00F7011D" w:rsidRPr="00CE0390">
        <w:t xml:space="preserve"> December, 2021.</w:t>
      </w:r>
    </w:p>
    <w:p w14:paraId="62F485B2" w14:textId="77777777" w:rsidR="0072082D" w:rsidRDefault="0072082D" w:rsidP="0072082D">
      <w:pPr>
        <w:pStyle w:val="ListParagraph"/>
        <w:numPr>
          <w:ilvl w:val="0"/>
          <w:numId w:val="0"/>
        </w:numPr>
      </w:pPr>
    </w:p>
    <w:p w14:paraId="59B9DF98" w14:textId="77777777" w:rsidR="0072082D" w:rsidRDefault="0072082D" w:rsidP="0072082D">
      <w:pPr>
        <w:pStyle w:val="ListParagraph"/>
        <w:numPr>
          <w:ilvl w:val="0"/>
          <w:numId w:val="0"/>
        </w:numPr>
      </w:pPr>
    </w:p>
    <w:p w14:paraId="4AC3B391" w14:textId="056FE6EA" w:rsidR="00E42C26" w:rsidRDefault="00F7011D" w:rsidP="00CE0390">
      <w:pPr>
        <w:pStyle w:val="ListParagraph"/>
      </w:pPr>
      <w:r w:rsidRPr="00CE0390">
        <w:t>By her fifth affidavit of service sworn 14</w:t>
      </w:r>
      <w:r w:rsidRPr="00CE0390">
        <w:rPr>
          <w:vertAlign w:val="superscript"/>
        </w:rPr>
        <w:t>th</w:t>
      </w:r>
      <w:r w:rsidRPr="00CE0390">
        <w:t xml:space="preserve"> December, 2021, M</w:t>
      </w:r>
      <w:r w:rsidR="0072082D">
        <w:t xml:space="preserve">s </w:t>
      </w:r>
      <w:r w:rsidRPr="00CE0390">
        <w:t xml:space="preserve">Fava proved service </w:t>
      </w:r>
      <w:r w:rsidR="00EB64DD">
        <w:t xml:space="preserve">on </w:t>
      </w:r>
      <w:r w:rsidR="00EB64DD" w:rsidRPr="00CE0390">
        <w:t xml:space="preserve">each defendant </w:t>
      </w:r>
      <w:r w:rsidRPr="00CE0390">
        <w:t>of letters dated 7</w:t>
      </w:r>
      <w:r w:rsidRPr="00CE0390">
        <w:rPr>
          <w:vertAlign w:val="superscript"/>
        </w:rPr>
        <w:t>th</w:t>
      </w:r>
      <w:r w:rsidRPr="00CE0390">
        <w:t xml:space="preserve"> December, 2021 </w:t>
      </w:r>
      <w:r w:rsidR="00EB64DD">
        <w:t>and</w:t>
      </w:r>
      <w:r w:rsidRPr="00CE0390">
        <w:t xml:space="preserve"> a copy of the affidavit of Peter Kelly </w:t>
      </w:r>
      <w:r w:rsidR="00EB64DD">
        <w:t>affirmed</w:t>
      </w:r>
      <w:r w:rsidRPr="00CE0390">
        <w:t xml:space="preserve"> 7</w:t>
      </w:r>
      <w:r w:rsidRPr="00CE0390">
        <w:rPr>
          <w:vertAlign w:val="superscript"/>
        </w:rPr>
        <w:t>th</w:t>
      </w:r>
      <w:r w:rsidRPr="00CE0390">
        <w:t xml:space="preserve"> December, 2021 and exhibits</w:t>
      </w:r>
      <w:r w:rsidR="00EB64DD">
        <w:t xml:space="preserve"> thereto</w:t>
      </w:r>
      <w:r w:rsidRPr="00CE0390">
        <w:t>.</w:t>
      </w:r>
    </w:p>
    <w:p w14:paraId="50CCAA5A" w14:textId="77777777" w:rsidR="0072082D" w:rsidRDefault="0072082D" w:rsidP="0072082D">
      <w:pPr>
        <w:pStyle w:val="ListParagraph"/>
        <w:numPr>
          <w:ilvl w:val="0"/>
          <w:numId w:val="0"/>
        </w:numPr>
      </w:pPr>
    </w:p>
    <w:p w14:paraId="56B00F04" w14:textId="77777777" w:rsidR="0072082D" w:rsidRPr="00CE0390" w:rsidRDefault="0072082D" w:rsidP="0072082D">
      <w:pPr>
        <w:pStyle w:val="ListParagraph"/>
        <w:numPr>
          <w:ilvl w:val="0"/>
          <w:numId w:val="0"/>
        </w:numPr>
      </w:pPr>
    </w:p>
    <w:p w14:paraId="3B3D01DE" w14:textId="3407424B" w:rsidR="00735498" w:rsidRDefault="00F7011D" w:rsidP="00CE0390">
      <w:pPr>
        <w:pStyle w:val="ListParagraph"/>
      </w:pPr>
      <w:r w:rsidRPr="00CE0390">
        <w:t>When the matter came before me on 20</w:t>
      </w:r>
      <w:r w:rsidRPr="00CE0390">
        <w:rPr>
          <w:vertAlign w:val="superscript"/>
        </w:rPr>
        <w:t>th</w:t>
      </w:r>
      <w:r w:rsidRPr="00CE0390">
        <w:t xml:space="preserve"> December, 2021, the defendants did not appear. I expressed certain concerns as to the means of Mr. Kelly’s knowledge whether </w:t>
      </w:r>
      <w:r w:rsidR="0072082D">
        <w:t>AIB</w:t>
      </w:r>
      <w:r w:rsidRPr="00CE0390">
        <w:t xml:space="preserve"> had received any payments from the defendants since the hearing of 8</w:t>
      </w:r>
      <w:r w:rsidRPr="00CE0390">
        <w:rPr>
          <w:vertAlign w:val="superscript"/>
        </w:rPr>
        <w:t>th</w:t>
      </w:r>
      <w:r w:rsidRPr="00CE0390">
        <w:t xml:space="preserve"> November, 2021. On that basis, I adjourned the matter and, by affidavit sworn 17</w:t>
      </w:r>
      <w:r w:rsidRPr="00CE0390">
        <w:rPr>
          <w:vertAlign w:val="superscript"/>
        </w:rPr>
        <w:t>th</w:t>
      </w:r>
      <w:r w:rsidRPr="00CE0390">
        <w:t xml:space="preserve"> January, 2022, Niall O’Reilly</w:t>
      </w:r>
      <w:r w:rsidR="00735498">
        <w:t xml:space="preserve"> </w:t>
      </w:r>
      <w:r w:rsidRPr="00CE0390">
        <w:t xml:space="preserve">confirmed that </w:t>
      </w:r>
      <w:r w:rsidR="00735498">
        <w:t>AIB</w:t>
      </w:r>
      <w:r w:rsidRPr="00CE0390">
        <w:t xml:space="preserve"> had provided the first defendant with the details of a bank account into which payment should be lodged and no such pa</w:t>
      </w:r>
      <w:r w:rsidR="00BC5E22" w:rsidRPr="00CE0390">
        <w:t>yments had been made by the defendants or e</w:t>
      </w:r>
      <w:r w:rsidR="00735498">
        <w:t>ither</w:t>
      </w:r>
      <w:r w:rsidR="00BC5E22" w:rsidRPr="00CE0390">
        <w:t xml:space="preserve"> of them. </w:t>
      </w:r>
      <w:r w:rsidR="00735498" w:rsidRPr="00CE0390">
        <w:t>By her sixth affidavit of service sworn 21</w:t>
      </w:r>
      <w:r w:rsidR="00735498" w:rsidRPr="00CE0390">
        <w:rPr>
          <w:vertAlign w:val="superscript"/>
        </w:rPr>
        <w:t>st</w:t>
      </w:r>
      <w:r w:rsidR="00735498" w:rsidRPr="00CE0390">
        <w:t xml:space="preserve"> January, 2022, M</w:t>
      </w:r>
      <w:r w:rsidR="00EB64DD">
        <w:t xml:space="preserve">s </w:t>
      </w:r>
      <w:r w:rsidR="00735498" w:rsidRPr="00CE0390">
        <w:t xml:space="preserve">Fava proves service upon each of the defendants of </w:t>
      </w:r>
      <w:r w:rsidR="00EB64DD">
        <w:t>that</w:t>
      </w:r>
      <w:r w:rsidR="00735498" w:rsidRPr="00CE0390">
        <w:t xml:space="preserve"> affidavit of Niall O’Reilly.</w:t>
      </w:r>
    </w:p>
    <w:p w14:paraId="2E7D6D54" w14:textId="77777777" w:rsidR="00735498" w:rsidRDefault="00735498" w:rsidP="00735498">
      <w:pPr>
        <w:pStyle w:val="ListParagraph"/>
        <w:numPr>
          <w:ilvl w:val="0"/>
          <w:numId w:val="0"/>
        </w:numPr>
      </w:pPr>
    </w:p>
    <w:p w14:paraId="1CD7F487" w14:textId="77777777" w:rsidR="00735498" w:rsidRDefault="00735498" w:rsidP="00735498">
      <w:pPr>
        <w:pStyle w:val="ListParagraph"/>
        <w:numPr>
          <w:ilvl w:val="0"/>
          <w:numId w:val="0"/>
        </w:numPr>
      </w:pPr>
    </w:p>
    <w:p w14:paraId="23CC9DAF" w14:textId="30FA41ED" w:rsidR="00F7011D" w:rsidRDefault="00BC5E22" w:rsidP="00CE0390">
      <w:pPr>
        <w:pStyle w:val="ListParagraph"/>
      </w:pPr>
      <w:r w:rsidRPr="00CE0390">
        <w:lastRenderedPageBreak/>
        <w:t>By affidavit sworn 18</w:t>
      </w:r>
      <w:r w:rsidRPr="00CE0390">
        <w:rPr>
          <w:vertAlign w:val="superscript"/>
        </w:rPr>
        <w:t>th</w:t>
      </w:r>
      <w:r w:rsidRPr="00CE0390">
        <w:t xml:space="preserve"> January, 2022, Alla Fogheli proves service by ordinary post on each of the defendants of a letter advising that the matter was listed for hearing on 31</w:t>
      </w:r>
      <w:r w:rsidRPr="00CE0390">
        <w:rPr>
          <w:vertAlign w:val="superscript"/>
        </w:rPr>
        <w:t>st</w:t>
      </w:r>
      <w:r w:rsidRPr="00CE0390">
        <w:t xml:space="preserve"> January, 2022 and that </w:t>
      </w:r>
      <w:r w:rsidR="00735498">
        <w:t>AIB</w:t>
      </w:r>
      <w:r w:rsidRPr="00CE0390">
        <w:t xml:space="preserve"> intended to seek judgment on that occasion.</w:t>
      </w:r>
    </w:p>
    <w:p w14:paraId="7BCA16B7" w14:textId="77777777" w:rsidR="00735498" w:rsidRDefault="00735498" w:rsidP="00735498">
      <w:pPr>
        <w:pStyle w:val="ListParagraph"/>
        <w:numPr>
          <w:ilvl w:val="0"/>
          <w:numId w:val="0"/>
        </w:numPr>
      </w:pPr>
    </w:p>
    <w:p w14:paraId="12D66A03" w14:textId="77777777" w:rsidR="00735498" w:rsidRPr="00CE0390" w:rsidRDefault="00735498" w:rsidP="00735498">
      <w:pPr>
        <w:pStyle w:val="ListParagraph"/>
        <w:numPr>
          <w:ilvl w:val="0"/>
          <w:numId w:val="0"/>
        </w:numPr>
      </w:pPr>
    </w:p>
    <w:p w14:paraId="46ADAE8F" w14:textId="0BBFED4E" w:rsidR="00BC5E22" w:rsidRDefault="00BC5E22" w:rsidP="00CE0390">
      <w:pPr>
        <w:pStyle w:val="ListParagraph"/>
      </w:pPr>
      <w:r w:rsidRPr="00CE0390">
        <w:t>The motion for judgment came before me again on 31</w:t>
      </w:r>
      <w:r w:rsidRPr="00CE0390">
        <w:rPr>
          <w:vertAlign w:val="superscript"/>
        </w:rPr>
        <w:t>st</w:t>
      </w:r>
      <w:r w:rsidRPr="00CE0390">
        <w:t xml:space="preserve"> January, 2022</w:t>
      </w:r>
      <w:r w:rsidR="00735498">
        <w:t>.</w:t>
      </w:r>
      <w:r w:rsidRPr="00CE0390">
        <w:t xml:space="preserve"> </w:t>
      </w:r>
      <w:r w:rsidR="00735498">
        <w:t>On that</w:t>
      </w:r>
      <w:r w:rsidRPr="00CE0390">
        <w:t xml:space="preserve"> occasion the defendants were called at the sitting of the court but did not appear. Counsel for the plaintiff moved the motion for judgment in accordance with the papers and proofs which I have described </w:t>
      </w:r>
      <w:r w:rsidR="00735498">
        <w:t>above</w:t>
      </w:r>
      <w:r w:rsidRPr="00CE0390">
        <w:t>.</w:t>
      </w:r>
    </w:p>
    <w:p w14:paraId="100E8A01" w14:textId="77777777" w:rsidR="00735498" w:rsidRDefault="00735498" w:rsidP="00735498">
      <w:pPr>
        <w:pStyle w:val="ListParagraph"/>
        <w:numPr>
          <w:ilvl w:val="0"/>
          <w:numId w:val="0"/>
        </w:numPr>
      </w:pPr>
    </w:p>
    <w:p w14:paraId="18D10AFA" w14:textId="77777777" w:rsidR="00735498" w:rsidRPr="00CE0390" w:rsidRDefault="00735498" w:rsidP="00735498">
      <w:pPr>
        <w:pStyle w:val="ListParagraph"/>
        <w:numPr>
          <w:ilvl w:val="0"/>
          <w:numId w:val="0"/>
        </w:numPr>
      </w:pPr>
    </w:p>
    <w:p w14:paraId="269EDEA8" w14:textId="5CFF7265" w:rsidR="00BC5E22" w:rsidRDefault="00BC5E22" w:rsidP="00CE0390">
      <w:pPr>
        <w:pStyle w:val="ListParagraph"/>
      </w:pPr>
      <w:r w:rsidRPr="00CE0390">
        <w:t>The defendants have not, at any point, intimated a defence or delivered any replying affidavit intimating a defence to the claim of the plaintiff.</w:t>
      </w:r>
    </w:p>
    <w:p w14:paraId="37D09199" w14:textId="77777777" w:rsidR="003F5A19" w:rsidRDefault="003F5A19" w:rsidP="003F5A19">
      <w:pPr>
        <w:pStyle w:val="ListParagraph"/>
        <w:numPr>
          <w:ilvl w:val="0"/>
          <w:numId w:val="0"/>
        </w:numPr>
      </w:pPr>
    </w:p>
    <w:p w14:paraId="576E67C2" w14:textId="77777777" w:rsidR="003F5A19" w:rsidRDefault="003F5A19" w:rsidP="003F5A19">
      <w:pPr>
        <w:pStyle w:val="ListParagraph"/>
        <w:numPr>
          <w:ilvl w:val="0"/>
          <w:numId w:val="0"/>
        </w:numPr>
      </w:pPr>
    </w:p>
    <w:p w14:paraId="418F5AC3" w14:textId="05E5C17B" w:rsidR="00E31F10" w:rsidRPr="00E31F10" w:rsidRDefault="003F5A19" w:rsidP="00E31F10">
      <w:pPr>
        <w:pStyle w:val="ListParagraph"/>
      </w:pPr>
      <w:r>
        <w:t xml:space="preserve">In considering the motion for judgment and the circumstances described above and the proofs </w:t>
      </w:r>
      <w:r w:rsidRPr="00E31F10">
        <w:t xml:space="preserve">underlying them, I have borne in mind the principles as to the grant or refusal of summary judgment as set down most notably in </w:t>
      </w:r>
      <w:r w:rsidRPr="00E31F10">
        <w:rPr>
          <w:b/>
        </w:rPr>
        <w:t>Bank of Ireland Mortgage Bank v O'Malley</w:t>
      </w:r>
      <w:r w:rsidRPr="00E31F10">
        <w:rPr>
          <w:rStyle w:val="FootnoteReference"/>
        </w:rPr>
        <w:footnoteReference w:id="2"/>
      </w:r>
      <w:r w:rsidRPr="00E31F10">
        <w:rPr>
          <w:b/>
        </w:rPr>
        <w:t xml:space="preserve"> </w:t>
      </w:r>
      <w:r w:rsidRPr="00E31F10">
        <w:t xml:space="preserve">(including in particular its reminder that before one considers the question whether the Defendant has shown a bona fide defence, one must first consider whether the Plaintiff has shown a prima facie claim to judgment), </w:t>
      </w:r>
      <w:r w:rsidRPr="00E31F10">
        <w:rPr>
          <w:b/>
        </w:rPr>
        <w:t>Harrisrange</w:t>
      </w:r>
      <w:r w:rsidRPr="00E31F10">
        <w:t xml:space="preserve"> </w:t>
      </w:r>
      <w:r w:rsidRPr="00E31F10">
        <w:rPr>
          <w:b/>
        </w:rPr>
        <w:t>Limited v Duncan</w:t>
      </w:r>
      <w:r w:rsidRPr="00E31F10">
        <w:rPr>
          <w:rStyle w:val="FootnoteReference"/>
        </w:rPr>
        <w:footnoteReference w:id="3"/>
      </w:r>
      <w:r w:rsidR="00E31F10">
        <w:rPr>
          <w:b/>
        </w:rPr>
        <w:t xml:space="preserve"> </w:t>
      </w:r>
      <w:r w:rsidR="00E31F10" w:rsidRPr="00E31F10">
        <w:t xml:space="preserve">and </w:t>
      </w:r>
      <w:r w:rsidR="00E31F10" w:rsidRPr="00E31F10">
        <w:rPr>
          <w:b/>
          <w:iCs/>
        </w:rPr>
        <w:t>Aer Rianta cpt v Ryanair Ltd</w:t>
      </w:r>
      <w:r w:rsidR="00E31F10" w:rsidRPr="00F927B0">
        <w:rPr>
          <w:rStyle w:val="FootnoteReference"/>
          <w:iCs/>
        </w:rPr>
        <w:footnoteReference w:id="4"/>
      </w:r>
      <w:r w:rsidR="00E31F10" w:rsidRPr="00F927B0">
        <w:rPr>
          <w:iCs/>
        </w:rPr>
        <w:t xml:space="preserve"> </w:t>
      </w:r>
      <w:r w:rsidR="00E31F10" w:rsidRPr="00E31F10">
        <w:rPr>
          <w:iCs/>
        </w:rPr>
        <w:t>(in which Hardiman J stipulated that</w:t>
      </w:r>
      <w:r w:rsidR="00E31F10" w:rsidRPr="00E31F10">
        <w:t xml:space="preserve"> leave to defend should be granted unless it was “very clear” that the defendant had no defence).</w:t>
      </w:r>
    </w:p>
    <w:p w14:paraId="3399CA26" w14:textId="77777777" w:rsidR="00E31F10" w:rsidRDefault="00E31F10" w:rsidP="00E31F10">
      <w:pPr>
        <w:pStyle w:val="ListParagraph"/>
        <w:numPr>
          <w:ilvl w:val="0"/>
          <w:numId w:val="0"/>
        </w:numPr>
      </w:pPr>
    </w:p>
    <w:p w14:paraId="2DECEF72" w14:textId="77777777" w:rsidR="00E31F10" w:rsidRPr="00CE0390" w:rsidRDefault="00E31F10" w:rsidP="00E31F10">
      <w:pPr>
        <w:pStyle w:val="ListParagraph"/>
        <w:numPr>
          <w:ilvl w:val="0"/>
          <w:numId w:val="0"/>
        </w:numPr>
      </w:pPr>
    </w:p>
    <w:p w14:paraId="75AAA182" w14:textId="77777777" w:rsidR="00BC5E22" w:rsidRPr="00CE0390" w:rsidRDefault="00BC5E22" w:rsidP="00CE0390">
      <w:pPr>
        <w:pStyle w:val="ListParagraph"/>
      </w:pPr>
      <w:r w:rsidRPr="00CE0390">
        <w:t>In the foregoing</w:t>
      </w:r>
      <w:r w:rsidR="00735498">
        <w:t xml:space="preserve"> circumstances</w:t>
      </w:r>
      <w:r w:rsidRPr="00CE0390">
        <w:t>, I was satisfied to grant judgment as recited above on the basis that:-</w:t>
      </w:r>
    </w:p>
    <w:p w14:paraId="2E02E1CD" w14:textId="20EDD932" w:rsidR="00BC5E22" w:rsidRPr="00CE0390" w:rsidRDefault="00735498" w:rsidP="00CE0390">
      <w:pPr>
        <w:pStyle w:val="ListParagraph"/>
        <w:numPr>
          <w:ilvl w:val="0"/>
          <w:numId w:val="6"/>
        </w:numPr>
      </w:pPr>
      <w:r>
        <w:t>AIB</w:t>
      </w:r>
      <w:r w:rsidR="00BC5E22" w:rsidRPr="00CE0390">
        <w:t xml:space="preserve"> had proved the </w:t>
      </w:r>
      <w:r w:rsidR="00DF7CB1">
        <w:t xml:space="preserve">defendants </w:t>
      </w:r>
      <w:r w:rsidR="00BC5E22" w:rsidRPr="00CE0390">
        <w:t xml:space="preserve">indebtedness underlying the summons in the amount claimed in both the summons and the </w:t>
      </w:r>
      <w:r>
        <w:t>notice</w:t>
      </w:r>
      <w:r w:rsidR="00BC5E22" w:rsidRPr="00CE0390">
        <w:t xml:space="preserve"> of motion for judgment;</w:t>
      </w:r>
    </w:p>
    <w:p w14:paraId="3F9D4CC4" w14:textId="77777777" w:rsidR="00BC5E22" w:rsidRPr="00CE0390" w:rsidRDefault="00735498" w:rsidP="00CE0390">
      <w:pPr>
        <w:pStyle w:val="ListParagraph"/>
        <w:numPr>
          <w:ilvl w:val="0"/>
          <w:numId w:val="6"/>
        </w:numPr>
      </w:pPr>
      <w:r>
        <w:t>AIB</w:t>
      </w:r>
      <w:r w:rsidR="00BC5E22" w:rsidRPr="00CE0390">
        <w:t xml:space="preserve"> had proved service of all relevant documents upon the defendants both;</w:t>
      </w:r>
    </w:p>
    <w:p w14:paraId="1096C622" w14:textId="4D5C203D" w:rsidR="00BC5E22" w:rsidRPr="00CE0390" w:rsidRDefault="00DF7CB1" w:rsidP="00CE0390">
      <w:pPr>
        <w:pStyle w:val="ListParagraph"/>
        <w:numPr>
          <w:ilvl w:val="0"/>
          <w:numId w:val="6"/>
        </w:numPr>
      </w:pPr>
      <w:r>
        <w:t>D</w:t>
      </w:r>
      <w:r w:rsidR="00BC5E22" w:rsidRPr="00CE0390">
        <w:t xml:space="preserve">espite having appeared, neither defendant had, at any time, intimated or put on affidavit any defence to </w:t>
      </w:r>
      <w:r w:rsidR="00735498">
        <w:t>AIB</w:t>
      </w:r>
      <w:r w:rsidR="00BC5E22" w:rsidRPr="00CE0390">
        <w:t xml:space="preserve">’s claim, much less a </w:t>
      </w:r>
      <w:r w:rsidR="00BC5E22" w:rsidRPr="00CE0390">
        <w:rPr>
          <w:i/>
        </w:rPr>
        <w:t>bona fide</w:t>
      </w:r>
      <w:r w:rsidR="00BC5E22" w:rsidRPr="00CE0390">
        <w:t xml:space="preserve"> defence. </w:t>
      </w:r>
    </w:p>
    <w:p w14:paraId="0B4EA478" w14:textId="79B944F7" w:rsidR="00735498" w:rsidRDefault="00735498" w:rsidP="00735498">
      <w:pPr>
        <w:pStyle w:val="ListParagraph"/>
        <w:numPr>
          <w:ilvl w:val="0"/>
          <w:numId w:val="0"/>
        </w:numPr>
      </w:pPr>
    </w:p>
    <w:p w14:paraId="5397A08E" w14:textId="77777777" w:rsidR="00326C3C" w:rsidRPr="00CE0390" w:rsidRDefault="00326C3C" w:rsidP="00735498">
      <w:pPr>
        <w:pStyle w:val="ListParagraph"/>
        <w:numPr>
          <w:ilvl w:val="0"/>
          <w:numId w:val="0"/>
        </w:numPr>
      </w:pPr>
    </w:p>
    <w:p w14:paraId="63085640" w14:textId="77777777" w:rsidR="00BC5E22" w:rsidRPr="00E31F10" w:rsidRDefault="00735498" w:rsidP="00735498">
      <w:pPr>
        <w:pStyle w:val="ListParagraph"/>
        <w:numPr>
          <w:ilvl w:val="0"/>
          <w:numId w:val="0"/>
        </w:numPr>
        <w:jc w:val="right"/>
        <w:rPr>
          <w:b/>
        </w:rPr>
      </w:pPr>
      <w:r w:rsidRPr="00E31F10">
        <w:rPr>
          <w:b/>
        </w:rPr>
        <w:t>D</w:t>
      </w:r>
      <w:r w:rsidR="00BC5E22" w:rsidRPr="00E31F10">
        <w:rPr>
          <w:b/>
        </w:rPr>
        <w:t>avid Holland</w:t>
      </w:r>
    </w:p>
    <w:p w14:paraId="51E1BA1A" w14:textId="4FAD40B7" w:rsidR="00735498" w:rsidRPr="00E31F10" w:rsidRDefault="008C4965" w:rsidP="00735498">
      <w:pPr>
        <w:pStyle w:val="ListParagraph"/>
        <w:numPr>
          <w:ilvl w:val="0"/>
          <w:numId w:val="0"/>
        </w:numPr>
        <w:jc w:val="right"/>
        <w:rPr>
          <w:b/>
        </w:rPr>
      </w:pPr>
      <w:r>
        <w:rPr>
          <w:b/>
        </w:rPr>
        <w:t>7</w:t>
      </w:r>
      <w:r w:rsidR="00735498" w:rsidRPr="00E31F10">
        <w:rPr>
          <w:b/>
          <w:vertAlign w:val="superscript"/>
        </w:rPr>
        <w:t>th</w:t>
      </w:r>
      <w:r w:rsidR="00735498" w:rsidRPr="00E31F10">
        <w:rPr>
          <w:b/>
        </w:rPr>
        <w:t xml:space="preserve"> February 2022</w:t>
      </w:r>
    </w:p>
    <w:sectPr w:rsidR="00735498" w:rsidRPr="00E31F10"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1E3CC" w14:textId="77777777" w:rsidR="009D0746" w:rsidRDefault="009D0746" w:rsidP="009E70E8">
      <w:r>
        <w:separator/>
      </w:r>
    </w:p>
  </w:endnote>
  <w:endnote w:type="continuationSeparator" w:id="0">
    <w:p w14:paraId="5628EC4E" w14:textId="77777777" w:rsidR="009D0746" w:rsidRDefault="009D0746"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DD827" w14:textId="77777777" w:rsidR="009D0746" w:rsidRDefault="009D0746" w:rsidP="009E70E8">
      <w:r>
        <w:separator/>
      </w:r>
    </w:p>
  </w:footnote>
  <w:footnote w:type="continuationSeparator" w:id="0">
    <w:p w14:paraId="4E42AD64" w14:textId="77777777" w:rsidR="009D0746" w:rsidRDefault="009D0746" w:rsidP="009E70E8">
      <w:r>
        <w:continuationSeparator/>
      </w:r>
    </w:p>
  </w:footnote>
  <w:footnote w:id="1">
    <w:p w14:paraId="1A5FADAD" w14:textId="77777777" w:rsidR="00CE0390" w:rsidRPr="00F927B0" w:rsidRDefault="00CE0390" w:rsidP="00CE0390">
      <w:pPr>
        <w:pStyle w:val="Heading2"/>
        <w:rPr>
          <w:rFonts w:ascii="Calibri Light" w:hAnsi="Calibri Light" w:cs="Calibri Light"/>
          <w:b w:val="0"/>
          <w:sz w:val="16"/>
          <w:szCs w:val="16"/>
        </w:rPr>
      </w:pPr>
      <w:r w:rsidRPr="00F927B0">
        <w:rPr>
          <w:rStyle w:val="FootnoteReference"/>
          <w:rFonts w:ascii="Calibri Light" w:hAnsi="Calibri Light" w:cs="Calibri Light"/>
          <w:b w:val="0"/>
          <w:sz w:val="16"/>
          <w:szCs w:val="16"/>
        </w:rPr>
        <w:footnoteRef/>
      </w:r>
      <w:r w:rsidRPr="00F927B0">
        <w:rPr>
          <w:rFonts w:ascii="Calibri Light" w:hAnsi="Calibri Light" w:cs="Calibri Light"/>
          <w:b w:val="0"/>
          <w:sz w:val="16"/>
          <w:szCs w:val="16"/>
        </w:rPr>
        <w:t xml:space="preserve"> Bank of Ireland Mortgage Bank v. O'Malley [2019] IESC 84 (Supreme Court, Clarke CJ, 29 November 2019)</w:t>
      </w:r>
    </w:p>
  </w:footnote>
  <w:footnote w:id="2">
    <w:p w14:paraId="63967C05" w14:textId="77777777" w:rsidR="003F5A19" w:rsidRPr="00F927B0" w:rsidRDefault="003F5A19">
      <w:pPr>
        <w:pStyle w:val="FootnoteText"/>
        <w:rPr>
          <w:rFonts w:ascii="Calibri Light" w:hAnsi="Calibri Light" w:cs="Calibri Light"/>
          <w:sz w:val="16"/>
          <w:szCs w:val="16"/>
        </w:rPr>
      </w:pPr>
      <w:r w:rsidRPr="00F927B0">
        <w:rPr>
          <w:rStyle w:val="FootnoteReference"/>
          <w:rFonts w:ascii="Calibri Light" w:hAnsi="Calibri Light" w:cs="Calibri Light"/>
          <w:sz w:val="16"/>
          <w:szCs w:val="16"/>
        </w:rPr>
        <w:footnoteRef/>
      </w:r>
      <w:r w:rsidRPr="00F927B0">
        <w:rPr>
          <w:rFonts w:ascii="Calibri Light" w:hAnsi="Calibri Light" w:cs="Calibri Light"/>
          <w:sz w:val="16"/>
          <w:szCs w:val="16"/>
        </w:rPr>
        <w:t xml:space="preserve"> [2019] IESC 84</w:t>
      </w:r>
    </w:p>
  </w:footnote>
  <w:footnote w:id="3">
    <w:p w14:paraId="1F20C92C" w14:textId="77777777" w:rsidR="003F5A19" w:rsidRPr="00F927B0" w:rsidRDefault="003F5A19">
      <w:pPr>
        <w:pStyle w:val="FootnoteText"/>
        <w:rPr>
          <w:rFonts w:ascii="Calibri Light" w:hAnsi="Calibri Light" w:cs="Calibri Light"/>
          <w:sz w:val="16"/>
          <w:szCs w:val="16"/>
        </w:rPr>
      </w:pPr>
      <w:r w:rsidRPr="00F927B0">
        <w:rPr>
          <w:rStyle w:val="FootnoteReference"/>
          <w:rFonts w:ascii="Calibri Light" w:hAnsi="Calibri Light" w:cs="Calibri Light"/>
          <w:sz w:val="16"/>
          <w:szCs w:val="16"/>
        </w:rPr>
        <w:footnoteRef/>
      </w:r>
      <w:r w:rsidRPr="00F927B0">
        <w:rPr>
          <w:rFonts w:ascii="Calibri Light" w:hAnsi="Calibri Light" w:cs="Calibri Light"/>
          <w:sz w:val="16"/>
          <w:szCs w:val="16"/>
        </w:rPr>
        <w:t xml:space="preserve"> [2003] 4 IR 1</w:t>
      </w:r>
    </w:p>
  </w:footnote>
  <w:footnote w:id="4">
    <w:p w14:paraId="47D27267" w14:textId="77777777" w:rsidR="00E31F10" w:rsidRPr="00F927B0" w:rsidRDefault="00E31F10">
      <w:pPr>
        <w:pStyle w:val="FootnoteText"/>
        <w:rPr>
          <w:rFonts w:ascii="Calibri Light" w:hAnsi="Calibri Light" w:cs="Calibri Light"/>
          <w:sz w:val="16"/>
          <w:szCs w:val="16"/>
        </w:rPr>
      </w:pPr>
      <w:r w:rsidRPr="00F927B0">
        <w:rPr>
          <w:rStyle w:val="FootnoteReference"/>
          <w:rFonts w:ascii="Calibri Light" w:hAnsi="Calibri Light" w:cs="Calibri Light"/>
          <w:sz w:val="16"/>
          <w:szCs w:val="16"/>
        </w:rPr>
        <w:footnoteRef/>
      </w:r>
      <w:r w:rsidRPr="00F927B0">
        <w:rPr>
          <w:rFonts w:ascii="Calibri Light" w:hAnsi="Calibri Light" w:cs="Calibri Light"/>
          <w:sz w:val="16"/>
          <w:szCs w:val="16"/>
        </w:rPr>
        <w:t xml:space="preserve"> [2001] 4 IR 607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46B95" w14:textId="4A5877D8" w:rsidR="009E70E8" w:rsidRDefault="00AE0E1D">
    <w:pPr>
      <w:pStyle w:val="Header"/>
      <w:jc w:val="center"/>
    </w:pPr>
    <w:sdt>
      <w:sdtPr>
        <w:id w:val="-472678318"/>
        <w:docPartObj>
          <w:docPartGallery w:val="Page Numbers (Top of Page)"/>
          <w:docPartUnique/>
        </w:docPartObj>
      </w:sdtPr>
      <w:sdtEndPr>
        <w:rPr>
          <w:noProof/>
        </w:rPr>
      </w:sdtEndPr>
      <w:sdtContent>
        <w:r w:rsidR="009E70E8">
          <w:fldChar w:fldCharType="begin"/>
        </w:r>
        <w:r w:rsidR="009E70E8">
          <w:instrText xml:space="preserve"> PAGE   \* MERGEFORMAT </w:instrText>
        </w:r>
        <w:r w:rsidR="009E70E8">
          <w:fldChar w:fldCharType="separate"/>
        </w:r>
        <w:r w:rsidR="00BC5E22">
          <w:rPr>
            <w:noProof/>
          </w:rPr>
          <w:t>6</w:t>
        </w:r>
        <w:r w:rsidR="009E70E8">
          <w:rPr>
            <w:noProof/>
          </w:rPr>
          <w:fldChar w:fldCharType="end"/>
        </w:r>
      </w:sdtContent>
    </w:sdt>
  </w:p>
  <w:p w14:paraId="1100277F" w14:textId="77777777" w:rsidR="009E70E8" w:rsidRDefault="009E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0F3"/>
    <w:multiLevelType w:val="hybridMultilevel"/>
    <w:tmpl w:val="C8AE528A"/>
    <w:lvl w:ilvl="0" w:tplc="C492BB58">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0056AD"/>
    <w:multiLevelType w:val="hybridMultilevel"/>
    <w:tmpl w:val="A136101A"/>
    <w:lvl w:ilvl="0" w:tplc="1AF2375C">
      <w:start w:val="1"/>
      <w:numFmt w:val="decimal"/>
      <w:pStyle w:val="ListParagraph"/>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0641D"/>
    <w:rsid w:val="00010E74"/>
    <w:rsid w:val="00016440"/>
    <w:rsid w:val="00146DF2"/>
    <w:rsid w:val="00157828"/>
    <w:rsid w:val="001736DD"/>
    <w:rsid w:val="001A3598"/>
    <w:rsid w:val="001A77AD"/>
    <w:rsid w:val="001E6B96"/>
    <w:rsid w:val="0020124A"/>
    <w:rsid w:val="00201482"/>
    <w:rsid w:val="00204C15"/>
    <w:rsid w:val="002551CA"/>
    <w:rsid w:val="00263C80"/>
    <w:rsid w:val="00274D3A"/>
    <w:rsid w:val="00283012"/>
    <w:rsid w:val="002E41CE"/>
    <w:rsid w:val="00326C3C"/>
    <w:rsid w:val="00347263"/>
    <w:rsid w:val="003A3316"/>
    <w:rsid w:val="003C75EC"/>
    <w:rsid w:val="003F5A19"/>
    <w:rsid w:val="0041528C"/>
    <w:rsid w:val="00444A9E"/>
    <w:rsid w:val="00460AAD"/>
    <w:rsid w:val="00462DD4"/>
    <w:rsid w:val="00487AFC"/>
    <w:rsid w:val="00493B71"/>
    <w:rsid w:val="004B4670"/>
    <w:rsid w:val="004D07F2"/>
    <w:rsid w:val="0051132C"/>
    <w:rsid w:val="00536877"/>
    <w:rsid w:val="005641AC"/>
    <w:rsid w:val="00582849"/>
    <w:rsid w:val="005A466E"/>
    <w:rsid w:val="005C2407"/>
    <w:rsid w:val="005C2495"/>
    <w:rsid w:val="006306EC"/>
    <w:rsid w:val="00665E2F"/>
    <w:rsid w:val="006B493B"/>
    <w:rsid w:val="006E1512"/>
    <w:rsid w:val="006E6CE0"/>
    <w:rsid w:val="0072082D"/>
    <w:rsid w:val="00721F9E"/>
    <w:rsid w:val="00735498"/>
    <w:rsid w:val="00743B98"/>
    <w:rsid w:val="007818CC"/>
    <w:rsid w:val="00783C6C"/>
    <w:rsid w:val="007A698B"/>
    <w:rsid w:val="007D3852"/>
    <w:rsid w:val="007F1903"/>
    <w:rsid w:val="007F3C7E"/>
    <w:rsid w:val="00812F84"/>
    <w:rsid w:val="0087460C"/>
    <w:rsid w:val="00894279"/>
    <w:rsid w:val="008C4965"/>
    <w:rsid w:val="008F41D5"/>
    <w:rsid w:val="00947755"/>
    <w:rsid w:val="00951D28"/>
    <w:rsid w:val="009B2771"/>
    <w:rsid w:val="009D0746"/>
    <w:rsid w:val="009D2382"/>
    <w:rsid w:val="009E484A"/>
    <w:rsid w:val="009E70E8"/>
    <w:rsid w:val="00A5678E"/>
    <w:rsid w:val="00A9718B"/>
    <w:rsid w:val="00AA694F"/>
    <w:rsid w:val="00AE0E1D"/>
    <w:rsid w:val="00B25737"/>
    <w:rsid w:val="00B719D9"/>
    <w:rsid w:val="00BA62A4"/>
    <w:rsid w:val="00BC5E22"/>
    <w:rsid w:val="00BF6800"/>
    <w:rsid w:val="00C02605"/>
    <w:rsid w:val="00C76791"/>
    <w:rsid w:val="00C96DDE"/>
    <w:rsid w:val="00CB4911"/>
    <w:rsid w:val="00CE0390"/>
    <w:rsid w:val="00CF3536"/>
    <w:rsid w:val="00D238EC"/>
    <w:rsid w:val="00D325AF"/>
    <w:rsid w:val="00D42565"/>
    <w:rsid w:val="00DC60F0"/>
    <w:rsid w:val="00DD7EF4"/>
    <w:rsid w:val="00DE4775"/>
    <w:rsid w:val="00DE6E96"/>
    <w:rsid w:val="00DF7CB1"/>
    <w:rsid w:val="00E31F10"/>
    <w:rsid w:val="00E42C26"/>
    <w:rsid w:val="00E607A3"/>
    <w:rsid w:val="00E672B2"/>
    <w:rsid w:val="00E8199C"/>
    <w:rsid w:val="00E86C0F"/>
    <w:rsid w:val="00E918D2"/>
    <w:rsid w:val="00E91E15"/>
    <w:rsid w:val="00EA33EB"/>
    <w:rsid w:val="00EB64DD"/>
    <w:rsid w:val="00F64796"/>
    <w:rsid w:val="00F7011D"/>
    <w:rsid w:val="00F927B0"/>
    <w:rsid w:val="00FA54F7"/>
    <w:rsid w:val="00FB37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70E9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paragraph" w:styleId="Heading2">
    <w:name w:val="heading 2"/>
    <w:basedOn w:val="Normal"/>
    <w:next w:val="Normal"/>
    <w:link w:val="Heading2Char"/>
    <w:uiPriority w:val="9"/>
    <w:unhideWhenUsed/>
    <w:qFormat/>
    <w:rsid w:val="00CE0390"/>
    <w:pPr>
      <w:outlineLvl w:val="1"/>
    </w:pPr>
    <w:rPr>
      <w:rFonts w:ascii="Calibri" w:hAnsi="Calibri" w:cstheme="minorHAnsi"/>
      <w:b/>
      <w:bCs/>
      <w:color w:val="26262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CE0390"/>
    <w:pPr>
      <w:numPr>
        <w:numId w:val="4"/>
      </w:numPr>
      <w:spacing w:line="276" w:lineRule="auto"/>
      <w:contextualSpacing/>
    </w:pPr>
    <w:rPr>
      <w:rFonts w:ascii="Calibri" w:hAnsi="Calibri" w:cs="Calibri"/>
      <w:sz w:val="22"/>
      <w:szCs w:val="22"/>
    </w:rPr>
  </w:style>
  <w:style w:type="paragraph" w:styleId="FootnoteText">
    <w:name w:val="footnote text"/>
    <w:basedOn w:val="Normal"/>
    <w:link w:val="FootnoteTextChar"/>
    <w:uiPriority w:val="99"/>
    <w:semiHidden/>
    <w:unhideWhenUsed/>
    <w:rsid w:val="00CE0390"/>
    <w:rPr>
      <w:sz w:val="20"/>
      <w:szCs w:val="20"/>
    </w:rPr>
  </w:style>
  <w:style w:type="character" w:customStyle="1" w:styleId="FootnoteTextChar">
    <w:name w:val="Footnote Text Char"/>
    <w:basedOn w:val="DefaultParagraphFont"/>
    <w:link w:val="FootnoteText"/>
    <w:uiPriority w:val="99"/>
    <w:semiHidden/>
    <w:rsid w:val="00CE0390"/>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CE0390"/>
    <w:rPr>
      <w:vertAlign w:val="superscript"/>
    </w:rPr>
  </w:style>
  <w:style w:type="character" w:customStyle="1" w:styleId="Heading2Char">
    <w:name w:val="Heading 2 Char"/>
    <w:basedOn w:val="DefaultParagraphFont"/>
    <w:link w:val="Heading2"/>
    <w:uiPriority w:val="9"/>
    <w:rsid w:val="00CE0390"/>
    <w:rPr>
      <w:rFonts w:ascii="Calibri" w:eastAsia="Times New Roman" w:hAnsi="Calibri" w:cstheme="minorHAnsi"/>
      <w:b/>
      <w:bCs/>
      <w:color w:val="262626"/>
      <w:lang w:eastAsia="en-IE"/>
    </w:rPr>
  </w:style>
  <w:style w:type="character" w:styleId="CommentReference">
    <w:name w:val="annotation reference"/>
    <w:basedOn w:val="DefaultParagraphFont"/>
    <w:uiPriority w:val="99"/>
    <w:semiHidden/>
    <w:unhideWhenUsed/>
    <w:rsid w:val="00DC60F0"/>
    <w:rPr>
      <w:sz w:val="16"/>
      <w:szCs w:val="16"/>
    </w:rPr>
  </w:style>
  <w:style w:type="paragraph" w:styleId="CommentText">
    <w:name w:val="annotation text"/>
    <w:basedOn w:val="Normal"/>
    <w:link w:val="CommentTextChar"/>
    <w:uiPriority w:val="99"/>
    <w:semiHidden/>
    <w:unhideWhenUsed/>
    <w:rsid w:val="00DC60F0"/>
    <w:rPr>
      <w:sz w:val="20"/>
      <w:szCs w:val="20"/>
    </w:rPr>
  </w:style>
  <w:style w:type="character" w:customStyle="1" w:styleId="CommentTextChar">
    <w:name w:val="Comment Text Char"/>
    <w:basedOn w:val="DefaultParagraphFont"/>
    <w:link w:val="CommentText"/>
    <w:uiPriority w:val="99"/>
    <w:semiHidden/>
    <w:rsid w:val="00DC60F0"/>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DC60F0"/>
    <w:rPr>
      <w:b/>
      <w:bCs/>
    </w:rPr>
  </w:style>
  <w:style w:type="character" w:customStyle="1" w:styleId="CommentSubjectChar">
    <w:name w:val="Comment Subject Char"/>
    <w:basedOn w:val="CommentTextChar"/>
    <w:link w:val="CommentSubject"/>
    <w:uiPriority w:val="99"/>
    <w:semiHidden/>
    <w:rsid w:val="00DC60F0"/>
    <w:rPr>
      <w:rFonts w:ascii="Times New Roman" w:eastAsia="Times New Roman" w:hAnsi="Times New Roman" w:cs="Times New Roman"/>
      <w:b/>
      <w:bCs/>
      <w:sz w:val="20"/>
      <w:szCs w:val="20"/>
      <w:lang w:eastAsia="en-IE"/>
    </w:rPr>
  </w:style>
  <w:style w:type="paragraph" w:styleId="BalloonText">
    <w:name w:val="Balloon Text"/>
    <w:basedOn w:val="Normal"/>
    <w:link w:val="BalloonTextChar"/>
    <w:uiPriority w:val="99"/>
    <w:semiHidden/>
    <w:unhideWhenUsed/>
    <w:rsid w:val="00DC60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0F0"/>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1526</Words>
  <Characters>8703</Characters>
  <Application>Microsoft Office Word</Application>
  <DocSecurity>0</DocSecurity>
  <Lines>72</Lines>
  <Paragraphs>20</Paragraphs>
  <ScaleCrop>false</ScaleCrop>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2022-02-08T13:22:00Z</dcterms:created>
  <dcterms:modified xsi:type="dcterms:W3CDTF">2022-02-08T13:22:00Z</dcterms:modified>
</cp:coreProperties>
</file>