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90FC" w14:textId="77777777" w:rsidR="00FD29A3" w:rsidRDefault="00FD29A3" w:rsidP="00FD29A3">
      <w:pPr>
        <w:spacing w:line="480" w:lineRule="auto"/>
        <w:jc w:val="center"/>
        <w:rPr>
          <w:b/>
          <w:sz w:val="32"/>
          <w:szCs w:val="32"/>
        </w:rPr>
      </w:pPr>
      <w:r w:rsidRPr="00A26BC6">
        <w:rPr>
          <w:b/>
          <w:sz w:val="32"/>
          <w:szCs w:val="32"/>
        </w:rPr>
        <w:t>THE HIGH COURT</w:t>
      </w:r>
    </w:p>
    <w:p w14:paraId="2B11FC39" w14:textId="77777777" w:rsidR="00FD29A3" w:rsidRPr="00B73263" w:rsidRDefault="00FD29A3" w:rsidP="00FD29A3">
      <w:pPr>
        <w:spacing w:line="480" w:lineRule="auto"/>
        <w:jc w:val="center"/>
        <w:rPr>
          <w:b/>
        </w:rPr>
      </w:pPr>
      <w:r w:rsidRPr="00B73263">
        <w:rPr>
          <w:b/>
        </w:rPr>
        <w:t>COMMERCIAL</w:t>
      </w:r>
    </w:p>
    <w:p w14:paraId="6C05E707" w14:textId="77777777" w:rsidR="00DA5D43" w:rsidRDefault="00DA5D43" w:rsidP="00B67B16">
      <w:pPr>
        <w:spacing w:line="360" w:lineRule="auto"/>
        <w:jc w:val="right"/>
        <w:rPr>
          <w:b/>
        </w:rPr>
      </w:pPr>
      <w:bookmarkStart w:id="0" w:name="_Hlk1399264"/>
      <w:r>
        <w:rPr>
          <w:b/>
        </w:rPr>
        <w:t>[2022] IEHC 92</w:t>
      </w:r>
    </w:p>
    <w:p w14:paraId="397CECF5" w14:textId="77777777" w:rsidR="00FD29A3" w:rsidRDefault="00B67B16" w:rsidP="00B67B16">
      <w:pPr>
        <w:spacing w:line="360" w:lineRule="auto"/>
        <w:jc w:val="right"/>
        <w:rPr>
          <w:b/>
        </w:rPr>
      </w:pPr>
      <w:r>
        <w:rPr>
          <w:b/>
        </w:rPr>
        <w:t>[</w:t>
      </w:r>
      <w:r>
        <w:rPr>
          <w:b/>
          <w:bCs/>
        </w:rPr>
        <w:t xml:space="preserve">2010 No. 9146 </w:t>
      </w:r>
      <w:r w:rsidR="00FD29A3" w:rsidRPr="007B5B71">
        <w:rPr>
          <w:b/>
          <w:bCs/>
        </w:rPr>
        <w:t>P</w:t>
      </w:r>
      <w:r>
        <w:rPr>
          <w:b/>
          <w:bCs/>
        </w:rPr>
        <w:t>]</w:t>
      </w:r>
    </w:p>
    <w:p w14:paraId="089B3EC3" w14:textId="77777777" w:rsidR="00FD29A3" w:rsidRPr="007B5B71" w:rsidRDefault="00FD29A3" w:rsidP="00FD29A3">
      <w:pPr>
        <w:spacing w:line="360" w:lineRule="auto"/>
        <w:rPr>
          <w:b/>
        </w:rPr>
      </w:pPr>
      <w:r>
        <w:rPr>
          <w:b/>
        </w:rPr>
        <w:t>BETWEEN</w:t>
      </w:r>
    </w:p>
    <w:p w14:paraId="46C36474" w14:textId="77777777" w:rsidR="00FD29A3" w:rsidRPr="00B73263" w:rsidRDefault="00B67B16" w:rsidP="00FD29A3">
      <w:pPr>
        <w:spacing w:line="360" w:lineRule="auto"/>
        <w:jc w:val="center"/>
      </w:pPr>
      <w:r>
        <w:rPr>
          <w:b/>
        </w:rPr>
        <w:t>ACC BANK PLC</w:t>
      </w:r>
    </w:p>
    <w:p w14:paraId="50F19706" w14:textId="77777777" w:rsidR="00FD29A3" w:rsidRPr="007B5B71" w:rsidRDefault="00FD29A3" w:rsidP="00FD29A3">
      <w:pPr>
        <w:spacing w:line="360" w:lineRule="auto"/>
        <w:jc w:val="right"/>
        <w:rPr>
          <w:b/>
        </w:rPr>
      </w:pPr>
      <w:r w:rsidRPr="007B5B71">
        <w:rPr>
          <w:b/>
        </w:rPr>
        <w:t>PLAINTIFF</w:t>
      </w:r>
    </w:p>
    <w:p w14:paraId="5F3B95B2" w14:textId="77777777" w:rsidR="00FD29A3" w:rsidRPr="007B5B71" w:rsidRDefault="00FD29A3" w:rsidP="00FD29A3">
      <w:pPr>
        <w:spacing w:line="360" w:lineRule="auto"/>
        <w:jc w:val="right"/>
        <w:rPr>
          <w:b/>
        </w:rPr>
      </w:pPr>
    </w:p>
    <w:p w14:paraId="0BEAC9AD" w14:textId="77777777" w:rsidR="00FD29A3" w:rsidRPr="007B5B71" w:rsidRDefault="00B67B16" w:rsidP="00B67B16">
      <w:pPr>
        <w:spacing w:line="360" w:lineRule="auto"/>
        <w:jc w:val="center"/>
        <w:rPr>
          <w:b/>
        </w:rPr>
      </w:pPr>
      <w:r>
        <w:rPr>
          <w:b/>
        </w:rPr>
        <w:t>AND</w:t>
      </w:r>
    </w:p>
    <w:p w14:paraId="49479690" w14:textId="77777777" w:rsidR="00FD29A3" w:rsidRDefault="00FD29A3" w:rsidP="00FD29A3">
      <w:pPr>
        <w:spacing w:line="360" w:lineRule="auto"/>
        <w:jc w:val="center"/>
        <w:rPr>
          <w:b/>
        </w:rPr>
      </w:pPr>
    </w:p>
    <w:p w14:paraId="5A67EC4D" w14:textId="77777777" w:rsidR="00B67B16" w:rsidRPr="007B5B71" w:rsidRDefault="00B67B16" w:rsidP="00FD29A3">
      <w:pPr>
        <w:spacing w:line="360" w:lineRule="auto"/>
        <w:jc w:val="center"/>
        <w:rPr>
          <w:b/>
        </w:rPr>
      </w:pPr>
      <w:r>
        <w:rPr>
          <w:b/>
        </w:rPr>
        <w:t>THOMAS JOYCE, PATRICIA JOYCE, NIALL O’MEACHAIR AND VALWICK PROPERTIES</w:t>
      </w:r>
    </w:p>
    <w:p w14:paraId="5FE12594" w14:textId="77777777" w:rsidR="00FD29A3" w:rsidRPr="00B73263" w:rsidRDefault="00FD29A3" w:rsidP="00FD29A3">
      <w:pPr>
        <w:spacing w:line="360" w:lineRule="auto"/>
        <w:jc w:val="right"/>
        <w:rPr>
          <w:b/>
          <w:lang w:val="en-US"/>
        </w:rPr>
      </w:pPr>
      <w:r w:rsidRPr="007B5B71">
        <w:rPr>
          <w:b/>
        </w:rPr>
        <w:t>DEFENDANTS</w:t>
      </w:r>
      <w:bookmarkEnd w:id="0"/>
    </w:p>
    <w:p w14:paraId="5B6B9646" w14:textId="77777777" w:rsidR="00FD29A3" w:rsidRDefault="00FD29A3" w:rsidP="00C44D5B">
      <w:pPr>
        <w:spacing w:line="480" w:lineRule="auto"/>
        <w:jc w:val="both"/>
        <w:rPr>
          <w:b/>
          <w:u w:val="single"/>
        </w:rPr>
      </w:pPr>
      <w:r w:rsidRPr="00171399">
        <w:rPr>
          <w:b/>
          <w:u w:val="single"/>
        </w:rPr>
        <w:t xml:space="preserve">JUDGMENT of </w:t>
      </w:r>
      <w:r>
        <w:rPr>
          <w:b/>
          <w:u w:val="single"/>
        </w:rPr>
        <w:t xml:space="preserve">Mr. Justice Denis McDonald </w:t>
      </w:r>
      <w:r w:rsidR="00B67B16">
        <w:rPr>
          <w:b/>
          <w:u w:val="single"/>
        </w:rPr>
        <w:t xml:space="preserve">delivered on </w:t>
      </w:r>
      <w:proofErr w:type="gramStart"/>
      <w:r w:rsidR="002A7E4B">
        <w:rPr>
          <w:b/>
          <w:u w:val="single"/>
        </w:rPr>
        <w:t>2</w:t>
      </w:r>
      <w:r w:rsidR="00E35D70">
        <w:rPr>
          <w:b/>
          <w:u w:val="single"/>
        </w:rPr>
        <w:t>2</w:t>
      </w:r>
      <w:r w:rsidR="002A7E4B" w:rsidRPr="002A7E4B">
        <w:rPr>
          <w:b/>
          <w:u w:val="single"/>
          <w:vertAlign w:val="superscript"/>
        </w:rPr>
        <w:t>th</w:t>
      </w:r>
      <w:proofErr w:type="gramEnd"/>
      <w:r w:rsidR="005B1B39">
        <w:rPr>
          <w:b/>
          <w:u w:val="single"/>
        </w:rPr>
        <w:t xml:space="preserve"> </w:t>
      </w:r>
      <w:r w:rsidR="00C44D5B">
        <w:rPr>
          <w:b/>
          <w:u w:val="single"/>
        </w:rPr>
        <w:t>February</w:t>
      </w:r>
      <w:r w:rsidR="005B1B39">
        <w:rPr>
          <w:b/>
          <w:u w:val="single"/>
        </w:rPr>
        <w:t xml:space="preserve"> </w:t>
      </w:r>
      <w:r>
        <w:rPr>
          <w:b/>
          <w:u w:val="single"/>
        </w:rPr>
        <w:t>2022</w:t>
      </w:r>
    </w:p>
    <w:p w14:paraId="4970F0C4" w14:textId="77777777" w:rsidR="00FD29A3" w:rsidRDefault="00FD29A3" w:rsidP="00C44D5B">
      <w:pPr>
        <w:spacing w:line="480" w:lineRule="auto"/>
        <w:jc w:val="both"/>
        <w:rPr>
          <w:b/>
          <w:u w:val="single"/>
        </w:rPr>
      </w:pPr>
    </w:p>
    <w:p w14:paraId="0CD17A47" w14:textId="77777777" w:rsidR="005A24B7" w:rsidRDefault="00B67B16" w:rsidP="00C44D5B">
      <w:pPr>
        <w:numPr>
          <w:ilvl w:val="0"/>
          <w:numId w:val="8"/>
        </w:numPr>
        <w:spacing w:line="480" w:lineRule="auto"/>
        <w:jc w:val="both"/>
      </w:pPr>
      <w:r>
        <w:t xml:space="preserve">This judgment addresses the relief claimed in para. 2 of the applicant’s notice of motion dated </w:t>
      </w:r>
      <w:r w:rsidR="002663B8">
        <w:t>12</w:t>
      </w:r>
      <w:r w:rsidR="002663B8" w:rsidRPr="002663B8">
        <w:rPr>
          <w:vertAlign w:val="superscript"/>
        </w:rPr>
        <w:t>th</w:t>
      </w:r>
      <w:r w:rsidR="002663B8">
        <w:t xml:space="preserve"> May 2021</w:t>
      </w:r>
      <w:r w:rsidR="00877043">
        <w:t xml:space="preserve"> by which the applicant, Cabot Financial (Ireland) Ltd</w:t>
      </w:r>
      <w:r w:rsidR="005B1B39">
        <w:t>.</w:t>
      </w:r>
      <w:r w:rsidR="00877043">
        <w:t xml:space="preserve"> (</w:t>
      </w:r>
      <w:r w:rsidR="00877043">
        <w:rPr>
          <w:i/>
        </w:rPr>
        <w:t>“Cabot”</w:t>
      </w:r>
      <w:r w:rsidR="00A6735B">
        <w:t>) seeks</w:t>
      </w:r>
      <w:r w:rsidR="00877043">
        <w:t xml:space="preserve"> an order pursuant to O. 42, r. 24 granting Cabot leave to </w:t>
      </w:r>
      <w:r w:rsidR="00DF5780">
        <w:t xml:space="preserve">issue execution as against the third named defendant, Mr. O’Meachair, on foot of a judgment obtained by ACC Bank </w:t>
      </w:r>
      <w:r w:rsidR="005B1B39">
        <w:t>p</w:t>
      </w:r>
      <w:r w:rsidR="00DF5780">
        <w:t>lc against him on 15</w:t>
      </w:r>
      <w:r w:rsidR="00DF5780" w:rsidRPr="00DF5780">
        <w:rPr>
          <w:vertAlign w:val="superscript"/>
        </w:rPr>
        <w:t>th</w:t>
      </w:r>
      <w:r w:rsidR="00DF5780">
        <w:t xml:space="preserve"> November 2010 in the sum of €271,637.31 together with the costs of the proceedings </w:t>
      </w:r>
      <w:r w:rsidR="005B1B39">
        <w:t>(</w:t>
      </w:r>
      <w:r w:rsidR="00DF5780">
        <w:t>limited to six-day costs</w:t>
      </w:r>
      <w:r w:rsidR="005B1B39">
        <w:t>)</w:t>
      </w:r>
      <w:r w:rsidR="00DF5780">
        <w:t xml:space="preserve">. </w:t>
      </w:r>
      <w:r w:rsidR="00A6735B">
        <w:t xml:space="preserve">In circumstances where that judgment is now more than six years old, the leave of the court is required before any steps are taken to </w:t>
      </w:r>
      <w:r w:rsidR="00FE6A7A">
        <w:t>execute the judgment.</w:t>
      </w:r>
    </w:p>
    <w:p w14:paraId="5B4CBEEC" w14:textId="77777777" w:rsidR="00DF5780" w:rsidRDefault="00DF5780" w:rsidP="00C44D5B">
      <w:pPr>
        <w:numPr>
          <w:ilvl w:val="0"/>
          <w:numId w:val="8"/>
        </w:numPr>
        <w:spacing w:line="480" w:lineRule="auto"/>
        <w:jc w:val="both"/>
      </w:pPr>
      <w:r>
        <w:t>It should be noted that Cabot h</w:t>
      </w:r>
      <w:r w:rsidR="00FE6A7A">
        <w:t>ad previously</w:t>
      </w:r>
      <w:r>
        <w:t xml:space="preserve"> sought an order pursuant to O. 17, r. 4 substituting it as plaintiff in these proceedings in place of ACC Bank </w:t>
      </w:r>
      <w:r w:rsidR="005B1B39">
        <w:t>p</w:t>
      </w:r>
      <w:r>
        <w:t>lc. At a hearing on 22</w:t>
      </w:r>
      <w:r w:rsidRPr="00DF5780">
        <w:rPr>
          <w:vertAlign w:val="superscript"/>
        </w:rPr>
        <w:t>nd</w:t>
      </w:r>
      <w:r>
        <w:t xml:space="preserve"> </w:t>
      </w:r>
      <w:r w:rsidR="00C44D5B">
        <w:t>October</w:t>
      </w:r>
      <w:r>
        <w:t xml:space="preserve"> 2021, I made such an order, after hearing submissions from counsel for the plaintiff and from Mr. O’Meachair who appeared in person. Although Mr. O’Meachair opposed the order under O. 17, r. 4, I was satisfied, </w:t>
      </w:r>
      <w:proofErr w:type="gramStart"/>
      <w:r>
        <w:t>on the basis of</w:t>
      </w:r>
      <w:proofErr w:type="gramEnd"/>
      <w:r>
        <w:t xml:space="preserve"> </w:t>
      </w:r>
      <w:r>
        <w:lastRenderedPageBreak/>
        <w:t xml:space="preserve">the evidence placed before the court, that such an order should be made. On that occasion, I adjourned the application made by Cabot for an order pursuant to O. 42, r. 24 in order to allow Cabot an opportunity to place further evidence before the court in relation to </w:t>
      </w:r>
      <w:r w:rsidR="00FE6A7A">
        <w:t xml:space="preserve">the lapse of time since </w:t>
      </w:r>
      <w:r>
        <w:t xml:space="preserve">the judgment </w:t>
      </w:r>
      <w:r w:rsidR="00FE6A7A">
        <w:t>was obtained on 15</w:t>
      </w:r>
      <w:r w:rsidR="00FE6A7A" w:rsidRPr="00FE6A7A">
        <w:rPr>
          <w:vertAlign w:val="superscript"/>
        </w:rPr>
        <w:t>th</w:t>
      </w:r>
      <w:r w:rsidR="00FE6A7A">
        <w:t xml:space="preserve"> November 2010 and to give</w:t>
      </w:r>
      <w:r>
        <w:t xml:space="preserve"> Mr. O’Meachair</w:t>
      </w:r>
      <w:r w:rsidR="00FE6A7A">
        <w:t xml:space="preserve"> the opportunity</w:t>
      </w:r>
      <w:r>
        <w:t xml:space="preserve"> to place</w:t>
      </w:r>
      <w:r w:rsidR="00FE6A7A">
        <w:t xml:space="preserve"> further</w:t>
      </w:r>
      <w:r>
        <w:t xml:space="preserve"> evidence before the court in relation to any prejudice claimed to </w:t>
      </w:r>
      <w:r w:rsidR="005B1B39">
        <w:t>have been</w:t>
      </w:r>
      <w:r>
        <w:t xml:space="preserve"> sustained by him as a consequence of the lapse of time </w:t>
      </w:r>
      <w:r w:rsidR="005B1B39">
        <w:t>in executing the judgment against him</w:t>
      </w:r>
      <w:r>
        <w:t xml:space="preserve">. </w:t>
      </w:r>
    </w:p>
    <w:p w14:paraId="2A45485D" w14:textId="77777777" w:rsidR="00DF5780" w:rsidRDefault="00DF5780" w:rsidP="00C44D5B">
      <w:pPr>
        <w:numPr>
          <w:ilvl w:val="0"/>
          <w:numId w:val="8"/>
        </w:numPr>
        <w:spacing w:line="480" w:lineRule="auto"/>
        <w:jc w:val="both"/>
      </w:pPr>
      <w:r>
        <w:t>Both Cabot and Mr. O’Meachair availed of the opportunity to place further evidence before the court and a further hearing took place of the application under O. 42, r. 24 on 16</w:t>
      </w:r>
      <w:r w:rsidRPr="00DF5780">
        <w:rPr>
          <w:vertAlign w:val="superscript"/>
        </w:rPr>
        <w:t>th</w:t>
      </w:r>
      <w:r>
        <w:t xml:space="preserve"> </w:t>
      </w:r>
      <w:r w:rsidR="00C44D5B">
        <w:t>December</w:t>
      </w:r>
      <w:r>
        <w:t xml:space="preserve"> 2021.</w:t>
      </w:r>
      <w:r w:rsidR="00FE6A7A">
        <w:t xml:space="preserve"> The evidence placed before the court by Cabot is examined further below. Insofar as the evidence of Mr. O’Meachair is concerned, he </w:t>
      </w:r>
      <w:r w:rsidR="005B1B39">
        <w:t xml:space="preserve">made the point that, </w:t>
      </w:r>
      <w:proofErr w:type="gramStart"/>
      <w:r w:rsidR="005B1B39">
        <w:t>in light of</w:t>
      </w:r>
      <w:proofErr w:type="gramEnd"/>
      <w:r w:rsidR="005B1B39">
        <w:t xml:space="preserve"> the long period which has elapsed since judgment was given, he had been led to believe that it would not be enforced. He also </w:t>
      </w:r>
      <w:r w:rsidR="00FE6A7A">
        <w:t xml:space="preserve">raised an issue in relation to the </w:t>
      </w:r>
      <w:proofErr w:type="gramStart"/>
      <w:r w:rsidR="00FE6A7A">
        <w:t>manner in which</w:t>
      </w:r>
      <w:proofErr w:type="gramEnd"/>
      <w:r w:rsidR="00FE6A7A">
        <w:t xml:space="preserve"> one </w:t>
      </w:r>
      <w:r w:rsidR="005A0F5A">
        <w:t xml:space="preserve">of his assets had previously been realised by ACC Bank </w:t>
      </w:r>
      <w:r w:rsidR="005B1B39">
        <w:t>p</w:t>
      </w:r>
      <w:r w:rsidR="005A0F5A">
        <w:t xml:space="preserve">lc in part discharge of the judgment </w:t>
      </w:r>
      <w:r w:rsidR="005B1B39">
        <w:t>debt</w:t>
      </w:r>
      <w:r w:rsidR="005A0F5A">
        <w:t xml:space="preserve">. </w:t>
      </w:r>
      <w:r w:rsidR="002A7E4B">
        <w:t xml:space="preserve">In particular, he complained strongly that ACC Bank plc had failed to realise value for the asset. </w:t>
      </w:r>
      <w:r w:rsidR="005A0F5A">
        <w:t xml:space="preserve">He </w:t>
      </w:r>
      <w:r w:rsidR="005B1B39">
        <w:t>further</w:t>
      </w:r>
      <w:r w:rsidR="005A0F5A">
        <w:t xml:space="preserve"> raised issues in relation to the</w:t>
      </w:r>
      <w:r w:rsidR="005B1B39">
        <w:t xml:space="preserve"> net amount due on foot of</w:t>
      </w:r>
      <w:r w:rsidR="005A0F5A">
        <w:t xml:space="preserve"> the judgment. In addition, he sought to rely on Article 6.1 of the European Convention on Human Rights (</w:t>
      </w:r>
      <w:r w:rsidR="005A0F5A">
        <w:rPr>
          <w:i/>
        </w:rPr>
        <w:t>“ECHR”</w:t>
      </w:r>
      <w:r w:rsidR="005A0F5A">
        <w:t xml:space="preserve">) and on the </w:t>
      </w:r>
      <w:r w:rsidR="005B1B39">
        <w:t xml:space="preserve">decision of the Supreme Court in </w:t>
      </w:r>
      <w:r w:rsidR="005A0F5A">
        <w:rPr>
          <w:i/>
        </w:rPr>
        <w:t xml:space="preserve">Primor plc v. Stokes Kennedy Crowley </w:t>
      </w:r>
      <w:r w:rsidR="005A0F5A">
        <w:t xml:space="preserve">[1996] 2 I.R. 459 and related authorities. As explained further below, </w:t>
      </w:r>
      <w:r w:rsidR="00F00D86">
        <w:t>it seems to me that th</w:t>
      </w:r>
      <w:r w:rsidR="002A7E4B">
        <w:t xml:space="preserve">e </w:t>
      </w:r>
      <w:r w:rsidR="002A7E4B">
        <w:rPr>
          <w:i/>
        </w:rPr>
        <w:t xml:space="preserve">Primor </w:t>
      </w:r>
      <w:r w:rsidR="00F00D86">
        <w:t xml:space="preserve">line of authority is inapplicable in the context of O. 42, r. 24. </w:t>
      </w:r>
      <w:r w:rsidR="005A0F5A">
        <w:rPr>
          <w:i/>
        </w:rPr>
        <w:t xml:space="preserve"> </w:t>
      </w:r>
      <w:r w:rsidR="005A0F5A">
        <w:t xml:space="preserve"> </w:t>
      </w:r>
    </w:p>
    <w:p w14:paraId="3EF5EF74" w14:textId="77777777" w:rsidR="00DF5780" w:rsidRDefault="00DF5780" w:rsidP="00C44D5B">
      <w:pPr>
        <w:numPr>
          <w:ilvl w:val="0"/>
          <w:numId w:val="8"/>
        </w:numPr>
        <w:spacing w:line="480" w:lineRule="auto"/>
        <w:jc w:val="both"/>
      </w:pPr>
      <w:proofErr w:type="gramStart"/>
      <w:r>
        <w:t>A number of</w:t>
      </w:r>
      <w:proofErr w:type="gramEnd"/>
      <w:r>
        <w:t xml:space="preserve"> the provisions of O. 42 are relevant to an application of this kind. </w:t>
      </w:r>
      <w:proofErr w:type="gramStart"/>
      <w:r>
        <w:t>In particular, O.</w:t>
      </w:r>
      <w:proofErr w:type="gramEnd"/>
      <w:r>
        <w:t xml:space="preserve"> 42, r. 23 and </w:t>
      </w:r>
      <w:r w:rsidR="005B1B39">
        <w:t xml:space="preserve">r. </w:t>
      </w:r>
      <w:r>
        <w:t>24</w:t>
      </w:r>
      <w:r w:rsidR="00F00D86">
        <w:t xml:space="preserve"> are relevant. O. 42, r. 23</w:t>
      </w:r>
      <w:r>
        <w:t xml:space="preserve"> provide</w:t>
      </w:r>
      <w:r w:rsidR="00F00D86">
        <w:t xml:space="preserve">s for a six-year period for execution on foot of a judgment. </w:t>
      </w:r>
      <w:r w:rsidR="002A7E4B">
        <w:t xml:space="preserve">However, </w:t>
      </w:r>
      <w:r w:rsidR="00F00D86">
        <w:t>O. 42, r. 24 permits the court to extend the six-year period. These rules provide</w:t>
      </w:r>
      <w:r>
        <w:t xml:space="preserve"> as </w:t>
      </w:r>
      <w:proofErr w:type="gramStart"/>
      <w:r>
        <w:t>follows:-</w:t>
      </w:r>
      <w:proofErr w:type="gramEnd"/>
    </w:p>
    <w:p w14:paraId="7BEFFC8B" w14:textId="77777777" w:rsidR="00CA4FB7" w:rsidRPr="00CA4FB7" w:rsidRDefault="00DF5780" w:rsidP="00C44D5B">
      <w:pPr>
        <w:spacing w:line="480" w:lineRule="auto"/>
        <w:ind w:left="1440" w:hanging="720"/>
        <w:jc w:val="both"/>
        <w:rPr>
          <w:i/>
          <w:iCs/>
          <w:lang w:val="en-US"/>
        </w:rPr>
      </w:pPr>
      <w:r>
        <w:rPr>
          <w:i/>
        </w:rPr>
        <w:lastRenderedPageBreak/>
        <w:t>“</w:t>
      </w:r>
      <w:r w:rsidR="00CA4FB7" w:rsidRPr="00CA4FB7">
        <w:rPr>
          <w:i/>
          <w:iCs/>
          <w:lang w:val="en-US"/>
        </w:rPr>
        <w:t xml:space="preserve">23. </w:t>
      </w:r>
      <w:r w:rsidR="00CA4FB7">
        <w:rPr>
          <w:i/>
          <w:iCs/>
          <w:lang w:val="en-US"/>
        </w:rPr>
        <w:tab/>
      </w:r>
      <w:r w:rsidR="00CA4FB7" w:rsidRPr="00CA4FB7">
        <w:rPr>
          <w:i/>
          <w:iCs/>
          <w:lang w:val="en-US"/>
        </w:rPr>
        <w:t>As between the original parties to a judgment or order, execution may issue at</w:t>
      </w:r>
      <w:r w:rsidR="00CA4FB7">
        <w:rPr>
          <w:i/>
          <w:iCs/>
          <w:lang w:val="en-US"/>
        </w:rPr>
        <w:t xml:space="preserve"> </w:t>
      </w:r>
      <w:r w:rsidR="00CA4FB7" w:rsidRPr="00CA4FB7">
        <w:rPr>
          <w:i/>
          <w:iCs/>
          <w:lang w:val="en-US"/>
        </w:rPr>
        <w:t>any time within six years from the recovery of the judgment, or the date of the order.</w:t>
      </w:r>
    </w:p>
    <w:p w14:paraId="40B864AB" w14:textId="77777777" w:rsidR="00CA4FB7" w:rsidRDefault="00CA4FB7" w:rsidP="00C44D5B">
      <w:pPr>
        <w:spacing w:line="480" w:lineRule="auto"/>
        <w:ind w:left="720"/>
        <w:jc w:val="both"/>
        <w:rPr>
          <w:i/>
          <w:iCs/>
          <w:lang w:val="en-US"/>
        </w:rPr>
      </w:pPr>
    </w:p>
    <w:p w14:paraId="7CFADDD7" w14:textId="77777777" w:rsidR="00CA4FB7" w:rsidRDefault="00CA4FB7" w:rsidP="00C44D5B">
      <w:pPr>
        <w:spacing w:line="480" w:lineRule="auto"/>
        <w:ind w:left="720"/>
        <w:jc w:val="both"/>
        <w:rPr>
          <w:i/>
          <w:iCs/>
          <w:lang w:val="en-US"/>
        </w:rPr>
      </w:pPr>
      <w:r w:rsidRPr="00CA4FB7">
        <w:rPr>
          <w:i/>
          <w:iCs/>
          <w:lang w:val="en-US"/>
        </w:rPr>
        <w:t xml:space="preserve">24. </w:t>
      </w:r>
      <w:r>
        <w:rPr>
          <w:i/>
          <w:iCs/>
          <w:lang w:val="en-US"/>
        </w:rPr>
        <w:tab/>
      </w:r>
      <w:r w:rsidRPr="00CA4FB7">
        <w:rPr>
          <w:i/>
          <w:iCs/>
          <w:lang w:val="en-US"/>
        </w:rPr>
        <w:t>In the following cases, viz.:</w:t>
      </w:r>
    </w:p>
    <w:p w14:paraId="3F1D8C9F" w14:textId="77777777" w:rsidR="00CA4FB7" w:rsidRPr="00CA4FB7" w:rsidRDefault="00CA4FB7" w:rsidP="00C44D5B">
      <w:pPr>
        <w:spacing w:line="480" w:lineRule="auto"/>
        <w:ind w:left="2160" w:hanging="720"/>
        <w:jc w:val="both"/>
        <w:rPr>
          <w:i/>
          <w:iCs/>
          <w:lang w:val="en-US"/>
        </w:rPr>
      </w:pPr>
      <w:r w:rsidRPr="00CA4FB7">
        <w:rPr>
          <w:i/>
          <w:iCs/>
          <w:lang w:val="en-US"/>
        </w:rPr>
        <w:t xml:space="preserve">(a) </w:t>
      </w:r>
      <w:r>
        <w:rPr>
          <w:i/>
          <w:iCs/>
          <w:lang w:val="en-US"/>
        </w:rPr>
        <w:tab/>
      </w:r>
      <w:r w:rsidRPr="00CA4FB7">
        <w:rPr>
          <w:i/>
          <w:iCs/>
          <w:lang w:val="en-US"/>
        </w:rPr>
        <w:t>where six years have elapsed since the judgment or order, or any change has</w:t>
      </w:r>
      <w:r>
        <w:rPr>
          <w:i/>
          <w:iCs/>
          <w:lang w:val="en-US"/>
        </w:rPr>
        <w:t xml:space="preserve"> </w:t>
      </w:r>
      <w:r w:rsidRPr="00CA4FB7">
        <w:rPr>
          <w:i/>
          <w:iCs/>
          <w:lang w:val="en-US"/>
        </w:rPr>
        <w:t xml:space="preserve">taken place by death or otherwise in the parties entitled or liable to </w:t>
      </w:r>
      <w:proofErr w:type="gramStart"/>
      <w:r w:rsidRPr="00CA4FB7">
        <w:rPr>
          <w:i/>
          <w:iCs/>
          <w:lang w:val="en-US"/>
        </w:rPr>
        <w:t>execution;</w:t>
      </w:r>
      <w:proofErr w:type="gramEnd"/>
    </w:p>
    <w:p w14:paraId="6BA891FE" w14:textId="77777777" w:rsidR="00CA4FB7" w:rsidRPr="00CA4FB7" w:rsidRDefault="00CA4FB7" w:rsidP="00C44D5B">
      <w:pPr>
        <w:spacing w:line="480" w:lineRule="auto"/>
        <w:ind w:left="2160" w:hanging="720"/>
        <w:jc w:val="both"/>
        <w:rPr>
          <w:i/>
          <w:iCs/>
          <w:lang w:val="en-US"/>
        </w:rPr>
      </w:pPr>
      <w:r w:rsidRPr="00CA4FB7">
        <w:rPr>
          <w:i/>
          <w:iCs/>
          <w:lang w:val="en-US"/>
        </w:rPr>
        <w:t xml:space="preserve">(b) </w:t>
      </w:r>
      <w:r>
        <w:rPr>
          <w:i/>
          <w:iCs/>
          <w:lang w:val="en-US"/>
        </w:rPr>
        <w:tab/>
      </w:r>
      <w:r w:rsidRPr="00CA4FB7">
        <w:rPr>
          <w:i/>
          <w:iCs/>
          <w:lang w:val="en-US"/>
        </w:rPr>
        <w:t xml:space="preserve">where a party is entitled to execution upon a judgment of assets in </w:t>
      </w:r>
      <w:proofErr w:type="gramStart"/>
      <w:r w:rsidRPr="00CA4FB7">
        <w:rPr>
          <w:i/>
          <w:iCs/>
          <w:lang w:val="en-US"/>
        </w:rPr>
        <w:t>futuro;</w:t>
      </w:r>
      <w:proofErr w:type="gramEnd"/>
    </w:p>
    <w:p w14:paraId="3CF59C22" w14:textId="77777777" w:rsidR="00DF5780" w:rsidRPr="00CA4FB7" w:rsidRDefault="00CA4FB7" w:rsidP="00C44D5B">
      <w:pPr>
        <w:spacing w:line="480" w:lineRule="auto"/>
        <w:ind w:left="2160" w:hanging="720"/>
        <w:jc w:val="both"/>
        <w:rPr>
          <w:i/>
          <w:iCs/>
          <w:lang w:val="en-US"/>
        </w:rPr>
      </w:pPr>
      <w:r w:rsidRPr="00CA4FB7">
        <w:rPr>
          <w:i/>
          <w:iCs/>
          <w:lang w:val="en-US"/>
        </w:rPr>
        <w:t xml:space="preserve">(c) </w:t>
      </w:r>
      <w:r>
        <w:rPr>
          <w:i/>
          <w:iCs/>
          <w:lang w:val="en-US"/>
        </w:rPr>
        <w:tab/>
      </w:r>
      <w:r w:rsidRPr="00CA4FB7">
        <w:rPr>
          <w:i/>
          <w:iCs/>
          <w:lang w:val="en-US"/>
        </w:rPr>
        <w:t>where a party is entitled to execution against any of the shareholders of a company</w:t>
      </w:r>
      <w:r>
        <w:rPr>
          <w:i/>
          <w:iCs/>
          <w:lang w:val="en-US"/>
        </w:rPr>
        <w:t xml:space="preserve"> </w:t>
      </w:r>
      <w:r w:rsidRPr="00CA4FB7">
        <w:rPr>
          <w:i/>
          <w:iCs/>
          <w:lang w:val="en-US"/>
        </w:rPr>
        <w:t>upon a judgment recorded against such company, or against a public officer or other</w:t>
      </w:r>
      <w:r>
        <w:rPr>
          <w:i/>
          <w:iCs/>
          <w:lang w:val="en-US"/>
        </w:rPr>
        <w:t xml:space="preserve"> </w:t>
      </w:r>
      <w:r w:rsidRPr="00CA4FB7">
        <w:rPr>
          <w:i/>
          <w:iCs/>
          <w:lang w:val="en-US"/>
        </w:rPr>
        <w:t>person representing such company; the party alleging himself to be entitled to</w:t>
      </w:r>
      <w:r>
        <w:rPr>
          <w:i/>
          <w:iCs/>
          <w:lang w:val="en-US"/>
        </w:rPr>
        <w:t xml:space="preserve"> </w:t>
      </w:r>
      <w:r w:rsidRPr="00CA4FB7">
        <w:rPr>
          <w:i/>
          <w:iCs/>
          <w:lang w:val="en-US"/>
        </w:rPr>
        <w:t>execution may apply to the Court for leave to issue execution accordingly. The Court</w:t>
      </w:r>
      <w:r>
        <w:rPr>
          <w:i/>
          <w:iCs/>
          <w:lang w:val="en-US"/>
        </w:rPr>
        <w:t xml:space="preserve"> </w:t>
      </w:r>
      <w:r w:rsidRPr="00CA4FB7">
        <w:rPr>
          <w:i/>
          <w:iCs/>
          <w:lang w:val="en-US"/>
        </w:rPr>
        <w:t>may, if satisfied that the party so applying is entitled to issue execution, make an order</w:t>
      </w:r>
      <w:r>
        <w:rPr>
          <w:i/>
          <w:iCs/>
          <w:lang w:val="en-US"/>
        </w:rPr>
        <w:t xml:space="preserve"> </w:t>
      </w:r>
      <w:r w:rsidRPr="00CA4FB7">
        <w:rPr>
          <w:i/>
          <w:iCs/>
          <w:lang w:val="en-US"/>
        </w:rPr>
        <w:t>to that effect, or may order that any issue or question necessary to determine the rights</w:t>
      </w:r>
      <w:r>
        <w:rPr>
          <w:i/>
          <w:iCs/>
          <w:lang w:val="en-US"/>
        </w:rPr>
        <w:t xml:space="preserve"> </w:t>
      </w:r>
      <w:r w:rsidRPr="00CA4FB7">
        <w:rPr>
          <w:i/>
          <w:iCs/>
          <w:lang w:val="en-US"/>
        </w:rPr>
        <w:t>of the parties shall be tried in any of the ways in which any question in an action may</w:t>
      </w:r>
      <w:r>
        <w:rPr>
          <w:i/>
          <w:iCs/>
          <w:lang w:val="en-US"/>
        </w:rPr>
        <w:t xml:space="preserve"> </w:t>
      </w:r>
      <w:r w:rsidRPr="00CA4FB7">
        <w:rPr>
          <w:i/>
          <w:iCs/>
          <w:lang w:val="en-US"/>
        </w:rPr>
        <w:t>be tried: and in either case the Court may impose such terms as to costs or otherwise</w:t>
      </w:r>
      <w:r>
        <w:rPr>
          <w:i/>
          <w:iCs/>
          <w:lang w:val="en-US"/>
        </w:rPr>
        <w:t xml:space="preserve"> </w:t>
      </w:r>
      <w:r w:rsidRPr="00CA4FB7">
        <w:rPr>
          <w:i/>
          <w:iCs/>
          <w:lang w:val="en-US"/>
        </w:rPr>
        <w:t xml:space="preserve">as shall be just. </w:t>
      </w:r>
      <w:proofErr w:type="gramStart"/>
      <w:r w:rsidRPr="00CA4FB7">
        <w:rPr>
          <w:i/>
          <w:iCs/>
          <w:lang w:val="en-US"/>
        </w:rPr>
        <w:t>Provided always</w:t>
      </w:r>
      <w:proofErr w:type="gramEnd"/>
      <w:r w:rsidRPr="00CA4FB7">
        <w:rPr>
          <w:i/>
          <w:iCs/>
          <w:lang w:val="en-US"/>
        </w:rPr>
        <w:t xml:space="preserve"> that in case of default of payment of any sum of</w:t>
      </w:r>
      <w:r>
        <w:rPr>
          <w:i/>
          <w:iCs/>
          <w:lang w:val="en-US"/>
        </w:rPr>
        <w:t xml:space="preserve"> </w:t>
      </w:r>
      <w:r w:rsidRPr="00CA4FB7">
        <w:rPr>
          <w:i/>
          <w:iCs/>
          <w:lang w:val="en-US"/>
        </w:rPr>
        <w:t>money at the time appointed for payment thereof by any judgment or order made in a</w:t>
      </w:r>
      <w:r>
        <w:rPr>
          <w:i/>
          <w:iCs/>
          <w:lang w:val="en-US"/>
        </w:rPr>
        <w:t xml:space="preserve"> </w:t>
      </w:r>
      <w:r w:rsidRPr="00CA4FB7">
        <w:rPr>
          <w:i/>
          <w:iCs/>
          <w:lang w:val="en-US"/>
        </w:rPr>
        <w:t xml:space="preserve">matrimonial cause or matter, an order of fieri facias may be </w:t>
      </w:r>
      <w:r w:rsidRPr="00CA4FB7">
        <w:rPr>
          <w:i/>
          <w:iCs/>
          <w:lang w:val="en-US"/>
        </w:rPr>
        <w:lastRenderedPageBreak/>
        <w:t>issued as of course upon</w:t>
      </w:r>
      <w:r>
        <w:rPr>
          <w:i/>
          <w:iCs/>
          <w:lang w:val="en-US"/>
        </w:rPr>
        <w:t xml:space="preserve"> </w:t>
      </w:r>
      <w:r w:rsidRPr="00CA4FB7">
        <w:rPr>
          <w:i/>
          <w:iCs/>
          <w:lang w:val="en-US"/>
        </w:rPr>
        <w:t>an affidavit of service of the judgment or order and non-payment.</w:t>
      </w:r>
      <w:r w:rsidRPr="00CA4FB7">
        <w:rPr>
          <w:i/>
          <w:lang w:val="en-US"/>
        </w:rPr>
        <w:t>”</w:t>
      </w:r>
    </w:p>
    <w:p w14:paraId="35739CB1" w14:textId="77777777" w:rsidR="00DF5780" w:rsidRPr="00CA4FB7" w:rsidRDefault="00CA4FB7" w:rsidP="00C44D5B">
      <w:pPr>
        <w:numPr>
          <w:ilvl w:val="0"/>
          <w:numId w:val="8"/>
        </w:numPr>
        <w:spacing w:line="480" w:lineRule="auto"/>
        <w:jc w:val="both"/>
        <w:rPr>
          <w:i/>
          <w:iCs/>
          <w:lang w:val="en-US"/>
        </w:rPr>
      </w:pPr>
      <w:r>
        <w:t xml:space="preserve">The principles to be applied on an application of this kind were considered by the Supreme Court in </w:t>
      </w:r>
      <w:r>
        <w:rPr>
          <w:i/>
          <w:iCs/>
          <w:lang w:val="en-US"/>
        </w:rPr>
        <w:t>Sm</w:t>
      </w:r>
      <w:r w:rsidR="00F9293F">
        <w:rPr>
          <w:i/>
          <w:iCs/>
          <w:lang w:val="en-US"/>
        </w:rPr>
        <w:t>y</w:t>
      </w:r>
      <w:r>
        <w:rPr>
          <w:i/>
          <w:iCs/>
          <w:lang w:val="en-US"/>
        </w:rPr>
        <w:t>th v. Tunney</w:t>
      </w:r>
      <w:r w:rsidRPr="00CA4FB7">
        <w:rPr>
          <w:i/>
          <w:iCs/>
          <w:lang w:val="en-US"/>
        </w:rPr>
        <w:t xml:space="preserve"> </w:t>
      </w:r>
      <w:r w:rsidRPr="00CA4FB7">
        <w:rPr>
          <w:iCs/>
          <w:lang w:val="en-US"/>
        </w:rPr>
        <w:t>[2004] 1 I.R. 512</w:t>
      </w:r>
      <w:r>
        <w:rPr>
          <w:lang w:val="en-US"/>
        </w:rPr>
        <w:t xml:space="preserve">. In that case, Geoghegan J. noted at p. 519 </w:t>
      </w:r>
      <w:r w:rsidR="00C44D5B">
        <w:rPr>
          <w:lang w:val="en-US"/>
        </w:rPr>
        <w:t>that: -</w:t>
      </w:r>
    </w:p>
    <w:p w14:paraId="2F4F120F" w14:textId="77777777" w:rsidR="00CA4FB7" w:rsidRPr="00CA4FB7" w:rsidRDefault="00CA4FB7" w:rsidP="00C44D5B">
      <w:pPr>
        <w:spacing w:line="480" w:lineRule="auto"/>
        <w:ind w:left="720"/>
        <w:jc w:val="both"/>
        <w:rPr>
          <w:i/>
          <w:iCs/>
          <w:lang w:val="en-US"/>
        </w:rPr>
      </w:pPr>
      <w:r>
        <w:rPr>
          <w:i/>
          <w:lang w:val="en-US"/>
        </w:rPr>
        <w:t>“</w:t>
      </w:r>
      <w:r>
        <w:rPr>
          <w:i/>
          <w:iCs/>
          <w:lang w:val="en-US"/>
        </w:rPr>
        <w:t>Order 42, r.</w:t>
      </w:r>
      <w:r w:rsidRPr="00CA4FB7">
        <w:rPr>
          <w:i/>
          <w:iCs/>
          <w:lang w:val="en-US"/>
        </w:rPr>
        <w:t xml:space="preserve"> 24 does not set out any expres</w:t>
      </w:r>
      <w:r>
        <w:rPr>
          <w:i/>
          <w:iCs/>
          <w:lang w:val="en-US"/>
        </w:rPr>
        <w:t xml:space="preserve">s criteria on foot of which the </w:t>
      </w:r>
      <w:r w:rsidRPr="00CA4FB7">
        <w:rPr>
          <w:i/>
          <w:iCs/>
          <w:lang w:val="en-US"/>
        </w:rPr>
        <w:t>leave to execute</w:t>
      </w:r>
      <w:r>
        <w:rPr>
          <w:i/>
          <w:iCs/>
          <w:lang w:val="en-US"/>
        </w:rPr>
        <w:t xml:space="preserve"> </w:t>
      </w:r>
      <w:r w:rsidRPr="00CA4FB7">
        <w:rPr>
          <w:i/>
          <w:iCs/>
          <w:lang w:val="en-US"/>
        </w:rPr>
        <w:t>after the six years may be granted or refused.”</w:t>
      </w:r>
    </w:p>
    <w:p w14:paraId="0774A889" w14:textId="77777777" w:rsidR="00CA4FB7" w:rsidRDefault="00D3650C" w:rsidP="00C44D5B">
      <w:pPr>
        <w:numPr>
          <w:ilvl w:val="0"/>
          <w:numId w:val="8"/>
        </w:numPr>
        <w:spacing w:line="480" w:lineRule="auto"/>
        <w:jc w:val="both"/>
        <w:rPr>
          <w:iCs/>
          <w:lang w:val="en-US"/>
        </w:rPr>
      </w:pPr>
      <w:r>
        <w:rPr>
          <w:iCs/>
          <w:lang w:val="en-US"/>
        </w:rPr>
        <w:t xml:space="preserve">Notwithstanding the lack of any express criteria, Geoghegan J, identified that the court has a discretion on an application of this kind </w:t>
      </w:r>
      <w:r w:rsidR="002A7E4B">
        <w:rPr>
          <w:iCs/>
          <w:lang w:val="en-US"/>
        </w:rPr>
        <w:t xml:space="preserve">and </w:t>
      </w:r>
      <w:r>
        <w:rPr>
          <w:iCs/>
          <w:lang w:val="en-US"/>
        </w:rPr>
        <w:t>that</w:t>
      </w:r>
      <w:r w:rsidR="002A7E4B">
        <w:rPr>
          <w:iCs/>
          <w:lang w:val="en-US"/>
        </w:rPr>
        <w:t>, to engage this discretion,</w:t>
      </w:r>
      <w:r>
        <w:rPr>
          <w:iCs/>
          <w:lang w:val="en-US"/>
        </w:rPr>
        <w:t xml:space="preserve"> the applicant has an obligation to provide some explanation for the lapse of time.</w:t>
      </w:r>
      <w:r w:rsidR="002A7E4B">
        <w:rPr>
          <w:iCs/>
          <w:lang w:val="en-US"/>
        </w:rPr>
        <w:t xml:space="preserve"> In</w:t>
      </w:r>
      <w:r>
        <w:rPr>
          <w:iCs/>
          <w:lang w:val="en-US"/>
        </w:rPr>
        <w:t xml:space="preserve"> this context, he</w:t>
      </w:r>
      <w:r w:rsidR="00CA4FB7" w:rsidRPr="00CA4FB7">
        <w:rPr>
          <w:iCs/>
          <w:lang w:val="en-US"/>
        </w:rPr>
        <w:t xml:space="preserve"> observed at p. </w:t>
      </w:r>
      <w:r w:rsidR="00C44D5B" w:rsidRPr="00CA4FB7">
        <w:rPr>
          <w:iCs/>
          <w:lang w:val="en-US"/>
        </w:rPr>
        <w:t>518: -</w:t>
      </w:r>
    </w:p>
    <w:p w14:paraId="21725681" w14:textId="77777777" w:rsidR="00CA4FB7" w:rsidRPr="00CA4FB7" w:rsidRDefault="00CA4FB7" w:rsidP="00C44D5B">
      <w:pPr>
        <w:spacing w:line="480" w:lineRule="auto"/>
        <w:ind w:left="720"/>
        <w:jc w:val="both"/>
        <w:rPr>
          <w:i/>
          <w:iCs/>
          <w:lang w:val="en-US"/>
        </w:rPr>
      </w:pPr>
      <w:r>
        <w:rPr>
          <w:i/>
          <w:iCs/>
          <w:lang w:val="en-US"/>
        </w:rPr>
        <w:t>“</w:t>
      </w:r>
      <w:r w:rsidRPr="00CA4FB7">
        <w:rPr>
          <w:i/>
          <w:iCs/>
          <w:lang w:val="en-US"/>
        </w:rPr>
        <w:t>...it is not necessary to give some unusual, exceptional or very special reasons for obtaining permission to execute out of time provided that there is some explanation a</w:t>
      </w:r>
      <w:r w:rsidR="005B1B39">
        <w:rPr>
          <w:i/>
          <w:iCs/>
          <w:lang w:val="en-US"/>
        </w:rPr>
        <w:t>t</w:t>
      </w:r>
      <w:r w:rsidRPr="00CA4FB7">
        <w:rPr>
          <w:i/>
          <w:iCs/>
          <w:lang w:val="en-US"/>
        </w:rPr>
        <w:t xml:space="preserve"> least for the lapse of time.”</w:t>
      </w:r>
    </w:p>
    <w:p w14:paraId="3A6D5853" w14:textId="77777777" w:rsidR="00CA4FB7" w:rsidRDefault="00CA4FB7" w:rsidP="00C44D5B">
      <w:pPr>
        <w:numPr>
          <w:ilvl w:val="0"/>
          <w:numId w:val="8"/>
        </w:numPr>
        <w:spacing w:line="480" w:lineRule="auto"/>
        <w:jc w:val="both"/>
        <w:rPr>
          <w:iCs/>
          <w:lang w:val="en-US"/>
        </w:rPr>
      </w:pPr>
      <w:r>
        <w:rPr>
          <w:iCs/>
          <w:lang w:val="en-US"/>
        </w:rPr>
        <w:t>These are the principles to be applied in the exercise of the court’s discretion under O. 42, r. 24. The discretionary natur</w:t>
      </w:r>
      <w:r w:rsidR="00D3650C">
        <w:rPr>
          <w:iCs/>
          <w:lang w:val="en-US"/>
        </w:rPr>
        <w:t>e of the power conferred by the</w:t>
      </w:r>
      <w:r>
        <w:rPr>
          <w:iCs/>
          <w:lang w:val="en-US"/>
        </w:rPr>
        <w:t xml:space="preserve"> rule </w:t>
      </w:r>
      <w:r w:rsidR="00D3650C">
        <w:rPr>
          <w:iCs/>
          <w:lang w:val="en-US"/>
        </w:rPr>
        <w:t>was reiterat</w:t>
      </w:r>
      <w:r w:rsidRPr="00CA4FB7">
        <w:rPr>
          <w:iCs/>
          <w:lang w:val="en-US"/>
        </w:rPr>
        <w:t>ed by the Court of</w:t>
      </w:r>
      <w:r>
        <w:rPr>
          <w:iCs/>
          <w:lang w:val="en-US"/>
        </w:rPr>
        <w:t xml:space="preserve"> </w:t>
      </w:r>
      <w:r w:rsidRPr="00CA4FB7">
        <w:rPr>
          <w:iCs/>
          <w:lang w:val="en-US"/>
        </w:rPr>
        <w:t xml:space="preserve">Appeal in </w:t>
      </w:r>
      <w:r w:rsidRPr="00CA4FB7">
        <w:rPr>
          <w:i/>
          <w:iCs/>
          <w:lang w:val="en-US"/>
        </w:rPr>
        <w:t>KBC Bank plc v. Beades</w:t>
      </w:r>
      <w:r w:rsidRPr="00CA4FB7">
        <w:rPr>
          <w:iCs/>
          <w:lang w:val="en-US"/>
        </w:rPr>
        <w:t xml:space="preserve"> [2021] IECA 41</w:t>
      </w:r>
      <w:r w:rsidR="00D3650C">
        <w:rPr>
          <w:iCs/>
          <w:lang w:val="en-US"/>
        </w:rPr>
        <w:t xml:space="preserve"> where Whelan J. said</w:t>
      </w:r>
      <w:r w:rsidRPr="00CA4FB7">
        <w:rPr>
          <w:iCs/>
          <w:lang w:val="en-US"/>
        </w:rPr>
        <w:t xml:space="preserve"> </w:t>
      </w:r>
      <w:r>
        <w:rPr>
          <w:iCs/>
          <w:lang w:val="en-US"/>
        </w:rPr>
        <w:t xml:space="preserve">at para. </w:t>
      </w:r>
      <w:r w:rsidR="00C44D5B">
        <w:rPr>
          <w:iCs/>
          <w:lang w:val="en-US"/>
        </w:rPr>
        <w:t>67: -</w:t>
      </w:r>
    </w:p>
    <w:p w14:paraId="0FE22A3E" w14:textId="77777777" w:rsidR="00CA4FB7" w:rsidRPr="00CA4FB7" w:rsidRDefault="00CA4FB7" w:rsidP="00C44D5B">
      <w:pPr>
        <w:autoSpaceDE w:val="0"/>
        <w:autoSpaceDN w:val="0"/>
        <w:adjustRightInd w:val="0"/>
        <w:spacing w:line="480" w:lineRule="auto"/>
        <w:ind w:left="720"/>
        <w:jc w:val="both"/>
        <w:rPr>
          <w:i/>
          <w:iCs/>
          <w:color w:val="000000"/>
          <w:lang w:val="en-US" w:eastAsia="en-US"/>
        </w:rPr>
      </w:pPr>
      <w:r w:rsidRPr="00CA4FB7">
        <w:rPr>
          <w:i/>
          <w:iCs/>
          <w:lang w:val="en-US"/>
        </w:rPr>
        <w:t>“</w:t>
      </w:r>
      <w:r w:rsidRPr="00CA4FB7">
        <w:rPr>
          <w:i/>
          <w:iCs/>
          <w:color w:val="000000"/>
          <w:lang w:val="en-US" w:eastAsia="en-US"/>
        </w:rPr>
        <w:t>It is clear from the jurisprudence, particularly the decision of the Supreme Court</w:t>
      </w:r>
      <w:r>
        <w:rPr>
          <w:i/>
          <w:iCs/>
          <w:color w:val="000000"/>
          <w:lang w:val="en-US" w:eastAsia="en-US"/>
        </w:rPr>
        <w:t xml:space="preserve"> </w:t>
      </w:r>
      <w:r w:rsidRPr="00CA4FB7">
        <w:rPr>
          <w:i/>
          <w:iCs/>
          <w:color w:val="000000"/>
          <w:lang w:val="en-US" w:eastAsia="en-US"/>
        </w:rPr>
        <w:t>in Smyth v. Tunney [2004] 1 I.R. 512, that O. 42, r. 24 is a discretionary order and</w:t>
      </w:r>
      <w:r>
        <w:rPr>
          <w:i/>
          <w:iCs/>
          <w:color w:val="000000"/>
          <w:lang w:val="en-US" w:eastAsia="en-US"/>
        </w:rPr>
        <w:t xml:space="preserve"> </w:t>
      </w:r>
      <w:r w:rsidRPr="00CA4FB7">
        <w:rPr>
          <w:i/>
          <w:iCs/>
          <w:color w:val="000000"/>
          <w:lang w:val="en-US" w:eastAsia="en-US"/>
        </w:rPr>
        <w:t>reasons must be given for the lapse of time since the judgment or order during which</w:t>
      </w:r>
      <w:r>
        <w:rPr>
          <w:i/>
          <w:iCs/>
          <w:color w:val="000000"/>
          <w:lang w:val="en-US" w:eastAsia="en-US"/>
        </w:rPr>
        <w:t xml:space="preserve"> </w:t>
      </w:r>
      <w:r w:rsidRPr="00CA4FB7">
        <w:rPr>
          <w:i/>
          <w:iCs/>
          <w:color w:val="000000"/>
          <w:lang w:val="en-US" w:eastAsia="en-US"/>
        </w:rPr>
        <w:t xml:space="preserve">execution did not occur. Even where a good reason is identified for the delay, the court can </w:t>
      </w:r>
      <w:proofErr w:type="gramStart"/>
      <w:r w:rsidRPr="00CA4FB7">
        <w:rPr>
          <w:i/>
          <w:iCs/>
          <w:color w:val="000000"/>
          <w:lang w:val="en-US" w:eastAsia="en-US"/>
        </w:rPr>
        <w:t>take into account</w:t>
      </w:r>
      <w:proofErr w:type="gramEnd"/>
      <w:r w:rsidRPr="00CA4FB7">
        <w:rPr>
          <w:i/>
          <w:iCs/>
          <w:color w:val="000000"/>
          <w:lang w:val="en-US" w:eastAsia="en-US"/>
        </w:rPr>
        <w:t xml:space="preserve"> counterbalancing arguments of prejudice. It is noteworthy that in Smyth v. Tunney, as in the instant case, orders sought to be executed had been made </w:t>
      </w:r>
      <w:proofErr w:type="gramStart"/>
      <w:r w:rsidRPr="00CA4FB7">
        <w:rPr>
          <w:i/>
          <w:iCs/>
          <w:color w:val="000000"/>
          <w:lang w:val="en-US" w:eastAsia="en-US"/>
        </w:rPr>
        <w:t>in the course of</w:t>
      </w:r>
      <w:proofErr w:type="gramEnd"/>
      <w:r w:rsidRPr="00CA4FB7">
        <w:rPr>
          <w:i/>
          <w:iCs/>
          <w:color w:val="000000"/>
          <w:lang w:val="en-US" w:eastAsia="en-US"/>
        </w:rPr>
        <w:t xml:space="preserve"> long </w:t>
      </w:r>
      <w:r w:rsidRPr="00CA4FB7">
        <w:rPr>
          <w:i/>
          <w:iCs/>
          <w:color w:val="000000"/>
          <w:lang w:val="en-US" w:eastAsia="en-US"/>
        </w:rPr>
        <w:lastRenderedPageBreak/>
        <w:t>running litigation, and leave to issue execution pursuant to O. 42, r. 24 had been made some twelve years or so later. It is also noteworthy that the reasons identified for lapse in time in Smyth v. Tunney included that the applicants had made a number of unsuccessful attempts to execute</w:t>
      </w:r>
      <w:r>
        <w:rPr>
          <w:i/>
          <w:iCs/>
          <w:color w:val="000000"/>
          <w:lang w:val="en-US" w:eastAsia="en-US"/>
        </w:rPr>
        <w:t>.</w:t>
      </w:r>
      <w:r w:rsidRPr="00CA4FB7">
        <w:rPr>
          <w:color w:val="333333"/>
          <w:lang w:val="en-US" w:eastAsia="en-US"/>
        </w:rPr>
        <w:t>”</w:t>
      </w:r>
    </w:p>
    <w:p w14:paraId="727B47F0" w14:textId="77777777" w:rsidR="00CA4FB7" w:rsidRDefault="00CA4FB7" w:rsidP="00C44D5B">
      <w:pPr>
        <w:numPr>
          <w:ilvl w:val="0"/>
          <w:numId w:val="8"/>
        </w:numPr>
        <w:spacing w:line="480" w:lineRule="auto"/>
        <w:jc w:val="both"/>
        <w:rPr>
          <w:iCs/>
          <w:lang w:val="en-US"/>
        </w:rPr>
      </w:pPr>
      <w:r>
        <w:rPr>
          <w:iCs/>
          <w:lang w:val="en-US"/>
        </w:rPr>
        <w:t xml:space="preserve">As noted by Whelan J., in para. 68 of her judgment in that case, </w:t>
      </w:r>
      <w:r w:rsidR="002A7E4B">
        <w:rPr>
          <w:iCs/>
          <w:lang w:val="en-US"/>
        </w:rPr>
        <w:t xml:space="preserve">Dunne J. </w:t>
      </w:r>
      <w:r>
        <w:rPr>
          <w:iCs/>
          <w:lang w:val="en-US"/>
        </w:rPr>
        <w:t xml:space="preserve">in </w:t>
      </w:r>
      <w:r w:rsidRPr="00CA4FB7">
        <w:rPr>
          <w:i/>
          <w:iCs/>
          <w:lang w:val="en-US"/>
        </w:rPr>
        <w:t xml:space="preserve">Bula Ltd. v. Tara Mines Ltd. </w:t>
      </w:r>
      <w:r w:rsidRPr="00CA4FB7">
        <w:rPr>
          <w:iCs/>
          <w:lang w:val="en-US"/>
        </w:rPr>
        <w:t>[2008] IEHC 437, extrap</w:t>
      </w:r>
      <w:r>
        <w:rPr>
          <w:iCs/>
          <w:lang w:val="en-US"/>
        </w:rPr>
        <w:t xml:space="preserve">olated three principles from </w:t>
      </w:r>
      <w:r>
        <w:rPr>
          <w:i/>
          <w:iCs/>
          <w:lang w:val="en-US"/>
        </w:rPr>
        <w:t>Smyth v. Tunney</w:t>
      </w:r>
      <w:r w:rsidR="00D3650C">
        <w:rPr>
          <w:i/>
          <w:iCs/>
          <w:lang w:val="en-US"/>
        </w:rPr>
        <w:t xml:space="preserve"> </w:t>
      </w:r>
      <w:r w:rsidR="00D3650C">
        <w:rPr>
          <w:iCs/>
          <w:lang w:val="en-US"/>
        </w:rPr>
        <w:t xml:space="preserve">as </w:t>
      </w:r>
      <w:r w:rsidR="00C44D5B">
        <w:rPr>
          <w:iCs/>
          <w:lang w:val="en-US"/>
        </w:rPr>
        <w:t>follows: -</w:t>
      </w:r>
    </w:p>
    <w:p w14:paraId="7E83C3F6" w14:textId="77777777" w:rsidR="00CA4FB7" w:rsidRDefault="00CA4FB7" w:rsidP="00C44D5B">
      <w:pPr>
        <w:numPr>
          <w:ilvl w:val="0"/>
          <w:numId w:val="20"/>
        </w:numPr>
        <w:spacing w:line="480" w:lineRule="auto"/>
        <w:jc w:val="both"/>
        <w:rPr>
          <w:iCs/>
          <w:lang w:val="en-US"/>
        </w:rPr>
      </w:pPr>
      <w:r w:rsidRPr="00CA4FB7">
        <w:rPr>
          <w:iCs/>
          <w:lang w:val="en-US"/>
        </w:rPr>
        <w:t>Order 42, r. 24 is a discretionary order.</w:t>
      </w:r>
    </w:p>
    <w:p w14:paraId="2001A549" w14:textId="77777777" w:rsidR="00CA4FB7" w:rsidRDefault="00CA4FB7" w:rsidP="00C44D5B">
      <w:pPr>
        <w:numPr>
          <w:ilvl w:val="0"/>
          <w:numId w:val="20"/>
        </w:numPr>
        <w:spacing w:line="480" w:lineRule="auto"/>
        <w:jc w:val="both"/>
        <w:rPr>
          <w:iCs/>
          <w:lang w:val="en-US"/>
        </w:rPr>
      </w:pPr>
      <w:r w:rsidRPr="00CA4FB7">
        <w:rPr>
          <w:iCs/>
          <w:lang w:val="en-US"/>
        </w:rPr>
        <w:t>Reasons must be given for the lapse of time since the judgment or order during which</w:t>
      </w:r>
      <w:r>
        <w:rPr>
          <w:iCs/>
          <w:lang w:val="en-US"/>
        </w:rPr>
        <w:t xml:space="preserve"> </w:t>
      </w:r>
      <w:r w:rsidRPr="00CA4FB7">
        <w:rPr>
          <w:iCs/>
          <w:lang w:val="en-US"/>
        </w:rPr>
        <w:t>execution has not taken place.</w:t>
      </w:r>
    </w:p>
    <w:p w14:paraId="7A2EB12A" w14:textId="77777777" w:rsidR="00CA4FB7" w:rsidRDefault="00CA4FB7" w:rsidP="00C44D5B">
      <w:pPr>
        <w:numPr>
          <w:ilvl w:val="0"/>
          <w:numId w:val="20"/>
        </w:numPr>
        <w:spacing w:line="480" w:lineRule="auto"/>
        <w:jc w:val="both"/>
        <w:rPr>
          <w:iCs/>
          <w:lang w:val="en-US"/>
        </w:rPr>
      </w:pPr>
      <w:r w:rsidRPr="00CA4FB7">
        <w:rPr>
          <w:iCs/>
          <w:lang w:val="en-US"/>
        </w:rPr>
        <w:t>If there is good reason for the delay, the court must consider counterbalancing</w:t>
      </w:r>
      <w:r>
        <w:rPr>
          <w:iCs/>
          <w:lang w:val="en-US"/>
        </w:rPr>
        <w:t xml:space="preserve"> </w:t>
      </w:r>
      <w:r w:rsidRPr="00CA4FB7">
        <w:rPr>
          <w:iCs/>
          <w:lang w:val="en-US"/>
        </w:rPr>
        <w:t>allegations of prejudice.</w:t>
      </w:r>
    </w:p>
    <w:p w14:paraId="6C4F9BAE" w14:textId="77777777" w:rsidR="00362CB0" w:rsidRPr="00362CB0" w:rsidRDefault="00D3650C" w:rsidP="00C44D5B">
      <w:pPr>
        <w:numPr>
          <w:ilvl w:val="0"/>
          <w:numId w:val="8"/>
        </w:numPr>
        <w:spacing w:line="480" w:lineRule="auto"/>
        <w:jc w:val="both"/>
        <w:rPr>
          <w:iCs/>
          <w:lang w:val="en-US"/>
        </w:rPr>
      </w:pPr>
      <w:r>
        <w:rPr>
          <w:iCs/>
          <w:lang w:val="en-US"/>
        </w:rPr>
        <w:t>It is clear from these authorities that</w:t>
      </w:r>
      <w:r w:rsidR="00CA4FB7">
        <w:rPr>
          <w:iCs/>
          <w:lang w:val="en-US"/>
        </w:rPr>
        <w:t xml:space="preserve">, as Allen J. recently observed in </w:t>
      </w:r>
      <w:r w:rsidR="004C5C43" w:rsidRPr="004C5C43">
        <w:rPr>
          <w:i/>
          <w:iCs/>
          <w:lang w:val="en-US"/>
        </w:rPr>
        <w:t>Irish N</w:t>
      </w:r>
      <w:r w:rsidR="00CA4FB7" w:rsidRPr="004C5C43">
        <w:rPr>
          <w:i/>
          <w:iCs/>
          <w:lang w:val="en-US"/>
        </w:rPr>
        <w:t>ationwide Building Society v. Heagney</w:t>
      </w:r>
      <w:r w:rsidR="00CA4FB7">
        <w:rPr>
          <w:iCs/>
          <w:lang w:val="en-US"/>
        </w:rPr>
        <w:t xml:space="preserve"> </w:t>
      </w:r>
      <w:r>
        <w:rPr>
          <w:iCs/>
          <w:lang w:val="en-US"/>
        </w:rPr>
        <w:t xml:space="preserve">[2022] IEHC 12, </w:t>
      </w:r>
      <w:r w:rsidR="004C5C43">
        <w:rPr>
          <w:iCs/>
          <w:lang w:val="en-US"/>
        </w:rPr>
        <w:t xml:space="preserve">at para. 41, </w:t>
      </w:r>
      <w:r w:rsidR="00362CB0">
        <w:rPr>
          <w:iCs/>
          <w:lang w:val="en-US"/>
        </w:rPr>
        <w:t>the onus is on the applicant for relief under O. 42, r. 24 to put forward a reason</w:t>
      </w:r>
      <w:r>
        <w:rPr>
          <w:iCs/>
          <w:lang w:val="en-US"/>
        </w:rPr>
        <w:t xml:space="preserve"> or explanation for the lapse of</w:t>
      </w:r>
      <w:r w:rsidR="00362CB0">
        <w:rPr>
          <w:iCs/>
          <w:lang w:val="en-US"/>
        </w:rPr>
        <w:t xml:space="preserve"> time. As Allen J. said in the same paragraph </w:t>
      </w:r>
      <w:r w:rsidR="00362CB0">
        <w:rPr>
          <w:i/>
          <w:iCs/>
          <w:lang w:val="en-US"/>
        </w:rPr>
        <w:t>“</w:t>
      </w:r>
      <w:r w:rsidR="00362CB0" w:rsidRPr="00362CB0">
        <w:rPr>
          <w:i/>
          <w:iCs/>
        </w:rPr>
        <w:t>Unless and until that is done, the jurisdiction is not engaged</w:t>
      </w:r>
      <w:r w:rsidR="00362CB0">
        <w:rPr>
          <w:i/>
          <w:iCs/>
        </w:rPr>
        <w:t>”</w:t>
      </w:r>
      <w:r w:rsidR="00362CB0">
        <w:rPr>
          <w:iCs/>
        </w:rPr>
        <w:t xml:space="preserve">. In the same judgment, Allen J. referred to </w:t>
      </w:r>
      <w:r w:rsidR="00362CB0" w:rsidRPr="00362CB0">
        <w:rPr>
          <w:i/>
          <w:iCs/>
        </w:rPr>
        <w:t>Hayde v. H. &amp; T. Contractors Ltd</w:t>
      </w:r>
      <w:r w:rsidR="00362CB0" w:rsidRPr="00362CB0">
        <w:rPr>
          <w:iCs/>
        </w:rPr>
        <w:t xml:space="preserve"> [2021] IEHC 103 </w:t>
      </w:r>
      <w:proofErr w:type="gramStart"/>
      <w:r w:rsidR="00362CB0" w:rsidRPr="00362CB0">
        <w:rPr>
          <w:iCs/>
        </w:rPr>
        <w:t>w</w:t>
      </w:r>
      <w:r w:rsidR="00362CB0">
        <w:rPr>
          <w:iCs/>
        </w:rPr>
        <w:t>here</w:t>
      </w:r>
      <w:proofErr w:type="gramEnd"/>
      <w:r w:rsidR="00362CB0">
        <w:rPr>
          <w:iCs/>
        </w:rPr>
        <w:t xml:space="preserve">, at para. 21, Simons J. </w:t>
      </w:r>
      <w:proofErr w:type="gramStart"/>
      <w:r w:rsidR="00362CB0">
        <w:rPr>
          <w:iCs/>
        </w:rPr>
        <w:t>said:-</w:t>
      </w:r>
      <w:proofErr w:type="gramEnd"/>
    </w:p>
    <w:p w14:paraId="45145321" w14:textId="77777777" w:rsidR="00362CB0" w:rsidRPr="00362CB0" w:rsidRDefault="00362CB0" w:rsidP="00C44D5B">
      <w:pPr>
        <w:spacing w:line="480" w:lineRule="auto"/>
        <w:ind w:left="1440" w:hanging="720"/>
        <w:jc w:val="both"/>
        <w:rPr>
          <w:i/>
          <w:iCs/>
          <w:lang w:val="en-US"/>
        </w:rPr>
      </w:pPr>
      <w:r>
        <w:rPr>
          <w:i/>
          <w:iCs/>
        </w:rPr>
        <w:t>“</w:t>
      </w:r>
      <w:r w:rsidRPr="00362CB0">
        <w:rPr>
          <w:i/>
          <w:iCs/>
          <w:lang w:val="en-US"/>
        </w:rPr>
        <w:t xml:space="preserve">21. </w:t>
      </w:r>
      <w:r>
        <w:rPr>
          <w:i/>
          <w:iCs/>
          <w:lang w:val="en-US"/>
        </w:rPr>
        <w:tab/>
        <w:t xml:space="preserve">The objective of… </w:t>
      </w:r>
      <w:r>
        <w:rPr>
          <w:iCs/>
          <w:lang w:val="en-US"/>
        </w:rPr>
        <w:t xml:space="preserve">[the rule] </w:t>
      </w:r>
      <w:r>
        <w:rPr>
          <w:i/>
          <w:iCs/>
          <w:lang w:val="en-US"/>
        </w:rPr>
        <w:t>…</w:t>
      </w:r>
      <w:r w:rsidRPr="00362CB0">
        <w:rPr>
          <w:i/>
          <w:iCs/>
          <w:lang w:val="en-US"/>
        </w:rPr>
        <w:t xml:space="preserve"> is that there should be some expedition in the execution of judgments. A generous period (six years) is allowed during which the party seeking to enforce a judgment may obtain an execution order from the Office, </w:t>
      </w:r>
      <w:proofErr w:type="gramStart"/>
      <w:r w:rsidRPr="00362CB0">
        <w:rPr>
          <w:i/>
          <w:iCs/>
          <w:lang w:val="en-US"/>
        </w:rPr>
        <w:t>i.e.</w:t>
      </w:r>
      <w:proofErr w:type="gramEnd"/>
      <w:r w:rsidRPr="00362CB0">
        <w:rPr>
          <w:i/>
          <w:iCs/>
          <w:lang w:val="en-US"/>
        </w:rPr>
        <w:t xml:space="preserve"> without any necessity to apply to court. If, however, a party allows that period to expire, then a good reason must be provided for the delay to date. The threshold is not </w:t>
      </w:r>
      <w:r w:rsidRPr="00362CB0">
        <w:rPr>
          <w:i/>
          <w:iCs/>
          <w:lang w:val="en-US"/>
        </w:rPr>
        <w:lastRenderedPageBreak/>
        <w:t xml:space="preserve">particularly high: it is not necessary to give some unusual, </w:t>
      </w:r>
      <w:proofErr w:type="gramStart"/>
      <w:r w:rsidRPr="00362CB0">
        <w:rPr>
          <w:i/>
          <w:iCs/>
          <w:lang w:val="en-US"/>
        </w:rPr>
        <w:t>exceptional</w:t>
      </w:r>
      <w:proofErr w:type="gramEnd"/>
      <w:r w:rsidRPr="00362CB0">
        <w:rPr>
          <w:i/>
          <w:iCs/>
          <w:lang w:val="en-US"/>
        </w:rPr>
        <w:t xml:space="preserve"> or very special reasons for the delay. It is nevertheless a threshold which </w:t>
      </w:r>
      <w:proofErr w:type="gramStart"/>
      <w:r w:rsidRPr="00362CB0">
        <w:rPr>
          <w:i/>
          <w:iCs/>
          <w:lang w:val="en-US"/>
        </w:rPr>
        <w:t>has to</w:t>
      </w:r>
      <w:proofErr w:type="gramEnd"/>
      <w:r w:rsidRPr="00362CB0">
        <w:rPr>
          <w:i/>
          <w:iCs/>
          <w:lang w:val="en-US"/>
        </w:rPr>
        <w:t xml:space="preserve"> be satisfied: the threshold albeit minimal is not meaningless. The threshold has not been met in the present case where the delay is attributable solely to inaction b</w:t>
      </w:r>
      <w:r>
        <w:rPr>
          <w:i/>
          <w:iCs/>
          <w:lang w:val="en-US"/>
        </w:rPr>
        <w:t>y the party seeking to execute.”</w:t>
      </w:r>
    </w:p>
    <w:p w14:paraId="37C5E8A3" w14:textId="77777777" w:rsidR="00362CB0" w:rsidRDefault="00362CB0" w:rsidP="00C44D5B">
      <w:pPr>
        <w:numPr>
          <w:ilvl w:val="0"/>
          <w:numId w:val="8"/>
        </w:numPr>
        <w:spacing w:line="480" w:lineRule="auto"/>
        <w:jc w:val="both"/>
        <w:rPr>
          <w:iCs/>
          <w:lang w:val="en-US"/>
        </w:rPr>
      </w:pPr>
      <w:r>
        <w:rPr>
          <w:iCs/>
          <w:lang w:val="en-US"/>
        </w:rPr>
        <w:t>Bearing those principles in mind, it is next necessary to consider the facts of this case. As noted above, judgment was given against Mr. O’Meachair on 15</w:t>
      </w:r>
      <w:r w:rsidRPr="00362CB0">
        <w:rPr>
          <w:iCs/>
          <w:vertAlign w:val="superscript"/>
          <w:lang w:val="en-US"/>
        </w:rPr>
        <w:t>th</w:t>
      </w:r>
      <w:r>
        <w:rPr>
          <w:iCs/>
          <w:lang w:val="en-US"/>
        </w:rPr>
        <w:t xml:space="preserve"> </w:t>
      </w:r>
      <w:r w:rsidR="00C44D5B">
        <w:rPr>
          <w:iCs/>
          <w:lang w:val="en-US"/>
        </w:rPr>
        <w:t>November</w:t>
      </w:r>
      <w:r>
        <w:rPr>
          <w:iCs/>
          <w:lang w:val="en-US"/>
        </w:rPr>
        <w:t xml:space="preserve"> 2010. That judgment was subsequently</w:t>
      </w:r>
      <w:r w:rsidR="00D3650C">
        <w:rPr>
          <w:iCs/>
          <w:lang w:val="en-US"/>
        </w:rPr>
        <w:t xml:space="preserve"> </w:t>
      </w:r>
      <w:r>
        <w:rPr>
          <w:iCs/>
          <w:lang w:val="en-US"/>
        </w:rPr>
        <w:t xml:space="preserve">registered </w:t>
      </w:r>
      <w:r w:rsidR="005B1B39">
        <w:rPr>
          <w:iCs/>
          <w:lang w:val="en-US"/>
        </w:rPr>
        <w:t xml:space="preserve">as a </w:t>
      </w:r>
      <w:r>
        <w:rPr>
          <w:iCs/>
          <w:lang w:val="en-US"/>
        </w:rPr>
        <w:t>mortgage against Mr. O’Meachair’s interest in three properties. On 2</w:t>
      </w:r>
      <w:r w:rsidRPr="00362CB0">
        <w:rPr>
          <w:iCs/>
          <w:vertAlign w:val="superscript"/>
          <w:lang w:val="en-US"/>
        </w:rPr>
        <w:t>nd</w:t>
      </w:r>
      <w:r>
        <w:rPr>
          <w:iCs/>
          <w:lang w:val="en-US"/>
        </w:rPr>
        <w:t xml:space="preserve"> March 2012, it was registered as a mortgage against Mr. O’Meachair’s interest in </w:t>
      </w:r>
      <w:r w:rsidR="008D5946">
        <w:rPr>
          <w:iCs/>
          <w:lang w:val="en-US"/>
        </w:rPr>
        <w:t>F</w:t>
      </w:r>
      <w:r>
        <w:rPr>
          <w:iCs/>
          <w:lang w:val="en-US"/>
        </w:rPr>
        <w:t xml:space="preserve">olio 5067F County Mayo in which he held a half share </w:t>
      </w:r>
      <w:r w:rsidR="008D5946">
        <w:rPr>
          <w:iCs/>
          <w:lang w:val="en-US"/>
        </w:rPr>
        <w:t xml:space="preserve">interest </w:t>
      </w:r>
      <w:r>
        <w:rPr>
          <w:iCs/>
          <w:lang w:val="en-US"/>
        </w:rPr>
        <w:t>as tenant in common with Mr. Thomas Joyce, the first named defendant in these proceedings, against whom judgment was given on 18</w:t>
      </w:r>
      <w:r w:rsidRPr="00362CB0">
        <w:rPr>
          <w:iCs/>
          <w:vertAlign w:val="superscript"/>
          <w:lang w:val="en-US"/>
        </w:rPr>
        <w:t>th</w:t>
      </w:r>
      <w:r>
        <w:rPr>
          <w:iCs/>
          <w:lang w:val="en-US"/>
        </w:rPr>
        <w:t xml:space="preserve"> November 2010 in the sum of</w:t>
      </w:r>
      <w:r w:rsidR="00D3650C">
        <w:rPr>
          <w:iCs/>
          <w:lang w:val="en-US"/>
        </w:rPr>
        <w:t xml:space="preserve"> €2,468,308.80 together with costs. </w:t>
      </w:r>
      <w:r>
        <w:rPr>
          <w:iCs/>
          <w:lang w:val="en-US"/>
        </w:rPr>
        <w:t>Subsequently, on 9</w:t>
      </w:r>
      <w:r w:rsidRPr="00362CB0">
        <w:rPr>
          <w:iCs/>
          <w:vertAlign w:val="superscript"/>
          <w:lang w:val="en-US"/>
        </w:rPr>
        <w:t>th</w:t>
      </w:r>
      <w:r>
        <w:rPr>
          <w:iCs/>
          <w:lang w:val="en-US"/>
        </w:rPr>
        <w:t xml:space="preserve"> </w:t>
      </w:r>
      <w:r w:rsidR="00C44D5B">
        <w:rPr>
          <w:iCs/>
          <w:lang w:val="en-US"/>
        </w:rPr>
        <w:t>January</w:t>
      </w:r>
      <w:r>
        <w:rPr>
          <w:iCs/>
          <w:lang w:val="en-US"/>
        </w:rPr>
        <w:t xml:space="preserve"> 2013, the judgment against Mr. O’Meachair was registered as </w:t>
      </w:r>
      <w:r w:rsidR="00D3650C">
        <w:rPr>
          <w:iCs/>
          <w:lang w:val="en-US"/>
        </w:rPr>
        <w:t xml:space="preserve">a </w:t>
      </w:r>
      <w:r>
        <w:rPr>
          <w:iCs/>
          <w:lang w:val="en-US"/>
        </w:rPr>
        <w:t xml:space="preserve">mortgage against his property comprised in </w:t>
      </w:r>
      <w:r w:rsidR="008D5946">
        <w:rPr>
          <w:iCs/>
          <w:lang w:val="en-US"/>
        </w:rPr>
        <w:t>F</w:t>
      </w:r>
      <w:r>
        <w:rPr>
          <w:iCs/>
          <w:lang w:val="en-US"/>
        </w:rPr>
        <w:t xml:space="preserve">olio 37958F County Mayo. There is a prior charge in favour of First Active </w:t>
      </w:r>
      <w:r w:rsidR="002A7E4B">
        <w:rPr>
          <w:iCs/>
          <w:lang w:val="en-US"/>
        </w:rPr>
        <w:t>p</w:t>
      </w:r>
      <w:r>
        <w:rPr>
          <w:iCs/>
          <w:lang w:val="en-US"/>
        </w:rPr>
        <w:t xml:space="preserve">lc over this folio which was registered on </w:t>
      </w:r>
      <w:r w:rsidR="00F52770">
        <w:rPr>
          <w:iCs/>
          <w:lang w:val="en-US"/>
        </w:rPr>
        <w:t>1</w:t>
      </w:r>
      <w:r w:rsidR="00F52770" w:rsidRPr="00F52770">
        <w:rPr>
          <w:iCs/>
          <w:vertAlign w:val="superscript"/>
          <w:lang w:val="en-US"/>
        </w:rPr>
        <w:t>st</w:t>
      </w:r>
      <w:r w:rsidR="00F52770">
        <w:rPr>
          <w:iCs/>
          <w:lang w:val="en-US"/>
        </w:rPr>
        <w:t xml:space="preserve"> </w:t>
      </w:r>
      <w:r w:rsidR="00C44D5B">
        <w:rPr>
          <w:iCs/>
          <w:lang w:val="en-US"/>
        </w:rPr>
        <w:t>June</w:t>
      </w:r>
      <w:r w:rsidR="00F52770">
        <w:rPr>
          <w:iCs/>
          <w:lang w:val="en-US"/>
        </w:rPr>
        <w:t xml:space="preserve"> 1999 and is stamped to cover IR£53,000 together with interest.</w:t>
      </w:r>
      <w:r w:rsidR="00D3650C">
        <w:rPr>
          <w:iCs/>
          <w:lang w:val="en-US"/>
        </w:rPr>
        <w:t xml:space="preserve"> As I understand it, Mr. O’Meachair’s family home is situated on this folio.</w:t>
      </w:r>
      <w:r w:rsidR="00F52770">
        <w:rPr>
          <w:iCs/>
          <w:lang w:val="en-US"/>
        </w:rPr>
        <w:t xml:space="preserve"> The judgment against Mr. O’Meachair was also registered on 9</w:t>
      </w:r>
      <w:r w:rsidR="00F52770" w:rsidRPr="00F52770">
        <w:rPr>
          <w:iCs/>
          <w:vertAlign w:val="superscript"/>
          <w:lang w:val="en-US"/>
        </w:rPr>
        <w:t>th</w:t>
      </w:r>
      <w:r w:rsidR="00F52770">
        <w:rPr>
          <w:iCs/>
          <w:lang w:val="en-US"/>
        </w:rPr>
        <w:t xml:space="preserve"> </w:t>
      </w:r>
      <w:r w:rsidR="00C44D5B">
        <w:rPr>
          <w:iCs/>
          <w:lang w:val="en-US"/>
        </w:rPr>
        <w:t>January</w:t>
      </w:r>
      <w:r w:rsidR="00F52770">
        <w:rPr>
          <w:iCs/>
          <w:lang w:val="en-US"/>
        </w:rPr>
        <w:t xml:space="preserve"> 2013 as a mortgage against his property comprised in </w:t>
      </w:r>
      <w:r w:rsidR="008D5946">
        <w:rPr>
          <w:iCs/>
          <w:lang w:val="en-US"/>
        </w:rPr>
        <w:t>F</w:t>
      </w:r>
      <w:r w:rsidR="00F52770">
        <w:rPr>
          <w:iCs/>
          <w:lang w:val="en-US"/>
        </w:rPr>
        <w:t xml:space="preserve">olio 52936F County Mayo which, according to the folio </w:t>
      </w:r>
      <w:r w:rsidR="002A7E4B">
        <w:rPr>
          <w:iCs/>
          <w:lang w:val="en-US"/>
        </w:rPr>
        <w:t>is</w:t>
      </w:r>
      <w:r w:rsidR="00F52770">
        <w:rPr>
          <w:iCs/>
          <w:lang w:val="en-US"/>
        </w:rPr>
        <w:t xml:space="preserve"> otherwise unencumbered. </w:t>
      </w:r>
    </w:p>
    <w:p w14:paraId="3E7A9247" w14:textId="77777777" w:rsidR="00F52770" w:rsidRDefault="008D5946" w:rsidP="00C44D5B">
      <w:pPr>
        <w:numPr>
          <w:ilvl w:val="0"/>
          <w:numId w:val="8"/>
        </w:numPr>
        <w:spacing w:line="480" w:lineRule="auto"/>
        <w:jc w:val="both"/>
        <w:rPr>
          <w:iCs/>
          <w:lang w:val="en-US"/>
        </w:rPr>
      </w:pPr>
      <w:r>
        <w:rPr>
          <w:iCs/>
          <w:lang w:val="en-US"/>
        </w:rPr>
        <w:t>O</w:t>
      </w:r>
      <w:r w:rsidR="00F52770">
        <w:rPr>
          <w:iCs/>
          <w:lang w:val="en-US"/>
        </w:rPr>
        <w:t>n 4</w:t>
      </w:r>
      <w:r w:rsidR="00F52770" w:rsidRPr="00F52770">
        <w:rPr>
          <w:iCs/>
          <w:vertAlign w:val="superscript"/>
          <w:lang w:val="en-US"/>
        </w:rPr>
        <w:t>th</w:t>
      </w:r>
      <w:r w:rsidR="00F52770">
        <w:rPr>
          <w:iCs/>
          <w:lang w:val="en-US"/>
        </w:rPr>
        <w:t xml:space="preserve"> </w:t>
      </w:r>
      <w:r w:rsidR="00C44D5B">
        <w:rPr>
          <w:iCs/>
          <w:lang w:val="en-US"/>
        </w:rPr>
        <w:t>April</w:t>
      </w:r>
      <w:r w:rsidR="00F52770">
        <w:rPr>
          <w:iCs/>
          <w:lang w:val="en-US"/>
        </w:rPr>
        <w:t xml:space="preserve"> 2011, Mr. Kieran Wallace was appointed receiver over the property comprise</w:t>
      </w:r>
      <w:r>
        <w:rPr>
          <w:iCs/>
          <w:lang w:val="en-US"/>
        </w:rPr>
        <w:t>d</w:t>
      </w:r>
      <w:r w:rsidR="00F52770">
        <w:rPr>
          <w:iCs/>
          <w:lang w:val="en-US"/>
        </w:rPr>
        <w:t xml:space="preserve"> in </w:t>
      </w:r>
      <w:r>
        <w:rPr>
          <w:iCs/>
          <w:lang w:val="en-US"/>
        </w:rPr>
        <w:t>F</w:t>
      </w:r>
      <w:r w:rsidR="00F52770">
        <w:rPr>
          <w:iCs/>
          <w:lang w:val="en-US"/>
        </w:rPr>
        <w:t xml:space="preserve">olio 5067F. According to a </w:t>
      </w:r>
      <w:r w:rsidR="002A7E4B">
        <w:rPr>
          <w:iCs/>
          <w:lang w:val="en-US"/>
        </w:rPr>
        <w:t xml:space="preserve">brief </w:t>
      </w:r>
      <w:r w:rsidR="00F52770">
        <w:rPr>
          <w:iCs/>
          <w:lang w:val="en-US"/>
        </w:rPr>
        <w:t>report of the receiver exhibited to the affidavit of Mr. Sean Webb of Cabot, sworn on 1</w:t>
      </w:r>
      <w:r w:rsidR="00F52770" w:rsidRPr="00F52770">
        <w:rPr>
          <w:iCs/>
          <w:vertAlign w:val="superscript"/>
          <w:lang w:val="en-US"/>
        </w:rPr>
        <w:t>st</w:t>
      </w:r>
      <w:r w:rsidR="00F52770">
        <w:rPr>
          <w:iCs/>
          <w:lang w:val="en-US"/>
        </w:rPr>
        <w:t xml:space="preserve"> </w:t>
      </w:r>
      <w:r w:rsidR="00C44D5B">
        <w:rPr>
          <w:iCs/>
          <w:lang w:val="en-US"/>
        </w:rPr>
        <w:t>December</w:t>
      </w:r>
      <w:r w:rsidR="00F52770">
        <w:rPr>
          <w:iCs/>
          <w:lang w:val="en-US"/>
        </w:rPr>
        <w:t xml:space="preserve"> 2021, </w:t>
      </w:r>
      <w:r w:rsidR="00F52770">
        <w:rPr>
          <w:iCs/>
          <w:lang w:val="en-US"/>
        </w:rPr>
        <w:lastRenderedPageBreak/>
        <w:t xml:space="preserve">the property comprises </w:t>
      </w:r>
      <w:r w:rsidR="00F52770" w:rsidRPr="00817912">
        <w:rPr>
          <w:iCs/>
        </w:rPr>
        <w:t>four</w:t>
      </w:r>
      <w:r w:rsidR="00F52770">
        <w:rPr>
          <w:iCs/>
          <w:lang w:val="en-US"/>
        </w:rPr>
        <w:t xml:space="preserve"> terrace</w:t>
      </w:r>
      <w:r w:rsidR="002A7E4B">
        <w:rPr>
          <w:iCs/>
          <w:lang w:val="en-US"/>
        </w:rPr>
        <w:t>d</w:t>
      </w:r>
      <w:r w:rsidR="00F52770">
        <w:rPr>
          <w:iCs/>
          <w:lang w:val="en-US"/>
        </w:rPr>
        <w:t xml:space="preserve"> bungalows on a 2.62-acre site located at Sheeaun</w:t>
      </w:r>
      <w:r w:rsidR="00295B4F">
        <w:rPr>
          <w:iCs/>
          <w:lang w:val="en-US"/>
        </w:rPr>
        <w:t>e</w:t>
      </w:r>
      <w:r w:rsidR="00F52770">
        <w:rPr>
          <w:iCs/>
          <w:lang w:val="en-US"/>
        </w:rPr>
        <w:t>, Westport, County Mayo. It was sold to Peter Finch and Martha Finch on 3</w:t>
      </w:r>
      <w:r w:rsidR="00F52770" w:rsidRPr="00F52770">
        <w:rPr>
          <w:iCs/>
          <w:vertAlign w:val="superscript"/>
          <w:lang w:val="en-US"/>
        </w:rPr>
        <w:t>rd</w:t>
      </w:r>
      <w:r w:rsidR="00F52770">
        <w:rPr>
          <w:iCs/>
          <w:lang w:val="en-US"/>
        </w:rPr>
        <w:t xml:space="preserve"> </w:t>
      </w:r>
      <w:r w:rsidR="00C44D5B">
        <w:rPr>
          <w:iCs/>
          <w:lang w:val="en-US"/>
        </w:rPr>
        <w:t>February</w:t>
      </w:r>
      <w:r w:rsidR="00F52770">
        <w:rPr>
          <w:iCs/>
          <w:lang w:val="en-US"/>
        </w:rPr>
        <w:t xml:space="preserve"> 2015 and the sales proceeds of €50,000 were received on 10</w:t>
      </w:r>
      <w:r w:rsidR="00F52770" w:rsidRPr="00F52770">
        <w:rPr>
          <w:iCs/>
          <w:vertAlign w:val="superscript"/>
          <w:lang w:val="en-US"/>
        </w:rPr>
        <w:t>th</w:t>
      </w:r>
      <w:r w:rsidR="00F52770">
        <w:rPr>
          <w:iCs/>
          <w:lang w:val="en-US"/>
        </w:rPr>
        <w:t xml:space="preserve"> </w:t>
      </w:r>
      <w:r w:rsidR="00C44D5B">
        <w:rPr>
          <w:iCs/>
          <w:lang w:val="en-US"/>
        </w:rPr>
        <w:t>March</w:t>
      </w:r>
      <w:r w:rsidR="00F52770">
        <w:rPr>
          <w:iCs/>
          <w:lang w:val="en-US"/>
        </w:rPr>
        <w:t xml:space="preserve"> 2015. However, when the costs and expenses of the receivership and the sale were deducted by the receiver, the net return to ACC Bank </w:t>
      </w:r>
      <w:r>
        <w:rPr>
          <w:iCs/>
          <w:lang w:val="en-US"/>
        </w:rPr>
        <w:t>p</w:t>
      </w:r>
      <w:r w:rsidR="00F52770">
        <w:rPr>
          <w:iCs/>
          <w:lang w:val="en-US"/>
        </w:rPr>
        <w:t xml:space="preserve">lc as </w:t>
      </w:r>
      <w:proofErr w:type="gramStart"/>
      <w:r w:rsidR="00F52770">
        <w:rPr>
          <w:iCs/>
          <w:lang w:val="en-US"/>
        </w:rPr>
        <w:t>at</w:t>
      </w:r>
      <w:proofErr w:type="gramEnd"/>
      <w:r w:rsidR="00F52770">
        <w:rPr>
          <w:iCs/>
          <w:lang w:val="en-US"/>
        </w:rPr>
        <w:t xml:space="preserve"> 5</w:t>
      </w:r>
      <w:r w:rsidR="00F52770" w:rsidRPr="00F52770">
        <w:rPr>
          <w:iCs/>
          <w:vertAlign w:val="superscript"/>
          <w:lang w:val="en-US"/>
        </w:rPr>
        <w:t>th</w:t>
      </w:r>
      <w:r w:rsidR="00F52770">
        <w:rPr>
          <w:iCs/>
          <w:lang w:val="en-US"/>
        </w:rPr>
        <w:t xml:space="preserve"> </w:t>
      </w:r>
      <w:r w:rsidR="00C44D5B">
        <w:rPr>
          <w:iCs/>
          <w:lang w:val="en-US"/>
        </w:rPr>
        <w:t>June</w:t>
      </w:r>
      <w:r w:rsidR="00F52770">
        <w:rPr>
          <w:iCs/>
          <w:lang w:val="en-US"/>
        </w:rPr>
        <w:t xml:space="preserve"> 2015 is stated to have been no more than €7,653. </w:t>
      </w:r>
      <w:r w:rsidR="002A7E4B">
        <w:rPr>
          <w:iCs/>
          <w:lang w:val="en-US"/>
        </w:rPr>
        <w:t xml:space="preserve">As noted </w:t>
      </w:r>
      <w:r w:rsidR="00817912">
        <w:rPr>
          <w:iCs/>
          <w:lang w:val="en-US"/>
        </w:rPr>
        <w:t>in para. 3 above</w:t>
      </w:r>
      <w:r w:rsidR="002A7E4B">
        <w:rPr>
          <w:iCs/>
          <w:lang w:val="en-US"/>
        </w:rPr>
        <w:t>, Mr. O’Meachair has strongly criticised th</w:t>
      </w:r>
      <w:r w:rsidR="00817912">
        <w:rPr>
          <w:iCs/>
          <w:lang w:val="en-US"/>
        </w:rPr>
        <w:t>e sales process.</w:t>
      </w:r>
    </w:p>
    <w:p w14:paraId="7F4A7831" w14:textId="77777777" w:rsidR="001B1D82" w:rsidRDefault="00F52770" w:rsidP="00C44D5B">
      <w:pPr>
        <w:numPr>
          <w:ilvl w:val="0"/>
          <w:numId w:val="8"/>
        </w:numPr>
        <w:spacing w:line="480" w:lineRule="auto"/>
        <w:jc w:val="both"/>
        <w:rPr>
          <w:iCs/>
          <w:lang w:val="en-US"/>
        </w:rPr>
      </w:pPr>
      <w:proofErr w:type="gramStart"/>
      <w:r>
        <w:rPr>
          <w:iCs/>
          <w:lang w:val="en-US"/>
        </w:rPr>
        <w:t>In the course of</w:t>
      </w:r>
      <w:proofErr w:type="gramEnd"/>
      <w:r>
        <w:rPr>
          <w:iCs/>
          <w:lang w:val="en-US"/>
        </w:rPr>
        <w:t xml:space="preserve"> the period between 2014 and 2016, ACC Bank </w:t>
      </w:r>
      <w:r w:rsidR="00817912">
        <w:rPr>
          <w:iCs/>
          <w:lang w:val="en-US"/>
        </w:rPr>
        <w:t>p</w:t>
      </w:r>
      <w:r>
        <w:rPr>
          <w:iCs/>
          <w:lang w:val="en-US"/>
        </w:rPr>
        <w:t>lc underwent a series of name changes which culminated in a certificate of incorporation on conversion to a designated activity company dated 23</w:t>
      </w:r>
      <w:r w:rsidRPr="00F52770">
        <w:rPr>
          <w:iCs/>
          <w:vertAlign w:val="superscript"/>
          <w:lang w:val="en-US"/>
        </w:rPr>
        <w:t>rd</w:t>
      </w:r>
      <w:r>
        <w:rPr>
          <w:iCs/>
          <w:lang w:val="en-US"/>
        </w:rPr>
        <w:t xml:space="preserve"> August 2016 which confirmed that it had been converted under the Companies Act 2014 to a designated activity company known as ACC Loan Management DAC. On 31</w:t>
      </w:r>
      <w:r w:rsidRPr="00F52770">
        <w:rPr>
          <w:iCs/>
          <w:vertAlign w:val="superscript"/>
          <w:lang w:val="en-US"/>
        </w:rPr>
        <w:t>st</w:t>
      </w:r>
      <w:r>
        <w:rPr>
          <w:iCs/>
          <w:lang w:val="en-US"/>
        </w:rPr>
        <w:t xml:space="preserve"> </w:t>
      </w:r>
      <w:r w:rsidR="00C44D5B">
        <w:rPr>
          <w:iCs/>
          <w:lang w:val="en-US"/>
        </w:rPr>
        <w:t>October</w:t>
      </w:r>
      <w:r>
        <w:rPr>
          <w:iCs/>
          <w:lang w:val="en-US"/>
        </w:rPr>
        <w:t xml:space="preserve"> 2018, ACC Loan Management DAC agreed to assign to Cooperatieve Rabobank U.A. the legal and beneficial ownership of certain debts and related rights including the facilities </w:t>
      </w:r>
      <w:r w:rsidR="00DA79E1">
        <w:rPr>
          <w:iCs/>
          <w:lang w:val="en-US"/>
        </w:rPr>
        <w:t>held by Mr. O’</w:t>
      </w:r>
      <w:r w:rsidR="001B1D82">
        <w:rPr>
          <w:iCs/>
          <w:lang w:val="en-US"/>
        </w:rPr>
        <w:t>Meachair with ACC Bank Plc. That assignment was subsequently completed under a deed of transfer dated 17</w:t>
      </w:r>
      <w:r w:rsidR="001B1D82" w:rsidRPr="001B1D82">
        <w:rPr>
          <w:iCs/>
          <w:vertAlign w:val="superscript"/>
          <w:lang w:val="en-US"/>
        </w:rPr>
        <w:t>th</w:t>
      </w:r>
      <w:r w:rsidR="001B1D82">
        <w:rPr>
          <w:iCs/>
          <w:lang w:val="en-US"/>
        </w:rPr>
        <w:t xml:space="preserve"> </w:t>
      </w:r>
      <w:r w:rsidR="00C44D5B">
        <w:rPr>
          <w:iCs/>
          <w:lang w:val="en-US"/>
        </w:rPr>
        <w:t>December</w:t>
      </w:r>
      <w:r w:rsidR="001B1D82">
        <w:rPr>
          <w:iCs/>
          <w:lang w:val="en-US"/>
        </w:rPr>
        <w:t xml:space="preserve"> 2018 under which ACC Loan Management DAC assigned to Cooperatieve Rabobank U.A. the legal and beneficial ownership of debts and rights including the facilities held by Mr. O’Meachair with ACC Bank </w:t>
      </w:r>
      <w:r w:rsidR="008D5946">
        <w:rPr>
          <w:iCs/>
          <w:lang w:val="en-US"/>
        </w:rPr>
        <w:t>p</w:t>
      </w:r>
      <w:r w:rsidR="001B1D82">
        <w:rPr>
          <w:iCs/>
          <w:lang w:val="en-US"/>
        </w:rPr>
        <w:t xml:space="preserve">lc. </w:t>
      </w:r>
      <w:r w:rsidR="00305F89">
        <w:rPr>
          <w:iCs/>
          <w:lang w:val="en-US"/>
        </w:rPr>
        <w:t>Subsequently, by Global Deed of Transfer dated 5</w:t>
      </w:r>
      <w:r w:rsidR="00305F89" w:rsidRPr="00305F89">
        <w:rPr>
          <w:iCs/>
          <w:vertAlign w:val="superscript"/>
          <w:lang w:val="en-US"/>
        </w:rPr>
        <w:t>th</w:t>
      </w:r>
      <w:r w:rsidR="00305F89">
        <w:rPr>
          <w:iCs/>
          <w:lang w:val="en-US"/>
        </w:rPr>
        <w:t xml:space="preserve"> </w:t>
      </w:r>
      <w:r w:rsidR="00C44D5B">
        <w:rPr>
          <w:iCs/>
          <w:lang w:val="en-US"/>
        </w:rPr>
        <w:t>July</w:t>
      </w:r>
      <w:r w:rsidR="00305F89">
        <w:rPr>
          <w:iCs/>
          <w:lang w:val="en-US"/>
        </w:rPr>
        <w:t xml:space="preserve"> 2019, Coop</w:t>
      </w:r>
      <w:r w:rsidR="00295B4F">
        <w:rPr>
          <w:iCs/>
          <w:lang w:val="en-US"/>
        </w:rPr>
        <w:t>eratieve Rabobank U.A.</w:t>
      </w:r>
      <w:r w:rsidR="00305F89">
        <w:rPr>
          <w:iCs/>
          <w:lang w:val="en-US"/>
        </w:rPr>
        <w:t xml:space="preserve"> assign</w:t>
      </w:r>
      <w:r w:rsidR="00295B4F">
        <w:rPr>
          <w:iCs/>
          <w:lang w:val="en-US"/>
        </w:rPr>
        <w:t>ed</w:t>
      </w:r>
      <w:r w:rsidR="00305F89">
        <w:rPr>
          <w:iCs/>
          <w:lang w:val="en-US"/>
        </w:rPr>
        <w:t xml:space="preserve"> to Cabot the legal and beneficial ownership of debts and related rights including Mr. O’Meachair’s facilities. By letter dated 12</w:t>
      </w:r>
      <w:r w:rsidR="00305F89" w:rsidRPr="00305F89">
        <w:rPr>
          <w:iCs/>
          <w:vertAlign w:val="superscript"/>
          <w:lang w:val="en-US"/>
        </w:rPr>
        <w:t>th</w:t>
      </w:r>
      <w:r w:rsidR="00305F89">
        <w:rPr>
          <w:iCs/>
          <w:lang w:val="en-US"/>
        </w:rPr>
        <w:t xml:space="preserve"> </w:t>
      </w:r>
      <w:r w:rsidR="00C44D5B">
        <w:rPr>
          <w:iCs/>
          <w:lang w:val="en-US"/>
        </w:rPr>
        <w:t>July</w:t>
      </w:r>
      <w:r w:rsidR="00305F89">
        <w:rPr>
          <w:iCs/>
          <w:lang w:val="en-US"/>
        </w:rPr>
        <w:t xml:space="preserve"> 2019, Cabot wrote to Mr. O’Meachair confirming that the transfer had </w:t>
      </w:r>
      <w:r w:rsidR="00295B4F">
        <w:rPr>
          <w:iCs/>
          <w:lang w:val="en-US"/>
        </w:rPr>
        <w:t xml:space="preserve">been </w:t>
      </w:r>
      <w:r w:rsidR="00305F89">
        <w:rPr>
          <w:iCs/>
          <w:lang w:val="en-US"/>
        </w:rPr>
        <w:t xml:space="preserve">completed. </w:t>
      </w:r>
    </w:p>
    <w:p w14:paraId="66F1FE2A" w14:textId="77777777" w:rsidR="00305F89" w:rsidRDefault="00305F89" w:rsidP="00C44D5B">
      <w:pPr>
        <w:numPr>
          <w:ilvl w:val="0"/>
          <w:numId w:val="8"/>
        </w:numPr>
        <w:spacing w:line="480" w:lineRule="auto"/>
        <w:jc w:val="both"/>
        <w:rPr>
          <w:iCs/>
          <w:lang w:val="en-US"/>
        </w:rPr>
      </w:pPr>
      <w:r>
        <w:rPr>
          <w:iCs/>
          <w:lang w:val="en-US"/>
        </w:rPr>
        <w:t>At some point in 2017, Mr. O’Meachair petitioned for his own bankruptcy. He was adjudicated a bankrupt on 9</w:t>
      </w:r>
      <w:r w:rsidRPr="00305F89">
        <w:rPr>
          <w:iCs/>
          <w:vertAlign w:val="superscript"/>
          <w:lang w:val="en-US"/>
        </w:rPr>
        <w:t>th</w:t>
      </w:r>
      <w:r>
        <w:rPr>
          <w:iCs/>
          <w:lang w:val="en-US"/>
        </w:rPr>
        <w:t xml:space="preserve"> </w:t>
      </w:r>
      <w:r w:rsidR="00C44D5B">
        <w:rPr>
          <w:iCs/>
          <w:lang w:val="en-US"/>
        </w:rPr>
        <w:t>October</w:t>
      </w:r>
      <w:r>
        <w:rPr>
          <w:iCs/>
          <w:lang w:val="en-US"/>
        </w:rPr>
        <w:t xml:space="preserve"> 2017. According to the supplemental </w:t>
      </w:r>
      <w:r>
        <w:rPr>
          <w:iCs/>
          <w:lang w:val="en-US"/>
        </w:rPr>
        <w:lastRenderedPageBreak/>
        <w:t>affidavit of Mr. Webb sworn on 1</w:t>
      </w:r>
      <w:r w:rsidRPr="00305F89">
        <w:rPr>
          <w:iCs/>
          <w:vertAlign w:val="superscript"/>
          <w:lang w:val="en-US"/>
        </w:rPr>
        <w:t>st</w:t>
      </w:r>
      <w:r>
        <w:rPr>
          <w:iCs/>
          <w:lang w:val="en-US"/>
        </w:rPr>
        <w:t xml:space="preserve"> </w:t>
      </w:r>
      <w:r w:rsidR="00C44D5B">
        <w:rPr>
          <w:iCs/>
          <w:lang w:val="en-US"/>
        </w:rPr>
        <w:t>December</w:t>
      </w:r>
      <w:r>
        <w:rPr>
          <w:iCs/>
          <w:lang w:val="en-US"/>
        </w:rPr>
        <w:t xml:space="preserve"> 2021, the properties owned by O’Meachair vested in the Official Assignee on 1</w:t>
      </w:r>
      <w:r w:rsidRPr="00305F89">
        <w:rPr>
          <w:iCs/>
          <w:vertAlign w:val="superscript"/>
          <w:lang w:val="en-US"/>
        </w:rPr>
        <w:t>st</w:t>
      </w:r>
      <w:r>
        <w:rPr>
          <w:iCs/>
          <w:lang w:val="en-US"/>
        </w:rPr>
        <w:t xml:space="preserve"> </w:t>
      </w:r>
      <w:r w:rsidR="00C44D5B">
        <w:rPr>
          <w:iCs/>
          <w:lang w:val="en-US"/>
        </w:rPr>
        <w:t>October</w:t>
      </w:r>
      <w:r>
        <w:rPr>
          <w:iCs/>
          <w:lang w:val="en-US"/>
        </w:rPr>
        <w:t xml:space="preserve"> </w:t>
      </w:r>
      <w:r w:rsidR="003E3A4E">
        <w:rPr>
          <w:iCs/>
          <w:lang w:val="en-US"/>
        </w:rPr>
        <w:t>2018 and did not re</w:t>
      </w:r>
      <w:r w:rsidR="008D5946">
        <w:rPr>
          <w:iCs/>
          <w:lang w:val="en-US"/>
        </w:rPr>
        <w:t>-</w:t>
      </w:r>
      <w:r w:rsidR="003E3A4E">
        <w:rPr>
          <w:iCs/>
          <w:lang w:val="en-US"/>
        </w:rPr>
        <w:t xml:space="preserve">vest in Mr. O’Meachair until </w:t>
      </w:r>
      <w:r w:rsidR="00C44D5B">
        <w:rPr>
          <w:iCs/>
          <w:lang w:val="en-US"/>
        </w:rPr>
        <w:t>October</w:t>
      </w:r>
      <w:r w:rsidR="003E3A4E">
        <w:rPr>
          <w:iCs/>
          <w:lang w:val="en-US"/>
        </w:rPr>
        <w:t xml:space="preserve"> 2020. The present application was brought by notice of motion dated 12</w:t>
      </w:r>
      <w:r w:rsidR="003E3A4E" w:rsidRPr="003E3A4E">
        <w:rPr>
          <w:iCs/>
          <w:vertAlign w:val="superscript"/>
          <w:lang w:val="en-US"/>
        </w:rPr>
        <w:t>th</w:t>
      </w:r>
      <w:r w:rsidR="003E3A4E">
        <w:rPr>
          <w:iCs/>
          <w:lang w:val="en-US"/>
        </w:rPr>
        <w:t xml:space="preserve"> </w:t>
      </w:r>
      <w:r w:rsidR="00C44D5B">
        <w:rPr>
          <w:iCs/>
          <w:lang w:val="en-US"/>
        </w:rPr>
        <w:t>May</w:t>
      </w:r>
      <w:r w:rsidR="003E3A4E">
        <w:rPr>
          <w:iCs/>
          <w:lang w:val="en-US"/>
        </w:rPr>
        <w:t xml:space="preserve"> 2021. </w:t>
      </w:r>
    </w:p>
    <w:p w14:paraId="6CB06F97" w14:textId="77777777" w:rsidR="003E3A4E" w:rsidRDefault="00295B4F" w:rsidP="00C44D5B">
      <w:pPr>
        <w:numPr>
          <w:ilvl w:val="0"/>
          <w:numId w:val="8"/>
        </w:numPr>
        <w:spacing w:line="480" w:lineRule="auto"/>
        <w:jc w:val="both"/>
        <w:rPr>
          <w:iCs/>
          <w:lang w:val="en-US"/>
        </w:rPr>
      </w:pPr>
      <w:r>
        <w:rPr>
          <w:iCs/>
          <w:lang w:val="en-US"/>
        </w:rPr>
        <w:t>Having set out, in brief terms, the relevant facts, it is next necessary to consider the reason</w:t>
      </w:r>
      <w:r w:rsidR="00817912">
        <w:rPr>
          <w:iCs/>
          <w:lang w:val="en-US"/>
        </w:rPr>
        <w:t>s</w:t>
      </w:r>
      <w:r>
        <w:rPr>
          <w:iCs/>
          <w:lang w:val="en-US"/>
        </w:rPr>
        <w:t xml:space="preserve"> given by </w:t>
      </w:r>
      <w:r w:rsidR="00817912">
        <w:rPr>
          <w:iCs/>
          <w:lang w:val="en-US"/>
        </w:rPr>
        <w:t>Cabot</w:t>
      </w:r>
      <w:r>
        <w:rPr>
          <w:iCs/>
          <w:lang w:val="en-US"/>
        </w:rPr>
        <w:t xml:space="preserve"> </w:t>
      </w:r>
      <w:r w:rsidR="00817912">
        <w:rPr>
          <w:iCs/>
          <w:lang w:val="en-US"/>
        </w:rPr>
        <w:t xml:space="preserve">to explain the lapse of time </w:t>
      </w:r>
      <w:r>
        <w:rPr>
          <w:iCs/>
          <w:lang w:val="en-US"/>
        </w:rPr>
        <w:t xml:space="preserve">in this case. </w:t>
      </w:r>
      <w:r w:rsidR="003E3A4E">
        <w:rPr>
          <w:iCs/>
          <w:lang w:val="en-US"/>
        </w:rPr>
        <w:t>T</w:t>
      </w:r>
      <w:r w:rsidR="00817912">
        <w:rPr>
          <w:iCs/>
          <w:lang w:val="en-US"/>
        </w:rPr>
        <w:t>his is addressed by Mr. Webb i</w:t>
      </w:r>
      <w:r w:rsidR="003E3A4E">
        <w:rPr>
          <w:iCs/>
          <w:lang w:val="en-US"/>
        </w:rPr>
        <w:t>n his affidavit sworn on 1</w:t>
      </w:r>
      <w:r w:rsidR="003E3A4E" w:rsidRPr="003E3A4E">
        <w:rPr>
          <w:iCs/>
          <w:vertAlign w:val="superscript"/>
          <w:lang w:val="en-US"/>
        </w:rPr>
        <w:t>st</w:t>
      </w:r>
      <w:r w:rsidR="003E3A4E">
        <w:rPr>
          <w:iCs/>
          <w:lang w:val="en-US"/>
        </w:rPr>
        <w:t xml:space="preserve"> </w:t>
      </w:r>
      <w:r w:rsidR="00C44D5B">
        <w:rPr>
          <w:iCs/>
          <w:lang w:val="en-US"/>
        </w:rPr>
        <w:t>December</w:t>
      </w:r>
      <w:r w:rsidR="003E3A4E">
        <w:rPr>
          <w:iCs/>
          <w:lang w:val="en-US"/>
        </w:rPr>
        <w:t xml:space="preserve"> 202</w:t>
      </w:r>
      <w:r w:rsidR="00817912">
        <w:rPr>
          <w:iCs/>
          <w:lang w:val="en-US"/>
        </w:rPr>
        <w:t>1. In that affidavit, Mr. Webb said</w:t>
      </w:r>
      <w:r w:rsidR="003E3A4E">
        <w:rPr>
          <w:iCs/>
          <w:lang w:val="en-US"/>
        </w:rPr>
        <w:t xml:space="preserve"> that ACC Bank </w:t>
      </w:r>
      <w:r w:rsidR="008D5946">
        <w:rPr>
          <w:iCs/>
          <w:lang w:val="en-US"/>
        </w:rPr>
        <w:t>p</w:t>
      </w:r>
      <w:r w:rsidR="003E3A4E">
        <w:rPr>
          <w:iCs/>
          <w:lang w:val="en-US"/>
        </w:rPr>
        <w:t xml:space="preserve">lc had sought to enforce its security and recover its judgment debt as against the lands over which the receiver was appointed. This culminated in the sale of the property in 2015 (as set out above). According to Mr. Webb, </w:t>
      </w:r>
      <w:r>
        <w:rPr>
          <w:iCs/>
          <w:lang w:val="en-US"/>
        </w:rPr>
        <w:t xml:space="preserve">he has been advised by the ACC </w:t>
      </w:r>
      <w:r w:rsidR="003E3A4E">
        <w:rPr>
          <w:i/>
          <w:iCs/>
          <w:lang w:val="en-US"/>
        </w:rPr>
        <w:t>“Legacy Team”</w:t>
      </w:r>
      <w:r w:rsidR="003E3A4E">
        <w:rPr>
          <w:iCs/>
          <w:lang w:val="en-US"/>
        </w:rPr>
        <w:t xml:space="preserve"> that the property had been advertised for a consider</w:t>
      </w:r>
      <w:r>
        <w:rPr>
          <w:iCs/>
          <w:lang w:val="en-US"/>
        </w:rPr>
        <w:t>able</w:t>
      </w:r>
      <w:r w:rsidR="003E3A4E">
        <w:rPr>
          <w:iCs/>
          <w:lang w:val="en-US"/>
        </w:rPr>
        <w:t xml:space="preserve"> time before its actual sale. It was initially marketed at €200,000 but that this was reduced to €95,000 in 2013. An offer of €80,000 was received but was subsequently withdrawn and the property ultimately sold for </w:t>
      </w:r>
      <w:r w:rsidR="000066FA">
        <w:rPr>
          <w:iCs/>
          <w:lang w:val="en-US"/>
        </w:rPr>
        <w:t xml:space="preserve">€50,000. As noted above, this occurred in </w:t>
      </w:r>
      <w:r w:rsidR="00C44D5B">
        <w:rPr>
          <w:iCs/>
          <w:lang w:val="en-US"/>
        </w:rPr>
        <w:t>February</w:t>
      </w:r>
      <w:r w:rsidR="000066FA">
        <w:rPr>
          <w:iCs/>
          <w:lang w:val="en-US"/>
        </w:rPr>
        <w:t xml:space="preserve"> 2015</w:t>
      </w:r>
      <w:r w:rsidR="008D5946">
        <w:rPr>
          <w:iCs/>
          <w:lang w:val="en-US"/>
        </w:rPr>
        <w:t xml:space="preserve"> which was more than </w:t>
      </w:r>
      <w:r w:rsidR="006A7AD3">
        <w:rPr>
          <w:iCs/>
          <w:lang w:val="en-US"/>
        </w:rPr>
        <w:t>six</w:t>
      </w:r>
      <w:r w:rsidR="008D5946">
        <w:rPr>
          <w:iCs/>
          <w:lang w:val="en-US"/>
        </w:rPr>
        <w:t xml:space="preserve"> years prior to the filing of the application under O.42, r. 24. </w:t>
      </w:r>
      <w:r w:rsidR="000066FA">
        <w:rPr>
          <w:iCs/>
          <w:lang w:val="en-US"/>
        </w:rPr>
        <w:t xml:space="preserve">Mr. Webb </w:t>
      </w:r>
      <w:r w:rsidR="008D5946">
        <w:rPr>
          <w:iCs/>
          <w:lang w:val="en-US"/>
        </w:rPr>
        <w:t xml:space="preserve">has </w:t>
      </w:r>
      <w:r w:rsidR="00462F4D">
        <w:rPr>
          <w:iCs/>
          <w:lang w:val="en-US"/>
        </w:rPr>
        <w:t xml:space="preserve">sought to explain the </w:t>
      </w:r>
      <w:r w:rsidR="000066FA">
        <w:rPr>
          <w:iCs/>
          <w:lang w:val="en-US"/>
        </w:rPr>
        <w:t xml:space="preserve">ensuing period in the following terms in paras. 11-13 of his </w:t>
      </w:r>
      <w:proofErr w:type="gramStart"/>
      <w:r w:rsidR="00C44D5B">
        <w:rPr>
          <w:iCs/>
          <w:lang w:val="en-US"/>
        </w:rPr>
        <w:t>affidavit</w:t>
      </w:r>
      <w:proofErr w:type="gramEnd"/>
      <w:r w:rsidR="00C44D5B">
        <w:rPr>
          <w:iCs/>
          <w:lang w:val="en-US"/>
        </w:rPr>
        <w:t>: -</w:t>
      </w:r>
    </w:p>
    <w:p w14:paraId="47B5E7FF" w14:textId="77777777" w:rsidR="000066FA" w:rsidRDefault="000066FA" w:rsidP="00C44D5B">
      <w:pPr>
        <w:spacing w:line="480" w:lineRule="auto"/>
        <w:ind w:left="1440" w:hanging="720"/>
        <w:jc w:val="both"/>
        <w:rPr>
          <w:i/>
          <w:iCs/>
          <w:lang w:val="en-US"/>
        </w:rPr>
      </w:pPr>
      <w:r>
        <w:rPr>
          <w:i/>
          <w:iCs/>
          <w:lang w:val="en-US"/>
        </w:rPr>
        <w:t>“11.</w:t>
      </w:r>
      <w:r>
        <w:rPr>
          <w:i/>
          <w:iCs/>
          <w:lang w:val="en-US"/>
        </w:rPr>
        <w:tab/>
        <w:t xml:space="preserve">I am advised that thereafter ACC considered its alternative enforcement and recovery options however it appeared that the Respondent was insolvent and there was a legal charge in favour of First Active </w:t>
      </w:r>
      <w:r w:rsidR="00462F4D">
        <w:rPr>
          <w:i/>
          <w:iCs/>
          <w:lang w:val="en-US"/>
        </w:rPr>
        <w:t>p</w:t>
      </w:r>
      <w:r w:rsidR="0019246C">
        <w:rPr>
          <w:i/>
          <w:iCs/>
          <w:lang w:val="en-US"/>
        </w:rPr>
        <w:t xml:space="preserve">lc registered in priority to ACC on the Respondent’s principal private residence. </w:t>
      </w:r>
      <w:r>
        <w:rPr>
          <w:i/>
          <w:iCs/>
          <w:lang w:val="en-US"/>
        </w:rPr>
        <w:t xml:space="preserve"> </w:t>
      </w:r>
    </w:p>
    <w:p w14:paraId="2891EA18" w14:textId="77777777" w:rsidR="000066FA" w:rsidRDefault="000066FA" w:rsidP="00C44D5B">
      <w:pPr>
        <w:spacing w:line="480" w:lineRule="auto"/>
        <w:ind w:left="720"/>
        <w:jc w:val="both"/>
        <w:rPr>
          <w:i/>
          <w:iCs/>
          <w:lang w:val="en-US"/>
        </w:rPr>
      </w:pPr>
    </w:p>
    <w:p w14:paraId="00CE6700" w14:textId="77777777" w:rsidR="000066FA" w:rsidRDefault="000066FA" w:rsidP="00C44D5B">
      <w:pPr>
        <w:spacing w:line="480" w:lineRule="auto"/>
        <w:ind w:left="1440" w:hanging="720"/>
        <w:jc w:val="both"/>
        <w:rPr>
          <w:i/>
          <w:iCs/>
          <w:lang w:val="en-US"/>
        </w:rPr>
      </w:pPr>
      <w:r>
        <w:rPr>
          <w:i/>
          <w:iCs/>
          <w:lang w:val="en-US"/>
        </w:rPr>
        <w:t>12.</w:t>
      </w:r>
      <w:r>
        <w:rPr>
          <w:i/>
          <w:iCs/>
          <w:lang w:val="en-US"/>
        </w:rPr>
        <w:tab/>
      </w:r>
      <w:r w:rsidR="0019246C">
        <w:rPr>
          <w:i/>
          <w:iCs/>
          <w:lang w:val="en-US"/>
        </w:rPr>
        <w:t>I say that ACC’s concerns proved accurate in circumstances where the Respondent petitioned</w:t>
      </w:r>
      <w:r w:rsidR="00A50432">
        <w:rPr>
          <w:i/>
          <w:iCs/>
          <w:lang w:val="en-US"/>
        </w:rPr>
        <w:t xml:space="preserve"> to the High Court for his own bankruptcy in </w:t>
      </w:r>
      <w:r w:rsidR="00A50432">
        <w:rPr>
          <w:i/>
          <w:iCs/>
          <w:lang w:val="en-US"/>
        </w:rPr>
        <w:lastRenderedPageBreak/>
        <w:t xml:space="preserve">2017 and he was subsequently adjudicated a bankrupt on 9 October 2017 circa 7 years post Judgment. </w:t>
      </w:r>
    </w:p>
    <w:p w14:paraId="09521B08" w14:textId="77777777" w:rsidR="000066FA" w:rsidRDefault="000066FA" w:rsidP="00C44D5B">
      <w:pPr>
        <w:spacing w:line="480" w:lineRule="auto"/>
        <w:ind w:left="720"/>
        <w:jc w:val="both"/>
        <w:rPr>
          <w:i/>
          <w:iCs/>
          <w:lang w:val="en-US"/>
        </w:rPr>
      </w:pPr>
    </w:p>
    <w:p w14:paraId="2DE3C5F2" w14:textId="77777777" w:rsidR="000066FA" w:rsidRPr="000066FA" w:rsidRDefault="000066FA" w:rsidP="00C44D5B">
      <w:pPr>
        <w:spacing w:line="480" w:lineRule="auto"/>
        <w:ind w:left="1440" w:hanging="720"/>
        <w:jc w:val="both"/>
        <w:rPr>
          <w:i/>
          <w:iCs/>
          <w:lang w:val="en-US"/>
        </w:rPr>
      </w:pPr>
      <w:r>
        <w:rPr>
          <w:i/>
          <w:iCs/>
          <w:lang w:val="en-US"/>
        </w:rPr>
        <w:t>13.</w:t>
      </w:r>
      <w:r>
        <w:rPr>
          <w:i/>
          <w:iCs/>
          <w:lang w:val="en-US"/>
        </w:rPr>
        <w:tab/>
      </w:r>
      <w:r w:rsidR="00A50432">
        <w:rPr>
          <w:i/>
          <w:iCs/>
          <w:lang w:val="en-US"/>
        </w:rPr>
        <w:t>I am advised that thereafter ACC was, inter alia, stayed from executing its judgment for a period by reason of the Respondent’s bankruptcy. I say that the subject properties did not vest in the Official Assignee until 1 October 2018 and the properties did not formally revest in the Respondent until October 2020 which, combined with the various transfers described in the Grounding Affidavit, clearly explains the delay in executing the Judgment in more recent years.”</w:t>
      </w:r>
    </w:p>
    <w:p w14:paraId="162D9132" w14:textId="77777777" w:rsidR="000066FA" w:rsidRDefault="007D6F98" w:rsidP="00C44D5B">
      <w:pPr>
        <w:numPr>
          <w:ilvl w:val="0"/>
          <w:numId w:val="8"/>
        </w:numPr>
        <w:spacing w:line="480" w:lineRule="auto"/>
        <w:jc w:val="both"/>
        <w:rPr>
          <w:iCs/>
          <w:lang w:val="en-US"/>
        </w:rPr>
      </w:pPr>
      <w:r>
        <w:rPr>
          <w:iCs/>
          <w:lang w:val="en-US"/>
        </w:rPr>
        <w:t xml:space="preserve">In my view, it is important to </w:t>
      </w:r>
      <w:r w:rsidR="0040015C">
        <w:rPr>
          <w:iCs/>
          <w:lang w:val="en-US"/>
        </w:rPr>
        <w:t xml:space="preserve">consider the reasons given by Mr. Webb (as quoted in para. 14 above) in conjunction with what he said in para. 18 of his initial grounding </w:t>
      </w:r>
      <w:proofErr w:type="gramStart"/>
      <w:r w:rsidR="0040015C">
        <w:rPr>
          <w:iCs/>
          <w:lang w:val="en-US"/>
        </w:rPr>
        <w:t>affidavit</w:t>
      </w:r>
      <w:proofErr w:type="gramEnd"/>
      <w:r w:rsidR="0040015C">
        <w:rPr>
          <w:iCs/>
          <w:lang w:val="en-US"/>
        </w:rPr>
        <w:t xml:space="preserve"> sworn on 30</w:t>
      </w:r>
      <w:r w:rsidR="0040015C" w:rsidRPr="0040015C">
        <w:rPr>
          <w:iCs/>
          <w:vertAlign w:val="superscript"/>
          <w:lang w:val="en-US"/>
        </w:rPr>
        <w:t>th</w:t>
      </w:r>
      <w:r w:rsidR="0040015C">
        <w:rPr>
          <w:iCs/>
          <w:lang w:val="en-US"/>
        </w:rPr>
        <w:t xml:space="preserve"> </w:t>
      </w:r>
      <w:r w:rsidR="00C44D5B">
        <w:rPr>
          <w:iCs/>
          <w:lang w:val="en-US"/>
        </w:rPr>
        <w:t>April</w:t>
      </w:r>
      <w:r w:rsidR="0040015C">
        <w:rPr>
          <w:iCs/>
          <w:lang w:val="en-US"/>
        </w:rPr>
        <w:t xml:space="preserve"> 2021 in which he said that Cabot is </w:t>
      </w:r>
      <w:r w:rsidR="0040015C">
        <w:rPr>
          <w:i/>
          <w:iCs/>
          <w:lang w:val="en-US"/>
        </w:rPr>
        <w:t>“desirous of issuing well charging proceedings”</w:t>
      </w:r>
      <w:r w:rsidR="0040015C">
        <w:rPr>
          <w:iCs/>
          <w:lang w:val="en-US"/>
        </w:rPr>
        <w:t xml:space="preserve">. That was the reason put forward </w:t>
      </w:r>
      <w:r w:rsidR="00A11334">
        <w:rPr>
          <w:iCs/>
          <w:lang w:val="en-US"/>
        </w:rPr>
        <w:t xml:space="preserve">for seeking leave under O. 42, r. 24. There is no suggestion in any of the affidavits that Cabot has any other purpose in seeking leave to execute at this stage. Thus, for example, there is no suggestion that Mr. O’Meachair has any other available assets against which execution might be levied. </w:t>
      </w:r>
      <w:r w:rsidR="00817912">
        <w:rPr>
          <w:iCs/>
          <w:lang w:val="en-US"/>
        </w:rPr>
        <w:t xml:space="preserve">Cabot’s focus is plainly </w:t>
      </w:r>
      <w:r w:rsidR="00D901DA">
        <w:rPr>
          <w:iCs/>
          <w:lang w:val="en-US"/>
        </w:rPr>
        <w:t xml:space="preserve">to enforce the judgment against Mr. O’Meachair’s lands. </w:t>
      </w:r>
      <w:r w:rsidR="00A11334">
        <w:rPr>
          <w:iCs/>
          <w:lang w:val="en-US"/>
        </w:rPr>
        <w:t xml:space="preserve">Against that backdrop, the reasons given by Mr. Webb in paras. 11-13 of his </w:t>
      </w:r>
      <w:proofErr w:type="gramStart"/>
      <w:r w:rsidR="00A11334">
        <w:rPr>
          <w:iCs/>
          <w:lang w:val="en-US"/>
        </w:rPr>
        <w:t>affidavit</w:t>
      </w:r>
      <w:proofErr w:type="gramEnd"/>
      <w:r w:rsidR="00A11334">
        <w:rPr>
          <w:iCs/>
          <w:lang w:val="en-US"/>
        </w:rPr>
        <w:t xml:space="preserve"> of 1</w:t>
      </w:r>
      <w:r w:rsidR="00A11334" w:rsidRPr="00A11334">
        <w:rPr>
          <w:iCs/>
          <w:vertAlign w:val="superscript"/>
          <w:lang w:val="en-US"/>
        </w:rPr>
        <w:t>st</w:t>
      </w:r>
      <w:r w:rsidR="00A11334">
        <w:rPr>
          <w:iCs/>
          <w:lang w:val="en-US"/>
        </w:rPr>
        <w:t xml:space="preserve"> </w:t>
      </w:r>
      <w:r w:rsidR="00C44D5B">
        <w:rPr>
          <w:iCs/>
          <w:lang w:val="en-US"/>
        </w:rPr>
        <w:t>December</w:t>
      </w:r>
      <w:r w:rsidR="00A11334">
        <w:rPr>
          <w:iCs/>
          <w:lang w:val="en-US"/>
        </w:rPr>
        <w:t xml:space="preserve"> 2021 </w:t>
      </w:r>
      <w:r w:rsidR="00D901DA">
        <w:rPr>
          <w:iCs/>
          <w:lang w:val="en-US"/>
        </w:rPr>
        <w:t xml:space="preserve">manifestly </w:t>
      </w:r>
      <w:r w:rsidR="00A11334">
        <w:rPr>
          <w:iCs/>
          <w:lang w:val="en-US"/>
        </w:rPr>
        <w:t>do not explain the lapse of time in enforcing the judgment against Mr. O’Meachair’s prope</w:t>
      </w:r>
      <w:r w:rsidR="000853FD">
        <w:rPr>
          <w:iCs/>
          <w:lang w:val="en-US"/>
        </w:rPr>
        <w:t>r</w:t>
      </w:r>
      <w:r w:rsidR="00A11334">
        <w:rPr>
          <w:iCs/>
          <w:lang w:val="en-US"/>
        </w:rPr>
        <w:t>ties.</w:t>
      </w:r>
      <w:r w:rsidR="000853FD">
        <w:rPr>
          <w:iCs/>
          <w:lang w:val="en-US"/>
        </w:rPr>
        <w:t xml:space="preserve"> Contrary to what is s</w:t>
      </w:r>
      <w:r w:rsidR="00D901DA">
        <w:rPr>
          <w:iCs/>
          <w:lang w:val="en-US"/>
        </w:rPr>
        <w:t>uggested</w:t>
      </w:r>
      <w:r w:rsidR="000853FD">
        <w:rPr>
          <w:iCs/>
          <w:lang w:val="en-US"/>
        </w:rPr>
        <w:t xml:space="preserve"> by Mr. Webb, there was no imped</w:t>
      </w:r>
      <w:r w:rsidR="009B4FDB">
        <w:rPr>
          <w:iCs/>
          <w:lang w:val="en-US"/>
        </w:rPr>
        <w:t xml:space="preserve">iment </w:t>
      </w:r>
      <w:r w:rsidR="00D901DA">
        <w:rPr>
          <w:iCs/>
          <w:lang w:val="en-US"/>
        </w:rPr>
        <w:t>to</w:t>
      </w:r>
      <w:r w:rsidR="009B4FDB">
        <w:rPr>
          <w:iCs/>
          <w:lang w:val="en-US"/>
        </w:rPr>
        <w:t xml:space="preserve"> Cabot (or ACC Bank </w:t>
      </w:r>
      <w:r w:rsidR="00462F4D">
        <w:rPr>
          <w:iCs/>
          <w:lang w:val="en-US"/>
        </w:rPr>
        <w:t>p</w:t>
      </w:r>
      <w:r w:rsidR="009B4FDB">
        <w:rPr>
          <w:iCs/>
          <w:lang w:val="en-US"/>
        </w:rPr>
        <w:t>lc</w:t>
      </w:r>
      <w:r w:rsidR="000853FD">
        <w:rPr>
          <w:iCs/>
          <w:lang w:val="en-US"/>
        </w:rPr>
        <w:t xml:space="preserve"> prior to the transmission of interest</w:t>
      </w:r>
      <w:r w:rsidR="009B4FDB">
        <w:rPr>
          <w:iCs/>
          <w:lang w:val="en-US"/>
        </w:rPr>
        <w:t xml:space="preserve"> in 2019) from enforcing the judgment mortgage against the properties owned by Mr. O’Meachair. Bankruptcy did not operate as an impediment to such action. On the contrary, it is well accepted that the holder of a </w:t>
      </w:r>
      <w:r w:rsidR="009B4FDB">
        <w:rPr>
          <w:iCs/>
          <w:lang w:val="en-US"/>
        </w:rPr>
        <w:lastRenderedPageBreak/>
        <w:t>judgment mortgage constitutes a secured creditor within the meaning of s. 3 of the Bankruptcy Act 1988 (</w:t>
      </w:r>
      <w:r w:rsidR="009B4FDB">
        <w:rPr>
          <w:i/>
          <w:iCs/>
          <w:lang w:val="en-US"/>
        </w:rPr>
        <w:t>“the 1988 Act”</w:t>
      </w:r>
      <w:r w:rsidR="009B4FDB">
        <w:rPr>
          <w:iCs/>
          <w:lang w:val="en-US"/>
        </w:rPr>
        <w:t xml:space="preserve">). A secured creditor is fully entitled, notwithstanding a bankruptcy, to pursue enforcement of security against the property of the bankrupt. There is a straightforward procedure </w:t>
      </w:r>
      <w:r w:rsidR="00EF1644">
        <w:rPr>
          <w:iCs/>
          <w:lang w:val="en-US"/>
        </w:rPr>
        <w:t xml:space="preserve">by which a secured creditor </w:t>
      </w:r>
      <w:r w:rsidR="007F6A16">
        <w:rPr>
          <w:iCs/>
          <w:lang w:val="en-US"/>
        </w:rPr>
        <w:t>can value the relevant security and thereafter enforce the security</w:t>
      </w:r>
      <w:r w:rsidR="00D901DA">
        <w:rPr>
          <w:iCs/>
          <w:lang w:val="en-US"/>
        </w:rPr>
        <w:t xml:space="preserve"> notwithstanding the bankruptcy</w:t>
      </w:r>
      <w:r w:rsidR="007F6A16">
        <w:rPr>
          <w:iCs/>
          <w:lang w:val="en-US"/>
        </w:rPr>
        <w:t xml:space="preserve">. In the case of a judgment mortgagee, the application can be made either by notice of motion brought in the bankruptcy proceedings pursuant to O. 76, r. 61 or, alternatively, it can be made, in the usual way, by special summons under O. 3. In these circumstances, the </w:t>
      </w:r>
      <w:r w:rsidR="00462F4D">
        <w:rPr>
          <w:iCs/>
          <w:lang w:val="en-US"/>
        </w:rPr>
        <w:t xml:space="preserve">attempt </w:t>
      </w:r>
      <w:r w:rsidR="007F6A16">
        <w:rPr>
          <w:iCs/>
          <w:lang w:val="en-US"/>
        </w:rPr>
        <w:t xml:space="preserve">by Mr. Webb </w:t>
      </w:r>
      <w:r w:rsidR="00462F4D">
        <w:rPr>
          <w:iCs/>
          <w:lang w:val="en-US"/>
        </w:rPr>
        <w:t xml:space="preserve">to rely on Mr. O’Meachair’s bankruptcy </w:t>
      </w:r>
      <w:r w:rsidR="00D901DA">
        <w:rPr>
          <w:iCs/>
          <w:lang w:val="en-US"/>
        </w:rPr>
        <w:t>clearl</w:t>
      </w:r>
      <w:r w:rsidR="007F6A16">
        <w:rPr>
          <w:iCs/>
          <w:lang w:val="en-US"/>
        </w:rPr>
        <w:t xml:space="preserve">y does not provide any plausible reason for the lapse of time. </w:t>
      </w:r>
      <w:proofErr w:type="gramStart"/>
      <w:r w:rsidR="007F6A16">
        <w:rPr>
          <w:iCs/>
          <w:lang w:val="en-US"/>
        </w:rPr>
        <w:t>In particular, it</w:t>
      </w:r>
      <w:proofErr w:type="gramEnd"/>
      <w:r w:rsidR="007F6A16">
        <w:rPr>
          <w:iCs/>
          <w:lang w:val="en-US"/>
        </w:rPr>
        <w:t xml:space="preserve"> does not provide </w:t>
      </w:r>
      <w:r w:rsidR="00B14179">
        <w:rPr>
          <w:iCs/>
          <w:lang w:val="en-US"/>
        </w:rPr>
        <w:t xml:space="preserve">any basis to explain why no action was taken on foot of the judgment in the period after it became clear (at the latest in early 2015) that the proceeds of realisation of the lands comprised in </w:t>
      </w:r>
      <w:r w:rsidR="00462F4D">
        <w:rPr>
          <w:iCs/>
          <w:lang w:val="en-US"/>
        </w:rPr>
        <w:t>F</w:t>
      </w:r>
      <w:r w:rsidR="00B14179">
        <w:rPr>
          <w:iCs/>
          <w:lang w:val="en-US"/>
        </w:rPr>
        <w:t>olio 5067F w</w:t>
      </w:r>
      <w:r w:rsidR="00D901DA">
        <w:rPr>
          <w:iCs/>
          <w:lang w:val="en-US"/>
        </w:rPr>
        <w:t>ere</w:t>
      </w:r>
      <w:r w:rsidR="00B14179">
        <w:rPr>
          <w:iCs/>
          <w:lang w:val="en-US"/>
        </w:rPr>
        <w:t xml:space="preserve"> going to fall far short of satisfying the judgment debt. As noted above, it became clear by at least </w:t>
      </w:r>
      <w:r w:rsidR="00C44D5B">
        <w:rPr>
          <w:iCs/>
          <w:lang w:val="en-US"/>
        </w:rPr>
        <w:t>February</w:t>
      </w:r>
      <w:r w:rsidR="00B14179">
        <w:rPr>
          <w:iCs/>
          <w:lang w:val="en-US"/>
        </w:rPr>
        <w:t xml:space="preserve"> 2015 that the sales proceeds would not exceed €50,000. As further outlined in para. 11, the lion’s share of that sum was eaten up in the costs of the receivership.</w:t>
      </w:r>
    </w:p>
    <w:p w14:paraId="6D27F6CD" w14:textId="77777777" w:rsidR="007A7E6C" w:rsidRPr="007A7E6C" w:rsidRDefault="00462F4D" w:rsidP="00C44D5B">
      <w:pPr>
        <w:numPr>
          <w:ilvl w:val="0"/>
          <w:numId w:val="8"/>
        </w:numPr>
        <w:spacing w:line="480" w:lineRule="auto"/>
        <w:jc w:val="both"/>
        <w:rPr>
          <w:iCs/>
          <w:lang w:val="en-US"/>
        </w:rPr>
      </w:pPr>
      <w:r>
        <w:rPr>
          <w:iCs/>
          <w:lang w:val="en-US"/>
        </w:rPr>
        <w:t>Equally, the reference to the first charge in favour of First Active plc</w:t>
      </w:r>
      <w:r>
        <w:rPr>
          <w:iCs/>
        </w:rPr>
        <w:t xml:space="preserve"> over the lands comprised in Folio </w:t>
      </w:r>
      <w:r w:rsidR="007A7E6C">
        <w:rPr>
          <w:iCs/>
        </w:rPr>
        <w:t>37958</w:t>
      </w:r>
      <w:r>
        <w:rPr>
          <w:iCs/>
        </w:rPr>
        <w:t xml:space="preserve"> does not explain the lapse </w:t>
      </w:r>
      <w:r w:rsidR="007A7E6C">
        <w:rPr>
          <w:iCs/>
        </w:rPr>
        <w:t xml:space="preserve">of time. There is nothing to suggest that there has been any change in the status of that charge in the intervening period. The copy folio exhibited shows that the charge remains in place. Moreover, the existence of that charge did not prevent the holder of any subsequent charge from seeking a well charging order and order for sale (albeit that, on any sale, the amount due to the first charge holder would have to be paid in priority). </w:t>
      </w:r>
    </w:p>
    <w:p w14:paraId="3134118B" w14:textId="77777777" w:rsidR="007A7E6C" w:rsidRDefault="007A7E6C" w:rsidP="00C44D5B">
      <w:pPr>
        <w:numPr>
          <w:ilvl w:val="0"/>
          <w:numId w:val="8"/>
        </w:numPr>
        <w:spacing w:line="480" w:lineRule="auto"/>
        <w:jc w:val="both"/>
        <w:rPr>
          <w:iCs/>
          <w:lang w:val="en-US"/>
        </w:rPr>
      </w:pPr>
      <w:r>
        <w:rPr>
          <w:iCs/>
          <w:lang w:val="en-US"/>
        </w:rPr>
        <w:t xml:space="preserve">In so far as it is suggested that the transmission of interest explains the lapse of time, I cannot accept that this is so. No detail whatsoever has been provided in </w:t>
      </w:r>
      <w:r>
        <w:rPr>
          <w:iCs/>
          <w:lang w:val="en-US"/>
        </w:rPr>
        <w:lastRenderedPageBreak/>
        <w:t>relation to why the transmission of interest could be said to explain matters. Furthermore, there would have been nothing, during the currency of that process, to prevent an application being made</w:t>
      </w:r>
      <w:r w:rsidR="00D733B6">
        <w:rPr>
          <w:iCs/>
          <w:lang w:val="en-US"/>
        </w:rPr>
        <w:t>, in the meantime,</w:t>
      </w:r>
      <w:r>
        <w:rPr>
          <w:iCs/>
          <w:lang w:val="en-US"/>
        </w:rPr>
        <w:t xml:space="preserve"> for leave to execute after the relevant </w:t>
      </w:r>
      <w:r w:rsidR="006A7AD3">
        <w:rPr>
          <w:iCs/>
          <w:lang w:val="en-US"/>
        </w:rPr>
        <w:t>six</w:t>
      </w:r>
      <w:r w:rsidR="00C44D5B">
        <w:rPr>
          <w:iCs/>
          <w:lang w:val="en-US"/>
        </w:rPr>
        <w:t>-year</w:t>
      </w:r>
      <w:r>
        <w:rPr>
          <w:iCs/>
          <w:lang w:val="en-US"/>
        </w:rPr>
        <w:t xml:space="preserve"> period.</w:t>
      </w:r>
      <w:r w:rsidR="00D733B6">
        <w:rPr>
          <w:iCs/>
          <w:lang w:val="en-US"/>
        </w:rPr>
        <w:t xml:space="preserve"> The relevant holder of the judgment debt could have done so. In its capacity as assignee of the judgment debt, Cabot cannot absolve itself of the inactivity on the part of the relevant holder. In this context, as the judgment of Allen J. in the </w:t>
      </w:r>
      <w:r w:rsidR="00D733B6">
        <w:rPr>
          <w:i/>
          <w:iCs/>
          <w:lang w:val="en-US"/>
        </w:rPr>
        <w:t xml:space="preserve">Irish Nationwide </w:t>
      </w:r>
      <w:r w:rsidR="00D733B6">
        <w:rPr>
          <w:iCs/>
          <w:lang w:val="en-US"/>
        </w:rPr>
        <w:t>case makes clear, an assignee of a judgment debt is in no better position tha</w:t>
      </w:r>
      <w:r w:rsidR="004B6DA2">
        <w:rPr>
          <w:iCs/>
          <w:lang w:val="en-US"/>
        </w:rPr>
        <w:t>n</w:t>
      </w:r>
      <w:r w:rsidR="00D733B6">
        <w:rPr>
          <w:iCs/>
          <w:lang w:val="en-US"/>
        </w:rPr>
        <w:t xml:space="preserve"> the original judgment creditor. In para. 47 of his judgment, Allen J. held that an application by an assignee of a judgment debt is to be approached on the same basis as an application by the party originally entitled to execute the judgment.</w:t>
      </w:r>
      <w:r w:rsidR="00D901DA">
        <w:rPr>
          <w:iCs/>
          <w:lang w:val="en-US"/>
        </w:rPr>
        <w:t xml:space="preserve"> </w:t>
      </w:r>
    </w:p>
    <w:p w14:paraId="3591D57E" w14:textId="77777777" w:rsidR="00AA0FC6" w:rsidRPr="00AA0FC6" w:rsidRDefault="00AA0FC6" w:rsidP="00C44D5B">
      <w:pPr>
        <w:spacing w:line="480" w:lineRule="auto"/>
        <w:jc w:val="both"/>
        <w:rPr>
          <w:b/>
          <w:iCs/>
          <w:u w:val="single"/>
          <w:lang w:val="en-US"/>
        </w:rPr>
      </w:pPr>
      <w:r>
        <w:rPr>
          <w:b/>
          <w:iCs/>
          <w:u w:val="single"/>
          <w:lang w:val="en-US"/>
        </w:rPr>
        <w:t>Conclusion</w:t>
      </w:r>
    </w:p>
    <w:p w14:paraId="36B80E01" w14:textId="77777777" w:rsidR="009B4FDB" w:rsidRDefault="00B14179" w:rsidP="00C44D5B">
      <w:pPr>
        <w:numPr>
          <w:ilvl w:val="0"/>
          <w:numId w:val="8"/>
        </w:numPr>
        <w:spacing w:line="480" w:lineRule="auto"/>
        <w:jc w:val="both"/>
        <w:rPr>
          <w:iCs/>
          <w:lang w:val="en-US"/>
        </w:rPr>
      </w:pPr>
      <w:r>
        <w:rPr>
          <w:iCs/>
          <w:lang w:val="en-US"/>
        </w:rPr>
        <w:t xml:space="preserve">In the circumstances described above, Cabot, notwithstanding the opportunity given to it at the hearing in </w:t>
      </w:r>
      <w:r w:rsidR="00C44D5B">
        <w:rPr>
          <w:iCs/>
          <w:lang w:val="en-US"/>
        </w:rPr>
        <w:t>October</w:t>
      </w:r>
      <w:r>
        <w:rPr>
          <w:iCs/>
          <w:lang w:val="en-US"/>
        </w:rPr>
        <w:t xml:space="preserve"> 2021, has failed to provide any reason to explain the lapse of time in this case. In this context, I am very conscious that, as Geoghegan J. made clear in </w:t>
      </w:r>
      <w:r>
        <w:rPr>
          <w:i/>
          <w:iCs/>
          <w:lang w:val="en-US"/>
        </w:rPr>
        <w:t>Smyth v. Tunney</w:t>
      </w:r>
      <w:r>
        <w:rPr>
          <w:iCs/>
          <w:lang w:val="en-US"/>
        </w:rPr>
        <w:t xml:space="preserve">, it is not necessary to give some unusual, </w:t>
      </w:r>
      <w:proofErr w:type="gramStart"/>
      <w:r>
        <w:rPr>
          <w:iCs/>
          <w:lang w:val="en-US"/>
        </w:rPr>
        <w:t>exceptional</w:t>
      </w:r>
      <w:proofErr w:type="gramEnd"/>
      <w:r>
        <w:rPr>
          <w:iCs/>
          <w:lang w:val="en-US"/>
        </w:rPr>
        <w:t xml:space="preserve"> or very special reason for obtaining permission. </w:t>
      </w:r>
      <w:r w:rsidR="00426B56">
        <w:rPr>
          <w:iCs/>
          <w:lang w:val="en-US"/>
        </w:rPr>
        <w:t xml:space="preserve">However, </w:t>
      </w:r>
      <w:proofErr w:type="gramStart"/>
      <w:r w:rsidR="00426B56">
        <w:rPr>
          <w:iCs/>
          <w:lang w:val="en-US"/>
        </w:rPr>
        <w:t>it is clear that some</w:t>
      </w:r>
      <w:proofErr w:type="gramEnd"/>
      <w:r w:rsidR="00426B56">
        <w:rPr>
          <w:iCs/>
          <w:lang w:val="en-US"/>
        </w:rPr>
        <w:t xml:space="preserve"> reason must be given. In this case, Cabot has wholly failed to provide a reason that explains the long period of inactivity on its part or on the part of its predecessor in title, ACC Bank </w:t>
      </w:r>
      <w:r w:rsidR="007A7E6C">
        <w:rPr>
          <w:iCs/>
          <w:lang w:val="en-US"/>
        </w:rPr>
        <w:t>p</w:t>
      </w:r>
      <w:r w:rsidR="00426B56">
        <w:rPr>
          <w:iCs/>
          <w:lang w:val="en-US"/>
        </w:rPr>
        <w:t>lc. In these circumstances, I am compelled to refuse the application of Cabot under O. 42 for leave to execute as against Mr. O’Meachair the judgment obtained by ACC Bank Plc on 15</w:t>
      </w:r>
      <w:r w:rsidR="00426B56" w:rsidRPr="00426B56">
        <w:rPr>
          <w:iCs/>
          <w:vertAlign w:val="superscript"/>
          <w:lang w:val="en-US"/>
        </w:rPr>
        <w:t>th</w:t>
      </w:r>
      <w:r w:rsidR="00426B56">
        <w:rPr>
          <w:iCs/>
          <w:lang w:val="en-US"/>
        </w:rPr>
        <w:t xml:space="preserve"> </w:t>
      </w:r>
      <w:r w:rsidR="00C44D5B">
        <w:rPr>
          <w:iCs/>
          <w:lang w:val="en-US"/>
        </w:rPr>
        <w:t>November</w:t>
      </w:r>
      <w:r w:rsidR="00426B56">
        <w:rPr>
          <w:iCs/>
          <w:lang w:val="en-US"/>
        </w:rPr>
        <w:t xml:space="preserve"> 2010. </w:t>
      </w:r>
    </w:p>
    <w:p w14:paraId="4DFDFDED" w14:textId="77777777" w:rsidR="00D733B6" w:rsidRDefault="00426B56" w:rsidP="00C44D5B">
      <w:pPr>
        <w:numPr>
          <w:ilvl w:val="0"/>
          <w:numId w:val="8"/>
        </w:numPr>
        <w:spacing w:line="480" w:lineRule="auto"/>
        <w:jc w:val="both"/>
        <w:rPr>
          <w:iCs/>
          <w:lang w:val="en-US"/>
        </w:rPr>
      </w:pPr>
      <w:r>
        <w:rPr>
          <w:iCs/>
          <w:lang w:val="en-US"/>
        </w:rPr>
        <w:t xml:space="preserve">In the circumstances, it is unnecessary to address the complaints made by Mr. O’Meachair or to consider whether he has made out a case of prejudice. As Dunne J. </w:t>
      </w:r>
      <w:r>
        <w:rPr>
          <w:iCs/>
          <w:lang w:val="en-US"/>
        </w:rPr>
        <w:lastRenderedPageBreak/>
        <w:t xml:space="preserve">observed in </w:t>
      </w:r>
      <w:r>
        <w:rPr>
          <w:i/>
          <w:iCs/>
          <w:lang w:val="en-US"/>
        </w:rPr>
        <w:t>Bula Ltd v. Tara Mines Ltd</w:t>
      </w:r>
      <w:r>
        <w:rPr>
          <w:iCs/>
          <w:lang w:val="en-US"/>
        </w:rPr>
        <w:t xml:space="preserve">, counterbalancing allegations of prejudice only fall to be considered where a good reason </w:t>
      </w:r>
      <w:r w:rsidR="00D733B6">
        <w:rPr>
          <w:iCs/>
          <w:lang w:val="en-US"/>
        </w:rPr>
        <w:t xml:space="preserve">has been given </w:t>
      </w:r>
      <w:r>
        <w:rPr>
          <w:iCs/>
          <w:lang w:val="en-US"/>
        </w:rPr>
        <w:t>for the lapse of time.</w:t>
      </w:r>
    </w:p>
    <w:p w14:paraId="24034477" w14:textId="77777777" w:rsidR="00426B56" w:rsidRDefault="00D733B6" w:rsidP="00C44D5B">
      <w:pPr>
        <w:numPr>
          <w:ilvl w:val="0"/>
          <w:numId w:val="8"/>
        </w:numPr>
        <w:spacing w:line="480" w:lineRule="auto"/>
        <w:jc w:val="both"/>
        <w:rPr>
          <w:iCs/>
          <w:lang w:val="en-US"/>
        </w:rPr>
      </w:pPr>
      <w:r>
        <w:rPr>
          <w:iCs/>
          <w:lang w:val="en-US"/>
        </w:rPr>
        <w:t xml:space="preserve">For completeness, I should make clear that I believe that Mr. O’Meachair is mistaken in his attempted reliance on </w:t>
      </w:r>
      <w:r>
        <w:rPr>
          <w:i/>
          <w:iCs/>
          <w:lang w:val="en-US"/>
        </w:rPr>
        <w:t xml:space="preserve">Primor </w:t>
      </w:r>
      <w:r>
        <w:rPr>
          <w:iCs/>
          <w:lang w:val="en-US"/>
        </w:rPr>
        <w:t>and related authority. I</w:t>
      </w:r>
      <w:r w:rsidR="00426B56">
        <w:rPr>
          <w:iCs/>
          <w:lang w:val="en-US"/>
        </w:rPr>
        <w:t xml:space="preserve">t is clear from the judgment of Allen J. in </w:t>
      </w:r>
      <w:r w:rsidR="00426B56">
        <w:rPr>
          <w:i/>
          <w:iCs/>
          <w:lang w:val="en-US"/>
        </w:rPr>
        <w:t>Irish Nationwide Building Society v. Heagney</w:t>
      </w:r>
      <w:r w:rsidR="00426B56">
        <w:rPr>
          <w:iCs/>
          <w:lang w:val="en-US"/>
        </w:rPr>
        <w:t xml:space="preserve">, that the </w:t>
      </w:r>
      <w:r w:rsidR="00426B56">
        <w:rPr>
          <w:i/>
          <w:iCs/>
          <w:lang w:val="en-US"/>
        </w:rPr>
        <w:t xml:space="preserve">Primor </w:t>
      </w:r>
      <w:r w:rsidR="00426B56">
        <w:rPr>
          <w:iCs/>
          <w:lang w:val="en-US"/>
        </w:rPr>
        <w:t>line of authority is not relevant in the context of an application brought after judgment has been obtained. As Allen J.</w:t>
      </w:r>
      <w:r w:rsidR="004B6DA2">
        <w:rPr>
          <w:iCs/>
          <w:lang w:val="en-US"/>
        </w:rPr>
        <w:t xml:space="preserve"> </w:t>
      </w:r>
      <w:r>
        <w:rPr>
          <w:iCs/>
          <w:lang w:val="en-US"/>
        </w:rPr>
        <w:t>said</w:t>
      </w:r>
      <w:r w:rsidR="00426B56">
        <w:rPr>
          <w:iCs/>
          <w:lang w:val="en-US"/>
        </w:rPr>
        <w:t xml:space="preserve"> in para. 34 of his </w:t>
      </w:r>
      <w:r w:rsidR="00C44D5B">
        <w:rPr>
          <w:iCs/>
          <w:lang w:val="en-US"/>
        </w:rPr>
        <w:t>judgment: -</w:t>
      </w:r>
    </w:p>
    <w:p w14:paraId="2C665B21" w14:textId="77777777" w:rsidR="00426B56" w:rsidRDefault="00426B56" w:rsidP="00C44D5B">
      <w:pPr>
        <w:spacing w:line="480" w:lineRule="auto"/>
        <w:ind w:left="720"/>
        <w:jc w:val="both"/>
        <w:rPr>
          <w:i/>
          <w:iCs/>
        </w:rPr>
      </w:pPr>
      <w:r>
        <w:rPr>
          <w:i/>
          <w:iCs/>
          <w:lang w:val="en-US"/>
        </w:rPr>
        <w:t>“…</w:t>
      </w:r>
      <w:r w:rsidRPr="00426B56">
        <w:rPr>
          <w:i/>
          <w:iCs/>
        </w:rPr>
        <w:t>the principles applicable to the exercise by the court of its inherent jurisdiction to dismiss proceedings by reason of inordinate and inexcusable delay are quite different to the principles to be applied in the exercise of the jurisdiction conferred by the Rules</w:t>
      </w:r>
      <w:r>
        <w:rPr>
          <w:i/>
          <w:iCs/>
        </w:rPr>
        <w:t>…</w:t>
      </w:r>
      <w:r w:rsidRPr="00426B56">
        <w:rPr>
          <w:i/>
          <w:iCs/>
        </w:rPr>
        <w:t xml:space="preserve"> in deciding an application for leave to issue execution.</w:t>
      </w:r>
      <w:r>
        <w:rPr>
          <w:i/>
          <w:iCs/>
        </w:rPr>
        <w:t>”</w:t>
      </w:r>
    </w:p>
    <w:p w14:paraId="6DC2C8EB" w14:textId="77777777" w:rsidR="00D901DA" w:rsidRPr="00D901DA" w:rsidRDefault="00D901DA" w:rsidP="00C44D5B">
      <w:pPr>
        <w:numPr>
          <w:ilvl w:val="0"/>
          <w:numId w:val="8"/>
        </w:numPr>
        <w:spacing w:line="480" w:lineRule="auto"/>
        <w:jc w:val="both"/>
        <w:rPr>
          <w:b/>
          <w:iCs/>
          <w:lang w:val="en-US"/>
        </w:rPr>
      </w:pPr>
      <w:r>
        <w:rPr>
          <w:iCs/>
          <w:lang w:val="en-US"/>
        </w:rPr>
        <w:t>It would, however, be wrong to offer a view on the potential impact of Article 6 of the ECHR</w:t>
      </w:r>
      <w:r w:rsidR="00AA0FC6">
        <w:rPr>
          <w:iCs/>
          <w:lang w:val="en-US"/>
        </w:rPr>
        <w:t>. In so far as I can see, that is not an issue that has previously been debated in the context of O</w:t>
      </w:r>
      <w:r w:rsidR="004B6DA2">
        <w:rPr>
          <w:iCs/>
          <w:lang w:val="en-US"/>
        </w:rPr>
        <w:t>.</w:t>
      </w:r>
      <w:r w:rsidR="00AA0FC6">
        <w:rPr>
          <w:iCs/>
          <w:lang w:val="en-US"/>
        </w:rPr>
        <w:t xml:space="preserve"> 42, r. 24 and, </w:t>
      </w:r>
      <w:proofErr w:type="gramStart"/>
      <w:r w:rsidR="00AA0FC6">
        <w:rPr>
          <w:iCs/>
          <w:lang w:val="en-US"/>
        </w:rPr>
        <w:t>in light of</w:t>
      </w:r>
      <w:proofErr w:type="gramEnd"/>
      <w:r w:rsidR="00AA0FC6">
        <w:rPr>
          <w:iCs/>
          <w:lang w:val="en-US"/>
        </w:rPr>
        <w:t xml:space="preserve"> my view that Cabot’s application must be refused, it would be inappropriate to express any view on it. </w:t>
      </w:r>
    </w:p>
    <w:p w14:paraId="64A2C798" w14:textId="77777777" w:rsidR="00426B56" w:rsidRDefault="00426B56" w:rsidP="00C44D5B">
      <w:pPr>
        <w:spacing w:line="480" w:lineRule="auto"/>
        <w:jc w:val="both"/>
        <w:rPr>
          <w:iCs/>
          <w:lang w:val="en-US"/>
        </w:rPr>
      </w:pPr>
      <w:r>
        <w:rPr>
          <w:b/>
          <w:iCs/>
          <w:u w:val="single"/>
          <w:lang w:val="en-US"/>
        </w:rPr>
        <w:t>Next steps</w:t>
      </w:r>
    </w:p>
    <w:p w14:paraId="53D00588" w14:textId="77777777" w:rsidR="00DE556D" w:rsidRPr="00DE556D" w:rsidRDefault="00426B56" w:rsidP="00C44D5B">
      <w:pPr>
        <w:numPr>
          <w:ilvl w:val="0"/>
          <w:numId w:val="8"/>
        </w:numPr>
        <w:spacing w:line="480" w:lineRule="auto"/>
        <w:jc w:val="both"/>
        <w:rPr>
          <w:i/>
          <w:iCs/>
          <w:lang w:val="en-US"/>
        </w:rPr>
      </w:pPr>
      <w:proofErr w:type="gramStart"/>
      <w:r>
        <w:rPr>
          <w:iCs/>
          <w:lang w:val="en-US"/>
        </w:rPr>
        <w:t>In light of</w:t>
      </w:r>
      <w:proofErr w:type="gramEnd"/>
      <w:r>
        <w:rPr>
          <w:iCs/>
          <w:lang w:val="en-US"/>
        </w:rPr>
        <w:t xml:space="preserve"> my decision that the application by Cabot for an order under O. 42, r. 24 must be refused, my provisional view is that Mr. O’Meachair should be entitled to his costs as against Cabot. </w:t>
      </w:r>
      <w:proofErr w:type="gramStart"/>
      <w:r>
        <w:rPr>
          <w:iCs/>
          <w:lang w:val="en-US"/>
        </w:rPr>
        <w:t>As a lay litigant, these</w:t>
      </w:r>
      <w:proofErr w:type="gramEnd"/>
      <w:r>
        <w:rPr>
          <w:iCs/>
          <w:lang w:val="en-US"/>
        </w:rPr>
        <w:t xml:space="preserve"> will be limited to his out</w:t>
      </w:r>
      <w:r w:rsidR="00D14281">
        <w:rPr>
          <w:iCs/>
          <w:lang w:val="en-US"/>
        </w:rPr>
        <w:t>-</w:t>
      </w:r>
      <w:r>
        <w:rPr>
          <w:iCs/>
          <w:lang w:val="en-US"/>
        </w:rPr>
        <w:t>of</w:t>
      </w:r>
      <w:r w:rsidR="00D14281">
        <w:rPr>
          <w:iCs/>
          <w:lang w:val="en-US"/>
        </w:rPr>
        <w:t>-</w:t>
      </w:r>
      <w:r>
        <w:rPr>
          <w:iCs/>
          <w:lang w:val="en-US"/>
        </w:rPr>
        <w:t xml:space="preserve">pocket expenses such as expenses in relation to travel, printing, copying, stamp duty and any other out of pocket expenses incurred by him. </w:t>
      </w:r>
      <w:r w:rsidR="005E039C">
        <w:rPr>
          <w:iCs/>
          <w:lang w:val="en-US"/>
        </w:rPr>
        <w:t xml:space="preserve">As the decision of the Supreme Court in </w:t>
      </w:r>
      <w:r w:rsidR="005E039C">
        <w:rPr>
          <w:i/>
          <w:iCs/>
          <w:lang w:val="en-US"/>
        </w:rPr>
        <w:t xml:space="preserve">Dawson v. Irish Brokers </w:t>
      </w:r>
      <w:r w:rsidR="00DE556D">
        <w:rPr>
          <w:i/>
          <w:iCs/>
          <w:lang w:val="en-US"/>
        </w:rPr>
        <w:t xml:space="preserve">Association </w:t>
      </w:r>
      <w:r w:rsidR="00DE556D">
        <w:rPr>
          <w:iCs/>
          <w:lang w:val="en-US"/>
        </w:rPr>
        <w:t xml:space="preserve">[2002] 2 ILRM 210 demonstrates, there is no facility to award a sum to a lay litigant in respect of the time spent in preparing a case or in arguing a case. </w:t>
      </w:r>
    </w:p>
    <w:p w14:paraId="6E712126" w14:textId="77777777" w:rsidR="00DE556D" w:rsidRPr="00DE556D" w:rsidRDefault="00426B56" w:rsidP="00C44D5B">
      <w:pPr>
        <w:numPr>
          <w:ilvl w:val="0"/>
          <w:numId w:val="8"/>
        </w:numPr>
        <w:spacing w:line="480" w:lineRule="auto"/>
        <w:jc w:val="both"/>
        <w:rPr>
          <w:i/>
          <w:iCs/>
          <w:lang w:val="en-US"/>
        </w:rPr>
      </w:pPr>
      <w:r>
        <w:rPr>
          <w:iCs/>
          <w:lang w:val="en-US"/>
        </w:rPr>
        <w:lastRenderedPageBreak/>
        <w:t xml:space="preserve">Ordinarily, the court would direct that Mr. O’Meachair’s costs should be adjudicated by the Legal Costs Adjudicator. However, </w:t>
      </w:r>
      <w:r w:rsidR="00DE556D">
        <w:rPr>
          <w:iCs/>
          <w:lang w:val="en-US"/>
        </w:rPr>
        <w:t xml:space="preserve">in circumstances where there is no professional fee to be assessed, </w:t>
      </w:r>
      <w:r>
        <w:rPr>
          <w:iCs/>
          <w:lang w:val="en-US"/>
        </w:rPr>
        <w:t>it strikes me that this would be an unduly cumbersome procedure to be adopted and I would be prepared, in the circumstances, to measure the costs</w:t>
      </w:r>
      <w:r w:rsidR="00DE556D">
        <w:rPr>
          <w:iCs/>
          <w:lang w:val="en-US"/>
        </w:rPr>
        <w:t xml:space="preserve"> in accordance with the court’s power under O. 99, r. 7(2)(a)</w:t>
      </w:r>
      <w:r>
        <w:rPr>
          <w:iCs/>
          <w:lang w:val="en-US"/>
        </w:rPr>
        <w:t xml:space="preserve">. </w:t>
      </w:r>
      <w:proofErr w:type="gramStart"/>
      <w:r>
        <w:rPr>
          <w:iCs/>
          <w:lang w:val="en-US"/>
        </w:rPr>
        <w:t>In order to</w:t>
      </w:r>
      <w:proofErr w:type="gramEnd"/>
      <w:r>
        <w:rPr>
          <w:iCs/>
          <w:lang w:val="en-US"/>
        </w:rPr>
        <w:t xml:space="preserve"> do so, it will be necessa</w:t>
      </w:r>
      <w:r w:rsidR="00DE556D">
        <w:rPr>
          <w:iCs/>
          <w:lang w:val="en-US"/>
        </w:rPr>
        <w:t>r</w:t>
      </w:r>
      <w:r>
        <w:rPr>
          <w:iCs/>
          <w:lang w:val="en-US"/>
        </w:rPr>
        <w:t xml:space="preserve">y for Mr. O’Meachair to submit to the Registrar (and copy this to the solicitors acting on behalf of Cabot) a list of all of his expenses together with any vouching documentation following which I could make an adjudication as to the amount to be recovered from Cabot. </w:t>
      </w:r>
    </w:p>
    <w:p w14:paraId="05119A7B" w14:textId="77777777" w:rsidR="00426B56" w:rsidRPr="00426B56" w:rsidRDefault="00426B56" w:rsidP="00C44D5B">
      <w:pPr>
        <w:numPr>
          <w:ilvl w:val="0"/>
          <w:numId w:val="8"/>
        </w:numPr>
        <w:spacing w:line="480" w:lineRule="auto"/>
        <w:jc w:val="both"/>
        <w:rPr>
          <w:i/>
          <w:iCs/>
          <w:lang w:val="en-US"/>
        </w:rPr>
      </w:pPr>
      <w:r>
        <w:rPr>
          <w:iCs/>
          <w:lang w:val="en-US"/>
        </w:rPr>
        <w:t xml:space="preserve">However, </w:t>
      </w:r>
      <w:r w:rsidR="00DE556D">
        <w:rPr>
          <w:iCs/>
          <w:lang w:val="en-US"/>
        </w:rPr>
        <w:t>I stress that the views expressed in paras. 22 and 23 above are provisional. I</w:t>
      </w:r>
      <w:r>
        <w:rPr>
          <w:iCs/>
          <w:lang w:val="en-US"/>
        </w:rPr>
        <w:t>t may be the case that the parties may wish to make submissions to me in relation to</w:t>
      </w:r>
      <w:r w:rsidR="00DE556D">
        <w:rPr>
          <w:iCs/>
          <w:lang w:val="en-US"/>
        </w:rPr>
        <w:t xml:space="preserve"> costs and to propose a different form of order</w:t>
      </w:r>
      <w:r>
        <w:rPr>
          <w:iCs/>
          <w:lang w:val="en-US"/>
        </w:rPr>
        <w:t xml:space="preserve">. </w:t>
      </w:r>
      <w:r w:rsidR="005C4EB6">
        <w:rPr>
          <w:iCs/>
          <w:lang w:val="en-US"/>
        </w:rPr>
        <w:t>For that purpose, I will list the matter before me at a physical sitting of the court o</w:t>
      </w:r>
      <w:r w:rsidR="00DE556D">
        <w:rPr>
          <w:iCs/>
          <w:lang w:val="en-US"/>
        </w:rPr>
        <w:t xml:space="preserve">n Thursday 24 </w:t>
      </w:r>
      <w:r w:rsidR="00C44D5B">
        <w:rPr>
          <w:iCs/>
          <w:lang w:val="en-US"/>
        </w:rPr>
        <w:t>March</w:t>
      </w:r>
      <w:r w:rsidR="00DE556D">
        <w:rPr>
          <w:iCs/>
          <w:lang w:val="en-US"/>
        </w:rPr>
        <w:t xml:space="preserve"> 2022 at 10.30 a.m</w:t>
      </w:r>
      <w:r w:rsidR="005C4EB6">
        <w:rPr>
          <w:iCs/>
          <w:lang w:val="en-US"/>
        </w:rPr>
        <w:t>.</w:t>
      </w:r>
      <w:r w:rsidR="00DE556D">
        <w:rPr>
          <w:iCs/>
          <w:lang w:val="en-US"/>
        </w:rPr>
        <w:t xml:space="preserve"> In the meantime, I would encourage the parties to engage with each other in relation to costs. If </w:t>
      </w:r>
      <w:r w:rsidR="0015621F">
        <w:rPr>
          <w:iCs/>
          <w:lang w:val="en-US"/>
        </w:rPr>
        <w:t>they can reach agreement in relation to costs, they should inform the registrar to that effect by email following which an order can be made by me without the necessity of any further hearing</w:t>
      </w:r>
      <w:r w:rsidR="00C44D5B">
        <w:rPr>
          <w:iCs/>
          <w:lang w:val="en-US"/>
        </w:rPr>
        <w:t>.</w:t>
      </w:r>
    </w:p>
    <w:sectPr w:rsidR="00426B56" w:rsidRPr="00426B56"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8CCF" w14:textId="77777777" w:rsidR="00EA7EFE" w:rsidRDefault="00EA7EFE">
      <w:r>
        <w:separator/>
      </w:r>
    </w:p>
  </w:endnote>
  <w:endnote w:type="continuationSeparator" w:id="0">
    <w:p w14:paraId="22458BE4" w14:textId="77777777" w:rsidR="00EA7EFE" w:rsidRDefault="00EA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14E9" w14:textId="77777777" w:rsidR="00EA7EFE" w:rsidRDefault="00EA7EFE">
      <w:r>
        <w:separator/>
      </w:r>
    </w:p>
  </w:footnote>
  <w:footnote w:type="continuationSeparator" w:id="0">
    <w:p w14:paraId="7D7DC8F8" w14:textId="77777777" w:rsidR="00EA7EFE" w:rsidRDefault="00EA7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1E76"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948484" w14:textId="77777777" w:rsidR="00A26BC6" w:rsidRDefault="00A26BC6">
    <w:pPr>
      <w:pStyle w:val="Header"/>
    </w:pPr>
  </w:p>
  <w:p w14:paraId="73AC61CA" w14:textId="77777777" w:rsidR="0001372A" w:rsidRDefault="0001372A"/>
  <w:p w14:paraId="3730782C" w14:textId="77777777" w:rsidR="0001372A" w:rsidRDefault="000137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53D8"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5C4EB6">
      <w:rPr>
        <w:rStyle w:val="PageNumber"/>
        <w:noProof/>
      </w:rPr>
      <w:t>11</w:t>
    </w:r>
    <w:r>
      <w:rPr>
        <w:rStyle w:val="PageNumber"/>
      </w:rPr>
      <w:fldChar w:fldCharType="end"/>
    </w:r>
  </w:p>
  <w:p w14:paraId="2F576C59" w14:textId="77777777" w:rsidR="00A26BC6" w:rsidRDefault="00A26BC6">
    <w:pPr>
      <w:pStyle w:val="Header"/>
    </w:pPr>
  </w:p>
  <w:p w14:paraId="47E454F1" w14:textId="77777777" w:rsidR="0001372A" w:rsidRDefault="0001372A"/>
  <w:p w14:paraId="1D9B8DC0" w14:textId="77777777" w:rsidR="0001372A" w:rsidRDefault="00013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A4D"/>
    <w:multiLevelType w:val="hybridMultilevel"/>
    <w:tmpl w:val="F4C24CFE"/>
    <w:lvl w:ilvl="0" w:tplc="16505144">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4C2CFE"/>
    <w:multiLevelType w:val="hybridMultilevel"/>
    <w:tmpl w:val="27AE9D0E"/>
    <w:lvl w:ilvl="0" w:tplc="BB52DD86">
      <w:start w:val="1"/>
      <w:numFmt w:val="decimal"/>
      <w:lvlText w:val="%1."/>
      <w:lvlJc w:val="left"/>
      <w:pPr>
        <w:ind w:left="720" w:hanging="360"/>
      </w:pPr>
      <w:rPr>
        <w:b w:val="0"/>
        <w:bCs/>
      </w:r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0FF903B2"/>
    <w:multiLevelType w:val="hybridMultilevel"/>
    <w:tmpl w:val="ED3E0EDA"/>
    <w:lvl w:ilvl="0" w:tplc="165051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A40BB3"/>
    <w:multiLevelType w:val="multilevel"/>
    <w:tmpl w:val="A25EA2B6"/>
    <w:lvl w:ilvl="0">
      <w:start w:val="1"/>
      <w:numFmt w:val="decimal"/>
      <w:lvlText w:val="%1."/>
      <w:lvlJc w:val="left"/>
      <w:pPr>
        <w:ind w:left="1069" w:hanging="360"/>
      </w:pPr>
      <w:rPr>
        <w:b w:val="0"/>
        <w:i w:val="0"/>
      </w:rPr>
    </w:lvl>
    <w:lvl w:ilvl="1">
      <w:start w:val="1"/>
      <w:numFmt w:val="decimal"/>
      <w:lvlText w:val="%1.%2."/>
      <w:lvlJc w:val="left"/>
      <w:pPr>
        <w:ind w:left="1850"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6"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74DEB"/>
    <w:multiLevelType w:val="hybridMultilevel"/>
    <w:tmpl w:val="05FABB26"/>
    <w:lvl w:ilvl="0" w:tplc="16505144">
      <w:start w:val="1"/>
      <w:numFmt w:val="lowerRoman"/>
      <w:lvlText w:val="(%1)"/>
      <w:lvlJc w:val="left"/>
      <w:pPr>
        <w:ind w:left="3600" w:hanging="72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D5943"/>
    <w:multiLevelType w:val="hybridMultilevel"/>
    <w:tmpl w:val="1346D202"/>
    <w:lvl w:ilvl="0" w:tplc="01EAA70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001411"/>
    <w:multiLevelType w:val="multilevel"/>
    <w:tmpl w:val="2E6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86505"/>
    <w:multiLevelType w:val="hybridMultilevel"/>
    <w:tmpl w:val="D80A8C34"/>
    <w:lvl w:ilvl="0" w:tplc="1809000F">
      <w:start w:val="1"/>
      <w:numFmt w:val="decimal"/>
      <w:lvlText w:val="%1."/>
      <w:lvlJc w:val="left"/>
      <w:pPr>
        <w:ind w:left="720" w:hanging="360"/>
      </w:p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626E6A24"/>
    <w:multiLevelType w:val="hybridMultilevel"/>
    <w:tmpl w:val="9DDEE1A8"/>
    <w:lvl w:ilvl="0" w:tplc="BF083818">
      <w:start w:val="1"/>
      <w:numFmt w:val="decimal"/>
      <w:lvlText w:val="%1."/>
      <w:lvlJc w:val="left"/>
      <w:pPr>
        <w:ind w:left="0" w:firstLine="0"/>
      </w:pPr>
      <w:rPr>
        <w:rFonts w:hint="default"/>
        <w:b/>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4B30618"/>
    <w:multiLevelType w:val="hybridMultilevel"/>
    <w:tmpl w:val="D62E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35AC9"/>
    <w:multiLevelType w:val="hybridMultilevel"/>
    <w:tmpl w:val="FB78E546"/>
    <w:lvl w:ilvl="0" w:tplc="7BCA515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7D8D5C5A"/>
    <w:multiLevelType w:val="multilevel"/>
    <w:tmpl w:val="6376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17"/>
  </w:num>
  <w:num w:numId="4">
    <w:abstractNumId w:val="8"/>
  </w:num>
  <w:num w:numId="5">
    <w:abstractNumId w:val="9"/>
  </w:num>
  <w:num w:numId="6">
    <w:abstractNumId w:val="15"/>
  </w:num>
  <w:num w:numId="7">
    <w:abstractNumId w:val="4"/>
  </w:num>
  <w:num w:numId="8">
    <w:abstractNumId w:val="13"/>
  </w:num>
  <w:num w:numId="9">
    <w:abstractNumId w:val="2"/>
  </w:num>
  <w:num w:numId="10">
    <w:abstractNumId w:val="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num>
  <w:num w:numId="14">
    <w:abstractNumId w:val="0"/>
  </w:num>
  <w:num w:numId="15">
    <w:abstractNumId w:val="7"/>
  </w:num>
  <w:num w:numId="16">
    <w:abstractNumId w:val="3"/>
  </w:num>
  <w:num w:numId="17">
    <w:abstractNumId w:val="16"/>
  </w:num>
  <w:num w:numId="18">
    <w:abstractNumId w:val="19"/>
    <w:lvlOverride w:ilvl="0">
      <w:startOverride w:val="224"/>
    </w:lvlOverride>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66FA"/>
    <w:rsid w:val="0001372A"/>
    <w:rsid w:val="00014A1F"/>
    <w:rsid w:val="00014F19"/>
    <w:rsid w:val="00016337"/>
    <w:rsid w:val="00025581"/>
    <w:rsid w:val="00027D44"/>
    <w:rsid w:val="00035A5D"/>
    <w:rsid w:val="0004075B"/>
    <w:rsid w:val="00043BD8"/>
    <w:rsid w:val="000504EF"/>
    <w:rsid w:val="00066A55"/>
    <w:rsid w:val="0007125D"/>
    <w:rsid w:val="00072EC8"/>
    <w:rsid w:val="000753FB"/>
    <w:rsid w:val="00077A57"/>
    <w:rsid w:val="000853FD"/>
    <w:rsid w:val="00085A96"/>
    <w:rsid w:val="00087862"/>
    <w:rsid w:val="00091117"/>
    <w:rsid w:val="00091F04"/>
    <w:rsid w:val="00092FB7"/>
    <w:rsid w:val="0009347B"/>
    <w:rsid w:val="000978AE"/>
    <w:rsid w:val="000A14DC"/>
    <w:rsid w:val="000A24DD"/>
    <w:rsid w:val="000A561B"/>
    <w:rsid w:val="000B0952"/>
    <w:rsid w:val="000B20B9"/>
    <w:rsid w:val="000B512A"/>
    <w:rsid w:val="000B5A60"/>
    <w:rsid w:val="000B5AA9"/>
    <w:rsid w:val="000C513E"/>
    <w:rsid w:val="000C572E"/>
    <w:rsid w:val="000D26A2"/>
    <w:rsid w:val="000E0EAC"/>
    <w:rsid w:val="000E7204"/>
    <w:rsid w:val="000F068B"/>
    <w:rsid w:val="000F2659"/>
    <w:rsid w:val="000F619D"/>
    <w:rsid w:val="00110CF2"/>
    <w:rsid w:val="001131E0"/>
    <w:rsid w:val="00114CF5"/>
    <w:rsid w:val="00123317"/>
    <w:rsid w:val="00125049"/>
    <w:rsid w:val="0013141A"/>
    <w:rsid w:val="00133FCE"/>
    <w:rsid w:val="00143A7F"/>
    <w:rsid w:val="0014614E"/>
    <w:rsid w:val="0015621F"/>
    <w:rsid w:val="001574ED"/>
    <w:rsid w:val="00160357"/>
    <w:rsid w:val="00162554"/>
    <w:rsid w:val="00167CEF"/>
    <w:rsid w:val="001711FF"/>
    <w:rsid w:val="001746F9"/>
    <w:rsid w:val="00182CF2"/>
    <w:rsid w:val="0019246C"/>
    <w:rsid w:val="001941D7"/>
    <w:rsid w:val="001949AA"/>
    <w:rsid w:val="001A07E8"/>
    <w:rsid w:val="001A2E51"/>
    <w:rsid w:val="001A7AF4"/>
    <w:rsid w:val="001B1D82"/>
    <w:rsid w:val="001B5ACC"/>
    <w:rsid w:val="001B789D"/>
    <w:rsid w:val="001C23D4"/>
    <w:rsid w:val="001C2AB5"/>
    <w:rsid w:val="001C3B16"/>
    <w:rsid w:val="001C502C"/>
    <w:rsid w:val="001D01BF"/>
    <w:rsid w:val="001D0FAF"/>
    <w:rsid w:val="001D0FB2"/>
    <w:rsid w:val="001D132C"/>
    <w:rsid w:val="001D1572"/>
    <w:rsid w:val="001D2173"/>
    <w:rsid w:val="001D4EBE"/>
    <w:rsid w:val="001D7118"/>
    <w:rsid w:val="001E4B1D"/>
    <w:rsid w:val="001F570C"/>
    <w:rsid w:val="00200009"/>
    <w:rsid w:val="002017DD"/>
    <w:rsid w:val="00207EB2"/>
    <w:rsid w:val="0021027D"/>
    <w:rsid w:val="00213AB8"/>
    <w:rsid w:val="00215F19"/>
    <w:rsid w:val="00216FE2"/>
    <w:rsid w:val="002232B9"/>
    <w:rsid w:val="00224358"/>
    <w:rsid w:val="002252E0"/>
    <w:rsid w:val="0022730A"/>
    <w:rsid w:val="00230D7C"/>
    <w:rsid w:val="00235BE6"/>
    <w:rsid w:val="00235C66"/>
    <w:rsid w:val="00236EEF"/>
    <w:rsid w:val="00240404"/>
    <w:rsid w:val="00243559"/>
    <w:rsid w:val="00246C68"/>
    <w:rsid w:val="0025041B"/>
    <w:rsid w:val="00261E64"/>
    <w:rsid w:val="002663B8"/>
    <w:rsid w:val="00267F5A"/>
    <w:rsid w:val="0027363E"/>
    <w:rsid w:val="00274C1A"/>
    <w:rsid w:val="00277B72"/>
    <w:rsid w:val="002900A3"/>
    <w:rsid w:val="00295479"/>
    <w:rsid w:val="00295B4F"/>
    <w:rsid w:val="00296C3B"/>
    <w:rsid w:val="002A6940"/>
    <w:rsid w:val="002A7E4B"/>
    <w:rsid w:val="002C0FFC"/>
    <w:rsid w:val="002C244C"/>
    <w:rsid w:val="002C563C"/>
    <w:rsid w:val="002D3689"/>
    <w:rsid w:val="002D739C"/>
    <w:rsid w:val="002D76A6"/>
    <w:rsid w:val="002E6D99"/>
    <w:rsid w:val="002F6CF7"/>
    <w:rsid w:val="002F736C"/>
    <w:rsid w:val="002F7619"/>
    <w:rsid w:val="003044FC"/>
    <w:rsid w:val="00305F89"/>
    <w:rsid w:val="00307118"/>
    <w:rsid w:val="003202E4"/>
    <w:rsid w:val="0032110A"/>
    <w:rsid w:val="00325C77"/>
    <w:rsid w:val="00325FF5"/>
    <w:rsid w:val="00326367"/>
    <w:rsid w:val="00330313"/>
    <w:rsid w:val="00335917"/>
    <w:rsid w:val="003436B1"/>
    <w:rsid w:val="00344BB3"/>
    <w:rsid w:val="0034668A"/>
    <w:rsid w:val="00350C90"/>
    <w:rsid w:val="00352330"/>
    <w:rsid w:val="00356770"/>
    <w:rsid w:val="00360DB1"/>
    <w:rsid w:val="00362CB0"/>
    <w:rsid w:val="0036742D"/>
    <w:rsid w:val="00371639"/>
    <w:rsid w:val="0037284A"/>
    <w:rsid w:val="00374E91"/>
    <w:rsid w:val="003967FB"/>
    <w:rsid w:val="003A675F"/>
    <w:rsid w:val="003A68CF"/>
    <w:rsid w:val="003A789D"/>
    <w:rsid w:val="003B0987"/>
    <w:rsid w:val="003B2B70"/>
    <w:rsid w:val="003B7FDF"/>
    <w:rsid w:val="003C1902"/>
    <w:rsid w:val="003C5E36"/>
    <w:rsid w:val="003D0A4C"/>
    <w:rsid w:val="003D5364"/>
    <w:rsid w:val="003E092F"/>
    <w:rsid w:val="003E1E07"/>
    <w:rsid w:val="003E3A4E"/>
    <w:rsid w:val="003F4D99"/>
    <w:rsid w:val="003F69BA"/>
    <w:rsid w:val="003F6B55"/>
    <w:rsid w:val="0040015C"/>
    <w:rsid w:val="00401F1A"/>
    <w:rsid w:val="00413303"/>
    <w:rsid w:val="00415999"/>
    <w:rsid w:val="004161DC"/>
    <w:rsid w:val="004217A4"/>
    <w:rsid w:val="004224C8"/>
    <w:rsid w:val="00424292"/>
    <w:rsid w:val="004267A2"/>
    <w:rsid w:val="00426AFD"/>
    <w:rsid w:val="00426B56"/>
    <w:rsid w:val="00426F4F"/>
    <w:rsid w:val="00427FCE"/>
    <w:rsid w:val="004448D1"/>
    <w:rsid w:val="00455E0C"/>
    <w:rsid w:val="00457EED"/>
    <w:rsid w:val="004613ED"/>
    <w:rsid w:val="00462F4D"/>
    <w:rsid w:val="00465D76"/>
    <w:rsid w:val="0046663A"/>
    <w:rsid w:val="00470291"/>
    <w:rsid w:val="00470761"/>
    <w:rsid w:val="004729AD"/>
    <w:rsid w:val="00473346"/>
    <w:rsid w:val="00480BF8"/>
    <w:rsid w:val="00487E59"/>
    <w:rsid w:val="00490355"/>
    <w:rsid w:val="00494DA0"/>
    <w:rsid w:val="00496798"/>
    <w:rsid w:val="004A1129"/>
    <w:rsid w:val="004A159B"/>
    <w:rsid w:val="004A5941"/>
    <w:rsid w:val="004A7F26"/>
    <w:rsid w:val="004B6DA2"/>
    <w:rsid w:val="004C10D0"/>
    <w:rsid w:val="004C5C43"/>
    <w:rsid w:val="004D0F88"/>
    <w:rsid w:val="004D2EB6"/>
    <w:rsid w:val="004D38B7"/>
    <w:rsid w:val="004E4619"/>
    <w:rsid w:val="004E7F98"/>
    <w:rsid w:val="004F1EAB"/>
    <w:rsid w:val="004F349F"/>
    <w:rsid w:val="004F38FF"/>
    <w:rsid w:val="004F5B9F"/>
    <w:rsid w:val="0050760B"/>
    <w:rsid w:val="00523C33"/>
    <w:rsid w:val="005305DC"/>
    <w:rsid w:val="005310E4"/>
    <w:rsid w:val="00531ADB"/>
    <w:rsid w:val="00540391"/>
    <w:rsid w:val="00542275"/>
    <w:rsid w:val="00546199"/>
    <w:rsid w:val="0054776A"/>
    <w:rsid w:val="00555710"/>
    <w:rsid w:val="0055581E"/>
    <w:rsid w:val="00555D97"/>
    <w:rsid w:val="0055728F"/>
    <w:rsid w:val="00562167"/>
    <w:rsid w:val="00563990"/>
    <w:rsid w:val="00566C70"/>
    <w:rsid w:val="00567B78"/>
    <w:rsid w:val="00573A77"/>
    <w:rsid w:val="00576DE7"/>
    <w:rsid w:val="005806F6"/>
    <w:rsid w:val="00581BAA"/>
    <w:rsid w:val="00582994"/>
    <w:rsid w:val="00583EE1"/>
    <w:rsid w:val="00590A83"/>
    <w:rsid w:val="00590C6F"/>
    <w:rsid w:val="005A08CE"/>
    <w:rsid w:val="005A0F5A"/>
    <w:rsid w:val="005A1925"/>
    <w:rsid w:val="005A24B7"/>
    <w:rsid w:val="005A6BAC"/>
    <w:rsid w:val="005B1B39"/>
    <w:rsid w:val="005B2FBE"/>
    <w:rsid w:val="005B375E"/>
    <w:rsid w:val="005C28C4"/>
    <w:rsid w:val="005C4EB6"/>
    <w:rsid w:val="005E039C"/>
    <w:rsid w:val="005E09C0"/>
    <w:rsid w:val="005E5333"/>
    <w:rsid w:val="00601327"/>
    <w:rsid w:val="0060185D"/>
    <w:rsid w:val="00601FA4"/>
    <w:rsid w:val="00604191"/>
    <w:rsid w:val="00604803"/>
    <w:rsid w:val="00606030"/>
    <w:rsid w:val="006100E8"/>
    <w:rsid w:val="006112FF"/>
    <w:rsid w:val="006161C7"/>
    <w:rsid w:val="00625B8B"/>
    <w:rsid w:val="006308B7"/>
    <w:rsid w:val="0063105C"/>
    <w:rsid w:val="00631D94"/>
    <w:rsid w:val="006366D1"/>
    <w:rsid w:val="006370F7"/>
    <w:rsid w:val="0064032C"/>
    <w:rsid w:val="0064148B"/>
    <w:rsid w:val="00642690"/>
    <w:rsid w:val="00642C76"/>
    <w:rsid w:val="00651B50"/>
    <w:rsid w:val="00652859"/>
    <w:rsid w:val="006535B1"/>
    <w:rsid w:val="00654BA1"/>
    <w:rsid w:val="006565F0"/>
    <w:rsid w:val="00672D11"/>
    <w:rsid w:val="00681869"/>
    <w:rsid w:val="006863B6"/>
    <w:rsid w:val="006918B5"/>
    <w:rsid w:val="00691C20"/>
    <w:rsid w:val="006A31C0"/>
    <w:rsid w:val="006A3555"/>
    <w:rsid w:val="006A3AD0"/>
    <w:rsid w:val="006A5CAC"/>
    <w:rsid w:val="006A7AD3"/>
    <w:rsid w:val="006B4F32"/>
    <w:rsid w:val="006B6782"/>
    <w:rsid w:val="006C1411"/>
    <w:rsid w:val="006C364C"/>
    <w:rsid w:val="006D34F3"/>
    <w:rsid w:val="006D3F29"/>
    <w:rsid w:val="006D575E"/>
    <w:rsid w:val="006D77E5"/>
    <w:rsid w:val="006E0CFC"/>
    <w:rsid w:val="006F1BEF"/>
    <w:rsid w:val="006F3888"/>
    <w:rsid w:val="00705664"/>
    <w:rsid w:val="00707567"/>
    <w:rsid w:val="00722968"/>
    <w:rsid w:val="007262B6"/>
    <w:rsid w:val="00734BAE"/>
    <w:rsid w:val="00740143"/>
    <w:rsid w:val="0074171F"/>
    <w:rsid w:val="0074462D"/>
    <w:rsid w:val="0074462F"/>
    <w:rsid w:val="00744EF6"/>
    <w:rsid w:val="00751448"/>
    <w:rsid w:val="00751C22"/>
    <w:rsid w:val="007563BC"/>
    <w:rsid w:val="007646CE"/>
    <w:rsid w:val="00765747"/>
    <w:rsid w:val="00770A62"/>
    <w:rsid w:val="00772264"/>
    <w:rsid w:val="00773DF8"/>
    <w:rsid w:val="0077468A"/>
    <w:rsid w:val="00775831"/>
    <w:rsid w:val="00781C13"/>
    <w:rsid w:val="007856D1"/>
    <w:rsid w:val="00791B4B"/>
    <w:rsid w:val="0079413E"/>
    <w:rsid w:val="007A4BCD"/>
    <w:rsid w:val="007A6715"/>
    <w:rsid w:val="007A7E6C"/>
    <w:rsid w:val="007B11F2"/>
    <w:rsid w:val="007B76DC"/>
    <w:rsid w:val="007B7D1E"/>
    <w:rsid w:val="007C4877"/>
    <w:rsid w:val="007C489F"/>
    <w:rsid w:val="007D0446"/>
    <w:rsid w:val="007D05B9"/>
    <w:rsid w:val="007D2114"/>
    <w:rsid w:val="007D2167"/>
    <w:rsid w:val="007D5BF3"/>
    <w:rsid w:val="007D6F98"/>
    <w:rsid w:val="007E4435"/>
    <w:rsid w:val="007E49D6"/>
    <w:rsid w:val="007F33DA"/>
    <w:rsid w:val="007F6A16"/>
    <w:rsid w:val="0080020C"/>
    <w:rsid w:val="00810EAD"/>
    <w:rsid w:val="00813B3E"/>
    <w:rsid w:val="00814A99"/>
    <w:rsid w:val="0081656D"/>
    <w:rsid w:val="00817912"/>
    <w:rsid w:val="00820ED3"/>
    <w:rsid w:val="00823C42"/>
    <w:rsid w:val="00823DE6"/>
    <w:rsid w:val="00824820"/>
    <w:rsid w:val="00830FE0"/>
    <w:rsid w:val="008407FE"/>
    <w:rsid w:val="00841844"/>
    <w:rsid w:val="00855467"/>
    <w:rsid w:val="0085558D"/>
    <w:rsid w:val="00860459"/>
    <w:rsid w:val="008622E3"/>
    <w:rsid w:val="008702A8"/>
    <w:rsid w:val="008750E2"/>
    <w:rsid w:val="00876ACA"/>
    <w:rsid w:val="00877043"/>
    <w:rsid w:val="00886020"/>
    <w:rsid w:val="00886A40"/>
    <w:rsid w:val="00890284"/>
    <w:rsid w:val="00890348"/>
    <w:rsid w:val="0089145E"/>
    <w:rsid w:val="00892CEB"/>
    <w:rsid w:val="008947D7"/>
    <w:rsid w:val="008972BC"/>
    <w:rsid w:val="008A25CA"/>
    <w:rsid w:val="008A62E3"/>
    <w:rsid w:val="008B220D"/>
    <w:rsid w:val="008C7D03"/>
    <w:rsid w:val="008D149D"/>
    <w:rsid w:val="008D5946"/>
    <w:rsid w:val="008D6206"/>
    <w:rsid w:val="008D7840"/>
    <w:rsid w:val="008E0ABD"/>
    <w:rsid w:val="008E285D"/>
    <w:rsid w:val="008E313A"/>
    <w:rsid w:val="008E4B3D"/>
    <w:rsid w:val="009020D2"/>
    <w:rsid w:val="009030A2"/>
    <w:rsid w:val="00906A33"/>
    <w:rsid w:val="00907F97"/>
    <w:rsid w:val="009104AF"/>
    <w:rsid w:val="00911B47"/>
    <w:rsid w:val="00915BEB"/>
    <w:rsid w:val="00921C19"/>
    <w:rsid w:val="00943955"/>
    <w:rsid w:val="00946104"/>
    <w:rsid w:val="00954B71"/>
    <w:rsid w:val="00965D3D"/>
    <w:rsid w:val="009702BC"/>
    <w:rsid w:val="009729D1"/>
    <w:rsid w:val="00982185"/>
    <w:rsid w:val="009822F2"/>
    <w:rsid w:val="009B1970"/>
    <w:rsid w:val="009B4CBD"/>
    <w:rsid w:val="009B4FDB"/>
    <w:rsid w:val="009C0A2D"/>
    <w:rsid w:val="009C6B90"/>
    <w:rsid w:val="009C6E7D"/>
    <w:rsid w:val="009D60EA"/>
    <w:rsid w:val="009E6F07"/>
    <w:rsid w:val="009F1CB4"/>
    <w:rsid w:val="00A0370D"/>
    <w:rsid w:val="00A03884"/>
    <w:rsid w:val="00A049C4"/>
    <w:rsid w:val="00A10126"/>
    <w:rsid w:val="00A11334"/>
    <w:rsid w:val="00A24695"/>
    <w:rsid w:val="00A24CF4"/>
    <w:rsid w:val="00A26BC6"/>
    <w:rsid w:val="00A26F6B"/>
    <w:rsid w:val="00A3504F"/>
    <w:rsid w:val="00A3745F"/>
    <w:rsid w:val="00A418D4"/>
    <w:rsid w:val="00A437D7"/>
    <w:rsid w:val="00A50432"/>
    <w:rsid w:val="00A612FA"/>
    <w:rsid w:val="00A64985"/>
    <w:rsid w:val="00A6629D"/>
    <w:rsid w:val="00A6735B"/>
    <w:rsid w:val="00A70373"/>
    <w:rsid w:val="00A878E1"/>
    <w:rsid w:val="00A92FF1"/>
    <w:rsid w:val="00A942A2"/>
    <w:rsid w:val="00AA0736"/>
    <w:rsid w:val="00AA0F36"/>
    <w:rsid w:val="00AA0FC6"/>
    <w:rsid w:val="00AA16EB"/>
    <w:rsid w:val="00AA281B"/>
    <w:rsid w:val="00AA304B"/>
    <w:rsid w:val="00AB2019"/>
    <w:rsid w:val="00AB2465"/>
    <w:rsid w:val="00AB5862"/>
    <w:rsid w:val="00AB6AFD"/>
    <w:rsid w:val="00AC76BA"/>
    <w:rsid w:val="00AD266C"/>
    <w:rsid w:val="00AD5922"/>
    <w:rsid w:val="00AE7359"/>
    <w:rsid w:val="00AF05D2"/>
    <w:rsid w:val="00AF0CA8"/>
    <w:rsid w:val="00AF0FC4"/>
    <w:rsid w:val="00AF4AAC"/>
    <w:rsid w:val="00B03B87"/>
    <w:rsid w:val="00B03E95"/>
    <w:rsid w:val="00B05B1D"/>
    <w:rsid w:val="00B062A2"/>
    <w:rsid w:val="00B065A5"/>
    <w:rsid w:val="00B11D53"/>
    <w:rsid w:val="00B14179"/>
    <w:rsid w:val="00B1459B"/>
    <w:rsid w:val="00B17E03"/>
    <w:rsid w:val="00B24417"/>
    <w:rsid w:val="00B30833"/>
    <w:rsid w:val="00B3275A"/>
    <w:rsid w:val="00B404A0"/>
    <w:rsid w:val="00B41FD0"/>
    <w:rsid w:val="00B423B8"/>
    <w:rsid w:val="00B44343"/>
    <w:rsid w:val="00B52888"/>
    <w:rsid w:val="00B56188"/>
    <w:rsid w:val="00B67644"/>
    <w:rsid w:val="00B67872"/>
    <w:rsid w:val="00B67B16"/>
    <w:rsid w:val="00B67B6C"/>
    <w:rsid w:val="00B7014B"/>
    <w:rsid w:val="00B7299A"/>
    <w:rsid w:val="00B73263"/>
    <w:rsid w:val="00B7573C"/>
    <w:rsid w:val="00B85DAC"/>
    <w:rsid w:val="00BA2318"/>
    <w:rsid w:val="00BA5813"/>
    <w:rsid w:val="00BC51DB"/>
    <w:rsid w:val="00BD12FA"/>
    <w:rsid w:val="00BD4F95"/>
    <w:rsid w:val="00BE37C6"/>
    <w:rsid w:val="00BF52B1"/>
    <w:rsid w:val="00C070DC"/>
    <w:rsid w:val="00C11200"/>
    <w:rsid w:val="00C150AA"/>
    <w:rsid w:val="00C175EB"/>
    <w:rsid w:val="00C22092"/>
    <w:rsid w:val="00C25670"/>
    <w:rsid w:val="00C35B30"/>
    <w:rsid w:val="00C36CC6"/>
    <w:rsid w:val="00C44D5B"/>
    <w:rsid w:val="00C46AFA"/>
    <w:rsid w:val="00C50651"/>
    <w:rsid w:val="00C51772"/>
    <w:rsid w:val="00C5325F"/>
    <w:rsid w:val="00C55B77"/>
    <w:rsid w:val="00C575E9"/>
    <w:rsid w:val="00C57BED"/>
    <w:rsid w:val="00C62B02"/>
    <w:rsid w:val="00C6525A"/>
    <w:rsid w:val="00C65C75"/>
    <w:rsid w:val="00C72A22"/>
    <w:rsid w:val="00C73EF2"/>
    <w:rsid w:val="00C73FF5"/>
    <w:rsid w:val="00C74558"/>
    <w:rsid w:val="00C84128"/>
    <w:rsid w:val="00C8653B"/>
    <w:rsid w:val="00C86DEA"/>
    <w:rsid w:val="00C87EEC"/>
    <w:rsid w:val="00C90502"/>
    <w:rsid w:val="00CA0314"/>
    <w:rsid w:val="00CA21AC"/>
    <w:rsid w:val="00CA4FB7"/>
    <w:rsid w:val="00CA7CA1"/>
    <w:rsid w:val="00CB4557"/>
    <w:rsid w:val="00CB7319"/>
    <w:rsid w:val="00CC2A8A"/>
    <w:rsid w:val="00CD0464"/>
    <w:rsid w:val="00CD078C"/>
    <w:rsid w:val="00CD1A58"/>
    <w:rsid w:val="00CD2972"/>
    <w:rsid w:val="00CE3041"/>
    <w:rsid w:val="00CE4EED"/>
    <w:rsid w:val="00CE68E2"/>
    <w:rsid w:val="00CE6BBB"/>
    <w:rsid w:val="00CF12E7"/>
    <w:rsid w:val="00CF3B87"/>
    <w:rsid w:val="00CF4657"/>
    <w:rsid w:val="00D073D9"/>
    <w:rsid w:val="00D10C15"/>
    <w:rsid w:val="00D14281"/>
    <w:rsid w:val="00D15929"/>
    <w:rsid w:val="00D15A7D"/>
    <w:rsid w:val="00D1673D"/>
    <w:rsid w:val="00D2754E"/>
    <w:rsid w:val="00D33AA0"/>
    <w:rsid w:val="00D33CA9"/>
    <w:rsid w:val="00D34898"/>
    <w:rsid w:val="00D34EE8"/>
    <w:rsid w:val="00D35177"/>
    <w:rsid w:val="00D3650C"/>
    <w:rsid w:val="00D4291C"/>
    <w:rsid w:val="00D43AF7"/>
    <w:rsid w:val="00D505E8"/>
    <w:rsid w:val="00D51220"/>
    <w:rsid w:val="00D51E23"/>
    <w:rsid w:val="00D53B04"/>
    <w:rsid w:val="00D55C86"/>
    <w:rsid w:val="00D564C2"/>
    <w:rsid w:val="00D57AC7"/>
    <w:rsid w:val="00D57CA8"/>
    <w:rsid w:val="00D70805"/>
    <w:rsid w:val="00D71CA4"/>
    <w:rsid w:val="00D7274A"/>
    <w:rsid w:val="00D733B6"/>
    <w:rsid w:val="00D741D7"/>
    <w:rsid w:val="00D80830"/>
    <w:rsid w:val="00D839AF"/>
    <w:rsid w:val="00D87272"/>
    <w:rsid w:val="00D901DA"/>
    <w:rsid w:val="00D913FA"/>
    <w:rsid w:val="00D938E8"/>
    <w:rsid w:val="00D95A19"/>
    <w:rsid w:val="00DA38FD"/>
    <w:rsid w:val="00DA5D43"/>
    <w:rsid w:val="00DA6CE6"/>
    <w:rsid w:val="00DA79E1"/>
    <w:rsid w:val="00DB1C54"/>
    <w:rsid w:val="00DB6D04"/>
    <w:rsid w:val="00DC008A"/>
    <w:rsid w:val="00DC4149"/>
    <w:rsid w:val="00DC5F61"/>
    <w:rsid w:val="00DC6462"/>
    <w:rsid w:val="00DD07E1"/>
    <w:rsid w:val="00DE17D6"/>
    <w:rsid w:val="00DE556D"/>
    <w:rsid w:val="00DE732E"/>
    <w:rsid w:val="00DE75B5"/>
    <w:rsid w:val="00DF4FA1"/>
    <w:rsid w:val="00DF5780"/>
    <w:rsid w:val="00E00418"/>
    <w:rsid w:val="00E063C4"/>
    <w:rsid w:val="00E137C5"/>
    <w:rsid w:val="00E142C4"/>
    <w:rsid w:val="00E14D93"/>
    <w:rsid w:val="00E161E3"/>
    <w:rsid w:val="00E169FB"/>
    <w:rsid w:val="00E17245"/>
    <w:rsid w:val="00E24963"/>
    <w:rsid w:val="00E339CA"/>
    <w:rsid w:val="00E34EB1"/>
    <w:rsid w:val="00E35D70"/>
    <w:rsid w:val="00E4063A"/>
    <w:rsid w:val="00E43BD0"/>
    <w:rsid w:val="00E44D4C"/>
    <w:rsid w:val="00E45CDF"/>
    <w:rsid w:val="00E46577"/>
    <w:rsid w:val="00E467DA"/>
    <w:rsid w:val="00E67ADA"/>
    <w:rsid w:val="00E72560"/>
    <w:rsid w:val="00E7481D"/>
    <w:rsid w:val="00E8241C"/>
    <w:rsid w:val="00E9192B"/>
    <w:rsid w:val="00EA12A6"/>
    <w:rsid w:val="00EA4EED"/>
    <w:rsid w:val="00EA7EFE"/>
    <w:rsid w:val="00EB086E"/>
    <w:rsid w:val="00EB12C8"/>
    <w:rsid w:val="00EB6968"/>
    <w:rsid w:val="00EC48D9"/>
    <w:rsid w:val="00ED14BC"/>
    <w:rsid w:val="00ED45B8"/>
    <w:rsid w:val="00ED7CBB"/>
    <w:rsid w:val="00EE11E9"/>
    <w:rsid w:val="00EE145F"/>
    <w:rsid w:val="00EE1828"/>
    <w:rsid w:val="00EE1E23"/>
    <w:rsid w:val="00EF1644"/>
    <w:rsid w:val="00EF16B5"/>
    <w:rsid w:val="00EF2323"/>
    <w:rsid w:val="00EF23A3"/>
    <w:rsid w:val="00F00D86"/>
    <w:rsid w:val="00F03146"/>
    <w:rsid w:val="00F04BF5"/>
    <w:rsid w:val="00F10C21"/>
    <w:rsid w:val="00F1304B"/>
    <w:rsid w:val="00F14478"/>
    <w:rsid w:val="00F17987"/>
    <w:rsid w:val="00F24411"/>
    <w:rsid w:val="00F32E1E"/>
    <w:rsid w:val="00F333F8"/>
    <w:rsid w:val="00F33E15"/>
    <w:rsid w:val="00F37CEC"/>
    <w:rsid w:val="00F41345"/>
    <w:rsid w:val="00F42030"/>
    <w:rsid w:val="00F435DC"/>
    <w:rsid w:val="00F43B26"/>
    <w:rsid w:val="00F503A5"/>
    <w:rsid w:val="00F519B6"/>
    <w:rsid w:val="00F52770"/>
    <w:rsid w:val="00F53577"/>
    <w:rsid w:val="00F5393D"/>
    <w:rsid w:val="00F570B9"/>
    <w:rsid w:val="00F62F02"/>
    <w:rsid w:val="00F6369C"/>
    <w:rsid w:val="00F65B1B"/>
    <w:rsid w:val="00F72DBB"/>
    <w:rsid w:val="00F8260A"/>
    <w:rsid w:val="00F8260B"/>
    <w:rsid w:val="00F862C7"/>
    <w:rsid w:val="00F86638"/>
    <w:rsid w:val="00F875A2"/>
    <w:rsid w:val="00F92108"/>
    <w:rsid w:val="00F9293F"/>
    <w:rsid w:val="00F9632E"/>
    <w:rsid w:val="00F97031"/>
    <w:rsid w:val="00F97F73"/>
    <w:rsid w:val="00FA17E8"/>
    <w:rsid w:val="00FA1B3E"/>
    <w:rsid w:val="00FA68FA"/>
    <w:rsid w:val="00FB0CB8"/>
    <w:rsid w:val="00FB1E49"/>
    <w:rsid w:val="00FB1EE2"/>
    <w:rsid w:val="00FB4540"/>
    <w:rsid w:val="00FB7E11"/>
    <w:rsid w:val="00FC730D"/>
    <w:rsid w:val="00FD29A3"/>
    <w:rsid w:val="00FD37CE"/>
    <w:rsid w:val="00FD3B41"/>
    <w:rsid w:val="00FE0D5B"/>
    <w:rsid w:val="00FE2140"/>
    <w:rsid w:val="00FE543D"/>
    <w:rsid w:val="00FE6A7A"/>
    <w:rsid w:val="00FF55BE"/>
    <w:rsid w:val="00FF722B"/>
    <w:rsid w:val="00FF7CAC"/>
    <w:rsid w:val="00FF7E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5D24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216FE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noteText">
    <w:name w:val="footnote text"/>
    <w:basedOn w:val="Normal"/>
    <w:link w:val="FootnoteTextChar"/>
    <w:uiPriority w:val="99"/>
    <w:unhideWhenUsed/>
    <w:qFormat/>
    <w:rsid w:val="009F1CB4"/>
    <w:rPr>
      <w:rFonts w:ascii="Calibri" w:eastAsia="Calibri" w:hAnsi="Calibri"/>
      <w:sz w:val="20"/>
      <w:szCs w:val="20"/>
      <w:lang w:eastAsia="en-US"/>
    </w:rPr>
  </w:style>
  <w:style w:type="character" w:customStyle="1" w:styleId="FootnoteTextChar">
    <w:name w:val="Footnote Text Char"/>
    <w:link w:val="FootnoteText"/>
    <w:uiPriority w:val="99"/>
    <w:rsid w:val="009F1CB4"/>
    <w:rPr>
      <w:rFonts w:ascii="Calibri" w:eastAsia="Calibri" w:hAnsi="Calibri"/>
      <w:lang w:eastAsia="en-US"/>
    </w:rPr>
  </w:style>
  <w:style w:type="character" w:styleId="FootnoteReference">
    <w:name w:val="footnote reference"/>
    <w:uiPriority w:val="99"/>
    <w:unhideWhenUsed/>
    <w:rsid w:val="009F1CB4"/>
    <w:rPr>
      <w:vertAlign w:val="superscript"/>
    </w:rPr>
  </w:style>
  <w:style w:type="character" w:customStyle="1" w:styleId="link-name">
    <w:name w:val="link-name"/>
    <w:rsid w:val="00B30833"/>
  </w:style>
  <w:style w:type="character" w:styleId="Hyperlink">
    <w:name w:val="Hyperlink"/>
    <w:uiPriority w:val="99"/>
    <w:unhideWhenUsed/>
    <w:rsid w:val="00B30833"/>
    <w:rPr>
      <w:color w:val="0000FF"/>
      <w:u w:val="single"/>
    </w:rPr>
  </w:style>
  <w:style w:type="character" w:styleId="Emphasis">
    <w:name w:val="Emphasis"/>
    <w:uiPriority w:val="20"/>
    <w:qFormat/>
    <w:rsid w:val="00B30833"/>
    <w:rPr>
      <w:i/>
      <w:iCs/>
    </w:rPr>
  </w:style>
  <w:style w:type="paragraph" w:styleId="NormalWeb">
    <w:name w:val="Normal (Web)"/>
    <w:basedOn w:val="Normal"/>
    <w:uiPriority w:val="99"/>
    <w:unhideWhenUsed/>
    <w:rsid w:val="00B30833"/>
    <w:pPr>
      <w:spacing w:before="100" w:beforeAutospacing="1" w:after="100" w:afterAutospacing="1"/>
    </w:pPr>
  </w:style>
  <w:style w:type="paragraph" w:styleId="BodyText">
    <w:name w:val="Body Text"/>
    <w:basedOn w:val="Normal"/>
    <w:link w:val="BodyTextChar"/>
    <w:rsid w:val="00216FE2"/>
    <w:pPr>
      <w:spacing w:after="120"/>
    </w:pPr>
  </w:style>
  <w:style w:type="character" w:customStyle="1" w:styleId="BodyTextChar">
    <w:name w:val="Body Text Char"/>
    <w:link w:val="BodyText"/>
    <w:rsid w:val="00216FE2"/>
    <w:rPr>
      <w:sz w:val="24"/>
      <w:szCs w:val="24"/>
      <w:lang w:val="en-IE" w:eastAsia="en-IE"/>
    </w:rPr>
  </w:style>
  <w:style w:type="character" w:customStyle="1" w:styleId="Heading1Char">
    <w:name w:val="Heading 1 Char"/>
    <w:link w:val="Heading1"/>
    <w:rsid w:val="00216FE2"/>
    <w:rPr>
      <w:rFonts w:ascii="Calibri Light" w:eastAsia="Times New Roman" w:hAnsi="Calibri Light" w:cs="Times New Roman"/>
      <w:b/>
      <w:bCs/>
      <w:kern w:val="32"/>
      <w:sz w:val="32"/>
      <w:szCs w:val="32"/>
      <w:lang w:val="en-IE" w:eastAsia="en-IE"/>
    </w:rPr>
  </w:style>
  <w:style w:type="paragraph" w:customStyle="1" w:styleId="TableParagraph">
    <w:name w:val="Table Paragraph"/>
    <w:basedOn w:val="Normal"/>
    <w:uiPriority w:val="1"/>
    <w:qFormat/>
    <w:rsid w:val="00216FE2"/>
    <w:pPr>
      <w:widowControl w:val="0"/>
      <w:autoSpaceDE w:val="0"/>
      <w:autoSpaceDN w:val="0"/>
      <w:adjustRightInd w:val="0"/>
    </w:pPr>
    <w:rPr>
      <w:lang w:val="en-US" w:eastAsia="en-US"/>
    </w:rPr>
  </w:style>
  <w:style w:type="paragraph" w:styleId="Footer">
    <w:name w:val="footer"/>
    <w:basedOn w:val="Normal"/>
    <w:link w:val="FooterChar"/>
    <w:rsid w:val="00B11D53"/>
    <w:pPr>
      <w:tabs>
        <w:tab w:val="center" w:pos="4513"/>
        <w:tab w:val="right" w:pos="9026"/>
      </w:tabs>
    </w:pPr>
  </w:style>
  <w:style w:type="character" w:customStyle="1" w:styleId="FooterChar">
    <w:name w:val="Footer Char"/>
    <w:basedOn w:val="DefaultParagraphFont"/>
    <w:link w:val="Footer"/>
    <w:rsid w:val="00B11D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3468">
      <w:bodyDiv w:val="1"/>
      <w:marLeft w:val="0"/>
      <w:marRight w:val="0"/>
      <w:marTop w:val="0"/>
      <w:marBottom w:val="0"/>
      <w:divBdr>
        <w:top w:val="none" w:sz="0" w:space="0" w:color="auto"/>
        <w:left w:val="none" w:sz="0" w:space="0" w:color="auto"/>
        <w:bottom w:val="none" w:sz="0" w:space="0" w:color="auto"/>
        <w:right w:val="none" w:sz="0" w:space="0" w:color="auto"/>
      </w:divBdr>
    </w:div>
    <w:div w:id="1481578096">
      <w:bodyDiv w:val="1"/>
      <w:marLeft w:val="0"/>
      <w:marRight w:val="0"/>
      <w:marTop w:val="0"/>
      <w:marBottom w:val="0"/>
      <w:divBdr>
        <w:top w:val="none" w:sz="0" w:space="0" w:color="auto"/>
        <w:left w:val="none" w:sz="0" w:space="0" w:color="auto"/>
        <w:bottom w:val="none" w:sz="0" w:space="0" w:color="auto"/>
        <w:right w:val="none" w:sz="0" w:space="0" w:color="auto"/>
      </w:divBdr>
      <w:divsChild>
        <w:div w:id="1125150587">
          <w:blockQuote w:val="1"/>
          <w:marLeft w:val="0"/>
          <w:marRight w:val="0"/>
          <w:marTop w:val="0"/>
          <w:marBottom w:val="300"/>
          <w:divBdr>
            <w:top w:val="none" w:sz="0" w:space="0" w:color="auto"/>
            <w:left w:val="single" w:sz="36" w:space="11" w:color="EEEEEE"/>
            <w:bottom w:val="none" w:sz="0" w:space="0" w:color="auto"/>
            <w:right w:val="none" w:sz="0" w:space="0" w:color="auto"/>
          </w:divBdr>
        </w:div>
        <w:div w:id="1655986354">
          <w:blockQuote w:val="1"/>
          <w:marLeft w:val="0"/>
          <w:marRight w:val="0"/>
          <w:marTop w:val="0"/>
          <w:marBottom w:val="300"/>
          <w:divBdr>
            <w:top w:val="none" w:sz="0" w:space="0" w:color="auto"/>
            <w:left w:val="single" w:sz="36" w:space="11" w:color="EEEEEE"/>
            <w:bottom w:val="none" w:sz="0" w:space="0" w:color="auto"/>
            <w:right w:val="none" w:sz="0" w:space="0" w:color="auto"/>
          </w:divBdr>
        </w:div>
        <w:div w:id="17680382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5449306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9932192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66095626">
              <w:blockQuote w:val="1"/>
              <w:marLeft w:val="0"/>
              <w:marRight w:val="0"/>
              <w:marTop w:val="0"/>
              <w:marBottom w:val="300"/>
              <w:divBdr>
                <w:top w:val="none" w:sz="0" w:space="0" w:color="auto"/>
                <w:left w:val="single" w:sz="36" w:space="11" w:color="EEEEEE"/>
                <w:bottom w:val="none" w:sz="0" w:space="0" w:color="auto"/>
                <w:right w:val="none" w:sz="0" w:space="0" w:color="auto"/>
              </w:divBdr>
            </w:div>
            <w:div w:id="125039120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57708840">
          <w:blockQuote w:val="1"/>
          <w:marLeft w:val="0"/>
          <w:marRight w:val="0"/>
          <w:marTop w:val="0"/>
          <w:marBottom w:val="300"/>
          <w:divBdr>
            <w:top w:val="none" w:sz="0" w:space="0" w:color="auto"/>
            <w:left w:val="single" w:sz="36" w:space="11" w:color="EEEEEE"/>
            <w:bottom w:val="none" w:sz="0" w:space="0" w:color="auto"/>
            <w:right w:val="none" w:sz="0" w:space="0" w:color="auto"/>
          </w:divBdr>
        </w:div>
        <w:div w:id="195836474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F946-74D7-4C3A-89A9-C145483B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3370</Words>
  <Characters>19214</Characters>
  <Application>Microsoft Office Word</Application>
  <DocSecurity>0</DocSecurity>
  <Lines>160</Lines>
  <Paragraphs>45</Paragraphs>
  <ScaleCrop>false</ScaleCrop>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2022-02-23T10:22:00Z</dcterms:created>
  <dcterms:modified xsi:type="dcterms:W3CDTF">2022-02-23T10:22:00Z</dcterms:modified>
</cp:coreProperties>
</file>