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13D77" w14:textId="77777777" w:rsidR="007F1903" w:rsidRPr="0093610D" w:rsidRDefault="007F1903" w:rsidP="007F1903">
      <w:pPr>
        <w:spacing w:line="360" w:lineRule="auto"/>
        <w:jc w:val="center"/>
        <w:rPr>
          <w:b/>
          <w:sz w:val="32"/>
          <w:szCs w:val="32"/>
        </w:rPr>
      </w:pPr>
      <w:r w:rsidRPr="0093610D">
        <w:rPr>
          <w:b/>
          <w:sz w:val="32"/>
          <w:szCs w:val="32"/>
        </w:rPr>
        <w:t>THE HIGH COURT</w:t>
      </w:r>
    </w:p>
    <w:p w14:paraId="7FFFF31D" w14:textId="77777777" w:rsidR="007F1903" w:rsidRPr="0093610D" w:rsidRDefault="00145457" w:rsidP="007F1903">
      <w:pPr>
        <w:spacing w:line="360" w:lineRule="auto"/>
        <w:jc w:val="right"/>
        <w:rPr>
          <w:b/>
        </w:rPr>
      </w:pPr>
      <w:r>
        <w:rPr>
          <w:b/>
        </w:rPr>
        <w:t>[2021] IEHC 823</w:t>
      </w:r>
    </w:p>
    <w:p w14:paraId="191EAD87" w14:textId="77777777" w:rsidR="007F1903" w:rsidRPr="0093610D" w:rsidRDefault="005A466E" w:rsidP="00AA694F">
      <w:pPr>
        <w:spacing w:line="480" w:lineRule="auto"/>
        <w:jc w:val="right"/>
        <w:rPr>
          <w:b/>
        </w:rPr>
      </w:pPr>
      <w:r w:rsidRPr="0093610D">
        <w:rPr>
          <w:b/>
        </w:rPr>
        <w:t>[</w:t>
      </w:r>
      <w:r w:rsidR="009E686B" w:rsidRPr="0093610D">
        <w:rPr>
          <w:b/>
        </w:rPr>
        <w:t xml:space="preserve">2012 </w:t>
      </w:r>
      <w:r w:rsidR="00996504" w:rsidRPr="0093610D">
        <w:rPr>
          <w:b/>
        </w:rPr>
        <w:t xml:space="preserve">No. </w:t>
      </w:r>
      <w:r w:rsidR="009E686B" w:rsidRPr="0093610D">
        <w:rPr>
          <w:b/>
        </w:rPr>
        <w:t>4437</w:t>
      </w:r>
      <w:r w:rsidR="002E41CE" w:rsidRPr="0093610D">
        <w:rPr>
          <w:b/>
        </w:rPr>
        <w:t xml:space="preserve"> S</w:t>
      </w:r>
      <w:r w:rsidR="00EF4C56" w:rsidRPr="0093610D">
        <w:rPr>
          <w:b/>
        </w:rPr>
        <w:t>]</w:t>
      </w:r>
    </w:p>
    <w:p w14:paraId="48F3CF9C" w14:textId="77777777" w:rsidR="002E41CE" w:rsidRPr="0093610D" w:rsidRDefault="002E41CE" w:rsidP="00AA694F">
      <w:pPr>
        <w:spacing w:line="480" w:lineRule="auto"/>
        <w:rPr>
          <w:b/>
        </w:rPr>
      </w:pPr>
      <w:r w:rsidRPr="0093610D">
        <w:rPr>
          <w:b/>
        </w:rPr>
        <w:t xml:space="preserve">BETWEEN </w:t>
      </w:r>
    </w:p>
    <w:p w14:paraId="4C707D05" w14:textId="77777777" w:rsidR="002E41CE" w:rsidRPr="0093610D" w:rsidRDefault="009E686B" w:rsidP="00AA694F">
      <w:pPr>
        <w:spacing w:line="480" w:lineRule="auto"/>
        <w:jc w:val="center"/>
        <w:rPr>
          <w:b/>
        </w:rPr>
      </w:pPr>
      <w:r w:rsidRPr="0093610D">
        <w:rPr>
          <w:b/>
        </w:rPr>
        <w:t xml:space="preserve">CABOT </w:t>
      </w:r>
      <w:r w:rsidR="007808D7" w:rsidRPr="0093610D">
        <w:rPr>
          <w:b/>
        </w:rPr>
        <w:t>FINANCIAL</w:t>
      </w:r>
      <w:r w:rsidRPr="0093610D">
        <w:rPr>
          <w:b/>
        </w:rPr>
        <w:t xml:space="preserve"> </w:t>
      </w:r>
      <w:r w:rsidR="007808D7" w:rsidRPr="0093610D">
        <w:rPr>
          <w:b/>
        </w:rPr>
        <w:t>[</w:t>
      </w:r>
      <w:r w:rsidRPr="0093610D">
        <w:rPr>
          <w:b/>
        </w:rPr>
        <w:t>IRELAND</w:t>
      </w:r>
      <w:r w:rsidR="007808D7" w:rsidRPr="0093610D">
        <w:rPr>
          <w:b/>
        </w:rPr>
        <w:t>]</w:t>
      </w:r>
      <w:r w:rsidR="00FC4226" w:rsidRPr="0093610D">
        <w:rPr>
          <w:b/>
        </w:rPr>
        <w:t xml:space="preserve"> </w:t>
      </w:r>
      <w:r w:rsidRPr="0093610D">
        <w:rPr>
          <w:b/>
        </w:rPr>
        <w:t xml:space="preserve">LIMITED </w:t>
      </w:r>
    </w:p>
    <w:p w14:paraId="1279117F" w14:textId="77777777" w:rsidR="002E41CE" w:rsidRPr="0093610D" w:rsidRDefault="002E41CE" w:rsidP="00AA694F">
      <w:pPr>
        <w:spacing w:line="480" w:lineRule="auto"/>
        <w:jc w:val="right"/>
        <w:rPr>
          <w:b/>
        </w:rPr>
      </w:pPr>
      <w:r w:rsidRPr="0093610D">
        <w:rPr>
          <w:b/>
        </w:rPr>
        <w:t xml:space="preserve">PLAINTIFF </w:t>
      </w:r>
    </w:p>
    <w:p w14:paraId="49A0DF19" w14:textId="77777777" w:rsidR="002E41CE" w:rsidRPr="0093610D" w:rsidRDefault="002E41CE" w:rsidP="00AA694F">
      <w:pPr>
        <w:spacing w:line="480" w:lineRule="auto"/>
        <w:jc w:val="center"/>
        <w:rPr>
          <w:b/>
        </w:rPr>
      </w:pPr>
      <w:r w:rsidRPr="0093610D">
        <w:rPr>
          <w:b/>
        </w:rPr>
        <w:t xml:space="preserve">AND </w:t>
      </w:r>
    </w:p>
    <w:p w14:paraId="3B9B9122" w14:textId="77777777" w:rsidR="002E41CE" w:rsidRPr="0093610D" w:rsidRDefault="009E686B" w:rsidP="00AA694F">
      <w:pPr>
        <w:spacing w:line="480" w:lineRule="auto"/>
        <w:jc w:val="center"/>
        <w:rPr>
          <w:b/>
        </w:rPr>
      </w:pPr>
      <w:r w:rsidRPr="0093610D">
        <w:rPr>
          <w:b/>
        </w:rPr>
        <w:t xml:space="preserve">DAMIEN HEFFERNAN, PATRICK </w:t>
      </w:r>
      <w:proofErr w:type="gramStart"/>
      <w:r w:rsidRPr="0093610D">
        <w:rPr>
          <w:b/>
        </w:rPr>
        <w:t>HEFFERNAN</w:t>
      </w:r>
      <w:proofErr w:type="gramEnd"/>
      <w:r w:rsidRPr="0093610D">
        <w:rPr>
          <w:b/>
        </w:rPr>
        <w:t xml:space="preserve"> AND GRANT </w:t>
      </w:r>
      <w:r w:rsidRPr="0093610D">
        <w:rPr>
          <w:b/>
          <w:bCs/>
        </w:rPr>
        <w:t>MACRE</w:t>
      </w:r>
      <w:r w:rsidR="00917AF4" w:rsidRPr="0093610D">
        <w:rPr>
          <w:b/>
          <w:bCs/>
        </w:rPr>
        <w:t>A</w:t>
      </w:r>
      <w:r w:rsidRPr="0093610D">
        <w:rPr>
          <w:b/>
          <w:bCs/>
        </w:rPr>
        <w:t xml:space="preserve"> </w:t>
      </w:r>
      <w:r w:rsidRPr="0093610D">
        <w:rPr>
          <w:b/>
        </w:rPr>
        <w:t>STATION</w:t>
      </w:r>
      <w:r w:rsidR="00917AF4" w:rsidRPr="0093610D">
        <w:rPr>
          <w:b/>
        </w:rPr>
        <w:t>E</w:t>
      </w:r>
      <w:r w:rsidRPr="0093610D">
        <w:rPr>
          <w:b/>
        </w:rPr>
        <w:t xml:space="preserve">RY LIMITED </w:t>
      </w:r>
    </w:p>
    <w:p w14:paraId="5A1B9107" w14:textId="77777777" w:rsidR="002E41CE" w:rsidRPr="0093610D" w:rsidRDefault="002E41CE" w:rsidP="00AA694F">
      <w:pPr>
        <w:spacing w:line="480" w:lineRule="auto"/>
        <w:jc w:val="right"/>
        <w:rPr>
          <w:b/>
        </w:rPr>
      </w:pPr>
      <w:r w:rsidRPr="0093610D">
        <w:rPr>
          <w:b/>
        </w:rPr>
        <w:t>DEFENDANT</w:t>
      </w:r>
      <w:r w:rsidR="009E686B" w:rsidRPr="0093610D">
        <w:rPr>
          <w:b/>
        </w:rPr>
        <w:t>S</w:t>
      </w:r>
      <w:r w:rsidRPr="0093610D">
        <w:rPr>
          <w:b/>
        </w:rPr>
        <w:t xml:space="preserve"> </w:t>
      </w:r>
    </w:p>
    <w:p w14:paraId="6E97A4EA" w14:textId="77777777" w:rsidR="002E41CE" w:rsidRPr="0093610D" w:rsidRDefault="002E41CE" w:rsidP="002E41CE">
      <w:pPr>
        <w:spacing w:line="360" w:lineRule="auto"/>
        <w:jc w:val="right"/>
        <w:rPr>
          <w:b/>
        </w:rPr>
      </w:pPr>
    </w:p>
    <w:p w14:paraId="4A9E8A03" w14:textId="77777777" w:rsidR="002E41CE" w:rsidRPr="0093610D" w:rsidRDefault="002E41CE" w:rsidP="002E41CE">
      <w:pPr>
        <w:jc w:val="right"/>
        <w:rPr>
          <w:b/>
        </w:rPr>
      </w:pPr>
    </w:p>
    <w:p w14:paraId="3F21693C" w14:textId="77777777" w:rsidR="002E41CE" w:rsidRPr="0093610D" w:rsidRDefault="009E686B" w:rsidP="00996504">
      <w:pPr>
        <w:spacing w:line="480" w:lineRule="auto"/>
        <w:jc w:val="both"/>
        <w:rPr>
          <w:b/>
          <w:u w:val="single"/>
        </w:rPr>
      </w:pPr>
      <w:r w:rsidRPr="0093610D">
        <w:rPr>
          <w:b/>
          <w:u w:val="single"/>
        </w:rPr>
        <w:t>JUDGMENT of Mr</w:t>
      </w:r>
      <w:r w:rsidR="002E41CE" w:rsidRPr="0093610D">
        <w:rPr>
          <w:b/>
          <w:u w:val="single"/>
        </w:rPr>
        <w:t xml:space="preserve">. </w:t>
      </w:r>
      <w:r w:rsidRPr="0093610D">
        <w:rPr>
          <w:b/>
          <w:u w:val="single"/>
        </w:rPr>
        <w:t xml:space="preserve">Justice Meenan </w:t>
      </w:r>
      <w:r w:rsidR="004D5F2D" w:rsidRPr="0093610D">
        <w:rPr>
          <w:b/>
          <w:u w:val="single"/>
        </w:rPr>
        <w:t>d</w:t>
      </w:r>
      <w:r w:rsidR="002E41CE" w:rsidRPr="0093610D">
        <w:rPr>
          <w:b/>
          <w:u w:val="single"/>
        </w:rPr>
        <w:t>elivered on the</w:t>
      </w:r>
      <w:r w:rsidR="00917AF4" w:rsidRPr="0093610D">
        <w:rPr>
          <w:b/>
          <w:u w:val="single"/>
        </w:rPr>
        <w:t xml:space="preserve"> 20</w:t>
      </w:r>
      <w:r w:rsidR="00917AF4" w:rsidRPr="0093610D">
        <w:rPr>
          <w:b/>
          <w:u w:val="single"/>
          <w:vertAlign w:val="superscript"/>
        </w:rPr>
        <w:t>th</w:t>
      </w:r>
      <w:r w:rsidR="00996504" w:rsidRPr="0093610D">
        <w:rPr>
          <w:b/>
          <w:u w:val="single"/>
        </w:rPr>
        <w:t xml:space="preserve"> </w:t>
      </w:r>
      <w:r w:rsidR="002E41CE" w:rsidRPr="0093610D">
        <w:rPr>
          <w:b/>
          <w:u w:val="single"/>
        </w:rPr>
        <w:t xml:space="preserve">day of </w:t>
      </w:r>
      <w:proofErr w:type="gramStart"/>
      <w:r w:rsidRPr="0093610D">
        <w:rPr>
          <w:b/>
          <w:u w:val="single"/>
        </w:rPr>
        <w:t>December</w:t>
      </w:r>
      <w:r w:rsidR="002E41CE" w:rsidRPr="0093610D">
        <w:rPr>
          <w:b/>
          <w:u w:val="single"/>
        </w:rPr>
        <w:t>,</w:t>
      </w:r>
      <w:proofErr w:type="gramEnd"/>
      <w:r w:rsidR="002E41CE" w:rsidRPr="0093610D">
        <w:rPr>
          <w:b/>
          <w:u w:val="single"/>
        </w:rPr>
        <w:t xml:space="preserve"> 2021</w:t>
      </w:r>
    </w:p>
    <w:p w14:paraId="7FCEFBF5" w14:textId="77777777" w:rsidR="002E41CE" w:rsidRPr="0093610D" w:rsidRDefault="004D5F2D" w:rsidP="00996504">
      <w:pPr>
        <w:spacing w:line="480" w:lineRule="auto"/>
        <w:jc w:val="both"/>
        <w:rPr>
          <w:b/>
          <w:u w:val="single"/>
        </w:rPr>
      </w:pPr>
      <w:r w:rsidRPr="0093610D">
        <w:rPr>
          <w:b/>
          <w:u w:val="single"/>
        </w:rPr>
        <w:t>Introduction</w:t>
      </w:r>
    </w:p>
    <w:p w14:paraId="42A4EC0D" w14:textId="77777777" w:rsidR="007818CC" w:rsidRPr="0093610D" w:rsidRDefault="004D5F2D" w:rsidP="00996504">
      <w:pPr>
        <w:pStyle w:val="ListParagraph"/>
        <w:numPr>
          <w:ilvl w:val="0"/>
          <w:numId w:val="4"/>
        </w:numPr>
        <w:spacing w:after="160" w:line="480" w:lineRule="auto"/>
        <w:jc w:val="both"/>
      </w:pPr>
      <w:r w:rsidRPr="0093610D">
        <w:t xml:space="preserve">This is an application brought by the second named defendant seeking to have the proceedings dismissed as against him for want of prosecution and/or inordinate and inexcusable delay on the part of the plaintiff. These types of application are frequently dealt with by the </w:t>
      </w:r>
      <w:proofErr w:type="gramStart"/>
      <w:r w:rsidRPr="0093610D">
        <w:t>courts</w:t>
      </w:r>
      <w:proofErr w:type="gramEnd"/>
      <w:r w:rsidRPr="0093610D">
        <w:t xml:space="preserve"> and many have a number of common features. These features include proceedings being issued close to the expiry of the relevant statutory </w:t>
      </w:r>
      <w:proofErr w:type="gramStart"/>
      <w:r w:rsidRPr="0093610D">
        <w:t>time period</w:t>
      </w:r>
      <w:proofErr w:type="gramEnd"/>
      <w:r w:rsidR="00AF5197" w:rsidRPr="0093610D">
        <w:t xml:space="preserve">, </w:t>
      </w:r>
      <w:r w:rsidRPr="0093610D">
        <w:t>followed by lengthy periods of time</w:t>
      </w:r>
      <w:r w:rsidR="00AF5197" w:rsidRPr="0093610D">
        <w:t xml:space="preserve"> in</w:t>
      </w:r>
      <w:r w:rsidRPr="0093610D">
        <w:t xml:space="preserve"> which no steps are taken to prosecute proceedings. However, this application has an unusual feature</w:t>
      </w:r>
      <w:r w:rsidR="00AF5197" w:rsidRPr="0093610D">
        <w:t xml:space="preserve">, </w:t>
      </w:r>
      <w:r w:rsidRPr="0093610D">
        <w:t xml:space="preserve">which I will set out later in this judgment. </w:t>
      </w:r>
    </w:p>
    <w:p w14:paraId="4C0086EA" w14:textId="77777777" w:rsidR="004D5F2D" w:rsidRPr="0093610D" w:rsidRDefault="004D5F2D" w:rsidP="00996504">
      <w:pPr>
        <w:pStyle w:val="ListParagraph"/>
        <w:numPr>
          <w:ilvl w:val="0"/>
          <w:numId w:val="4"/>
        </w:numPr>
        <w:spacing w:after="160" w:line="480" w:lineRule="auto"/>
        <w:jc w:val="both"/>
      </w:pPr>
      <w:r w:rsidRPr="0093610D">
        <w:t xml:space="preserve">These proceedings arise out of moneys advanced by Ulster Bank </w:t>
      </w:r>
      <w:r w:rsidR="0066347A" w:rsidRPr="0093610D">
        <w:t xml:space="preserve">Ireland </w:t>
      </w:r>
      <w:r w:rsidRPr="0093610D">
        <w:t xml:space="preserve">Ltd to the first named </w:t>
      </w:r>
      <w:r w:rsidR="00175902" w:rsidRPr="0093610D">
        <w:t>defendant</w:t>
      </w:r>
      <w:r w:rsidR="00172410" w:rsidRPr="0093610D">
        <w:t xml:space="preserve">, </w:t>
      </w:r>
      <w:r w:rsidR="00175902" w:rsidRPr="0093610D">
        <w:t>in</w:t>
      </w:r>
      <w:r w:rsidRPr="0093610D">
        <w:t xml:space="preserve"> or about 2004, to the second named defendant</w:t>
      </w:r>
      <w:r w:rsidR="00172410" w:rsidRPr="0093610D">
        <w:t xml:space="preserve">, </w:t>
      </w:r>
      <w:r w:rsidRPr="0093610D">
        <w:t xml:space="preserve">in or about </w:t>
      </w:r>
      <w:r w:rsidR="00175902" w:rsidRPr="0093610D">
        <w:t>January</w:t>
      </w:r>
      <w:r w:rsidRPr="0093610D">
        <w:t xml:space="preserve"> 2009</w:t>
      </w:r>
      <w:r w:rsidR="00172410" w:rsidRPr="0093610D">
        <w:t>,</w:t>
      </w:r>
      <w:r w:rsidR="009F01CC" w:rsidRPr="0093610D">
        <w:t xml:space="preserve"> </w:t>
      </w:r>
      <w:r w:rsidRPr="0093610D">
        <w:t xml:space="preserve">and a guarantee </w:t>
      </w:r>
      <w:proofErr w:type="gramStart"/>
      <w:r w:rsidRPr="0093610D">
        <w:t>entered into</w:t>
      </w:r>
      <w:proofErr w:type="gramEnd"/>
      <w:r w:rsidRPr="0093610D">
        <w:t xml:space="preserve"> by the second named defendant</w:t>
      </w:r>
      <w:r w:rsidR="00172410" w:rsidRPr="0093610D">
        <w:t xml:space="preserve">, </w:t>
      </w:r>
      <w:r w:rsidRPr="0093610D">
        <w:t xml:space="preserve">in or about May 2006. The amount which the plaintiff seeks to recover from the second named defendant is a sum of money in the order of some €2.5 million. </w:t>
      </w:r>
    </w:p>
    <w:p w14:paraId="4B4490D4" w14:textId="77777777" w:rsidR="004D5F2D" w:rsidRPr="0093610D" w:rsidRDefault="004D5F2D" w:rsidP="00996504">
      <w:pPr>
        <w:pStyle w:val="ListParagraph"/>
        <w:numPr>
          <w:ilvl w:val="0"/>
          <w:numId w:val="4"/>
        </w:numPr>
        <w:spacing w:after="160" w:line="480" w:lineRule="auto"/>
        <w:jc w:val="both"/>
      </w:pPr>
      <w:r w:rsidRPr="0093610D">
        <w:lastRenderedPageBreak/>
        <w:t xml:space="preserve">Proceedings were commenced by Ulster Bank </w:t>
      </w:r>
      <w:r w:rsidR="0066347A" w:rsidRPr="0093610D">
        <w:t xml:space="preserve">Ireland </w:t>
      </w:r>
      <w:r w:rsidRPr="0093610D">
        <w:t>Ltd by summary summons dated 27 November 2012. In January 2016</w:t>
      </w:r>
      <w:r w:rsidR="0066347A" w:rsidRPr="0093610D">
        <w:t xml:space="preserve">, </w:t>
      </w:r>
      <w:r w:rsidRPr="0093610D">
        <w:t>Ulster Bank</w:t>
      </w:r>
      <w:r w:rsidR="0066347A" w:rsidRPr="0093610D">
        <w:t xml:space="preserve"> Ireland</w:t>
      </w:r>
      <w:r w:rsidRPr="0093610D">
        <w:t xml:space="preserve"> Ltd transferred the loan and guarantee to Cabot Asset Purchases (Ireland) Ltd. and new solicitors came on record. Subsequently</w:t>
      </w:r>
      <w:r w:rsidR="0024691B" w:rsidRPr="0093610D">
        <w:t xml:space="preserve">, </w:t>
      </w:r>
      <w:r w:rsidRPr="0093610D">
        <w:t>in May 2019</w:t>
      </w:r>
      <w:r w:rsidR="0024691B" w:rsidRPr="0093610D">
        <w:t xml:space="preserve">, </w:t>
      </w:r>
      <w:r w:rsidRPr="0093610D">
        <w:t>the loan and guarantee w</w:t>
      </w:r>
      <w:r w:rsidR="0024691B" w:rsidRPr="0093610D">
        <w:t>ere</w:t>
      </w:r>
      <w:r w:rsidRPr="0093610D">
        <w:t xml:space="preserve"> transferred to the plaintiff. Though the loan and guarantee w</w:t>
      </w:r>
      <w:r w:rsidR="0024691B" w:rsidRPr="0093610D">
        <w:t>ere</w:t>
      </w:r>
      <w:r w:rsidRPr="0093610D">
        <w:t xml:space="preserve"> transferred to the plaintiff</w:t>
      </w:r>
      <w:r w:rsidR="0024691B" w:rsidRPr="0093610D">
        <w:t>,</w:t>
      </w:r>
      <w:r w:rsidR="00FF0B69" w:rsidRPr="0093610D">
        <w:t xml:space="preserve"> </w:t>
      </w:r>
      <w:r w:rsidRPr="0093610D">
        <w:t xml:space="preserve">the file and information concerning the prosecution of these proceedings was clearly not transferred from Ulster Bank </w:t>
      </w:r>
      <w:r w:rsidR="002A444A" w:rsidRPr="0093610D">
        <w:t xml:space="preserve">Ireland </w:t>
      </w:r>
      <w:r w:rsidR="00175902" w:rsidRPr="0093610D">
        <w:t>Ltd.’s</w:t>
      </w:r>
      <w:r w:rsidRPr="0093610D">
        <w:t xml:space="preserve"> then solicitor to the solicitors who are on record for the plaintiff. This has led to a situation which, as will become apparent, is unacceptable.</w:t>
      </w:r>
    </w:p>
    <w:p w14:paraId="2074FC58" w14:textId="77777777" w:rsidR="004D5F2D" w:rsidRPr="0093610D" w:rsidRDefault="004D5F2D" w:rsidP="00996504">
      <w:pPr>
        <w:pStyle w:val="ListParagraph"/>
        <w:spacing w:after="160" w:line="480" w:lineRule="auto"/>
        <w:ind w:left="0"/>
        <w:jc w:val="both"/>
        <w:rPr>
          <w:b/>
          <w:u w:val="single"/>
        </w:rPr>
      </w:pPr>
      <w:r w:rsidRPr="0093610D">
        <w:rPr>
          <w:b/>
          <w:u w:val="single"/>
        </w:rPr>
        <w:t>The claim</w:t>
      </w:r>
    </w:p>
    <w:p w14:paraId="430181F4" w14:textId="77777777" w:rsidR="00E52F09" w:rsidRPr="0093610D" w:rsidRDefault="00E52F09" w:rsidP="00996504">
      <w:pPr>
        <w:pStyle w:val="ListParagraph"/>
        <w:numPr>
          <w:ilvl w:val="0"/>
          <w:numId w:val="4"/>
        </w:numPr>
        <w:spacing w:after="160" w:line="480" w:lineRule="auto"/>
        <w:jc w:val="both"/>
      </w:pPr>
      <w:r w:rsidRPr="0093610D">
        <w:t xml:space="preserve">The basis for the claim against the second named defendant is set out in </w:t>
      </w:r>
      <w:r w:rsidR="0021657E" w:rsidRPr="0093610D">
        <w:t>a</w:t>
      </w:r>
      <w:r w:rsidRPr="0093610D">
        <w:t xml:space="preserve"> grounding affidavit of Mr. </w:t>
      </w:r>
      <w:r w:rsidR="002A444A" w:rsidRPr="0093610D">
        <w:t>C</w:t>
      </w:r>
      <w:r w:rsidRPr="0093610D">
        <w:t>arl McCandless of Ulster Bank</w:t>
      </w:r>
      <w:r w:rsidR="002A444A" w:rsidRPr="0093610D">
        <w:t xml:space="preserve"> Ireland</w:t>
      </w:r>
      <w:r w:rsidRPr="0093610D">
        <w:t xml:space="preserve"> Ltd, sworn 1 </w:t>
      </w:r>
      <w:r w:rsidR="00175902" w:rsidRPr="0093610D">
        <w:t>February</w:t>
      </w:r>
      <w:r w:rsidRPr="0093610D">
        <w:t xml:space="preserve"> 2013. </w:t>
      </w:r>
      <w:proofErr w:type="gramStart"/>
      <w:r w:rsidRPr="0093610D">
        <w:t>In the course of</w:t>
      </w:r>
      <w:proofErr w:type="gramEnd"/>
      <w:r w:rsidRPr="0093610D">
        <w:t xml:space="preserve"> this affidavit Mr. McCandless states that the second named defendant signed a guarantee in writing</w:t>
      </w:r>
      <w:r w:rsidR="0021657E" w:rsidRPr="0093610D">
        <w:t xml:space="preserve">, </w:t>
      </w:r>
      <w:r w:rsidRPr="0093610D">
        <w:t>dated 26 May 2006</w:t>
      </w:r>
      <w:r w:rsidR="0021657E" w:rsidRPr="0093610D">
        <w:t xml:space="preserve">, </w:t>
      </w:r>
      <w:r w:rsidRPr="0093610D">
        <w:t xml:space="preserve">whereby the second named defendant guaranteed payment to the plaintiff of all present or future liabilities of the first named </w:t>
      </w:r>
      <w:r w:rsidR="00175902" w:rsidRPr="0093610D">
        <w:t>defendant to</w:t>
      </w:r>
      <w:r w:rsidRPr="0093610D">
        <w:t xml:space="preserve"> a sum not in excess of €2,250,000. Further, he states that pursuant to a facility letter</w:t>
      </w:r>
      <w:r w:rsidR="0021657E" w:rsidRPr="0093610D">
        <w:t xml:space="preserve">, </w:t>
      </w:r>
      <w:r w:rsidRPr="0093610D">
        <w:t xml:space="preserve">dated 21 </w:t>
      </w:r>
      <w:r w:rsidR="00175902" w:rsidRPr="0093610D">
        <w:t>January</w:t>
      </w:r>
      <w:r w:rsidRPr="0093610D">
        <w:t xml:space="preserve"> 2009</w:t>
      </w:r>
      <w:r w:rsidR="0021657E" w:rsidRPr="0093610D">
        <w:t xml:space="preserve">, </w:t>
      </w:r>
      <w:r w:rsidRPr="0093610D">
        <w:t>Ulster Bank</w:t>
      </w:r>
      <w:r w:rsidR="0021657E" w:rsidRPr="0093610D">
        <w:t xml:space="preserve"> Ireland</w:t>
      </w:r>
      <w:r w:rsidRPr="0093610D">
        <w:t xml:space="preserve"> Ltd provided a loan facility to both the first named and the second named defendants in the amount of €2,386,000 for the purpose of restructuring an existing facility. The alleged breach of the facility letter</w:t>
      </w:r>
      <w:r w:rsidR="0021657E" w:rsidRPr="0093610D">
        <w:t xml:space="preserve"> is that</w:t>
      </w:r>
      <w:r w:rsidRPr="0093610D">
        <w:t xml:space="preserve"> the first and second named defendant failed to make the payments and</w:t>
      </w:r>
      <w:r w:rsidR="0021657E" w:rsidRPr="0093610D">
        <w:t xml:space="preserve">, </w:t>
      </w:r>
      <w:r w:rsidRPr="0093610D">
        <w:t>as of 4 September 2012</w:t>
      </w:r>
      <w:r w:rsidR="0021657E" w:rsidRPr="0093610D">
        <w:t xml:space="preserve">, </w:t>
      </w:r>
      <w:r w:rsidRPr="0093610D">
        <w:t xml:space="preserve">there was an amount due by the </w:t>
      </w:r>
      <w:r w:rsidR="0021657E" w:rsidRPr="0093610D">
        <w:t xml:space="preserve">first and </w:t>
      </w:r>
      <w:r w:rsidRPr="0093610D">
        <w:t>second named defendant</w:t>
      </w:r>
      <w:r w:rsidR="0021657E" w:rsidRPr="0093610D">
        <w:t>s</w:t>
      </w:r>
      <w:r w:rsidRPr="0093610D">
        <w:t xml:space="preserve"> to Ulster Bank</w:t>
      </w:r>
      <w:r w:rsidR="0021657E" w:rsidRPr="0093610D">
        <w:t xml:space="preserve"> Ireland</w:t>
      </w:r>
      <w:r w:rsidRPr="0093610D">
        <w:t xml:space="preserve"> Ltd of €2,515,133.</w:t>
      </w:r>
    </w:p>
    <w:p w14:paraId="2BE33A25" w14:textId="77777777" w:rsidR="00E52F09" w:rsidRPr="0093610D" w:rsidRDefault="00E52F09" w:rsidP="00996504">
      <w:pPr>
        <w:pStyle w:val="ListParagraph"/>
        <w:numPr>
          <w:ilvl w:val="0"/>
          <w:numId w:val="4"/>
        </w:numPr>
        <w:spacing w:after="160" w:line="480" w:lineRule="auto"/>
        <w:jc w:val="both"/>
      </w:pPr>
      <w:r w:rsidRPr="0093610D">
        <w:t>In a replying affidavit</w:t>
      </w:r>
      <w:r w:rsidR="0021657E" w:rsidRPr="0093610D">
        <w:t xml:space="preserve">, </w:t>
      </w:r>
      <w:r w:rsidRPr="0093610D">
        <w:t>sworn by the second named defendant on 17 June 2013</w:t>
      </w:r>
      <w:r w:rsidR="0021657E" w:rsidRPr="0093610D">
        <w:t xml:space="preserve">, </w:t>
      </w:r>
      <w:r w:rsidRPr="0093610D">
        <w:t>he sets out the background to these commercial transactions. The first named defendant, who is the son of the second named defendant</w:t>
      </w:r>
      <w:r w:rsidR="0021657E" w:rsidRPr="0093610D">
        <w:t xml:space="preserve">, </w:t>
      </w:r>
      <w:r w:rsidRPr="0093610D">
        <w:t>became involved in property speculation financed by Ulster Bank</w:t>
      </w:r>
      <w:r w:rsidR="001728A8" w:rsidRPr="0093610D">
        <w:t xml:space="preserve"> Ireland</w:t>
      </w:r>
      <w:r w:rsidRPr="0093610D">
        <w:t xml:space="preserve"> Ltd. </w:t>
      </w:r>
      <w:proofErr w:type="gramStart"/>
      <w:r w:rsidRPr="0093610D">
        <w:t>It would appear that a</w:t>
      </w:r>
      <w:proofErr w:type="gramEnd"/>
      <w:r w:rsidRPr="0093610D">
        <w:t xml:space="preserve"> number of property purchases by the first named </w:t>
      </w:r>
      <w:r w:rsidR="00175902" w:rsidRPr="0093610D">
        <w:t>defendant were</w:t>
      </w:r>
      <w:r w:rsidRPr="0093610D">
        <w:t xml:space="preserve"> imprudent</w:t>
      </w:r>
      <w:r w:rsidR="001728A8" w:rsidRPr="0093610D">
        <w:t xml:space="preserve">, </w:t>
      </w:r>
      <w:r w:rsidRPr="0093610D">
        <w:t xml:space="preserve">resulting in the first named </w:t>
      </w:r>
      <w:r w:rsidR="00175902" w:rsidRPr="0093610D">
        <w:t>defendant getting</w:t>
      </w:r>
      <w:r w:rsidRPr="0093610D">
        <w:t xml:space="preserve"> into financial </w:t>
      </w:r>
      <w:r w:rsidRPr="0093610D">
        <w:lastRenderedPageBreak/>
        <w:t xml:space="preserve">difficulty. The second named defendant states that he entered into the loan agreement of 21 January 2009 under duress. He further states: </w:t>
      </w:r>
      <w:r w:rsidR="002F23A5" w:rsidRPr="0093610D">
        <w:t>-</w:t>
      </w:r>
    </w:p>
    <w:p w14:paraId="473A6260" w14:textId="77777777" w:rsidR="00E52F09" w:rsidRPr="0093610D" w:rsidRDefault="00E52F09" w:rsidP="00996504">
      <w:pPr>
        <w:pStyle w:val="ListParagraph"/>
        <w:spacing w:after="160" w:line="480" w:lineRule="auto"/>
        <w:jc w:val="both"/>
      </w:pPr>
      <w:r w:rsidRPr="0093610D">
        <w:t>“</w:t>
      </w:r>
      <w:r w:rsidR="002F23A5" w:rsidRPr="0093610D">
        <w:t>…</w:t>
      </w:r>
      <w:r w:rsidR="003E4A13" w:rsidRPr="0093610D">
        <w:t xml:space="preserve"> </w:t>
      </w:r>
      <w:r w:rsidRPr="0093610D">
        <w:t>Moreover, I can tell the</w:t>
      </w:r>
      <w:r w:rsidR="002F23A5" w:rsidRPr="0093610D">
        <w:t xml:space="preserve"> C</w:t>
      </w:r>
      <w:r w:rsidRPr="0093610D">
        <w:t>ourt</w:t>
      </w:r>
      <w:r w:rsidR="002F23A5" w:rsidRPr="0093610D">
        <w:t xml:space="preserve"> </w:t>
      </w:r>
      <w:r w:rsidRPr="0093610D">
        <w:t xml:space="preserve">that I did so in circumstances where there was undue influence being imposed upon me by my son and I am advised that this affords me a defence to these proceedings in circumstances where the </w:t>
      </w:r>
      <w:r w:rsidR="002F23A5" w:rsidRPr="0093610D">
        <w:t>P</w:t>
      </w:r>
      <w:r w:rsidRPr="0093610D">
        <w:t xml:space="preserve">laintiff </w:t>
      </w:r>
      <w:r w:rsidR="002F23A5" w:rsidRPr="0093610D">
        <w:t>[</w:t>
      </w:r>
      <w:r w:rsidRPr="0093610D">
        <w:t xml:space="preserve">Ulster Bank </w:t>
      </w:r>
      <w:r w:rsidR="002F23A5" w:rsidRPr="0093610D">
        <w:t xml:space="preserve">Ireland </w:t>
      </w:r>
      <w:r w:rsidRPr="0093610D">
        <w:t>Ltd</w:t>
      </w:r>
      <w:r w:rsidR="002F23A5" w:rsidRPr="0093610D">
        <w:t>]</w:t>
      </w:r>
      <w:r w:rsidR="00DB7279" w:rsidRPr="0093610D">
        <w:t xml:space="preserve"> </w:t>
      </w:r>
      <w:r w:rsidRPr="0093610D">
        <w:t>was on constructive notice of such undue influence and failed to provide me with any information and/or advice in relation to the proposed loan nor did it seek to put any safeguards in place.”</w:t>
      </w:r>
    </w:p>
    <w:p w14:paraId="25DCDAE9" w14:textId="77777777" w:rsidR="00E52F09" w:rsidRPr="0093610D" w:rsidRDefault="00E52F09" w:rsidP="00996504">
      <w:pPr>
        <w:spacing w:after="160" w:line="480" w:lineRule="auto"/>
        <w:jc w:val="both"/>
      </w:pPr>
      <w:r w:rsidRPr="0093610D">
        <w:t xml:space="preserve">The second named defendant makes out a similar defence in respect of the guarantee. </w:t>
      </w:r>
    </w:p>
    <w:p w14:paraId="24C6F4E9" w14:textId="77777777" w:rsidR="00E52F09" w:rsidRPr="0093610D" w:rsidRDefault="00E52F09" w:rsidP="00996504">
      <w:pPr>
        <w:pStyle w:val="ListParagraph"/>
        <w:numPr>
          <w:ilvl w:val="0"/>
          <w:numId w:val="4"/>
        </w:numPr>
        <w:spacing w:after="160" w:line="480" w:lineRule="auto"/>
        <w:jc w:val="both"/>
      </w:pPr>
      <w:proofErr w:type="gramStart"/>
      <w:r w:rsidRPr="0093610D">
        <w:t>In the course of</w:t>
      </w:r>
      <w:proofErr w:type="gramEnd"/>
      <w:r w:rsidRPr="0093610D">
        <w:t xml:space="preserve"> the said affidavit</w:t>
      </w:r>
      <w:r w:rsidR="00372996" w:rsidRPr="0093610D">
        <w:t xml:space="preserve">, </w:t>
      </w:r>
      <w:r w:rsidRPr="0093610D">
        <w:t xml:space="preserve">the second named defendant identifies a Mr. Paul O’Reilly, an employee of Ulster Bank </w:t>
      </w:r>
      <w:r w:rsidR="00C160B0" w:rsidRPr="0093610D">
        <w:t xml:space="preserve">Ireland </w:t>
      </w:r>
      <w:r w:rsidRPr="0093610D">
        <w:t xml:space="preserve">Ltd, as being the official dealing with both the loan and guarantee. The second named defendant gives an account of his various meetings with Mr. O’Reilly and where they took place. The second named defendant’s account and </w:t>
      </w:r>
      <w:r w:rsidR="00175902" w:rsidRPr="0093610D">
        <w:t>characterisation</w:t>
      </w:r>
      <w:r w:rsidRPr="0093610D">
        <w:t xml:space="preserve"> of the various transactions is denied in an affidavit of Mr. Paul O’Reilly</w:t>
      </w:r>
      <w:r w:rsidR="005F7F43" w:rsidRPr="0093610D">
        <w:t xml:space="preserve">, </w:t>
      </w:r>
      <w:r w:rsidRPr="0093610D">
        <w:t>sworn 24 September 2013. There was an exchange of further affidavits of the second named defendant and Mr. Paul O’Reilly</w:t>
      </w:r>
      <w:r w:rsidR="005F7F43" w:rsidRPr="0093610D">
        <w:t xml:space="preserve">, </w:t>
      </w:r>
      <w:r w:rsidRPr="0093610D">
        <w:t xml:space="preserve">which concluded in an affidavit sworn by Mr. O’Reilly on 26 May 2014. </w:t>
      </w:r>
    </w:p>
    <w:p w14:paraId="7FAE676E" w14:textId="77777777" w:rsidR="00E52F09" w:rsidRPr="0093610D" w:rsidRDefault="00E52F09" w:rsidP="00996504">
      <w:pPr>
        <w:pStyle w:val="ListParagraph"/>
        <w:spacing w:after="160" w:line="480" w:lineRule="auto"/>
        <w:ind w:left="0"/>
        <w:jc w:val="both"/>
        <w:rPr>
          <w:b/>
          <w:u w:val="single"/>
        </w:rPr>
      </w:pPr>
      <w:r w:rsidRPr="0093610D">
        <w:rPr>
          <w:b/>
          <w:u w:val="single"/>
        </w:rPr>
        <w:t>Chronology of proceedings</w:t>
      </w:r>
    </w:p>
    <w:p w14:paraId="60C2F087" w14:textId="77777777" w:rsidR="005F7F43" w:rsidRPr="0093610D" w:rsidRDefault="005F7F43" w:rsidP="005F7F43">
      <w:pPr>
        <w:pStyle w:val="ListParagraph"/>
        <w:numPr>
          <w:ilvl w:val="0"/>
          <w:numId w:val="4"/>
        </w:numPr>
        <w:spacing w:after="160" w:line="480" w:lineRule="auto"/>
        <w:jc w:val="both"/>
      </w:pPr>
      <w:r w:rsidRPr="0093610D">
        <w:t>The chronology is as follows: -</w:t>
      </w:r>
    </w:p>
    <w:p w14:paraId="319257C4" w14:textId="77777777" w:rsidR="005F7F43" w:rsidRPr="0093610D" w:rsidRDefault="005C39ED" w:rsidP="00670818">
      <w:pPr>
        <w:pStyle w:val="ListParagraph"/>
        <w:numPr>
          <w:ilvl w:val="0"/>
          <w:numId w:val="8"/>
        </w:numPr>
        <w:spacing w:after="160" w:line="480" w:lineRule="auto"/>
        <w:ind w:left="1080"/>
        <w:jc w:val="both"/>
      </w:pPr>
      <w:r w:rsidRPr="0093610D">
        <w:t>27 November 2012</w:t>
      </w:r>
      <w:r w:rsidR="005F7F43" w:rsidRPr="0093610D">
        <w:t>:</w:t>
      </w:r>
      <w:r w:rsidRPr="0093610D">
        <w:t xml:space="preserve"> summary summons </w:t>
      </w:r>
      <w:proofErr w:type="gramStart"/>
      <w:r w:rsidRPr="0093610D">
        <w:t>issued</w:t>
      </w:r>
      <w:r w:rsidR="005F7F43" w:rsidRPr="0093610D">
        <w:t>;</w:t>
      </w:r>
      <w:proofErr w:type="gramEnd"/>
    </w:p>
    <w:p w14:paraId="563DC32F" w14:textId="77777777" w:rsidR="005F7F43" w:rsidRPr="0093610D" w:rsidRDefault="005C39ED" w:rsidP="00670818">
      <w:pPr>
        <w:pStyle w:val="ListParagraph"/>
        <w:numPr>
          <w:ilvl w:val="0"/>
          <w:numId w:val="8"/>
        </w:numPr>
        <w:spacing w:after="160" w:line="480" w:lineRule="auto"/>
        <w:ind w:left="1080"/>
        <w:jc w:val="both"/>
      </w:pPr>
      <w:r w:rsidRPr="0093610D">
        <w:t>1 February 2013</w:t>
      </w:r>
      <w:r w:rsidR="005F7F43" w:rsidRPr="0093610D">
        <w:t>:</w:t>
      </w:r>
      <w:r w:rsidRPr="0093610D">
        <w:t xml:space="preserve"> motion for judgment </w:t>
      </w:r>
      <w:proofErr w:type="gramStart"/>
      <w:r w:rsidRPr="0093610D">
        <w:t>issues</w:t>
      </w:r>
      <w:r w:rsidR="005F7F43" w:rsidRPr="0093610D">
        <w:t>;</w:t>
      </w:r>
      <w:proofErr w:type="gramEnd"/>
    </w:p>
    <w:p w14:paraId="1A75B8C5" w14:textId="77777777" w:rsidR="005F7F43" w:rsidRPr="0093610D" w:rsidRDefault="005C39ED" w:rsidP="00670818">
      <w:pPr>
        <w:pStyle w:val="ListParagraph"/>
        <w:numPr>
          <w:ilvl w:val="0"/>
          <w:numId w:val="8"/>
        </w:numPr>
        <w:spacing w:after="160" w:line="480" w:lineRule="auto"/>
        <w:ind w:left="1080"/>
        <w:jc w:val="both"/>
      </w:pPr>
      <w:r w:rsidRPr="0093610D">
        <w:t>11 February 2013</w:t>
      </w:r>
      <w:r w:rsidR="005F7F43" w:rsidRPr="0093610D">
        <w:t>:</w:t>
      </w:r>
      <w:r w:rsidRPr="0093610D">
        <w:t xml:space="preserve"> </w:t>
      </w:r>
      <w:r w:rsidR="005F7F43" w:rsidRPr="0093610D">
        <w:t>O</w:t>
      </w:r>
      <w:r w:rsidRPr="0093610D">
        <w:t xml:space="preserve">rder of Kelly J. refusing to admit the proceedings into the </w:t>
      </w:r>
      <w:r w:rsidR="005F7F43" w:rsidRPr="0093610D">
        <w:t>C</w:t>
      </w:r>
      <w:r w:rsidRPr="0093610D">
        <w:t xml:space="preserve">ommercial </w:t>
      </w:r>
      <w:proofErr w:type="gramStart"/>
      <w:r w:rsidR="005F7F43" w:rsidRPr="0093610D">
        <w:t>L</w:t>
      </w:r>
      <w:r w:rsidRPr="0093610D">
        <w:t>ist</w:t>
      </w:r>
      <w:r w:rsidR="005F7F43" w:rsidRPr="0093610D">
        <w:t>;</w:t>
      </w:r>
      <w:proofErr w:type="gramEnd"/>
      <w:r w:rsidR="005F7F43" w:rsidRPr="0093610D">
        <w:t xml:space="preserve"> </w:t>
      </w:r>
    </w:p>
    <w:p w14:paraId="313E171D" w14:textId="77777777" w:rsidR="005F7F43" w:rsidRPr="0093610D" w:rsidRDefault="005C39ED" w:rsidP="00670818">
      <w:pPr>
        <w:pStyle w:val="ListParagraph"/>
        <w:numPr>
          <w:ilvl w:val="0"/>
          <w:numId w:val="8"/>
        </w:numPr>
        <w:spacing w:after="160" w:line="480" w:lineRule="auto"/>
        <w:ind w:left="1080"/>
        <w:jc w:val="both"/>
      </w:pPr>
      <w:r w:rsidRPr="0093610D">
        <w:t>16 April 2013</w:t>
      </w:r>
      <w:r w:rsidR="005F7F43" w:rsidRPr="0093610D">
        <w:t>:</w:t>
      </w:r>
      <w:r w:rsidRPr="0093610D">
        <w:t xml:space="preserve"> motion for judgment first listed in the Master’s </w:t>
      </w:r>
      <w:proofErr w:type="gramStart"/>
      <w:r w:rsidRPr="0093610D">
        <w:t>Court</w:t>
      </w:r>
      <w:r w:rsidR="005F7F43" w:rsidRPr="0093610D">
        <w:t>;</w:t>
      </w:r>
      <w:proofErr w:type="gramEnd"/>
    </w:p>
    <w:p w14:paraId="36097A32" w14:textId="77777777" w:rsidR="005F7F43" w:rsidRPr="0093610D" w:rsidRDefault="005C39ED" w:rsidP="00670818">
      <w:pPr>
        <w:pStyle w:val="ListParagraph"/>
        <w:numPr>
          <w:ilvl w:val="0"/>
          <w:numId w:val="8"/>
        </w:numPr>
        <w:spacing w:after="160" w:line="480" w:lineRule="auto"/>
        <w:ind w:left="1080"/>
        <w:jc w:val="both"/>
      </w:pPr>
      <w:r w:rsidRPr="0093610D">
        <w:lastRenderedPageBreak/>
        <w:t>14 May 2013 – 3 June 2014</w:t>
      </w:r>
      <w:r w:rsidR="005F7F43" w:rsidRPr="0093610D">
        <w:t>:</w:t>
      </w:r>
      <w:r w:rsidRPr="0093610D">
        <w:t xml:space="preserve"> motion for judgment adjourned from time to time to facilitate </w:t>
      </w:r>
      <w:r w:rsidR="005F7F43" w:rsidRPr="0093610D">
        <w:t xml:space="preserve">an </w:t>
      </w:r>
      <w:r w:rsidRPr="0093610D">
        <w:t xml:space="preserve">exchange of </w:t>
      </w:r>
      <w:proofErr w:type="gramStart"/>
      <w:r w:rsidRPr="0093610D">
        <w:t>affidavits</w:t>
      </w:r>
      <w:r w:rsidR="005F7F43" w:rsidRPr="0093610D">
        <w:t>;</w:t>
      </w:r>
      <w:proofErr w:type="gramEnd"/>
    </w:p>
    <w:p w14:paraId="24A18EA8" w14:textId="77777777" w:rsidR="00644C51" w:rsidRPr="0093610D" w:rsidRDefault="005C39ED" w:rsidP="00670818">
      <w:pPr>
        <w:pStyle w:val="ListParagraph"/>
        <w:numPr>
          <w:ilvl w:val="0"/>
          <w:numId w:val="8"/>
        </w:numPr>
        <w:spacing w:after="160" w:line="480" w:lineRule="auto"/>
        <w:ind w:left="1080"/>
        <w:jc w:val="both"/>
      </w:pPr>
      <w:r w:rsidRPr="0093610D">
        <w:t>8 July 2014</w:t>
      </w:r>
      <w:r w:rsidR="005F7F43" w:rsidRPr="0093610D">
        <w:t>:</w:t>
      </w:r>
      <w:r w:rsidRPr="0093610D">
        <w:t xml:space="preserve"> motion transferred to </w:t>
      </w:r>
      <w:r w:rsidR="005F7F43" w:rsidRPr="0093610D">
        <w:t>Common Law List</w:t>
      </w:r>
      <w:r w:rsidRPr="0093610D">
        <w:t xml:space="preserve"> by </w:t>
      </w:r>
      <w:proofErr w:type="gramStart"/>
      <w:r w:rsidRPr="0093610D">
        <w:t>Master</w:t>
      </w:r>
      <w:r w:rsidR="005F7F43" w:rsidRPr="0093610D">
        <w:t>;</w:t>
      </w:r>
      <w:proofErr w:type="gramEnd"/>
    </w:p>
    <w:p w14:paraId="64EA893D" w14:textId="77777777" w:rsidR="00644C51" w:rsidRPr="0093610D" w:rsidRDefault="005C39ED" w:rsidP="00670818">
      <w:pPr>
        <w:pStyle w:val="ListParagraph"/>
        <w:numPr>
          <w:ilvl w:val="0"/>
          <w:numId w:val="8"/>
        </w:numPr>
        <w:spacing w:after="160" w:line="480" w:lineRule="auto"/>
        <w:ind w:left="1080"/>
        <w:jc w:val="both"/>
      </w:pPr>
      <w:r w:rsidRPr="0093610D">
        <w:t>22 October 2014</w:t>
      </w:r>
      <w:r w:rsidR="00644C51" w:rsidRPr="0093610D">
        <w:t>:</w:t>
      </w:r>
      <w:r w:rsidRPr="0093610D">
        <w:t xml:space="preserve"> motion listed for mention in </w:t>
      </w:r>
      <w:r w:rsidR="00175902" w:rsidRPr="0093610D">
        <w:t>Non-Jury</w:t>
      </w:r>
      <w:r w:rsidRPr="0093610D">
        <w:t xml:space="preserve"> </w:t>
      </w:r>
      <w:r w:rsidR="00644C51" w:rsidRPr="0093610D">
        <w:t>L</w:t>
      </w:r>
      <w:r w:rsidRPr="0093610D">
        <w:t xml:space="preserve">ist and hearing date </w:t>
      </w:r>
      <w:proofErr w:type="gramStart"/>
      <w:r w:rsidRPr="0093610D">
        <w:t>fixed</w:t>
      </w:r>
      <w:r w:rsidR="00644C51" w:rsidRPr="0093610D">
        <w:t>;</w:t>
      </w:r>
      <w:proofErr w:type="gramEnd"/>
      <w:r w:rsidRPr="0093610D">
        <w:t xml:space="preserve"> </w:t>
      </w:r>
    </w:p>
    <w:p w14:paraId="149FCA92" w14:textId="77777777" w:rsidR="00F570D0" w:rsidRPr="0093610D" w:rsidRDefault="005C39ED" w:rsidP="00670818">
      <w:pPr>
        <w:pStyle w:val="ListParagraph"/>
        <w:numPr>
          <w:ilvl w:val="0"/>
          <w:numId w:val="8"/>
        </w:numPr>
        <w:spacing w:after="160" w:line="480" w:lineRule="auto"/>
        <w:ind w:left="1080"/>
        <w:jc w:val="both"/>
      </w:pPr>
      <w:r w:rsidRPr="0093610D">
        <w:t xml:space="preserve">26 </w:t>
      </w:r>
      <w:r w:rsidR="00175902" w:rsidRPr="0093610D">
        <w:t>January</w:t>
      </w:r>
      <w:r w:rsidRPr="0093610D">
        <w:t xml:space="preserve"> 2015</w:t>
      </w:r>
      <w:r w:rsidR="00F570D0" w:rsidRPr="0093610D">
        <w:t>:</w:t>
      </w:r>
      <w:r w:rsidRPr="0093610D">
        <w:t xml:space="preserve"> matter listed for hearing before </w:t>
      </w:r>
      <w:proofErr w:type="spellStart"/>
      <w:r w:rsidRPr="0093610D">
        <w:t>Hedigan</w:t>
      </w:r>
      <w:proofErr w:type="spellEnd"/>
      <w:r w:rsidRPr="0093610D">
        <w:t xml:space="preserve"> J. but adjourned for hearing to 20 April </w:t>
      </w:r>
      <w:proofErr w:type="gramStart"/>
      <w:r w:rsidRPr="0093610D">
        <w:t>2015</w:t>
      </w:r>
      <w:r w:rsidR="00F570D0" w:rsidRPr="0093610D">
        <w:t>;</w:t>
      </w:r>
      <w:proofErr w:type="gramEnd"/>
      <w:r w:rsidRPr="0093610D">
        <w:t xml:space="preserve"> </w:t>
      </w:r>
    </w:p>
    <w:p w14:paraId="512AFB9C" w14:textId="77777777" w:rsidR="000F018B" w:rsidRPr="0093610D" w:rsidRDefault="005C39ED" w:rsidP="00670818">
      <w:pPr>
        <w:pStyle w:val="ListParagraph"/>
        <w:numPr>
          <w:ilvl w:val="0"/>
          <w:numId w:val="8"/>
        </w:numPr>
        <w:spacing w:after="160" w:line="480" w:lineRule="auto"/>
        <w:ind w:left="1080"/>
        <w:jc w:val="both"/>
      </w:pPr>
      <w:r w:rsidRPr="0093610D">
        <w:t>20 April 2015</w:t>
      </w:r>
      <w:r w:rsidR="00F570D0" w:rsidRPr="0093610D">
        <w:t>:</w:t>
      </w:r>
      <w:r w:rsidRPr="0093610D">
        <w:t xml:space="preserve"> hearing </w:t>
      </w:r>
      <w:proofErr w:type="gramStart"/>
      <w:r w:rsidRPr="0093610D">
        <w:t>adjourned</w:t>
      </w:r>
      <w:r w:rsidR="00F570D0" w:rsidRPr="0093610D">
        <w:t>;</w:t>
      </w:r>
      <w:proofErr w:type="gramEnd"/>
    </w:p>
    <w:p w14:paraId="79036ED4" w14:textId="77777777" w:rsidR="000F018B" w:rsidRPr="0093610D" w:rsidRDefault="005C39ED" w:rsidP="00670818">
      <w:pPr>
        <w:pStyle w:val="ListParagraph"/>
        <w:numPr>
          <w:ilvl w:val="0"/>
          <w:numId w:val="8"/>
        </w:numPr>
        <w:spacing w:after="160" w:line="480" w:lineRule="auto"/>
        <w:ind w:left="1080"/>
        <w:jc w:val="both"/>
      </w:pPr>
      <w:r w:rsidRPr="0093610D">
        <w:t>13 July 2015</w:t>
      </w:r>
      <w:r w:rsidR="000F018B" w:rsidRPr="0093610D">
        <w:t>:</w:t>
      </w:r>
      <w:r w:rsidRPr="0093610D">
        <w:t xml:space="preserve"> hearing </w:t>
      </w:r>
      <w:proofErr w:type="gramStart"/>
      <w:r w:rsidRPr="0093610D">
        <w:t>adjourned</w:t>
      </w:r>
      <w:r w:rsidR="000F018B" w:rsidRPr="0093610D">
        <w:t>;</w:t>
      </w:r>
      <w:proofErr w:type="gramEnd"/>
    </w:p>
    <w:p w14:paraId="13BFAF15" w14:textId="77777777" w:rsidR="000F018B" w:rsidRPr="0093610D" w:rsidRDefault="005C39ED" w:rsidP="00670818">
      <w:pPr>
        <w:pStyle w:val="ListParagraph"/>
        <w:numPr>
          <w:ilvl w:val="0"/>
          <w:numId w:val="8"/>
        </w:numPr>
        <w:spacing w:after="160" w:line="480" w:lineRule="auto"/>
        <w:ind w:left="1080"/>
        <w:jc w:val="both"/>
      </w:pPr>
      <w:r w:rsidRPr="0093610D">
        <w:t>12 October 2015</w:t>
      </w:r>
      <w:r w:rsidR="000F018B" w:rsidRPr="0093610D">
        <w:t>:</w:t>
      </w:r>
      <w:r w:rsidRPr="0093610D">
        <w:t xml:space="preserve"> new hearing date </w:t>
      </w:r>
      <w:proofErr w:type="gramStart"/>
      <w:r w:rsidRPr="0093610D">
        <w:t>fixed</w:t>
      </w:r>
      <w:r w:rsidR="000F018B" w:rsidRPr="0093610D">
        <w:t>;</w:t>
      </w:r>
      <w:proofErr w:type="gramEnd"/>
      <w:r w:rsidRPr="0093610D">
        <w:t xml:space="preserve"> </w:t>
      </w:r>
    </w:p>
    <w:p w14:paraId="3BAC7A0B" w14:textId="77777777" w:rsidR="000F018B" w:rsidRPr="0093610D" w:rsidRDefault="005C39ED" w:rsidP="00670818">
      <w:pPr>
        <w:pStyle w:val="ListParagraph"/>
        <w:numPr>
          <w:ilvl w:val="0"/>
          <w:numId w:val="8"/>
        </w:numPr>
        <w:spacing w:after="160" w:line="480" w:lineRule="auto"/>
        <w:ind w:left="1080"/>
        <w:jc w:val="both"/>
      </w:pPr>
      <w:r w:rsidRPr="0093610D">
        <w:t>22 January 2016</w:t>
      </w:r>
      <w:r w:rsidR="000F018B" w:rsidRPr="0093610D">
        <w:t>:</w:t>
      </w:r>
      <w:r w:rsidRPr="0093610D">
        <w:t xml:space="preserve"> loan and guarantee transferred from Ulster Bank</w:t>
      </w:r>
      <w:r w:rsidR="000F018B" w:rsidRPr="0093610D">
        <w:t xml:space="preserve"> Ireland</w:t>
      </w:r>
      <w:r w:rsidRPr="0093610D">
        <w:t xml:space="preserve"> Ltd to Cabot Asset Purchases (Ireland) </w:t>
      </w:r>
      <w:proofErr w:type="gramStart"/>
      <w:r w:rsidRPr="0093610D">
        <w:t>Ltd.</w:t>
      </w:r>
      <w:r w:rsidR="000F018B" w:rsidRPr="0093610D">
        <w:t>;</w:t>
      </w:r>
      <w:proofErr w:type="gramEnd"/>
      <w:r w:rsidRPr="0093610D">
        <w:t xml:space="preserve"> </w:t>
      </w:r>
    </w:p>
    <w:p w14:paraId="62D2C16D" w14:textId="77777777" w:rsidR="000F018B" w:rsidRPr="0093610D" w:rsidRDefault="005C39ED" w:rsidP="00670818">
      <w:pPr>
        <w:pStyle w:val="ListParagraph"/>
        <w:numPr>
          <w:ilvl w:val="0"/>
          <w:numId w:val="8"/>
        </w:numPr>
        <w:spacing w:after="160" w:line="480" w:lineRule="auto"/>
        <w:ind w:left="1080"/>
        <w:jc w:val="both"/>
      </w:pPr>
      <w:proofErr w:type="gramStart"/>
      <w:r w:rsidRPr="0093610D">
        <w:t>4 February 2016</w:t>
      </w:r>
      <w:r w:rsidR="000F018B" w:rsidRPr="0093610D">
        <w:t>:</w:t>
      </w:r>
      <w:proofErr w:type="gramEnd"/>
      <w:r w:rsidRPr="0093610D">
        <w:t xml:space="preserve"> appears in </w:t>
      </w:r>
      <w:r w:rsidR="00175902" w:rsidRPr="0093610D">
        <w:t>Non-Jury</w:t>
      </w:r>
      <w:r w:rsidRPr="0093610D">
        <w:t xml:space="preserve"> </w:t>
      </w:r>
      <w:r w:rsidR="000F018B" w:rsidRPr="0093610D">
        <w:t xml:space="preserve">List </w:t>
      </w:r>
      <w:r w:rsidRPr="0093610D">
        <w:t xml:space="preserve">for hearing but is struck out for </w:t>
      </w:r>
      <w:r w:rsidR="00175902" w:rsidRPr="0093610D">
        <w:t>nonattendance</w:t>
      </w:r>
      <w:r w:rsidR="000F018B" w:rsidRPr="0093610D">
        <w:t>;</w:t>
      </w:r>
      <w:r w:rsidRPr="0093610D">
        <w:t xml:space="preserve"> </w:t>
      </w:r>
    </w:p>
    <w:p w14:paraId="4A534CBC" w14:textId="77777777" w:rsidR="000F018B" w:rsidRPr="0093610D" w:rsidRDefault="005C39ED" w:rsidP="00670818">
      <w:pPr>
        <w:pStyle w:val="ListParagraph"/>
        <w:numPr>
          <w:ilvl w:val="0"/>
          <w:numId w:val="8"/>
        </w:numPr>
        <w:spacing w:after="160" w:line="480" w:lineRule="auto"/>
        <w:ind w:left="1080"/>
        <w:jc w:val="both"/>
      </w:pPr>
      <w:r w:rsidRPr="0093610D">
        <w:t>21 March 2016</w:t>
      </w:r>
      <w:r w:rsidR="000F018B" w:rsidRPr="0093610D">
        <w:t>:</w:t>
      </w:r>
      <w:r w:rsidRPr="0093610D">
        <w:t xml:space="preserve"> new solicitors</w:t>
      </w:r>
      <w:r w:rsidR="000F018B" w:rsidRPr="0093610D">
        <w:t xml:space="preserve"> come</w:t>
      </w:r>
      <w:r w:rsidRPr="0093610D">
        <w:t xml:space="preserve"> on record for the </w:t>
      </w:r>
      <w:proofErr w:type="gramStart"/>
      <w:r w:rsidRPr="0093610D">
        <w:t>plaintiff</w:t>
      </w:r>
      <w:r w:rsidR="000F018B" w:rsidRPr="0093610D">
        <w:t>;</w:t>
      </w:r>
      <w:proofErr w:type="gramEnd"/>
    </w:p>
    <w:p w14:paraId="78B3B5D7" w14:textId="77777777" w:rsidR="00CE7B29" w:rsidRPr="0093610D" w:rsidRDefault="005C39ED" w:rsidP="00670818">
      <w:pPr>
        <w:pStyle w:val="ListParagraph"/>
        <w:numPr>
          <w:ilvl w:val="0"/>
          <w:numId w:val="8"/>
        </w:numPr>
        <w:spacing w:after="160" w:line="480" w:lineRule="auto"/>
        <w:ind w:left="1080"/>
        <w:jc w:val="both"/>
      </w:pPr>
      <w:r w:rsidRPr="0093610D">
        <w:t>31 May 2019</w:t>
      </w:r>
      <w:r w:rsidR="000F018B" w:rsidRPr="0093610D">
        <w:t>:</w:t>
      </w:r>
      <w:r w:rsidRPr="0093610D">
        <w:t xml:space="preserve"> loan and guarantee transferred from Cabot Asset Purchases (Ireland) Ltd to </w:t>
      </w:r>
      <w:proofErr w:type="gramStart"/>
      <w:r w:rsidRPr="0093610D">
        <w:t>plaintiff</w:t>
      </w:r>
      <w:r w:rsidR="000F018B" w:rsidRPr="0093610D">
        <w:t>;</w:t>
      </w:r>
      <w:proofErr w:type="gramEnd"/>
    </w:p>
    <w:p w14:paraId="2153E860" w14:textId="77777777" w:rsidR="00F42366" w:rsidRPr="0093610D" w:rsidRDefault="005C39ED" w:rsidP="00670818">
      <w:pPr>
        <w:pStyle w:val="ListParagraph"/>
        <w:numPr>
          <w:ilvl w:val="0"/>
          <w:numId w:val="8"/>
        </w:numPr>
        <w:spacing w:after="160" w:line="480" w:lineRule="auto"/>
        <w:ind w:left="1080"/>
        <w:jc w:val="both"/>
      </w:pPr>
      <w:r w:rsidRPr="0093610D">
        <w:t>27 June 2019</w:t>
      </w:r>
      <w:r w:rsidR="00F42366" w:rsidRPr="0093610D">
        <w:t>:</w:t>
      </w:r>
      <w:r w:rsidRPr="0093610D">
        <w:t xml:space="preserve"> </w:t>
      </w:r>
      <w:r w:rsidR="00F42366" w:rsidRPr="0093610D">
        <w:t>O</w:t>
      </w:r>
      <w:r w:rsidRPr="0093610D">
        <w:t>rder</w:t>
      </w:r>
      <w:r w:rsidR="00F42366" w:rsidRPr="0093610D">
        <w:t xml:space="preserve"> </w:t>
      </w:r>
      <w:r w:rsidRPr="0093610D">
        <w:t xml:space="preserve">made by Master of the High Court substituting Cabot Financial </w:t>
      </w:r>
      <w:r w:rsidR="00F42366" w:rsidRPr="0093610D">
        <w:t>[</w:t>
      </w:r>
      <w:r w:rsidRPr="0093610D">
        <w:t>Ireland</w:t>
      </w:r>
      <w:r w:rsidR="00F42366" w:rsidRPr="0093610D">
        <w:t>]</w:t>
      </w:r>
      <w:r w:rsidRPr="0093610D">
        <w:t xml:space="preserve"> Ltd as </w:t>
      </w:r>
      <w:proofErr w:type="gramStart"/>
      <w:r w:rsidRPr="0093610D">
        <w:t>plaintiff</w:t>
      </w:r>
      <w:r w:rsidR="00F42366" w:rsidRPr="0093610D">
        <w:t>;</w:t>
      </w:r>
      <w:proofErr w:type="gramEnd"/>
      <w:r w:rsidRPr="0093610D">
        <w:t xml:space="preserve"> </w:t>
      </w:r>
    </w:p>
    <w:p w14:paraId="2B067AAD" w14:textId="77777777" w:rsidR="00F42366" w:rsidRPr="0093610D" w:rsidRDefault="005C39ED" w:rsidP="00670818">
      <w:pPr>
        <w:pStyle w:val="ListParagraph"/>
        <w:numPr>
          <w:ilvl w:val="0"/>
          <w:numId w:val="8"/>
        </w:numPr>
        <w:spacing w:after="160" w:line="480" w:lineRule="auto"/>
        <w:ind w:left="1080"/>
        <w:jc w:val="both"/>
      </w:pPr>
      <w:r w:rsidRPr="0093610D">
        <w:t>4 September 2019</w:t>
      </w:r>
      <w:r w:rsidR="00F42366" w:rsidRPr="0093610D">
        <w:t>:</w:t>
      </w:r>
      <w:r w:rsidRPr="0093610D">
        <w:t xml:space="preserve"> the within notice of motion is filed</w:t>
      </w:r>
      <w:r w:rsidR="00F42366" w:rsidRPr="0093610D">
        <w:t>; and</w:t>
      </w:r>
      <w:r w:rsidRPr="0093610D">
        <w:t xml:space="preserve"> </w:t>
      </w:r>
    </w:p>
    <w:p w14:paraId="329D037C" w14:textId="77777777" w:rsidR="00F42366" w:rsidRPr="0093610D" w:rsidRDefault="005C39ED" w:rsidP="00670818">
      <w:pPr>
        <w:pStyle w:val="ListParagraph"/>
        <w:numPr>
          <w:ilvl w:val="0"/>
          <w:numId w:val="8"/>
        </w:numPr>
        <w:spacing w:after="160" w:line="480" w:lineRule="auto"/>
        <w:ind w:left="1080"/>
        <w:jc w:val="both"/>
      </w:pPr>
      <w:r w:rsidRPr="0093610D">
        <w:t>4 February 2021</w:t>
      </w:r>
      <w:r w:rsidR="00F42366" w:rsidRPr="0093610D">
        <w:t>:</w:t>
      </w:r>
      <w:r w:rsidRPr="0093610D">
        <w:t xml:space="preserve"> plaintiff issues second motion for summary judgment. </w:t>
      </w:r>
    </w:p>
    <w:p w14:paraId="4C9B6E35" w14:textId="77777777" w:rsidR="005C39ED" w:rsidRPr="0093610D" w:rsidRDefault="005C39ED" w:rsidP="00F42366">
      <w:pPr>
        <w:pStyle w:val="ListParagraph"/>
        <w:spacing w:after="160" w:line="480" w:lineRule="auto"/>
        <w:ind w:left="0"/>
        <w:jc w:val="both"/>
        <w:rPr>
          <w:bCs/>
        </w:rPr>
      </w:pPr>
      <w:r w:rsidRPr="0093610D">
        <w:rPr>
          <w:b/>
          <w:u w:val="single"/>
        </w:rPr>
        <w:t>Legal principles to be applied</w:t>
      </w:r>
    </w:p>
    <w:p w14:paraId="01DFD002" w14:textId="77777777" w:rsidR="005C39ED" w:rsidRPr="0093610D" w:rsidRDefault="00F42366" w:rsidP="00F42366">
      <w:pPr>
        <w:pStyle w:val="ListParagraph"/>
        <w:numPr>
          <w:ilvl w:val="0"/>
          <w:numId w:val="4"/>
        </w:numPr>
        <w:spacing w:after="160" w:line="480" w:lineRule="auto"/>
        <w:jc w:val="both"/>
      </w:pPr>
      <w:r w:rsidRPr="0093610D">
        <w:t>I refer</w:t>
      </w:r>
      <w:r w:rsidR="005C39ED" w:rsidRPr="0093610D">
        <w:t xml:space="preserve">, firstly, to the oft cited passage of Hamilton C.J. in </w:t>
      </w:r>
      <w:r w:rsidR="005C39ED" w:rsidRPr="0093610D">
        <w:rPr>
          <w:i/>
          <w:iCs/>
        </w:rPr>
        <w:t>Primor Plc v. Stokes Kennedy Crowley</w:t>
      </w:r>
      <w:r w:rsidRPr="0093610D">
        <w:t xml:space="preserve"> </w:t>
      </w:r>
      <w:r w:rsidR="005C39ED" w:rsidRPr="0093610D">
        <w:t>[1996] 2 I</w:t>
      </w:r>
      <w:r w:rsidRPr="0093610D">
        <w:t>.</w:t>
      </w:r>
      <w:r w:rsidR="005C39ED" w:rsidRPr="0093610D">
        <w:t>R</w:t>
      </w:r>
      <w:r w:rsidRPr="0093610D">
        <w:t>.</w:t>
      </w:r>
      <w:r w:rsidR="005C39ED" w:rsidRPr="0093610D">
        <w:t xml:space="preserve"> 459</w:t>
      </w:r>
      <w:r w:rsidRPr="0093610D">
        <w:t xml:space="preserve"> at pp. 475 and 476. F</w:t>
      </w:r>
      <w:r w:rsidR="005C39ED" w:rsidRPr="0093610D">
        <w:t>or the sake of brevity</w:t>
      </w:r>
      <w:r w:rsidRPr="0093610D">
        <w:t xml:space="preserve">, </w:t>
      </w:r>
      <w:r w:rsidR="005C39ED" w:rsidRPr="0093610D">
        <w:t xml:space="preserve">I will not set </w:t>
      </w:r>
      <w:r w:rsidRPr="0093610D">
        <w:t>it</w:t>
      </w:r>
      <w:r w:rsidR="005C39ED" w:rsidRPr="0093610D">
        <w:t xml:space="preserve"> out. In the years since this decision of the Supreme </w:t>
      </w:r>
      <w:r w:rsidR="00175902" w:rsidRPr="0093610D">
        <w:t>Court</w:t>
      </w:r>
      <w:r w:rsidRPr="0093610D">
        <w:t xml:space="preserve">, </w:t>
      </w:r>
      <w:r w:rsidR="00175902" w:rsidRPr="0093610D">
        <w:t>these</w:t>
      </w:r>
      <w:r w:rsidR="005C39ED" w:rsidRPr="0093610D">
        <w:t xml:space="preserve"> principles have been consistently </w:t>
      </w:r>
      <w:r w:rsidR="005C39ED" w:rsidRPr="0093610D">
        <w:lastRenderedPageBreak/>
        <w:t>applied</w:t>
      </w:r>
      <w:r w:rsidR="00FD75D1" w:rsidRPr="0093610D">
        <w:t xml:space="preserve">; </w:t>
      </w:r>
      <w:r w:rsidR="005C39ED" w:rsidRPr="0093610D">
        <w:t>though</w:t>
      </w:r>
      <w:r w:rsidR="00FD75D1" w:rsidRPr="0093610D">
        <w:t xml:space="preserve">, </w:t>
      </w:r>
      <w:r w:rsidR="005C39ED" w:rsidRPr="0093610D">
        <w:t xml:space="preserve">as Butler J. stated recently in </w:t>
      </w:r>
      <w:r w:rsidR="005C39ED" w:rsidRPr="0093610D">
        <w:rPr>
          <w:i/>
          <w:iCs/>
        </w:rPr>
        <w:t>Gibbons v. N6 (Construction) Ltd</w:t>
      </w:r>
      <w:r w:rsidR="00FD75D1" w:rsidRPr="0093610D">
        <w:rPr>
          <w:i/>
          <w:iCs/>
        </w:rPr>
        <w:t xml:space="preserve"> and Galway County Council</w:t>
      </w:r>
      <w:r w:rsidR="005C39ED" w:rsidRPr="0093610D">
        <w:t xml:space="preserve"> [2021] IEHC 138: </w:t>
      </w:r>
      <w:r w:rsidRPr="0093610D">
        <w:t>-</w:t>
      </w:r>
    </w:p>
    <w:p w14:paraId="023B8DA9" w14:textId="77777777" w:rsidR="005C39ED" w:rsidRPr="0093610D" w:rsidRDefault="005C39ED" w:rsidP="00996504">
      <w:pPr>
        <w:pStyle w:val="ListParagraph"/>
        <w:spacing w:after="160" w:line="480" w:lineRule="auto"/>
        <w:jc w:val="both"/>
      </w:pPr>
      <w:r w:rsidRPr="0093610D">
        <w:t>“</w:t>
      </w:r>
      <w:r w:rsidR="00FD75D1" w:rsidRPr="0093610D">
        <w:t>… t</w:t>
      </w:r>
      <w:r w:rsidRPr="0093610D">
        <w:t>he weight to be attached to the various factors relevant to the balance of justice between the parties has been recalibrated to take account of the court's obligation to ensure that litigation is progressed to a conclusion with reasonable expedition.</w:t>
      </w:r>
      <w:r w:rsidR="00FD75D1" w:rsidRPr="0093610D">
        <w:t xml:space="preserve"> …</w:t>
      </w:r>
      <w:r w:rsidRPr="0093610D">
        <w:t xml:space="preserve">” </w:t>
      </w:r>
    </w:p>
    <w:p w14:paraId="41B630F6" w14:textId="77777777" w:rsidR="005C39ED" w:rsidRPr="0093610D" w:rsidRDefault="005C39ED" w:rsidP="00996504">
      <w:pPr>
        <w:spacing w:after="160" w:line="480" w:lineRule="auto"/>
        <w:jc w:val="both"/>
      </w:pPr>
      <w:r w:rsidRPr="0093610D">
        <w:t xml:space="preserve">I would also refer to the following passage of the judgment of Irvine J. (as she then was) in </w:t>
      </w:r>
      <w:r w:rsidRPr="0093610D">
        <w:rPr>
          <w:i/>
        </w:rPr>
        <w:t>Flynn v. The Minister for Justice</w:t>
      </w:r>
      <w:r w:rsidRPr="0093610D">
        <w:t xml:space="preserve"> [2017] IECA 178, at para. 19</w:t>
      </w:r>
      <w:r w:rsidR="00FD75D1" w:rsidRPr="0093610D">
        <w:t xml:space="preserve"> she states</w:t>
      </w:r>
      <w:r w:rsidRPr="0093610D">
        <w:t xml:space="preserve">: </w:t>
      </w:r>
      <w:r w:rsidR="00FD75D1" w:rsidRPr="0093610D">
        <w:t>-</w:t>
      </w:r>
    </w:p>
    <w:p w14:paraId="0581306C" w14:textId="77777777" w:rsidR="005C39ED" w:rsidRPr="0093610D" w:rsidRDefault="005C39ED" w:rsidP="00996504">
      <w:pPr>
        <w:spacing w:after="160" w:line="480" w:lineRule="auto"/>
        <w:ind w:left="720"/>
        <w:jc w:val="both"/>
      </w:pPr>
      <w:r w:rsidRPr="0093610D">
        <w:t>“(8) In culpable delay cases the defendant does not have to establish prejudice to the point that it faces a significant risk of an unfair trial. Once a defendant establishes inordinate and inexcusable delay, it can urge the court to dismiss the proceedings having regard to a whole range of factors, including relatively modest prejudice arising from that delay.</w:t>
      </w:r>
      <w:r w:rsidR="00052F13" w:rsidRPr="0093610D">
        <w:t>”</w:t>
      </w:r>
    </w:p>
    <w:p w14:paraId="482B5003" w14:textId="77777777" w:rsidR="005C39ED" w:rsidRPr="0093610D" w:rsidRDefault="00052F13" w:rsidP="00996504">
      <w:pPr>
        <w:pStyle w:val="ListParagraph"/>
        <w:numPr>
          <w:ilvl w:val="0"/>
          <w:numId w:val="4"/>
        </w:numPr>
        <w:spacing w:after="160" w:line="480" w:lineRule="auto"/>
        <w:jc w:val="both"/>
      </w:pPr>
      <w:r w:rsidRPr="0093610D">
        <w:t xml:space="preserve">It is clear from the authorities that a court hearing an application such as this </w:t>
      </w:r>
      <w:proofErr w:type="gramStart"/>
      <w:r w:rsidRPr="0093610D">
        <w:t>has to</w:t>
      </w:r>
      <w:proofErr w:type="gramEnd"/>
      <w:r w:rsidRPr="0093610D">
        <w:t xml:space="preserve"> decide the following matters: </w:t>
      </w:r>
      <w:r w:rsidR="00FD75D1" w:rsidRPr="0093610D">
        <w:t>-</w:t>
      </w:r>
    </w:p>
    <w:p w14:paraId="40A96672" w14:textId="77777777" w:rsidR="00052F13" w:rsidRPr="0093610D" w:rsidRDefault="00052F13" w:rsidP="00996504">
      <w:pPr>
        <w:pStyle w:val="ListParagraph"/>
        <w:numPr>
          <w:ilvl w:val="0"/>
          <w:numId w:val="6"/>
        </w:numPr>
        <w:spacing w:after="160" w:line="480" w:lineRule="auto"/>
        <w:jc w:val="both"/>
      </w:pPr>
      <w:r w:rsidRPr="0093610D">
        <w:t xml:space="preserve">Has there been inordinate delay in the prosecution of the </w:t>
      </w:r>
      <w:proofErr w:type="gramStart"/>
      <w:r w:rsidRPr="0093610D">
        <w:t>proceedings</w:t>
      </w:r>
      <w:r w:rsidR="00FD75D1" w:rsidRPr="0093610D">
        <w:t>?;</w:t>
      </w:r>
      <w:proofErr w:type="gramEnd"/>
    </w:p>
    <w:p w14:paraId="3DCBF7B5" w14:textId="77777777" w:rsidR="00052F13" w:rsidRPr="0093610D" w:rsidRDefault="00052F13" w:rsidP="00996504">
      <w:pPr>
        <w:pStyle w:val="ListParagraph"/>
        <w:numPr>
          <w:ilvl w:val="0"/>
          <w:numId w:val="6"/>
        </w:numPr>
        <w:spacing w:after="160" w:line="480" w:lineRule="auto"/>
        <w:jc w:val="both"/>
      </w:pPr>
      <w:r w:rsidRPr="0093610D">
        <w:t>If there has been inordinate delay</w:t>
      </w:r>
      <w:r w:rsidR="00FD75D1" w:rsidRPr="0093610D">
        <w:t xml:space="preserve">, </w:t>
      </w:r>
      <w:r w:rsidRPr="0093610D">
        <w:t xml:space="preserve">is such delay </w:t>
      </w:r>
      <w:proofErr w:type="gramStart"/>
      <w:r w:rsidRPr="0093610D">
        <w:t>excusable</w:t>
      </w:r>
      <w:r w:rsidR="00FD75D1" w:rsidRPr="0093610D">
        <w:t>?;</w:t>
      </w:r>
      <w:proofErr w:type="gramEnd"/>
      <w:r w:rsidR="00FD75D1" w:rsidRPr="0093610D">
        <w:t xml:space="preserve"> and</w:t>
      </w:r>
    </w:p>
    <w:p w14:paraId="54EAC1DB" w14:textId="77777777" w:rsidR="00052F13" w:rsidRPr="0093610D" w:rsidRDefault="00052F13" w:rsidP="00996504">
      <w:pPr>
        <w:pStyle w:val="ListParagraph"/>
        <w:numPr>
          <w:ilvl w:val="0"/>
          <w:numId w:val="6"/>
        </w:numPr>
        <w:spacing w:after="160" w:line="480" w:lineRule="auto"/>
        <w:jc w:val="both"/>
      </w:pPr>
      <w:r w:rsidRPr="0093610D">
        <w:t>If the delay has been both inordinate and inexcusable</w:t>
      </w:r>
      <w:r w:rsidR="00FD75D1" w:rsidRPr="0093610D">
        <w:t xml:space="preserve">, </w:t>
      </w:r>
      <w:r w:rsidRPr="0093610D">
        <w:t xml:space="preserve">does the </w:t>
      </w:r>
      <w:r w:rsidRPr="0093610D">
        <w:rPr>
          <w:i/>
          <w:iCs/>
        </w:rPr>
        <w:t>“balance of justice”</w:t>
      </w:r>
      <w:r w:rsidRPr="0093610D">
        <w:t xml:space="preserve"> lie in favour of dismissing the proceedings</w:t>
      </w:r>
      <w:r w:rsidR="00FD75D1" w:rsidRPr="0093610D">
        <w:t>?</w:t>
      </w:r>
    </w:p>
    <w:p w14:paraId="4D1BC600" w14:textId="77777777" w:rsidR="00052F13" w:rsidRPr="0093610D" w:rsidRDefault="00052F13" w:rsidP="00996504">
      <w:pPr>
        <w:spacing w:after="160" w:line="480" w:lineRule="auto"/>
        <w:jc w:val="both"/>
      </w:pPr>
      <w:r w:rsidRPr="0093610D">
        <w:t xml:space="preserve">Also, a court </w:t>
      </w:r>
      <w:proofErr w:type="gramStart"/>
      <w:r w:rsidRPr="0093610D">
        <w:t>has to</w:t>
      </w:r>
      <w:proofErr w:type="gramEnd"/>
      <w:r w:rsidRPr="0093610D">
        <w:t xml:space="preserve"> look at the actions of the defendant bringing the application. If the defendant acquiesced in the </w:t>
      </w:r>
      <w:r w:rsidR="00175902" w:rsidRPr="0093610D">
        <w:t>delay,</w:t>
      </w:r>
      <w:r w:rsidRPr="0093610D">
        <w:t xml:space="preserve"> then this would be a factor that would weigh in the balance against granting the order sought. </w:t>
      </w:r>
    </w:p>
    <w:p w14:paraId="3D87C6DE" w14:textId="77777777" w:rsidR="00052F13" w:rsidRPr="0093610D" w:rsidRDefault="00052F13" w:rsidP="00E35B46">
      <w:pPr>
        <w:pStyle w:val="ListParagraph"/>
        <w:spacing w:after="160" w:line="480" w:lineRule="auto"/>
        <w:ind w:left="0"/>
        <w:jc w:val="both"/>
        <w:rPr>
          <w:b/>
          <w:u w:val="single"/>
        </w:rPr>
      </w:pPr>
      <w:r w:rsidRPr="0093610D">
        <w:rPr>
          <w:b/>
          <w:u w:val="single"/>
        </w:rPr>
        <w:t>Was the delay inordinate</w:t>
      </w:r>
      <w:r w:rsidR="00175902" w:rsidRPr="0093610D">
        <w:rPr>
          <w:b/>
          <w:u w:val="single"/>
        </w:rPr>
        <w:t>?</w:t>
      </w:r>
    </w:p>
    <w:p w14:paraId="1CE4F676" w14:textId="77777777" w:rsidR="00052F13" w:rsidRPr="0093610D" w:rsidRDefault="00052F13" w:rsidP="00996504">
      <w:pPr>
        <w:pStyle w:val="ListParagraph"/>
        <w:numPr>
          <w:ilvl w:val="0"/>
          <w:numId w:val="4"/>
        </w:numPr>
        <w:spacing w:after="160" w:line="480" w:lineRule="auto"/>
        <w:jc w:val="both"/>
      </w:pPr>
      <w:r w:rsidRPr="0093610D">
        <w:t>These proceedings concern financial transactions that took place in 2004, 2006 and 2009</w:t>
      </w:r>
      <w:r w:rsidR="006174A2" w:rsidRPr="0093610D">
        <w:t xml:space="preserve">, </w:t>
      </w:r>
      <w:r w:rsidRPr="0093610D">
        <w:t xml:space="preserve">between twelve and seventeen years ago. </w:t>
      </w:r>
      <w:r w:rsidR="006174A2" w:rsidRPr="0093610D">
        <w:t>The s</w:t>
      </w:r>
      <w:r w:rsidRPr="0093610D">
        <w:t xml:space="preserve">ummary summons was issued in 2012 </w:t>
      </w:r>
      <w:r w:rsidRPr="0093610D">
        <w:lastRenderedPageBreak/>
        <w:t>and</w:t>
      </w:r>
      <w:r w:rsidR="006174A2" w:rsidRPr="0093610D">
        <w:t xml:space="preserve">, again, </w:t>
      </w:r>
      <w:r w:rsidRPr="0093610D">
        <w:t>nine years later</w:t>
      </w:r>
      <w:r w:rsidR="006174A2" w:rsidRPr="0093610D">
        <w:t xml:space="preserve">, </w:t>
      </w:r>
      <w:r w:rsidRPr="0093610D">
        <w:t xml:space="preserve">but </w:t>
      </w:r>
      <w:r w:rsidR="006174A2" w:rsidRPr="0093610D">
        <w:t xml:space="preserve">is </w:t>
      </w:r>
      <w:r w:rsidRPr="0093610D">
        <w:t xml:space="preserve">only at the motion for summary judgment stage. These are debt recovery proceedings and the issues referred to in the replying affidavits are not complex. It is hard to conclude that the delay in prosecuting these proceedings is anything other than inordinate. </w:t>
      </w:r>
    </w:p>
    <w:p w14:paraId="16CFCF1B" w14:textId="77777777" w:rsidR="00052F13" w:rsidRPr="0093610D" w:rsidRDefault="00052F13" w:rsidP="00996504">
      <w:pPr>
        <w:pStyle w:val="ListParagraph"/>
        <w:spacing w:after="160" w:line="480" w:lineRule="auto"/>
        <w:ind w:left="0"/>
        <w:jc w:val="both"/>
        <w:rPr>
          <w:b/>
          <w:u w:val="single"/>
        </w:rPr>
      </w:pPr>
      <w:r w:rsidRPr="0093610D">
        <w:rPr>
          <w:b/>
          <w:u w:val="single"/>
        </w:rPr>
        <w:t xml:space="preserve">Is the inordinate delay </w:t>
      </w:r>
      <w:r w:rsidR="00175902" w:rsidRPr="0093610D">
        <w:rPr>
          <w:b/>
          <w:u w:val="single"/>
        </w:rPr>
        <w:t>excusable?</w:t>
      </w:r>
    </w:p>
    <w:p w14:paraId="3D49082A" w14:textId="77777777" w:rsidR="00052F13" w:rsidRPr="0093610D" w:rsidRDefault="00052F13" w:rsidP="00996504">
      <w:pPr>
        <w:pStyle w:val="ListParagraph"/>
        <w:numPr>
          <w:ilvl w:val="0"/>
          <w:numId w:val="4"/>
        </w:numPr>
        <w:spacing w:after="160" w:line="480" w:lineRule="auto"/>
        <w:jc w:val="both"/>
      </w:pPr>
      <w:proofErr w:type="gramStart"/>
      <w:r w:rsidRPr="0093610D">
        <w:t>It is clear that the</w:t>
      </w:r>
      <w:proofErr w:type="gramEnd"/>
      <w:r w:rsidRPr="0093610D">
        <w:t xml:space="preserve"> delay in these proceedings was the fault of the plaintiff and its </w:t>
      </w:r>
      <w:r w:rsidR="00175902" w:rsidRPr="0093610D">
        <w:t>predecessors</w:t>
      </w:r>
      <w:r w:rsidRPr="0093610D">
        <w:t>. The loan and guarantee in question were transferred on two different occasions requiring applications to court. These applications were, essentially, procedural in nature</w:t>
      </w:r>
      <w:r w:rsidR="006174A2" w:rsidRPr="0093610D">
        <w:t xml:space="preserve">, </w:t>
      </w:r>
      <w:r w:rsidRPr="0093610D">
        <w:t xml:space="preserve">involving substitution of the plaintiff and change of name. </w:t>
      </w:r>
    </w:p>
    <w:p w14:paraId="35CB066E" w14:textId="77777777" w:rsidR="00052F13" w:rsidRPr="0093610D" w:rsidRDefault="00175902" w:rsidP="00996504">
      <w:pPr>
        <w:pStyle w:val="ListParagraph"/>
        <w:numPr>
          <w:ilvl w:val="0"/>
          <w:numId w:val="4"/>
        </w:numPr>
        <w:spacing w:after="160" w:line="480" w:lineRule="auto"/>
        <w:jc w:val="both"/>
      </w:pPr>
      <w:r w:rsidRPr="0093610D">
        <w:t>Unfortunately,</w:t>
      </w:r>
      <w:r w:rsidR="00052F13" w:rsidRPr="0093610D">
        <w:t xml:space="preserve"> the plaintiff’s attempt to excuse this delay has raised serious issues as to its conduct </w:t>
      </w:r>
      <w:r w:rsidR="00E65C08" w:rsidRPr="0093610D">
        <w:t>in</w:t>
      </w:r>
      <w:r w:rsidR="00052F13" w:rsidRPr="0093610D">
        <w:t xml:space="preserve"> the proceedings. In written submissions filed by the plaintiff </w:t>
      </w:r>
      <w:r w:rsidR="006174A2" w:rsidRPr="0093610D">
        <w:t>for</w:t>
      </w:r>
      <w:r w:rsidR="00052F13" w:rsidRPr="0093610D">
        <w:t xml:space="preserve"> this application the following is stated: </w:t>
      </w:r>
      <w:r w:rsidR="006174A2" w:rsidRPr="0093610D">
        <w:t>-</w:t>
      </w:r>
    </w:p>
    <w:p w14:paraId="48C27543" w14:textId="77777777" w:rsidR="00052F13" w:rsidRPr="0093610D" w:rsidRDefault="00175902" w:rsidP="00996504">
      <w:pPr>
        <w:pStyle w:val="ListParagraph"/>
        <w:spacing w:after="160" w:line="480" w:lineRule="auto"/>
        <w:jc w:val="both"/>
        <w:rPr>
          <w:u w:val="single"/>
        </w:rPr>
      </w:pPr>
      <w:r w:rsidRPr="0093610D">
        <w:t>“</w:t>
      </w:r>
      <w:r w:rsidR="00052F13" w:rsidRPr="0093610D">
        <w:t xml:space="preserve">(viii) Regrettably delays are </w:t>
      </w:r>
      <w:r w:rsidR="00052F13" w:rsidRPr="0093610D">
        <w:rPr>
          <w:u w:val="single"/>
        </w:rPr>
        <w:t>commonplace</w:t>
      </w:r>
      <w:r w:rsidR="00052F13" w:rsidRPr="0093610D">
        <w:t xml:space="preserve"> in litigation as can be seen from the timeline above, it is submitted that the </w:t>
      </w:r>
      <w:r w:rsidR="00B25131" w:rsidRPr="0093610D">
        <w:t>C</w:t>
      </w:r>
      <w:r w:rsidR="00052F13" w:rsidRPr="0093610D">
        <w:t xml:space="preserve">ourt must be particularly cognisant of the fact that the </w:t>
      </w:r>
      <w:r w:rsidR="00B25131" w:rsidRPr="0093610D">
        <w:t>M</w:t>
      </w:r>
      <w:r w:rsidR="00052F13" w:rsidRPr="0093610D">
        <w:t xml:space="preserve">otion for </w:t>
      </w:r>
      <w:r w:rsidR="00B25131" w:rsidRPr="0093610D">
        <w:t>J</w:t>
      </w:r>
      <w:r w:rsidR="00052F13" w:rsidRPr="0093610D">
        <w:t xml:space="preserve">udgment had obtained the benefit of </w:t>
      </w:r>
      <w:r w:rsidR="00B25131" w:rsidRPr="0093610D">
        <w:t>3</w:t>
      </w:r>
      <w:r w:rsidR="00052F13" w:rsidRPr="0093610D">
        <w:t xml:space="preserve"> hearing dates in 2015 which were adjourned and </w:t>
      </w:r>
      <w:r w:rsidR="00052F13" w:rsidRPr="0093610D">
        <w:rPr>
          <w:u w:val="single"/>
        </w:rPr>
        <w:t xml:space="preserve">for reasons unknown to the </w:t>
      </w:r>
      <w:r w:rsidR="00B25131" w:rsidRPr="0093610D">
        <w:rPr>
          <w:u w:val="single"/>
        </w:rPr>
        <w:t>R</w:t>
      </w:r>
      <w:r w:rsidR="00052F13" w:rsidRPr="0093610D">
        <w:rPr>
          <w:u w:val="single"/>
        </w:rPr>
        <w:t>espondent</w:t>
      </w:r>
      <w:r w:rsidR="008E3510" w:rsidRPr="0093610D">
        <w:rPr>
          <w:u w:val="single"/>
        </w:rPr>
        <w:t xml:space="preserve"> [the plaintiff]</w:t>
      </w:r>
      <w:r w:rsidR="00052F13" w:rsidRPr="0093610D">
        <w:rPr>
          <w:u w:val="single"/>
        </w:rPr>
        <w:t xml:space="preserve"> but it is likely that one or more of those adjournments were either at the behest or with the consent of the </w:t>
      </w:r>
      <w:r w:rsidR="00717912" w:rsidRPr="0093610D">
        <w:rPr>
          <w:u w:val="single"/>
        </w:rPr>
        <w:t>A</w:t>
      </w:r>
      <w:r w:rsidR="00052F13" w:rsidRPr="0093610D">
        <w:rPr>
          <w:u w:val="single"/>
        </w:rPr>
        <w:t xml:space="preserve">pplicant </w:t>
      </w:r>
      <w:r w:rsidR="00E45DA6" w:rsidRPr="0093610D">
        <w:rPr>
          <w:u w:val="single"/>
        </w:rPr>
        <w:t xml:space="preserve">[the second named defendant] </w:t>
      </w:r>
      <w:r w:rsidR="00052F13" w:rsidRPr="0093610D">
        <w:rPr>
          <w:u w:val="single"/>
        </w:rPr>
        <w:t>which significantly undermines the present application</w:t>
      </w:r>
      <w:r w:rsidR="00052F13" w:rsidRPr="0093610D">
        <w:t xml:space="preserve">. </w:t>
      </w:r>
    </w:p>
    <w:p w14:paraId="67197A3B" w14:textId="77777777" w:rsidR="00B505A2" w:rsidRPr="0093610D" w:rsidRDefault="00052F13" w:rsidP="00996504">
      <w:pPr>
        <w:pStyle w:val="ListParagraph"/>
        <w:spacing w:after="160" w:line="480" w:lineRule="auto"/>
        <w:jc w:val="both"/>
      </w:pPr>
      <w:r w:rsidRPr="0093610D">
        <w:t>(</w:t>
      </w:r>
      <w:r w:rsidR="00B505A2" w:rsidRPr="0093610D">
        <w:t xml:space="preserve">x) Finally, and whilst the </w:t>
      </w:r>
      <w:r w:rsidR="00E366F4" w:rsidRPr="0093610D">
        <w:t>P</w:t>
      </w:r>
      <w:r w:rsidR="00B505A2" w:rsidRPr="0093610D">
        <w:t xml:space="preserve">laintiff was not involved in the litigation at the time, it must be noted that the </w:t>
      </w:r>
      <w:r w:rsidR="00E366F4" w:rsidRPr="0093610D">
        <w:t>M</w:t>
      </w:r>
      <w:r w:rsidR="00B505A2" w:rsidRPr="0093610D">
        <w:t>otion for</w:t>
      </w:r>
      <w:r w:rsidR="00E366F4" w:rsidRPr="0093610D">
        <w:t xml:space="preserve"> J</w:t>
      </w:r>
      <w:r w:rsidR="00B505A2" w:rsidRPr="0093610D">
        <w:t xml:space="preserve">udgment listed for hearing on 4 February 2016 </w:t>
      </w:r>
      <w:r w:rsidR="00B505A2" w:rsidRPr="0093610D">
        <w:rPr>
          <w:u w:val="single"/>
        </w:rPr>
        <w:t>appears to have been struck out for the non-attendance by either party</w:t>
      </w:r>
      <w:r w:rsidR="00B505A2" w:rsidRPr="0093610D">
        <w:t xml:space="preserve">. It is </w:t>
      </w:r>
      <w:r w:rsidR="00175902" w:rsidRPr="0093610D">
        <w:t>obvious</w:t>
      </w:r>
      <w:r w:rsidR="00B505A2" w:rsidRPr="0093610D">
        <w:t xml:space="preserve"> that the </w:t>
      </w:r>
      <w:r w:rsidR="00E366F4" w:rsidRPr="0093610D">
        <w:t>P</w:t>
      </w:r>
      <w:r w:rsidR="00B505A2" w:rsidRPr="0093610D">
        <w:t xml:space="preserve">laintiff’s failure to attend arose from the loan sale which had completed two weeks earlier and the practical impossibility of the newly engaged solicitor coming on record to deal with the proceedings any sooner than they did on 21 March 2016. </w:t>
      </w:r>
      <w:r w:rsidR="00B505A2" w:rsidRPr="0093610D">
        <w:rPr>
          <w:u w:val="single"/>
        </w:rPr>
        <w:t xml:space="preserve">No excuse or </w:t>
      </w:r>
      <w:r w:rsidR="00B505A2" w:rsidRPr="0093610D">
        <w:rPr>
          <w:u w:val="single"/>
        </w:rPr>
        <w:lastRenderedPageBreak/>
        <w:t xml:space="preserve">explanation is given for the </w:t>
      </w:r>
      <w:r w:rsidR="00E24B11" w:rsidRPr="0093610D">
        <w:rPr>
          <w:u w:val="single"/>
        </w:rPr>
        <w:t>A</w:t>
      </w:r>
      <w:r w:rsidR="00B505A2" w:rsidRPr="0093610D">
        <w:rPr>
          <w:u w:val="single"/>
        </w:rPr>
        <w:t>pplicant</w:t>
      </w:r>
      <w:r w:rsidR="00E24B11" w:rsidRPr="0093610D">
        <w:rPr>
          <w:u w:val="single"/>
        </w:rPr>
        <w:t>’s</w:t>
      </w:r>
      <w:r w:rsidR="00B505A2" w:rsidRPr="0093610D">
        <w:rPr>
          <w:u w:val="single"/>
        </w:rPr>
        <w:t xml:space="preserve"> </w:t>
      </w:r>
      <w:r w:rsidR="00E24B11" w:rsidRPr="0093610D">
        <w:rPr>
          <w:u w:val="single"/>
        </w:rPr>
        <w:t>[</w:t>
      </w:r>
      <w:r w:rsidR="00B505A2" w:rsidRPr="0093610D">
        <w:rPr>
          <w:u w:val="single"/>
        </w:rPr>
        <w:t>the second named defendant</w:t>
      </w:r>
      <w:r w:rsidR="00E24B11" w:rsidRPr="0093610D">
        <w:rPr>
          <w:u w:val="single"/>
        </w:rPr>
        <w:t xml:space="preserve">] </w:t>
      </w:r>
      <w:r w:rsidR="00B505A2" w:rsidRPr="0093610D">
        <w:rPr>
          <w:u w:val="single"/>
        </w:rPr>
        <w:t xml:space="preserve">failure to attend the hearing and it is respectfully suggested that the </w:t>
      </w:r>
      <w:r w:rsidR="00E24B11" w:rsidRPr="0093610D">
        <w:rPr>
          <w:u w:val="single"/>
        </w:rPr>
        <w:t>A</w:t>
      </w:r>
      <w:r w:rsidR="00B505A2" w:rsidRPr="0093610D">
        <w:rPr>
          <w:u w:val="single"/>
        </w:rPr>
        <w:t xml:space="preserve">pplicant’s non-attendance for hearing significantly added to the delay in these proceedings. </w:t>
      </w:r>
      <w:r w:rsidR="00B505A2" w:rsidRPr="0093610D">
        <w:t xml:space="preserve">As deposed to by Mr. Dillon, </w:t>
      </w:r>
      <w:r w:rsidR="00B505A2" w:rsidRPr="0093610D">
        <w:rPr>
          <w:u w:val="single"/>
        </w:rPr>
        <w:t>the</w:t>
      </w:r>
      <w:r w:rsidR="00E24B11" w:rsidRPr="0093610D">
        <w:rPr>
          <w:u w:val="single"/>
        </w:rPr>
        <w:t xml:space="preserve"> A</w:t>
      </w:r>
      <w:r w:rsidR="00B505A2" w:rsidRPr="0093610D">
        <w:rPr>
          <w:u w:val="single"/>
        </w:rPr>
        <w:t xml:space="preserve">pplicant was aware of the assignment from Ulster Bank to CAPI in January 2016 and if the </w:t>
      </w:r>
      <w:r w:rsidR="00E24B11" w:rsidRPr="0093610D">
        <w:rPr>
          <w:u w:val="single"/>
        </w:rPr>
        <w:t>A</w:t>
      </w:r>
      <w:r w:rsidR="00B505A2" w:rsidRPr="0093610D">
        <w:rPr>
          <w:u w:val="single"/>
        </w:rPr>
        <w:t xml:space="preserve">pplicant had attended at the hearing on 4 February 2016 it is likely that the </w:t>
      </w:r>
      <w:r w:rsidR="007F3AC0" w:rsidRPr="0093610D">
        <w:rPr>
          <w:u w:val="single"/>
        </w:rPr>
        <w:t>M</w:t>
      </w:r>
      <w:r w:rsidR="00B505A2" w:rsidRPr="0093610D">
        <w:rPr>
          <w:u w:val="single"/>
        </w:rPr>
        <w:t xml:space="preserve">otion for </w:t>
      </w:r>
      <w:r w:rsidR="007F3AC0" w:rsidRPr="0093610D">
        <w:rPr>
          <w:u w:val="single"/>
        </w:rPr>
        <w:t>J</w:t>
      </w:r>
      <w:r w:rsidR="00B505A2" w:rsidRPr="0093610D">
        <w:rPr>
          <w:u w:val="single"/>
        </w:rPr>
        <w:t>udgment would have been determined many years ago</w:t>
      </w:r>
      <w:r w:rsidR="00B505A2" w:rsidRPr="0093610D">
        <w:t>.” (</w:t>
      </w:r>
      <w:r w:rsidR="00CE50ED" w:rsidRPr="0093610D">
        <w:t>E</w:t>
      </w:r>
      <w:r w:rsidR="00B505A2" w:rsidRPr="0093610D">
        <w:t>mphasis added)</w:t>
      </w:r>
    </w:p>
    <w:p w14:paraId="5773230B" w14:textId="77777777" w:rsidR="00B505A2" w:rsidRPr="0093610D" w:rsidRDefault="00B505A2" w:rsidP="00996504">
      <w:pPr>
        <w:pStyle w:val="ListParagraph"/>
        <w:numPr>
          <w:ilvl w:val="0"/>
          <w:numId w:val="4"/>
        </w:numPr>
        <w:spacing w:after="160" w:line="480" w:lineRule="auto"/>
        <w:jc w:val="both"/>
      </w:pPr>
      <w:r w:rsidRPr="0093610D">
        <w:t>Having received the written submissions on the part of the plaintiff</w:t>
      </w:r>
      <w:r w:rsidR="001F763E" w:rsidRPr="0093610D">
        <w:t xml:space="preserve">, </w:t>
      </w:r>
      <w:r w:rsidRPr="0093610D">
        <w:t>not surprisingly</w:t>
      </w:r>
      <w:r w:rsidR="001F763E" w:rsidRPr="0093610D">
        <w:t xml:space="preserve">, </w:t>
      </w:r>
      <w:r w:rsidRPr="0093610D">
        <w:t>the above statements drew a response by way of affidavit from the second named defendant’s solicitor</w:t>
      </w:r>
      <w:r w:rsidR="001F590B" w:rsidRPr="0093610D">
        <w:t xml:space="preserve">, </w:t>
      </w:r>
      <w:r w:rsidRPr="0093610D">
        <w:t>Mr. John Carroll, of Crowley Mill</w:t>
      </w:r>
      <w:r w:rsidR="00BC1831" w:rsidRPr="0093610D">
        <w:t>a</w:t>
      </w:r>
      <w:r w:rsidR="001F590B" w:rsidRPr="0093610D">
        <w:t>r.</w:t>
      </w:r>
      <w:r w:rsidRPr="0093610D">
        <w:t xml:space="preserve"> </w:t>
      </w:r>
      <w:r w:rsidR="001F590B" w:rsidRPr="0093610D">
        <w:t>I</w:t>
      </w:r>
      <w:r w:rsidRPr="0093610D">
        <w:t xml:space="preserve">n his affidavit </w:t>
      </w:r>
      <w:r w:rsidR="001F590B" w:rsidRPr="0093610D">
        <w:t xml:space="preserve">he </w:t>
      </w:r>
      <w:r w:rsidRPr="0093610D">
        <w:t>exhibited emails and correspondence that passed between his firm and that of the plaintiff’s then solicitors. These emails and correspondence</w:t>
      </w:r>
      <w:r w:rsidR="001F763E" w:rsidRPr="0093610D">
        <w:t xml:space="preserve"> were</w:t>
      </w:r>
      <w:r w:rsidRPr="0093610D">
        <w:t xml:space="preserve"> opened and considered </w:t>
      </w:r>
      <w:proofErr w:type="gramStart"/>
      <w:r w:rsidR="001F763E" w:rsidRPr="0093610D">
        <w:t xml:space="preserve">during </w:t>
      </w:r>
      <w:r w:rsidRPr="0093610D">
        <w:t>the course of</w:t>
      </w:r>
      <w:proofErr w:type="gramEnd"/>
      <w:r w:rsidRPr="0093610D">
        <w:t xml:space="preserve"> the hearing of </w:t>
      </w:r>
      <w:r w:rsidR="00E45DA6" w:rsidRPr="0093610D">
        <w:t>this application</w:t>
      </w:r>
      <w:r w:rsidRPr="0093610D">
        <w:t xml:space="preserve">. The following conclusions can be drawn: </w:t>
      </w:r>
      <w:r w:rsidR="001F763E" w:rsidRPr="0093610D">
        <w:t xml:space="preserve">- </w:t>
      </w:r>
    </w:p>
    <w:p w14:paraId="77142F44" w14:textId="77777777" w:rsidR="00B505A2" w:rsidRPr="0093610D" w:rsidRDefault="00B505A2" w:rsidP="00996504">
      <w:pPr>
        <w:pStyle w:val="ListParagraph"/>
        <w:numPr>
          <w:ilvl w:val="0"/>
          <w:numId w:val="7"/>
        </w:numPr>
        <w:spacing w:after="160" w:line="480" w:lineRule="auto"/>
        <w:jc w:val="both"/>
      </w:pPr>
      <w:r w:rsidRPr="0093610D">
        <w:t xml:space="preserve">There was no basis for the assertion by the plaintiff that the second named defendant sought adjournments as </w:t>
      </w:r>
      <w:proofErr w:type="gramStart"/>
      <w:r w:rsidRPr="0093610D">
        <w:t>claimed</w:t>
      </w:r>
      <w:r w:rsidR="001F763E" w:rsidRPr="0093610D">
        <w:t>;</w:t>
      </w:r>
      <w:proofErr w:type="gramEnd"/>
    </w:p>
    <w:p w14:paraId="5C662E79" w14:textId="77777777" w:rsidR="00B505A2" w:rsidRPr="0093610D" w:rsidRDefault="00B505A2" w:rsidP="00996504">
      <w:pPr>
        <w:pStyle w:val="ListParagraph"/>
        <w:numPr>
          <w:ilvl w:val="0"/>
          <w:numId w:val="7"/>
        </w:numPr>
        <w:spacing w:after="160" w:line="480" w:lineRule="auto"/>
        <w:jc w:val="both"/>
      </w:pPr>
      <w:r w:rsidRPr="0093610D">
        <w:t>There was no failure on the part of the second named defendant to attend any hearing so there is no basis for the assertion</w:t>
      </w:r>
      <w:r w:rsidR="001F763E" w:rsidRPr="0093610D">
        <w:t xml:space="preserve"> </w:t>
      </w:r>
      <w:proofErr w:type="gramStart"/>
      <w:r w:rsidR="001F763E" w:rsidRPr="0093610D">
        <w:t xml:space="preserve">that </w:t>
      </w:r>
      <w:r w:rsidRPr="0093610D">
        <w:t xml:space="preserve"> </w:t>
      </w:r>
      <w:r w:rsidRPr="0093610D">
        <w:rPr>
          <w:i/>
          <w:iCs/>
        </w:rPr>
        <w:t>“</w:t>
      </w:r>
      <w:proofErr w:type="gramEnd"/>
      <w:r w:rsidRPr="0093610D">
        <w:rPr>
          <w:i/>
          <w:iCs/>
        </w:rPr>
        <w:t xml:space="preserve">the </w:t>
      </w:r>
      <w:r w:rsidR="001F763E" w:rsidRPr="0093610D">
        <w:rPr>
          <w:i/>
          <w:iCs/>
        </w:rPr>
        <w:t>A</w:t>
      </w:r>
      <w:r w:rsidRPr="0093610D">
        <w:rPr>
          <w:i/>
          <w:iCs/>
        </w:rPr>
        <w:t>pplicant</w:t>
      </w:r>
      <w:r w:rsidR="001F763E" w:rsidRPr="0093610D">
        <w:rPr>
          <w:i/>
          <w:iCs/>
        </w:rPr>
        <w:t>’</w:t>
      </w:r>
      <w:r w:rsidRPr="0093610D">
        <w:rPr>
          <w:i/>
          <w:iCs/>
        </w:rPr>
        <w:t xml:space="preserve">s </w:t>
      </w:r>
      <w:r w:rsidR="001F763E" w:rsidRPr="0093610D">
        <w:rPr>
          <w:i/>
          <w:iCs/>
        </w:rPr>
        <w:t>[</w:t>
      </w:r>
      <w:r w:rsidRPr="0093610D">
        <w:rPr>
          <w:i/>
          <w:iCs/>
        </w:rPr>
        <w:t>the second named defendant</w:t>
      </w:r>
      <w:r w:rsidR="001F763E" w:rsidRPr="0093610D">
        <w:rPr>
          <w:i/>
          <w:iCs/>
        </w:rPr>
        <w:t>]</w:t>
      </w:r>
      <w:r w:rsidRPr="0093610D">
        <w:rPr>
          <w:i/>
          <w:iCs/>
        </w:rPr>
        <w:t xml:space="preserve"> non-attendance for hearing significantly added to the delay in these proceedings</w:t>
      </w:r>
      <w:r w:rsidR="001F763E" w:rsidRPr="0093610D">
        <w:rPr>
          <w:i/>
          <w:iCs/>
        </w:rPr>
        <w:t>”</w:t>
      </w:r>
      <w:r w:rsidR="001F763E" w:rsidRPr="0093610D">
        <w:t>; and</w:t>
      </w:r>
    </w:p>
    <w:p w14:paraId="5711D204" w14:textId="77777777" w:rsidR="00B505A2" w:rsidRPr="0093610D" w:rsidRDefault="00B505A2" w:rsidP="00996504">
      <w:pPr>
        <w:pStyle w:val="ListParagraph"/>
        <w:numPr>
          <w:ilvl w:val="0"/>
          <w:numId w:val="7"/>
        </w:numPr>
        <w:spacing w:after="160" w:line="480" w:lineRule="auto"/>
        <w:jc w:val="both"/>
      </w:pPr>
      <w:r w:rsidRPr="0093610D">
        <w:t xml:space="preserve">There was no failure on the part of the second named defendant to attend at the hearing on 4 </w:t>
      </w:r>
      <w:r w:rsidR="00175902" w:rsidRPr="0093610D">
        <w:t>February</w:t>
      </w:r>
      <w:r w:rsidRPr="0093610D">
        <w:t xml:space="preserve"> 2016. </w:t>
      </w:r>
    </w:p>
    <w:p w14:paraId="61B2B92B" w14:textId="77777777" w:rsidR="00B505A2" w:rsidRPr="0093610D" w:rsidRDefault="00B505A2" w:rsidP="00996504">
      <w:pPr>
        <w:pStyle w:val="ListParagraph"/>
        <w:numPr>
          <w:ilvl w:val="0"/>
          <w:numId w:val="4"/>
        </w:numPr>
        <w:spacing w:after="160" w:line="480" w:lineRule="auto"/>
        <w:jc w:val="both"/>
      </w:pPr>
      <w:r w:rsidRPr="0093610D">
        <w:t xml:space="preserve">The purpose of written legal submissions in an application such as this is to identify for the </w:t>
      </w:r>
      <w:r w:rsidR="001F763E" w:rsidRPr="0093610D">
        <w:t>C</w:t>
      </w:r>
      <w:r w:rsidRPr="0093610D">
        <w:t xml:space="preserve">ourt the relevant legal authorities and their application to the facts of the case. Groundless speculation and invented </w:t>
      </w:r>
      <w:r w:rsidRPr="0093610D">
        <w:rPr>
          <w:i/>
          <w:iCs/>
        </w:rPr>
        <w:t>“facts”</w:t>
      </w:r>
      <w:r w:rsidRPr="0093610D">
        <w:t xml:space="preserve"> have no place in written legal submissions. In this case I believe that this unacceptable situation came about because of the plaintiff’s present solicitor’s </w:t>
      </w:r>
      <w:r w:rsidRPr="0093610D">
        <w:lastRenderedPageBreak/>
        <w:t>failure to take the basic step of obtaining from its predecessor’s</w:t>
      </w:r>
      <w:r w:rsidR="001F763E" w:rsidRPr="0093610D">
        <w:t xml:space="preserve"> the</w:t>
      </w:r>
      <w:r w:rsidRPr="0093610D">
        <w:t xml:space="preserve"> file on this litigation.</w:t>
      </w:r>
      <w:r w:rsidR="001F590B" w:rsidRPr="0093610D">
        <w:t xml:space="preserve"> </w:t>
      </w:r>
      <w:r w:rsidRPr="0093610D">
        <w:t xml:space="preserve">Clearly the inordinate delay on the part of the plaintiff is inexcusable. </w:t>
      </w:r>
    </w:p>
    <w:p w14:paraId="20769F08" w14:textId="77777777" w:rsidR="00B505A2" w:rsidRPr="0093610D" w:rsidRDefault="00924BA3" w:rsidP="00996504">
      <w:pPr>
        <w:pStyle w:val="ListParagraph"/>
        <w:spacing w:after="160" w:line="480" w:lineRule="auto"/>
        <w:ind w:left="0"/>
        <w:jc w:val="both"/>
        <w:rPr>
          <w:b/>
          <w:u w:val="single"/>
        </w:rPr>
      </w:pPr>
      <w:r w:rsidRPr="0093610D">
        <w:rPr>
          <w:b/>
          <w:u w:val="single"/>
        </w:rPr>
        <w:t xml:space="preserve">“Balance of justice” </w:t>
      </w:r>
    </w:p>
    <w:p w14:paraId="01BFCBC7" w14:textId="77777777" w:rsidR="00924BA3" w:rsidRPr="0093610D" w:rsidRDefault="00924BA3" w:rsidP="00996504">
      <w:pPr>
        <w:pStyle w:val="ListParagraph"/>
        <w:numPr>
          <w:ilvl w:val="0"/>
          <w:numId w:val="4"/>
        </w:numPr>
        <w:spacing w:after="160" w:line="480" w:lineRule="auto"/>
        <w:jc w:val="both"/>
      </w:pPr>
      <w:r w:rsidRPr="0093610D">
        <w:t xml:space="preserve">In looking at where the </w:t>
      </w:r>
      <w:r w:rsidRPr="0093610D">
        <w:rPr>
          <w:i/>
          <w:iCs/>
        </w:rPr>
        <w:t>“balance of justice”</w:t>
      </w:r>
      <w:r w:rsidRPr="0093610D">
        <w:t xml:space="preserve"> lies</w:t>
      </w:r>
      <w:r w:rsidR="001F763E" w:rsidRPr="0093610D">
        <w:t xml:space="preserve">, </w:t>
      </w:r>
      <w:r w:rsidRPr="0093610D">
        <w:t xml:space="preserve">I believe that I am entitled to </w:t>
      </w:r>
      <w:proofErr w:type="gramStart"/>
      <w:r w:rsidRPr="0093610D">
        <w:t>take into account</w:t>
      </w:r>
      <w:proofErr w:type="gramEnd"/>
      <w:r w:rsidRPr="0093610D">
        <w:t xml:space="preserve"> the matters which I have referred to at paras.</w:t>
      </w:r>
      <w:r w:rsidR="005654C8" w:rsidRPr="0093610D">
        <w:t xml:space="preserve"> 12 </w:t>
      </w:r>
      <w:r w:rsidRPr="0093610D">
        <w:t>to</w:t>
      </w:r>
      <w:r w:rsidR="005654C8" w:rsidRPr="0093610D">
        <w:t xml:space="preserve"> 14 </w:t>
      </w:r>
      <w:r w:rsidRPr="0093610D">
        <w:t xml:space="preserve">above. </w:t>
      </w:r>
      <w:r w:rsidR="00902859" w:rsidRPr="0093610D">
        <w:t>Unfortunately,</w:t>
      </w:r>
      <w:r w:rsidRPr="0093610D">
        <w:t xml:space="preserve"> this was compounded by a further matter. Following the issue of </w:t>
      </w:r>
      <w:r w:rsidR="00902859" w:rsidRPr="0093610D">
        <w:t>proceedings,</w:t>
      </w:r>
      <w:r w:rsidRPr="0093610D">
        <w:t xml:space="preserve"> the then solicitor for the plaintiff sought to have the matter </w:t>
      </w:r>
      <w:proofErr w:type="gramStart"/>
      <w:r w:rsidRPr="0093610D">
        <w:t>entered into</w:t>
      </w:r>
      <w:proofErr w:type="gramEnd"/>
      <w:r w:rsidRPr="0093610D">
        <w:t xml:space="preserve"> the </w:t>
      </w:r>
      <w:r w:rsidR="001F763E" w:rsidRPr="0093610D">
        <w:t>C</w:t>
      </w:r>
      <w:r w:rsidRPr="0093610D">
        <w:t xml:space="preserve">ommercial </w:t>
      </w:r>
      <w:r w:rsidR="001F763E" w:rsidRPr="0093610D">
        <w:t>L</w:t>
      </w:r>
      <w:r w:rsidRPr="0093610D">
        <w:t xml:space="preserve">ist. For this </w:t>
      </w:r>
      <w:r w:rsidR="00902859" w:rsidRPr="0093610D">
        <w:t>purpose,</w:t>
      </w:r>
      <w:r w:rsidRPr="0093610D">
        <w:t xml:space="preserve"> the solicitor signed a certificate pursuant to O.63A, r.4 (2) of the Rules of the Superior Courts. The solicitor certified, </w:t>
      </w:r>
      <w:r w:rsidRPr="0093610D">
        <w:rPr>
          <w:i/>
          <w:iCs/>
        </w:rPr>
        <w:t>inter alia</w:t>
      </w:r>
      <w:r w:rsidRPr="0093610D">
        <w:t xml:space="preserve">, as follows: </w:t>
      </w:r>
      <w:r w:rsidR="001F763E" w:rsidRPr="0093610D">
        <w:t>-</w:t>
      </w:r>
    </w:p>
    <w:p w14:paraId="35F94AEA" w14:textId="77777777" w:rsidR="00924BA3" w:rsidRPr="0093610D" w:rsidRDefault="00924BA3" w:rsidP="00996504">
      <w:pPr>
        <w:pStyle w:val="ListParagraph"/>
        <w:spacing w:after="160" w:line="480" w:lineRule="auto"/>
        <w:jc w:val="both"/>
      </w:pPr>
      <w:r w:rsidRPr="0093610D">
        <w:t>“</w:t>
      </w:r>
      <w:r w:rsidR="00025D9A" w:rsidRPr="0093610D">
        <w:t>… I</w:t>
      </w:r>
      <w:r w:rsidRPr="0093610D">
        <w:t xml:space="preserve">n addition to the foregoing, there is a </w:t>
      </w:r>
      <w:r w:rsidRPr="008C33E0">
        <w:rPr>
          <w:u w:val="single"/>
        </w:rPr>
        <w:t>commercial urgency</w:t>
      </w:r>
      <w:r w:rsidRPr="0093610D">
        <w:t xml:space="preserve"> to the proceedings and therefore the proceedings would benefit greatly from the procedures available in the </w:t>
      </w:r>
      <w:r w:rsidR="00025D9A" w:rsidRPr="0093610D">
        <w:t>C</w:t>
      </w:r>
      <w:r w:rsidRPr="0093610D">
        <w:t xml:space="preserve">ommercial </w:t>
      </w:r>
      <w:r w:rsidR="00025D9A" w:rsidRPr="0093610D">
        <w:t>L</w:t>
      </w:r>
      <w:r w:rsidRPr="0093610D">
        <w:t>ist under O</w:t>
      </w:r>
      <w:r w:rsidR="00025D9A" w:rsidRPr="0093610D">
        <w:t xml:space="preserve">rder </w:t>
      </w:r>
      <w:r w:rsidRPr="0093610D">
        <w:t xml:space="preserve">63A.” </w:t>
      </w:r>
      <w:r w:rsidR="008C33E0">
        <w:t>(Emphasis added)</w:t>
      </w:r>
    </w:p>
    <w:p w14:paraId="37BBC0A3" w14:textId="77777777" w:rsidR="00924BA3" w:rsidRPr="0093610D" w:rsidRDefault="00924BA3" w:rsidP="00996504">
      <w:pPr>
        <w:spacing w:after="160" w:line="480" w:lineRule="auto"/>
        <w:jc w:val="both"/>
      </w:pPr>
      <w:r w:rsidRPr="0093610D">
        <w:t>This certificate was dated 1 February 2013</w:t>
      </w:r>
      <w:r w:rsidR="001F763E" w:rsidRPr="0093610D">
        <w:t xml:space="preserve">, </w:t>
      </w:r>
      <w:proofErr w:type="gramStart"/>
      <w:r w:rsidRPr="0093610D">
        <w:t>in excess of</w:t>
      </w:r>
      <w:proofErr w:type="gramEnd"/>
      <w:r w:rsidRPr="0093610D">
        <w:t xml:space="preserve"> eight years ago. </w:t>
      </w:r>
      <w:proofErr w:type="gramStart"/>
      <w:r w:rsidRPr="0093610D">
        <w:t>In the course of</w:t>
      </w:r>
      <w:proofErr w:type="gramEnd"/>
      <w:r w:rsidRPr="0093610D">
        <w:t xml:space="preserve"> the hearing</w:t>
      </w:r>
      <w:r w:rsidR="00025D9A" w:rsidRPr="0093610D">
        <w:t xml:space="preserve"> of</w:t>
      </w:r>
      <w:r w:rsidRPr="0093610D">
        <w:t xml:space="preserve"> this application an inquiry was made</w:t>
      </w:r>
      <w:r w:rsidR="00357C97" w:rsidRPr="0093610D">
        <w:t xml:space="preserve"> as</w:t>
      </w:r>
      <w:r w:rsidRPr="0093610D">
        <w:t xml:space="preserve"> to what was the </w:t>
      </w:r>
      <w:r w:rsidRPr="0093610D">
        <w:rPr>
          <w:i/>
          <w:iCs/>
        </w:rPr>
        <w:t>“commercial urgency”</w:t>
      </w:r>
      <w:r w:rsidRPr="0093610D">
        <w:t xml:space="preserve"> referred to. Counsel for the plaintiff was unable to enlighten the </w:t>
      </w:r>
      <w:r w:rsidR="00025D9A" w:rsidRPr="0093610D">
        <w:t>C</w:t>
      </w:r>
      <w:r w:rsidRPr="0093610D">
        <w:t>ourt</w:t>
      </w:r>
      <w:r w:rsidR="00025D9A" w:rsidRPr="0093610D">
        <w:t xml:space="preserve"> </w:t>
      </w:r>
      <w:r w:rsidRPr="0093610D">
        <w:t xml:space="preserve">on this. </w:t>
      </w:r>
    </w:p>
    <w:p w14:paraId="38D9FE96" w14:textId="77777777" w:rsidR="00924BA3" w:rsidRPr="0093610D" w:rsidRDefault="00924BA3" w:rsidP="00996504">
      <w:pPr>
        <w:pStyle w:val="ListParagraph"/>
        <w:numPr>
          <w:ilvl w:val="0"/>
          <w:numId w:val="4"/>
        </w:numPr>
        <w:spacing w:after="160" w:line="480" w:lineRule="auto"/>
        <w:jc w:val="both"/>
      </w:pPr>
      <w:r w:rsidRPr="0093610D">
        <w:t>In his replying affidavit</w:t>
      </w:r>
      <w:r w:rsidR="00025D9A" w:rsidRPr="0093610D">
        <w:t xml:space="preserve">, </w:t>
      </w:r>
      <w:r w:rsidRPr="0093610D">
        <w:t>the second named defendant set out the basis for his defence to these proceedings</w:t>
      </w:r>
      <w:r w:rsidR="00025D9A" w:rsidRPr="0093610D">
        <w:t xml:space="preserve">, </w:t>
      </w:r>
      <w:r w:rsidRPr="0093610D">
        <w:t>namely</w:t>
      </w:r>
      <w:r w:rsidR="00025D9A" w:rsidRPr="0093610D">
        <w:t xml:space="preserve">: </w:t>
      </w:r>
      <w:r w:rsidRPr="0093610D">
        <w:t>undue influence of which Ulster Bank</w:t>
      </w:r>
      <w:r w:rsidR="00025D9A" w:rsidRPr="0093610D">
        <w:t xml:space="preserve"> Ireland</w:t>
      </w:r>
      <w:r w:rsidRPr="0093610D">
        <w:t xml:space="preserve"> Ltd (the plaintiff’s predecessor) had constructive notice of and a failure to ensure that the second named defendant obtained independent legal advice. If these proceedings </w:t>
      </w:r>
      <w:proofErr w:type="gramStart"/>
      <w:r w:rsidRPr="0093610D">
        <w:t>were allowed to</w:t>
      </w:r>
      <w:proofErr w:type="gramEnd"/>
      <w:r w:rsidRPr="0093610D">
        <w:t xml:space="preserve"> continue</w:t>
      </w:r>
      <w:r w:rsidR="00025D9A" w:rsidRPr="0093610D">
        <w:t xml:space="preserve">, </w:t>
      </w:r>
      <w:r w:rsidRPr="0093610D">
        <w:t>it would require the giving of evidence of conversations that took place</w:t>
      </w:r>
      <w:r w:rsidR="006150BC" w:rsidRPr="0093610D">
        <w:t xml:space="preserve">, </w:t>
      </w:r>
      <w:r w:rsidRPr="0093610D">
        <w:t>allegedly</w:t>
      </w:r>
      <w:r w:rsidR="006150BC" w:rsidRPr="0093610D">
        <w:t xml:space="preserve">, </w:t>
      </w:r>
      <w:r w:rsidRPr="0093610D">
        <w:t xml:space="preserve">in informal settings many years ago. Passage of time will make it </w:t>
      </w:r>
      <w:proofErr w:type="gramStart"/>
      <w:r w:rsidRPr="0093610D">
        <w:t>all the more</w:t>
      </w:r>
      <w:proofErr w:type="gramEnd"/>
      <w:r w:rsidRPr="0093610D">
        <w:t xml:space="preserve"> difficult for a court hearing this matter at a trial date, which will inevitably be over a year’s time, to decide where the truth lies. Further, the second named defendant is now some 78 years of age, retired and has undergone heart surgery. Having had these proceedings </w:t>
      </w:r>
      <w:r w:rsidRPr="0093610D">
        <w:rPr>
          <w:i/>
          <w:iCs/>
        </w:rPr>
        <w:t>“hanging over”</w:t>
      </w:r>
      <w:r w:rsidRPr="0093610D">
        <w:t xml:space="preserve"> him for the past nine years</w:t>
      </w:r>
      <w:r w:rsidR="003E196B" w:rsidRPr="0093610D">
        <w:t xml:space="preserve">, </w:t>
      </w:r>
      <w:r w:rsidRPr="0093610D">
        <w:t xml:space="preserve">and </w:t>
      </w:r>
      <w:r w:rsidR="00D45F53" w:rsidRPr="0093610D">
        <w:t>possibly</w:t>
      </w:r>
      <w:r w:rsidRPr="0093610D">
        <w:t xml:space="preserve"> for a further year into the future, must have been a source of stress and upset. I am </w:t>
      </w:r>
      <w:r w:rsidRPr="0093610D">
        <w:lastRenderedPageBreak/>
        <w:t xml:space="preserve">satisfied that the second named defendant has reached the threshold of prejudice as identified by Irvine P. in </w:t>
      </w:r>
      <w:r w:rsidRPr="0093610D">
        <w:rPr>
          <w:i/>
        </w:rPr>
        <w:t xml:space="preserve">Flynn v. The Minister for Justice, </w:t>
      </w:r>
      <w:r w:rsidRPr="0093610D">
        <w:t xml:space="preserve">referred to above. </w:t>
      </w:r>
      <w:r w:rsidR="00706E51" w:rsidRPr="0093610D">
        <w:t>I am further satisfied that no acquiescence has been identified on the part of the second named defendant.</w:t>
      </w:r>
    </w:p>
    <w:p w14:paraId="1E08A460" w14:textId="77777777" w:rsidR="00924BA3" w:rsidRPr="0093610D" w:rsidRDefault="00CE0696" w:rsidP="00996504">
      <w:pPr>
        <w:pStyle w:val="ListParagraph"/>
        <w:numPr>
          <w:ilvl w:val="0"/>
          <w:numId w:val="4"/>
        </w:numPr>
        <w:spacing w:after="160" w:line="480" w:lineRule="auto"/>
        <w:jc w:val="both"/>
      </w:pPr>
      <w:r w:rsidRPr="0093610D">
        <w:t>For the above reasons</w:t>
      </w:r>
      <w:r w:rsidR="00025D9A" w:rsidRPr="0093610D">
        <w:t xml:space="preserve">, </w:t>
      </w:r>
      <w:r w:rsidRPr="0093610D">
        <w:t xml:space="preserve">I conclude that the balance of justice lies in favour of </w:t>
      </w:r>
      <w:r w:rsidR="00150A12" w:rsidRPr="0093610D">
        <w:t xml:space="preserve">granting </w:t>
      </w:r>
      <w:r w:rsidRPr="0093610D">
        <w:t xml:space="preserve">the </w:t>
      </w:r>
      <w:r w:rsidR="00902859" w:rsidRPr="0093610D">
        <w:t>reliefs</w:t>
      </w:r>
      <w:r w:rsidRPr="0093610D">
        <w:t xml:space="preserve"> being sought by the second named defendant. </w:t>
      </w:r>
    </w:p>
    <w:p w14:paraId="4C96AF38" w14:textId="77777777" w:rsidR="00CE0696" w:rsidRPr="0093610D" w:rsidRDefault="00CE0696" w:rsidP="00996504">
      <w:pPr>
        <w:pStyle w:val="ListParagraph"/>
        <w:spacing w:after="160" w:line="480" w:lineRule="auto"/>
        <w:ind w:left="0"/>
        <w:jc w:val="both"/>
        <w:rPr>
          <w:b/>
          <w:u w:val="single"/>
        </w:rPr>
      </w:pPr>
      <w:r w:rsidRPr="0093610D">
        <w:rPr>
          <w:b/>
          <w:u w:val="single"/>
        </w:rPr>
        <w:t xml:space="preserve">Conclusion </w:t>
      </w:r>
    </w:p>
    <w:p w14:paraId="4BCCE7F6" w14:textId="77777777" w:rsidR="00CE0696" w:rsidRPr="0093610D" w:rsidRDefault="00902859" w:rsidP="00996504">
      <w:pPr>
        <w:pStyle w:val="ListParagraph"/>
        <w:numPr>
          <w:ilvl w:val="0"/>
          <w:numId w:val="4"/>
        </w:numPr>
        <w:spacing w:after="160" w:line="480" w:lineRule="auto"/>
        <w:jc w:val="both"/>
      </w:pPr>
      <w:r w:rsidRPr="0093610D">
        <w:t>By reason of the foregoing</w:t>
      </w:r>
      <w:r w:rsidR="00025D9A" w:rsidRPr="0093610D">
        <w:t xml:space="preserve">, </w:t>
      </w:r>
      <w:r w:rsidRPr="0093610D">
        <w:t>I will make an order in terms of the second named defendant’s notice of motion and dismiss the proceedings as against him. As for costs</w:t>
      </w:r>
      <w:r w:rsidR="00025D9A" w:rsidRPr="0093610D">
        <w:t xml:space="preserve">, </w:t>
      </w:r>
      <w:r w:rsidRPr="0093610D">
        <w:t xml:space="preserve">my provisional view is that as the second named defendant has been </w:t>
      </w:r>
      <w:r w:rsidRPr="0093610D">
        <w:rPr>
          <w:i/>
          <w:iCs/>
        </w:rPr>
        <w:t>“entirely successful”</w:t>
      </w:r>
      <w:r w:rsidRPr="0093610D">
        <w:t xml:space="preserve"> in this application</w:t>
      </w:r>
      <w:r w:rsidR="00025D9A" w:rsidRPr="0093610D">
        <w:t xml:space="preserve">, </w:t>
      </w:r>
      <w:r w:rsidRPr="0093610D">
        <w:t xml:space="preserve">he is entitled both </w:t>
      </w:r>
      <w:r w:rsidR="00025D9A" w:rsidRPr="0093610D">
        <w:t xml:space="preserve">to </w:t>
      </w:r>
      <w:r w:rsidRPr="0093610D">
        <w:t xml:space="preserve">the costs </w:t>
      </w:r>
      <w:r w:rsidR="00150A12" w:rsidRPr="0093610D">
        <w:t xml:space="preserve">of </w:t>
      </w:r>
      <w:r w:rsidRPr="0093610D">
        <w:t xml:space="preserve">defending these proceedings to date and </w:t>
      </w:r>
      <w:r w:rsidR="00025D9A" w:rsidRPr="0093610D">
        <w:t xml:space="preserve">to </w:t>
      </w:r>
      <w:r w:rsidRPr="0093610D">
        <w:t>the costs of this application, such costs to include reserve</w:t>
      </w:r>
      <w:r w:rsidR="00025D9A" w:rsidRPr="0093610D">
        <w:t>d</w:t>
      </w:r>
      <w:r w:rsidRPr="0093610D">
        <w:t xml:space="preserve"> costs, </w:t>
      </w:r>
      <w:r w:rsidR="00025D9A" w:rsidRPr="0093610D">
        <w:t xml:space="preserve">to </w:t>
      </w:r>
      <w:r w:rsidRPr="0093610D">
        <w:t xml:space="preserve">be adjudicated in default of agreement. I will put the matter in for mention in this </w:t>
      </w:r>
      <w:r w:rsidR="00025D9A" w:rsidRPr="0093610D">
        <w:t>C</w:t>
      </w:r>
      <w:r w:rsidRPr="0093610D">
        <w:t xml:space="preserve">ourt on 20 January 2022. </w:t>
      </w:r>
    </w:p>
    <w:sectPr w:rsidR="00CE0696" w:rsidRPr="0093610D" w:rsidSect="009E70E8">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9A08B" w14:textId="77777777" w:rsidR="00025D9A" w:rsidRDefault="00025D9A" w:rsidP="009E70E8">
      <w:r>
        <w:separator/>
      </w:r>
    </w:p>
  </w:endnote>
  <w:endnote w:type="continuationSeparator" w:id="0">
    <w:p w14:paraId="6F805906" w14:textId="77777777" w:rsidR="00025D9A" w:rsidRDefault="00025D9A"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7892654"/>
      <w:docPartObj>
        <w:docPartGallery w:val="Page Numbers (Bottom of Page)"/>
        <w:docPartUnique/>
      </w:docPartObj>
    </w:sdtPr>
    <w:sdtEndPr>
      <w:rPr>
        <w:noProof/>
      </w:rPr>
    </w:sdtEndPr>
    <w:sdtContent>
      <w:p w14:paraId="42A2018E" w14:textId="77777777" w:rsidR="00025D9A" w:rsidRDefault="00025D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27E46" w14:textId="77777777" w:rsidR="00025D9A" w:rsidRDefault="00025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BA26F" w14:textId="77777777" w:rsidR="00025D9A" w:rsidRDefault="00025D9A" w:rsidP="009E70E8">
      <w:r>
        <w:separator/>
      </w:r>
    </w:p>
  </w:footnote>
  <w:footnote w:type="continuationSeparator" w:id="0">
    <w:p w14:paraId="5CF64728" w14:textId="77777777" w:rsidR="00025D9A" w:rsidRDefault="00025D9A"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938E3" w14:textId="77777777" w:rsidR="00025D9A" w:rsidRDefault="00025D9A" w:rsidP="00996504">
    <w:pPr>
      <w:pStyle w:val="Header"/>
    </w:pPr>
  </w:p>
  <w:p w14:paraId="03D819E9" w14:textId="77777777" w:rsidR="00025D9A" w:rsidRDefault="00025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8B74E74"/>
    <w:multiLevelType w:val="hybridMultilevel"/>
    <w:tmpl w:val="F5267C2C"/>
    <w:lvl w:ilvl="0" w:tplc="35D0D320">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27231A1C"/>
    <w:multiLevelType w:val="hybridMultilevel"/>
    <w:tmpl w:val="9904C1E4"/>
    <w:lvl w:ilvl="0" w:tplc="B400ECD8">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40380"/>
    <w:multiLevelType w:val="hybridMultilevel"/>
    <w:tmpl w:val="F38CD4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25D9A"/>
    <w:rsid w:val="00051082"/>
    <w:rsid w:val="00052F13"/>
    <w:rsid w:val="000715E9"/>
    <w:rsid w:val="000C1808"/>
    <w:rsid w:val="000E1464"/>
    <w:rsid w:val="000F018B"/>
    <w:rsid w:val="00145457"/>
    <w:rsid w:val="00150A12"/>
    <w:rsid w:val="00156E63"/>
    <w:rsid w:val="00172410"/>
    <w:rsid w:val="001728A8"/>
    <w:rsid w:val="00175902"/>
    <w:rsid w:val="001B1983"/>
    <w:rsid w:val="001C2D3F"/>
    <w:rsid w:val="001F590B"/>
    <w:rsid w:val="001F763E"/>
    <w:rsid w:val="00213A87"/>
    <w:rsid w:val="0021657E"/>
    <w:rsid w:val="0024691B"/>
    <w:rsid w:val="002551CA"/>
    <w:rsid w:val="002A444A"/>
    <w:rsid w:val="002E41CE"/>
    <w:rsid w:val="002F23A5"/>
    <w:rsid w:val="00357C97"/>
    <w:rsid w:val="00372996"/>
    <w:rsid w:val="00387D79"/>
    <w:rsid w:val="003D0483"/>
    <w:rsid w:val="003E196B"/>
    <w:rsid w:val="003E4A13"/>
    <w:rsid w:val="004D10D7"/>
    <w:rsid w:val="004D5F2D"/>
    <w:rsid w:val="0051132C"/>
    <w:rsid w:val="005654C8"/>
    <w:rsid w:val="005A466E"/>
    <w:rsid w:val="005C2407"/>
    <w:rsid w:val="005C2495"/>
    <w:rsid w:val="005C39ED"/>
    <w:rsid w:val="005F7F43"/>
    <w:rsid w:val="006150BC"/>
    <w:rsid w:val="006174A2"/>
    <w:rsid w:val="00644C51"/>
    <w:rsid w:val="0066347A"/>
    <w:rsid w:val="00670818"/>
    <w:rsid w:val="00706E51"/>
    <w:rsid w:val="00717912"/>
    <w:rsid w:val="00721F9E"/>
    <w:rsid w:val="007808D7"/>
    <w:rsid w:val="007818CC"/>
    <w:rsid w:val="00783C6C"/>
    <w:rsid w:val="007F1903"/>
    <w:rsid w:val="007F3AC0"/>
    <w:rsid w:val="00804392"/>
    <w:rsid w:val="0087460C"/>
    <w:rsid w:val="008C33E0"/>
    <w:rsid w:val="008E3510"/>
    <w:rsid w:val="00902859"/>
    <w:rsid w:val="00917AF4"/>
    <w:rsid w:val="00924BA3"/>
    <w:rsid w:val="0093610D"/>
    <w:rsid w:val="00996504"/>
    <w:rsid w:val="009B2771"/>
    <w:rsid w:val="009D2382"/>
    <w:rsid w:val="009E686B"/>
    <w:rsid w:val="009E70E8"/>
    <w:rsid w:val="009F01CC"/>
    <w:rsid w:val="00AA694F"/>
    <w:rsid w:val="00AB566B"/>
    <w:rsid w:val="00AD7212"/>
    <w:rsid w:val="00AF5197"/>
    <w:rsid w:val="00B25131"/>
    <w:rsid w:val="00B25737"/>
    <w:rsid w:val="00B505A2"/>
    <w:rsid w:val="00B719D9"/>
    <w:rsid w:val="00BC1831"/>
    <w:rsid w:val="00C02605"/>
    <w:rsid w:val="00C160B0"/>
    <w:rsid w:val="00CE0696"/>
    <w:rsid w:val="00CE50ED"/>
    <w:rsid w:val="00CE7B29"/>
    <w:rsid w:val="00D45F53"/>
    <w:rsid w:val="00D539DE"/>
    <w:rsid w:val="00DB0701"/>
    <w:rsid w:val="00DB7279"/>
    <w:rsid w:val="00DD7EF4"/>
    <w:rsid w:val="00DE6E96"/>
    <w:rsid w:val="00E24B11"/>
    <w:rsid w:val="00E35B46"/>
    <w:rsid w:val="00E366F4"/>
    <w:rsid w:val="00E45DA6"/>
    <w:rsid w:val="00E52F09"/>
    <w:rsid w:val="00E65C08"/>
    <w:rsid w:val="00EA33EB"/>
    <w:rsid w:val="00EF4C56"/>
    <w:rsid w:val="00F154AC"/>
    <w:rsid w:val="00F42366"/>
    <w:rsid w:val="00F570D0"/>
    <w:rsid w:val="00FC4226"/>
    <w:rsid w:val="00FD75D1"/>
    <w:rsid w:val="00FF0B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9B1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paragraph" w:styleId="FootnoteText">
    <w:name w:val="footnote text"/>
    <w:basedOn w:val="Normal"/>
    <w:link w:val="FootnoteTextChar"/>
    <w:uiPriority w:val="99"/>
    <w:semiHidden/>
    <w:unhideWhenUsed/>
    <w:rsid w:val="00996504"/>
    <w:rPr>
      <w:sz w:val="20"/>
      <w:szCs w:val="20"/>
    </w:rPr>
  </w:style>
  <w:style w:type="character" w:customStyle="1" w:styleId="FootnoteTextChar">
    <w:name w:val="Footnote Text Char"/>
    <w:basedOn w:val="DefaultParagraphFont"/>
    <w:link w:val="FootnoteText"/>
    <w:uiPriority w:val="99"/>
    <w:semiHidden/>
    <w:rsid w:val="00996504"/>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996504"/>
    <w:rPr>
      <w:vertAlign w:val="superscript"/>
    </w:rPr>
  </w:style>
  <w:style w:type="paragraph" w:styleId="BalloonText">
    <w:name w:val="Balloon Text"/>
    <w:basedOn w:val="Normal"/>
    <w:link w:val="BalloonTextChar"/>
    <w:uiPriority w:val="99"/>
    <w:semiHidden/>
    <w:unhideWhenUsed/>
    <w:rsid w:val="00AD72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212"/>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9EEFD-C390-437A-967E-076D88F9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2261</Words>
  <Characters>12890</Characters>
  <Application>Microsoft Office Word</Application>
  <DocSecurity>0</DocSecurity>
  <Lines>107</Lines>
  <Paragraphs>30</Paragraphs>
  <ScaleCrop>false</ScaleCrop>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2022-01-06T09:57:00Z</dcterms:created>
  <dcterms:modified xsi:type="dcterms:W3CDTF">2022-01-06T09:57:00Z</dcterms:modified>
</cp:coreProperties>
</file>