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DDB6D" w14:textId="77777777" w:rsidR="00775B8D" w:rsidRPr="00DB4DD0" w:rsidRDefault="00775B8D" w:rsidP="00775B8D">
      <w:pPr>
        <w:spacing w:line="360" w:lineRule="auto"/>
        <w:jc w:val="center"/>
        <w:rPr>
          <w:rFonts w:eastAsia="Calibri"/>
          <w:b/>
          <w:sz w:val="32"/>
          <w:szCs w:val="32"/>
          <w:lang w:eastAsia="en-US"/>
        </w:rPr>
      </w:pPr>
      <w:bookmarkStart w:id="0" w:name="_GoBack"/>
      <w:bookmarkEnd w:id="0"/>
      <w:r w:rsidRPr="00DB4DD0">
        <w:rPr>
          <w:rFonts w:eastAsia="Calibri"/>
          <w:b/>
          <w:sz w:val="32"/>
          <w:szCs w:val="32"/>
          <w:lang w:eastAsia="en-US"/>
        </w:rPr>
        <w:t>THE COURT OF APPEAL</w:t>
      </w:r>
    </w:p>
    <w:p w14:paraId="3987C0AF" w14:textId="77777777" w:rsidR="00775B8D" w:rsidRDefault="00775B8D" w:rsidP="00775B8D">
      <w:pPr>
        <w:jc w:val="right"/>
        <w:rPr>
          <w:rFonts w:eastAsia="Calibri"/>
          <w:b/>
          <w:sz w:val="28"/>
          <w:u w:val="single"/>
          <w:lang w:eastAsia="en-US"/>
        </w:rPr>
      </w:pPr>
    </w:p>
    <w:p w14:paraId="27F7DC7B" w14:textId="77777777" w:rsidR="00775B8D" w:rsidRPr="00F348F5" w:rsidRDefault="00775B8D" w:rsidP="00F348F5">
      <w:pPr>
        <w:jc w:val="right"/>
        <w:rPr>
          <w:rFonts w:eastAsia="Calibri"/>
          <w:b/>
          <w:sz w:val="28"/>
          <w:u w:val="single"/>
          <w:lang w:eastAsia="en-US"/>
        </w:rPr>
      </w:pPr>
      <w:r w:rsidRPr="00101EA1">
        <w:rPr>
          <w:rFonts w:eastAsia="Calibri"/>
          <w:b/>
          <w:sz w:val="28"/>
          <w:u w:val="single"/>
          <w:lang w:eastAsia="en-US"/>
        </w:rPr>
        <w:t>UNAPPROVED</w:t>
      </w:r>
    </w:p>
    <w:p w14:paraId="6AD22B87" w14:textId="77777777" w:rsidR="00775B8D" w:rsidRDefault="00775B8D" w:rsidP="00775B8D">
      <w:pPr>
        <w:jc w:val="right"/>
        <w:rPr>
          <w:rFonts w:eastAsia="Calibri"/>
          <w:b/>
          <w:szCs w:val="22"/>
          <w:lang w:eastAsia="en-US"/>
        </w:rPr>
      </w:pPr>
      <w:r>
        <w:rPr>
          <w:rFonts w:eastAsia="Calibri"/>
          <w:b/>
          <w:szCs w:val="22"/>
          <w:lang w:eastAsia="en-US"/>
        </w:rPr>
        <w:t>Court of Appeal Record Number 2021/41</w:t>
      </w:r>
    </w:p>
    <w:p w14:paraId="1BDCD9E0" w14:textId="77777777" w:rsidR="00775B8D" w:rsidRDefault="00775B8D" w:rsidP="00775B8D">
      <w:pPr>
        <w:jc w:val="right"/>
        <w:rPr>
          <w:rFonts w:eastAsia="Calibri"/>
          <w:b/>
          <w:szCs w:val="22"/>
          <w:lang w:eastAsia="en-US"/>
        </w:rPr>
      </w:pPr>
    </w:p>
    <w:p w14:paraId="029F155C" w14:textId="77777777" w:rsidR="00775B8D" w:rsidRDefault="00775B8D" w:rsidP="00775B8D">
      <w:pPr>
        <w:jc w:val="right"/>
        <w:rPr>
          <w:rFonts w:eastAsia="Calibri"/>
          <w:b/>
          <w:szCs w:val="22"/>
          <w:lang w:eastAsia="en-US"/>
        </w:rPr>
      </w:pPr>
    </w:p>
    <w:p w14:paraId="2C0319A1" w14:textId="77777777" w:rsidR="00775B8D" w:rsidRDefault="00775B8D" w:rsidP="00775B8D">
      <w:pPr>
        <w:jc w:val="right"/>
        <w:rPr>
          <w:rFonts w:eastAsia="Calibri"/>
          <w:b/>
          <w:szCs w:val="22"/>
          <w:lang w:eastAsia="en-US"/>
        </w:rPr>
      </w:pPr>
    </w:p>
    <w:p w14:paraId="0DFAF99B" w14:textId="394EC218" w:rsidR="00775B8D" w:rsidRDefault="00775B8D" w:rsidP="00775B8D">
      <w:pPr>
        <w:jc w:val="both"/>
        <w:rPr>
          <w:rFonts w:eastAsia="Calibri"/>
          <w:b/>
          <w:szCs w:val="22"/>
          <w:lang w:eastAsia="en-US"/>
        </w:rPr>
      </w:pPr>
      <w:r>
        <w:rPr>
          <w:rFonts w:eastAsia="Calibri"/>
          <w:b/>
          <w:szCs w:val="22"/>
          <w:lang w:eastAsia="en-US"/>
        </w:rPr>
        <w:t>Costello J.</w:t>
      </w:r>
      <w:r w:rsidR="00035A47">
        <w:rPr>
          <w:rFonts w:eastAsia="Calibri"/>
          <w:b/>
          <w:szCs w:val="22"/>
          <w:lang w:eastAsia="en-US"/>
        </w:rPr>
        <w:tab/>
      </w:r>
      <w:r w:rsidR="00035A47">
        <w:rPr>
          <w:rFonts w:eastAsia="Calibri"/>
          <w:b/>
          <w:szCs w:val="22"/>
          <w:lang w:eastAsia="en-US"/>
        </w:rPr>
        <w:tab/>
      </w:r>
      <w:r w:rsidR="00035A47">
        <w:rPr>
          <w:rFonts w:eastAsia="Calibri"/>
          <w:b/>
          <w:szCs w:val="22"/>
          <w:lang w:eastAsia="en-US"/>
        </w:rPr>
        <w:tab/>
      </w:r>
      <w:r w:rsidR="00035A47">
        <w:rPr>
          <w:rFonts w:eastAsia="Calibri"/>
          <w:b/>
          <w:szCs w:val="22"/>
          <w:lang w:eastAsia="en-US"/>
        </w:rPr>
        <w:tab/>
      </w:r>
      <w:r w:rsidR="00035A47">
        <w:rPr>
          <w:rFonts w:eastAsia="Calibri"/>
          <w:b/>
          <w:szCs w:val="22"/>
          <w:lang w:eastAsia="en-US"/>
        </w:rPr>
        <w:tab/>
      </w:r>
      <w:r w:rsidR="00035A47">
        <w:rPr>
          <w:rFonts w:eastAsia="Calibri"/>
          <w:b/>
          <w:szCs w:val="22"/>
          <w:lang w:eastAsia="en-US"/>
        </w:rPr>
        <w:tab/>
      </w:r>
      <w:r w:rsidR="00035A47">
        <w:rPr>
          <w:rFonts w:eastAsia="Calibri"/>
          <w:b/>
          <w:szCs w:val="22"/>
          <w:lang w:eastAsia="en-US"/>
        </w:rPr>
        <w:tab/>
      </w:r>
      <w:r w:rsidR="00035A47">
        <w:rPr>
          <w:rFonts w:eastAsia="Calibri"/>
          <w:b/>
          <w:szCs w:val="22"/>
          <w:lang w:eastAsia="en-US"/>
        </w:rPr>
        <w:tab/>
      </w:r>
      <w:r w:rsidR="00035A47">
        <w:rPr>
          <w:rFonts w:eastAsia="Calibri"/>
          <w:b/>
          <w:szCs w:val="22"/>
          <w:lang w:eastAsia="en-US"/>
        </w:rPr>
        <w:tab/>
      </w:r>
      <w:r w:rsidR="00035A47">
        <w:rPr>
          <w:rFonts w:eastAsia="Calibri"/>
          <w:b/>
          <w:szCs w:val="22"/>
          <w:lang w:eastAsia="en-US"/>
        </w:rPr>
        <w:tab/>
      </w:r>
      <w:r w:rsidR="00035A47">
        <w:rPr>
          <w:rFonts w:eastAsia="Calibri"/>
          <w:b/>
          <w:szCs w:val="22"/>
          <w:lang w:eastAsia="en-US"/>
        </w:rPr>
        <w:tab/>
      </w:r>
      <w:r w:rsidR="00035A47">
        <w:rPr>
          <w:rFonts w:eastAsia="Calibri"/>
          <w:b/>
          <w:szCs w:val="22"/>
          <w:lang w:eastAsia="en-US"/>
        </w:rPr>
        <w:tab/>
      </w:r>
      <w:r w:rsidR="00035A47">
        <w:rPr>
          <w:rFonts w:eastAsia="Calibri"/>
          <w:b/>
          <w:szCs w:val="22"/>
          <w:lang w:eastAsia="en-US"/>
        </w:rPr>
        <w:tab/>
        <w:t xml:space="preserve">                                    Neutral Citation Number [2022] IECA 8</w:t>
      </w:r>
    </w:p>
    <w:p w14:paraId="704657B1" w14:textId="77777777" w:rsidR="00775B8D" w:rsidRDefault="00F348F5" w:rsidP="00775B8D">
      <w:pPr>
        <w:jc w:val="both"/>
        <w:rPr>
          <w:rFonts w:eastAsia="Calibri"/>
          <w:b/>
          <w:szCs w:val="22"/>
          <w:lang w:eastAsia="en-US"/>
        </w:rPr>
      </w:pPr>
      <w:r>
        <w:rPr>
          <w:rFonts w:eastAsia="Calibri"/>
          <w:b/>
          <w:szCs w:val="22"/>
          <w:lang w:eastAsia="en-US"/>
        </w:rPr>
        <w:t>Noonan J.</w:t>
      </w:r>
    </w:p>
    <w:p w14:paraId="559F1DD5" w14:textId="77777777" w:rsidR="00F348F5" w:rsidRDefault="00F348F5" w:rsidP="00775B8D">
      <w:pPr>
        <w:jc w:val="both"/>
        <w:rPr>
          <w:rFonts w:eastAsia="Calibri"/>
          <w:b/>
          <w:szCs w:val="22"/>
          <w:lang w:eastAsia="en-US"/>
        </w:rPr>
      </w:pPr>
      <w:r>
        <w:rPr>
          <w:rFonts w:eastAsia="Calibri"/>
          <w:b/>
          <w:szCs w:val="22"/>
          <w:lang w:eastAsia="en-US"/>
        </w:rPr>
        <w:t>Barniville J.</w:t>
      </w:r>
    </w:p>
    <w:p w14:paraId="54484A05" w14:textId="77777777" w:rsidR="00775B8D" w:rsidRDefault="00775B8D" w:rsidP="00775B8D">
      <w:pPr>
        <w:jc w:val="both"/>
        <w:rPr>
          <w:rFonts w:eastAsia="Calibri"/>
          <w:b/>
          <w:szCs w:val="22"/>
          <w:lang w:eastAsia="en-US"/>
        </w:rPr>
      </w:pPr>
    </w:p>
    <w:p w14:paraId="744C9341" w14:textId="77777777" w:rsidR="00775B8D" w:rsidRDefault="00775B8D" w:rsidP="00775B8D">
      <w:pPr>
        <w:jc w:val="both"/>
        <w:rPr>
          <w:rFonts w:eastAsia="Calibri"/>
          <w:b/>
          <w:szCs w:val="22"/>
          <w:lang w:eastAsia="en-US"/>
        </w:rPr>
      </w:pPr>
    </w:p>
    <w:p w14:paraId="38BA24F7" w14:textId="77777777" w:rsidR="00775B8D" w:rsidRDefault="00775B8D" w:rsidP="00775B8D">
      <w:pPr>
        <w:jc w:val="both"/>
        <w:rPr>
          <w:rFonts w:eastAsia="Calibri"/>
          <w:b/>
          <w:szCs w:val="22"/>
          <w:lang w:eastAsia="en-US"/>
        </w:rPr>
      </w:pPr>
    </w:p>
    <w:p w14:paraId="5828F76A" w14:textId="77777777" w:rsidR="00775B8D" w:rsidRPr="00BB74FA" w:rsidRDefault="00775B8D" w:rsidP="00775B8D">
      <w:pPr>
        <w:rPr>
          <w:rFonts w:eastAsia="Calibri"/>
          <w:b/>
          <w:szCs w:val="22"/>
          <w:lang w:eastAsia="en-US"/>
        </w:rPr>
      </w:pPr>
      <w:r w:rsidRPr="00BB74FA">
        <w:rPr>
          <w:rFonts w:eastAsia="Calibri"/>
          <w:b/>
          <w:szCs w:val="22"/>
          <w:lang w:eastAsia="en-US"/>
        </w:rPr>
        <w:t>BETWEEN</w:t>
      </w:r>
    </w:p>
    <w:p w14:paraId="36A875A0" w14:textId="77777777" w:rsidR="00775B8D" w:rsidRDefault="00775B8D" w:rsidP="00775B8D">
      <w:pPr>
        <w:rPr>
          <w:rFonts w:eastAsia="Calibri"/>
          <w:b/>
          <w:szCs w:val="22"/>
          <w:lang w:eastAsia="en-US"/>
        </w:rPr>
      </w:pPr>
    </w:p>
    <w:p w14:paraId="77B545FA" w14:textId="77777777" w:rsidR="00775B8D" w:rsidRDefault="00775B8D" w:rsidP="00775B8D">
      <w:pPr>
        <w:rPr>
          <w:rFonts w:eastAsia="Calibri"/>
          <w:b/>
          <w:szCs w:val="22"/>
          <w:lang w:eastAsia="en-US"/>
        </w:rPr>
      </w:pPr>
    </w:p>
    <w:p w14:paraId="004A7346" w14:textId="77777777" w:rsidR="00775B8D" w:rsidRDefault="00775B8D" w:rsidP="00775B8D">
      <w:pPr>
        <w:jc w:val="center"/>
        <w:rPr>
          <w:rFonts w:eastAsia="Calibri"/>
          <w:b/>
          <w:szCs w:val="22"/>
          <w:lang w:eastAsia="en-US"/>
        </w:rPr>
      </w:pPr>
      <w:r>
        <w:rPr>
          <w:rFonts w:eastAsia="Calibri"/>
          <w:b/>
          <w:szCs w:val="22"/>
          <w:lang w:eastAsia="en-US"/>
        </w:rPr>
        <w:t>RECORDED ARTISTS ACTORS PERFORMERS LIMITED</w:t>
      </w:r>
    </w:p>
    <w:p w14:paraId="4334E3D3" w14:textId="77777777" w:rsidR="00775B8D" w:rsidRPr="001205CA" w:rsidRDefault="00775B8D" w:rsidP="00775B8D">
      <w:pPr>
        <w:jc w:val="center"/>
        <w:rPr>
          <w:rFonts w:eastAsia="Calibri"/>
          <w:b/>
          <w:szCs w:val="22"/>
          <w:lang w:eastAsia="en-US"/>
        </w:rPr>
      </w:pPr>
    </w:p>
    <w:p w14:paraId="5F14F39D" w14:textId="77777777" w:rsidR="00775B8D" w:rsidRDefault="00775B8D" w:rsidP="00775B8D">
      <w:pPr>
        <w:jc w:val="right"/>
        <w:rPr>
          <w:rFonts w:eastAsia="Calibri"/>
          <w:b/>
          <w:szCs w:val="22"/>
          <w:lang w:eastAsia="en-US"/>
        </w:rPr>
      </w:pPr>
      <w:r>
        <w:rPr>
          <w:rFonts w:eastAsia="Calibri"/>
          <w:b/>
          <w:szCs w:val="22"/>
          <w:lang w:eastAsia="en-US"/>
        </w:rPr>
        <w:t>PLAINTIFF / RESPONDENT</w:t>
      </w:r>
    </w:p>
    <w:p w14:paraId="41D2ADB8" w14:textId="77777777" w:rsidR="00775B8D" w:rsidRDefault="00775B8D" w:rsidP="00775B8D">
      <w:pPr>
        <w:jc w:val="right"/>
        <w:rPr>
          <w:rFonts w:eastAsia="Calibri"/>
          <w:b/>
          <w:szCs w:val="22"/>
          <w:lang w:eastAsia="en-US"/>
        </w:rPr>
      </w:pPr>
    </w:p>
    <w:p w14:paraId="4A5F43F6" w14:textId="77777777" w:rsidR="00775B8D" w:rsidRDefault="00775B8D" w:rsidP="00775B8D">
      <w:pPr>
        <w:jc w:val="center"/>
        <w:rPr>
          <w:rFonts w:eastAsia="Calibri"/>
          <w:b/>
          <w:szCs w:val="22"/>
          <w:lang w:eastAsia="en-US"/>
        </w:rPr>
      </w:pPr>
      <w:r>
        <w:rPr>
          <w:rFonts w:eastAsia="Calibri"/>
          <w:b/>
          <w:szCs w:val="22"/>
          <w:lang w:eastAsia="en-US"/>
        </w:rPr>
        <w:t>- AND -</w:t>
      </w:r>
    </w:p>
    <w:p w14:paraId="43BEFF38" w14:textId="77777777" w:rsidR="00775B8D" w:rsidRDefault="00775B8D" w:rsidP="00775B8D">
      <w:pPr>
        <w:jc w:val="center"/>
        <w:rPr>
          <w:rFonts w:eastAsia="Calibri"/>
          <w:b/>
          <w:szCs w:val="22"/>
          <w:lang w:eastAsia="en-US"/>
        </w:rPr>
      </w:pPr>
    </w:p>
    <w:p w14:paraId="1151F2CB" w14:textId="77777777" w:rsidR="00775B8D" w:rsidRDefault="00775B8D" w:rsidP="00775B8D">
      <w:pPr>
        <w:jc w:val="center"/>
        <w:rPr>
          <w:rFonts w:eastAsia="Calibri"/>
          <w:b/>
          <w:szCs w:val="22"/>
          <w:lang w:eastAsia="en-US"/>
        </w:rPr>
      </w:pPr>
      <w:r>
        <w:rPr>
          <w:rFonts w:eastAsia="Calibri"/>
          <w:b/>
          <w:szCs w:val="22"/>
          <w:lang w:eastAsia="en-US"/>
        </w:rPr>
        <w:t>PHONOGRAPHIC PERFORMANCE (IRELAND) LIMITED</w:t>
      </w:r>
    </w:p>
    <w:p w14:paraId="0FDC1B5C" w14:textId="77777777" w:rsidR="00775B8D" w:rsidRDefault="00775B8D" w:rsidP="00775B8D">
      <w:pPr>
        <w:jc w:val="center"/>
        <w:rPr>
          <w:rFonts w:eastAsia="Calibri"/>
          <w:b/>
          <w:szCs w:val="22"/>
          <w:lang w:eastAsia="en-US"/>
        </w:rPr>
      </w:pPr>
    </w:p>
    <w:p w14:paraId="0A124216" w14:textId="77777777" w:rsidR="00775B8D" w:rsidRDefault="00775B8D" w:rsidP="00775B8D">
      <w:pPr>
        <w:jc w:val="right"/>
        <w:rPr>
          <w:rFonts w:eastAsia="Calibri"/>
          <w:b/>
          <w:szCs w:val="22"/>
          <w:lang w:eastAsia="en-US"/>
        </w:rPr>
      </w:pPr>
      <w:r>
        <w:rPr>
          <w:rFonts w:eastAsia="Calibri"/>
          <w:b/>
          <w:szCs w:val="22"/>
          <w:lang w:eastAsia="en-US"/>
        </w:rPr>
        <w:t>DEFENDANT / APPELLANT</w:t>
      </w:r>
    </w:p>
    <w:p w14:paraId="797DF92A" w14:textId="77777777" w:rsidR="00775B8D" w:rsidRDefault="00775B8D" w:rsidP="00775B8D">
      <w:pPr>
        <w:jc w:val="right"/>
        <w:rPr>
          <w:rFonts w:eastAsia="Calibri"/>
          <w:b/>
          <w:szCs w:val="22"/>
          <w:lang w:eastAsia="en-US"/>
        </w:rPr>
      </w:pPr>
    </w:p>
    <w:p w14:paraId="70CCC2C8" w14:textId="77777777" w:rsidR="00775B8D" w:rsidRDefault="00775B8D" w:rsidP="00775B8D">
      <w:pPr>
        <w:jc w:val="center"/>
        <w:rPr>
          <w:rFonts w:eastAsia="Calibri"/>
          <w:b/>
          <w:szCs w:val="22"/>
          <w:lang w:eastAsia="en-US"/>
        </w:rPr>
      </w:pPr>
      <w:r>
        <w:rPr>
          <w:rFonts w:eastAsia="Calibri"/>
          <w:b/>
          <w:szCs w:val="22"/>
          <w:lang w:eastAsia="en-US"/>
        </w:rPr>
        <w:t>- AND -</w:t>
      </w:r>
    </w:p>
    <w:p w14:paraId="7A595CAD" w14:textId="77777777" w:rsidR="00775B8D" w:rsidRDefault="00775B8D" w:rsidP="00775B8D">
      <w:pPr>
        <w:jc w:val="center"/>
        <w:rPr>
          <w:rFonts w:eastAsia="Calibri"/>
          <w:b/>
          <w:szCs w:val="22"/>
          <w:lang w:eastAsia="en-US"/>
        </w:rPr>
      </w:pPr>
    </w:p>
    <w:p w14:paraId="514559F3" w14:textId="77777777" w:rsidR="00775B8D" w:rsidRDefault="00775B8D" w:rsidP="00775B8D">
      <w:pPr>
        <w:jc w:val="center"/>
        <w:rPr>
          <w:rFonts w:eastAsia="Calibri"/>
          <w:b/>
          <w:szCs w:val="22"/>
          <w:lang w:eastAsia="en-US"/>
        </w:rPr>
      </w:pPr>
      <w:r>
        <w:rPr>
          <w:rFonts w:eastAsia="Calibri"/>
          <w:b/>
          <w:szCs w:val="22"/>
          <w:lang w:eastAsia="en-US"/>
        </w:rPr>
        <w:t xml:space="preserve">THE MINISTER FOR JOBS, ENTERPRISE AND INNOVATION, IRELAND AND THE ATTORNEY GENERAL </w:t>
      </w:r>
    </w:p>
    <w:p w14:paraId="6C9897EA" w14:textId="77777777" w:rsidR="00775B8D" w:rsidRPr="00BB74FA" w:rsidRDefault="00775B8D" w:rsidP="00775B8D">
      <w:pPr>
        <w:jc w:val="center"/>
        <w:rPr>
          <w:rFonts w:eastAsia="Calibri"/>
          <w:b/>
          <w:szCs w:val="22"/>
          <w:lang w:eastAsia="en-US"/>
        </w:rPr>
      </w:pPr>
    </w:p>
    <w:p w14:paraId="3508E7A4" w14:textId="77777777" w:rsidR="00775B8D" w:rsidRDefault="00775B8D" w:rsidP="00775B8D">
      <w:pPr>
        <w:jc w:val="right"/>
        <w:rPr>
          <w:rFonts w:eastAsia="Calibri"/>
          <w:b/>
          <w:szCs w:val="22"/>
          <w:lang w:eastAsia="en-US"/>
        </w:rPr>
      </w:pPr>
      <w:r>
        <w:rPr>
          <w:rFonts w:eastAsia="Calibri"/>
          <w:b/>
          <w:szCs w:val="22"/>
          <w:lang w:eastAsia="en-US"/>
        </w:rPr>
        <w:t>DEFENDANTS / RESPONDENTS</w:t>
      </w:r>
    </w:p>
    <w:p w14:paraId="31AB4D54" w14:textId="77777777" w:rsidR="00775B8D" w:rsidRDefault="00775B8D" w:rsidP="00775B8D">
      <w:pPr>
        <w:jc w:val="right"/>
        <w:rPr>
          <w:rFonts w:eastAsia="Calibri"/>
          <w:b/>
          <w:szCs w:val="22"/>
          <w:lang w:eastAsia="en-US"/>
        </w:rPr>
      </w:pPr>
    </w:p>
    <w:p w14:paraId="13C265B0" w14:textId="77777777" w:rsidR="00775B8D" w:rsidRDefault="00775B8D" w:rsidP="00775B8D">
      <w:pPr>
        <w:jc w:val="right"/>
        <w:rPr>
          <w:rFonts w:eastAsia="Calibri"/>
          <w:b/>
          <w:szCs w:val="22"/>
          <w:lang w:eastAsia="en-US"/>
        </w:rPr>
      </w:pPr>
    </w:p>
    <w:p w14:paraId="23C3C012" w14:textId="04CDF2AB" w:rsidR="0050791B" w:rsidRDefault="00775B8D" w:rsidP="0050791B">
      <w:pPr>
        <w:pStyle w:val="ListParagraph"/>
        <w:tabs>
          <w:tab w:val="left" w:pos="567"/>
        </w:tabs>
        <w:spacing w:line="480" w:lineRule="auto"/>
        <w:ind w:left="0"/>
        <w:jc w:val="left"/>
        <w:rPr>
          <w:rFonts w:ascii="Times New Roman" w:hAnsi="Times New Roman" w:cs="Times New Roman"/>
          <w:b/>
          <w:sz w:val="24"/>
          <w:szCs w:val="24"/>
          <w:u w:val="single"/>
        </w:rPr>
      </w:pPr>
      <w:r w:rsidRPr="00B431AB">
        <w:rPr>
          <w:rFonts w:ascii="Times New Roman" w:eastAsia="Calibri" w:hAnsi="Times New Roman" w:cs="Times New Roman"/>
          <w:b/>
          <w:sz w:val="24"/>
          <w:szCs w:val="24"/>
          <w:u w:val="single"/>
        </w:rPr>
        <w:t xml:space="preserve">JUDGMENT of Ms. Justice Costello delivered on the </w:t>
      </w:r>
      <w:r w:rsidR="00E028FB">
        <w:rPr>
          <w:rFonts w:ascii="Times New Roman" w:eastAsia="Calibri" w:hAnsi="Times New Roman" w:cs="Times New Roman"/>
          <w:b/>
          <w:sz w:val="24"/>
          <w:szCs w:val="24"/>
          <w:u w:val="single"/>
        </w:rPr>
        <w:t>2</w:t>
      </w:r>
      <w:r w:rsidR="009320A0">
        <w:rPr>
          <w:rFonts w:ascii="Times New Roman" w:eastAsia="Calibri" w:hAnsi="Times New Roman" w:cs="Times New Roman"/>
          <w:b/>
          <w:sz w:val="24"/>
          <w:szCs w:val="24"/>
          <w:u w:val="single"/>
        </w:rPr>
        <w:t>1st</w:t>
      </w:r>
      <w:r w:rsidRPr="00B431AB">
        <w:rPr>
          <w:rFonts w:ascii="Times New Roman" w:eastAsia="Calibri" w:hAnsi="Times New Roman" w:cs="Times New Roman"/>
          <w:b/>
          <w:sz w:val="24"/>
          <w:szCs w:val="24"/>
          <w:u w:val="single"/>
        </w:rPr>
        <w:t xml:space="preserve"> day of</w:t>
      </w:r>
      <w:r w:rsidR="000D4C81">
        <w:rPr>
          <w:rFonts w:ascii="Times New Roman" w:eastAsia="Calibri" w:hAnsi="Times New Roman" w:cs="Times New Roman"/>
          <w:b/>
          <w:sz w:val="24"/>
          <w:szCs w:val="24"/>
          <w:u w:val="single"/>
        </w:rPr>
        <w:t xml:space="preserve"> January</w:t>
      </w:r>
      <w:r w:rsidRPr="00B431AB">
        <w:rPr>
          <w:rFonts w:ascii="Times New Roman" w:eastAsia="Calibri" w:hAnsi="Times New Roman" w:cs="Times New Roman"/>
          <w:b/>
          <w:sz w:val="24"/>
          <w:szCs w:val="24"/>
          <w:u w:val="single"/>
        </w:rPr>
        <w:t xml:space="preserve"> 202</w:t>
      </w:r>
      <w:r w:rsidR="000D4C81">
        <w:rPr>
          <w:rFonts w:ascii="Times New Roman" w:eastAsia="Calibri" w:hAnsi="Times New Roman" w:cs="Times New Roman"/>
          <w:b/>
          <w:sz w:val="24"/>
          <w:szCs w:val="24"/>
          <w:u w:val="single"/>
        </w:rPr>
        <w:t>2</w:t>
      </w:r>
      <w:r w:rsidRPr="00B431AB">
        <w:rPr>
          <w:rFonts w:ascii="Times New Roman" w:hAnsi="Times New Roman" w:cs="Times New Roman"/>
          <w:b/>
          <w:sz w:val="24"/>
          <w:szCs w:val="24"/>
          <w:u w:val="single"/>
        </w:rPr>
        <w:t xml:space="preserve"> </w:t>
      </w:r>
    </w:p>
    <w:p w14:paraId="27AC2FAF" w14:textId="3CFF52E3" w:rsidR="00541D26" w:rsidRPr="00660912" w:rsidRDefault="00167FE0" w:rsidP="005C3775">
      <w:pPr>
        <w:pStyle w:val="ListParagraph"/>
        <w:numPr>
          <w:ilvl w:val="0"/>
          <w:numId w:val="2"/>
        </w:numPr>
        <w:tabs>
          <w:tab w:val="left" w:pos="567"/>
        </w:tabs>
        <w:spacing w:line="480" w:lineRule="auto"/>
        <w:ind w:left="0" w:firstLine="0"/>
        <w:jc w:val="left"/>
        <w:rPr>
          <w:rFonts w:ascii="Times New Roman" w:hAnsi="Times New Roman" w:cs="Times New Roman"/>
          <w:b/>
          <w:sz w:val="24"/>
          <w:szCs w:val="24"/>
          <w:u w:val="single"/>
        </w:rPr>
      </w:pPr>
      <w:r w:rsidRPr="00860EFA">
        <w:rPr>
          <w:rFonts w:ascii="Times New Roman" w:hAnsi="Times New Roman" w:cs="Times New Roman"/>
          <w:bCs/>
          <w:sz w:val="24"/>
          <w:szCs w:val="24"/>
        </w:rPr>
        <w:t>This is an appeal against the judgment and order of the High Court (Simons J.) dated 4 February 2021</w:t>
      </w:r>
      <w:r w:rsidR="00E129B4" w:rsidRPr="00860EFA">
        <w:rPr>
          <w:rFonts w:ascii="Times New Roman" w:hAnsi="Times New Roman" w:cs="Times New Roman"/>
          <w:bCs/>
          <w:sz w:val="24"/>
          <w:szCs w:val="24"/>
        </w:rPr>
        <w:t xml:space="preserve"> which addressed two issues arising in consequence of a preliminary ruling delivered by the Court of Justice of the European Union </w:t>
      </w:r>
      <w:r w:rsidR="00224AD0">
        <w:rPr>
          <w:rFonts w:ascii="Times New Roman" w:hAnsi="Times New Roman" w:cs="Times New Roman"/>
          <w:bCs/>
          <w:sz w:val="24"/>
          <w:szCs w:val="24"/>
        </w:rPr>
        <w:t xml:space="preserve">(CJEU) </w:t>
      </w:r>
      <w:r w:rsidR="00E129B4" w:rsidRPr="00860EFA">
        <w:rPr>
          <w:rFonts w:ascii="Times New Roman" w:hAnsi="Times New Roman" w:cs="Times New Roman"/>
          <w:bCs/>
          <w:sz w:val="24"/>
          <w:szCs w:val="24"/>
        </w:rPr>
        <w:t>in respect of a reference under Article 267</w:t>
      </w:r>
      <w:r w:rsidR="007F10B1">
        <w:rPr>
          <w:rFonts w:ascii="Times New Roman" w:hAnsi="Times New Roman" w:cs="Times New Roman"/>
          <w:bCs/>
          <w:sz w:val="24"/>
          <w:szCs w:val="24"/>
        </w:rPr>
        <w:t xml:space="preserve"> of the</w:t>
      </w:r>
      <w:r w:rsidR="00E129B4" w:rsidRPr="00860EFA">
        <w:rPr>
          <w:rFonts w:ascii="Times New Roman" w:hAnsi="Times New Roman" w:cs="Times New Roman"/>
          <w:bCs/>
          <w:sz w:val="24"/>
          <w:szCs w:val="24"/>
        </w:rPr>
        <w:t xml:space="preserve"> TFEU.  </w:t>
      </w:r>
      <w:r w:rsidR="00860EFA" w:rsidRPr="00860EFA">
        <w:rPr>
          <w:rFonts w:ascii="Times New Roman" w:hAnsi="Times New Roman" w:cs="Times New Roman"/>
          <w:bCs/>
          <w:sz w:val="24"/>
          <w:szCs w:val="24"/>
        </w:rPr>
        <w:t>An application for the trial of preliminary issues was made in long running proceedings taken by</w:t>
      </w:r>
      <w:r w:rsidR="00681BD8">
        <w:rPr>
          <w:rFonts w:ascii="Times New Roman" w:hAnsi="Times New Roman" w:cs="Times New Roman"/>
          <w:bCs/>
          <w:sz w:val="24"/>
          <w:szCs w:val="24"/>
        </w:rPr>
        <w:t xml:space="preserve"> Recorded Artists Actors Performers Ltd.</w:t>
      </w:r>
      <w:r w:rsidR="00860EFA" w:rsidRPr="00860EFA">
        <w:rPr>
          <w:rFonts w:ascii="Times New Roman" w:hAnsi="Times New Roman" w:cs="Times New Roman"/>
          <w:bCs/>
          <w:sz w:val="24"/>
          <w:szCs w:val="24"/>
        </w:rPr>
        <w:t xml:space="preserve"> </w:t>
      </w:r>
      <w:r w:rsidR="00681BD8">
        <w:rPr>
          <w:rFonts w:ascii="Times New Roman" w:hAnsi="Times New Roman" w:cs="Times New Roman"/>
          <w:bCs/>
          <w:sz w:val="24"/>
          <w:szCs w:val="24"/>
        </w:rPr>
        <w:t>(“</w:t>
      </w:r>
      <w:r w:rsidR="00860EFA" w:rsidRPr="00860EFA">
        <w:rPr>
          <w:rFonts w:ascii="Times New Roman" w:hAnsi="Times New Roman" w:cs="Times New Roman"/>
          <w:bCs/>
          <w:sz w:val="24"/>
          <w:szCs w:val="24"/>
        </w:rPr>
        <w:t>RAAP</w:t>
      </w:r>
      <w:r w:rsidR="00681BD8">
        <w:rPr>
          <w:rFonts w:ascii="Times New Roman" w:hAnsi="Times New Roman" w:cs="Times New Roman"/>
          <w:bCs/>
          <w:sz w:val="24"/>
          <w:szCs w:val="24"/>
        </w:rPr>
        <w:t>”)</w:t>
      </w:r>
      <w:r w:rsidR="00860EFA" w:rsidRPr="00860EFA">
        <w:rPr>
          <w:rFonts w:ascii="Times New Roman" w:hAnsi="Times New Roman" w:cs="Times New Roman"/>
          <w:bCs/>
          <w:sz w:val="24"/>
          <w:szCs w:val="24"/>
        </w:rPr>
        <w:t xml:space="preserve"> against </w:t>
      </w:r>
      <w:r w:rsidR="00681BD8" w:rsidRPr="00681BD8">
        <w:rPr>
          <w:rFonts w:ascii="Times New Roman" w:hAnsi="Times New Roman" w:cs="Times New Roman"/>
          <w:bCs/>
          <w:sz w:val="24"/>
          <w:szCs w:val="24"/>
        </w:rPr>
        <w:t>Phonographic Performance (Ireland) L</w:t>
      </w:r>
      <w:r w:rsidR="00E93A6E">
        <w:rPr>
          <w:rFonts w:ascii="Times New Roman" w:hAnsi="Times New Roman" w:cs="Times New Roman"/>
          <w:bCs/>
          <w:sz w:val="24"/>
          <w:szCs w:val="24"/>
        </w:rPr>
        <w:t>td.</w:t>
      </w:r>
      <w:r w:rsidR="00681BD8">
        <w:rPr>
          <w:rFonts w:ascii="Times New Roman" w:hAnsi="Times New Roman" w:cs="Times New Roman"/>
          <w:bCs/>
          <w:sz w:val="24"/>
          <w:szCs w:val="24"/>
        </w:rPr>
        <w:t xml:space="preserve"> (“</w:t>
      </w:r>
      <w:r w:rsidR="00860EFA" w:rsidRPr="00860EFA">
        <w:rPr>
          <w:rFonts w:ascii="Times New Roman" w:hAnsi="Times New Roman" w:cs="Times New Roman"/>
          <w:bCs/>
          <w:sz w:val="24"/>
          <w:szCs w:val="24"/>
        </w:rPr>
        <w:t>PPI</w:t>
      </w:r>
      <w:r w:rsidR="00681BD8">
        <w:rPr>
          <w:rFonts w:ascii="Times New Roman" w:hAnsi="Times New Roman" w:cs="Times New Roman"/>
          <w:bCs/>
          <w:sz w:val="24"/>
          <w:szCs w:val="24"/>
        </w:rPr>
        <w:t>”)</w:t>
      </w:r>
      <w:r w:rsidR="00860EFA" w:rsidRPr="00860EFA">
        <w:rPr>
          <w:rFonts w:ascii="Times New Roman" w:hAnsi="Times New Roman" w:cs="Times New Roman"/>
          <w:bCs/>
          <w:sz w:val="24"/>
          <w:szCs w:val="24"/>
        </w:rPr>
        <w:t xml:space="preserve"> and Cregan J. directed the trial of </w:t>
      </w:r>
      <w:r w:rsidR="00860EFA" w:rsidRPr="00860EFA">
        <w:rPr>
          <w:rFonts w:ascii="Times New Roman" w:hAnsi="Times New Roman" w:cs="Times New Roman"/>
          <w:bCs/>
          <w:sz w:val="24"/>
          <w:szCs w:val="24"/>
        </w:rPr>
        <w:lastRenderedPageBreak/>
        <w:t>these preliminary issues by order dated 30 April 2018.  The trial was heard</w:t>
      </w:r>
      <w:r w:rsidR="007F10B1">
        <w:rPr>
          <w:rFonts w:ascii="Times New Roman" w:hAnsi="Times New Roman" w:cs="Times New Roman"/>
          <w:bCs/>
          <w:sz w:val="24"/>
          <w:szCs w:val="24"/>
        </w:rPr>
        <w:t xml:space="preserve"> before Simons J.</w:t>
      </w:r>
      <w:r w:rsidR="00860EFA" w:rsidRPr="00860EFA">
        <w:rPr>
          <w:rFonts w:ascii="Times New Roman" w:hAnsi="Times New Roman" w:cs="Times New Roman"/>
          <w:bCs/>
          <w:sz w:val="24"/>
          <w:szCs w:val="24"/>
        </w:rPr>
        <w:t xml:space="preserve"> over four days in November 2018 and by judgment delivered on 11 January 2019, </w:t>
      </w:r>
      <w:r w:rsidR="00860EFA">
        <w:rPr>
          <w:rFonts w:ascii="Times New Roman" w:hAnsi="Times New Roman" w:cs="Times New Roman"/>
          <w:bCs/>
          <w:sz w:val="24"/>
          <w:szCs w:val="24"/>
        </w:rPr>
        <w:t>t</w:t>
      </w:r>
      <w:r w:rsidR="00E129B4" w:rsidRPr="00860EFA">
        <w:rPr>
          <w:rFonts w:ascii="Times New Roman" w:hAnsi="Times New Roman" w:cs="Times New Roman"/>
          <w:bCs/>
          <w:sz w:val="24"/>
          <w:szCs w:val="24"/>
        </w:rPr>
        <w:t xml:space="preserve">he trial judge made a reference concerning the </w:t>
      </w:r>
      <w:r w:rsidR="00860EFA">
        <w:rPr>
          <w:rFonts w:ascii="Times New Roman" w:hAnsi="Times New Roman" w:cs="Times New Roman"/>
          <w:bCs/>
          <w:sz w:val="24"/>
          <w:szCs w:val="24"/>
        </w:rPr>
        <w:t xml:space="preserve">correct </w:t>
      </w:r>
      <w:r w:rsidR="00E129B4" w:rsidRPr="00860EFA">
        <w:rPr>
          <w:rFonts w:ascii="Times New Roman" w:hAnsi="Times New Roman" w:cs="Times New Roman"/>
          <w:bCs/>
          <w:sz w:val="24"/>
          <w:szCs w:val="24"/>
        </w:rPr>
        <w:t xml:space="preserve">interpretation of Directive 2006/115/EC </w:t>
      </w:r>
      <w:r w:rsidR="00125266" w:rsidRPr="00CB3C04">
        <w:rPr>
          <w:rFonts w:ascii="Times New Roman" w:hAnsi="Times New Roman" w:cs="Times New Roman"/>
          <w:sz w:val="24"/>
          <w:szCs w:val="24"/>
        </w:rPr>
        <w:t>of the European Parliament and of the Council of 12 December 2006 on rental right and lending right and on certain rights related to copyright in the field of intellectual property</w:t>
      </w:r>
      <w:r w:rsidR="00125266" w:rsidRPr="00125266" w:rsidDel="00125266">
        <w:rPr>
          <w:rFonts w:ascii="Times New Roman" w:hAnsi="Times New Roman" w:cs="Times New Roman"/>
          <w:b/>
          <w:bCs/>
          <w:sz w:val="24"/>
          <w:szCs w:val="24"/>
        </w:rPr>
        <w:t xml:space="preserve"> </w:t>
      </w:r>
      <w:r w:rsidR="003F036B">
        <w:rPr>
          <w:rFonts w:ascii="Times New Roman" w:hAnsi="Times New Roman" w:cs="Times New Roman"/>
          <w:bCs/>
          <w:sz w:val="24"/>
          <w:szCs w:val="24"/>
        </w:rPr>
        <w:t>(</w:t>
      </w:r>
      <w:r w:rsidR="00D11654">
        <w:rPr>
          <w:rFonts w:ascii="Times New Roman" w:hAnsi="Times New Roman" w:cs="Times New Roman"/>
          <w:bCs/>
          <w:sz w:val="24"/>
          <w:szCs w:val="24"/>
        </w:rPr>
        <w:t>“</w:t>
      </w:r>
      <w:r w:rsidR="003F036B">
        <w:rPr>
          <w:rFonts w:ascii="Times New Roman" w:hAnsi="Times New Roman" w:cs="Times New Roman"/>
          <w:bCs/>
          <w:sz w:val="24"/>
          <w:szCs w:val="24"/>
        </w:rPr>
        <w:t>the Directive”)</w:t>
      </w:r>
      <w:r w:rsidR="002C68BF" w:rsidRPr="00CB3C04">
        <w:rPr>
          <w:rFonts w:ascii="Times New Roman" w:hAnsi="Times New Roman" w:cs="Times New Roman"/>
          <w:sz w:val="24"/>
          <w:szCs w:val="24"/>
        </w:rPr>
        <w:t>.</w:t>
      </w:r>
      <w:r w:rsidR="002C68BF">
        <w:rPr>
          <w:rFonts w:ascii="Times New Roman" w:hAnsi="Times New Roman" w:cs="Times New Roman"/>
          <w:bCs/>
          <w:sz w:val="24"/>
          <w:szCs w:val="24"/>
        </w:rPr>
        <w:t xml:space="preserve"> </w:t>
      </w:r>
      <w:r w:rsidR="007F10B1">
        <w:rPr>
          <w:rFonts w:ascii="Times New Roman" w:hAnsi="Times New Roman" w:cs="Times New Roman"/>
          <w:bCs/>
          <w:sz w:val="24"/>
          <w:szCs w:val="24"/>
        </w:rPr>
        <w:t xml:space="preserve"> </w:t>
      </w:r>
      <w:r w:rsidR="002C68BF">
        <w:rPr>
          <w:rFonts w:ascii="Times New Roman" w:hAnsi="Times New Roman" w:cs="Times New Roman"/>
          <w:bCs/>
          <w:sz w:val="24"/>
          <w:szCs w:val="24"/>
        </w:rPr>
        <w:t xml:space="preserve">The CJEU </w:t>
      </w:r>
      <w:r w:rsidR="00E129B4" w:rsidRPr="00860EFA">
        <w:rPr>
          <w:rFonts w:ascii="Times New Roman" w:hAnsi="Times New Roman" w:cs="Times New Roman"/>
          <w:bCs/>
          <w:sz w:val="24"/>
          <w:szCs w:val="24"/>
        </w:rPr>
        <w:t>subsequently delivered</w:t>
      </w:r>
      <w:r w:rsidR="002C68BF">
        <w:rPr>
          <w:rFonts w:ascii="Times New Roman" w:hAnsi="Times New Roman" w:cs="Times New Roman"/>
          <w:bCs/>
          <w:sz w:val="24"/>
          <w:szCs w:val="24"/>
        </w:rPr>
        <w:t xml:space="preserve"> judgment</w:t>
      </w:r>
      <w:r w:rsidR="00E129B4" w:rsidRPr="00860EFA">
        <w:rPr>
          <w:rFonts w:ascii="Times New Roman" w:hAnsi="Times New Roman" w:cs="Times New Roman"/>
          <w:bCs/>
          <w:sz w:val="24"/>
          <w:szCs w:val="24"/>
        </w:rPr>
        <w:t xml:space="preserve"> in September 2020</w:t>
      </w:r>
      <w:r w:rsidR="002322C2" w:rsidRPr="00860EFA">
        <w:rPr>
          <w:rFonts w:ascii="Times New Roman" w:hAnsi="Times New Roman" w:cs="Times New Roman"/>
          <w:bCs/>
          <w:sz w:val="24"/>
          <w:szCs w:val="24"/>
        </w:rPr>
        <w:t>,</w:t>
      </w:r>
      <w:r w:rsidR="00E129B4" w:rsidRPr="00860EFA">
        <w:rPr>
          <w:rFonts w:ascii="Times New Roman" w:hAnsi="Times New Roman" w:cs="Times New Roman"/>
          <w:bCs/>
          <w:sz w:val="24"/>
          <w:szCs w:val="24"/>
        </w:rPr>
        <w:t xml:space="preserve"> </w:t>
      </w:r>
      <w:r w:rsidR="002C68BF">
        <w:rPr>
          <w:rFonts w:ascii="Times New Roman" w:hAnsi="Times New Roman" w:cs="Times New Roman"/>
          <w:bCs/>
          <w:sz w:val="24"/>
          <w:szCs w:val="24"/>
        </w:rPr>
        <w:t xml:space="preserve">and </w:t>
      </w:r>
      <w:r w:rsidR="00E129B4" w:rsidRPr="00860EFA">
        <w:rPr>
          <w:rFonts w:ascii="Times New Roman" w:hAnsi="Times New Roman" w:cs="Times New Roman"/>
          <w:bCs/>
          <w:sz w:val="24"/>
          <w:szCs w:val="24"/>
        </w:rPr>
        <w:t>thereafter the proceedings were relisted before the trial judge to address (1) the appropriate form of order, and (2) the allocation of the cost</w:t>
      </w:r>
      <w:r w:rsidR="002322C2" w:rsidRPr="00860EFA">
        <w:rPr>
          <w:rFonts w:ascii="Times New Roman" w:hAnsi="Times New Roman" w:cs="Times New Roman"/>
          <w:bCs/>
          <w:sz w:val="24"/>
          <w:szCs w:val="24"/>
        </w:rPr>
        <w:t xml:space="preserve">s associated with the trial of the preliminary issues and the proceedings before the CJEU. </w:t>
      </w:r>
      <w:r w:rsidR="00224AD0">
        <w:rPr>
          <w:rFonts w:ascii="Times New Roman" w:hAnsi="Times New Roman" w:cs="Times New Roman"/>
          <w:bCs/>
          <w:sz w:val="24"/>
          <w:szCs w:val="24"/>
        </w:rPr>
        <w:t xml:space="preserve"> </w:t>
      </w:r>
      <w:r w:rsidR="00660912">
        <w:rPr>
          <w:rFonts w:ascii="Times New Roman" w:hAnsi="Times New Roman" w:cs="Times New Roman"/>
          <w:bCs/>
          <w:sz w:val="24"/>
          <w:szCs w:val="24"/>
        </w:rPr>
        <w:t xml:space="preserve">The trial judge made declarations in terms of reliefs (1) and (3) of the order and statement of claim and awarded RAAP the costs of the trial of the preliminary issues and the reference to the CJEU against PPI and the State defendants on a joint and several </w:t>
      </w:r>
      <w:r w:rsidR="001333C9">
        <w:rPr>
          <w:rFonts w:ascii="Times New Roman" w:hAnsi="Times New Roman" w:cs="Times New Roman"/>
          <w:bCs/>
          <w:sz w:val="24"/>
          <w:szCs w:val="24"/>
        </w:rPr>
        <w:t>bas</w:t>
      </w:r>
      <w:r w:rsidR="00400885">
        <w:rPr>
          <w:rFonts w:ascii="Times New Roman" w:hAnsi="Times New Roman" w:cs="Times New Roman"/>
          <w:bCs/>
          <w:sz w:val="24"/>
          <w:szCs w:val="24"/>
        </w:rPr>
        <w:t>i</w:t>
      </w:r>
      <w:r w:rsidR="001333C9">
        <w:rPr>
          <w:rFonts w:ascii="Times New Roman" w:hAnsi="Times New Roman" w:cs="Times New Roman"/>
          <w:bCs/>
          <w:sz w:val="24"/>
          <w:szCs w:val="24"/>
        </w:rPr>
        <w:t>s</w:t>
      </w:r>
      <w:r w:rsidR="00660912">
        <w:rPr>
          <w:rFonts w:ascii="Times New Roman" w:hAnsi="Times New Roman" w:cs="Times New Roman"/>
          <w:bCs/>
          <w:sz w:val="24"/>
          <w:szCs w:val="24"/>
        </w:rPr>
        <w:t xml:space="preserve">. </w:t>
      </w:r>
    </w:p>
    <w:p w14:paraId="13AE0872" w14:textId="77777777" w:rsidR="00660912" w:rsidRPr="00660912" w:rsidRDefault="00660912" w:rsidP="005C3775">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sidRPr="00660912">
        <w:rPr>
          <w:rFonts w:ascii="Times New Roman" w:hAnsi="Times New Roman" w:cs="Times New Roman"/>
          <w:sz w:val="24"/>
          <w:szCs w:val="24"/>
        </w:rPr>
        <w:t>PPI appealed</w:t>
      </w:r>
      <w:r>
        <w:rPr>
          <w:rFonts w:ascii="Times New Roman" w:hAnsi="Times New Roman" w:cs="Times New Roman"/>
          <w:sz w:val="24"/>
          <w:szCs w:val="24"/>
        </w:rPr>
        <w:t xml:space="preserve"> both the form of the order and the order as to costs.</w:t>
      </w:r>
    </w:p>
    <w:p w14:paraId="1686B5EA" w14:textId="77777777" w:rsidR="005C3775" w:rsidRDefault="005C3775" w:rsidP="005C3775">
      <w:pPr>
        <w:pStyle w:val="ListParagraph"/>
        <w:tabs>
          <w:tab w:val="left" w:pos="567"/>
        </w:tabs>
        <w:spacing w:line="480" w:lineRule="auto"/>
        <w:ind w:left="0"/>
        <w:jc w:val="left"/>
        <w:rPr>
          <w:rFonts w:ascii="Times New Roman" w:hAnsi="Times New Roman" w:cs="Times New Roman"/>
          <w:b/>
          <w:sz w:val="24"/>
          <w:szCs w:val="24"/>
          <w:u w:val="single"/>
        </w:rPr>
      </w:pPr>
      <w:r>
        <w:rPr>
          <w:rFonts w:ascii="Times New Roman" w:hAnsi="Times New Roman" w:cs="Times New Roman"/>
          <w:b/>
          <w:sz w:val="24"/>
          <w:szCs w:val="24"/>
          <w:u w:val="single"/>
        </w:rPr>
        <w:t xml:space="preserve">Background </w:t>
      </w:r>
    </w:p>
    <w:p w14:paraId="5A2B1D9B" w14:textId="77777777" w:rsidR="004C7664" w:rsidRPr="005C3775" w:rsidRDefault="004C7664" w:rsidP="004C7664">
      <w:pPr>
        <w:pStyle w:val="ListParagraph"/>
        <w:numPr>
          <w:ilvl w:val="0"/>
          <w:numId w:val="2"/>
        </w:numPr>
        <w:tabs>
          <w:tab w:val="left" w:pos="567"/>
        </w:tabs>
        <w:spacing w:line="480" w:lineRule="auto"/>
        <w:ind w:left="0" w:firstLine="0"/>
        <w:jc w:val="left"/>
        <w:rPr>
          <w:rFonts w:ascii="Times New Roman" w:hAnsi="Times New Roman" w:cs="Times New Roman"/>
          <w:b/>
          <w:sz w:val="24"/>
          <w:szCs w:val="24"/>
          <w:u w:val="single"/>
        </w:rPr>
      </w:pPr>
      <w:r>
        <w:rPr>
          <w:rFonts w:ascii="Times New Roman" w:hAnsi="Times New Roman" w:cs="Times New Roman"/>
          <w:sz w:val="24"/>
          <w:szCs w:val="24"/>
        </w:rPr>
        <w:t xml:space="preserve">RAAP is a collective management organisation for performers, including performers on sound recordings.  PPI is a collective management organisation for producers of sound recordings and is the licensing body for producers for sound recordings. </w:t>
      </w:r>
    </w:p>
    <w:p w14:paraId="40B77A90" w14:textId="2AAF9531" w:rsidR="00C227D6" w:rsidRPr="00C227D6" w:rsidRDefault="005C3775" w:rsidP="0050791B">
      <w:pPr>
        <w:pStyle w:val="ListParagraph"/>
        <w:numPr>
          <w:ilvl w:val="0"/>
          <w:numId w:val="2"/>
        </w:numPr>
        <w:tabs>
          <w:tab w:val="left" w:pos="567"/>
        </w:tabs>
        <w:spacing w:line="480" w:lineRule="auto"/>
        <w:ind w:left="0" w:firstLine="0"/>
        <w:jc w:val="left"/>
        <w:rPr>
          <w:rFonts w:ascii="Times New Roman" w:hAnsi="Times New Roman" w:cs="Times New Roman"/>
          <w:b/>
          <w:sz w:val="24"/>
          <w:szCs w:val="24"/>
          <w:u w:val="single"/>
        </w:rPr>
      </w:pPr>
      <w:r>
        <w:rPr>
          <w:rFonts w:ascii="Times New Roman" w:hAnsi="Times New Roman" w:cs="Times New Roman"/>
          <w:sz w:val="24"/>
          <w:szCs w:val="24"/>
        </w:rPr>
        <w:t>The national legislation governing license fees due to producers of and performers on sound recordings is the Copyright and Related Rights Act 2000</w:t>
      </w:r>
      <w:r w:rsidR="00940BDC">
        <w:rPr>
          <w:rFonts w:ascii="Times New Roman" w:hAnsi="Times New Roman" w:cs="Times New Roman"/>
          <w:sz w:val="24"/>
          <w:szCs w:val="24"/>
        </w:rPr>
        <w:t xml:space="preserve"> (</w:t>
      </w:r>
      <w:r w:rsidR="00907A41">
        <w:rPr>
          <w:rFonts w:ascii="Times New Roman" w:hAnsi="Times New Roman" w:cs="Times New Roman"/>
          <w:sz w:val="24"/>
          <w:szCs w:val="24"/>
        </w:rPr>
        <w:t>“</w:t>
      </w:r>
      <w:r w:rsidR="00940BDC">
        <w:rPr>
          <w:rFonts w:ascii="Times New Roman" w:hAnsi="Times New Roman" w:cs="Times New Roman"/>
          <w:sz w:val="24"/>
          <w:szCs w:val="24"/>
        </w:rPr>
        <w:t>the Act”)</w:t>
      </w:r>
      <w:r>
        <w:rPr>
          <w:rFonts w:ascii="Times New Roman" w:hAnsi="Times New Roman" w:cs="Times New Roman"/>
          <w:sz w:val="24"/>
          <w:szCs w:val="24"/>
        </w:rPr>
        <w:t>, which provides that users of sound recordings must pay a single fee to the licencing body representing the producer (ss.</w:t>
      </w:r>
      <w:r w:rsidR="003E1A4D">
        <w:rPr>
          <w:rFonts w:ascii="Times New Roman" w:hAnsi="Times New Roman" w:cs="Times New Roman"/>
          <w:sz w:val="24"/>
          <w:szCs w:val="24"/>
        </w:rPr>
        <w:t xml:space="preserve"> </w:t>
      </w:r>
      <w:r>
        <w:rPr>
          <w:rFonts w:ascii="Times New Roman" w:hAnsi="Times New Roman" w:cs="Times New Roman"/>
          <w:sz w:val="24"/>
          <w:szCs w:val="24"/>
        </w:rPr>
        <w:t>37 and 38).  Under s.</w:t>
      </w:r>
      <w:r w:rsidR="003E1A4D">
        <w:rPr>
          <w:rFonts w:ascii="Times New Roman" w:hAnsi="Times New Roman" w:cs="Times New Roman"/>
          <w:sz w:val="24"/>
          <w:szCs w:val="24"/>
        </w:rPr>
        <w:t xml:space="preserve"> </w:t>
      </w:r>
      <w:r>
        <w:rPr>
          <w:rFonts w:ascii="Times New Roman" w:hAnsi="Times New Roman" w:cs="Times New Roman"/>
          <w:sz w:val="24"/>
          <w:szCs w:val="24"/>
        </w:rPr>
        <w:t>204(2) of the Act</w:t>
      </w:r>
      <w:r w:rsidR="003E1A4D">
        <w:rPr>
          <w:rFonts w:ascii="Times New Roman" w:hAnsi="Times New Roman" w:cs="Times New Roman"/>
          <w:sz w:val="24"/>
          <w:szCs w:val="24"/>
        </w:rPr>
        <w:t>,</w:t>
      </w:r>
      <w:r>
        <w:rPr>
          <w:rFonts w:ascii="Times New Roman" w:hAnsi="Times New Roman" w:cs="Times New Roman"/>
          <w:sz w:val="24"/>
          <w:szCs w:val="24"/>
        </w:rPr>
        <w:t xml:space="preserve"> a performer is conferred a right known as the </w:t>
      </w:r>
      <w:r w:rsidRPr="00C227D6">
        <w:rPr>
          <w:rFonts w:ascii="Times New Roman" w:hAnsi="Times New Roman" w:cs="Times New Roman"/>
          <w:i/>
          <w:sz w:val="24"/>
          <w:szCs w:val="24"/>
        </w:rPr>
        <w:t>“reproduction right”</w:t>
      </w:r>
      <w:r w:rsidR="00C227D6">
        <w:rPr>
          <w:rFonts w:ascii="Times New Roman" w:hAnsi="Times New Roman" w:cs="Times New Roman"/>
          <w:sz w:val="24"/>
          <w:szCs w:val="24"/>
        </w:rPr>
        <w:t xml:space="preserve">.  The Act purports to transpose into national law the right of performers to </w:t>
      </w:r>
      <w:r w:rsidR="00C227D6" w:rsidRPr="00C227D6">
        <w:rPr>
          <w:rFonts w:ascii="Times New Roman" w:hAnsi="Times New Roman" w:cs="Times New Roman"/>
          <w:i/>
          <w:sz w:val="24"/>
          <w:szCs w:val="24"/>
        </w:rPr>
        <w:t>“equitable remuneration”</w:t>
      </w:r>
      <w:r w:rsidR="00C227D6">
        <w:rPr>
          <w:rFonts w:ascii="Times New Roman" w:hAnsi="Times New Roman" w:cs="Times New Roman"/>
          <w:sz w:val="24"/>
          <w:szCs w:val="24"/>
        </w:rPr>
        <w:t xml:space="preserve"> set out in </w:t>
      </w:r>
      <w:r w:rsidR="003F036B">
        <w:rPr>
          <w:rFonts w:ascii="Times New Roman" w:hAnsi="Times New Roman" w:cs="Times New Roman"/>
          <w:sz w:val="24"/>
          <w:szCs w:val="24"/>
        </w:rPr>
        <w:t xml:space="preserve">the </w:t>
      </w:r>
      <w:r w:rsidR="00C227D6">
        <w:rPr>
          <w:rFonts w:ascii="Times New Roman" w:hAnsi="Times New Roman" w:cs="Times New Roman"/>
          <w:sz w:val="24"/>
          <w:szCs w:val="24"/>
        </w:rPr>
        <w:t>Directive, in particular Article 8</w:t>
      </w:r>
      <w:r w:rsidR="006C21E5">
        <w:rPr>
          <w:rFonts w:ascii="Times New Roman" w:hAnsi="Times New Roman" w:cs="Times New Roman"/>
          <w:sz w:val="24"/>
          <w:szCs w:val="24"/>
        </w:rPr>
        <w:t>(</w:t>
      </w:r>
      <w:r w:rsidR="00C227D6">
        <w:rPr>
          <w:rFonts w:ascii="Times New Roman" w:hAnsi="Times New Roman" w:cs="Times New Roman"/>
          <w:sz w:val="24"/>
          <w:szCs w:val="24"/>
        </w:rPr>
        <w:t>2</w:t>
      </w:r>
      <w:r w:rsidR="006C21E5">
        <w:rPr>
          <w:rFonts w:ascii="Times New Roman" w:hAnsi="Times New Roman" w:cs="Times New Roman"/>
          <w:sz w:val="24"/>
          <w:szCs w:val="24"/>
        </w:rPr>
        <w:t>)</w:t>
      </w:r>
      <w:r w:rsidR="00C227D6">
        <w:rPr>
          <w:rFonts w:ascii="Times New Roman" w:hAnsi="Times New Roman" w:cs="Times New Roman"/>
          <w:sz w:val="24"/>
          <w:szCs w:val="24"/>
        </w:rPr>
        <w:t>.  This provides:</w:t>
      </w:r>
      <w:r w:rsidR="003E1A4D">
        <w:rPr>
          <w:rFonts w:ascii="Times New Roman" w:hAnsi="Times New Roman" w:cs="Times New Roman"/>
          <w:sz w:val="24"/>
          <w:szCs w:val="24"/>
        </w:rPr>
        <w:t>-</w:t>
      </w:r>
    </w:p>
    <w:p w14:paraId="59E5CDA3" w14:textId="77777777" w:rsidR="005C3775" w:rsidRDefault="00C227D6" w:rsidP="00C227D6">
      <w:pPr>
        <w:pStyle w:val="ListParagraph"/>
        <w:spacing w:line="480" w:lineRule="auto"/>
        <w:ind w:left="567"/>
        <w:jc w:val="left"/>
        <w:rPr>
          <w:rFonts w:ascii="Times New Roman" w:hAnsi="Times New Roman" w:cs="Times New Roman"/>
          <w:b/>
          <w:sz w:val="24"/>
          <w:szCs w:val="24"/>
          <w:u w:val="single"/>
        </w:rPr>
      </w:pPr>
      <w:r>
        <w:rPr>
          <w:rFonts w:ascii="Times New Roman" w:hAnsi="Times New Roman" w:cs="Times New Roman"/>
          <w:i/>
          <w:sz w:val="24"/>
          <w:szCs w:val="24"/>
        </w:rPr>
        <w:lastRenderedPageBreak/>
        <w:t xml:space="preserve">“Member States shall provide a right in order to ensure that a single equitable remuneration is paid by the user, if a phonogram published for commercial purposes, or a reproduction of such phonogram is used for broadcasting by wireless means or for any communication to the public, and to ensure that this remuneration is shared between the relevant performers and phonogram producers.  Member States, in the absence of agreement between the performers and the phonogram producers, lay down the conditions as to the sharing of this remuneration.”  </w:t>
      </w:r>
      <w:r w:rsidR="005C3775">
        <w:rPr>
          <w:rFonts w:ascii="Times New Roman" w:hAnsi="Times New Roman" w:cs="Times New Roman"/>
          <w:b/>
          <w:sz w:val="24"/>
          <w:szCs w:val="24"/>
          <w:u w:val="single"/>
        </w:rPr>
        <w:t xml:space="preserve"> </w:t>
      </w:r>
    </w:p>
    <w:p w14:paraId="600ED28F" w14:textId="77777777" w:rsidR="00C227D6" w:rsidRDefault="00C227D6" w:rsidP="0050791B">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While performers have a right to equitable remuneration pursuant to the Directive, a user of a phonographic performance within the scope of Article 8(2) pays a single equitable remuneration which is to be shared between the relevant performers and phonogram producers.  </w:t>
      </w:r>
    </w:p>
    <w:p w14:paraId="3D56068E" w14:textId="764B41E3" w:rsidR="004C7664" w:rsidRDefault="004C7664" w:rsidP="004C7664">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While the Act provides that users of sound recordings must pay a single fee to the licensing body representing the producer, in this case PPI, the sharing of remuneration between producers and qualifying performers is to be that agreed between them.  An agreement was made between RAAP and PPI in 2002 further to the statutory scheme.  The dispute between the parties concerns the entitlement, under the terms of the agreement of 2002, of certain non-EEA (primarily U.S.) performers to participate in the distribution of licence fees as between producers of and performers on sound recordings.  The issue arises because under the Act not all performers qualify for a share in the fees that are paid.  A performer only receives his or her share if he or she is an Irish citizen and/or resident or domiciled in Ireland or any other EEA country.  </w:t>
      </w:r>
    </w:p>
    <w:p w14:paraId="36B3C347" w14:textId="2CFB532A" w:rsidR="004C7664" w:rsidRDefault="00C227D6" w:rsidP="0050791B">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On 28 July 2016, RAAP instituted these proceedings pleading that </w:t>
      </w:r>
      <w:r w:rsidRPr="003F036B">
        <w:rPr>
          <w:rFonts w:ascii="Times New Roman" w:hAnsi="Times New Roman" w:cs="Times New Roman"/>
          <w:i/>
          <w:sz w:val="24"/>
          <w:szCs w:val="24"/>
        </w:rPr>
        <w:t>under the agreement</w:t>
      </w:r>
      <w:r>
        <w:rPr>
          <w:rFonts w:ascii="Times New Roman" w:hAnsi="Times New Roman" w:cs="Times New Roman"/>
          <w:sz w:val="24"/>
          <w:szCs w:val="24"/>
        </w:rPr>
        <w:t xml:space="preserve"> </w:t>
      </w:r>
      <w:r w:rsidRPr="003F036B">
        <w:rPr>
          <w:rFonts w:ascii="Times New Roman" w:hAnsi="Times New Roman" w:cs="Times New Roman"/>
          <w:i/>
          <w:sz w:val="24"/>
          <w:szCs w:val="24"/>
        </w:rPr>
        <w:t>of 2002</w:t>
      </w:r>
      <w:r>
        <w:rPr>
          <w:rFonts w:ascii="Times New Roman" w:hAnsi="Times New Roman" w:cs="Times New Roman"/>
          <w:sz w:val="24"/>
          <w:szCs w:val="24"/>
        </w:rPr>
        <w:t xml:space="preserve">, as properly interpreted in light of the Act and the Directive which it sought to transpose, RAAP was entitled to payment from PPI in respect of certain non-EEA performers. </w:t>
      </w:r>
      <w:r w:rsidR="00D65448">
        <w:rPr>
          <w:rFonts w:ascii="Times New Roman" w:hAnsi="Times New Roman" w:cs="Times New Roman"/>
          <w:sz w:val="24"/>
          <w:szCs w:val="24"/>
        </w:rPr>
        <w:t xml:space="preserve"> </w:t>
      </w:r>
      <w:r w:rsidR="003F036B">
        <w:rPr>
          <w:rFonts w:ascii="Times New Roman" w:hAnsi="Times New Roman" w:cs="Times New Roman"/>
          <w:sz w:val="24"/>
          <w:szCs w:val="24"/>
        </w:rPr>
        <w:t xml:space="preserve">Separately RAAP sought declaratory relief against both PPI and the </w:t>
      </w:r>
      <w:r w:rsidR="00BA1E18">
        <w:rPr>
          <w:rFonts w:ascii="Times New Roman" w:hAnsi="Times New Roman" w:cs="Times New Roman"/>
          <w:sz w:val="24"/>
          <w:szCs w:val="24"/>
        </w:rPr>
        <w:t>S</w:t>
      </w:r>
      <w:r w:rsidR="003F036B">
        <w:rPr>
          <w:rFonts w:ascii="Times New Roman" w:hAnsi="Times New Roman" w:cs="Times New Roman"/>
          <w:sz w:val="24"/>
          <w:szCs w:val="24"/>
        </w:rPr>
        <w:t xml:space="preserve">tate </w:t>
      </w:r>
      <w:r w:rsidR="003F036B">
        <w:rPr>
          <w:rFonts w:ascii="Times New Roman" w:hAnsi="Times New Roman" w:cs="Times New Roman"/>
          <w:sz w:val="24"/>
          <w:szCs w:val="24"/>
        </w:rPr>
        <w:lastRenderedPageBreak/>
        <w:t>defendants as to the meaning of the Directive and a conforming interpretation of the Act in light of the Directive as properly construed.</w:t>
      </w:r>
      <w:r w:rsidR="00D6544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34F53">
        <w:rPr>
          <w:rFonts w:ascii="Times New Roman" w:hAnsi="Times New Roman" w:cs="Times New Roman"/>
          <w:i/>
          <w:sz w:val="24"/>
          <w:szCs w:val="24"/>
        </w:rPr>
        <w:t>In the alternative</w:t>
      </w:r>
      <w:r w:rsidR="00D65448">
        <w:rPr>
          <w:rFonts w:ascii="Times New Roman" w:hAnsi="Times New Roman" w:cs="Times New Roman"/>
          <w:iCs/>
          <w:sz w:val="24"/>
          <w:szCs w:val="24"/>
        </w:rPr>
        <w:t>,</w:t>
      </w:r>
      <w:r>
        <w:rPr>
          <w:rFonts w:ascii="Times New Roman" w:hAnsi="Times New Roman" w:cs="Times New Roman"/>
          <w:sz w:val="24"/>
          <w:szCs w:val="24"/>
        </w:rPr>
        <w:t xml:space="preserve"> it sought a declaration of no</w:t>
      </w:r>
      <w:r w:rsidR="00F00A36">
        <w:rPr>
          <w:rFonts w:ascii="Times New Roman" w:hAnsi="Times New Roman" w:cs="Times New Roman"/>
          <w:sz w:val="24"/>
          <w:szCs w:val="24"/>
        </w:rPr>
        <w:t>n-</w:t>
      </w:r>
      <w:r>
        <w:rPr>
          <w:rFonts w:ascii="Times New Roman" w:hAnsi="Times New Roman" w:cs="Times New Roman"/>
          <w:sz w:val="24"/>
          <w:szCs w:val="24"/>
        </w:rPr>
        <w:t>transposition as against the State</w:t>
      </w:r>
      <w:r w:rsidR="00F00A36">
        <w:rPr>
          <w:rFonts w:ascii="Times New Roman" w:hAnsi="Times New Roman" w:cs="Times New Roman"/>
          <w:sz w:val="24"/>
          <w:szCs w:val="24"/>
        </w:rPr>
        <w:t>.</w:t>
      </w:r>
      <w:r w:rsidR="00BE49F7">
        <w:rPr>
          <w:rFonts w:ascii="Times New Roman" w:hAnsi="Times New Roman" w:cs="Times New Roman"/>
          <w:sz w:val="24"/>
          <w:szCs w:val="24"/>
        </w:rPr>
        <w:t xml:space="preserve"> </w:t>
      </w:r>
    </w:p>
    <w:p w14:paraId="1B95D8DD" w14:textId="40B24E58" w:rsidR="00F00A36" w:rsidRDefault="00BE49F7" w:rsidP="0050791B">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As this appeal turns in part on the terms of the first three prayers for relief</w:t>
      </w:r>
      <w:r w:rsidR="003C11D8">
        <w:rPr>
          <w:rFonts w:ascii="Times New Roman" w:hAnsi="Times New Roman" w:cs="Times New Roman"/>
          <w:sz w:val="24"/>
          <w:szCs w:val="24"/>
        </w:rPr>
        <w:t xml:space="preserve"> </w:t>
      </w:r>
      <w:r w:rsidR="00E34F53">
        <w:rPr>
          <w:rFonts w:ascii="Times New Roman" w:hAnsi="Times New Roman" w:cs="Times New Roman"/>
          <w:sz w:val="24"/>
          <w:szCs w:val="24"/>
        </w:rPr>
        <w:t xml:space="preserve">in the statement of claim </w:t>
      </w:r>
      <w:r>
        <w:rPr>
          <w:rFonts w:ascii="Times New Roman" w:hAnsi="Times New Roman" w:cs="Times New Roman"/>
          <w:sz w:val="24"/>
          <w:szCs w:val="24"/>
        </w:rPr>
        <w:t>it is appropriate to reproduce them in full</w:t>
      </w:r>
      <w:r w:rsidR="00C343E5">
        <w:rPr>
          <w:rFonts w:ascii="Times New Roman" w:hAnsi="Times New Roman" w:cs="Times New Roman"/>
          <w:sz w:val="24"/>
          <w:szCs w:val="24"/>
        </w:rPr>
        <w:t>:-</w:t>
      </w:r>
    </w:p>
    <w:p w14:paraId="39948845" w14:textId="137468E1" w:rsidR="003C11D8" w:rsidRPr="00313B27" w:rsidRDefault="003C11D8">
      <w:pPr>
        <w:pStyle w:val="ListParagraph"/>
        <w:spacing w:line="480" w:lineRule="auto"/>
        <w:ind w:left="567"/>
      </w:pPr>
      <w:r w:rsidRPr="008023E7">
        <w:rPr>
          <w:rFonts w:ascii="Times New Roman" w:hAnsi="Times New Roman" w:cs="Times New Roman"/>
          <w:bCs/>
          <w:i/>
          <w:sz w:val="24"/>
          <w:szCs w:val="24"/>
        </w:rPr>
        <w:t>“As against Phonographic Performance (Ireland) Limited and, insofar as it is necessary, as against the Minister for Jobs, Enterprise and Innovation Ireland and the Attorney General:</w:t>
      </w:r>
    </w:p>
    <w:p w14:paraId="123C97DC" w14:textId="77777777" w:rsidR="003C11D8" w:rsidRPr="008023E7" w:rsidRDefault="003C11D8" w:rsidP="003C11D8">
      <w:pPr>
        <w:pStyle w:val="ListParagraph"/>
        <w:spacing w:line="480" w:lineRule="auto"/>
        <w:ind w:left="567"/>
        <w:rPr>
          <w:rFonts w:ascii="Times New Roman" w:hAnsi="Times New Roman" w:cs="Times New Roman"/>
          <w:bCs/>
          <w:i/>
          <w:sz w:val="24"/>
          <w:szCs w:val="24"/>
        </w:rPr>
      </w:pPr>
      <w:r w:rsidRPr="008023E7">
        <w:rPr>
          <w:rFonts w:ascii="Times New Roman" w:hAnsi="Times New Roman" w:cs="Times New Roman"/>
          <w:bCs/>
          <w:i/>
          <w:sz w:val="24"/>
          <w:szCs w:val="24"/>
        </w:rPr>
        <w:t>1. A declaration that Directive 2006/115/EC of the European Parliament and of the Council 12 December 2006 on rental right and lending right and on certain right related to copyright in the field of intellectual property requires the right to remuneration accorded to owners of sound recordings in respect of the broadcasting and of any communication to the public in the State of the said sound recordings to be equally accorded to all performers whose performances are incorporated on the said sound recordings;</w:t>
      </w:r>
    </w:p>
    <w:p w14:paraId="399A8FC4" w14:textId="77777777" w:rsidR="003C11D8" w:rsidRPr="008023E7" w:rsidRDefault="003C11D8" w:rsidP="003C11D8">
      <w:pPr>
        <w:pStyle w:val="ListParagraph"/>
        <w:spacing w:line="480" w:lineRule="auto"/>
        <w:ind w:left="567"/>
        <w:rPr>
          <w:rFonts w:ascii="Times New Roman" w:hAnsi="Times New Roman" w:cs="Times New Roman"/>
          <w:bCs/>
          <w:i/>
          <w:sz w:val="24"/>
          <w:szCs w:val="24"/>
        </w:rPr>
      </w:pPr>
    </w:p>
    <w:p w14:paraId="798A188F" w14:textId="77777777" w:rsidR="003C11D8" w:rsidRPr="008023E7" w:rsidRDefault="003C11D8" w:rsidP="003C11D8">
      <w:pPr>
        <w:pStyle w:val="ListParagraph"/>
        <w:spacing w:line="480" w:lineRule="auto"/>
        <w:ind w:left="567"/>
        <w:rPr>
          <w:rFonts w:ascii="Times New Roman" w:hAnsi="Times New Roman" w:cs="Times New Roman"/>
          <w:bCs/>
          <w:i/>
          <w:sz w:val="24"/>
          <w:szCs w:val="24"/>
        </w:rPr>
      </w:pPr>
      <w:r w:rsidRPr="008023E7">
        <w:rPr>
          <w:rFonts w:ascii="Times New Roman" w:hAnsi="Times New Roman" w:cs="Times New Roman"/>
          <w:bCs/>
          <w:i/>
          <w:sz w:val="24"/>
          <w:szCs w:val="24"/>
        </w:rPr>
        <w:t>2. A declaration that the proper construction of the Copyright and Related Rights Act 2000, in the light of Directive 2006/115/EC of the European Parliament and of the Council 12 December 2006 on rental right and lending right and on certain rights related to copyright in the field of intellectual property, taking account of the EU law treaty-based obligation of consistent interpretation, is that the right to remuneration accorded thereunder to owners of sound recordings in respect of the broadcasting and of any communication to the public in the State of the said sound recordings is also accorded to any and all performers whose performances are incorporated on the said sound recordings;</w:t>
      </w:r>
    </w:p>
    <w:p w14:paraId="1FDDFAD7" w14:textId="73E82A38" w:rsidR="003C11D8" w:rsidRPr="00313B27" w:rsidRDefault="003C11D8">
      <w:pPr>
        <w:pStyle w:val="ListParagraph"/>
        <w:spacing w:line="480" w:lineRule="auto"/>
        <w:ind w:left="567"/>
      </w:pPr>
      <w:r w:rsidRPr="008023E7">
        <w:rPr>
          <w:rFonts w:ascii="Times New Roman" w:hAnsi="Times New Roman" w:cs="Times New Roman"/>
          <w:bCs/>
          <w:i/>
          <w:sz w:val="24"/>
          <w:szCs w:val="24"/>
        </w:rPr>
        <w:lastRenderedPageBreak/>
        <w:t>In the alternative to the foregoing declaratory relief sought, as against the Minister for Jobs, Enterprise and Innovation, Ireland and the Attorney General:</w:t>
      </w:r>
    </w:p>
    <w:p w14:paraId="21ECC886" w14:textId="77777777" w:rsidR="003C11D8" w:rsidRPr="00BE49F7" w:rsidRDefault="003C11D8" w:rsidP="00BE49F7">
      <w:pPr>
        <w:pStyle w:val="ListParagraph"/>
        <w:spacing w:line="480" w:lineRule="auto"/>
        <w:ind w:left="567"/>
        <w:jc w:val="left"/>
        <w:rPr>
          <w:rFonts w:ascii="Times New Roman" w:hAnsi="Times New Roman" w:cs="Times New Roman"/>
          <w:bCs/>
          <w:i/>
          <w:sz w:val="24"/>
          <w:szCs w:val="24"/>
        </w:rPr>
      </w:pPr>
      <w:r w:rsidRPr="008023E7">
        <w:rPr>
          <w:rFonts w:ascii="Times New Roman" w:hAnsi="Times New Roman" w:cs="Times New Roman"/>
          <w:bCs/>
          <w:i/>
          <w:sz w:val="24"/>
          <w:szCs w:val="24"/>
        </w:rPr>
        <w:t>3. A declaration, in so far as the Copyright and Related Rights Act 2000 cannot be construed so as to accord to all performers whose performances are incorporated on sound recordings, a right to remuneration in respect of the broadcasting and communication to the public in the State of their said recorded performances in circumstances where the owners of the rights in the sound recordings carrying such performances are accorded such a right to remuneration, that the said Act does not properly transpose Directive 2006/115/EC of the European Parliament and of the Council 12 December 2006 on rental right and lending right and on certain rights related to copyright in the field of intellectual property, and in particular Article 8(2) thereof, into Irish law.”</w:t>
      </w:r>
    </w:p>
    <w:p w14:paraId="13D57BEC" w14:textId="2A1B9C64" w:rsidR="00F00A36" w:rsidRPr="00EC237C" w:rsidRDefault="00F00A36" w:rsidP="00EC237C">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PPI brought an application </w:t>
      </w:r>
      <w:r w:rsidR="00EC237C">
        <w:rPr>
          <w:rFonts w:ascii="Times New Roman" w:hAnsi="Times New Roman" w:cs="Times New Roman"/>
          <w:sz w:val="24"/>
          <w:szCs w:val="24"/>
        </w:rPr>
        <w:t>to</w:t>
      </w:r>
      <w:r w:rsidR="004C7664">
        <w:rPr>
          <w:rFonts w:ascii="Times New Roman" w:hAnsi="Times New Roman" w:cs="Times New Roman"/>
          <w:sz w:val="24"/>
          <w:szCs w:val="24"/>
        </w:rPr>
        <w:t xml:space="preserve"> the High Court pursuant to</w:t>
      </w:r>
      <w:r w:rsidR="00EC237C">
        <w:rPr>
          <w:rFonts w:ascii="Times New Roman" w:hAnsi="Times New Roman" w:cs="Times New Roman"/>
          <w:sz w:val="24"/>
          <w:szCs w:val="24"/>
        </w:rPr>
        <w:t xml:space="preserve"> O.</w:t>
      </w:r>
      <w:r w:rsidR="0098466C">
        <w:rPr>
          <w:rFonts w:ascii="Times New Roman" w:hAnsi="Times New Roman" w:cs="Times New Roman"/>
          <w:sz w:val="24"/>
          <w:szCs w:val="24"/>
        </w:rPr>
        <w:t xml:space="preserve"> </w:t>
      </w:r>
      <w:r w:rsidR="00EC237C">
        <w:rPr>
          <w:rFonts w:ascii="Times New Roman" w:hAnsi="Times New Roman" w:cs="Times New Roman"/>
          <w:sz w:val="24"/>
          <w:szCs w:val="24"/>
        </w:rPr>
        <w:t xml:space="preserve">25 of the Rules of the Superior Courts </w:t>
      </w:r>
      <w:r>
        <w:rPr>
          <w:rFonts w:ascii="Times New Roman" w:hAnsi="Times New Roman" w:cs="Times New Roman"/>
          <w:sz w:val="24"/>
          <w:szCs w:val="24"/>
        </w:rPr>
        <w:t xml:space="preserve">to seek a trial on a point of law as a preliminary issue </w:t>
      </w:r>
      <w:r w:rsidR="00EC237C">
        <w:rPr>
          <w:rFonts w:ascii="Times New Roman" w:hAnsi="Times New Roman" w:cs="Times New Roman"/>
          <w:sz w:val="24"/>
          <w:szCs w:val="24"/>
        </w:rPr>
        <w:t xml:space="preserve">as to the entitlement </w:t>
      </w:r>
      <w:r w:rsidR="0098466C">
        <w:rPr>
          <w:rFonts w:ascii="Times New Roman" w:hAnsi="Times New Roman" w:cs="Times New Roman"/>
          <w:sz w:val="24"/>
          <w:szCs w:val="24"/>
        </w:rPr>
        <w:t xml:space="preserve">of </w:t>
      </w:r>
      <w:r w:rsidR="00EC237C">
        <w:rPr>
          <w:rFonts w:ascii="Times New Roman" w:hAnsi="Times New Roman" w:cs="Times New Roman"/>
          <w:sz w:val="24"/>
          <w:szCs w:val="24"/>
        </w:rPr>
        <w:t xml:space="preserve">RAAP to </w:t>
      </w:r>
      <w:r w:rsidR="00E34F53">
        <w:rPr>
          <w:rFonts w:ascii="Times New Roman" w:hAnsi="Times New Roman" w:cs="Times New Roman"/>
          <w:sz w:val="24"/>
          <w:szCs w:val="24"/>
        </w:rPr>
        <w:t xml:space="preserve">the </w:t>
      </w:r>
      <w:r w:rsidR="00EC237C">
        <w:rPr>
          <w:rFonts w:ascii="Times New Roman" w:hAnsi="Times New Roman" w:cs="Times New Roman"/>
          <w:sz w:val="24"/>
          <w:szCs w:val="24"/>
        </w:rPr>
        <w:t xml:space="preserve">three declarations it sought in its </w:t>
      </w:r>
      <w:r w:rsidR="00BE49F7">
        <w:rPr>
          <w:rFonts w:ascii="Times New Roman" w:hAnsi="Times New Roman" w:cs="Times New Roman"/>
          <w:sz w:val="24"/>
          <w:szCs w:val="24"/>
        </w:rPr>
        <w:t xml:space="preserve">prayer for relief in the </w:t>
      </w:r>
      <w:r w:rsidR="00EC237C">
        <w:rPr>
          <w:rFonts w:ascii="Times New Roman" w:hAnsi="Times New Roman" w:cs="Times New Roman"/>
          <w:sz w:val="24"/>
          <w:szCs w:val="24"/>
        </w:rPr>
        <w:t>statement of claim</w:t>
      </w:r>
      <w:r>
        <w:rPr>
          <w:rFonts w:ascii="Times New Roman" w:hAnsi="Times New Roman" w:cs="Times New Roman"/>
          <w:sz w:val="24"/>
          <w:szCs w:val="24"/>
        </w:rPr>
        <w:t xml:space="preserve">. </w:t>
      </w:r>
      <w:r w:rsidR="0098466C">
        <w:rPr>
          <w:rFonts w:ascii="Times New Roman" w:hAnsi="Times New Roman" w:cs="Times New Roman"/>
          <w:sz w:val="24"/>
          <w:szCs w:val="24"/>
        </w:rPr>
        <w:t xml:space="preserve"> </w:t>
      </w:r>
      <w:r>
        <w:rPr>
          <w:rFonts w:ascii="Times New Roman" w:hAnsi="Times New Roman" w:cs="Times New Roman"/>
          <w:sz w:val="24"/>
          <w:szCs w:val="24"/>
        </w:rPr>
        <w:t>The affidavit grounding the application was sworn by Ms. Helen Sheehy of Helen Sheehy &amp; Co. Solicitors for PPI.  At para. 7</w:t>
      </w:r>
      <w:r w:rsidR="0098466C">
        <w:rPr>
          <w:rFonts w:ascii="Times New Roman" w:hAnsi="Times New Roman" w:cs="Times New Roman"/>
          <w:sz w:val="24"/>
          <w:szCs w:val="24"/>
        </w:rPr>
        <w:t>,</w:t>
      </w:r>
      <w:r>
        <w:rPr>
          <w:rFonts w:ascii="Times New Roman" w:hAnsi="Times New Roman" w:cs="Times New Roman"/>
          <w:sz w:val="24"/>
          <w:szCs w:val="24"/>
        </w:rPr>
        <w:t xml:space="preserve"> she identified </w:t>
      </w:r>
      <w:r w:rsidR="00EC237C">
        <w:rPr>
          <w:rFonts w:ascii="Times New Roman" w:hAnsi="Times New Roman" w:cs="Times New Roman"/>
          <w:sz w:val="24"/>
          <w:szCs w:val="24"/>
        </w:rPr>
        <w:t>as</w:t>
      </w:r>
      <w:r>
        <w:rPr>
          <w:rFonts w:ascii="Times New Roman" w:hAnsi="Times New Roman" w:cs="Times New Roman"/>
          <w:sz w:val="24"/>
          <w:szCs w:val="24"/>
        </w:rPr>
        <w:t xml:space="preserve"> issues in these proceedings </w:t>
      </w:r>
      <w:r w:rsidR="00EC237C">
        <w:rPr>
          <w:rFonts w:ascii="Times New Roman" w:hAnsi="Times New Roman" w:cs="Times New Roman"/>
          <w:sz w:val="24"/>
          <w:szCs w:val="24"/>
        </w:rPr>
        <w:t>(</w:t>
      </w:r>
      <w:r>
        <w:rPr>
          <w:rFonts w:ascii="Times New Roman" w:hAnsi="Times New Roman" w:cs="Times New Roman"/>
          <w:sz w:val="24"/>
          <w:szCs w:val="24"/>
        </w:rPr>
        <w:t xml:space="preserve">which were referred to as </w:t>
      </w:r>
      <w:r w:rsidR="00782460">
        <w:rPr>
          <w:rFonts w:ascii="Times New Roman" w:hAnsi="Times New Roman" w:cs="Times New Roman"/>
          <w:sz w:val="24"/>
          <w:szCs w:val="24"/>
        </w:rPr>
        <w:t>“</w:t>
      </w:r>
      <w:r>
        <w:rPr>
          <w:rFonts w:ascii="Times New Roman" w:hAnsi="Times New Roman" w:cs="Times New Roman"/>
          <w:sz w:val="24"/>
          <w:szCs w:val="24"/>
        </w:rPr>
        <w:t>the first proceeding</w:t>
      </w:r>
      <w:r w:rsidR="00EC237C">
        <w:rPr>
          <w:rFonts w:ascii="Times New Roman" w:hAnsi="Times New Roman" w:cs="Times New Roman"/>
          <w:sz w:val="24"/>
          <w:szCs w:val="24"/>
        </w:rPr>
        <w:t>s</w:t>
      </w:r>
      <w:r w:rsidR="00782460">
        <w:rPr>
          <w:rFonts w:ascii="Times New Roman" w:hAnsi="Times New Roman" w:cs="Times New Roman"/>
          <w:sz w:val="24"/>
          <w:szCs w:val="24"/>
        </w:rPr>
        <w:t>”</w:t>
      </w:r>
      <w:r w:rsidR="00EC237C">
        <w:rPr>
          <w:rFonts w:ascii="Times New Roman" w:hAnsi="Times New Roman" w:cs="Times New Roman"/>
          <w:sz w:val="24"/>
          <w:szCs w:val="24"/>
        </w:rPr>
        <w:t xml:space="preserve"> </w:t>
      </w:r>
      <w:r>
        <w:rPr>
          <w:rFonts w:ascii="Times New Roman" w:hAnsi="Times New Roman" w:cs="Times New Roman"/>
          <w:sz w:val="24"/>
          <w:szCs w:val="24"/>
        </w:rPr>
        <w:t>in her affidavit</w:t>
      </w:r>
      <w:r w:rsidR="00EC237C">
        <w:rPr>
          <w:rFonts w:ascii="Times New Roman" w:hAnsi="Times New Roman" w:cs="Times New Roman"/>
          <w:sz w:val="24"/>
          <w:szCs w:val="24"/>
        </w:rPr>
        <w:t xml:space="preserve"> as</w:t>
      </w:r>
      <w:r>
        <w:rPr>
          <w:rFonts w:ascii="Times New Roman" w:hAnsi="Times New Roman" w:cs="Times New Roman"/>
          <w:sz w:val="24"/>
          <w:szCs w:val="24"/>
        </w:rPr>
        <w:t xml:space="preserve"> there </w:t>
      </w:r>
      <w:r w:rsidR="00EC237C">
        <w:rPr>
          <w:rFonts w:ascii="Times New Roman" w:hAnsi="Times New Roman" w:cs="Times New Roman"/>
          <w:sz w:val="24"/>
          <w:szCs w:val="24"/>
        </w:rPr>
        <w:t>a</w:t>
      </w:r>
      <w:r>
        <w:rPr>
          <w:rFonts w:ascii="Times New Roman" w:hAnsi="Times New Roman" w:cs="Times New Roman"/>
          <w:sz w:val="24"/>
          <w:szCs w:val="24"/>
        </w:rPr>
        <w:t>re related proceedings</w:t>
      </w:r>
      <w:r w:rsidR="00EC237C">
        <w:rPr>
          <w:rFonts w:ascii="Times New Roman" w:hAnsi="Times New Roman" w:cs="Times New Roman"/>
          <w:sz w:val="24"/>
          <w:szCs w:val="24"/>
        </w:rPr>
        <w:t xml:space="preserve"> which she </w:t>
      </w:r>
      <w:r>
        <w:rPr>
          <w:rFonts w:ascii="Times New Roman" w:hAnsi="Times New Roman" w:cs="Times New Roman"/>
          <w:sz w:val="24"/>
          <w:szCs w:val="24"/>
        </w:rPr>
        <w:t xml:space="preserve">referred to as </w:t>
      </w:r>
      <w:r w:rsidR="00782460">
        <w:rPr>
          <w:rFonts w:ascii="Times New Roman" w:hAnsi="Times New Roman" w:cs="Times New Roman"/>
          <w:sz w:val="24"/>
          <w:szCs w:val="24"/>
        </w:rPr>
        <w:t>“</w:t>
      </w:r>
      <w:r>
        <w:rPr>
          <w:rFonts w:ascii="Times New Roman" w:hAnsi="Times New Roman" w:cs="Times New Roman"/>
          <w:sz w:val="24"/>
          <w:szCs w:val="24"/>
        </w:rPr>
        <w:t>the second proceedings</w:t>
      </w:r>
      <w:r w:rsidR="00782460">
        <w:rPr>
          <w:rFonts w:ascii="Times New Roman" w:hAnsi="Times New Roman" w:cs="Times New Roman"/>
          <w:sz w:val="24"/>
          <w:szCs w:val="24"/>
        </w:rPr>
        <w:t>”</w:t>
      </w:r>
      <w:r w:rsidR="00EC237C">
        <w:rPr>
          <w:rFonts w:ascii="Times New Roman" w:hAnsi="Times New Roman" w:cs="Times New Roman"/>
          <w:sz w:val="24"/>
          <w:szCs w:val="24"/>
        </w:rPr>
        <w:t>)</w:t>
      </w:r>
      <w:r>
        <w:rPr>
          <w:rFonts w:ascii="Times New Roman" w:hAnsi="Times New Roman" w:cs="Times New Roman"/>
          <w:sz w:val="24"/>
          <w:szCs w:val="24"/>
        </w:rPr>
        <w:t>:</w:t>
      </w:r>
      <w:r w:rsidR="0098466C">
        <w:rPr>
          <w:rFonts w:ascii="Times New Roman" w:hAnsi="Times New Roman" w:cs="Times New Roman"/>
          <w:sz w:val="24"/>
          <w:szCs w:val="24"/>
        </w:rPr>
        <w:t>-</w:t>
      </w:r>
    </w:p>
    <w:p w14:paraId="7FFFCBE5" w14:textId="2CA8A62C" w:rsidR="00F00A36" w:rsidRDefault="00F00A36" w:rsidP="001333C9">
      <w:pPr>
        <w:pStyle w:val="ListParagraph"/>
        <w:tabs>
          <w:tab w:val="left" w:pos="1134"/>
        </w:tabs>
        <w:spacing w:line="480" w:lineRule="auto"/>
        <w:ind w:left="567"/>
        <w:jc w:val="left"/>
        <w:rPr>
          <w:rFonts w:ascii="Times New Roman" w:hAnsi="Times New Roman" w:cs="Times New Roman"/>
          <w:i/>
          <w:sz w:val="24"/>
          <w:szCs w:val="24"/>
        </w:rPr>
      </w:pPr>
      <w:r>
        <w:rPr>
          <w:rFonts w:ascii="Times New Roman" w:hAnsi="Times New Roman" w:cs="Times New Roman"/>
          <w:i/>
          <w:sz w:val="24"/>
          <w:szCs w:val="24"/>
        </w:rPr>
        <w:t>“</w:t>
      </w:r>
      <w:r w:rsidR="0031120C">
        <w:rPr>
          <w:rFonts w:ascii="Times New Roman" w:hAnsi="Times New Roman" w:cs="Times New Roman"/>
          <w:i/>
          <w:sz w:val="24"/>
          <w:szCs w:val="24"/>
        </w:rPr>
        <w:t xml:space="preserve">… </w:t>
      </w:r>
      <w:r w:rsidR="00EC237C">
        <w:rPr>
          <w:rFonts w:ascii="Times New Roman" w:hAnsi="Times New Roman" w:cs="Times New Roman"/>
          <w:i/>
          <w:sz w:val="24"/>
          <w:szCs w:val="24"/>
        </w:rPr>
        <w:t xml:space="preserve">(2) </w:t>
      </w:r>
      <w:r>
        <w:rPr>
          <w:rFonts w:ascii="Times New Roman" w:hAnsi="Times New Roman" w:cs="Times New Roman"/>
          <w:i/>
          <w:sz w:val="24"/>
          <w:szCs w:val="24"/>
        </w:rPr>
        <w:t xml:space="preserve">Whether all performers (i.e., all performers including non-EEA performers whose performances were recorded outside the EEA) are entitled to payment of royalties from PPI in respect of the playing in public, broadcasting or cable transmission of recordings of their performances in the State by virtue of the EU Rental </w:t>
      </w:r>
      <w:r w:rsidR="0031120C">
        <w:rPr>
          <w:rFonts w:ascii="Times New Roman" w:hAnsi="Times New Roman" w:cs="Times New Roman"/>
          <w:i/>
          <w:sz w:val="24"/>
          <w:szCs w:val="24"/>
        </w:rPr>
        <w:t xml:space="preserve">&amp; </w:t>
      </w:r>
      <w:r>
        <w:rPr>
          <w:rFonts w:ascii="Times New Roman" w:hAnsi="Times New Roman" w:cs="Times New Roman"/>
          <w:i/>
          <w:sz w:val="24"/>
          <w:szCs w:val="24"/>
        </w:rPr>
        <w:t>Lending Directive 2006/115?</w:t>
      </w:r>
    </w:p>
    <w:p w14:paraId="133E151E" w14:textId="40062ABC" w:rsidR="00F00A36" w:rsidRDefault="00F00A36" w:rsidP="0031120C">
      <w:pPr>
        <w:pStyle w:val="ListParagraph"/>
        <w:numPr>
          <w:ilvl w:val="0"/>
          <w:numId w:val="3"/>
        </w:numPr>
        <w:spacing w:line="480" w:lineRule="auto"/>
        <w:ind w:left="1701" w:hanging="567"/>
        <w:jc w:val="left"/>
        <w:rPr>
          <w:rFonts w:ascii="Times New Roman" w:hAnsi="Times New Roman" w:cs="Times New Roman"/>
          <w:i/>
          <w:sz w:val="24"/>
          <w:szCs w:val="24"/>
        </w:rPr>
      </w:pPr>
      <w:r>
        <w:rPr>
          <w:rFonts w:ascii="Times New Roman" w:hAnsi="Times New Roman" w:cs="Times New Roman"/>
          <w:i/>
          <w:sz w:val="24"/>
          <w:szCs w:val="24"/>
        </w:rPr>
        <w:lastRenderedPageBreak/>
        <w:t xml:space="preserve">This </w:t>
      </w:r>
      <w:r w:rsidR="0031120C">
        <w:rPr>
          <w:rFonts w:ascii="Times New Roman" w:hAnsi="Times New Roman" w:cs="Times New Roman"/>
          <w:i/>
          <w:sz w:val="24"/>
          <w:szCs w:val="24"/>
        </w:rPr>
        <w:t xml:space="preserve">is the </w:t>
      </w:r>
      <w:r>
        <w:rPr>
          <w:rFonts w:ascii="Times New Roman" w:hAnsi="Times New Roman" w:cs="Times New Roman"/>
          <w:i/>
          <w:sz w:val="24"/>
          <w:szCs w:val="24"/>
        </w:rPr>
        <w:t xml:space="preserve">issue raised </w:t>
      </w:r>
      <w:r w:rsidR="0031120C">
        <w:rPr>
          <w:rFonts w:ascii="Times New Roman" w:hAnsi="Times New Roman" w:cs="Times New Roman"/>
          <w:i/>
          <w:sz w:val="24"/>
          <w:szCs w:val="24"/>
        </w:rPr>
        <w:t xml:space="preserve">by </w:t>
      </w:r>
      <w:r>
        <w:rPr>
          <w:rFonts w:ascii="Times New Roman" w:hAnsi="Times New Roman" w:cs="Times New Roman"/>
          <w:i/>
          <w:sz w:val="24"/>
          <w:szCs w:val="24"/>
        </w:rPr>
        <w:t xml:space="preserve">paragraphs 1 and 2 of the Prayer for Relief in the Statement of Claim.  The claim to the relief is founded upon </w:t>
      </w:r>
      <w:r w:rsidR="0031120C">
        <w:rPr>
          <w:rFonts w:ascii="Times New Roman" w:hAnsi="Times New Roman" w:cs="Times New Roman"/>
          <w:i/>
          <w:sz w:val="24"/>
          <w:szCs w:val="24"/>
        </w:rPr>
        <w:t>p</w:t>
      </w:r>
      <w:r>
        <w:rPr>
          <w:rFonts w:ascii="Times New Roman" w:hAnsi="Times New Roman" w:cs="Times New Roman"/>
          <w:i/>
          <w:sz w:val="24"/>
          <w:szCs w:val="24"/>
        </w:rPr>
        <w:t>aragraph 19 of the Statement of Claim.  The matter</w:t>
      </w:r>
      <w:r w:rsidR="0031120C">
        <w:rPr>
          <w:rFonts w:ascii="Times New Roman" w:hAnsi="Times New Roman" w:cs="Times New Roman"/>
          <w:i/>
          <w:sz w:val="24"/>
          <w:szCs w:val="24"/>
        </w:rPr>
        <w:t>s</w:t>
      </w:r>
      <w:r>
        <w:rPr>
          <w:rFonts w:ascii="Times New Roman" w:hAnsi="Times New Roman" w:cs="Times New Roman"/>
          <w:i/>
          <w:sz w:val="24"/>
          <w:szCs w:val="24"/>
        </w:rPr>
        <w:t xml:space="preserve"> set forth in </w:t>
      </w:r>
      <w:r w:rsidR="0031120C">
        <w:rPr>
          <w:rFonts w:ascii="Times New Roman" w:hAnsi="Times New Roman" w:cs="Times New Roman"/>
          <w:i/>
          <w:sz w:val="24"/>
          <w:szCs w:val="24"/>
        </w:rPr>
        <w:t>p</w:t>
      </w:r>
      <w:r>
        <w:rPr>
          <w:rFonts w:ascii="Times New Roman" w:hAnsi="Times New Roman" w:cs="Times New Roman"/>
          <w:i/>
          <w:sz w:val="24"/>
          <w:szCs w:val="24"/>
        </w:rPr>
        <w:t>aragraph 19 and i</w:t>
      </w:r>
      <w:r w:rsidR="0031120C">
        <w:rPr>
          <w:rFonts w:ascii="Times New Roman" w:hAnsi="Times New Roman" w:cs="Times New Roman"/>
          <w:i/>
          <w:sz w:val="24"/>
          <w:szCs w:val="24"/>
        </w:rPr>
        <w:t>ts</w:t>
      </w:r>
      <w:r>
        <w:rPr>
          <w:rFonts w:ascii="Times New Roman" w:hAnsi="Times New Roman" w:cs="Times New Roman"/>
          <w:i/>
          <w:sz w:val="24"/>
          <w:szCs w:val="24"/>
        </w:rPr>
        <w:t xml:space="preserve"> sub-paragraphs (from which it is clear that Article 8(2) of the 2006 Directive is primarily relied upon by RAAP) largely consist of contentions of law which are in dispute.  However, there does not appear to be any factual matter pleaded therein which is in dispute.  The “legislative backdrop” pleaded at </w:t>
      </w:r>
      <w:r w:rsidR="0031120C">
        <w:rPr>
          <w:rFonts w:ascii="Times New Roman" w:hAnsi="Times New Roman" w:cs="Times New Roman"/>
          <w:i/>
          <w:sz w:val="24"/>
          <w:szCs w:val="24"/>
        </w:rPr>
        <w:t>p</w:t>
      </w:r>
      <w:r>
        <w:rPr>
          <w:rFonts w:ascii="Times New Roman" w:hAnsi="Times New Roman" w:cs="Times New Roman"/>
          <w:i/>
          <w:sz w:val="24"/>
          <w:szCs w:val="24"/>
        </w:rPr>
        <w:t>aragraph 7 of the Statement of Claim, which is also relevant, does not raise any matter of fact (as opposed to contentions of law) that is in dispute.</w:t>
      </w:r>
    </w:p>
    <w:p w14:paraId="4FBCDC5D" w14:textId="77777777" w:rsidR="00F00A36" w:rsidRDefault="00F00A36" w:rsidP="00F00A36">
      <w:pPr>
        <w:pStyle w:val="ListParagraph"/>
        <w:spacing w:line="480" w:lineRule="auto"/>
        <w:ind w:left="1134"/>
        <w:jc w:val="left"/>
        <w:rPr>
          <w:rFonts w:ascii="Times New Roman" w:hAnsi="Times New Roman" w:cs="Times New Roman"/>
          <w:i/>
          <w:sz w:val="24"/>
          <w:szCs w:val="24"/>
        </w:rPr>
      </w:pPr>
      <w:r>
        <w:rPr>
          <w:rFonts w:ascii="Times New Roman" w:hAnsi="Times New Roman" w:cs="Times New Roman"/>
          <w:i/>
          <w:sz w:val="24"/>
          <w:szCs w:val="24"/>
        </w:rPr>
        <w:t xml:space="preserve">… </w:t>
      </w:r>
    </w:p>
    <w:p w14:paraId="1B5ECC08" w14:textId="47A23F12" w:rsidR="00F00A36" w:rsidRDefault="00F00A36" w:rsidP="001333C9">
      <w:pPr>
        <w:pStyle w:val="ListParagraph"/>
        <w:tabs>
          <w:tab w:val="left" w:pos="1134"/>
        </w:tabs>
        <w:spacing w:line="480" w:lineRule="auto"/>
        <w:ind w:left="567"/>
        <w:jc w:val="left"/>
        <w:rPr>
          <w:rFonts w:ascii="Times New Roman" w:hAnsi="Times New Roman" w:cs="Times New Roman"/>
          <w:i/>
          <w:sz w:val="24"/>
          <w:szCs w:val="24"/>
        </w:rPr>
      </w:pPr>
      <w:r>
        <w:rPr>
          <w:rFonts w:ascii="Times New Roman" w:hAnsi="Times New Roman" w:cs="Times New Roman"/>
          <w:i/>
          <w:sz w:val="24"/>
          <w:szCs w:val="24"/>
        </w:rPr>
        <w:t>(3)</w:t>
      </w:r>
      <w:r>
        <w:rPr>
          <w:rFonts w:ascii="Times New Roman" w:hAnsi="Times New Roman" w:cs="Times New Roman"/>
          <w:i/>
          <w:sz w:val="24"/>
          <w:szCs w:val="24"/>
        </w:rPr>
        <w:tab/>
        <w:t xml:space="preserve">If so, whether the Copyright </w:t>
      </w:r>
      <w:r w:rsidR="0031120C">
        <w:rPr>
          <w:rFonts w:ascii="Times New Roman" w:hAnsi="Times New Roman" w:cs="Times New Roman"/>
          <w:i/>
          <w:sz w:val="24"/>
          <w:szCs w:val="24"/>
        </w:rPr>
        <w:t xml:space="preserve">&amp; </w:t>
      </w:r>
      <w:r>
        <w:rPr>
          <w:rFonts w:ascii="Times New Roman" w:hAnsi="Times New Roman" w:cs="Times New Roman"/>
          <w:i/>
          <w:sz w:val="24"/>
          <w:szCs w:val="24"/>
        </w:rPr>
        <w:t>Related Rights Act,</w:t>
      </w:r>
      <w:r w:rsidR="0031120C">
        <w:rPr>
          <w:rFonts w:ascii="Times New Roman" w:hAnsi="Times New Roman" w:cs="Times New Roman"/>
          <w:i/>
          <w:sz w:val="24"/>
          <w:szCs w:val="24"/>
        </w:rPr>
        <w:t xml:space="preserve"> </w:t>
      </w:r>
      <w:r>
        <w:rPr>
          <w:rFonts w:ascii="Times New Roman" w:hAnsi="Times New Roman" w:cs="Times New Roman"/>
          <w:i/>
          <w:sz w:val="24"/>
          <w:szCs w:val="24"/>
        </w:rPr>
        <w:t>2000 correctly transposes that obligation?</w:t>
      </w:r>
      <w:r>
        <w:rPr>
          <w:rFonts w:ascii="Times New Roman" w:hAnsi="Times New Roman" w:cs="Times New Roman"/>
          <w:i/>
          <w:sz w:val="24"/>
          <w:szCs w:val="24"/>
        </w:rPr>
        <w:tab/>
      </w:r>
    </w:p>
    <w:p w14:paraId="1EC60621" w14:textId="77777777" w:rsidR="00F57BA7" w:rsidRDefault="00F57BA7" w:rsidP="00CB3C04">
      <w:pPr>
        <w:pStyle w:val="ListParagraph"/>
        <w:numPr>
          <w:ilvl w:val="0"/>
          <w:numId w:val="3"/>
        </w:numPr>
        <w:spacing w:line="480" w:lineRule="auto"/>
        <w:ind w:left="1701" w:hanging="567"/>
        <w:jc w:val="left"/>
        <w:rPr>
          <w:rFonts w:ascii="Times New Roman" w:hAnsi="Times New Roman" w:cs="Times New Roman"/>
          <w:i/>
          <w:sz w:val="24"/>
          <w:szCs w:val="24"/>
        </w:rPr>
      </w:pPr>
      <w:r>
        <w:rPr>
          <w:rFonts w:ascii="Times New Roman" w:hAnsi="Times New Roman" w:cs="Times New Roman"/>
          <w:i/>
          <w:sz w:val="24"/>
          <w:szCs w:val="24"/>
        </w:rPr>
        <w:t xml:space="preserve">This is the issue at paragraph 3 of the Prayer for Relief.  It is an issue of law.  </w:t>
      </w:r>
    </w:p>
    <w:p w14:paraId="2DE5F4CF" w14:textId="39AC3EF0" w:rsidR="00F57BA7" w:rsidRDefault="00F57BA7" w:rsidP="001333C9">
      <w:pPr>
        <w:pStyle w:val="ListParagraph"/>
        <w:tabs>
          <w:tab w:val="left" w:pos="1134"/>
        </w:tabs>
        <w:spacing w:line="480" w:lineRule="auto"/>
        <w:ind w:left="567"/>
        <w:jc w:val="left"/>
        <w:rPr>
          <w:rFonts w:ascii="Times New Roman" w:hAnsi="Times New Roman" w:cs="Times New Roman"/>
          <w:i/>
          <w:sz w:val="24"/>
          <w:szCs w:val="24"/>
        </w:rPr>
      </w:pPr>
      <w:r>
        <w:rPr>
          <w:rFonts w:ascii="Times New Roman" w:hAnsi="Times New Roman" w:cs="Times New Roman"/>
          <w:i/>
          <w:sz w:val="24"/>
          <w:szCs w:val="24"/>
        </w:rPr>
        <w:t>(4)</w:t>
      </w:r>
      <w:r>
        <w:rPr>
          <w:rFonts w:ascii="Times New Roman" w:hAnsi="Times New Roman" w:cs="Times New Roman"/>
          <w:i/>
          <w:sz w:val="24"/>
          <w:szCs w:val="24"/>
        </w:rPr>
        <w:tab/>
      </w:r>
      <w:r w:rsidRPr="004B0070">
        <w:rPr>
          <w:rFonts w:ascii="Times New Roman" w:hAnsi="Times New Roman" w:cs="Times New Roman"/>
          <w:b/>
          <w:i/>
          <w:sz w:val="24"/>
          <w:szCs w:val="24"/>
        </w:rPr>
        <w:t>Whether non-E</w:t>
      </w:r>
      <w:r w:rsidR="00E34F53" w:rsidRPr="004B0070">
        <w:rPr>
          <w:rFonts w:ascii="Times New Roman" w:hAnsi="Times New Roman" w:cs="Times New Roman"/>
          <w:b/>
          <w:i/>
          <w:sz w:val="24"/>
          <w:szCs w:val="24"/>
        </w:rPr>
        <w:t>E</w:t>
      </w:r>
      <w:r w:rsidRPr="004B0070">
        <w:rPr>
          <w:rFonts w:ascii="Times New Roman" w:hAnsi="Times New Roman" w:cs="Times New Roman"/>
          <w:b/>
          <w:i/>
          <w:sz w:val="24"/>
          <w:szCs w:val="24"/>
        </w:rPr>
        <w:t>A performers</w:t>
      </w:r>
      <w:r>
        <w:rPr>
          <w:rFonts w:ascii="Times New Roman" w:hAnsi="Times New Roman" w:cs="Times New Roman"/>
          <w:i/>
          <w:sz w:val="24"/>
          <w:szCs w:val="24"/>
        </w:rPr>
        <w:t xml:space="preserve">, whose performances were recorded outside the EEA, </w:t>
      </w:r>
      <w:r w:rsidRPr="004B0070">
        <w:rPr>
          <w:rFonts w:ascii="Times New Roman" w:hAnsi="Times New Roman" w:cs="Times New Roman"/>
          <w:b/>
          <w:i/>
          <w:sz w:val="24"/>
          <w:szCs w:val="24"/>
        </w:rPr>
        <w:t>were nonetheless entitled to payment of royalties from PPI</w:t>
      </w:r>
      <w:r>
        <w:rPr>
          <w:rFonts w:ascii="Times New Roman" w:hAnsi="Times New Roman" w:cs="Times New Roman"/>
          <w:i/>
          <w:sz w:val="24"/>
          <w:szCs w:val="24"/>
        </w:rPr>
        <w:t xml:space="preserve"> in respect of the p</w:t>
      </w:r>
      <w:r w:rsidR="008E5633">
        <w:rPr>
          <w:rFonts w:ascii="Times New Roman" w:hAnsi="Times New Roman" w:cs="Times New Roman"/>
          <w:i/>
          <w:sz w:val="24"/>
          <w:szCs w:val="24"/>
        </w:rPr>
        <w:t>l</w:t>
      </w:r>
      <w:r>
        <w:rPr>
          <w:rFonts w:ascii="Times New Roman" w:hAnsi="Times New Roman" w:cs="Times New Roman"/>
          <w:i/>
          <w:sz w:val="24"/>
          <w:szCs w:val="24"/>
        </w:rPr>
        <w:t xml:space="preserve">aying in public, broadcast or cable transmission of recordings of their performances in the State </w:t>
      </w:r>
      <w:r w:rsidRPr="004B0070">
        <w:rPr>
          <w:rFonts w:ascii="Times New Roman" w:hAnsi="Times New Roman" w:cs="Times New Roman"/>
          <w:b/>
          <w:i/>
          <w:sz w:val="24"/>
          <w:szCs w:val="24"/>
        </w:rPr>
        <w:t>pursuant to the Agreement dated 23 April 2020</w:t>
      </w:r>
      <w:r>
        <w:rPr>
          <w:rFonts w:ascii="Times New Roman" w:hAnsi="Times New Roman" w:cs="Times New Roman"/>
          <w:i/>
          <w:sz w:val="24"/>
          <w:szCs w:val="24"/>
        </w:rPr>
        <w:t xml:space="preserve"> between PPI and RAAP in circumstances where the track in question featured an EEA performer?  </w:t>
      </w:r>
    </w:p>
    <w:p w14:paraId="559581A7" w14:textId="4555FA96" w:rsidR="00F57BA7" w:rsidRPr="00CB3C04" w:rsidRDefault="00F57BA7" w:rsidP="00CB3C04">
      <w:pPr>
        <w:pStyle w:val="ListParagraph"/>
        <w:numPr>
          <w:ilvl w:val="0"/>
          <w:numId w:val="3"/>
        </w:numPr>
        <w:spacing w:line="480" w:lineRule="auto"/>
        <w:ind w:left="1701" w:hanging="567"/>
        <w:jc w:val="left"/>
        <w:rPr>
          <w:i/>
        </w:rPr>
      </w:pPr>
      <w:r>
        <w:rPr>
          <w:rFonts w:ascii="Times New Roman" w:hAnsi="Times New Roman" w:cs="Times New Roman"/>
          <w:i/>
          <w:sz w:val="24"/>
          <w:szCs w:val="24"/>
        </w:rPr>
        <w:t xml:space="preserve">This is an issue of contractual interpretation.  </w:t>
      </w:r>
      <w:r w:rsidRPr="00E34F53">
        <w:rPr>
          <w:rFonts w:ascii="Times New Roman" w:hAnsi="Times New Roman" w:cs="Times New Roman"/>
          <w:b/>
          <w:i/>
          <w:sz w:val="24"/>
          <w:szCs w:val="24"/>
        </w:rPr>
        <w:t>It is not proposed that it will</w:t>
      </w:r>
      <w:r>
        <w:rPr>
          <w:rFonts w:ascii="Times New Roman" w:hAnsi="Times New Roman" w:cs="Times New Roman"/>
          <w:i/>
          <w:sz w:val="24"/>
          <w:szCs w:val="24"/>
        </w:rPr>
        <w:t xml:space="preserve"> </w:t>
      </w:r>
      <w:r w:rsidRPr="00E34F53">
        <w:rPr>
          <w:rFonts w:ascii="Times New Roman" w:hAnsi="Times New Roman" w:cs="Times New Roman"/>
          <w:b/>
          <w:i/>
          <w:sz w:val="24"/>
          <w:szCs w:val="24"/>
        </w:rPr>
        <w:t>be addressed</w:t>
      </w:r>
      <w:r>
        <w:rPr>
          <w:rFonts w:ascii="Times New Roman" w:hAnsi="Times New Roman" w:cs="Times New Roman"/>
          <w:i/>
          <w:sz w:val="24"/>
          <w:szCs w:val="24"/>
        </w:rPr>
        <w:t xml:space="preserve"> in the first module nor, of course, </w:t>
      </w:r>
      <w:r w:rsidRPr="00E34F53">
        <w:rPr>
          <w:rFonts w:ascii="Times New Roman" w:hAnsi="Times New Roman" w:cs="Times New Roman"/>
          <w:b/>
          <w:i/>
          <w:sz w:val="24"/>
          <w:szCs w:val="24"/>
        </w:rPr>
        <w:t>by way of a preliminary</w:t>
      </w:r>
      <w:r>
        <w:rPr>
          <w:rFonts w:ascii="Times New Roman" w:hAnsi="Times New Roman" w:cs="Times New Roman"/>
          <w:i/>
          <w:sz w:val="24"/>
          <w:szCs w:val="24"/>
        </w:rPr>
        <w:t xml:space="preserve"> </w:t>
      </w:r>
      <w:r w:rsidRPr="00E34F53">
        <w:rPr>
          <w:rFonts w:ascii="Times New Roman" w:hAnsi="Times New Roman" w:cs="Times New Roman"/>
          <w:b/>
          <w:i/>
          <w:sz w:val="24"/>
          <w:szCs w:val="24"/>
        </w:rPr>
        <w:t>issue of law</w:t>
      </w:r>
      <w:r>
        <w:rPr>
          <w:rFonts w:ascii="Times New Roman" w:hAnsi="Times New Roman" w:cs="Times New Roman"/>
          <w:i/>
          <w:sz w:val="24"/>
          <w:szCs w:val="24"/>
        </w:rPr>
        <w:t>.  It will nonetheless be noted that the Statement of Claim correctly places the 2002 Agreement in its statutory context and that the contractual and statutory issue are interwoven.</w:t>
      </w:r>
      <w:r w:rsidR="008E5633">
        <w:rPr>
          <w:rFonts w:ascii="Times New Roman" w:hAnsi="Times New Roman" w:cs="Times New Roman"/>
          <w:i/>
          <w:sz w:val="24"/>
          <w:szCs w:val="24"/>
        </w:rPr>
        <w:t>”</w:t>
      </w:r>
      <w:r w:rsidR="008E5633" w:rsidRPr="008E5633">
        <w:rPr>
          <w:rFonts w:ascii="Times New Roman" w:hAnsi="Times New Roman" w:cs="Times New Roman"/>
          <w:i/>
          <w:sz w:val="24"/>
          <w:szCs w:val="24"/>
        </w:rPr>
        <w:t xml:space="preserve"> </w:t>
      </w:r>
      <w:r w:rsidR="008E5633" w:rsidRPr="00BA74BA">
        <w:rPr>
          <w:rFonts w:ascii="Times New Roman" w:hAnsi="Times New Roman" w:cs="Times New Roman"/>
          <w:sz w:val="24"/>
          <w:szCs w:val="24"/>
        </w:rPr>
        <w:t>(emphasis added)</w:t>
      </w:r>
    </w:p>
    <w:p w14:paraId="639BBF27" w14:textId="22B17CA0" w:rsidR="000277CE" w:rsidRPr="004A53C7" w:rsidRDefault="003F5049" w:rsidP="000277CE">
      <w:pPr>
        <w:pStyle w:val="ListParagraph"/>
        <w:tabs>
          <w:tab w:val="left" w:pos="567"/>
        </w:tabs>
        <w:spacing w:line="480" w:lineRule="auto"/>
        <w:ind w:left="0"/>
        <w:jc w:val="left"/>
        <w:rPr>
          <w:rFonts w:ascii="Times New Roman" w:hAnsi="Times New Roman" w:cs="Times New Roman"/>
          <w:i/>
          <w:sz w:val="24"/>
          <w:szCs w:val="24"/>
        </w:rPr>
      </w:pPr>
      <w:r>
        <w:rPr>
          <w:rFonts w:ascii="Times New Roman" w:hAnsi="Times New Roman" w:cs="Times New Roman"/>
          <w:sz w:val="24"/>
          <w:szCs w:val="24"/>
        </w:rPr>
        <w:lastRenderedPageBreak/>
        <w:t>At para. 34, s</w:t>
      </w:r>
      <w:r w:rsidR="00EC237C" w:rsidRPr="004A53C7">
        <w:rPr>
          <w:rFonts w:ascii="Times New Roman" w:hAnsi="Times New Roman" w:cs="Times New Roman"/>
          <w:sz w:val="24"/>
          <w:szCs w:val="24"/>
        </w:rPr>
        <w:t xml:space="preserve">he discusses the </w:t>
      </w:r>
      <w:r w:rsidR="004A53C7" w:rsidRPr="004A53C7">
        <w:rPr>
          <w:rFonts w:ascii="Times New Roman" w:hAnsi="Times New Roman" w:cs="Times New Roman"/>
          <w:sz w:val="24"/>
          <w:szCs w:val="24"/>
        </w:rPr>
        <w:t>centrality of the points of law to the interpretation and understanding of the agreement of 2002</w:t>
      </w:r>
      <w:r>
        <w:rPr>
          <w:rFonts w:ascii="Times New Roman" w:hAnsi="Times New Roman" w:cs="Times New Roman"/>
          <w:sz w:val="24"/>
          <w:szCs w:val="24"/>
        </w:rPr>
        <w:t>:-</w:t>
      </w:r>
      <w:r w:rsidR="00EC237C" w:rsidRPr="004A53C7">
        <w:rPr>
          <w:rFonts w:ascii="Times New Roman" w:hAnsi="Times New Roman" w:cs="Times New Roman"/>
          <w:sz w:val="24"/>
          <w:szCs w:val="24"/>
        </w:rPr>
        <w:t xml:space="preserve"> </w:t>
      </w:r>
    </w:p>
    <w:p w14:paraId="6901330D" w14:textId="0E06D1BB" w:rsidR="000277CE" w:rsidRPr="000277CE" w:rsidRDefault="000277CE" w:rsidP="001333C9">
      <w:pPr>
        <w:pStyle w:val="ListParagraph"/>
        <w:tabs>
          <w:tab w:val="left" w:pos="1134"/>
        </w:tabs>
        <w:spacing w:line="480" w:lineRule="auto"/>
        <w:ind w:left="567"/>
        <w:jc w:val="left"/>
        <w:rPr>
          <w:rFonts w:ascii="Times New Roman" w:hAnsi="Times New Roman" w:cs="Times New Roman"/>
          <w:i/>
          <w:sz w:val="24"/>
          <w:szCs w:val="24"/>
        </w:rPr>
      </w:pPr>
      <w:r>
        <w:rPr>
          <w:rFonts w:ascii="Times New Roman" w:hAnsi="Times New Roman" w:cs="Times New Roman"/>
          <w:i/>
          <w:sz w:val="24"/>
          <w:szCs w:val="24"/>
        </w:rPr>
        <w:t>“34</w:t>
      </w:r>
      <w:r w:rsidR="00805BD5">
        <w:rPr>
          <w:rFonts w:ascii="Times New Roman" w:hAnsi="Times New Roman" w:cs="Times New Roman"/>
          <w:i/>
          <w:sz w:val="24"/>
          <w:szCs w:val="24"/>
        </w:rPr>
        <w:t>.</w:t>
      </w:r>
      <w:r w:rsidR="006B72E2">
        <w:rPr>
          <w:rFonts w:ascii="Times New Roman" w:hAnsi="Times New Roman" w:cs="Times New Roman"/>
          <w:i/>
          <w:sz w:val="24"/>
          <w:szCs w:val="24"/>
        </w:rPr>
        <w:tab/>
      </w:r>
      <w:r w:rsidRPr="004A53C7">
        <w:rPr>
          <w:rFonts w:ascii="Times New Roman" w:hAnsi="Times New Roman" w:cs="Times New Roman"/>
          <w:b/>
          <w:i/>
          <w:sz w:val="24"/>
          <w:szCs w:val="24"/>
        </w:rPr>
        <w:t>Whilst it may be technically correct that determining the meaning of the EU Directive, the legislation and RAAP’s statutory position is not ipso facto dispositive of the first and second proceedings</w:t>
      </w:r>
      <w:r>
        <w:rPr>
          <w:rFonts w:ascii="Times New Roman" w:hAnsi="Times New Roman" w:cs="Times New Roman"/>
          <w:i/>
          <w:sz w:val="24"/>
          <w:szCs w:val="24"/>
        </w:rPr>
        <w:t>, the proper understanding of the Directive, the legislat</w:t>
      </w:r>
      <w:r w:rsidR="004A53C7">
        <w:rPr>
          <w:rFonts w:ascii="Times New Roman" w:hAnsi="Times New Roman" w:cs="Times New Roman"/>
          <w:i/>
          <w:sz w:val="24"/>
          <w:szCs w:val="24"/>
        </w:rPr>
        <w:t>ion</w:t>
      </w:r>
      <w:r>
        <w:rPr>
          <w:rFonts w:ascii="Times New Roman" w:hAnsi="Times New Roman" w:cs="Times New Roman"/>
          <w:i/>
          <w:sz w:val="24"/>
          <w:szCs w:val="24"/>
        </w:rPr>
        <w:t xml:space="preserve"> and RAAP’s statutory position is indisputably the critical element for the proper interpretation and understanding of the agreement.</w:t>
      </w:r>
      <w:r w:rsidR="00805BD5">
        <w:rPr>
          <w:rFonts w:ascii="Times New Roman" w:hAnsi="Times New Roman" w:cs="Times New Roman"/>
          <w:i/>
          <w:sz w:val="24"/>
          <w:szCs w:val="24"/>
        </w:rPr>
        <w:t>”</w:t>
      </w:r>
      <w:r w:rsidR="00BE49F7">
        <w:rPr>
          <w:rFonts w:ascii="Times New Roman" w:hAnsi="Times New Roman" w:cs="Times New Roman"/>
          <w:i/>
          <w:sz w:val="24"/>
          <w:szCs w:val="24"/>
        </w:rPr>
        <w:t xml:space="preserve"> </w:t>
      </w:r>
      <w:r w:rsidR="004A53C7" w:rsidRPr="00EF3176">
        <w:rPr>
          <w:rFonts w:ascii="Times New Roman" w:hAnsi="Times New Roman" w:cs="Times New Roman"/>
          <w:sz w:val="24"/>
          <w:szCs w:val="24"/>
        </w:rPr>
        <w:t>(emphasis added)</w:t>
      </w:r>
    </w:p>
    <w:p w14:paraId="6E106B89" w14:textId="62DBEA09" w:rsidR="00F57BA7" w:rsidRDefault="00F57BA7" w:rsidP="0050791B">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At para</w:t>
      </w:r>
      <w:r w:rsidR="003F5049">
        <w:rPr>
          <w:rFonts w:ascii="Times New Roman" w:hAnsi="Times New Roman" w:cs="Times New Roman"/>
          <w:sz w:val="24"/>
          <w:szCs w:val="24"/>
        </w:rPr>
        <w:t>s</w:t>
      </w:r>
      <w:r>
        <w:rPr>
          <w:rFonts w:ascii="Times New Roman" w:hAnsi="Times New Roman" w:cs="Times New Roman"/>
          <w:sz w:val="24"/>
          <w:szCs w:val="24"/>
        </w:rPr>
        <w:t>. 35 and 36</w:t>
      </w:r>
      <w:r w:rsidR="003F5049">
        <w:rPr>
          <w:rFonts w:ascii="Times New Roman" w:hAnsi="Times New Roman" w:cs="Times New Roman"/>
          <w:sz w:val="24"/>
          <w:szCs w:val="24"/>
        </w:rPr>
        <w:t>,</w:t>
      </w:r>
      <w:r>
        <w:rPr>
          <w:rFonts w:ascii="Times New Roman" w:hAnsi="Times New Roman" w:cs="Times New Roman"/>
          <w:sz w:val="24"/>
          <w:szCs w:val="24"/>
        </w:rPr>
        <w:t xml:space="preserve"> she says that there is no dispute between the parties that they were effectively mandated by the Act to put in place an agreement as to what constituted the amount of equitable remuneration and thus the agreement of 2002 has a statutory context.  She says this makes the case very different from an ordinary contractual case.  At para. 37 she says:</w:t>
      </w:r>
      <w:r w:rsidR="003F5049">
        <w:rPr>
          <w:rFonts w:ascii="Times New Roman" w:hAnsi="Times New Roman" w:cs="Times New Roman"/>
          <w:sz w:val="24"/>
          <w:szCs w:val="24"/>
        </w:rPr>
        <w:t>-</w:t>
      </w:r>
    </w:p>
    <w:p w14:paraId="06FA639B" w14:textId="781D362A" w:rsidR="0032666F" w:rsidRPr="004A53C7" w:rsidRDefault="00F57BA7" w:rsidP="00F57BA7">
      <w:pPr>
        <w:pStyle w:val="ListParagraph"/>
        <w:spacing w:line="480" w:lineRule="auto"/>
        <w:ind w:left="567"/>
        <w:jc w:val="left"/>
        <w:rPr>
          <w:rFonts w:ascii="Times New Roman" w:hAnsi="Times New Roman" w:cs="Times New Roman"/>
          <w:b/>
          <w:i/>
          <w:sz w:val="24"/>
          <w:szCs w:val="24"/>
        </w:rPr>
      </w:pPr>
      <w:r>
        <w:rPr>
          <w:rFonts w:ascii="Times New Roman" w:hAnsi="Times New Roman" w:cs="Times New Roman"/>
          <w:i/>
          <w:sz w:val="24"/>
          <w:szCs w:val="24"/>
        </w:rPr>
        <w:t>“Once the statutory framework is determined, one or other of the parties as between PPI and RAAP will be left to have to argue that it was the mutual agreement of the parties that they agreed that equitable remuneration would be paid/not paid in circumstances other than those provided for in the legislation or that the appointment of RAAP as agent of PPI was/was not necessary.  For instance, if it was determined by the Court that neither the EU Directive nor the legislation requires PPI make payments of equitable remuneration to non-E</w:t>
      </w:r>
      <w:r w:rsidR="0032666F">
        <w:rPr>
          <w:rFonts w:ascii="Times New Roman" w:hAnsi="Times New Roman" w:cs="Times New Roman"/>
          <w:i/>
          <w:sz w:val="24"/>
          <w:szCs w:val="24"/>
        </w:rPr>
        <w:t>E</w:t>
      </w:r>
      <w:r>
        <w:rPr>
          <w:rFonts w:ascii="Times New Roman" w:hAnsi="Times New Roman" w:cs="Times New Roman"/>
          <w:i/>
          <w:sz w:val="24"/>
          <w:szCs w:val="24"/>
        </w:rPr>
        <w:t>A citizens in respect of public performances in Ireland</w:t>
      </w:r>
      <w:r w:rsidR="0032666F">
        <w:rPr>
          <w:rFonts w:ascii="Times New Roman" w:hAnsi="Times New Roman" w:cs="Times New Roman"/>
          <w:i/>
          <w:sz w:val="24"/>
          <w:szCs w:val="24"/>
        </w:rPr>
        <w:t xml:space="preserve"> of recordings recorded outside the EEA, then it </w:t>
      </w:r>
      <w:r w:rsidR="00805BD5">
        <w:rPr>
          <w:rFonts w:ascii="Times New Roman" w:hAnsi="Times New Roman" w:cs="Times New Roman"/>
          <w:i/>
          <w:sz w:val="24"/>
          <w:szCs w:val="24"/>
        </w:rPr>
        <w:t xml:space="preserve">will </w:t>
      </w:r>
      <w:r w:rsidR="0032666F">
        <w:rPr>
          <w:rFonts w:ascii="Times New Roman" w:hAnsi="Times New Roman" w:cs="Times New Roman"/>
          <w:i/>
          <w:sz w:val="24"/>
          <w:szCs w:val="24"/>
        </w:rPr>
        <w:t xml:space="preserve">be left to RAAP to have to argue that nonetheless PPI had agreed to make such payments despite the Act providing otherwise.  It would be a matter for RAAP whether it wishes to proceed with such an argument.  On the other hand, </w:t>
      </w:r>
      <w:r w:rsidR="0032666F" w:rsidRPr="004A53C7">
        <w:rPr>
          <w:rFonts w:ascii="Times New Roman" w:hAnsi="Times New Roman" w:cs="Times New Roman"/>
          <w:b/>
          <w:i/>
          <w:sz w:val="24"/>
          <w:szCs w:val="24"/>
        </w:rPr>
        <w:t>if it were to be determined that RAA</w:t>
      </w:r>
      <w:r w:rsidR="00805BD5">
        <w:rPr>
          <w:rFonts w:ascii="Times New Roman" w:hAnsi="Times New Roman" w:cs="Times New Roman"/>
          <w:b/>
          <w:i/>
          <w:sz w:val="24"/>
          <w:szCs w:val="24"/>
        </w:rPr>
        <w:t>P</w:t>
      </w:r>
      <w:r w:rsidR="0032666F" w:rsidRPr="004A53C7">
        <w:rPr>
          <w:rFonts w:ascii="Times New Roman" w:hAnsi="Times New Roman" w:cs="Times New Roman"/>
          <w:b/>
          <w:i/>
          <w:sz w:val="24"/>
          <w:szCs w:val="24"/>
        </w:rPr>
        <w:t xml:space="preserve"> was correct in its argument that it was entitled to be paid royalties in respect of non-EEA </w:t>
      </w:r>
      <w:r w:rsidR="0032666F" w:rsidRPr="004A53C7">
        <w:rPr>
          <w:rFonts w:ascii="Times New Roman" w:hAnsi="Times New Roman" w:cs="Times New Roman"/>
          <w:b/>
          <w:i/>
          <w:sz w:val="24"/>
          <w:szCs w:val="24"/>
        </w:rPr>
        <w:lastRenderedPageBreak/>
        <w:t xml:space="preserve">performers appearing on non-EEA recorded performances, then PPI </w:t>
      </w:r>
      <w:r w:rsidR="00805BD5">
        <w:rPr>
          <w:rFonts w:ascii="Times New Roman" w:hAnsi="Times New Roman" w:cs="Times New Roman"/>
          <w:b/>
          <w:i/>
          <w:sz w:val="24"/>
          <w:szCs w:val="24"/>
        </w:rPr>
        <w:t>will</w:t>
      </w:r>
      <w:r w:rsidR="00805BD5" w:rsidRPr="004A53C7">
        <w:rPr>
          <w:rFonts w:ascii="Times New Roman" w:hAnsi="Times New Roman" w:cs="Times New Roman"/>
          <w:b/>
          <w:i/>
          <w:sz w:val="24"/>
          <w:szCs w:val="24"/>
        </w:rPr>
        <w:t xml:space="preserve"> </w:t>
      </w:r>
      <w:r w:rsidR="0032666F" w:rsidRPr="004A53C7">
        <w:rPr>
          <w:rFonts w:ascii="Times New Roman" w:hAnsi="Times New Roman" w:cs="Times New Roman"/>
          <w:b/>
          <w:i/>
          <w:sz w:val="24"/>
          <w:szCs w:val="24"/>
        </w:rPr>
        <w:t>be confront</w:t>
      </w:r>
      <w:r w:rsidR="00805BD5">
        <w:rPr>
          <w:rFonts w:ascii="Times New Roman" w:hAnsi="Times New Roman" w:cs="Times New Roman"/>
          <w:b/>
          <w:i/>
          <w:sz w:val="24"/>
          <w:szCs w:val="24"/>
        </w:rPr>
        <w:t>ed</w:t>
      </w:r>
      <w:r w:rsidR="0032666F" w:rsidRPr="004A53C7">
        <w:rPr>
          <w:rFonts w:ascii="Times New Roman" w:hAnsi="Times New Roman" w:cs="Times New Roman"/>
          <w:b/>
          <w:i/>
          <w:sz w:val="24"/>
          <w:szCs w:val="24"/>
        </w:rPr>
        <w:t xml:space="preserve"> with a like decision</w:t>
      </w:r>
      <w:r w:rsidR="00805BD5">
        <w:rPr>
          <w:rFonts w:ascii="Times New Roman" w:hAnsi="Times New Roman" w:cs="Times New Roman"/>
          <w:b/>
          <w:i/>
          <w:sz w:val="24"/>
          <w:szCs w:val="24"/>
        </w:rPr>
        <w:t xml:space="preserve">. </w:t>
      </w:r>
      <w:r w:rsidR="0032666F" w:rsidRPr="004A53C7">
        <w:rPr>
          <w:rFonts w:ascii="Times New Roman" w:hAnsi="Times New Roman" w:cs="Times New Roman"/>
          <w:b/>
          <w:i/>
          <w:sz w:val="24"/>
          <w:szCs w:val="24"/>
        </w:rPr>
        <w:t>…</w:t>
      </w:r>
    </w:p>
    <w:p w14:paraId="4ECBD619" w14:textId="7B02D7FA" w:rsidR="0032666F" w:rsidRDefault="00805BD5" w:rsidP="00F57BA7">
      <w:pPr>
        <w:pStyle w:val="ListParagraph"/>
        <w:spacing w:line="480" w:lineRule="auto"/>
        <w:ind w:left="567"/>
        <w:jc w:val="left"/>
        <w:rPr>
          <w:rFonts w:ascii="Times New Roman" w:hAnsi="Times New Roman" w:cs="Times New Roman"/>
          <w:i/>
          <w:sz w:val="24"/>
          <w:szCs w:val="24"/>
        </w:rPr>
      </w:pPr>
      <w:r>
        <w:rPr>
          <w:rFonts w:ascii="Times New Roman" w:hAnsi="Times New Roman" w:cs="Times New Roman"/>
          <w:i/>
          <w:sz w:val="24"/>
          <w:szCs w:val="24"/>
        </w:rPr>
        <w:t>38. …</w:t>
      </w:r>
    </w:p>
    <w:p w14:paraId="7CE15E09" w14:textId="37248177" w:rsidR="005C3775" w:rsidRDefault="0032666F" w:rsidP="00CB3C04">
      <w:pPr>
        <w:pStyle w:val="ListParagraph"/>
        <w:tabs>
          <w:tab w:val="left" w:pos="1134"/>
        </w:tabs>
        <w:spacing w:line="480" w:lineRule="auto"/>
        <w:ind w:left="1134"/>
        <w:jc w:val="left"/>
        <w:rPr>
          <w:rFonts w:ascii="Times New Roman" w:hAnsi="Times New Roman" w:cs="Times New Roman"/>
          <w:sz w:val="24"/>
          <w:szCs w:val="24"/>
        </w:rPr>
      </w:pPr>
      <w:r>
        <w:rPr>
          <w:rFonts w:ascii="Times New Roman" w:hAnsi="Times New Roman" w:cs="Times New Roman"/>
          <w:i/>
          <w:sz w:val="24"/>
          <w:szCs w:val="24"/>
        </w:rPr>
        <w:t xml:space="preserve">37.3 </w:t>
      </w:r>
      <w:r w:rsidRPr="004A53C7">
        <w:rPr>
          <w:rFonts w:ascii="Times New Roman" w:hAnsi="Times New Roman" w:cs="Times New Roman"/>
          <w:b/>
          <w:i/>
          <w:sz w:val="24"/>
          <w:szCs w:val="24"/>
        </w:rPr>
        <w:t>While the determination of these questions are not necessarily dispositive of the contractual dispute in the first proceedings</w:t>
      </w:r>
      <w:r>
        <w:rPr>
          <w:rFonts w:ascii="Times New Roman" w:hAnsi="Times New Roman" w:cs="Times New Roman"/>
          <w:i/>
          <w:sz w:val="24"/>
          <w:szCs w:val="24"/>
        </w:rPr>
        <w:t>, there can be no doubt whatsoever that the determination of these questions will at the very minimum serve to greatly focus the nature of the proceedings in respect of the contractual issues…”</w:t>
      </w:r>
      <w:r w:rsidR="00805BD5">
        <w:rPr>
          <w:rFonts w:ascii="Times New Roman" w:hAnsi="Times New Roman" w:cs="Times New Roman"/>
          <w:iCs/>
          <w:sz w:val="24"/>
          <w:szCs w:val="24"/>
        </w:rPr>
        <w:t>.</w:t>
      </w:r>
      <w:r w:rsidR="00F57BA7">
        <w:rPr>
          <w:rFonts w:ascii="Times New Roman" w:hAnsi="Times New Roman" w:cs="Times New Roman"/>
          <w:i/>
          <w:sz w:val="24"/>
          <w:szCs w:val="24"/>
        </w:rPr>
        <w:t xml:space="preserve">  </w:t>
      </w:r>
      <w:r w:rsidR="00F57BA7">
        <w:rPr>
          <w:rFonts w:ascii="Times New Roman" w:hAnsi="Times New Roman" w:cs="Times New Roman"/>
          <w:sz w:val="24"/>
          <w:szCs w:val="24"/>
        </w:rPr>
        <w:t xml:space="preserve"> </w:t>
      </w:r>
      <w:r w:rsidR="005C3775" w:rsidRPr="00C227D6">
        <w:rPr>
          <w:rFonts w:ascii="Times New Roman" w:hAnsi="Times New Roman" w:cs="Times New Roman"/>
          <w:sz w:val="24"/>
          <w:szCs w:val="24"/>
        </w:rPr>
        <w:t xml:space="preserve"> </w:t>
      </w:r>
      <w:r w:rsidR="004A53C7">
        <w:rPr>
          <w:rFonts w:ascii="Times New Roman" w:hAnsi="Times New Roman" w:cs="Times New Roman"/>
          <w:sz w:val="24"/>
          <w:szCs w:val="24"/>
        </w:rPr>
        <w:t>(emphasis added)</w:t>
      </w:r>
    </w:p>
    <w:p w14:paraId="6CE1811E" w14:textId="3C20FA8E" w:rsidR="004A53C7" w:rsidRPr="00C227D6" w:rsidRDefault="004A53C7" w:rsidP="00BE49F7">
      <w:pPr>
        <w:pStyle w:val="ListParagraph"/>
        <w:spacing w:line="480" w:lineRule="auto"/>
        <w:ind w:left="0"/>
        <w:jc w:val="left"/>
        <w:rPr>
          <w:rFonts w:ascii="Times New Roman" w:hAnsi="Times New Roman" w:cs="Times New Roman"/>
          <w:sz w:val="24"/>
          <w:szCs w:val="24"/>
        </w:rPr>
      </w:pPr>
      <w:r>
        <w:rPr>
          <w:rFonts w:ascii="Times New Roman" w:hAnsi="Times New Roman" w:cs="Times New Roman"/>
          <w:sz w:val="24"/>
          <w:szCs w:val="24"/>
        </w:rPr>
        <w:t>She does not state that if RAAP’s contention in relation to the rights of performers under the Directive is correct</w:t>
      </w:r>
      <w:r w:rsidR="001D6B06">
        <w:rPr>
          <w:rFonts w:ascii="Times New Roman" w:hAnsi="Times New Roman" w:cs="Times New Roman"/>
          <w:sz w:val="24"/>
          <w:szCs w:val="24"/>
        </w:rPr>
        <w:t>,</w:t>
      </w:r>
      <w:r>
        <w:rPr>
          <w:rFonts w:ascii="Times New Roman" w:hAnsi="Times New Roman" w:cs="Times New Roman"/>
          <w:sz w:val="24"/>
          <w:szCs w:val="24"/>
        </w:rPr>
        <w:t xml:space="preserve"> it is not open to the High Court to give a conforming interpretation of the Act. </w:t>
      </w:r>
      <w:r w:rsidR="00967D6D">
        <w:rPr>
          <w:rFonts w:ascii="Times New Roman" w:hAnsi="Times New Roman" w:cs="Times New Roman"/>
          <w:sz w:val="24"/>
          <w:szCs w:val="24"/>
        </w:rPr>
        <w:t xml:space="preserve"> </w:t>
      </w:r>
      <w:r>
        <w:rPr>
          <w:rFonts w:ascii="Times New Roman" w:hAnsi="Times New Roman" w:cs="Times New Roman"/>
          <w:sz w:val="24"/>
          <w:szCs w:val="24"/>
        </w:rPr>
        <w:t>Nor does she suggest that</w:t>
      </w:r>
      <w:r w:rsidR="001D6B06">
        <w:rPr>
          <w:rFonts w:ascii="Times New Roman" w:hAnsi="Times New Roman" w:cs="Times New Roman"/>
          <w:sz w:val="24"/>
          <w:szCs w:val="24"/>
        </w:rPr>
        <w:t xml:space="preserve"> </w:t>
      </w:r>
      <w:r>
        <w:rPr>
          <w:rFonts w:ascii="Times New Roman" w:hAnsi="Times New Roman" w:cs="Times New Roman"/>
          <w:sz w:val="24"/>
          <w:szCs w:val="24"/>
        </w:rPr>
        <w:t xml:space="preserve">a finding </w:t>
      </w:r>
      <w:r w:rsidR="00BE49F7">
        <w:rPr>
          <w:rFonts w:ascii="Times New Roman" w:hAnsi="Times New Roman" w:cs="Times New Roman"/>
          <w:sz w:val="24"/>
          <w:szCs w:val="24"/>
        </w:rPr>
        <w:t xml:space="preserve">in support of RAAP’s interpretation of the Directive </w:t>
      </w:r>
      <w:r w:rsidR="001D6B06">
        <w:rPr>
          <w:rFonts w:ascii="Times New Roman" w:hAnsi="Times New Roman" w:cs="Times New Roman"/>
          <w:sz w:val="24"/>
          <w:szCs w:val="24"/>
        </w:rPr>
        <w:t xml:space="preserve">coupled with a decision that it is not possible to give the Act a conforming interpretation would dispose of a substantial part of RAAP’s claim as it would mean that RAAP’s claim for breach of the agreement </w:t>
      </w:r>
      <w:r w:rsidR="001D6B06" w:rsidRPr="00BE49F7">
        <w:rPr>
          <w:rFonts w:ascii="Times New Roman" w:hAnsi="Times New Roman" w:cs="Times New Roman"/>
          <w:i/>
          <w:sz w:val="24"/>
          <w:szCs w:val="24"/>
        </w:rPr>
        <w:t>must</w:t>
      </w:r>
      <w:r w:rsidR="001D6B06">
        <w:rPr>
          <w:rFonts w:ascii="Times New Roman" w:hAnsi="Times New Roman" w:cs="Times New Roman"/>
          <w:sz w:val="24"/>
          <w:szCs w:val="24"/>
        </w:rPr>
        <w:t xml:space="preserve"> fail, as RAAP may not rely upon the terms of the Directive against PPI.</w:t>
      </w:r>
      <w:r w:rsidR="00BE49F7">
        <w:rPr>
          <w:rFonts w:ascii="Times New Roman" w:hAnsi="Times New Roman" w:cs="Times New Roman"/>
          <w:sz w:val="24"/>
          <w:szCs w:val="24"/>
        </w:rPr>
        <w:t xml:space="preserve"> </w:t>
      </w:r>
      <w:r w:rsidR="00967D6D">
        <w:rPr>
          <w:rFonts w:ascii="Times New Roman" w:hAnsi="Times New Roman" w:cs="Times New Roman"/>
          <w:sz w:val="24"/>
          <w:szCs w:val="24"/>
        </w:rPr>
        <w:t xml:space="preserve"> </w:t>
      </w:r>
      <w:r w:rsidR="00BE49F7">
        <w:rPr>
          <w:rFonts w:ascii="Times New Roman" w:hAnsi="Times New Roman" w:cs="Times New Roman"/>
          <w:sz w:val="24"/>
          <w:szCs w:val="24"/>
        </w:rPr>
        <w:t>On the contrary, she indicates that the court will not be determining the issues of the interpretation of the agreement which will fall to be determined at the trial of the action.</w:t>
      </w:r>
    </w:p>
    <w:p w14:paraId="222353DC" w14:textId="22ADBA13" w:rsidR="005C3775" w:rsidRDefault="001D6B06" w:rsidP="0050791B">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She addresses the relevance of the preliminary issues for the future dealings between the parties. </w:t>
      </w:r>
      <w:r w:rsidR="003F542A">
        <w:rPr>
          <w:rFonts w:ascii="Times New Roman" w:hAnsi="Times New Roman" w:cs="Times New Roman"/>
          <w:sz w:val="24"/>
          <w:szCs w:val="24"/>
        </w:rPr>
        <w:t xml:space="preserve"> </w:t>
      </w:r>
      <w:r>
        <w:rPr>
          <w:rFonts w:ascii="Times New Roman" w:hAnsi="Times New Roman" w:cs="Times New Roman"/>
          <w:sz w:val="24"/>
          <w:szCs w:val="24"/>
        </w:rPr>
        <w:t>U</w:t>
      </w:r>
      <w:r w:rsidR="0032666F">
        <w:rPr>
          <w:rFonts w:ascii="Times New Roman" w:hAnsi="Times New Roman" w:cs="Times New Roman"/>
          <w:sz w:val="24"/>
          <w:szCs w:val="24"/>
        </w:rPr>
        <w:t xml:space="preserve">nder a heading </w:t>
      </w:r>
      <w:r w:rsidR="0032666F">
        <w:rPr>
          <w:rFonts w:ascii="Times New Roman" w:hAnsi="Times New Roman" w:cs="Times New Roman"/>
          <w:i/>
          <w:sz w:val="24"/>
          <w:szCs w:val="24"/>
        </w:rPr>
        <w:t xml:space="preserve">“Resolution of </w:t>
      </w:r>
      <w:r w:rsidR="00454757">
        <w:rPr>
          <w:rFonts w:ascii="Times New Roman" w:hAnsi="Times New Roman" w:cs="Times New Roman"/>
          <w:i/>
          <w:sz w:val="24"/>
          <w:szCs w:val="24"/>
        </w:rPr>
        <w:t>I</w:t>
      </w:r>
      <w:r w:rsidR="0032666F">
        <w:rPr>
          <w:rFonts w:ascii="Times New Roman" w:hAnsi="Times New Roman" w:cs="Times New Roman"/>
          <w:i/>
          <w:sz w:val="24"/>
          <w:szCs w:val="24"/>
        </w:rPr>
        <w:t xml:space="preserve">ssues of </w:t>
      </w:r>
      <w:r w:rsidR="00454757">
        <w:rPr>
          <w:rFonts w:ascii="Times New Roman" w:hAnsi="Times New Roman" w:cs="Times New Roman"/>
          <w:i/>
          <w:sz w:val="24"/>
          <w:szCs w:val="24"/>
        </w:rPr>
        <w:t>L</w:t>
      </w:r>
      <w:r w:rsidR="0032666F">
        <w:rPr>
          <w:rFonts w:ascii="Times New Roman" w:hAnsi="Times New Roman" w:cs="Times New Roman"/>
          <w:i/>
          <w:sz w:val="24"/>
          <w:szCs w:val="24"/>
        </w:rPr>
        <w:t xml:space="preserve">aw will </w:t>
      </w:r>
      <w:r w:rsidR="00454757">
        <w:rPr>
          <w:rFonts w:ascii="Times New Roman" w:hAnsi="Times New Roman" w:cs="Times New Roman"/>
          <w:i/>
          <w:sz w:val="24"/>
          <w:szCs w:val="24"/>
        </w:rPr>
        <w:t>A</w:t>
      </w:r>
      <w:r w:rsidR="0032666F">
        <w:rPr>
          <w:rFonts w:ascii="Times New Roman" w:hAnsi="Times New Roman" w:cs="Times New Roman"/>
          <w:i/>
          <w:sz w:val="24"/>
          <w:szCs w:val="24"/>
        </w:rPr>
        <w:t xml:space="preserve">llow </w:t>
      </w:r>
      <w:r w:rsidR="00454757">
        <w:rPr>
          <w:rFonts w:ascii="Times New Roman" w:hAnsi="Times New Roman" w:cs="Times New Roman"/>
          <w:i/>
          <w:sz w:val="24"/>
          <w:szCs w:val="24"/>
        </w:rPr>
        <w:t>P</w:t>
      </w:r>
      <w:r w:rsidR="0032666F">
        <w:rPr>
          <w:rFonts w:ascii="Times New Roman" w:hAnsi="Times New Roman" w:cs="Times New Roman"/>
          <w:i/>
          <w:sz w:val="24"/>
          <w:szCs w:val="24"/>
        </w:rPr>
        <w:t xml:space="preserve">ost–2017 </w:t>
      </w:r>
      <w:r w:rsidR="00454757">
        <w:rPr>
          <w:rFonts w:ascii="Times New Roman" w:hAnsi="Times New Roman" w:cs="Times New Roman"/>
          <w:i/>
          <w:sz w:val="24"/>
          <w:szCs w:val="24"/>
        </w:rPr>
        <w:t>P</w:t>
      </w:r>
      <w:r w:rsidR="0032666F">
        <w:rPr>
          <w:rFonts w:ascii="Times New Roman" w:hAnsi="Times New Roman" w:cs="Times New Roman"/>
          <w:i/>
          <w:sz w:val="24"/>
          <w:szCs w:val="24"/>
        </w:rPr>
        <w:t xml:space="preserve">ayments of </w:t>
      </w:r>
      <w:r w:rsidR="00454757">
        <w:rPr>
          <w:rFonts w:ascii="Times New Roman" w:hAnsi="Times New Roman" w:cs="Times New Roman"/>
          <w:i/>
          <w:sz w:val="24"/>
          <w:szCs w:val="24"/>
        </w:rPr>
        <w:t>E</w:t>
      </w:r>
      <w:r w:rsidR="0032666F">
        <w:rPr>
          <w:rFonts w:ascii="Times New Roman" w:hAnsi="Times New Roman" w:cs="Times New Roman"/>
          <w:i/>
          <w:sz w:val="24"/>
          <w:szCs w:val="24"/>
        </w:rPr>
        <w:t xml:space="preserve">quitable </w:t>
      </w:r>
      <w:r w:rsidR="00454757">
        <w:rPr>
          <w:rFonts w:ascii="Times New Roman" w:hAnsi="Times New Roman" w:cs="Times New Roman"/>
          <w:i/>
          <w:sz w:val="24"/>
          <w:szCs w:val="24"/>
        </w:rPr>
        <w:t>R</w:t>
      </w:r>
      <w:r w:rsidR="0032666F">
        <w:rPr>
          <w:rFonts w:ascii="Times New Roman" w:hAnsi="Times New Roman" w:cs="Times New Roman"/>
          <w:i/>
          <w:sz w:val="24"/>
          <w:szCs w:val="24"/>
        </w:rPr>
        <w:t xml:space="preserve">emuneration to be </w:t>
      </w:r>
      <w:r w:rsidR="00454757">
        <w:rPr>
          <w:rFonts w:ascii="Times New Roman" w:hAnsi="Times New Roman" w:cs="Times New Roman"/>
          <w:i/>
          <w:sz w:val="24"/>
          <w:szCs w:val="24"/>
        </w:rPr>
        <w:t>N</w:t>
      </w:r>
      <w:r w:rsidR="0032666F">
        <w:rPr>
          <w:rFonts w:ascii="Times New Roman" w:hAnsi="Times New Roman" w:cs="Times New Roman"/>
          <w:i/>
          <w:sz w:val="24"/>
          <w:szCs w:val="24"/>
        </w:rPr>
        <w:t>egotiated”</w:t>
      </w:r>
      <w:r w:rsidR="0032666F">
        <w:rPr>
          <w:rFonts w:ascii="Times New Roman" w:hAnsi="Times New Roman" w:cs="Times New Roman"/>
          <w:sz w:val="24"/>
          <w:szCs w:val="24"/>
        </w:rPr>
        <w:t xml:space="preserve"> she avers at para</w:t>
      </w:r>
      <w:r w:rsidR="0011783A">
        <w:rPr>
          <w:rFonts w:ascii="Times New Roman" w:hAnsi="Times New Roman" w:cs="Times New Roman"/>
          <w:sz w:val="24"/>
          <w:szCs w:val="24"/>
        </w:rPr>
        <w:t>s</w:t>
      </w:r>
      <w:r w:rsidR="0032666F">
        <w:rPr>
          <w:rFonts w:ascii="Times New Roman" w:hAnsi="Times New Roman" w:cs="Times New Roman"/>
          <w:sz w:val="24"/>
          <w:szCs w:val="24"/>
        </w:rPr>
        <w:t>. 42</w:t>
      </w:r>
      <w:r w:rsidR="0011783A">
        <w:rPr>
          <w:rFonts w:ascii="Times New Roman" w:hAnsi="Times New Roman" w:cs="Times New Roman"/>
          <w:sz w:val="24"/>
          <w:szCs w:val="24"/>
        </w:rPr>
        <w:t xml:space="preserve"> and 44</w:t>
      </w:r>
      <w:r w:rsidR="0032666F">
        <w:rPr>
          <w:rFonts w:ascii="Times New Roman" w:hAnsi="Times New Roman" w:cs="Times New Roman"/>
          <w:sz w:val="24"/>
          <w:szCs w:val="24"/>
        </w:rPr>
        <w:t>:</w:t>
      </w:r>
      <w:r w:rsidR="00E84B38">
        <w:rPr>
          <w:rFonts w:ascii="Times New Roman" w:hAnsi="Times New Roman" w:cs="Times New Roman"/>
          <w:sz w:val="24"/>
          <w:szCs w:val="24"/>
        </w:rPr>
        <w:t>-</w:t>
      </w:r>
    </w:p>
    <w:p w14:paraId="4054F16B" w14:textId="190FA907" w:rsidR="0032666F" w:rsidRDefault="0032666F" w:rsidP="0032666F">
      <w:pPr>
        <w:pStyle w:val="ListParagraph"/>
        <w:spacing w:line="480" w:lineRule="auto"/>
        <w:ind w:left="567"/>
        <w:jc w:val="left"/>
        <w:rPr>
          <w:rFonts w:ascii="Times New Roman" w:hAnsi="Times New Roman" w:cs="Times New Roman"/>
          <w:i/>
          <w:sz w:val="24"/>
          <w:szCs w:val="24"/>
        </w:rPr>
      </w:pPr>
      <w:r>
        <w:rPr>
          <w:rFonts w:ascii="Times New Roman" w:hAnsi="Times New Roman" w:cs="Times New Roman"/>
          <w:i/>
          <w:sz w:val="24"/>
          <w:szCs w:val="24"/>
        </w:rPr>
        <w:t>“</w:t>
      </w:r>
      <w:r w:rsidR="0011783A">
        <w:rPr>
          <w:rFonts w:ascii="Times New Roman" w:hAnsi="Times New Roman" w:cs="Times New Roman"/>
          <w:i/>
          <w:sz w:val="24"/>
          <w:szCs w:val="24"/>
        </w:rPr>
        <w:t xml:space="preserve">42. </w:t>
      </w:r>
      <w:r>
        <w:rPr>
          <w:rFonts w:ascii="Times New Roman" w:hAnsi="Times New Roman" w:cs="Times New Roman"/>
          <w:i/>
          <w:sz w:val="24"/>
          <w:szCs w:val="24"/>
        </w:rPr>
        <w:t>In princip</w:t>
      </w:r>
      <w:r w:rsidR="00E84B38">
        <w:rPr>
          <w:rFonts w:ascii="Times New Roman" w:hAnsi="Times New Roman" w:cs="Times New Roman"/>
          <w:i/>
          <w:sz w:val="24"/>
          <w:szCs w:val="24"/>
        </w:rPr>
        <w:t>le</w:t>
      </w:r>
      <w:r>
        <w:rPr>
          <w:rFonts w:ascii="Times New Roman" w:hAnsi="Times New Roman" w:cs="Times New Roman"/>
          <w:i/>
          <w:sz w:val="24"/>
          <w:szCs w:val="24"/>
        </w:rPr>
        <w:t xml:space="preserve"> under s</w:t>
      </w:r>
      <w:r w:rsidR="00E84B38">
        <w:rPr>
          <w:rFonts w:ascii="Times New Roman" w:hAnsi="Times New Roman" w:cs="Times New Roman"/>
          <w:i/>
          <w:sz w:val="24"/>
          <w:szCs w:val="24"/>
        </w:rPr>
        <w:t xml:space="preserve">ection </w:t>
      </w:r>
      <w:r>
        <w:rPr>
          <w:rFonts w:ascii="Times New Roman" w:hAnsi="Times New Roman" w:cs="Times New Roman"/>
          <w:i/>
          <w:sz w:val="24"/>
          <w:szCs w:val="24"/>
        </w:rPr>
        <w:t>208 of the Act it is open to the parties to enter into negotiations to review the amount of equitable remuneration payable to performers and RAAP has sought such negotiations, including in recent correspondence.  However, without the resolution of the issues of interpret</w:t>
      </w:r>
      <w:r w:rsidR="00E84B38">
        <w:rPr>
          <w:rFonts w:ascii="Times New Roman" w:hAnsi="Times New Roman" w:cs="Times New Roman"/>
          <w:i/>
          <w:sz w:val="24"/>
          <w:szCs w:val="24"/>
        </w:rPr>
        <w:t>ation</w:t>
      </w:r>
      <w:r>
        <w:rPr>
          <w:rFonts w:ascii="Times New Roman" w:hAnsi="Times New Roman" w:cs="Times New Roman"/>
          <w:i/>
          <w:sz w:val="24"/>
          <w:szCs w:val="24"/>
        </w:rPr>
        <w:t xml:space="preserve"> of the EU and Irish legislation as to the basic matters of (i) the scope of performers who are entitled to payments of equitable remuneration in the first place and (ii) whether it is PPI</w:t>
      </w:r>
      <w:r w:rsidR="00E84B38">
        <w:rPr>
          <w:rFonts w:ascii="Times New Roman" w:hAnsi="Times New Roman" w:cs="Times New Roman"/>
          <w:i/>
          <w:sz w:val="24"/>
          <w:szCs w:val="24"/>
        </w:rPr>
        <w:t>,</w:t>
      </w:r>
      <w:r>
        <w:rPr>
          <w:rFonts w:ascii="Times New Roman" w:hAnsi="Times New Roman" w:cs="Times New Roman"/>
          <w:i/>
          <w:sz w:val="24"/>
          <w:szCs w:val="24"/>
        </w:rPr>
        <w:t xml:space="preserve"> or RAAP</w:t>
      </w:r>
      <w:r w:rsidR="00E84B38">
        <w:rPr>
          <w:rFonts w:ascii="Times New Roman" w:hAnsi="Times New Roman" w:cs="Times New Roman"/>
          <w:i/>
          <w:sz w:val="24"/>
          <w:szCs w:val="24"/>
        </w:rPr>
        <w:t>,</w:t>
      </w:r>
      <w:r>
        <w:rPr>
          <w:rFonts w:ascii="Times New Roman" w:hAnsi="Times New Roman" w:cs="Times New Roman"/>
          <w:i/>
          <w:sz w:val="24"/>
          <w:szCs w:val="24"/>
        </w:rPr>
        <w:t xml:space="preserve"> which </w:t>
      </w:r>
      <w:r>
        <w:rPr>
          <w:rFonts w:ascii="Times New Roman" w:hAnsi="Times New Roman" w:cs="Times New Roman"/>
          <w:i/>
          <w:sz w:val="24"/>
          <w:szCs w:val="24"/>
        </w:rPr>
        <w:lastRenderedPageBreak/>
        <w:t>should be carrying out the actual determination of sums due to individual performers, and (iii) whether RAAP is entitled by virtue of s</w:t>
      </w:r>
      <w:r w:rsidR="00E84B38">
        <w:rPr>
          <w:rFonts w:ascii="Times New Roman" w:hAnsi="Times New Roman" w:cs="Times New Roman"/>
          <w:i/>
          <w:sz w:val="24"/>
          <w:szCs w:val="24"/>
        </w:rPr>
        <w:t xml:space="preserve">ection </w:t>
      </w:r>
      <w:r>
        <w:rPr>
          <w:rFonts w:ascii="Times New Roman" w:hAnsi="Times New Roman" w:cs="Times New Roman"/>
          <w:i/>
          <w:sz w:val="24"/>
          <w:szCs w:val="24"/>
        </w:rPr>
        <w:t xml:space="preserve">281 of the Act to act on behalf of </w:t>
      </w:r>
      <w:r w:rsidRPr="00660912">
        <w:rPr>
          <w:rFonts w:ascii="Times New Roman" w:hAnsi="Times New Roman" w:cs="Times New Roman"/>
          <w:i/>
          <w:sz w:val="24"/>
          <w:szCs w:val="24"/>
          <w:u w:val="single"/>
        </w:rPr>
        <w:t>all</w:t>
      </w:r>
      <w:r>
        <w:rPr>
          <w:rFonts w:ascii="Times New Roman" w:hAnsi="Times New Roman" w:cs="Times New Roman"/>
          <w:i/>
          <w:sz w:val="24"/>
          <w:szCs w:val="24"/>
        </w:rPr>
        <w:t xml:space="preserve"> performers, whether or not they have been authorised by a performer to so act, it is impossible for the parties to engage in meaningful negotiation as to the amount of equitable remuneration payable to performers.  Likewise</w:t>
      </w:r>
      <w:r w:rsidR="001D6B06">
        <w:rPr>
          <w:rFonts w:ascii="Times New Roman" w:hAnsi="Times New Roman" w:cs="Times New Roman"/>
          <w:i/>
          <w:sz w:val="24"/>
          <w:szCs w:val="24"/>
        </w:rPr>
        <w:t>,</w:t>
      </w:r>
      <w:r>
        <w:rPr>
          <w:rFonts w:ascii="Times New Roman" w:hAnsi="Times New Roman" w:cs="Times New Roman"/>
          <w:i/>
          <w:sz w:val="24"/>
          <w:szCs w:val="24"/>
        </w:rPr>
        <w:t xml:space="preserve"> it would seem impossible for the </w:t>
      </w:r>
      <w:r w:rsidR="00AC3755">
        <w:rPr>
          <w:rFonts w:ascii="Times New Roman" w:hAnsi="Times New Roman" w:cs="Times New Roman"/>
          <w:i/>
          <w:sz w:val="24"/>
          <w:szCs w:val="24"/>
        </w:rPr>
        <w:t>C</w:t>
      </w:r>
      <w:r>
        <w:rPr>
          <w:rFonts w:ascii="Times New Roman" w:hAnsi="Times New Roman" w:cs="Times New Roman"/>
          <w:i/>
          <w:sz w:val="24"/>
          <w:szCs w:val="24"/>
        </w:rPr>
        <w:t>ontroller to determine the amount of equitable remuneration payable pursuant to s</w:t>
      </w:r>
      <w:r w:rsidR="00E84B38">
        <w:rPr>
          <w:rFonts w:ascii="Times New Roman" w:hAnsi="Times New Roman" w:cs="Times New Roman"/>
          <w:i/>
          <w:sz w:val="24"/>
          <w:szCs w:val="24"/>
        </w:rPr>
        <w:t xml:space="preserve">ection </w:t>
      </w:r>
      <w:r>
        <w:rPr>
          <w:rFonts w:ascii="Times New Roman" w:hAnsi="Times New Roman" w:cs="Times New Roman"/>
          <w:i/>
          <w:sz w:val="24"/>
          <w:szCs w:val="24"/>
        </w:rPr>
        <w:t>208(8) when such fundamental statutory questions are unresolved.</w:t>
      </w:r>
    </w:p>
    <w:p w14:paraId="15BE6F30" w14:textId="77777777" w:rsidR="0032666F" w:rsidRDefault="0032666F" w:rsidP="0032666F">
      <w:pPr>
        <w:pStyle w:val="ListParagraph"/>
        <w:spacing w:line="480" w:lineRule="auto"/>
        <w:ind w:left="567"/>
        <w:jc w:val="left"/>
        <w:rPr>
          <w:rFonts w:ascii="Times New Roman" w:hAnsi="Times New Roman" w:cs="Times New Roman"/>
          <w:i/>
          <w:sz w:val="24"/>
          <w:szCs w:val="24"/>
        </w:rPr>
      </w:pPr>
      <w:r>
        <w:rPr>
          <w:rFonts w:ascii="Times New Roman" w:hAnsi="Times New Roman" w:cs="Times New Roman"/>
          <w:i/>
          <w:sz w:val="24"/>
          <w:szCs w:val="24"/>
        </w:rPr>
        <w:t>…</w:t>
      </w:r>
    </w:p>
    <w:p w14:paraId="45BC4BB2" w14:textId="766E8873" w:rsidR="0032666F" w:rsidRDefault="0032666F" w:rsidP="0032666F">
      <w:pPr>
        <w:pStyle w:val="ListParagraph"/>
        <w:spacing w:line="480" w:lineRule="auto"/>
        <w:ind w:left="567"/>
        <w:jc w:val="left"/>
        <w:rPr>
          <w:rFonts w:ascii="Times New Roman" w:hAnsi="Times New Roman" w:cs="Times New Roman"/>
          <w:i/>
          <w:sz w:val="24"/>
          <w:szCs w:val="24"/>
        </w:rPr>
      </w:pPr>
      <w:r>
        <w:rPr>
          <w:rFonts w:ascii="Times New Roman" w:hAnsi="Times New Roman" w:cs="Times New Roman"/>
          <w:i/>
          <w:sz w:val="24"/>
          <w:szCs w:val="24"/>
        </w:rPr>
        <w:t>44.  The resolution of these fundamental issues would clear the way for negotiation as to the amount of equitable remuneration payable in the future under s</w:t>
      </w:r>
      <w:r w:rsidR="00E84B38">
        <w:rPr>
          <w:rFonts w:ascii="Times New Roman" w:hAnsi="Times New Roman" w:cs="Times New Roman"/>
          <w:i/>
          <w:sz w:val="24"/>
          <w:szCs w:val="24"/>
        </w:rPr>
        <w:t xml:space="preserve">ection </w:t>
      </w:r>
      <w:r>
        <w:rPr>
          <w:rFonts w:ascii="Times New Roman" w:hAnsi="Times New Roman" w:cs="Times New Roman"/>
          <w:i/>
          <w:sz w:val="24"/>
          <w:szCs w:val="24"/>
        </w:rPr>
        <w:t>208 of the Act</w:t>
      </w:r>
      <w:r w:rsidR="00E84B38">
        <w:rPr>
          <w:rFonts w:ascii="Times New Roman" w:hAnsi="Times New Roman" w:cs="Times New Roman"/>
          <w:i/>
          <w:sz w:val="24"/>
          <w:szCs w:val="24"/>
        </w:rPr>
        <w:t>,</w:t>
      </w:r>
      <w:r>
        <w:rPr>
          <w:rFonts w:ascii="Times New Roman" w:hAnsi="Times New Roman" w:cs="Times New Roman"/>
          <w:i/>
          <w:sz w:val="24"/>
          <w:szCs w:val="24"/>
        </w:rPr>
        <w:t xml:space="preserve"> or in default of agreement, its determination by the Controller.”</w:t>
      </w:r>
    </w:p>
    <w:p w14:paraId="63B0BB89" w14:textId="77777777" w:rsidR="00541D26" w:rsidRPr="001D6B06" w:rsidRDefault="001D6B06" w:rsidP="0050791B">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sidRPr="001D6B06">
        <w:rPr>
          <w:rFonts w:ascii="Times New Roman" w:hAnsi="Times New Roman" w:cs="Times New Roman"/>
          <w:sz w:val="24"/>
          <w:szCs w:val="24"/>
        </w:rPr>
        <w:t xml:space="preserve">She expresses the clear opinion that </w:t>
      </w:r>
      <w:r>
        <w:rPr>
          <w:rFonts w:ascii="Times New Roman" w:hAnsi="Times New Roman" w:cs="Times New Roman"/>
          <w:sz w:val="24"/>
          <w:szCs w:val="24"/>
        </w:rPr>
        <w:t xml:space="preserve">there is a utility in resolving the issues in respect of which PPI sought the trial of a preliminary issue both in terms of the entitlements as between the parties in the past and </w:t>
      </w:r>
      <w:r w:rsidR="00055CDB">
        <w:rPr>
          <w:rFonts w:ascii="Times New Roman" w:hAnsi="Times New Roman" w:cs="Times New Roman"/>
          <w:sz w:val="24"/>
          <w:szCs w:val="24"/>
        </w:rPr>
        <w:t>for negotiating the future terms upon which they must reach agreement, or the Co</w:t>
      </w:r>
      <w:r w:rsidR="00AC3755">
        <w:rPr>
          <w:rFonts w:ascii="Times New Roman" w:hAnsi="Times New Roman" w:cs="Times New Roman"/>
          <w:sz w:val="24"/>
          <w:szCs w:val="24"/>
        </w:rPr>
        <w:t>n</w:t>
      </w:r>
      <w:r w:rsidR="00055CDB">
        <w:rPr>
          <w:rFonts w:ascii="Times New Roman" w:hAnsi="Times New Roman" w:cs="Times New Roman"/>
          <w:sz w:val="24"/>
          <w:szCs w:val="24"/>
        </w:rPr>
        <w:t>troller must determine.</w:t>
      </w:r>
      <w:r w:rsidR="00541D26" w:rsidRPr="001D6B06">
        <w:rPr>
          <w:rFonts w:ascii="Times New Roman" w:hAnsi="Times New Roman" w:cs="Times New Roman"/>
          <w:sz w:val="24"/>
          <w:szCs w:val="24"/>
        </w:rPr>
        <w:t xml:space="preserve"> </w:t>
      </w:r>
    </w:p>
    <w:p w14:paraId="0E1768BD" w14:textId="3A37103F" w:rsidR="00541D26" w:rsidRDefault="00BF0D19" w:rsidP="0050791B">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In written submissions</w:t>
      </w:r>
      <w:r w:rsidR="004C7664">
        <w:rPr>
          <w:rFonts w:ascii="Times New Roman" w:hAnsi="Times New Roman" w:cs="Times New Roman"/>
          <w:sz w:val="24"/>
          <w:szCs w:val="24"/>
        </w:rPr>
        <w:t xml:space="preserve"> to the High Court on its application for the trial of preliminary issues</w:t>
      </w:r>
      <w:r w:rsidR="00782460">
        <w:rPr>
          <w:rFonts w:ascii="Times New Roman" w:hAnsi="Times New Roman" w:cs="Times New Roman"/>
          <w:sz w:val="24"/>
          <w:szCs w:val="24"/>
        </w:rPr>
        <w:t>,</w:t>
      </w:r>
      <w:r>
        <w:rPr>
          <w:rFonts w:ascii="Times New Roman" w:hAnsi="Times New Roman" w:cs="Times New Roman"/>
          <w:sz w:val="24"/>
          <w:szCs w:val="24"/>
        </w:rPr>
        <w:t xml:space="preserve"> PPI said that construing the Directive and the Act will determine the entitlement </w:t>
      </w:r>
      <w:r w:rsidR="007232DA">
        <w:rPr>
          <w:rFonts w:ascii="Times New Roman" w:hAnsi="Times New Roman" w:cs="Times New Roman"/>
          <w:sz w:val="24"/>
          <w:szCs w:val="24"/>
        </w:rPr>
        <w:t xml:space="preserve">of RAAP </w:t>
      </w:r>
      <w:r>
        <w:rPr>
          <w:rFonts w:ascii="Times New Roman" w:hAnsi="Times New Roman" w:cs="Times New Roman"/>
          <w:sz w:val="24"/>
          <w:szCs w:val="24"/>
        </w:rPr>
        <w:t xml:space="preserve">to the declaratory reliefs sought at (1)-(3) of the first proceedings.  It submitted that determining what are the requirements of European and Irish law is </w:t>
      </w:r>
      <w:r w:rsidRPr="007232DA">
        <w:rPr>
          <w:rFonts w:ascii="Times New Roman" w:hAnsi="Times New Roman" w:cs="Times New Roman"/>
          <w:i/>
          <w:sz w:val="24"/>
          <w:szCs w:val="24"/>
        </w:rPr>
        <w:t>also</w:t>
      </w:r>
      <w:r>
        <w:rPr>
          <w:rFonts w:ascii="Times New Roman" w:hAnsi="Times New Roman" w:cs="Times New Roman"/>
          <w:sz w:val="24"/>
          <w:szCs w:val="24"/>
        </w:rPr>
        <w:t xml:space="preserve"> critical for the contractual claims in the first proceedings because the 2002 </w:t>
      </w:r>
      <w:r w:rsidR="00782460">
        <w:rPr>
          <w:rFonts w:ascii="Times New Roman" w:hAnsi="Times New Roman" w:cs="Times New Roman"/>
          <w:sz w:val="24"/>
          <w:szCs w:val="24"/>
        </w:rPr>
        <w:t>a</w:t>
      </w:r>
      <w:r>
        <w:rPr>
          <w:rFonts w:ascii="Times New Roman" w:hAnsi="Times New Roman" w:cs="Times New Roman"/>
          <w:sz w:val="24"/>
          <w:szCs w:val="24"/>
        </w:rPr>
        <w:t>greement is not like an ordinary contract: it has a statutory context.  At para. 69 of the written submissions</w:t>
      </w:r>
      <w:r w:rsidR="00782460">
        <w:rPr>
          <w:rFonts w:ascii="Times New Roman" w:hAnsi="Times New Roman" w:cs="Times New Roman"/>
          <w:sz w:val="24"/>
          <w:szCs w:val="24"/>
        </w:rPr>
        <w:t>,</w:t>
      </w:r>
      <w:r>
        <w:rPr>
          <w:rFonts w:ascii="Times New Roman" w:hAnsi="Times New Roman" w:cs="Times New Roman"/>
          <w:sz w:val="24"/>
          <w:szCs w:val="24"/>
        </w:rPr>
        <w:t xml:space="preserve"> </w:t>
      </w:r>
      <w:r w:rsidR="007232DA">
        <w:rPr>
          <w:rFonts w:ascii="Times New Roman" w:hAnsi="Times New Roman" w:cs="Times New Roman"/>
          <w:sz w:val="24"/>
          <w:szCs w:val="24"/>
        </w:rPr>
        <w:t>it</w:t>
      </w:r>
      <w:r>
        <w:rPr>
          <w:rFonts w:ascii="Times New Roman" w:hAnsi="Times New Roman" w:cs="Times New Roman"/>
          <w:sz w:val="24"/>
          <w:szCs w:val="24"/>
        </w:rPr>
        <w:t xml:space="preserve"> said </w:t>
      </w:r>
      <w:r>
        <w:rPr>
          <w:rFonts w:ascii="Times New Roman" w:hAnsi="Times New Roman" w:cs="Times New Roman"/>
          <w:i/>
          <w:sz w:val="24"/>
          <w:szCs w:val="24"/>
        </w:rPr>
        <w:t>“</w:t>
      </w:r>
      <w:r w:rsidR="00782460">
        <w:rPr>
          <w:rFonts w:ascii="Times New Roman" w:hAnsi="Times New Roman" w:cs="Times New Roman"/>
          <w:i/>
          <w:sz w:val="24"/>
          <w:szCs w:val="24"/>
        </w:rPr>
        <w:t>i</w:t>
      </w:r>
      <w:r>
        <w:rPr>
          <w:rFonts w:ascii="Times New Roman" w:hAnsi="Times New Roman" w:cs="Times New Roman"/>
          <w:i/>
          <w:sz w:val="24"/>
          <w:szCs w:val="24"/>
        </w:rPr>
        <w:t xml:space="preserve">t is the legislative background, and not RAAP’s request for [reliefs </w:t>
      </w:r>
      <w:r w:rsidR="00782460">
        <w:rPr>
          <w:rFonts w:ascii="Times New Roman" w:hAnsi="Times New Roman" w:cs="Times New Roman"/>
          <w:i/>
          <w:sz w:val="24"/>
          <w:szCs w:val="24"/>
        </w:rPr>
        <w:t>(</w:t>
      </w:r>
      <w:r>
        <w:rPr>
          <w:rFonts w:ascii="Times New Roman" w:hAnsi="Times New Roman" w:cs="Times New Roman"/>
          <w:i/>
          <w:sz w:val="24"/>
          <w:szCs w:val="24"/>
        </w:rPr>
        <w:t>1</w:t>
      </w:r>
      <w:r w:rsidR="00782460">
        <w:rPr>
          <w:rFonts w:ascii="Times New Roman" w:hAnsi="Times New Roman" w:cs="Times New Roman"/>
          <w:i/>
          <w:sz w:val="24"/>
          <w:szCs w:val="24"/>
        </w:rPr>
        <w:t>)</w:t>
      </w:r>
      <w:r>
        <w:rPr>
          <w:rFonts w:ascii="Times New Roman" w:hAnsi="Times New Roman" w:cs="Times New Roman"/>
          <w:i/>
          <w:sz w:val="24"/>
          <w:szCs w:val="24"/>
        </w:rPr>
        <w:t>-</w:t>
      </w:r>
      <w:r w:rsidR="00782460">
        <w:rPr>
          <w:rFonts w:ascii="Times New Roman" w:hAnsi="Times New Roman" w:cs="Times New Roman"/>
          <w:i/>
          <w:sz w:val="24"/>
          <w:szCs w:val="24"/>
        </w:rPr>
        <w:t>(</w:t>
      </w:r>
      <w:r>
        <w:rPr>
          <w:rFonts w:ascii="Times New Roman" w:hAnsi="Times New Roman" w:cs="Times New Roman"/>
          <w:i/>
          <w:sz w:val="24"/>
          <w:szCs w:val="24"/>
        </w:rPr>
        <w:t>3</w:t>
      </w:r>
      <w:r w:rsidR="00782460">
        <w:rPr>
          <w:rFonts w:ascii="Times New Roman" w:hAnsi="Times New Roman" w:cs="Times New Roman"/>
          <w:i/>
          <w:sz w:val="24"/>
          <w:szCs w:val="24"/>
        </w:rPr>
        <w:t>)</w:t>
      </w:r>
      <w:r>
        <w:rPr>
          <w:rFonts w:ascii="Times New Roman" w:hAnsi="Times New Roman" w:cs="Times New Roman"/>
          <w:i/>
          <w:sz w:val="24"/>
          <w:szCs w:val="24"/>
        </w:rPr>
        <w:t>]</w:t>
      </w:r>
      <w:r w:rsidR="00782460">
        <w:rPr>
          <w:rFonts w:ascii="Times New Roman" w:hAnsi="Times New Roman" w:cs="Times New Roman"/>
          <w:i/>
          <w:sz w:val="24"/>
          <w:szCs w:val="24"/>
        </w:rPr>
        <w:t>,</w:t>
      </w:r>
      <w:r>
        <w:rPr>
          <w:rFonts w:ascii="Times New Roman" w:hAnsi="Times New Roman" w:cs="Times New Roman"/>
          <w:i/>
          <w:sz w:val="24"/>
          <w:szCs w:val="24"/>
        </w:rPr>
        <w:t xml:space="preserve"> that makes the legislation relevant to the interpretation of the agreement.  Therefore, withdrawing those reliefs would not alter the necess</w:t>
      </w:r>
      <w:r w:rsidR="00782460">
        <w:rPr>
          <w:rFonts w:ascii="Times New Roman" w:hAnsi="Times New Roman" w:cs="Times New Roman"/>
          <w:i/>
          <w:sz w:val="24"/>
          <w:szCs w:val="24"/>
        </w:rPr>
        <w:t>ity</w:t>
      </w:r>
      <w:r>
        <w:rPr>
          <w:rFonts w:ascii="Times New Roman" w:hAnsi="Times New Roman" w:cs="Times New Roman"/>
          <w:i/>
          <w:sz w:val="24"/>
          <w:szCs w:val="24"/>
        </w:rPr>
        <w:t xml:space="preserve"> for a determination of the entitlement to reliefs (1) </w:t>
      </w:r>
      <w:r w:rsidR="00782460">
        <w:rPr>
          <w:rFonts w:ascii="Times New Roman" w:hAnsi="Times New Roman" w:cs="Times New Roman"/>
          <w:i/>
          <w:sz w:val="24"/>
          <w:szCs w:val="24"/>
        </w:rPr>
        <w:t>to</w:t>
      </w:r>
      <w:r>
        <w:rPr>
          <w:rFonts w:ascii="Times New Roman" w:hAnsi="Times New Roman" w:cs="Times New Roman"/>
          <w:i/>
          <w:sz w:val="24"/>
          <w:szCs w:val="24"/>
        </w:rPr>
        <w:t xml:space="preserve"> (3) in the first proceedings.” </w:t>
      </w:r>
      <w:r w:rsidR="00782460">
        <w:rPr>
          <w:rFonts w:ascii="Times New Roman" w:hAnsi="Times New Roman" w:cs="Times New Roman"/>
          <w:i/>
          <w:sz w:val="24"/>
          <w:szCs w:val="24"/>
        </w:rPr>
        <w:t xml:space="preserve"> </w:t>
      </w:r>
      <w:r w:rsidR="007232DA">
        <w:rPr>
          <w:rFonts w:ascii="Times New Roman" w:hAnsi="Times New Roman" w:cs="Times New Roman"/>
          <w:sz w:val="24"/>
          <w:szCs w:val="24"/>
        </w:rPr>
        <w:t xml:space="preserve">This is a clear acknowledgement of the distinction between the </w:t>
      </w:r>
      <w:r w:rsidR="007232DA">
        <w:rPr>
          <w:rFonts w:ascii="Times New Roman" w:hAnsi="Times New Roman" w:cs="Times New Roman"/>
          <w:sz w:val="24"/>
          <w:szCs w:val="24"/>
        </w:rPr>
        <w:lastRenderedPageBreak/>
        <w:t>declaratory reliefs and the contractual reliefs claimed by RAAP</w:t>
      </w:r>
      <w:r w:rsidR="00FE0FDC">
        <w:rPr>
          <w:rFonts w:ascii="Times New Roman" w:hAnsi="Times New Roman" w:cs="Times New Roman"/>
          <w:sz w:val="24"/>
          <w:szCs w:val="24"/>
        </w:rPr>
        <w:t xml:space="preserve"> and of the need to </w:t>
      </w:r>
      <w:r w:rsidR="00CB1E49">
        <w:rPr>
          <w:rFonts w:ascii="Times New Roman" w:hAnsi="Times New Roman" w:cs="Times New Roman"/>
          <w:sz w:val="24"/>
          <w:szCs w:val="24"/>
        </w:rPr>
        <w:t>determine the entitlement of RAAP to contractual relief separately from declaratory relief.</w:t>
      </w:r>
    </w:p>
    <w:p w14:paraId="3319D8B4" w14:textId="77E360F5" w:rsidR="00BF0D19" w:rsidRDefault="00BF0D19" w:rsidP="0050791B">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In his judgment of 21 February 2018</w:t>
      </w:r>
      <w:r w:rsidR="00782460">
        <w:rPr>
          <w:rFonts w:ascii="Times New Roman" w:hAnsi="Times New Roman" w:cs="Times New Roman"/>
          <w:sz w:val="24"/>
          <w:szCs w:val="24"/>
        </w:rPr>
        <w:t>,</w:t>
      </w:r>
      <w:r>
        <w:rPr>
          <w:rFonts w:ascii="Times New Roman" w:hAnsi="Times New Roman" w:cs="Times New Roman"/>
          <w:sz w:val="24"/>
          <w:szCs w:val="24"/>
        </w:rPr>
        <w:t xml:space="preserve"> Cregan J. set out the case advanced by PPI for the trial of </w:t>
      </w:r>
      <w:r w:rsidR="00AC3755">
        <w:rPr>
          <w:rFonts w:ascii="Times New Roman" w:hAnsi="Times New Roman" w:cs="Times New Roman"/>
          <w:sz w:val="24"/>
          <w:szCs w:val="24"/>
        </w:rPr>
        <w:t xml:space="preserve">a </w:t>
      </w:r>
      <w:r>
        <w:rPr>
          <w:rFonts w:ascii="Times New Roman" w:hAnsi="Times New Roman" w:cs="Times New Roman"/>
          <w:sz w:val="24"/>
          <w:szCs w:val="24"/>
        </w:rPr>
        <w:t xml:space="preserve">preliminary issue in respect of reliefs </w:t>
      </w:r>
      <w:r w:rsidR="00782460">
        <w:rPr>
          <w:rFonts w:ascii="Times New Roman" w:hAnsi="Times New Roman" w:cs="Times New Roman"/>
          <w:sz w:val="24"/>
          <w:szCs w:val="24"/>
        </w:rPr>
        <w:t>(</w:t>
      </w:r>
      <w:r>
        <w:rPr>
          <w:rFonts w:ascii="Times New Roman" w:hAnsi="Times New Roman" w:cs="Times New Roman"/>
          <w:sz w:val="24"/>
          <w:szCs w:val="24"/>
        </w:rPr>
        <w:t>1</w:t>
      </w:r>
      <w:r w:rsidR="00782460">
        <w:rPr>
          <w:rFonts w:ascii="Times New Roman" w:hAnsi="Times New Roman" w:cs="Times New Roman"/>
          <w:sz w:val="24"/>
          <w:szCs w:val="24"/>
        </w:rPr>
        <w:t>)</w:t>
      </w:r>
      <w:r>
        <w:rPr>
          <w:rFonts w:ascii="Times New Roman" w:hAnsi="Times New Roman" w:cs="Times New Roman"/>
          <w:sz w:val="24"/>
          <w:szCs w:val="24"/>
        </w:rPr>
        <w:t xml:space="preserve">, </w:t>
      </w:r>
      <w:r w:rsidR="00782460">
        <w:rPr>
          <w:rFonts w:ascii="Times New Roman" w:hAnsi="Times New Roman" w:cs="Times New Roman"/>
          <w:sz w:val="24"/>
          <w:szCs w:val="24"/>
        </w:rPr>
        <w:t>(</w:t>
      </w:r>
      <w:r>
        <w:rPr>
          <w:rFonts w:ascii="Times New Roman" w:hAnsi="Times New Roman" w:cs="Times New Roman"/>
          <w:sz w:val="24"/>
          <w:szCs w:val="24"/>
        </w:rPr>
        <w:t>2</w:t>
      </w:r>
      <w:r w:rsidR="00782460">
        <w:rPr>
          <w:rFonts w:ascii="Times New Roman" w:hAnsi="Times New Roman" w:cs="Times New Roman"/>
          <w:sz w:val="24"/>
          <w:szCs w:val="24"/>
        </w:rPr>
        <w:t>)</w:t>
      </w:r>
      <w:r>
        <w:rPr>
          <w:rFonts w:ascii="Times New Roman" w:hAnsi="Times New Roman" w:cs="Times New Roman"/>
          <w:sz w:val="24"/>
          <w:szCs w:val="24"/>
        </w:rPr>
        <w:t xml:space="preserve"> and </w:t>
      </w:r>
      <w:r w:rsidR="00782460">
        <w:rPr>
          <w:rFonts w:ascii="Times New Roman" w:hAnsi="Times New Roman" w:cs="Times New Roman"/>
          <w:sz w:val="24"/>
          <w:szCs w:val="24"/>
        </w:rPr>
        <w:t>(</w:t>
      </w:r>
      <w:r>
        <w:rPr>
          <w:rFonts w:ascii="Times New Roman" w:hAnsi="Times New Roman" w:cs="Times New Roman"/>
          <w:sz w:val="24"/>
          <w:szCs w:val="24"/>
        </w:rPr>
        <w:t>3</w:t>
      </w:r>
      <w:r w:rsidR="00782460">
        <w:rPr>
          <w:rFonts w:ascii="Times New Roman" w:hAnsi="Times New Roman" w:cs="Times New Roman"/>
          <w:sz w:val="24"/>
          <w:szCs w:val="24"/>
        </w:rPr>
        <w:t>)</w:t>
      </w:r>
      <w:r>
        <w:rPr>
          <w:rFonts w:ascii="Times New Roman" w:hAnsi="Times New Roman" w:cs="Times New Roman"/>
          <w:sz w:val="24"/>
          <w:szCs w:val="24"/>
        </w:rPr>
        <w:t>.  At para. 37 he said:</w:t>
      </w:r>
      <w:r w:rsidR="00782460">
        <w:rPr>
          <w:rFonts w:ascii="Times New Roman" w:hAnsi="Times New Roman" w:cs="Times New Roman"/>
          <w:sz w:val="24"/>
          <w:szCs w:val="24"/>
        </w:rPr>
        <w:t>-</w:t>
      </w:r>
    </w:p>
    <w:p w14:paraId="019B3428" w14:textId="77777777" w:rsidR="00BF0D19" w:rsidRDefault="00BF0D19" w:rsidP="00BF0D19">
      <w:pPr>
        <w:pStyle w:val="ListParagraph"/>
        <w:spacing w:line="480" w:lineRule="auto"/>
        <w:ind w:left="567"/>
        <w:jc w:val="left"/>
        <w:rPr>
          <w:rFonts w:ascii="Times New Roman" w:hAnsi="Times New Roman" w:cs="Times New Roman"/>
          <w:sz w:val="24"/>
          <w:szCs w:val="24"/>
        </w:rPr>
      </w:pPr>
      <w:r>
        <w:rPr>
          <w:rFonts w:ascii="Times New Roman" w:hAnsi="Times New Roman" w:cs="Times New Roman"/>
          <w:i/>
          <w:sz w:val="24"/>
          <w:szCs w:val="24"/>
        </w:rPr>
        <w:t>“</w:t>
      </w:r>
      <w:r w:rsidR="00BE49F7">
        <w:rPr>
          <w:rFonts w:ascii="Times New Roman" w:hAnsi="Times New Roman" w:cs="Times New Roman"/>
          <w:i/>
          <w:sz w:val="24"/>
          <w:szCs w:val="24"/>
        </w:rPr>
        <w:t>…</w:t>
      </w:r>
      <w:r>
        <w:rPr>
          <w:rFonts w:ascii="Times New Roman" w:hAnsi="Times New Roman" w:cs="Times New Roman"/>
          <w:i/>
          <w:sz w:val="24"/>
          <w:szCs w:val="24"/>
        </w:rPr>
        <w:t xml:space="preserve"> the essential question which is sought to be tried as a preliminary issue is whether, in relation to the Directive and the Copyright Act, the right to remuneration giv</w:t>
      </w:r>
      <w:r w:rsidR="00660912">
        <w:rPr>
          <w:rFonts w:ascii="Times New Roman" w:hAnsi="Times New Roman" w:cs="Times New Roman"/>
          <w:i/>
          <w:sz w:val="24"/>
          <w:szCs w:val="24"/>
        </w:rPr>
        <w:t>en</w:t>
      </w:r>
      <w:r>
        <w:rPr>
          <w:rFonts w:ascii="Times New Roman" w:hAnsi="Times New Roman" w:cs="Times New Roman"/>
          <w:i/>
          <w:sz w:val="24"/>
          <w:szCs w:val="24"/>
        </w:rPr>
        <w:t xml:space="preserve"> to owners of sound recordings is also accorded to all performers whose performances are incorporated on these said sound recordings.”</w:t>
      </w:r>
      <w:r>
        <w:rPr>
          <w:rFonts w:ascii="Times New Roman" w:hAnsi="Times New Roman" w:cs="Times New Roman"/>
          <w:sz w:val="24"/>
          <w:szCs w:val="24"/>
        </w:rPr>
        <w:t xml:space="preserve"> </w:t>
      </w:r>
    </w:p>
    <w:p w14:paraId="3A2C8FF0" w14:textId="77777777" w:rsidR="005B0EC6" w:rsidRDefault="005B0EC6" w:rsidP="005B0EC6">
      <w:pPr>
        <w:pStyle w:val="ListParagraph"/>
        <w:tabs>
          <w:tab w:val="left" w:pos="567"/>
        </w:tabs>
        <w:spacing w:line="480" w:lineRule="auto"/>
        <w:ind w:left="0"/>
        <w:jc w:val="left"/>
        <w:rPr>
          <w:rFonts w:ascii="Times New Roman" w:hAnsi="Times New Roman" w:cs="Times New Roman"/>
          <w:sz w:val="24"/>
          <w:szCs w:val="24"/>
        </w:rPr>
      </w:pPr>
      <w:r>
        <w:rPr>
          <w:rFonts w:ascii="Times New Roman" w:hAnsi="Times New Roman" w:cs="Times New Roman"/>
          <w:sz w:val="24"/>
          <w:szCs w:val="24"/>
        </w:rPr>
        <w:t xml:space="preserve">He does not identify the question whether it is possible to give the Act a conforming interpretation (assuming RAAP’s construction of the Directive is correct) as the central or critical issue. </w:t>
      </w:r>
    </w:p>
    <w:p w14:paraId="5A9AC6E0" w14:textId="09DF4A90" w:rsidR="00BF0D19" w:rsidRDefault="000277CE" w:rsidP="0050791B">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At para. 8</w:t>
      </w:r>
      <w:r w:rsidR="00BF56B3">
        <w:rPr>
          <w:rFonts w:ascii="Times New Roman" w:hAnsi="Times New Roman" w:cs="Times New Roman"/>
          <w:sz w:val="24"/>
          <w:szCs w:val="24"/>
        </w:rPr>
        <w:t>1</w:t>
      </w:r>
      <w:r w:rsidR="00782460">
        <w:rPr>
          <w:rFonts w:ascii="Times New Roman" w:hAnsi="Times New Roman" w:cs="Times New Roman"/>
          <w:sz w:val="24"/>
          <w:szCs w:val="24"/>
        </w:rPr>
        <w:t>,</w:t>
      </w:r>
      <w:r>
        <w:rPr>
          <w:rFonts w:ascii="Times New Roman" w:hAnsi="Times New Roman" w:cs="Times New Roman"/>
          <w:sz w:val="24"/>
          <w:szCs w:val="24"/>
        </w:rPr>
        <w:t xml:space="preserve"> he identifies </w:t>
      </w:r>
      <w:r w:rsidR="00BF56B3">
        <w:rPr>
          <w:rFonts w:ascii="Times New Roman" w:hAnsi="Times New Roman" w:cs="Times New Roman"/>
          <w:sz w:val="24"/>
          <w:szCs w:val="24"/>
        </w:rPr>
        <w:t xml:space="preserve">ten </w:t>
      </w:r>
      <w:r>
        <w:rPr>
          <w:rFonts w:ascii="Times New Roman" w:hAnsi="Times New Roman" w:cs="Times New Roman"/>
          <w:sz w:val="24"/>
          <w:szCs w:val="24"/>
        </w:rPr>
        <w:t>submissions advanced by PPI in support of the application for a trial on the preliminary point of law.  The following are relevant to this appeal:</w:t>
      </w:r>
      <w:r w:rsidR="00782460">
        <w:rPr>
          <w:rFonts w:ascii="Times New Roman" w:hAnsi="Times New Roman" w:cs="Times New Roman"/>
          <w:sz w:val="24"/>
          <w:szCs w:val="24"/>
        </w:rPr>
        <w:t>-</w:t>
      </w:r>
    </w:p>
    <w:p w14:paraId="7ECC58C3" w14:textId="563C1C4D" w:rsidR="000277CE" w:rsidRDefault="00782460" w:rsidP="000277CE">
      <w:pPr>
        <w:pStyle w:val="ListParagraph"/>
        <w:spacing w:line="480" w:lineRule="auto"/>
        <w:ind w:left="1134" w:hanging="567"/>
        <w:jc w:val="left"/>
        <w:rPr>
          <w:rFonts w:ascii="Times New Roman" w:hAnsi="Times New Roman" w:cs="Times New Roman"/>
          <w:i/>
          <w:sz w:val="24"/>
          <w:szCs w:val="24"/>
        </w:rPr>
      </w:pPr>
      <w:r>
        <w:rPr>
          <w:rFonts w:ascii="Times New Roman" w:hAnsi="Times New Roman" w:cs="Times New Roman"/>
          <w:i/>
          <w:sz w:val="24"/>
          <w:szCs w:val="24"/>
        </w:rPr>
        <w:t>“</w:t>
      </w:r>
      <w:r w:rsidR="000277CE">
        <w:rPr>
          <w:rFonts w:ascii="Times New Roman" w:hAnsi="Times New Roman" w:cs="Times New Roman"/>
          <w:i/>
          <w:sz w:val="24"/>
          <w:szCs w:val="24"/>
        </w:rPr>
        <w:t>(iii)</w:t>
      </w:r>
      <w:r w:rsidR="000277CE">
        <w:rPr>
          <w:rFonts w:ascii="Times New Roman" w:hAnsi="Times New Roman" w:cs="Times New Roman"/>
          <w:i/>
          <w:sz w:val="24"/>
          <w:szCs w:val="24"/>
        </w:rPr>
        <w:tab/>
      </w:r>
      <w:r w:rsidR="00BF56B3">
        <w:rPr>
          <w:rFonts w:ascii="Times New Roman" w:hAnsi="Times New Roman" w:cs="Times New Roman"/>
          <w:i/>
          <w:sz w:val="24"/>
          <w:szCs w:val="24"/>
        </w:rPr>
        <w:t>i</w:t>
      </w:r>
      <w:r w:rsidR="000277CE">
        <w:rPr>
          <w:rFonts w:ascii="Times New Roman" w:hAnsi="Times New Roman" w:cs="Times New Roman"/>
          <w:i/>
          <w:sz w:val="24"/>
          <w:szCs w:val="24"/>
        </w:rPr>
        <w:t xml:space="preserve">t also submits that the resolution of these legal issues </w:t>
      </w:r>
      <w:r w:rsidR="000277CE" w:rsidRPr="00BE49F7">
        <w:rPr>
          <w:rFonts w:ascii="Times New Roman" w:hAnsi="Times New Roman" w:cs="Times New Roman"/>
          <w:b/>
          <w:i/>
          <w:sz w:val="24"/>
          <w:szCs w:val="24"/>
        </w:rPr>
        <w:t>will have a significant bearing on issues in relation to contractual liability and quantum</w:t>
      </w:r>
      <w:r w:rsidR="000277CE">
        <w:rPr>
          <w:rFonts w:ascii="Times New Roman" w:hAnsi="Times New Roman" w:cs="Times New Roman"/>
          <w:i/>
          <w:sz w:val="24"/>
          <w:szCs w:val="24"/>
        </w:rPr>
        <w:t xml:space="preserve"> giv</w:t>
      </w:r>
      <w:r w:rsidR="00BE49F7">
        <w:rPr>
          <w:rFonts w:ascii="Times New Roman" w:hAnsi="Times New Roman" w:cs="Times New Roman"/>
          <w:i/>
          <w:sz w:val="24"/>
          <w:szCs w:val="24"/>
        </w:rPr>
        <w:t>en</w:t>
      </w:r>
      <w:r w:rsidR="000277CE">
        <w:rPr>
          <w:rFonts w:ascii="Times New Roman" w:hAnsi="Times New Roman" w:cs="Times New Roman"/>
          <w:i/>
          <w:sz w:val="24"/>
          <w:szCs w:val="24"/>
        </w:rPr>
        <w:t xml:space="preserve"> that the agreement itself over which there is a dispute is itself dependent upon the terms in the 2000 Act and that the plaintiff itself has pleaded that there is a legislative backdrop to the agreement between the parties. </w:t>
      </w:r>
    </w:p>
    <w:p w14:paraId="0076256F" w14:textId="77777777" w:rsidR="000277CE" w:rsidRDefault="000277CE" w:rsidP="000277CE">
      <w:pPr>
        <w:pStyle w:val="ListParagraph"/>
        <w:spacing w:line="480" w:lineRule="auto"/>
        <w:ind w:left="1134" w:hanging="567"/>
        <w:jc w:val="left"/>
        <w:rPr>
          <w:rFonts w:ascii="Times New Roman" w:hAnsi="Times New Roman" w:cs="Times New Roman"/>
          <w:i/>
          <w:sz w:val="24"/>
          <w:szCs w:val="24"/>
        </w:rPr>
      </w:pPr>
      <w:r>
        <w:rPr>
          <w:rFonts w:ascii="Times New Roman" w:hAnsi="Times New Roman" w:cs="Times New Roman"/>
          <w:i/>
          <w:sz w:val="24"/>
          <w:szCs w:val="24"/>
        </w:rPr>
        <w:t>…</w:t>
      </w:r>
    </w:p>
    <w:p w14:paraId="4F86B8B6" w14:textId="5B169355" w:rsidR="000277CE" w:rsidRPr="000277CE" w:rsidRDefault="000277CE" w:rsidP="000277CE">
      <w:pPr>
        <w:pStyle w:val="ListParagraph"/>
        <w:spacing w:line="480" w:lineRule="auto"/>
        <w:ind w:left="1134" w:hanging="567"/>
        <w:jc w:val="left"/>
        <w:rPr>
          <w:rFonts w:ascii="Times New Roman" w:hAnsi="Times New Roman" w:cs="Times New Roman"/>
          <w:i/>
          <w:sz w:val="24"/>
          <w:szCs w:val="24"/>
        </w:rPr>
      </w:pPr>
      <w:r>
        <w:rPr>
          <w:rFonts w:ascii="Times New Roman" w:hAnsi="Times New Roman" w:cs="Times New Roman"/>
          <w:i/>
          <w:sz w:val="24"/>
          <w:szCs w:val="24"/>
        </w:rPr>
        <w:t>(vi)</w:t>
      </w:r>
      <w:r w:rsidR="00661B03">
        <w:rPr>
          <w:rFonts w:ascii="Times New Roman" w:hAnsi="Times New Roman" w:cs="Times New Roman"/>
          <w:i/>
          <w:sz w:val="24"/>
          <w:szCs w:val="24"/>
        </w:rPr>
        <w:tab/>
      </w:r>
      <w:r w:rsidR="00BF56B3">
        <w:rPr>
          <w:rFonts w:ascii="Times New Roman" w:hAnsi="Times New Roman" w:cs="Times New Roman"/>
          <w:i/>
          <w:sz w:val="24"/>
          <w:szCs w:val="24"/>
        </w:rPr>
        <w:t>i</w:t>
      </w:r>
      <w:r w:rsidR="00661B03">
        <w:rPr>
          <w:rFonts w:ascii="Times New Roman" w:hAnsi="Times New Roman" w:cs="Times New Roman"/>
          <w:i/>
          <w:sz w:val="24"/>
          <w:szCs w:val="24"/>
        </w:rPr>
        <w:t xml:space="preserve">t also submits that, </w:t>
      </w:r>
      <w:r w:rsidR="00661B03" w:rsidRPr="00BE49F7">
        <w:rPr>
          <w:rFonts w:ascii="Times New Roman" w:hAnsi="Times New Roman" w:cs="Times New Roman"/>
          <w:b/>
          <w:i/>
          <w:sz w:val="24"/>
          <w:szCs w:val="24"/>
        </w:rPr>
        <w:t>even though the preliminary issue would not be dispositive of the entire proceedings</w:t>
      </w:r>
      <w:r w:rsidR="00661B03">
        <w:rPr>
          <w:rFonts w:ascii="Times New Roman" w:hAnsi="Times New Roman" w:cs="Times New Roman"/>
          <w:i/>
          <w:sz w:val="24"/>
          <w:szCs w:val="24"/>
        </w:rPr>
        <w:t>, it is absolutely necessary for the determining of the contractual issues in dispute between the parties, that the preliminary issue is substantial in its own right and would clearly benefit the action in an overall sense.</w:t>
      </w:r>
      <w:r w:rsidR="00BF56B3">
        <w:rPr>
          <w:rFonts w:ascii="Times New Roman" w:hAnsi="Times New Roman" w:cs="Times New Roman"/>
          <w:i/>
          <w:sz w:val="24"/>
          <w:szCs w:val="24"/>
        </w:rPr>
        <w:t>”</w:t>
      </w:r>
      <w:r w:rsidR="00661B03">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00BE49F7" w:rsidRPr="00EF3176">
        <w:rPr>
          <w:rFonts w:ascii="Times New Roman" w:hAnsi="Times New Roman" w:cs="Times New Roman"/>
          <w:sz w:val="24"/>
          <w:szCs w:val="24"/>
        </w:rPr>
        <w:t>(emphasis added)</w:t>
      </w:r>
    </w:p>
    <w:p w14:paraId="7E691075" w14:textId="2B23F1DB" w:rsidR="005B0EC6" w:rsidRDefault="00661B03" w:rsidP="0050791B">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lastRenderedPageBreak/>
        <w:t>I</w:t>
      </w:r>
      <w:r w:rsidR="005B0EC6">
        <w:rPr>
          <w:rFonts w:ascii="Times New Roman" w:hAnsi="Times New Roman" w:cs="Times New Roman"/>
          <w:sz w:val="24"/>
          <w:szCs w:val="24"/>
        </w:rPr>
        <w:t>t is clear that PPI did not make the case</w:t>
      </w:r>
      <w:r w:rsidR="00BF56B3">
        <w:rPr>
          <w:rFonts w:ascii="Times New Roman" w:hAnsi="Times New Roman" w:cs="Times New Roman"/>
          <w:sz w:val="24"/>
          <w:szCs w:val="24"/>
        </w:rPr>
        <w:t xml:space="preserve"> –</w:t>
      </w:r>
      <w:r w:rsidR="005B0EC6">
        <w:rPr>
          <w:rFonts w:ascii="Times New Roman" w:hAnsi="Times New Roman" w:cs="Times New Roman"/>
          <w:sz w:val="24"/>
          <w:szCs w:val="24"/>
        </w:rPr>
        <w:t xml:space="preserve"> and he did not understand it to make the case</w:t>
      </w:r>
      <w:r w:rsidR="00BF56B3">
        <w:rPr>
          <w:rFonts w:ascii="Times New Roman" w:hAnsi="Times New Roman" w:cs="Times New Roman"/>
          <w:sz w:val="24"/>
          <w:szCs w:val="24"/>
        </w:rPr>
        <w:t xml:space="preserve"> – </w:t>
      </w:r>
      <w:r w:rsidR="005B0EC6">
        <w:rPr>
          <w:rFonts w:ascii="Times New Roman" w:hAnsi="Times New Roman" w:cs="Times New Roman"/>
          <w:sz w:val="24"/>
          <w:szCs w:val="24"/>
        </w:rPr>
        <w:t xml:space="preserve">that a determination that the Act could not be given a conforming interpretation, even if RAAP was correct in the construction of the Directive, would mean that RAAP’s case for breach of the 2002 </w:t>
      </w:r>
      <w:r w:rsidR="008333EA">
        <w:rPr>
          <w:rFonts w:ascii="Times New Roman" w:hAnsi="Times New Roman" w:cs="Times New Roman"/>
          <w:sz w:val="24"/>
          <w:szCs w:val="24"/>
        </w:rPr>
        <w:t>a</w:t>
      </w:r>
      <w:r w:rsidR="005B0EC6">
        <w:rPr>
          <w:rFonts w:ascii="Times New Roman" w:hAnsi="Times New Roman" w:cs="Times New Roman"/>
          <w:sz w:val="24"/>
          <w:szCs w:val="24"/>
        </w:rPr>
        <w:t xml:space="preserve">greement </w:t>
      </w:r>
      <w:r w:rsidR="005B0EC6" w:rsidRPr="005B0EC6">
        <w:rPr>
          <w:rFonts w:ascii="Times New Roman" w:hAnsi="Times New Roman" w:cs="Times New Roman"/>
          <w:sz w:val="24"/>
          <w:szCs w:val="24"/>
        </w:rPr>
        <w:t>must</w:t>
      </w:r>
      <w:r w:rsidR="005B0EC6">
        <w:rPr>
          <w:rFonts w:ascii="Times New Roman" w:hAnsi="Times New Roman" w:cs="Times New Roman"/>
          <w:sz w:val="24"/>
          <w:szCs w:val="24"/>
        </w:rPr>
        <w:t xml:space="preserve"> fail (as PPI now argues)</w:t>
      </w:r>
      <w:r w:rsidR="00AC3755">
        <w:rPr>
          <w:rFonts w:ascii="Times New Roman" w:hAnsi="Times New Roman" w:cs="Times New Roman"/>
          <w:sz w:val="24"/>
          <w:szCs w:val="24"/>
        </w:rPr>
        <w:t xml:space="preserve"> or that it would not be possible to make an order against PPI in the terms pleaded and in respect of which PPI sought a preliminary trial</w:t>
      </w:r>
      <w:r w:rsidR="005B0EC6">
        <w:rPr>
          <w:rFonts w:ascii="Times New Roman" w:hAnsi="Times New Roman" w:cs="Times New Roman"/>
          <w:sz w:val="24"/>
          <w:szCs w:val="24"/>
        </w:rPr>
        <w:t xml:space="preserve">. </w:t>
      </w:r>
    </w:p>
    <w:p w14:paraId="1FA944DA" w14:textId="75BF5AD1" w:rsidR="00BF0D19" w:rsidRDefault="005B0EC6" w:rsidP="0050791B">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I</w:t>
      </w:r>
      <w:r w:rsidR="00661B03" w:rsidRPr="005B0EC6">
        <w:rPr>
          <w:rFonts w:ascii="Times New Roman" w:hAnsi="Times New Roman" w:cs="Times New Roman"/>
          <w:sz w:val="24"/>
          <w:szCs w:val="24"/>
        </w:rPr>
        <w:t>n</w:t>
      </w:r>
      <w:r w:rsidR="00661B03">
        <w:rPr>
          <w:rFonts w:ascii="Times New Roman" w:hAnsi="Times New Roman" w:cs="Times New Roman"/>
          <w:sz w:val="24"/>
          <w:szCs w:val="24"/>
        </w:rPr>
        <w:t xml:space="preserve"> his analysis of the submissions</w:t>
      </w:r>
      <w:r w:rsidR="0056246D">
        <w:rPr>
          <w:rFonts w:ascii="Times New Roman" w:hAnsi="Times New Roman" w:cs="Times New Roman"/>
          <w:sz w:val="24"/>
          <w:szCs w:val="24"/>
        </w:rPr>
        <w:t>,</w:t>
      </w:r>
      <w:r w:rsidR="00661B03">
        <w:rPr>
          <w:rFonts w:ascii="Times New Roman" w:hAnsi="Times New Roman" w:cs="Times New Roman"/>
          <w:sz w:val="24"/>
          <w:szCs w:val="24"/>
        </w:rPr>
        <w:t xml:space="preserve"> Cregan J. held that </w:t>
      </w:r>
      <w:r w:rsidR="00661B03">
        <w:rPr>
          <w:rFonts w:ascii="Times New Roman" w:hAnsi="Times New Roman" w:cs="Times New Roman"/>
          <w:i/>
          <w:sz w:val="24"/>
          <w:szCs w:val="24"/>
        </w:rPr>
        <w:t>“the plaintiff’s claim is essentially a breach of contract and an alleged breach of the 2002 Agreement”</w:t>
      </w:r>
      <w:r w:rsidR="00661B03">
        <w:rPr>
          <w:rFonts w:ascii="Times New Roman" w:hAnsi="Times New Roman" w:cs="Times New Roman"/>
          <w:sz w:val="24"/>
          <w:szCs w:val="24"/>
        </w:rPr>
        <w:t xml:space="preserve">.  He refers to the terms in the agreement and the terms in the Act and concludes </w:t>
      </w:r>
      <w:r w:rsidR="00661B03">
        <w:rPr>
          <w:rFonts w:ascii="Times New Roman" w:hAnsi="Times New Roman" w:cs="Times New Roman"/>
          <w:i/>
          <w:sz w:val="24"/>
          <w:szCs w:val="24"/>
        </w:rPr>
        <w:t>“</w:t>
      </w:r>
      <w:r w:rsidR="0056246D">
        <w:rPr>
          <w:rFonts w:ascii="Times New Roman" w:hAnsi="Times New Roman" w:cs="Times New Roman"/>
          <w:i/>
          <w:sz w:val="24"/>
          <w:szCs w:val="24"/>
        </w:rPr>
        <w:t>[i]</w:t>
      </w:r>
      <w:r w:rsidR="00661B03">
        <w:rPr>
          <w:rFonts w:ascii="Times New Roman" w:hAnsi="Times New Roman" w:cs="Times New Roman"/>
          <w:i/>
          <w:sz w:val="24"/>
          <w:szCs w:val="24"/>
        </w:rPr>
        <w:t xml:space="preserve">t is clear therefore that the agreement is inextricably linked with the </w:t>
      </w:r>
      <w:r w:rsidR="0056246D">
        <w:rPr>
          <w:rFonts w:ascii="Times New Roman" w:hAnsi="Times New Roman" w:cs="Times New Roman"/>
          <w:i/>
          <w:sz w:val="24"/>
          <w:szCs w:val="24"/>
        </w:rPr>
        <w:t>s</w:t>
      </w:r>
      <w:r w:rsidR="00661B03">
        <w:rPr>
          <w:rFonts w:ascii="Times New Roman" w:hAnsi="Times New Roman" w:cs="Times New Roman"/>
          <w:i/>
          <w:sz w:val="24"/>
          <w:szCs w:val="24"/>
        </w:rPr>
        <w:t xml:space="preserve">tatute.”  </w:t>
      </w:r>
      <w:r w:rsidR="00661B03">
        <w:rPr>
          <w:rFonts w:ascii="Times New Roman" w:hAnsi="Times New Roman" w:cs="Times New Roman"/>
          <w:sz w:val="24"/>
          <w:szCs w:val="24"/>
        </w:rPr>
        <w:t>At paras. 97 and 98 he held:</w:t>
      </w:r>
      <w:r w:rsidR="0056246D">
        <w:rPr>
          <w:rFonts w:ascii="Times New Roman" w:hAnsi="Times New Roman" w:cs="Times New Roman"/>
          <w:sz w:val="24"/>
          <w:szCs w:val="24"/>
        </w:rPr>
        <w:t>-</w:t>
      </w:r>
    </w:p>
    <w:p w14:paraId="3BC32BD9" w14:textId="54DA759F" w:rsidR="00661B03" w:rsidRDefault="00661B03" w:rsidP="001333C9">
      <w:pPr>
        <w:pStyle w:val="ListParagraph"/>
        <w:spacing w:line="480" w:lineRule="auto"/>
        <w:ind w:left="567"/>
        <w:jc w:val="left"/>
        <w:rPr>
          <w:rFonts w:ascii="Times New Roman" w:hAnsi="Times New Roman" w:cs="Times New Roman"/>
          <w:i/>
          <w:sz w:val="24"/>
          <w:szCs w:val="24"/>
        </w:rPr>
      </w:pPr>
      <w:r>
        <w:rPr>
          <w:rFonts w:ascii="Times New Roman" w:hAnsi="Times New Roman" w:cs="Times New Roman"/>
          <w:i/>
          <w:sz w:val="24"/>
          <w:szCs w:val="24"/>
        </w:rPr>
        <w:t>“</w:t>
      </w:r>
      <w:r w:rsidR="0056246D">
        <w:rPr>
          <w:rFonts w:ascii="Times New Roman" w:hAnsi="Times New Roman" w:cs="Times New Roman"/>
          <w:i/>
          <w:sz w:val="24"/>
          <w:szCs w:val="24"/>
        </w:rPr>
        <w:t xml:space="preserve">97. </w:t>
      </w:r>
      <w:r>
        <w:rPr>
          <w:rFonts w:ascii="Times New Roman" w:hAnsi="Times New Roman" w:cs="Times New Roman"/>
          <w:i/>
          <w:sz w:val="24"/>
          <w:szCs w:val="24"/>
        </w:rPr>
        <w:t xml:space="preserve">It is, in my view, clear therefore that </w:t>
      </w:r>
      <w:r w:rsidRPr="00BE49F7">
        <w:rPr>
          <w:rFonts w:ascii="Times New Roman" w:hAnsi="Times New Roman" w:cs="Times New Roman"/>
          <w:b/>
          <w:i/>
          <w:sz w:val="24"/>
          <w:szCs w:val="24"/>
        </w:rPr>
        <w:t>the issues of breach of contract which arise in this case fall to be determined in the light of the interpretation of the relevant provisions of the statute and the Directive</w:t>
      </w:r>
      <w:r>
        <w:rPr>
          <w:rFonts w:ascii="Times New Roman" w:hAnsi="Times New Roman" w:cs="Times New Roman"/>
          <w:i/>
          <w:sz w:val="24"/>
          <w:szCs w:val="24"/>
        </w:rPr>
        <w:t>.  This seems to me to be an obvious and inescapable fact giv</w:t>
      </w:r>
      <w:r w:rsidR="00BE49F7">
        <w:rPr>
          <w:rFonts w:ascii="Times New Roman" w:hAnsi="Times New Roman" w:cs="Times New Roman"/>
          <w:i/>
          <w:sz w:val="24"/>
          <w:szCs w:val="24"/>
        </w:rPr>
        <w:t>en</w:t>
      </w:r>
      <w:r>
        <w:rPr>
          <w:rFonts w:ascii="Times New Roman" w:hAnsi="Times New Roman" w:cs="Times New Roman"/>
          <w:i/>
          <w:sz w:val="24"/>
          <w:szCs w:val="24"/>
        </w:rPr>
        <w:t xml:space="preserve"> the fact that the agreement itself defines terms as these terms are defined in the legislation and it is clear that there is a difference of interpretation of the legalisation by both parties to this dispute.</w:t>
      </w:r>
    </w:p>
    <w:p w14:paraId="4D862D2F" w14:textId="579A7854" w:rsidR="00661B03" w:rsidRPr="00EF3176" w:rsidRDefault="0056246D" w:rsidP="001333C9">
      <w:pPr>
        <w:pStyle w:val="ListParagraph"/>
        <w:spacing w:line="480" w:lineRule="auto"/>
        <w:ind w:left="567"/>
        <w:jc w:val="left"/>
        <w:rPr>
          <w:rFonts w:ascii="Times New Roman" w:hAnsi="Times New Roman" w:cs="Times New Roman"/>
          <w:sz w:val="24"/>
          <w:szCs w:val="24"/>
        </w:rPr>
      </w:pPr>
      <w:r w:rsidRPr="0056246D">
        <w:rPr>
          <w:rFonts w:ascii="Times New Roman" w:hAnsi="Times New Roman" w:cs="Times New Roman"/>
          <w:bCs/>
          <w:i/>
          <w:sz w:val="24"/>
          <w:szCs w:val="24"/>
        </w:rPr>
        <w:t>98.</w:t>
      </w:r>
      <w:r>
        <w:rPr>
          <w:rFonts w:ascii="Times New Roman" w:hAnsi="Times New Roman" w:cs="Times New Roman"/>
          <w:b/>
          <w:i/>
          <w:sz w:val="24"/>
          <w:szCs w:val="24"/>
        </w:rPr>
        <w:t xml:space="preserve"> </w:t>
      </w:r>
      <w:r w:rsidR="00661B03" w:rsidRPr="002F1AC0">
        <w:rPr>
          <w:rFonts w:ascii="Times New Roman" w:hAnsi="Times New Roman" w:cs="Times New Roman"/>
          <w:b/>
          <w:i/>
          <w:sz w:val="24"/>
          <w:szCs w:val="24"/>
        </w:rPr>
        <w:t>PPI submit that the proper construction of the Directive and the Act of 2000 will determine the entitlement to the declaratory relief</w:t>
      </w:r>
      <w:r>
        <w:rPr>
          <w:rFonts w:ascii="Times New Roman" w:hAnsi="Times New Roman" w:cs="Times New Roman"/>
          <w:b/>
          <w:i/>
          <w:sz w:val="24"/>
          <w:szCs w:val="24"/>
        </w:rPr>
        <w:t>s</w:t>
      </w:r>
      <w:r w:rsidR="00661B03" w:rsidRPr="002F1AC0">
        <w:rPr>
          <w:rFonts w:ascii="Times New Roman" w:hAnsi="Times New Roman" w:cs="Times New Roman"/>
          <w:b/>
          <w:i/>
          <w:sz w:val="24"/>
          <w:szCs w:val="24"/>
        </w:rPr>
        <w:t xml:space="preserve"> sought at paras. 1 to 3 of the </w:t>
      </w:r>
      <w:r>
        <w:rPr>
          <w:rFonts w:ascii="Times New Roman" w:hAnsi="Times New Roman" w:cs="Times New Roman"/>
          <w:b/>
          <w:i/>
          <w:sz w:val="24"/>
          <w:szCs w:val="24"/>
        </w:rPr>
        <w:t>p</w:t>
      </w:r>
      <w:r w:rsidR="00661B03" w:rsidRPr="002F1AC0">
        <w:rPr>
          <w:rFonts w:ascii="Times New Roman" w:hAnsi="Times New Roman" w:cs="Times New Roman"/>
          <w:b/>
          <w:i/>
          <w:sz w:val="24"/>
          <w:szCs w:val="24"/>
        </w:rPr>
        <w:t>ray</w:t>
      </w:r>
      <w:r w:rsidR="00AC3755">
        <w:rPr>
          <w:rFonts w:ascii="Times New Roman" w:hAnsi="Times New Roman" w:cs="Times New Roman"/>
          <w:b/>
          <w:i/>
          <w:sz w:val="24"/>
          <w:szCs w:val="24"/>
        </w:rPr>
        <w:t>er</w:t>
      </w:r>
      <w:r w:rsidR="00661B03" w:rsidRPr="002F1AC0">
        <w:rPr>
          <w:rFonts w:ascii="Times New Roman" w:hAnsi="Times New Roman" w:cs="Times New Roman"/>
          <w:b/>
          <w:i/>
          <w:sz w:val="24"/>
          <w:szCs w:val="24"/>
        </w:rPr>
        <w:t xml:space="preserve"> in the </w:t>
      </w:r>
      <w:r>
        <w:rPr>
          <w:rFonts w:ascii="Times New Roman" w:hAnsi="Times New Roman" w:cs="Times New Roman"/>
          <w:b/>
          <w:i/>
          <w:sz w:val="24"/>
          <w:szCs w:val="24"/>
        </w:rPr>
        <w:t>s</w:t>
      </w:r>
      <w:r w:rsidR="00661B03" w:rsidRPr="002F1AC0">
        <w:rPr>
          <w:rFonts w:ascii="Times New Roman" w:hAnsi="Times New Roman" w:cs="Times New Roman"/>
          <w:b/>
          <w:i/>
          <w:sz w:val="24"/>
          <w:szCs w:val="24"/>
        </w:rPr>
        <w:t xml:space="preserve">tatement of </w:t>
      </w:r>
      <w:r>
        <w:rPr>
          <w:rFonts w:ascii="Times New Roman" w:hAnsi="Times New Roman" w:cs="Times New Roman"/>
          <w:b/>
          <w:i/>
          <w:sz w:val="24"/>
          <w:szCs w:val="24"/>
        </w:rPr>
        <w:t>c</w:t>
      </w:r>
      <w:r w:rsidR="00661B03" w:rsidRPr="002F1AC0">
        <w:rPr>
          <w:rFonts w:ascii="Times New Roman" w:hAnsi="Times New Roman" w:cs="Times New Roman"/>
          <w:b/>
          <w:i/>
          <w:sz w:val="24"/>
          <w:szCs w:val="24"/>
        </w:rPr>
        <w:t xml:space="preserve">laim.  PPI also submit that deciding these legal issues will also have an important bearing on the plaintiff’s claim for [breach of contract] in the first set of proceedings because the 2002 </w:t>
      </w:r>
      <w:r>
        <w:rPr>
          <w:rFonts w:ascii="Times New Roman" w:hAnsi="Times New Roman" w:cs="Times New Roman"/>
          <w:b/>
          <w:i/>
          <w:sz w:val="24"/>
          <w:szCs w:val="24"/>
        </w:rPr>
        <w:t>a</w:t>
      </w:r>
      <w:r w:rsidR="00661B03" w:rsidRPr="002F1AC0">
        <w:rPr>
          <w:rFonts w:ascii="Times New Roman" w:hAnsi="Times New Roman" w:cs="Times New Roman"/>
          <w:b/>
          <w:i/>
          <w:sz w:val="24"/>
          <w:szCs w:val="24"/>
        </w:rPr>
        <w:t>greement has a statutory context</w:t>
      </w:r>
      <w:r w:rsidR="00661B03" w:rsidRPr="005B0EC6">
        <w:rPr>
          <w:rFonts w:ascii="Times New Roman" w:hAnsi="Times New Roman" w:cs="Times New Roman"/>
          <w:i/>
          <w:sz w:val="24"/>
          <w:szCs w:val="24"/>
        </w:rPr>
        <w:t>.  I</w:t>
      </w:r>
      <w:r w:rsidR="00661B03">
        <w:rPr>
          <w:rFonts w:ascii="Times New Roman" w:hAnsi="Times New Roman" w:cs="Times New Roman"/>
          <w:i/>
          <w:sz w:val="24"/>
          <w:szCs w:val="24"/>
        </w:rPr>
        <w:t xml:space="preserve"> agree with these submissions.” </w:t>
      </w:r>
      <w:r w:rsidR="002F1AC0" w:rsidRPr="00EF3176">
        <w:rPr>
          <w:rFonts w:ascii="Times New Roman" w:hAnsi="Times New Roman" w:cs="Times New Roman"/>
          <w:sz w:val="24"/>
          <w:szCs w:val="24"/>
        </w:rPr>
        <w:t>(emphasis</w:t>
      </w:r>
      <w:r w:rsidR="00EF3176">
        <w:rPr>
          <w:rFonts w:ascii="Times New Roman" w:hAnsi="Times New Roman" w:cs="Times New Roman"/>
          <w:sz w:val="24"/>
          <w:szCs w:val="24"/>
        </w:rPr>
        <w:t xml:space="preserve"> added</w:t>
      </w:r>
      <w:r w:rsidR="002F1AC0" w:rsidRPr="00EF3176">
        <w:rPr>
          <w:rFonts w:ascii="Times New Roman" w:hAnsi="Times New Roman" w:cs="Times New Roman"/>
          <w:sz w:val="24"/>
          <w:szCs w:val="24"/>
        </w:rPr>
        <w:t>)</w:t>
      </w:r>
    </w:p>
    <w:p w14:paraId="2F803D17" w14:textId="02A4EB04" w:rsidR="00BF0D19" w:rsidRDefault="00661B03" w:rsidP="0050791B">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At para. 105 he said that </w:t>
      </w:r>
      <w:r>
        <w:rPr>
          <w:rFonts w:ascii="Times New Roman" w:hAnsi="Times New Roman" w:cs="Times New Roman"/>
          <w:i/>
          <w:sz w:val="24"/>
          <w:szCs w:val="24"/>
        </w:rPr>
        <w:t xml:space="preserve">“the central issues in relation to the declaratory reliefs sought </w:t>
      </w:r>
      <w:r w:rsidRPr="002F1AC0">
        <w:rPr>
          <w:rFonts w:ascii="Times New Roman" w:hAnsi="Times New Roman" w:cs="Times New Roman"/>
          <w:b/>
          <w:i/>
          <w:sz w:val="24"/>
          <w:szCs w:val="24"/>
        </w:rPr>
        <w:t>and the issues of breach of contract</w:t>
      </w:r>
      <w:r>
        <w:rPr>
          <w:rFonts w:ascii="Times New Roman" w:hAnsi="Times New Roman" w:cs="Times New Roman"/>
          <w:i/>
          <w:sz w:val="24"/>
          <w:szCs w:val="24"/>
        </w:rPr>
        <w:t xml:space="preserve"> are clearly interrelated and depend fundamentally on a legal interpretation of the Directive and the Act.”</w:t>
      </w:r>
      <w:r w:rsidR="008333EA">
        <w:rPr>
          <w:rFonts w:ascii="Times New Roman" w:hAnsi="Times New Roman" w:cs="Times New Roman"/>
          <w:i/>
          <w:sz w:val="24"/>
          <w:szCs w:val="24"/>
        </w:rPr>
        <w:t xml:space="preserve"> </w:t>
      </w:r>
      <w:r w:rsidR="008333EA">
        <w:rPr>
          <w:rFonts w:ascii="Times New Roman" w:hAnsi="Times New Roman" w:cs="Times New Roman"/>
          <w:iCs/>
          <w:sz w:val="24"/>
          <w:szCs w:val="24"/>
        </w:rPr>
        <w:t>(emphasis added)</w:t>
      </w:r>
    </w:p>
    <w:p w14:paraId="65B46D1A" w14:textId="37AAB40B" w:rsidR="002F1AC0" w:rsidRDefault="002F1AC0" w:rsidP="0050791B">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lastRenderedPageBreak/>
        <w:t>PPI submitted and Cregan</w:t>
      </w:r>
      <w:r w:rsidR="000D5D04">
        <w:rPr>
          <w:rFonts w:ascii="Times New Roman" w:hAnsi="Times New Roman" w:cs="Times New Roman"/>
          <w:sz w:val="24"/>
          <w:szCs w:val="24"/>
        </w:rPr>
        <w:t xml:space="preserve"> J.</w:t>
      </w:r>
      <w:r>
        <w:rPr>
          <w:rFonts w:ascii="Times New Roman" w:hAnsi="Times New Roman" w:cs="Times New Roman"/>
          <w:sz w:val="24"/>
          <w:szCs w:val="24"/>
        </w:rPr>
        <w:t xml:space="preserve"> understood that the determination of the three preliminary points of law was highly relevant to the resolution of RAAP’s claims that PPI breached the agreement of 2002 </w:t>
      </w:r>
      <w:r w:rsidRPr="00A541C8">
        <w:rPr>
          <w:rFonts w:ascii="Times New Roman" w:hAnsi="Times New Roman" w:cs="Times New Roman"/>
          <w:i/>
          <w:sz w:val="24"/>
          <w:szCs w:val="24"/>
        </w:rPr>
        <w:t>but that it would not resolve those claims</w:t>
      </w:r>
      <w:r w:rsidR="00A541C8">
        <w:rPr>
          <w:rFonts w:ascii="Times New Roman" w:hAnsi="Times New Roman" w:cs="Times New Roman"/>
          <w:i/>
          <w:sz w:val="24"/>
          <w:szCs w:val="24"/>
        </w:rPr>
        <w:t>,</w:t>
      </w:r>
      <w:r>
        <w:rPr>
          <w:rFonts w:ascii="Times New Roman" w:hAnsi="Times New Roman" w:cs="Times New Roman"/>
          <w:sz w:val="24"/>
          <w:szCs w:val="24"/>
        </w:rPr>
        <w:t xml:space="preserve"> which would be tried subsequently; the declaratory reliefs and the issues of breach of contract, though interrelated, were separate.</w:t>
      </w:r>
      <w:r w:rsidR="00A546B2">
        <w:rPr>
          <w:rFonts w:ascii="Times New Roman" w:hAnsi="Times New Roman" w:cs="Times New Roman"/>
          <w:sz w:val="24"/>
          <w:szCs w:val="24"/>
        </w:rPr>
        <w:t xml:space="preserve"> </w:t>
      </w:r>
      <w:r w:rsidR="00C3783B">
        <w:rPr>
          <w:rFonts w:ascii="Times New Roman" w:hAnsi="Times New Roman" w:cs="Times New Roman"/>
          <w:sz w:val="24"/>
          <w:szCs w:val="24"/>
        </w:rPr>
        <w:t xml:space="preserve"> </w:t>
      </w:r>
      <w:r w:rsidR="00A546B2">
        <w:rPr>
          <w:rFonts w:ascii="Times New Roman" w:hAnsi="Times New Roman" w:cs="Times New Roman"/>
          <w:sz w:val="24"/>
          <w:szCs w:val="24"/>
        </w:rPr>
        <w:t xml:space="preserve">It was not argued that if </w:t>
      </w:r>
      <w:r w:rsidR="001F442A">
        <w:rPr>
          <w:rFonts w:ascii="Times New Roman" w:hAnsi="Times New Roman" w:cs="Times New Roman"/>
          <w:sz w:val="24"/>
          <w:szCs w:val="24"/>
        </w:rPr>
        <w:t>the interpretation of the Directive advanced by RAAP was to succeed and if</w:t>
      </w:r>
      <w:r w:rsidR="00AC3755">
        <w:rPr>
          <w:rFonts w:ascii="Times New Roman" w:hAnsi="Times New Roman" w:cs="Times New Roman"/>
          <w:sz w:val="24"/>
          <w:szCs w:val="24"/>
        </w:rPr>
        <w:t>,</w:t>
      </w:r>
      <w:r w:rsidR="001F442A">
        <w:rPr>
          <w:rFonts w:ascii="Times New Roman" w:hAnsi="Times New Roman" w:cs="Times New Roman"/>
          <w:sz w:val="24"/>
          <w:szCs w:val="24"/>
        </w:rPr>
        <w:t xml:space="preserve"> therefore</w:t>
      </w:r>
      <w:r w:rsidR="00AC3755">
        <w:rPr>
          <w:rFonts w:ascii="Times New Roman" w:hAnsi="Times New Roman" w:cs="Times New Roman"/>
          <w:sz w:val="24"/>
          <w:szCs w:val="24"/>
        </w:rPr>
        <w:t>,</w:t>
      </w:r>
      <w:r w:rsidR="001F442A">
        <w:rPr>
          <w:rFonts w:ascii="Times New Roman" w:hAnsi="Times New Roman" w:cs="Times New Roman"/>
          <w:sz w:val="24"/>
          <w:szCs w:val="24"/>
        </w:rPr>
        <w:t xml:space="preserve"> it was not possible to give the Act a conforming interpretation</w:t>
      </w:r>
      <w:r w:rsidR="00AC3755">
        <w:rPr>
          <w:rFonts w:ascii="Times New Roman" w:hAnsi="Times New Roman" w:cs="Times New Roman"/>
          <w:sz w:val="24"/>
          <w:szCs w:val="24"/>
        </w:rPr>
        <w:t>,</w:t>
      </w:r>
      <w:r w:rsidR="001F442A">
        <w:rPr>
          <w:rFonts w:ascii="Times New Roman" w:hAnsi="Times New Roman" w:cs="Times New Roman"/>
          <w:sz w:val="24"/>
          <w:szCs w:val="24"/>
        </w:rPr>
        <w:t xml:space="preserve"> that it necessarily followed that RAAP’s claim for breach of the agreement must fail</w:t>
      </w:r>
      <w:r w:rsidR="00AC3755">
        <w:rPr>
          <w:rFonts w:ascii="Times New Roman" w:hAnsi="Times New Roman" w:cs="Times New Roman"/>
          <w:sz w:val="24"/>
          <w:szCs w:val="24"/>
        </w:rPr>
        <w:t>,</w:t>
      </w:r>
      <w:r w:rsidR="001F442A">
        <w:rPr>
          <w:rFonts w:ascii="Times New Roman" w:hAnsi="Times New Roman" w:cs="Times New Roman"/>
          <w:sz w:val="24"/>
          <w:szCs w:val="24"/>
        </w:rPr>
        <w:t xml:space="preserve"> as the Directive do</w:t>
      </w:r>
      <w:r w:rsidR="00AC3755">
        <w:rPr>
          <w:rFonts w:ascii="Times New Roman" w:hAnsi="Times New Roman" w:cs="Times New Roman"/>
          <w:sz w:val="24"/>
          <w:szCs w:val="24"/>
        </w:rPr>
        <w:t>es</w:t>
      </w:r>
      <w:r w:rsidR="001F442A">
        <w:rPr>
          <w:rFonts w:ascii="Times New Roman" w:hAnsi="Times New Roman" w:cs="Times New Roman"/>
          <w:sz w:val="24"/>
          <w:szCs w:val="24"/>
        </w:rPr>
        <w:t xml:space="preserve"> not have direct effect between private parties (as opposed to a</w:t>
      </w:r>
      <w:r w:rsidR="00C3783B">
        <w:rPr>
          <w:rFonts w:ascii="Times New Roman" w:hAnsi="Times New Roman" w:cs="Times New Roman"/>
          <w:sz w:val="24"/>
          <w:szCs w:val="24"/>
        </w:rPr>
        <w:t xml:space="preserve"> </w:t>
      </w:r>
      <w:r w:rsidR="001F442A">
        <w:rPr>
          <w:rFonts w:ascii="Times New Roman" w:hAnsi="Times New Roman" w:cs="Times New Roman"/>
          <w:sz w:val="24"/>
          <w:szCs w:val="24"/>
        </w:rPr>
        <w:t xml:space="preserve">claim against the </w:t>
      </w:r>
      <w:r w:rsidR="00BA1E18">
        <w:rPr>
          <w:rFonts w:ascii="Times New Roman" w:hAnsi="Times New Roman" w:cs="Times New Roman"/>
          <w:sz w:val="24"/>
          <w:szCs w:val="24"/>
        </w:rPr>
        <w:t>S</w:t>
      </w:r>
      <w:r w:rsidR="001F442A">
        <w:rPr>
          <w:rFonts w:ascii="Times New Roman" w:hAnsi="Times New Roman" w:cs="Times New Roman"/>
          <w:sz w:val="24"/>
          <w:szCs w:val="24"/>
        </w:rPr>
        <w:t>tate based upon a failure properly to transpose the Directive)</w:t>
      </w:r>
      <w:r w:rsidR="00AC3755">
        <w:rPr>
          <w:rFonts w:ascii="Times New Roman" w:hAnsi="Times New Roman" w:cs="Times New Roman"/>
          <w:sz w:val="24"/>
          <w:szCs w:val="24"/>
        </w:rPr>
        <w:t>.</w:t>
      </w:r>
    </w:p>
    <w:p w14:paraId="55CA5ECD" w14:textId="27024DC5" w:rsidR="00661B03" w:rsidRDefault="00661B03" w:rsidP="0050791B">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Cregan</w:t>
      </w:r>
      <w:r w:rsidR="00C3783B">
        <w:rPr>
          <w:rFonts w:ascii="Times New Roman" w:hAnsi="Times New Roman" w:cs="Times New Roman"/>
          <w:sz w:val="24"/>
          <w:szCs w:val="24"/>
        </w:rPr>
        <w:t xml:space="preserve"> J.</w:t>
      </w:r>
      <w:r>
        <w:rPr>
          <w:rFonts w:ascii="Times New Roman" w:hAnsi="Times New Roman" w:cs="Times New Roman"/>
          <w:sz w:val="24"/>
          <w:szCs w:val="24"/>
        </w:rPr>
        <w:t xml:space="preserve"> determined that he would make an </w:t>
      </w:r>
      <w:r w:rsidR="00C3783B">
        <w:rPr>
          <w:rFonts w:ascii="Times New Roman" w:hAnsi="Times New Roman" w:cs="Times New Roman"/>
          <w:sz w:val="24"/>
          <w:szCs w:val="24"/>
        </w:rPr>
        <w:t>o</w:t>
      </w:r>
      <w:r>
        <w:rPr>
          <w:rFonts w:ascii="Times New Roman" w:hAnsi="Times New Roman" w:cs="Times New Roman"/>
          <w:sz w:val="24"/>
          <w:szCs w:val="24"/>
        </w:rPr>
        <w:t>rder pursuant to O.</w:t>
      </w:r>
      <w:r w:rsidR="00C3783B">
        <w:rPr>
          <w:rFonts w:ascii="Times New Roman" w:hAnsi="Times New Roman" w:cs="Times New Roman"/>
          <w:sz w:val="24"/>
          <w:szCs w:val="24"/>
        </w:rPr>
        <w:t xml:space="preserve"> </w:t>
      </w:r>
      <w:r>
        <w:rPr>
          <w:rFonts w:ascii="Times New Roman" w:hAnsi="Times New Roman" w:cs="Times New Roman"/>
          <w:sz w:val="24"/>
          <w:szCs w:val="24"/>
        </w:rPr>
        <w:t>25, r.</w:t>
      </w:r>
      <w:r w:rsidR="00C3783B">
        <w:rPr>
          <w:rFonts w:ascii="Times New Roman" w:hAnsi="Times New Roman" w:cs="Times New Roman"/>
          <w:sz w:val="24"/>
          <w:szCs w:val="24"/>
        </w:rPr>
        <w:t xml:space="preserve"> </w:t>
      </w:r>
      <w:r>
        <w:rPr>
          <w:rFonts w:ascii="Times New Roman" w:hAnsi="Times New Roman" w:cs="Times New Roman"/>
          <w:sz w:val="24"/>
          <w:szCs w:val="24"/>
        </w:rPr>
        <w:t xml:space="preserve">1 directing a trial of a preliminary issue as requested by PPI.  He heard submissions from counsel for RAAP and PPI as to the form of the </w:t>
      </w:r>
      <w:r w:rsidR="00C3783B">
        <w:rPr>
          <w:rFonts w:ascii="Times New Roman" w:hAnsi="Times New Roman" w:cs="Times New Roman"/>
          <w:sz w:val="24"/>
          <w:szCs w:val="24"/>
        </w:rPr>
        <w:t>o</w:t>
      </w:r>
      <w:r>
        <w:rPr>
          <w:rFonts w:ascii="Times New Roman" w:hAnsi="Times New Roman" w:cs="Times New Roman"/>
          <w:sz w:val="24"/>
          <w:szCs w:val="24"/>
        </w:rPr>
        <w:t>rder</w:t>
      </w:r>
      <w:r w:rsidR="008333EA">
        <w:rPr>
          <w:rFonts w:ascii="Times New Roman" w:hAnsi="Times New Roman" w:cs="Times New Roman"/>
          <w:sz w:val="24"/>
          <w:szCs w:val="24"/>
        </w:rPr>
        <w:t xml:space="preserve">. </w:t>
      </w:r>
      <w:r>
        <w:rPr>
          <w:rFonts w:ascii="Times New Roman" w:hAnsi="Times New Roman" w:cs="Times New Roman"/>
          <w:sz w:val="24"/>
          <w:szCs w:val="24"/>
        </w:rPr>
        <w:t xml:space="preserve"> </w:t>
      </w:r>
      <w:r w:rsidR="008333EA">
        <w:rPr>
          <w:rFonts w:ascii="Times New Roman" w:hAnsi="Times New Roman" w:cs="Times New Roman"/>
          <w:sz w:val="24"/>
          <w:szCs w:val="24"/>
        </w:rPr>
        <w:t>H</w:t>
      </w:r>
      <w:r>
        <w:rPr>
          <w:rFonts w:ascii="Times New Roman" w:hAnsi="Times New Roman" w:cs="Times New Roman"/>
          <w:sz w:val="24"/>
          <w:szCs w:val="24"/>
        </w:rPr>
        <w:t>e accepted the submissions of PPI and made the order sought by PPI</w:t>
      </w:r>
      <w:r w:rsidR="00A541C8">
        <w:rPr>
          <w:rFonts w:ascii="Times New Roman" w:hAnsi="Times New Roman" w:cs="Times New Roman"/>
          <w:sz w:val="24"/>
          <w:szCs w:val="24"/>
        </w:rPr>
        <w:t xml:space="preserve"> in the terms it advanced</w:t>
      </w:r>
      <w:r>
        <w:rPr>
          <w:rFonts w:ascii="Times New Roman" w:hAnsi="Times New Roman" w:cs="Times New Roman"/>
          <w:sz w:val="24"/>
          <w:szCs w:val="24"/>
        </w:rPr>
        <w:t>.  On 30 April 2019</w:t>
      </w:r>
      <w:r w:rsidR="00C3783B">
        <w:rPr>
          <w:rFonts w:ascii="Times New Roman" w:hAnsi="Times New Roman" w:cs="Times New Roman"/>
          <w:sz w:val="24"/>
          <w:szCs w:val="24"/>
        </w:rPr>
        <w:t>,</w:t>
      </w:r>
      <w:r>
        <w:rPr>
          <w:rFonts w:ascii="Times New Roman" w:hAnsi="Times New Roman" w:cs="Times New Roman"/>
          <w:sz w:val="24"/>
          <w:szCs w:val="24"/>
        </w:rPr>
        <w:t xml:space="preserve"> he made an </w:t>
      </w:r>
      <w:r w:rsidR="00C3783B">
        <w:rPr>
          <w:rFonts w:ascii="Times New Roman" w:hAnsi="Times New Roman" w:cs="Times New Roman"/>
          <w:sz w:val="24"/>
          <w:szCs w:val="24"/>
        </w:rPr>
        <w:t>o</w:t>
      </w:r>
      <w:r>
        <w:rPr>
          <w:rFonts w:ascii="Times New Roman" w:hAnsi="Times New Roman" w:cs="Times New Roman"/>
          <w:sz w:val="24"/>
          <w:szCs w:val="24"/>
        </w:rPr>
        <w:t>rder that the following matters be dealt with by way of preliminary hearing:</w:t>
      </w:r>
      <w:r w:rsidR="00C3783B">
        <w:rPr>
          <w:rFonts w:ascii="Times New Roman" w:hAnsi="Times New Roman" w:cs="Times New Roman"/>
          <w:sz w:val="24"/>
          <w:szCs w:val="24"/>
        </w:rPr>
        <w:t>-</w:t>
      </w:r>
    </w:p>
    <w:p w14:paraId="4FA3CEF0" w14:textId="77777777" w:rsidR="008023E7" w:rsidRPr="008023E7" w:rsidRDefault="008023E7" w:rsidP="008023E7">
      <w:pPr>
        <w:pStyle w:val="ListParagraph"/>
        <w:spacing w:line="480" w:lineRule="auto"/>
        <w:ind w:left="567"/>
        <w:rPr>
          <w:rFonts w:ascii="Times New Roman" w:hAnsi="Times New Roman" w:cs="Times New Roman"/>
          <w:bCs/>
          <w:i/>
          <w:sz w:val="24"/>
          <w:szCs w:val="24"/>
        </w:rPr>
      </w:pPr>
      <w:r w:rsidRPr="006A7033">
        <w:rPr>
          <w:rFonts w:ascii="Times New Roman" w:hAnsi="Times New Roman" w:cs="Times New Roman"/>
          <w:bCs/>
          <w:i/>
        </w:rPr>
        <w:t>“</w:t>
      </w:r>
      <w:r w:rsidRPr="008023E7">
        <w:rPr>
          <w:rFonts w:ascii="Times New Roman" w:hAnsi="Times New Roman" w:cs="Times New Roman"/>
          <w:bCs/>
          <w:i/>
          <w:sz w:val="24"/>
          <w:szCs w:val="24"/>
        </w:rPr>
        <w:t>THE COURT DOTH ORDER that the following matters be dealt with by way of preliminary hearing:-</w:t>
      </w:r>
    </w:p>
    <w:p w14:paraId="5A46BFAD" w14:textId="77777777" w:rsidR="008023E7" w:rsidRPr="00346884" w:rsidRDefault="008023E7" w:rsidP="00346884">
      <w:pPr>
        <w:pStyle w:val="ListParagraph"/>
        <w:spacing w:line="480" w:lineRule="auto"/>
        <w:ind w:left="567"/>
      </w:pPr>
    </w:p>
    <w:p w14:paraId="5A54F266" w14:textId="1E6E35A4" w:rsidR="008023E7" w:rsidRPr="00346884" w:rsidRDefault="008023E7" w:rsidP="00346884">
      <w:pPr>
        <w:pStyle w:val="ListParagraph"/>
        <w:spacing w:line="480" w:lineRule="auto"/>
        <w:ind w:left="567"/>
      </w:pPr>
      <w:r w:rsidRPr="008023E7">
        <w:rPr>
          <w:rFonts w:ascii="Times New Roman" w:hAnsi="Times New Roman" w:cs="Times New Roman"/>
          <w:bCs/>
          <w:i/>
          <w:sz w:val="24"/>
          <w:szCs w:val="24"/>
        </w:rPr>
        <w:t>Whether the Plaintiff is entitled to the Reliefs set forth at paragraphs (1), (2) and (3) of the Statement of Claim herein which provide as follows:</w:t>
      </w:r>
      <w:r w:rsidR="00487DD3" w:rsidRPr="008023E7" w:rsidDel="00487DD3">
        <w:rPr>
          <w:rFonts w:ascii="Times New Roman" w:hAnsi="Times New Roman" w:cs="Times New Roman"/>
          <w:bCs/>
          <w:i/>
          <w:sz w:val="24"/>
          <w:szCs w:val="24"/>
        </w:rPr>
        <w:t xml:space="preserve"> </w:t>
      </w:r>
    </w:p>
    <w:p w14:paraId="524B44D0" w14:textId="050C9B77" w:rsidR="008023E7" w:rsidRPr="00346884" w:rsidRDefault="008023E7">
      <w:pPr>
        <w:pStyle w:val="ListParagraph"/>
        <w:spacing w:line="480" w:lineRule="auto"/>
        <w:ind w:left="567"/>
      </w:pPr>
      <w:bookmarkStart w:id="1" w:name="_Hlk91149479"/>
      <w:r w:rsidRPr="008023E7">
        <w:rPr>
          <w:rFonts w:ascii="Times New Roman" w:hAnsi="Times New Roman" w:cs="Times New Roman"/>
          <w:bCs/>
          <w:i/>
          <w:sz w:val="24"/>
          <w:szCs w:val="24"/>
        </w:rPr>
        <w:t>“As against Phonographic Performance (Ireland) Limited and, insofar as it is necessary, as against the Minister for Jobs, Enterprise and Innovation Ireland and the Attorney General:</w:t>
      </w:r>
    </w:p>
    <w:p w14:paraId="2C9BB6B5" w14:textId="77777777" w:rsidR="008023E7" w:rsidRPr="008023E7" w:rsidRDefault="008023E7" w:rsidP="001333C9">
      <w:pPr>
        <w:pStyle w:val="ListParagraph"/>
        <w:spacing w:line="480" w:lineRule="auto"/>
        <w:ind w:left="1134" w:hanging="567"/>
        <w:rPr>
          <w:rFonts w:ascii="Times New Roman" w:hAnsi="Times New Roman" w:cs="Times New Roman"/>
          <w:bCs/>
          <w:i/>
          <w:sz w:val="24"/>
          <w:szCs w:val="24"/>
        </w:rPr>
      </w:pPr>
      <w:r w:rsidRPr="008023E7">
        <w:rPr>
          <w:rFonts w:ascii="Times New Roman" w:hAnsi="Times New Roman" w:cs="Times New Roman"/>
          <w:bCs/>
          <w:i/>
          <w:sz w:val="24"/>
          <w:szCs w:val="24"/>
        </w:rPr>
        <w:t xml:space="preserve">1. </w:t>
      </w:r>
      <w:r w:rsidR="001333C9">
        <w:rPr>
          <w:rFonts w:ascii="Times New Roman" w:hAnsi="Times New Roman" w:cs="Times New Roman"/>
          <w:bCs/>
          <w:i/>
          <w:sz w:val="24"/>
          <w:szCs w:val="24"/>
        </w:rPr>
        <w:tab/>
      </w:r>
      <w:r w:rsidRPr="008023E7">
        <w:rPr>
          <w:rFonts w:ascii="Times New Roman" w:hAnsi="Times New Roman" w:cs="Times New Roman"/>
          <w:bCs/>
          <w:i/>
          <w:sz w:val="24"/>
          <w:szCs w:val="24"/>
        </w:rPr>
        <w:t xml:space="preserve">A declaration that Directive 2006/115/EC of the European Parliament and of the Council 12 December 2006 on rental right and lending right and on certain right related to copyright in the field of intellectual property requires the right to </w:t>
      </w:r>
      <w:r w:rsidRPr="008023E7">
        <w:rPr>
          <w:rFonts w:ascii="Times New Roman" w:hAnsi="Times New Roman" w:cs="Times New Roman"/>
          <w:bCs/>
          <w:i/>
          <w:sz w:val="24"/>
          <w:szCs w:val="24"/>
        </w:rPr>
        <w:lastRenderedPageBreak/>
        <w:t>remuneration accorded to owners of sound recordings in respect of the broadcasting and of any communication to the public in the State of the said sound recordings to be equally accorded to all performers whose performances are incorporated on the said sound recordings;</w:t>
      </w:r>
    </w:p>
    <w:p w14:paraId="6CBCFABE" w14:textId="77777777" w:rsidR="008023E7" w:rsidRPr="00346884" w:rsidRDefault="008023E7" w:rsidP="00CB3C04">
      <w:pPr>
        <w:pStyle w:val="ListParagraph"/>
        <w:spacing w:line="480" w:lineRule="auto"/>
        <w:ind w:left="1134" w:hanging="567"/>
      </w:pPr>
    </w:p>
    <w:p w14:paraId="28EC45AF" w14:textId="77777777" w:rsidR="008023E7" w:rsidRPr="008023E7" w:rsidRDefault="008023E7" w:rsidP="001333C9">
      <w:pPr>
        <w:pStyle w:val="ListParagraph"/>
        <w:spacing w:line="480" w:lineRule="auto"/>
        <w:ind w:left="1134" w:hanging="567"/>
        <w:rPr>
          <w:rFonts w:ascii="Times New Roman" w:hAnsi="Times New Roman" w:cs="Times New Roman"/>
          <w:bCs/>
          <w:i/>
          <w:sz w:val="24"/>
          <w:szCs w:val="24"/>
        </w:rPr>
      </w:pPr>
      <w:r w:rsidRPr="008023E7">
        <w:rPr>
          <w:rFonts w:ascii="Times New Roman" w:hAnsi="Times New Roman" w:cs="Times New Roman"/>
          <w:bCs/>
          <w:i/>
          <w:sz w:val="24"/>
          <w:szCs w:val="24"/>
        </w:rPr>
        <w:t xml:space="preserve">2. </w:t>
      </w:r>
      <w:r w:rsidR="001333C9">
        <w:rPr>
          <w:rFonts w:ascii="Times New Roman" w:hAnsi="Times New Roman" w:cs="Times New Roman"/>
          <w:bCs/>
          <w:i/>
          <w:sz w:val="24"/>
          <w:szCs w:val="24"/>
        </w:rPr>
        <w:tab/>
      </w:r>
      <w:r w:rsidRPr="008023E7">
        <w:rPr>
          <w:rFonts w:ascii="Times New Roman" w:hAnsi="Times New Roman" w:cs="Times New Roman"/>
          <w:bCs/>
          <w:i/>
          <w:sz w:val="24"/>
          <w:szCs w:val="24"/>
        </w:rPr>
        <w:t>A declaration that the proper construction of the Copyright and Related Rights Act 2000, in the light of Directive 2006/115/EC of the European Parliament and of the Council 12 December 2006 on rental right and lending right and on certain rights related to copyright in the field of intellectual property, taking account of the EU law treaty-based obligation of consistent interpretation, is that the right to remuneration accorded thereunder to owners of sound recordings in respect of the broadcasting and of any communication to the public in the State of the said sound recordings is also accorded to any and all performers whose performances are incorporated on the said sound recordings;</w:t>
      </w:r>
    </w:p>
    <w:p w14:paraId="0B3A0B64" w14:textId="77777777" w:rsidR="008023E7" w:rsidRPr="00346884" w:rsidRDefault="008023E7" w:rsidP="00CB3C04">
      <w:pPr>
        <w:pStyle w:val="ListParagraph"/>
        <w:spacing w:line="480" w:lineRule="auto"/>
        <w:ind w:left="1134" w:hanging="567"/>
      </w:pPr>
    </w:p>
    <w:p w14:paraId="70953E9E" w14:textId="4FB4D143" w:rsidR="008023E7" w:rsidRPr="00346884" w:rsidRDefault="008023E7">
      <w:pPr>
        <w:pStyle w:val="ListParagraph"/>
        <w:spacing w:line="480" w:lineRule="auto"/>
        <w:ind w:left="567"/>
      </w:pPr>
      <w:r w:rsidRPr="008023E7">
        <w:rPr>
          <w:rFonts w:ascii="Times New Roman" w:hAnsi="Times New Roman" w:cs="Times New Roman"/>
          <w:bCs/>
          <w:i/>
          <w:sz w:val="24"/>
          <w:szCs w:val="24"/>
        </w:rPr>
        <w:t>In the alternative to the foregoing declaratory relief sought, as against the Minister for Jobs, Enterprise and Innovation, Ireland and the Attorney General:</w:t>
      </w:r>
    </w:p>
    <w:p w14:paraId="28901DF3" w14:textId="77777777" w:rsidR="008023E7" w:rsidRPr="008023E7" w:rsidRDefault="008023E7" w:rsidP="001333C9">
      <w:pPr>
        <w:pStyle w:val="ListParagraph"/>
        <w:spacing w:line="480" w:lineRule="auto"/>
        <w:ind w:left="1134" w:hanging="567"/>
        <w:jc w:val="left"/>
        <w:rPr>
          <w:rFonts w:ascii="Times New Roman" w:hAnsi="Times New Roman" w:cs="Times New Roman"/>
          <w:bCs/>
          <w:i/>
          <w:sz w:val="24"/>
          <w:szCs w:val="24"/>
        </w:rPr>
      </w:pPr>
      <w:r w:rsidRPr="008023E7">
        <w:rPr>
          <w:rFonts w:ascii="Times New Roman" w:hAnsi="Times New Roman" w:cs="Times New Roman"/>
          <w:bCs/>
          <w:i/>
          <w:sz w:val="24"/>
          <w:szCs w:val="24"/>
        </w:rPr>
        <w:t xml:space="preserve">3. </w:t>
      </w:r>
      <w:r w:rsidR="001333C9">
        <w:rPr>
          <w:rFonts w:ascii="Times New Roman" w:hAnsi="Times New Roman" w:cs="Times New Roman"/>
          <w:bCs/>
          <w:i/>
          <w:sz w:val="24"/>
          <w:szCs w:val="24"/>
        </w:rPr>
        <w:tab/>
      </w:r>
      <w:r w:rsidRPr="008023E7">
        <w:rPr>
          <w:rFonts w:ascii="Times New Roman" w:hAnsi="Times New Roman" w:cs="Times New Roman"/>
          <w:bCs/>
          <w:i/>
          <w:sz w:val="24"/>
          <w:szCs w:val="24"/>
        </w:rPr>
        <w:t xml:space="preserve">A declaration, in so far as the Copyright and Related Rights Act 2000 cannot be construed so as to accord to all performers whose performances are incorporated on sound recordings, a right to remuneration in respect of the broadcasting and communication to the public in the State of their said recorded performances in circumstances where the owners of the rights in the sound recordings carrying such performances are accorded such a right to remuneration, that the said Act does not properly transpose Directive 2006/115/EC of the European Parliament and of the Council 12 December 2006 on rental right and lending right and on </w:t>
      </w:r>
      <w:r w:rsidRPr="008023E7">
        <w:rPr>
          <w:rFonts w:ascii="Times New Roman" w:hAnsi="Times New Roman" w:cs="Times New Roman"/>
          <w:bCs/>
          <w:i/>
          <w:sz w:val="24"/>
          <w:szCs w:val="24"/>
        </w:rPr>
        <w:lastRenderedPageBreak/>
        <w:t>certain rights related to copyright in the field of intellectual property, and in particular Article 8(2) thereof, into Irish law.”</w:t>
      </w:r>
    </w:p>
    <w:bookmarkEnd w:id="1"/>
    <w:p w14:paraId="3BD9B225" w14:textId="57CF9BA3" w:rsidR="00AA0E1A" w:rsidRPr="00AA0E1A" w:rsidRDefault="00661B03" w:rsidP="00BA1E1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sidRPr="00884D98">
        <w:rPr>
          <w:rFonts w:ascii="Times New Roman" w:hAnsi="Times New Roman" w:cs="Times New Roman"/>
          <w:sz w:val="24"/>
          <w:szCs w:val="24"/>
        </w:rPr>
        <w:t xml:space="preserve">The </w:t>
      </w:r>
      <w:r w:rsidR="006846D7">
        <w:rPr>
          <w:rFonts w:ascii="Times New Roman" w:hAnsi="Times New Roman" w:cs="Times New Roman"/>
          <w:sz w:val="24"/>
          <w:szCs w:val="24"/>
        </w:rPr>
        <w:t>o</w:t>
      </w:r>
      <w:r w:rsidRPr="00884D98">
        <w:rPr>
          <w:rFonts w:ascii="Times New Roman" w:hAnsi="Times New Roman" w:cs="Times New Roman"/>
          <w:sz w:val="24"/>
          <w:szCs w:val="24"/>
        </w:rPr>
        <w:t xml:space="preserve">rder </w:t>
      </w:r>
      <w:r w:rsidR="00945A01">
        <w:rPr>
          <w:rFonts w:ascii="Times New Roman" w:hAnsi="Times New Roman" w:cs="Times New Roman"/>
          <w:sz w:val="24"/>
          <w:szCs w:val="24"/>
        </w:rPr>
        <w:t xml:space="preserve">directs </w:t>
      </w:r>
      <w:r w:rsidR="00A546B2">
        <w:rPr>
          <w:rFonts w:ascii="Times New Roman" w:hAnsi="Times New Roman" w:cs="Times New Roman"/>
          <w:sz w:val="24"/>
          <w:szCs w:val="24"/>
        </w:rPr>
        <w:t>the judge trying the preliminary issue to determine</w:t>
      </w:r>
      <w:r w:rsidRPr="00884D98">
        <w:rPr>
          <w:rFonts w:ascii="Times New Roman" w:hAnsi="Times New Roman" w:cs="Times New Roman"/>
          <w:sz w:val="24"/>
          <w:szCs w:val="24"/>
        </w:rPr>
        <w:t xml:space="preserve"> whether the plaintiff is entitled to the relief in para. </w:t>
      </w:r>
      <w:r w:rsidR="006846D7">
        <w:rPr>
          <w:rFonts w:ascii="Times New Roman" w:hAnsi="Times New Roman" w:cs="Times New Roman"/>
          <w:sz w:val="24"/>
          <w:szCs w:val="24"/>
        </w:rPr>
        <w:t>(</w:t>
      </w:r>
      <w:r w:rsidRPr="00884D98">
        <w:rPr>
          <w:rFonts w:ascii="Times New Roman" w:hAnsi="Times New Roman" w:cs="Times New Roman"/>
          <w:sz w:val="24"/>
          <w:szCs w:val="24"/>
        </w:rPr>
        <w:t>1</w:t>
      </w:r>
      <w:r w:rsidR="006846D7">
        <w:rPr>
          <w:rFonts w:ascii="Times New Roman" w:hAnsi="Times New Roman" w:cs="Times New Roman"/>
          <w:sz w:val="24"/>
          <w:szCs w:val="24"/>
        </w:rPr>
        <w:t>)</w:t>
      </w:r>
      <w:r w:rsidRPr="00884D98">
        <w:rPr>
          <w:rFonts w:ascii="Times New Roman" w:hAnsi="Times New Roman" w:cs="Times New Roman"/>
          <w:sz w:val="24"/>
          <w:szCs w:val="24"/>
        </w:rPr>
        <w:t xml:space="preserve"> of the </w:t>
      </w:r>
      <w:r w:rsidR="006846D7">
        <w:rPr>
          <w:rFonts w:ascii="Times New Roman" w:hAnsi="Times New Roman" w:cs="Times New Roman"/>
          <w:sz w:val="24"/>
          <w:szCs w:val="24"/>
        </w:rPr>
        <w:t>s</w:t>
      </w:r>
      <w:r w:rsidRPr="00884D98">
        <w:rPr>
          <w:rFonts w:ascii="Times New Roman" w:hAnsi="Times New Roman" w:cs="Times New Roman"/>
          <w:sz w:val="24"/>
          <w:szCs w:val="24"/>
        </w:rPr>
        <w:t xml:space="preserve">tatement of </w:t>
      </w:r>
      <w:r w:rsidR="006846D7">
        <w:rPr>
          <w:rFonts w:ascii="Times New Roman" w:hAnsi="Times New Roman" w:cs="Times New Roman"/>
          <w:sz w:val="24"/>
          <w:szCs w:val="24"/>
        </w:rPr>
        <w:t>c</w:t>
      </w:r>
      <w:r w:rsidRPr="00884D98">
        <w:rPr>
          <w:rFonts w:ascii="Times New Roman" w:hAnsi="Times New Roman" w:cs="Times New Roman"/>
          <w:sz w:val="24"/>
          <w:szCs w:val="24"/>
        </w:rPr>
        <w:t>laim</w:t>
      </w:r>
      <w:r w:rsidR="00A546B2">
        <w:rPr>
          <w:rFonts w:ascii="Times New Roman" w:hAnsi="Times New Roman" w:cs="Times New Roman"/>
          <w:sz w:val="24"/>
          <w:szCs w:val="24"/>
        </w:rPr>
        <w:t>,</w:t>
      </w:r>
      <w:r w:rsidRPr="00884D98">
        <w:rPr>
          <w:rFonts w:ascii="Times New Roman" w:hAnsi="Times New Roman" w:cs="Times New Roman"/>
          <w:sz w:val="24"/>
          <w:szCs w:val="24"/>
        </w:rPr>
        <w:t xml:space="preserve"> which is a declaration </w:t>
      </w:r>
      <w:r w:rsidRPr="00884D98">
        <w:rPr>
          <w:rFonts w:ascii="Times New Roman" w:hAnsi="Times New Roman" w:cs="Times New Roman"/>
          <w:i/>
          <w:sz w:val="24"/>
          <w:szCs w:val="24"/>
        </w:rPr>
        <w:t>“as against</w:t>
      </w:r>
      <w:r w:rsidR="00884D98" w:rsidRPr="00884D98">
        <w:rPr>
          <w:rFonts w:ascii="Times New Roman" w:hAnsi="Times New Roman" w:cs="Times New Roman"/>
          <w:i/>
          <w:sz w:val="24"/>
          <w:szCs w:val="24"/>
        </w:rPr>
        <w:t xml:space="preserve"> [PPI] and, insofar as it is necessary, as against the Minister for Jobs, Enterprise and Innovation Ireland and the Attorney General.”  </w:t>
      </w:r>
    </w:p>
    <w:p w14:paraId="2993F821" w14:textId="472F6F2B" w:rsidR="00884D98" w:rsidRDefault="00884D98" w:rsidP="00BA1E1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sidRPr="00884D98">
        <w:rPr>
          <w:rFonts w:ascii="Times New Roman" w:hAnsi="Times New Roman" w:cs="Times New Roman"/>
          <w:sz w:val="24"/>
          <w:szCs w:val="24"/>
        </w:rPr>
        <w:t xml:space="preserve">At no point did PPI assert that it was not open to a </w:t>
      </w:r>
      <w:r w:rsidR="004C15CC">
        <w:rPr>
          <w:rFonts w:ascii="Times New Roman" w:hAnsi="Times New Roman" w:cs="Times New Roman"/>
          <w:sz w:val="24"/>
          <w:szCs w:val="24"/>
        </w:rPr>
        <w:t>c</w:t>
      </w:r>
      <w:r w:rsidRPr="00884D98">
        <w:rPr>
          <w:rFonts w:ascii="Times New Roman" w:hAnsi="Times New Roman" w:cs="Times New Roman"/>
          <w:sz w:val="24"/>
          <w:szCs w:val="24"/>
        </w:rPr>
        <w:t xml:space="preserve">ourt to make a declaration in terms of relief no. </w:t>
      </w:r>
      <w:r w:rsidR="004C15CC">
        <w:rPr>
          <w:rFonts w:ascii="Times New Roman" w:hAnsi="Times New Roman" w:cs="Times New Roman"/>
          <w:sz w:val="24"/>
          <w:szCs w:val="24"/>
        </w:rPr>
        <w:t>(</w:t>
      </w:r>
      <w:r w:rsidRPr="00884D98">
        <w:rPr>
          <w:rFonts w:ascii="Times New Roman" w:hAnsi="Times New Roman" w:cs="Times New Roman"/>
          <w:sz w:val="24"/>
          <w:szCs w:val="24"/>
        </w:rPr>
        <w:t>1</w:t>
      </w:r>
      <w:r w:rsidR="004C15CC">
        <w:rPr>
          <w:rFonts w:ascii="Times New Roman" w:hAnsi="Times New Roman" w:cs="Times New Roman"/>
          <w:sz w:val="24"/>
          <w:szCs w:val="24"/>
        </w:rPr>
        <w:t>)</w:t>
      </w:r>
      <w:r w:rsidRPr="00884D98">
        <w:rPr>
          <w:rFonts w:ascii="Times New Roman" w:hAnsi="Times New Roman" w:cs="Times New Roman"/>
          <w:sz w:val="24"/>
          <w:szCs w:val="24"/>
        </w:rPr>
        <w:t xml:space="preserve"> </w:t>
      </w:r>
      <w:r w:rsidRPr="00884D98">
        <w:rPr>
          <w:rFonts w:ascii="Times New Roman" w:hAnsi="Times New Roman" w:cs="Times New Roman"/>
          <w:i/>
          <w:sz w:val="24"/>
          <w:szCs w:val="24"/>
        </w:rPr>
        <w:t xml:space="preserve">“as against” </w:t>
      </w:r>
      <w:r w:rsidRPr="00884D98">
        <w:rPr>
          <w:rFonts w:ascii="Times New Roman" w:hAnsi="Times New Roman" w:cs="Times New Roman"/>
          <w:sz w:val="24"/>
          <w:szCs w:val="24"/>
        </w:rPr>
        <w:t>PPI on the grounds that a Directive cannot have direct horizontal effect between private parties</w:t>
      </w:r>
      <w:r w:rsidR="00034912">
        <w:rPr>
          <w:rFonts w:ascii="Times New Roman" w:hAnsi="Times New Roman" w:cs="Times New Roman"/>
          <w:sz w:val="24"/>
          <w:szCs w:val="24"/>
        </w:rPr>
        <w:t>,</w:t>
      </w:r>
      <w:r w:rsidRPr="00884D98">
        <w:rPr>
          <w:rFonts w:ascii="Times New Roman" w:hAnsi="Times New Roman" w:cs="Times New Roman"/>
          <w:sz w:val="24"/>
          <w:szCs w:val="24"/>
        </w:rPr>
        <w:t xml:space="preserve"> so that RAAP cannot rely upon the terms of the Directive against PPI.  PPI’s whole application for the trial of a preliminary issue was predicated upon the assumption that</w:t>
      </w:r>
      <w:r w:rsidR="00945A01">
        <w:rPr>
          <w:rFonts w:ascii="Times New Roman" w:hAnsi="Times New Roman" w:cs="Times New Roman"/>
          <w:sz w:val="24"/>
          <w:szCs w:val="24"/>
        </w:rPr>
        <w:t>,</w:t>
      </w:r>
      <w:r w:rsidRPr="00884D98">
        <w:rPr>
          <w:rFonts w:ascii="Times New Roman" w:hAnsi="Times New Roman" w:cs="Times New Roman"/>
          <w:sz w:val="24"/>
          <w:szCs w:val="24"/>
        </w:rPr>
        <w:t xml:space="preserve"> not merely would there be a judgment on the issues by the High Court</w:t>
      </w:r>
      <w:r w:rsidR="00034912">
        <w:rPr>
          <w:rFonts w:ascii="Times New Roman" w:hAnsi="Times New Roman" w:cs="Times New Roman"/>
          <w:sz w:val="24"/>
          <w:szCs w:val="24"/>
        </w:rPr>
        <w:t>,</w:t>
      </w:r>
      <w:r w:rsidRPr="00884D98">
        <w:rPr>
          <w:rFonts w:ascii="Times New Roman" w:hAnsi="Times New Roman" w:cs="Times New Roman"/>
          <w:sz w:val="24"/>
          <w:szCs w:val="24"/>
        </w:rPr>
        <w:t xml:space="preserve"> and possibly the CJEU, but that the trial of the preliminary issues</w:t>
      </w:r>
      <w:r>
        <w:rPr>
          <w:rFonts w:ascii="Times New Roman" w:hAnsi="Times New Roman" w:cs="Times New Roman"/>
          <w:sz w:val="24"/>
          <w:szCs w:val="24"/>
        </w:rPr>
        <w:t xml:space="preserve"> would culminate in the </w:t>
      </w:r>
      <w:r w:rsidR="00BD5783">
        <w:rPr>
          <w:rFonts w:ascii="Times New Roman" w:hAnsi="Times New Roman" w:cs="Times New Roman"/>
          <w:sz w:val="24"/>
          <w:szCs w:val="24"/>
        </w:rPr>
        <w:t>c</w:t>
      </w:r>
      <w:r>
        <w:rPr>
          <w:rFonts w:ascii="Times New Roman" w:hAnsi="Times New Roman" w:cs="Times New Roman"/>
          <w:sz w:val="24"/>
          <w:szCs w:val="24"/>
        </w:rPr>
        <w:t xml:space="preserve">ourt making orders in respect of the matters which were to be dealt with by way of preliminary hearing.  PPI did not argue that the relief sought in respect of para. no. </w:t>
      </w:r>
      <w:r w:rsidR="00BD5783">
        <w:rPr>
          <w:rFonts w:ascii="Times New Roman" w:hAnsi="Times New Roman" w:cs="Times New Roman"/>
          <w:sz w:val="24"/>
          <w:szCs w:val="24"/>
        </w:rPr>
        <w:t>(</w:t>
      </w:r>
      <w:r>
        <w:rPr>
          <w:rFonts w:ascii="Times New Roman" w:hAnsi="Times New Roman" w:cs="Times New Roman"/>
          <w:sz w:val="24"/>
          <w:szCs w:val="24"/>
        </w:rPr>
        <w:t>1</w:t>
      </w:r>
      <w:r w:rsidR="00BD5783">
        <w:rPr>
          <w:rFonts w:ascii="Times New Roman" w:hAnsi="Times New Roman" w:cs="Times New Roman"/>
          <w:sz w:val="24"/>
          <w:szCs w:val="24"/>
        </w:rPr>
        <w:t>)</w:t>
      </w:r>
      <w:r>
        <w:rPr>
          <w:rFonts w:ascii="Times New Roman" w:hAnsi="Times New Roman" w:cs="Times New Roman"/>
          <w:sz w:val="24"/>
          <w:szCs w:val="24"/>
        </w:rPr>
        <w:t xml:space="preserve"> could only be made against the State.  If that was its position it ought to have made </w:t>
      </w:r>
      <w:r w:rsidR="00A546B2">
        <w:rPr>
          <w:rFonts w:ascii="Times New Roman" w:hAnsi="Times New Roman" w:cs="Times New Roman"/>
          <w:sz w:val="24"/>
          <w:szCs w:val="24"/>
        </w:rPr>
        <w:t xml:space="preserve">this </w:t>
      </w:r>
      <w:r>
        <w:rPr>
          <w:rFonts w:ascii="Times New Roman" w:hAnsi="Times New Roman" w:cs="Times New Roman"/>
          <w:sz w:val="24"/>
          <w:szCs w:val="24"/>
        </w:rPr>
        <w:t xml:space="preserve">clear to </w:t>
      </w:r>
      <w:r w:rsidR="00945A01">
        <w:rPr>
          <w:rFonts w:ascii="Times New Roman" w:hAnsi="Times New Roman" w:cs="Times New Roman"/>
          <w:sz w:val="24"/>
          <w:szCs w:val="24"/>
        </w:rPr>
        <w:t>Cregan J.</w:t>
      </w:r>
      <w:r w:rsidR="005B6B1E">
        <w:rPr>
          <w:rFonts w:ascii="Times New Roman" w:hAnsi="Times New Roman" w:cs="Times New Roman"/>
          <w:sz w:val="24"/>
          <w:szCs w:val="24"/>
        </w:rPr>
        <w:t>,</w:t>
      </w:r>
      <w:r>
        <w:rPr>
          <w:rFonts w:ascii="Times New Roman" w:hAnsi="Times New Roman" w:cs="Times New Roman"/>
          <w:sz w:val="24"/>
          <w:szCs w:val="24"/>
        </w:rPr>
        <w:t xml:space="preserve"> </w:t>
      </w:r>
      <w:r w:rsidR="00A546B2">
        <w:rPr>
          <w:rFonts w:ascii="Times New Roman" w:hAnsi="Times New Roman" w:cs="Times New Roman"/>
          <w:sz w:val="24"/>
          <w:szCs w:val="24"/>
        </w:rPr>
        <w:t xml:space="preserve">as it </w:t>
      </w:r>
      <w:r>
        <w:rPr>
          <w:rFonts w:ascii="Times New Roman" w:hAnsi="Times New Roman" w:cs="Times New Roman"/>
          <w:sz w:val="24"/>
          <w:szCs w:val="24"/>
        </w:rPr>
        <w:t>was potentially relevant to his decision</w:t>
      </w:r>
      <w:r w:rsidR="005B6B1E">
        <w:rPr>
          <w:rFonts w:ascii="Times New Roman" w:hAnsi="Times New Roman" w:cs="Times New Roman"/>
          <w:sz w:val="24"/>
          <w:szCs w:val="24"/>
        </w:rPr>
        <w:t>,</w:t>
      </w:r>
      <w:r>
        <w:rPr>
          <w:rFonts w:ascii="Times New Roman" w:hAnsi="Times New Roman" w:cs="Times New Roman"/>
          <w:sz w:val="24"/>
          <w:szCs w:val="24"/>
        </w:rPr>
        <w:t xml:space="preserve"> and it was certainly relevant to the terms of the order </w:t>
      </w:r>
      <w:r w:rsidR="00945A01">
        <w:rPr>
          <w:rFonts w:ascii="Times New Roman" w:hAnsi="Times New Roman" w:cs="Times New Roman"/>
          <w:sz w:val="24"/>
          <w:szCs w:val="24"/>
        </w:rPr>
        <w:t>he</w:t>
      </w:r>
      <w:r w:rsidR="00977B69">
        <w:rPr>
          <w:rFonts w:ascii="Times New Roman" w:hAnsi="Times New Roman" w:cs="Times New Roman"/>
          <w:sz w:val="24"/>
          <w:szCs w:val="24"/>
        </w:rPr>
        <w:t xml:space="preserve"> </w:t>
      </w:r>
      <w:r>
        <w:rPr>
          <w:rFonts w:ascii="Times New Roman" w:hAnsi="Times New Roman" w:cs="Times New Roman"/>
          <w:sz w:val="24"/>
          <w:szCs w:val="24"/>
        </w:rPr>
        <w:t>was asked to make.</w:t>
      </w:r>
    </w:p>
    <w:p w14:paraId="2CA2D6CB" w14:textId="77777777" w:rsidR="00E64BF7" w:rsidRDefault="00884D98" w:rsidP="00BA1E1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The scope of the hearing of the trial of a preliminary issue before Simons J. was governed by the terms of the order of Cregan J.  Simons J. was very conscious of the limited nature of the issues he was called upon to decide.  This is apparent from his judgment of 11 January 2019 and his order for reference of 20 March 2019.  </w:t>
      </w:r>
    </w:p>
    <w:p w14:paraId="7E16E430" w14:textId="5D15D8F8" w:rsidR="00D2326B" w:rsidRDefault="00884D98" w:rsidP="00BA1E1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The first sentence in the judgment of 11 January 2019 is </w:t>
      </w:r>
      <w:r>
        <w:rPr>
          <w:rFonts w:ascii="Times New Roman" w:hAnsi="Times New Roman" w:cs="Times New Roman"/>
          <w:i/>
          <w:sz w:val="24"/>
          <w:szCs w:val="24"/>
        </w:rPr>
        <w:t>“</w:t>
      </w:r>
      <w:r w:rsidR="00B30F79">
        <w:rPr>
          <w:rFonts w:ascii="Times New Roman" w:hAnsi="Times New Roman" w:cs="Times New Roman"/>
          <w:i/>
          <w:sz w:val="24"/>
          <w:szCs w:val="24"/>
        </w:rPr>
        <w:t>[t]</w:t>
      </w:r>
      <w:proofErr w:type="spellStart"/>
      <w:r>
        <w:rPr>
          <w:rFonts w:ascii="Times New Roman" w:hAnsi="Times New Roman" w:cs="Times New Roman"/>
          <w:i/>
          <w:sz w:val="24"/>
          <w:szCs w:val="24"/>
        </w:rPr>
        <w:t>hese</w:t>
      </w:r>
      <w:proofErr w:type="spellEnd"/>
      <w:r>
        <w:rPr>
          <w:rFonts w:ascii="Times New Roman" w:hAnsi="Times New Roman" w:cs="Times New Roman"/>
          <w:i/>
          <w:sz w:val="24"/>
          <w:szCs w:val="24"/>
        </w:rPr>
        <w:t xml:space="preserve"> proceedings concern the proper interpretation of the provisions of a European Directive on copyright in the field of intellectual property.”</w:t>
      </w:r>
      <w:r>
        <w:rPr>
          <w:rFonts w:ascii="Times New Roman" w:hAnsi="Times New Roman" w:cs="Times New Roman"/>
          <w:sz w:val="24"/>
          <w:szCs w:val="24"/>
        </w:rPr>
        <w:t xml:space="preserve">  At para. 4</w:t>
      </w:r>
      <w:r w:rsidR="00486230">
        <w:rPr>
          <w:rFonts w:ascii="Times New Roman" w:hAnsi="Times New Roman" w:cs="Times New Roman"/>
          <w:sz w:val="24"/>
          <w:szCs w:val="24"/>
        </w:rPr>
        <w:t>,</w:t>
      </w:r>
      <w:r>
        <w:rPr>
          <w:rFonts w:ascii="Times New Roman" w:hAnsi="Times New Roman" w:cs="Times New Roman"/>
          <w:sz w:val="24"/>
          <w:szCs w:val="24"/>
        </w:rPr>
        <w:t xml:space="preserve"> he says that </w:t>
      </w:r>
      <w:r w:rsidR="00D2326B" w:rsidRPr="00D2326B">
        <w:rPr>
          <w:rFonts w:ascii="Times New Roman" w:hAnsi="Times New Roman" w:cs="Times New Roman"/>
          <w:i/>
          <w:sz w:val="24"/>
          <w:szCs w:val="24"/>
        </w:rPr>
        <w:t>“</w:t>
      </w:r>
      <w:r w:rsidR="00B30F79">
        <w:rPr>
          <w:rFonts w:ascii="Times New Roman" w:hAnsi="Times New Roman" w:cs="Times New Roman"/>
          <w:i/>
          <w:sz w:val="24"/>
          <w:szCs w:val="24"/>
        </w:rPr>
        <w:t>[</w:t>
      </w:r>
      <w:r w:rsidRPr="00D2326B">
        <w:rPr>
          <w:rFonts w:ascii="Times New Roman" w:hAnsi="Times New Roman" w:cs="Times New Roman"/>
          <w:i/>
          <w:sz w:val="24"/>
          <w:szCs w:val="24"/>
        </w:rPr>
        <w:t>t</w:t>
      </w:r>
      <w:r w:rsidR="00B30F79">
        <w:rPr>
          <w:rFonts w:ascii="Times New Roman" w:hAnsi="Times New Roman" w:cs="Times New Roman"/>
          <w:i/>
          <w:sz w:val="24"/>
          <w:szCs w:val="24"/>
        </w:rPr>
        <w:t>]</w:t>
      </w:r>
      <w:r w:rsidRPr="00D2326B">
        <w:rPr>
          <w:rFonts w:ascii="Times New Roman" w:hAnsi="Times New Roman" w:cs="Times New Roman"/>
          <w:i/>
          <w:sz w:val="24"/>
          <w:szCs w:val="24"/>
        </w:rPr>
        <w:t xml:space="preserve">he central issue </w:t>
      </w:r>
      <w:r w:rsidR="00B30F79">
        <w:rPr>
          <w:rFonts w:ascii="Times New Roman" w:hAnsi="Times New Roman" w:cs="Times New Roman"/>
          <w:i/>
          <w:sz w:val="24"/>
          <w:szCs w:val="24"/>
        </w:rPr>
        <w:t xml:space="preserve">in these proceedings </w:t>
      </w:r>
      <w:r w:rsidRPr="00D2326B">
        <w:rPr>
          <w:rFonts w:ascii="Times New Roman" w:hAnsi="Times New Roman" w:cs="Times New Roman"/>
          <w:i/>
          <w:sz w:val="24"/>
          <w:szCs w:val="24"/>
        </w:rPr>
        <w:t xml:space="preserve">is whether it is consistent with EU law to exclude certain performers from the benefit of a share </w:t>
      </w:r>
      <w:r w:rsidRPr="00D2326B">
        <w:rPr>
          <w:rFonts w:ascii="Times New Roman" w:hAnsi="Times New Roman" w:cs="Times New Roman"/>
          <w:i/>
          <w:sz w:val="24"/>
          <w:szCs w:val="24"/>
        </w:rPr>
        <w:lastRenderedPageBreak/>
        <w:t xml:space="preserve">in </w:t>
      </w:r>
      <w:r w:rsidR="00A63658">
        <w:rPr>
          <w:rFonts w:ascii="Times New Roman" w:hAnsi="Times New Roman" w:cs="Times New Roman"/>
          <w:i/>
          <w:sz w:val="24"/>
          <w:szCs w:val="24"/>
        </w:rPr>
        <w:t xml:space="preserve">this </w:t>
      </w:r>
      <w:r w:rsidRPr="00D2326B">
        <w:rPr>
          <w:rFonts w:ascii="Times New Roman" w:hAnsi="Times New Roman" w:cs="Times New Roman"/>
          <w:i/>
          <w:sz w:val="24"/>
          <w:szCs w:val="24"/>
        </w:rPr>
        <w:t xml:space="preserve">equitable remuneration </w:t>
      </w:r>
      <w:r w:rsidR="00A63658">
        <w:rPr>
          <w:rFonts w:ascii="Times New Roman" w:hAnsi="Times New Roman" w:cs="Times New Roman"/>
          <w:i/>
          <w:sz w:val="24"/>
          <w:szCs w:val="24"/>
        </w:rPr>
        <w:t>[</w:t>
      </w:r>
      <w:r w:rsidRPr="00D2326B">
        <w:rPr>
          <w:rFonts w:ascii="Times New Roman" w:hAnsi="Times New Roman" w:cs="Times New Roman"/>
          <w:i/>
          <w:sz w:val="24"/>
          <w:szCs w:val="24"/>
        </w:rPr>
        <w:t>as occurs under the Act of 2000</w:t>
      </w:r>
      <w:r w:rsidR="00A63658">
        <w:rPr>
          <w:rFonts w:ascii="Times New Roman" w:hAnsi="Times New Roman" w:cs="Times New Roman"/>
          <w:i/>
          <w:sz w:val="24"/>
          <w:szCs w:val="24"/>
        </w:rPr>
        <w:t>]</w:t>
      </w:r>
      <w:r w:rsidRPr="00D2326B">
        <w:rPr>
          <w:rFonts w:ascii="Times New Roman" w:hAnsi="Times New Roman" w:cs="Times New Roman"/>
          <w:i/>
          <w:sz w:val="24"/>
          <w:szCs w:val="24"/>
        </w:rPr>
        <w:t xml:space="preserve"> where the producer of the same sound recording will be paid.</w:t>
      </w:r>
      <w:r w:rsidR="00D2326B" w:rsidRPr="00D2326B">
        <w:rPr>
          <w:rFonts w:ascii="Times New Roman" w:hAnsi="Times New Roman" w:cs="Times New Roman"/>
          <w:i/>
          <w:sz w:val="24"/>
          <w:szCs w:val="24"/>
        </w:rPr>
        <w:t>”</w:t>
      </w:r>
      <w:r>
        <w:rPr>
          <w:rFonts w:ascii="Times New Roman" w:hAnsi="Times New Roman" w:cs="Times New Roman"/>
          <w:sz w:val="24"/>
          <w:szCs w:val="24"/>
        </w:rPr>
        <w:t xml:space="preserve">  </w:t>
      </w:r>
      <w:r w:rsidR="00D2326B">
        <w:rPr>
          <w:rFonts w:ascii="Times New Roman" w:hAnsi="Times New Roman" w:cs="Times New Roman"/>
          <w:sz w:val="24"/>
          <w:szCs w:val="24"/>
        </w:rPr>
        <w:t>At para</w:t>
      </w:r>
      <w:r w:rsidR="00A63658">
        <w:rPr>
          <w:rFonts w:ascii="Times New Roman" w:hAnsi="Times New Roman" w:cs="Times New Roman"/>
          <w:sz w:val="24"/>
          <w:szCs w:val="24"/>
        </w:rPr>
        <w:t>.</w:t>
      </w:r>
      <w:r w:rsidR="00D2326B">
        <w:rPr>
          <w:rFonts w:ascii="Times New Roman" w:hAnsi="Times New Roman" w:cs="Times New Roman"/>
          <w:sz w:val="24"/>
          <w:szCs w:val="24"/>
        </w:rPr>
        <w:t xml:space="preserve"> 6 he said:</w:t>
      </w:r>
      <w:r w:rsidR="00A63658">
        <w:rPr>
          <w:rFonts w:ascii="Times New Roman" w:hAnsi="Times New Roman" w:cs="Times New Roman"/>
          <w:sz w:val="24"/>
          <w:szCs w:val="24"/>
        </w:rPr>
        <w:t>-</w:t>
      </w:r>
    </w:p>
    <w:p w14:paraId="4F3CF95A" w14:textId="77777777" w:rsidR="00864ED1" w:rsidRPr="00034912" w:rsidRDefault="00FC6585" w:rsidP="00864ED1">
      <w:pPr>
        <w:pStyle w:val="ListParagraph"/>
        <w:spacing w:line="480" w:lineRule="auto"/>
        <w:ind w:left="567"/>
        <w:jc w:val="left"/>
        <w:rPr>
          <w:rFonts w:ascii="Times New Roman" w:hAnsi="Times New Roman" w:cs="Times New Roman"/>
          <w:iCs/>
          <w:sz w:val="24"/>
          <w:szCs w:val="24"/>
        </w:rPr>
      </w:pPr>
      <w:r>
        <w:rPr>
          <w:rFonts w:ascii="Times New Roman" w:hAnsi="Times New Roman" w:cs="Times New Roman"/>
          <w:i/>
          <w:sz w:val="24"/>
          <w:szCs w:val="24"/>
        </w:rPr>
        <w:t>“</w:t>
      </w:r>
      <w:r w:rsidRPr="00FC6585">
        <w:rPr>
          <w:rFonts w:ascii="Times New Roman" w:hAnsi="Times New Roman" w:cs="Times New Roman"/>
          <w:i/>
          <w:iCs/>
          <w:sz w:val="24"/>
          <w:szCs w:val="24"/>
        </w:rPr>
        <w:t xml:space="preserve">The resolution of these proceedings necessitates careful consideration of the relevant European Directive, and two international agreements which, or so it is said, the Directive is intended to give effect to. This court is then invited either (i) to interpret the domestic legislation in such a way as to give effect to what the plaintiff says are its rights under EU law or, alternatively, (ii) to disapply the relevant provisions of domestic law. The striking feature of the case is that the relevant provisions of domestic law are clear and unambiguous, and expressly prescribe less generous eligibility criteria for performers than for producers. Thus, </w:t>
      </w:r>
      <w:r w:rsidRPr="00034912">
        <w:rPr>
          <w:rFonts w:ascii="Times New Roman" w:hAnsi="Times New Roman" w:cs="Times New Roman"/>
          <w:b/>
          <w:i/>
          <w:iCs/>
          <w:sz w:val="24"/>
          <w:szCs w:val="24"/>
        </w:rPr>
        <w:t>even if the plaintiff is correct in its argument that the imposition of such eligibility criteria is inconsistent with EU law, it does not seem that the domestic legislation can be interpreted so as to conform with what the plaintiff says are the requirements of EU law. In effect, the plaintiff is contending that domestic law must be overridden by provisions of EU law. This is so notwithstanding the fact that the domestic legislation is clear and unambiguous; and the Court of Justice has ruled that the relevant provisions of the treaty relied upon do not have direct effect.</w:t>
      </w:r>
      <w:r w:rsidRPr="00BA3444">
        <w:rPr>
          <w:rFonts w:ascii="Times New Roman" w:hAnsi="Times New Roman" w:cs="Times New Roman"/>
          <w:bCs/>
          <w:i/>
          <w:iCs/>
          <w:sz w:val="24"/>
          <w:szCs w:val="24"/>
        </w:rPr>
        <w:t>”</w:t>
      </w:r>
      <w:r w:rsidR="00034912">
        <w:rPr>
          <w:rFonts w:ascii="Times New Roman" w:hAnsi="Times New Roman" w:cs="Times New Roman"/>
          <w:b/>
          <w:i/>
          <w:iCs/>
          <w:sz w:val="24"/>
          <w:szCs w:val="24"/>
        </w:rPr>
        <w:t xml:space="preserve"> </w:t>
      </w:r>
      <w:r w:rsidR="00034912">
        <w:rPr>
          <w:rFonts w:ascii="Times New Roman" w:hAnsi="Times New Roman" w:cs="Times New Roman"/>
          <w:iCs/>
          <w:sz w:val="24"/>
          <w:szCs w:val="24"/>
        </w:rPr>
        <w:t>(emphasis added)</w:t>
      </w:r>
    </w:p>
    <w:p w14:paraId="7136CB88" w14:textId="2A318105" w:rsidR="00864ED1" w:rsidRPr="00864ED1" w:rsidRDefault="00864ED1" w:rsidP="00CB3C04">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 </w:t>
      </w:r>
      <w:r w:rsidR="00034912">
        <w:rPr>
          <w:rFonts w:ascii="Times New Roman" w:hAnsi="Times New Roman" w:cs="Times New Roman"/>
          <w:sz w:val="24"/>
          <w:szCs w:val="24"/>
        </w:rPr>
        <w:t>In the course of the hearing before Simons J.</w:t>
      </w:r>
      <w:r w:rsidR="00A63658">
        <w:rPr>
          <w:rFonts w:ascii="Times New Roman" w:hAnsi="Times New Roman" w:cs="Times New Roman"/>
          <w:sz w:val="24"/>
          <w:szCs w:val="24"/>
        </w:rPr>
        <w:t>,</w:t>
      </w:r>
      <w:r w:rsidR="00034912">
        <w:rPr>
          <w:rFonts w:ascii="Times New Roman" w:hAnsi="Times New Roman" w:cs="Times New Roman"/>
          <w:sz w:val="24"/>
          <w:szCs w:val="24"/>
        </w:rPr>
        <w:t xml:space="preserve"> PPI had opposed </w:t>
      </w:r>
      <w:r w:rsidR="0070096C">
        <w:rPr>
          <w:rFonts w:ascii="Times New Roman" w:hAnsi="Times New Roman" w:cs="Times New Roman"/>
          <w:sz w:val="24"/>
          <w:szCs w:val="24"/>
        </w:rPr>
        <w:t>RAAP’s application</w:t>
      </w:r>
      <w:r w:rsidR="00034912">
        <w:rPr>
          <w:rFonts w:ascii="Times New Roman" w:hAnsi="Times New Roman" w:cs="Times New Roman"/>
          <w:sz w:val="24"/>
          <w:szCs w:val="24"/>
        </w:rPr>
        <w:t xml:space="preserve"> that the issues canvassed should be referred to the </w:t>
      </w:r>
      <w:r w:rsidR="00A63658">
        <w:rPr>
          <w:rFonts w:ascii="Times New Roman" w:hAnsi="Times New Roman" w:cs="Times New Roman"/>
          <w:sz w:val="24"/>
          <w:szCs w:val="24"/>
        </w:rPr>
        <w:t>CJEU</w:t>
      </w:r>
      <w:r w:rsidR="00034912">
        <w:rPr>
          <w:rFonts w:ascii="Times New Roman" w:hAnsi="Times New Roman" w:cs="Times New Roman"/>
          <w:sz w:val="24"/>
          <w:szCs w:val="24"/>
        </w:rPr>
        <w:t xml:space="preserve"> pursuant to Article 267.</w:t>
      </w:r>
      <w:r w:rsidR="00A63658">
        <w:rPr>
          <w:rFonts w:ascii="Times New Roman" w:hAnsi="Times New Roman" w:cs="Times New Roman"/>
          <w:sz w:val="24"/>
          <w:szCs w:val="24"/>
        </w:rPr>
        <w:t xml:space="preserve"> </w:t>
      </w:r>
      <w:r w:rsidR="00034912">
        <w:rPr>
          <w:rFonts w:ascii="Times New Roman" w:hAnsi="Times New Roman" w:cs="Times New Roman"/>
          <w:sz w:val="24"/>
          <w:szCs w:val="24"/>
        </w:rPr>
        <w:t xml:space="preserve"> Simons J. rejected </w:t>
      </w:r>
      <w:r w:rsidR="0070096C">
        <w:rPr>
          <w:rFonts w:ascii="Times New Roman" w:hAnsi="Times New Roman" w:cs="Times New Roman"/>
          <w:sz w:val="24"/>
          <w:szCs w:val="24"/>
        </w:rPr>
        <w:t>PPI’s</w:t>
      </w:r>
      <w:r w:rsidR="00034912">
        <w:rPr>
          <w:rFonts w:ascii="Times New Roman" w:hAnsi="Times New Roman" w:cs="Times New Roman"/>
          <w:sz w:val="24"/>
          <w:szCs w:val="24"/>
        </w:rPr>
        <w:t xml:space="preserve"> argument and determined that a ruling by the CJEU was required in order for him to resolve the issues before him. </w:t>
      </w:r>
      <w:r w:rsidR="00775F01">
        <w:rPr>
          <w:rFonts w:ascii="Times New Roman" w:hAnsi="Times New Roman" w:cs="Times New Roman"/>
          <w:sz w:val="24"/>
          <w:szCs w:val="24"/>
        </w:rPr>
        <w:t xml:space="preserve"> </w:t>
      </w:r>
      <w:r>
        <w:rPr>
          <w:rFonts w:ascii="Times New Roman" w:hAnsi="Times New Roman" w:cs="Times New Roman"/>
          <w:sz w:val="24"/>
          <w:szCs w:val="24"/>
        </w:rPr>
        <w:t xml:space="preserve">He concluded his judgment by stating that he would hear further submissions as to whether the proposed Article 267 reference should include an additional question on the nature of the remedy, if any, which might arise in the circumstances of the proceedings. </w:t>
      </w:r>
      <w:r w:rsidR="00775F01">
        <w:rPr>
          <w:rFonts w:ascii="Times New Roman" w:hAnsi="Times New Roman" w:cs="Times New Roman"/>
          <w:sz w:val="24"/>
          <w:szCs w:val="24"/>
        </w:rPr>
        <w:t xml:space="preserve"> </w:t>
      </w:r>
      <w:r w:rsidRPr="009A0A4F">
        <w:rPr>
          <w:rFonts w:ascii="Times New Roman" w:hAnsi="Times New Roman" w:cs="Times New Roman"/>
          <w:sz w:val="24"/>
          <w:szCs w:val="24"/>
        </w:rPr>
        <w:t xml:space="preserve">PPI did not </w:t>
      </w:r>
      <w:r>
        <w:rPr>
          <w:rFonts w:ascii="Times New Roman" w:hAnsi="Times New Roman" w:cs="Times New Roman"/>
          <w:sz w:val="24"/>
          <w:szCs w:val="24"/>
        </w:rPr>
        <w:t xml:space="preserve">avail of the invitation. </w:t>
      </w:r>
      <w:r w:rsidR="00775F01">
        <w:rPr>
          <w:rFonts w:ascii="Times New Roman" w:hAnsi="Times New Roman" w:cs="Times New Roman"/>
          <w:sz w:val="24"/>
          <w:szCs w:val="24"/>
        </w:rPr>
        <w:t xml:space="preserve"> </w:t>
      </w:r>
      <w:r>
        <w:rPr>
          <w:rFonts w:ascii="Times New Roman" w:hAnsi="Times New Roman" w:cs="Times New Roman"/>
          <w:sz w:val="24"/>
          <w:szCs w:val="24"/>
        </w:rPr>
        <w:t>Specifically</w:t>
      </w:r>
      <w:r w:rsidR="00B51D9D">
        <w:rPr>
          <w:rFonts w:ascii="Times New Roman" w:hAnsi="Times New Roman" w:cs="Times New Roman"/>
          <w:sz w:val="24"/>
          <w:szCs w:val="24"/>
        </w:rPr>
        <w:t>,</w:t>
      </w:r>
      <w:r>
        <w:rPr>
          <w:rFonts w:ascii="Times New Roman" w:hAnsi="Times New Roman" w:cs="Times New Roman"/>
          <w:sz w:val="24"/>
          <w:szCs w:val="24"/>
        </w:rPr>
        <w:t xml:space="preserve"> it did not </w:t>
      </w:r>
      <w:r w:rsidRPr="009A0A4F">
        <w:rPr>
          <w:rFonts w:ascii="Times New Roman" w:hAnsi="Times New Roman" w:cs="Times New Roman"/>
          <w:sz w:val="24"/>
          <w:szCs w:val="24"/>
        </w:rPr>
        <w:t xml:space="preserve">argue that, in light of his conclusion that it was not possible to give the Act a conforming </w:t>
      </w:r>
      <w:r w:rsidRPr="009A0A4F">
        <w:rPr>
          <w:rFonts w:ascii="Times New Roman" w:hAnsi="Times New Roman" w:cs="Times New Roman"/>
          <w:sz w:val="24"/>
          <w:szCs w:val="24"/>
        </w:rPr>
        <w:lastRenderedPageBreak/>
        <w:t>interpretation</w:t>
      </w:r>
      <w:r>
        <w:rPr>
          <w:rFonts w:ascii="Times New Roman" w:hAnsi="Times New Roman" w:cs="Times New Roman"/>
          <w:sz w:val="24"/>
          <w:szCs w:val="24"/>
        </w:rPr>
        <w:t xml:space="preserve"> (assuming the construction of the Directive advanced by RAAP was correct),</w:t>
      </w:r>
      <w:r w:rsidRPr="009A0A4F">
        <w:rPr>
          <w:rFonts w:ascii="Times New Roman" w:hAnsi="Times New Roman" w:cs="Times New Roman"/>
          <w:sz w:val="24"/>
          <w:szCs w:val="24"/>
        </w:rPr>
        <w:t xml:space="preserve"> a reference was no longer necessary or relevant as RAAP’s claim for breach of contract against PPI was bound to fail. </w:t>
      </w:r>
      <w:r>
        <w:rPr>
          <w:rFonts w:ascii="Times New Roman" w:hAnsi="Times New Roman" w:cs="Times New Roman"/>
          <w:sz w:val="24"/>
          <w:szCs w:val="24"/>
        </w:rPr>
        <w:t xml:space="preserve"> </w:t>
      </w:r>
    </w:p>
    <w:p w14:paraId="5E2B1871" w14:textId="4B2370D2" w:rsidR="00864ED1" w:rsidRPr="00864ED1" w:rsidRDefault="00E912E0" w:rsidP="0050791B">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In his Order for Reference to the </w:t>
      </w:r>
      <w:r w:rsidR="0026503F">
        <w:rPr>
          <w:rFonts w:ascii="Times New Roman" w:hAnsi="Times New Roman" w:cs="Times New Roman"/>
          <w:sz w:val="24"/>
          <w:szCs w:val="24"/>
        </w:rPr>
        <w:t>CJEU</w:t>
      </w:r>
      <w:r w:rsidR="004037AB">
        <w:rPr>
          <w:rFonts w:ascii="Times New Roman" w:hAnsi="Times New Roman" w:cs="Times New Roman"/>
          <w:sz w:val="24"/>
          <w:szCs w:val="24"/>
        </w:rPr>
        <w:t>,</w:t>
      </w:r>
      <w:r>
        <w:rPr>
          <w:rFonts w:ascii="Times New Roman" w:hAnsi="Times New Roman" w:cs="Times New Roman"/>
          <w:sz w:val="24"/>
          <w:szCs w:val="24"/>
        </w:rPr>
        <w:t xml:space="preserve"> </w:t>
      </w:r>
      <w:r w:rsidR="004037AB">
        <w:rPr>
          <w:rFonts w:ascii="Times New Roman" w:hAnsi="Times New Roman" w:cs="Times New Roman"/>
          <w:sz w:val="24"/>
          <w:szCs w:val="24"/>
        </w:rPr>
        <w:t xml:space="preserve">Simons J. </w:t>
      </w:r>
      <w:r>
        <w:rPr>
          <w:rFonts w:ascii="Times New Roman" w:hAnsi="Times New Roman" w:cs="Times New Roman"/>
          <w:sz w:val="24"/>
          <w:szCs w:val="24"/>
        </w:rPr>
        <w:t xml:space="preserve">said that the outcome of the main proceedings depends on the correct interpretation of the Directive; that the dispute in the main proceedings concerns the collection and distribution of licence fees payable in respect of the playing of recorded music in public, or the broadcasting of recorded music; that RAAP represents certain performers and PPI represents certain producers and that RAAP and PPI are in dispute </w:t>
      </w:r>
      <w:r>
        <w:rPr>
          <w:rFonts w:ascii="Times New Roman" w:hAnsi="Times New Roman" w:cs="Times New Roman"/>
          <w:i/>
          <w:sz w:val="24"/>
          <w:szCs w:val="24"/>
        </w:rPr>
        <w:t>“as to the interpretation and operation of the contractual agreement entered into between them.  The resolution of this dispute necessitates the interpretation of domestic legislation, which in turn must be interpreted in the light of European law.”</w:t>
      </w:r>
    </w:p>
    <w:p w14:paraId="36558097" w14:textId="482F6CB1" w:rsidR="00E912E0" w:rsidRDefault="004037AB" w:rsidP="0050791B">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Simons J. clearly </w:t>
      </w:r>
      <w:r w:rsidR="00E64BF7">
        <w:rPr>
          <w:rFonts w:ascii="Times New Roman" w:hAnsi="Times New Roman" w:cs="Times New Roman"/>
          <w:sz w:val="24"/>
          <w:szCs w:val="24"/>
        </w:rPr>
        <w:t xml:space="preserve">did not regard the answers to the questions he referred to the </w:t>
      </w:r>
      <w:r w:rsidR="005F1E0B">
        <w:rPr>
          <w:rFonts w:ascii="Times New Roman" w:hAnsi="Times New Roman" w:cs="Times New Roman"/>
          <w:sz w:val="24"/>
          <w:szCs w:val="24"/>
        </w:rPr>
        <w:t>CJEU</w:t>
      </w:r>
      <w:r w:rsidR="00E64BF7">
        <w:rPr>
          <w:rFonts w:ascii="Times New Roman" w:hAnsi="Times New Roman" w:cs="Times New Roman"/>
          <w:sz w:val="24"/>
          <w:szCs w:val="24"/>
        </w:rPr>
        <w:t xml:space="preserve"> as determining the contractual dispute between the parties, which remain</w:t>
      </w:r>
      <w:r w:rsidR="00A71096">
        <w:rPr>
          <w:rFonts w:ascii="Times New Roman" w:hAnsi="Times New Roman" w:cs="Times New Roman"/>
          <w:sz w:val="24"/>
          <w:szCs w:val="24"/>
        </w:rPr>
        <w:t xml:space="preserve"> </w:t>
      </w:r>
      <w:r w:rsidR="00E64BF7">
        <w:rPr>
          <w:rFonts w:ascii="Times New Roman" w:hAnsi="Times New Roman" w:cs="Times New Roman"/>
          <w:sz w:val="24"/>
          <w:szCs w:val="24"/>
        </w:rPr>
        <w:t>to be tried.</w:t>
      </w:r>
      <w:r w:rsidR="00864ED1">
        <w:rPr>
          <w:rFonts w:ascii="Times New Roman" w:hAnsi="Times New Roman" w:cs="Times New Roman"/>
          <w:sz w:val="24"/>
          <w:szCs w:val="24"/>
        </w:rPr>
        <w:t xml:space="preserve"> </w:t>
      </w:r>
      <w:r w:rsidR="00F8451A">
        <w:rPr>
          <w:rFonts w:ascii="Times New Roman" w:hAnsi="Times New Roman" w:cs="Times New Roman"/>
          <w:sz w:val="24"/>
          <w:szCs w:val="24"/>
        </w:rPr>
        <w:t xml:space="preserve"> </w:t>
      </w:r>
      <w:r w:rsidR="00864ED1">
        <w:rPr>
          <w:rFonts w:ascii="Times New Roman" w:hAnsi="Times New Roman" w:cs="Times New Roman"/>
          <w:sz w:val="24"/>
          <w:szCs w:val="24"/>
        </w:rPr>
        <w:t xml:space="preserve">He did not include any question relating </w:t>
      </w:r>
      <w:r>
        <w:rPr>
          <w:rFonts w:ascii="Times New Roman" w:hAnsi="Times New Roman" w:cs="Times New Roman"/>
          <w:sz w:val="24"/>
          <w:szCs w:val="24"/>
        </w:rPr>
        <w:t xml:space="preserve">to </w:t>
      </w:r>
      <w:r w:rsidR="00864ED1">
        <w:rPr>
          <w:rFonts w:ascii="Times New Roman" w:hAnsi="Times New Roman" w:cs="Times New Roman"/>
          <w:sz w:val="24"/>
          <w:szCs w:val="24"/>
        </w:rPr>
        <w:t>the remedies sought by RAAP</w:t>
      </w:r>
      <w:r w:rsidR="00A71096">
        <w:rPr>
          <w:rFonts w:ascii="Times New Roman" w:hAnsi="Times New Roman" w:cs="Times New Roman"/>
          <w:sz w:val="24"/>
          <w:szCs w:val="24"/>
        </w:rPr>
        <w:t xml:space="preserve"> in the proceedings before him</w:t>
      </w:r>
      <w:r w:rsidR="00864ED1">
        <w:rPr>
          <w:rFonts w:ascii="Times New Roman" w:hAnsi="Times New Roman" w:cs="Times New Roman"/>
          <w:sz w:val="24"/>
          <w:szCs w:val="24"/>
        </w:rPr>
        <w:t xml:space="preserve">. </w:t>
      </w:r>
    </w:p>
    <w:p w14:paraId="0932FD05" w14:textId="5E698DE7" w:rsidR="00080254" w:rsidRDefault="00864ED1" w:rsidP="0050791B">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PPI participated fully in the reference before</w:t>
      </w:r>
      <w:r w:rsidR="00E912E0">
        <w:rPr>
          <w:rFonts w:ascii="Times New Roman" w:hAnsi="Times New Roman" w:cs="Times New Roman"/>
          <w:sz w:val="24"/>
          <w:szCs w:val="24"/>
        </w:rPr>
        <w:t xml:space="preserve"> the Grand Chamber of the CJEU</w:t>
      </w:r>
      <w:r>
        <w:rPr>
          <w:rFonts w:ascii="Times New Roman" w:hAnsi="Times New Roman" w:cs="Times New Roman"/>
          <w:sz w:val="24"/>
          <w:szCs w:val="24"/>
        </w:rPr>
        <w:t xml:space="preserve">. </w:t>
      </w:r>
      <w:r w:rsidR="00F8451A">
        <w:rPr>
          <w:rFonts w:ascii="Times New Roman" w:hAnsi="Times New Roman" w:cs="Times New Roman"/>
          <w:sz w:val="24"/>
          <w:szCs w:val="24"/>
        </w:rPr>
        <w:t xml:space="preserve"> </w:t>
      </w:r>
      <w:r>
        <w:rPr>
          <w:rFonts w:ascii="Times New Roman" w:hAnsi="Times New Roman" w:cs="Times New Roman"/>
          <w:sz w:val="24"/>
          <w:szCs w:val="24"/>
        </w:rPr>
        <w:t>It delivered judgment on 8 September 2020 stating</w:t>
      </w:r>
      <w:r w:rsidR="00E912E0">
        <w:rPr>
          <w:rFonts w:ascii="Times New Roman" w:hAnsi="Times New Roman" w:cs="Times New Roman"/>
          <w:sz w:val="24"/>
          <w:szCs w:val="24"/>
        </w:rPr>
        <w:t xml:space="preserve"> that Article 8(2) of the Directive precludes a Member State from excluding in its transposing legislation </w:t>
      </w:r>
      <w:r w:rsidR="00080254">
        <w:rPr>
          <w:rFonts w:ascii="Times New Roman" w:hAnsi="Times New Roman" w:cs="Times New Roman"/>
          <w:sz w:val="24"/>
          <w:szCs w:val="24"/>
        </w:rPr>
        <w:t xml:space="preserve">performers who are nationals of </w:t>
      </w:r>
      <w:r w:rsidR="00F8451A">
        <w:rPr>
          <w:rFonts w:ascii="Times New Roman" w:hAnsi="Times New Roman" w:cs="Times New Roman"/>
          <w:sz w:val="24"/>
          <w:szCs w:val="24"/>
        </w:rPr>
        <w:t>s</w:t>
      </w:r>
      <w:r w:rsidR="00080254">
        <w:rPr>
          <w:rFonts w:ascii="Times New Roman" w:hAnsi="Times New Roman" w:cs="Times New Roman"/>
          <w:sz w:val="24"/>
          <w:szCs w:val="24"/>
        </w:rPr>
        <w:t>tates outside the EEA</w:t>
      </w:r>
      <w:r w:rsidR="00F8451A">
        <w:rPr>
          <w:rFonts w:ascii="Times New Roman" w:hAnsi="Times New Roman" w:cs="Times New Roman"/>
          <w:sz w:val="24"/>
          <w:szCs w:val="24"/>
        </w:rPr>
        <w:t>,</w:t>
      </w:r>
      <w:r w:rsidR="00080254">
        <w:rPr>
          <w:rFonts w:ascii="Times New Roman" w:hAnsi="Times New Roman" w:cs="Times New Roman"/>
          <w:sz w:val="24"/>
          <w:szCs w:val="24"/>
        </w:rPr>
        <w:t xml:space="preserve"> with the sole exception of those who are domiciled or resident in the EEA and those whose contribution to the phonogram were made in the EEA.  It also ruled:</w:t>
      </w:r>
      <w:r w:rsidR="00F8451A">
        <w:rPr>
          <w:rFonts w:ascii="Times New Roman" w:hAnsi="Times New Roman" w:cs="Times New Roman"/>
          <w:sz w:val="24"/>
          <w:szCs w:val="24"/>
        </w:rPr>
        <w:t>-</w:t>
      </w:r>
    </w:p>
    <w:p w14:paraId="04216C55" w14:textId="3AA7B326" w:rsidR="00E912E0" w:rsidRDefault="00080254" w:rsidP="00080254">
      <w:pPr>
        <w:pStyle w:val="ListParagraph"/>
        <w:spacing w:line="480" w:lineRule="auto"/>
        <w:ind w:left="567"/>
        <w:jc w:val="left"/>
        <w:rPr>
          <w:rFonts w:ascii="Times New Roman" w:hAnsi="Times New Roman" w:cs="Times New Roman"/>
          <w:sz w:val="24"/>
          <w:szCs w:val="24"/>
        </w:rPr>
      </w:pPr>
      <w:r>
        <w:rPr>
          <w:rFonts w:ascii="Times New Roman" w:hAnsi="Times New Roman" w:cs="Times New Roman"/>
          <w:i/>
          <w:sz w:val="24"/>
          <w:szCs w:val="24"/>
        </w:rPr>
        <w:t>“</w:t>
      </w:r>
      <w:r w:rsidR="00F8451A">
        <w:rPr>
          <w:rFonts w:ascii="Times New Roman" w:hAnsi="Times New Roman" w:cs="Times New Roman"/>
          <w:i/>
          <w:sz w:val="24"/>
          <w:szCs w:val="24"/>
        </w:rPr>
        <w:t xml:space="preserve">… </w:t>
      </w:r>
      <w:r>
        <w:rPr>
          <w:rFonts w:ascii="Times New Roman" w:hAnsi="Times New Roman" w:cs="Times New Roman"/>
          <w:i/>
          <w:sz w:val="24"/>
          <w:szCs w:val="24"/>
        </w:rPr>
        <w:t>Article 8(2) of Directive 2006/115 must be interpreted as precluding the right to a single equitable remuneration f</w:t>
      </w:r>
      <w:r w:rsidR="00864ED1">
        <w:rPr>
          <w:rFonts w:ascii="Times New Roman" w:hAnsi="Times New Roman" w:cs="Times New Roman"/>
          <w:i/>
          <w:sz w:val="24"/>
          <w:szCs w:val="24"/>
        </w:rPr>
        <w:t>or</w:t>
      </w:r>
      <w:r>
        <w:rPr>
          <w:rFonts w:ascii="Times New Roman" w:hAnsi="Times New Roman" w:cs="Times New Roman"/>
          <w:i/>
          <w:sz w:val="24"/>
          <w:szCs w:val="24"/>
        </w:rPr>
        <w:t xml:space="preserve"> which it provides from being limited in such a way that only the producer of the phonogram concerned receives remuneration, and does not share it with the performer who has contributed to that phonogram.”</w:t>
      </w:r>
      <w:r w:rsidR="00E912E0">
        <w:rPr>
          <w:rFonts w:ascii="Times New Roman" w:hAnsi="Times New Roman" w:cs="Times New Roman"/>
          <w:sz w:val="24"/>
          <w:szCs w:val="24"/>
        </w:rPr>
        <w:t xml:space="preserve">   </w:t>
      </w:r>
    </w:p>
    <w:p w14:paraId="11459F3F" w14:textId="66367583" w:rsidR="00E912E0" w:rsidRDefault="00080254" w:rsidP="0050791B">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The judgment of the CJEU rejected the interpretation </w:t>
      </w:r>
      <w:r w:rsidR="00864ED1">
        <w:rPr>
          <w:rFonts w:ascii="Times New Roman" w:hAnsi="Times New Roman" w:cs="Times New Roman"/>
          <w:sz w:val="24"/>
          <w:szCs w:val="24"/>
        </w:rPr>
        <w:t xml:space="preserve">of the Directive </w:t>
      </w:r>
      <w:r>
        <w:rPr>
          <w:rFonts w:ascii="Times New Roman" w:hAnsi="Times New Roman" w:cs="Times New Roman"/>
          <w:sz w:val="24"/>
          <w:szCs w:val="24"/>
        </w:rPr>
        <w:t xml:space="preserve">advanced by PPI and the State and upheld the interpretation contended for by RAAP.  </w:t>
      </w:r>
    </w:p>
    <w:p w14:paraId="36FAE75D" w14:textId="1275BB53" w:rsidR="00BF0D19" w:rsidRDefault="00080254" w:rsidP="00E64BF7">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lastRenderedPageBreak/>
        <w:t>In the normal way</w:t>
      </w:r>
      <w:r w:rsidR="006C54A4">
        <w:rPr>
          <w:rFonts w:ascii="Times New Roman" w:hAnsi="Times New Roman" w:cs="Times New Roman"/>
          <w:sz w:val="24"/>
          <w:szCs w:val="24"/>
        </w:rPr>
        <w:t>,</w:t>
      </w:r>
      <w:r>
        <w:rPr>
          <w:rFonts w:ascii="Times New Roman" w:hAnsi="Times New Roman" w:cs="Times New Roman"/>
          <w:sz w:val="24"/>
          <w:szCs w:val="24"/>
        </w:rPr>
        <w:t xml:space="preserve"> the matter was relisted before Simons J. to make orders on the preliminary issues in light of the ruling of the </w:t>
      </w:r>
      <w:r w:rsidR="006C54A4">
        <w:rPr>
          <w:rFonts w:ascii="Times New Roman" w:hAnsi="Times New Roman" w:cs="Times New Roman"/>
          <w:sz w:val="24"/>
          <w:szCs w:val="24"/>
        </w:rPr>
        <w:t>CJEU</w:t>
      </w:r>
      <w:r>
        <w:rPr>
          <w:rFonts w:ascii="Times New Roman" w:hAnsi="Times New Roman" w:cs="Times New Roman"/>
          <w:sz w:val="24"/>
          <w:szCs w:val="24"/>
        </w:rPr>
        <w:t xml:space="preserve">. </w:t>
      </w:r>
      <w:r w:rsidR="00BF0D19" w:rsidRPr="00E64BF7">
        <w:rPr>
          <w:rFonts w:ascii="Times New Roman" w:hAnsi="Times New Roman" w:cs="Times New Roman"/>
          <w:sz w:val="24"/>
          <w:szCs w:val="24"/>
        </w:rPr>
        <w:t xml:space="preserve"> </w:t>
      </w:r>
    </w:p>
    <w:p w14:paraId="528AAC75" w14:textId="77777777" w:rsidR="008C386A" w:rsidRPr="008C386A" w:rsidRDefault="008C386A" w:rsidP="008C386A">
      <w:pPr>
        <w:pStyle w:val="ListParagraph"/>
        <w:tabs>
          <w:tab w:val="left" w:pos="567"/>
        </w:tabs>
        <w:spacing w:line="480" w:lineRule="auto"/>
        <w:ind w:left="0"/>
        <w:jc w:val="left"/>
        <w:rPr>
          <w:rFonts w:ascii="Times New Roman" w:hAnsi="Times New Roman" w:cs="Times New Roman"/>
          <w:b/>
          <w:sz w:val="24"/>
          <w:szCs w:val="24"/>
          <w:u w:val="single"/>
        </w:rPr>
      </w:pPr>
      <w:r>
        <w:rPr>
          <w:rFonts w:ascii="Times New Roman" w:hAnsi="Times New Roman" w:cs="Times New Roman"/>
          <w:b/>
          <w:sz w:val="24"/>
          <w:szCs w:val="24"/>
          <w:u w:val="single"/>
        </w:rPr>
        <w:t>The Judgment of the High Court</w:t>
      </w:r>
    </w:p>
    <w:p w14:paraId="2D06DDE5" w14:textId="19405AFF" w:rsidR="00080254" w:rsidRDefault="00F62E2F" w:rsidP="0050791B">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On 29 January 2021</w:t>
      </w:r>
      <w:r w:rsidR="009452BB">
        <w:rPr>
          <w:rFonts w:ascii="Times New Roman" w:hAnsi="Times New Roman" w:cs="Times New Roman"/>
          <w:sz w:val="24"/>
          <w:szCs w:val="24"/>
        </w:rPr>
        <w:t>,</w:t>
      </w:r>
      <w:r>
        <w:rPr>
          <w:rFonts w:ascii="Times New Roman" w:hAnsi="Times New Roman" w:cs="Times New Roman"/>
          <w:sz w:val="24"/>
          <w:szCs w:val="24"/>
        </w:rPr>
        <w:t xml:space="preserve"> Simons J. he</w:t>
      </w:r>
      <w:r w:rsidR="008C386A">
        <w:rPr>
          <w:rFonts w:ascii="Times New Roman" w:hAnsi="Times New Roman" w:cs="Times New Roman"/>
          <w:sz w:val="24"/>
          <w:szCs w:val="24"/>
        </w:rPr>
        <w:t>ard</w:t>
      </w:r>
      <w:r>
        <w:rPr>
          <w:rFonts w:ascii="Times New Roman" w:hAnsi="Times New Roman" w:cs="Times New Roman"/>
          <w:sz w:val="24"/>
          <w:szCs w:val="24"/>
        </w:rPr>
        <w:t xml:space="preserve"> submissions as to the form of order to be made having regard to the judgment of the CJEU and the appropriate order for costs associated with the trial of the preliminary issues and the proceedings before the CJEU.  He delivered a written judgment on 4 February 2021.  He set out the procedural history and quoted the order of Cregan J. directing the trial of a preliminary issue.  At paras. 9 and 10 of the judgment he said:</w:t>
      </w:r>
      <w:r w:rsidR="009452BB">
        <w:rPr>
          <w:rFonts w:ascii="Times New Roman" w:hAnsi="Times New Roman" w:cs="Times New Roman"/>
          <w:sz w:val="24"/>
          <w:szCs w:val="24"/>
        </w:rPr>
        <w:t>-</w:t>
      </w:r>
    </w:p>
    <w:p w14:paraId="48619CA0" w14:textId="2E0739B4" w:rsidR="00B51D9D" w:rsidRPr="00BA3444" w:rsidRDefault="00EB2AF3" w:rsidP="00BA3444">
      <w:pPr>
        <w:pStyle w:val="ListParagraph"/>
        <w:tabs>
          <w:tab w:val="left" w:pos="1134"/>
        </w:tabs>
        <w:spacing w:line="480" w:lineRule="auto"/>
        <w:ind w:left="567"/>
        <w:jc w:val="left"/>
      </w:pPr>
      <w:r>
        <w:rPr>
          <w:rFonts w:ascii="Times New Roman" w:hAnsi="Times New Roman" w:cs="Times New Roman"/>
          <w:i/>
          <w:iCs/>
          <w:sz w:val="24"/>
          <w:szCs w:val="24"/>
        </w:rPr>
        <w:t>“</w:t>
      </w:r>
      <w:r w:rsidRPr="00EB2AF3">
        <w:rPr>
          <w:rFonts w:ascii="Times New Roman" w:hAnsi="Times New Roman" w:cs="Times New Roman"/>
          <w:i/>
          <w:iCs/>
          <w:sz w:val="24"/>
          <w:szCs w:val="24"/>
        </w:rPr>
        <w:t>9. As appears, the first issue to be determined centres on the correct interpretation of the EU Directive. The second and third issues are interrelated, and centre on the ancillary question of whether the domestic legislation is consistent with the EU Directive (on its correct interpretation). The latter two issues are presented as alternatives: either the domestic legislation is open to an interpretation which is consistent with the EU Directive or it is not, in which case the EU Directive has not been properly transposed.</w:t>
      </w:r>
    </w:p>
    <w:p w14:paraId="63C2722D" w14:textId="77777777" w:rsidR="00EB2AF3" w:rsidRPr="00EB2AF3" w:rsidRDefault="00EB2AF3" w:rsidP="00B51D9D">
      <w:pPr>
        <w:pStyle w:val="ListParagraph"/>
        <w:tabs>
          <w:tab w:val="left" w:pos="1134"/>
        </w:tabs>
        <w:spacing w:line="480" w:lineRule="auto"/>
        <w:ind w:left="567"/>
        <w:jc w:val="left"/>
        <w:rPr>
          <w:rFonts w:ascii="Times New Roman" w:hAnsi="Times New Roman" w:cs="Times New Roman"/>
          <w:i/>
          <w:iCs/>
          <w:sz w:val="24"/>
          <w:szCs w:val="24"/>
        </w:rPr>
      </w:pPr>
      <w:r w:rsidRPr="00EB2AF3">
        <w:rPr>
          <w:rFonts w:ascii="Times New Roman" w:hAnsi="Times New Roman" w:cs="Times New Roman"/>
          <w:i/>
          <w:iCs/>
          <w:sz w:val="24"/>
          <w:szCs w:val="24"/>
        </w:rPr>
        <w:t>10. It should also be explained that the preliminary issues were presented at a level of generality, divorced from the underlying facts of the contractual dispute between the parties. This is important because it delimits the findings which this court can properly make in the context of the trial of the preliminary issues.</w:t>
      </w:r>
      <w:r>
        <w:rPr>
          <w:rFonts w:ascii="Times New Roman" w:hAnsi="Times New Roman" w:cs="Times New Roman"/>
          <w:i/>
          <w:iCs/>
          <w:sz w:val="24"/>
          <w:szCs w:val="24"/>
        </w:rPr>
        <w:t>”</w:t>
      </w:r>
    </w:p>
    <w:p w14:paraId="35A31033" w14:textId="284DEA6B" w:rsidR="00F62E2F" w:rsidRDefault="00F62E2F" w:rsidP="0050791B">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He reiterated that the principal issue which arose for determination on the trial of the preliminary issues concerned the correct interpretation of the EU Directive.  In light of the judgment of the </w:t>
      </w:r>
      <w:r w:rsidR="009452BB">
        <w:rPr>
          <w:rFonts w:ascii="Times New Roman" w:hAnsi="Times New Roman" w:cs="Times New Roman"/>
          <w:sz w:val="24"/>
          <w:szCs w:val="24"/>
        </w:rPr>
        <w:t>CJEU</w:t>
      </w:r>
      <w:r>
        <w:rPr>
          <w:rFonts w:ascii="Times New Roman" w:hAnsi="Times New Roman" w:cs="Times New Roman"/>
          <w:sz w:val="24"/>
          <w:szCs w:val="24"/>
        </w:rPr>
        <w:t xml:space="preserve"> he held that </w:t>
      </w:r>
      <w:r>
        <w:rPr>
          <w:rFonts w:ascii="Times New Roman" w:hAnsi="Times New Roman" w:cs="Times New Roman"/>
          <w:i/>
          <w:sz w:val="24"/>
          <w:szCs w:val="24"/>
        </w:rPr>
        <w:t>“</w:t>
      </w:r>
      <w:r w:rsidR="009452BB">
        <w:rPr>
          <w:rFonts w:ascii="Times New Roman" w:hAnsi="Times New Roman" w:cs="Times New Roman"/>
          <w:i/>
          <w:sz w:val="24"/>
          <w:szCs w:val="24"/>
        </w:rPr>
        <w:t>t</w:t>
      </w:r>
      <w:r>
        <w:rPr>
          <w:rFonts w:ascii="Times New Roman" w:hAnsi="Times New Roman" w:cs="Times New Roman"/>
          <w:i/>
          <w:sz w:val="24"/>
          <w:szCs w:val="24"/>
        </w:rPr>
        <w:t xml:space="preserve">he right to equitable remuneration under the EU Directive must be granted both to performers and phonogram producers who are </w:t>
      </w:r>
      <w:r w:rsidR="009452BB">
        <w:rPr>
          <w:rFonts w:ascii="Times New Roman" w:hAnsi="Times New Roman" w:cs="Times New Roman"/>
          <w:i/>
          <w:sz w:val="24"/>
          <w:szCs w:val="24"/>
        </w:rPr>
        <w:t>n</w:t>
      </w:r>
      <w:r>
        <w:rPr>
          <w:rFonts w:ascii="Times New Roman" w:hAnsi="Times New Roman" w:cs="Times New Roman"/>
          <w:i/>
          <w:sz w:val="24"/>
          <w:szCs w:val="24"/>
        </w:rPr>
        <w:t xml:space="preserve">ationals of Member States of the European Union and to those who are </w:t>
      </w:r>
      <w:r w:rsidR="009452BB">
        <w:rPr>
          <w:rFonts w:ascii="Times New Roman" w:hAnsi="Times New Roman" w:cs="Times New Roman"/>
          <w:i/>
          <w:sz w:val="24"/>
          <w:szCs w:val="24"/>
        </w:rPr>
        <w:t>n</w:t>
      </w:r>
      <w:r>
        <w:rPr>
          <w:rFonts w:ascii="Times New Roman" w:hAnsi="Times New Roman" w:cs="Times New Roman"/>
          <w:i/>
          <w:sz w:val="24"/>
          <w:szCs w:val="24"/>
        </w:rPr>
        <w:t xml:space="preserve">ationals of other contracting </w:t>
      </w:r>
      <w:r>
        <w:rPr>
          <w:rFonts w:ascii="Times New Roman" w:hAnsi="Times New Roman" w:cs="Times New Roman"/>
          <w:i/>
          <w:sz w:val="24"/>
          <w:szCs w:val="24"/>
        </w:rPr>
        <w:lastRenderedPageBreak/>
        <w:t xml:space="preserve">parties to the WPPT </w:t>
      </w:r>
      <w:r w:rsidR="009452BB">
        <w:rPr>
          <w:rFonts w:ascii="Times New Roman" w:hAnsi="Times New Roman" w:cs="Times New Roman"/>
          <w:i/>
          <w:sz w:val="24"/>
          <w:szCs w:val="24"/>
        </w:rPr>
        <w:t>[</w:t>
      </w:r>
      <w:r>
        <w:rPr>
          <w:rFonts w:ascii="Times New Roman" w:hAnsi="Times New Roman" w:cs="Times New Roman"/>
          <w:i/>
          <w:sz w:val="24"/>
          <w:szCs w:val="24"/>
        </w:rPr>
        <w:t>WIPO Performances and Phonograms Treaty 1996</w:t>
      </w:r>
      <w:r w:rsidR="009452BB">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He said that by contrast</w:t>
      </w:r>
      <w:r w:rsidR="005424A8">
        <w:rPr>
          <w:rFonts w:ascii="Times New Roman" w:hAnsi="Times New Roman" w:cs="Times New Roman"/>
          <w:sz w:val="24"/>
          <w:szCs w:val="24"/>
        </w:rPr>
        <w:t>,</w:t>
      </w:r>
      <w:r>
        <w:rPr>
          <w:rFonts w:ascii="Times New Roman" w:hAnsi="Times New Roman" w:cs="Times New Roman"/>
          <w:sz w:val="24"/>
          <w:szCs w:val="24"/>
        </w:rPr>
        <w:t xml:space="preserve"> under the Act</w:t>
      </w:r>
      <w:r w:rsidR="005424A8">
        <w:rPr>
          <w:rFonts w:ascii="Times New Roman" w:hAnsi="Times New Roman" w:cs="Times New Roman"/>
          <w:sz w:val="24"/>
          <w:szCs w:val="24"/>
        </w:rPr>
        <w:t>,</w:t>
      </w:r>
      <w:r>
        <w:rPr>
          <w:rFonts w:ascii="Times New Roman" w:hAnsi="Times New Roman" w:cs="Times New Roman"/>
          <w:sz w:val="24"/>
          <w:szCs w:val="24"/>
        </w:rPr>
        <w:t xml:space="preserve"> a performer is not entitled to share in equitable remuneration unless they are (1) an Irish citizen or domiciled or resident in Ireland, or (2) domiciled or resident in an EEA country.  To this extent</w:t>
      </w:r>
      <w:r w:rsidR="005424A8">
        <w:rPr>
          <w:rFonts w:ascii="Times New Roman" w:hAnsi="Times New Roman" w:cs="Times New Roman"/>
          <w:sz w:val="24"/>
          <w:szCs w:val="24"/>
        </w:rPr>
        <w:t>,</w:t>
      </w:r>
      <w:r>
        <w:rPr>
          <w:rFonts w:ascii="Times New Roman" w:hAnsi="Times New Roman" w:cs="Times New Roman"/>
          <w:sz w:val="24"/>
          <w:szCs w:val="24"/>
        </w:rPr>
        <w:t xml:space="preserve"> the Irish State ha</w:t>
      </w:r>
      <w:r w:rsidR="00CE6918">
        <w:rPr>
          <w:rFonts w:ascii="Times New Roman" w:hAnsi="Times New Roman" w:cs="Times New Roman"/>
          <w:sz w:val="24"/>
          <w:szCs w:val="24"/>
        </w:rPr>
        <w:t>d</w:t>
      </w:r>
      <w:r>
        <w:rPr>
          <w:rFonts w:ascii="Times New Roman" w:hAnsi="Times New Roman" w:cs="Times New Roman"/>
          <w:sz w:val="24"/>
          <w:szCs w:val="24"/>
        </w:rPr>
        <w:t xml:space="preserve"> failed properly to transpose the EU Directive.  </w:t>
      </w:r>
    </w:p>
    <w:p w14:paraId="6B7C65FC" w14:textId="5026C0F8"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PPI submitted to Simons J. that </w:t>
      </w:r>
      <w:r w:rsidRPr="00CB3C04">
        <w:rPr>
          <w:rFonts w:ascii="Times New Roman" w:hAnsi="Times New Roman" w:cs="Times New Roman"/>
          <w:i/>
          <w:iCs/>
          <w:sz w:val="24"/>
          <w:szCs w:val="24"/>
        </w:rPr>
        <w:t>“</w:t>
      </w:r>
      <w:r w:rsidRPr="006F761C">
        <w:rPr>
          <w:rFonts w:ascii="Times New Roman" w:hAnsi="Times New Roman" w:cs="Times New Roman"/>
          <w:i/>
          <w:sz w:val="24"/>
          <w:szCs w:val="24"/>
        </w:rPr>
        <w:t xml:space="preserve">irrespective of the correct interpretation of the EU Directive, RAAP cannot succeed in </w:t>
      </w:r>
      <w:r w:rsidR="00C00C68">
        <w:rPr>
          <w:rFonts w:ascii="Times New Roman" w:hAnsi="Times New Roman" w:cs="Times New Roman"/>
          <w:i/>
          <w:sz w:val="24"/>
          <w:szCs w:val="24"/>
        </w:rPr>
        <w:t>its</w:t>
      </w:r>
      <w:r w:rsidR="00C00C68" w:rsidRPr="006F761C">
        <w:rPr>
          <w:rFonts w:ascii="Times New Roman" w:hAnsi="Times New Roman" w:cs="Times New Roman"/>
          <w:i/>
          <w:sz w:val="24"/>
          <w:szCs w:val="24"/>
        </w:rPr>
        <w:t xml:space="preserve"> </w:t>
      </w:r>
      <w:r w:rsidRPr="006F761C">
        <w:rPr>
          <w:rFonts w:ascii="Times New Roman" w:hAnsi="Times New Roman" w:cs="Times New Roman"/>
          <w:i/>
          <w:sz w:val="24"/>
          <w:szCs w:val="24"/>
        </w:rPr>
        <w:t>proceedings against</w:t>
      </w:r>
      <w:r w:rsidRPr="00CB3C04">
        <w:rPr>
          <w:rFonts w:ascii="Times New Roman" w:hAnsi="Times New Roman" w:cs="Times New Roman"/>
          <w:i/>
          <w:sz w:val="24"/>
          <w:szCs w:val="24"/>
        </w:rPr>
        <w:t>”</w:t>
      </w:r>
      <w:r w:rsidRPr="006F761C">
        <w:rPr>
          <w:rFonts w:ascii="Times New Roman" w:hAnsi="Times New Roman" w:cs="Times New Roman"/>
          <w:i/>
          <w:sz w:val="24"/>
          <w:szCs w:val="24"/>
        </w:rPr>
        <w:t xml:space="preserve"> </w:t>
      </w:r>
      <w:r w:rsidRPr="009320A0">
        <w:rPr>
          <w:rFonts w:ascii="Times New Roman" w:hAnsi="Times New Roman" w:cs="Times New Roman"/>
          <w:iCs/>
          <w:sz w:val="24"/>
          <w:szCs w:val="24"/>
        </w:rPr>
        <w:t>PPI</w:t>
      </w:r>
      <w:r w:rsidRPr="006F761C">
        <w:rPr>
          <w:rFonts w:ascii="Times New Roman" w:hAnsi="Times New Roman" w:cs="Times New Roman"/>
          <w:i/>
          <w:sz w:val="24"/>
          <w:szCs w:val="24"/>
        </w:rPr>
        <w:t>.</w:t>
      </w:r>
      <w:r>
        <w:rPr>
          <w:rFonts w:ascii="Times New Roman" w:hAnsi="Times New Roman" w:cs="Times New Roman"/>
          <w:sz w:val="24"/>
          <w:szCs w:val="24"/>
        </w:rPr>
        <w:t xml:space="preserve"> </w:t>
      </w:r>
      <w:r w:rsidR="006A2B21">
        <w:rPr>
          <w:rFonts w:ascii="Times New Roman" w:hAnsi="Times New Roman" w:cs="Times New Roman"/>
          <w:sz w:val="24"/>
          <w:szCs w:val="24"/>
        </w:rPr>
        <w:t xml:space="preserve"> </w:t>
      </w:r>
      <w:r>
        <w:rPr>
          <w:rFonts w:ascii="Times New Roman" w:hAnsi="Times New Roman" w:cs="Times New Roman"/>
          <w:sz w:val="24"/>
          <w:szCs w:val="24"/>
        </w:rPr>
        <w:t>This was the first time it advanced this argument and it was based on para. 108 of his judgment of 11 January 2019 where Simons J. stated:</w:t>
      </w:r>
      <w:r w:rsidR="006A2B21">
        <w:rPr>
          <w:rFonts w:ascii="Times New Roman" w:hAnsi="Times New Roman" w:cs="Times New Roman"/>
          <w:sz w:val="24"/>
          <w:szCs w:val="24"/>
        </w:rPr>
        <w:t>-</w:t>
      </w:r>
    </w:p>
    <w:p w14:paraId="1E6169BD" w14:textId="77777777" w:rsidR="004F7F38" w:rsidRDefault="004F7F38" w:rsidP="004F7F38">
      <w:pPr>
        <w:pStyle w:val="ListParagraph"/>
        <w:spacing w:line="480" w:lineRule="auto"/>
        <w:ind w:left="567"/>
        <w:jc w:val="left"/>
        <w:rPr>
          <w:rFonts w:ascii="Times New Roman" w:hAnsi="Times New Roman" w:cs="Times New Roman"/>
          <w:iCs/>
          <w:sz w:val="24"/>
          <w:szCs w:val="24"/>
        </w:rPr>
      </w:pPr>
      <w:r w:rsidRPr="009A30C5">
        <w:rPr>
          <w:rFonts w:ascii="Times New Roman" w:hAnsi="Times New Roman" w:cs="Times New Roman"/>
          <w:i/>
          <w:iCs/>
          <w:sz w:val="24"/>
          <w:szCs w:val="24"/>
        </w:rPr>
        <w:t xml:space="preserve">“The final issue to be considered is whether the Article 267 reference should also raise questions as to the </w:t>
      </w:r>
      <w:r w:rsidRPr="00995DCE">
        <w:rPr>
          <w:rFonts w:ascii="Times New Roman" w:hAnsi="Times New Roman" w:cs="Times New Roman"/>
          <w:b/>
          <w:i/>
          <w:iCs/>
          <w:sz w:val="24"/>
          <w:szCs w:val="24"/>
        </w:rPr>
        <w:t>nature of the remedy</w:t>
      </w:r>
      <w:r w:rsidRPr="009A30C5">
        <w:rPr>
          <w:rFonts w:ascii="Times New Roman" w:hAnsi="Times New Roman" w:cs="Times New Roman"/>
          <w:i/>
          <w:iCs/>
          <w:sz w:val="24"/>
          <w:szCs w:val="24"/>
        </w:rPr>
        <w:t xml:space="preserve"> which should be provided in the event that RAAP were to be successful in its arguments as to the correct interpretation of the 2006 Directive. The case as pleaded invites the court to give a purposive or conforming interpretation to domestic legislation. However, </w:t>
      </w:r>
      <w:r w:rsidRPr="009A0A4F">
        <w:rPr>
          <w:rFonts w:ascii="Times New Roman" w:hAnsi="Times New Roman" w:cs="Times New Roman"/>
          <w:b/>
          <w:i/>
          <w:iCs/>
          <w:sz w:val="24"/>
          <w:szCs w:val="24"/>
        </w:rPr>
        <w:t>in circumstances where the domestic legislation is clear and unambiguous, it does not seem to me that a conforming interpretation is open. The legislation clearly discriminates on the basis of domicile and residence, and there is no room for reading any other interpretation into the legislation.</w:t>
      </w:r>
      <w:r w:rsidRPr="00B4366F">
        <w:rPr>
          <w:rFonts w:ascii="Times New Roman" w:hAnsi="Times New Roman" w:cs="Times New Roman"/>
          <w:bCs/>
          <w:i/>
          <w:iCs/>
          <w:sz w:val="24"/>
          <w:szCs w:val="24"/>
        </w:rPr>
        <w:t>”</w:t>
      </w:r>
      <w:r>
        <w:rPr>
          <w:rFonts w:ascii="Times New Roman" w:hAnsi="Times New Roman" w:cs="Times New Roman"/>
          <w:b/>
          <w:i/>
          <w:iCs/>
          <w:sz w:val="24"/>
          <w:szCs w:val="24"/>
        </w:rPr>
        <w:t xml:space="preserve"> </w:t>
      </w:r>
      <w:r w:rsidRPr="00EF3176">
        <w:rPr>
          <w:rFonts w:ascii="Times New Roman" w:hAnsi="Times New Roman" w:cs="Times New Roman"/>
          <w:iCs/>
          <w:sz w:val="24"/>
          <w:szCs w:val="24"/>
        </w:rPr>
        <w:t>(emphasis added)</w:t>
      </w:r>
    </w:p>
    <w:p w14:paraId="1A222E6F" w14:textId="59D8EFB3" w:rsidR="004F7F38" w:rsidRPr="00524505" w:rsidRDefault="004F7F38" w:rsidP="004F7F38">
      <w:pPr>
        <w:spacing w:line="480" w:lineRule="auto"/>
        <w:rPr>
          <w:iCs/>
        </w:rPr>
      </w:pPr>
      <w:r>
        <w:rPr>
          <w:iCs/>
        </w:rPr>
        <w:t xml:space="preserve">(It will be noted that he regarded this issue as arising in the context </w:t>
      </w:r>
      <w:r w:rsidR="00B4366F">
        <w:rPr>
          <w:iCs/>
        </w:rPr>
        <w:t xml:space="preserve">of </w:t>
      </w:r>
      <w:r>
        <w:rPr>
          <w:iCs/>
        </w:rPr>
        <w:t>the remedies open to RAAP in the event it was successful on the substantive point and that PPI had made no submissions on this point prior to the drafting of the order for reference).</w:t>
      </w:r>
    </w:p>
    <w:p w14:paraId="2C5C29B3" w14:textId="79C5C979"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At para. 109</w:t>
      </w:r>
      <w:r w:rsidR="00B4366F">
        <w:rPr>
          <w:rFonts w:ascii="Times New Roman" w:hAnsi="Times New Roman" w:cs="Times New Roman"/>
          <w:sz w:val="24"/>
          <w:szCs w:val="24"/>
        </w:rPr>
        <w:t>,</w:t>
      </w:r>
      <w:r>
        <w:rPr>
          <w:rFonts w:ascii="Times New Roman" w:hAnsi="Times New Roman" w:cs="Times New Roman"/>
          <w:sz w:val="24"/>
          <w:szCs w:val="24"/>
        </w:rPr>
        <w:t xml:space="preserve"> Simons J. noted that the alternative approach was to invite the </w:t>
      </w:r>
      <w:r w:rsidR="00B4366F">
        <w:rPr>
          <w:rFonts w:ascii="Times New Roman" w:hAnsi="Times New Roman" w:cs="Times New Roman"/>
          <w:sz w:val="24"/>
          <w:szCs w:val="24"/>
        </w:rPr>
        <w:t>c</w:t>
      </w:r>
      <w:r>
        <w:rPr>
          <w:rFonts w:ascii="Times New Roman" w:hAnsi="Times New Roman" w:cs="Times New Roman"/>
          <w:sz w:val="24"/>
          <w:szCs w:val="24"/>
        </w:rPr>
        <w:t>ourt to disapply the provisions of the domestic law and at para. 110 he said:</w:t>
      </w:r>
      <w:r w:rsidR="00B4366F">
        <w:rPr>
          <w:rFonts w:ascii="Times New Roman" w:hAnsi="Times New Roman" w:cs="Times New Roman"/>
          <w:sz w:val="24"/>
          <w:szCs w:val="24"/>
        </w:rPr>
        <w:t>-</w:t>
      </w:r>
    </w:p>
    <w:p w14:paraId="66B8758B" w14:textId="77777777" w:rsidR="004F7F38" w:rsidRPr="003314C6" w:rsidRDefault="004F7F38" w:rsidP="004F7F38">
      <w:pPr>
        <w:pStyle w:val="ListParagraph"/>
        <w:spacing w:line="480" w:lineRule="auto"/>
        <w:ind w:left="567"/>
        <w:jc w:val="left"/>
        <w:rPr>
          <w:rFonts w:ascii="Times New Roman" w:hAnsi="Times New Roman" w:cs="Times New Roman"/>
          <w:i/>
          <w:sz w:val="24"/>
          <w:szCs w:val="24"/>
        </w:rPr>
      </w:pPr>
      <w:r>
        <w:rPr>
          <w:rFonts w:ascii="Times New Roman" w:hAnsi="Times New Roman" w:cs="Times New Roman"/>
          <w:i/>
          <w:sz w:val="24"/>
          <w:szCs w:val="24"/>
        </w:rPr>
        <w:t>“</w:t>
      </w:r>
      <w:r w:rsidRPr="00C8364B">
        <w:rPr>
          <w:rFonts w:ascii="Times New Roman" w:hAnsi="Times New Roman" w:cs="Times New Roman"/>
          <w:i/>
          <w:sz w:val="24"/>
          <w:szCs w:val="24"/>
        </w:rPr>
        <w:t xml:space="preserve">It is my understanding that the jurisdiction of a national court to set aside or disapply provisions of domestic legislation only arises in circumstances where (i) the EU </w:t>
      </w:r>
      <w:r w:rsidRPr="00C8364B">
        <w:rPr>
          <w:rFonts w:ascii="Times New Roman" w:hAnsi="Times New Roman" w:cs="Times New Roman"/>
          <w:i/>
          <w:sz w:val="24"/>
          <w:szCs w:val="24"/>
        </w:rPr>
        <w:lastRenderedPageBreak/>
        <w:t xml:space="preserve">legislation relied upon has direct effect or is directly applicable, and (ii) the proceedings are taken against an emanation of the State. If both of those conditions are not met, then the obligation on a national court is confined to an interpretive obligation. The national court is required to interpret national legislation insofar as is possible in light of the purpose and objective of the EU legislation. This formulation implies a limitation, i.e. the contra </w:t>
      </w:r>
      <w:proofErr w:type="spellStart"/>
      <w:r w:rsidRPr="00C8364B">
        <w:rPr>
          <w:rFonts w:ascii="Times New Roman" w:hAnsi="Times New Roman" w:cs="Times New Roman"/>
          <w:i/>
          <w:sz w:val="24"/>
          <w:szCs w:val="24"/>
        </w:rPr>
        <w:t>legem</w:t>
      </w:r>
      <w:proofErr w:type="spellEnd"/>
      <w:r w:rsidRPr="00C8364B">
        <w:rPr>
          <w:rFonts w:ascii="Times New Roman" w:hAnsi="Times New Roman" w:cs="Times New Roman"/>
          <w:i/>
          <w:sz w:val="24"/>
          <w:szCs w:val="24"/>
        </w:rPr>
        <w:t xml:space="preserve"> principle.</w:t>
      </w:r>
      <w:r>
        <w:rPr>
          <w:rFonts w:ascii="Times New Roman" w:hAnsi="Times New Roman" w:cs="Times New Roman"/>
          <w:i/>
          <w:sz w:val="24"/>
          <w:szCs w:val="24"/>
        </w:rPr>
        <w:t>”</w:t>
      </w:r>
    </w:p>
    <w:p w14:paraId="4D823434" w14:textId="0F06E3DD"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Based on the judgment of 11 January 2019, PPI said that the failure of the State properly to transpose the Directive cannot be relied upon in these proceedings in the dispute between two private entities.  The High Court may either interpret national legislation in a manner which is sympathetic to or consistent with EU legislation or it may disapply that legislation.  The second remedy is only open in cases taken against the State.  PPI argued that the finding that domestic legislation cannot be interpreted in a manner consistent with the EU Directive is fatal to RAAP’s claim against it.  </w:t>
      </w:r>
    </w:p>
    <w:p w14:paraId="17199F83" w14:textId="33CF2FED"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In paras. 18</w:t>
      </w:r>
      <w:r w:rsidR="003B4885">
        <w:rPr>
          <w:rFonts w:ascii="Times New Roman" w:hAnsi="Times New Roman" w:cs="Times New Roman"/>
          <w:sz w:val="24"/>
          <w:szCs w:val="24"/>
        </w:rPr>
        <w:t>-</w:t>
      </w:r>
      <w:r>
        <w:rPr>
          <w:rFonts w:ascii="Times New Roman" w:hAnsi="Times New Roman" w:cs="Times New Roman"/>
          <w:sz w:val="24"/>
          <w:szCs w:val="24"/>
        </w:rPr>
        <w:t>22 Simons J. set out his reasons for rejecting PPI’s position as follows:</w:t>
      </w:r>
      <w:r w:rsidR="003B4885">
        <w:rPr>
          <w:rFonts w:ascii="Times New Roman" w:hAnsi="Times New Roman" w:cs="Times New Roman"/>
          <w:sz w:val="24"/>
          <w:szCs w:val="24"/>
        </w:rPr>
        <w:t>-</w:t>
      </w:r>
    </w:p>
    <w:p w14:paraId="70F5B575" w14:textId="2E6E7270" w:rsidR="004F7F38" w:rsidRPr="00F55240" w:rsidRDefault="004F7F38" w:rsidP="002E6CC7">
      <w:pPr>
        <w:pStyle w:val="ListParagraph"/>
        <w:spacing w:line="480" w:lineRule="auto"/>
        <w:ind w:left="567"/>
        <w:jc w:val="left"/>
      </w:pPr>
      <w:r>
        <w:rPr>
          <w:rFonts w:ascii="Times New Roman" w:hAnsi="Times New Roman" w:cs="Times New Roman"/>
          <w:i/>
          <w:iCs/>
          <w:sz w:val="24"/>
          <w:szCs w:val="24"/>
        </w:rPr>
        <w:t>“</w:t>
      </w:r>
      <w:r w:rsidRPr="00C8364B">
        <w:rPr>
          <w:rFonts w:ascii="Times New Roman" w:hAnsi="Times New Roman" w:cs="Times New Roman"/>
          <w:i/>
          <w:iCs/>
          <w:sz w:val="24"/>
          <w:szCs w:val="24"/>
        </w:rPr>
        <w:t>18. With respect, it is not open to PPI to adopt this position now, given its approach to the proceedings to date. It was PPI who applied for, and ultimately obtained, an order directing the trial of the preliminary issues. PPI itself identified the issues it wished to have tried (albeit that it did so by reference to the language used in the statement of claim served by RAAP). This court was, therefore, specifically asked to determine an issue in respect of the correct interpretation of the EU Directive. There is no doubt but that PPI failed in its arguments in this regard.</w:t>
      </w:r>
    </w:p>
    <w:p w14:paraId="1E0FEC8B" w14:textId="5E28F645" w:rsidR="004F7F38" w:rsidRPr="00F55240" w:rsidRDefault="004F7F38" w:rsidP="00CB3C04">
      <w:pPr>
        <w:pStyle w:val="ListParagraph"/>
        <w:spacing w:line="480" w:lineRule="auto"/>
        <w:ind w:left="567"/>
        <w:jc w:val="left"/>
      </w:pPr>
      <w:r w:rsidRPr="00C8364B">
        <w:rPr>
          <w:rFonts w:ascii="Times New Roman" w:hAnsi="Times New Roman" w:cs="Times New Roman"/>
          <w:i/>
          <w:iCs/>
          <w:sz w:val="24"/>
          <w:szCs w:val="24"/>
        </w:rPr>
        <w:t xml:space="preserve">19. The second and third preliminary issues were ancillary to the first issue. The latter two issues were presented as alternatives: either the domestic legislation is open to an interpretation which is consistent with the EU Directive or it is not, in which case the EU Directive has not been properly transposed. The resolution of these latter two </w:t>
      </w:r>
      <w:r w:rsidRPr="00C8364B">
        <w:rPr>
          <w:rFonts w:ascii="Times New Roman" w:hAnsi="Times New Roman" w:cs="Times New Roman"/>
          <w:i/>
          <w:iCs/>
          <w:sz w:val="24"/>
          <w:szCs w:val="24"/>
        </w:rPr>
        <w:lastRenderedPageBreak/>
        <w:t>issues hinged on the finding on the first issue. If the correct interpretation of the EU Directive was that contended for by RAAP, then it followed almost inevitably that there had been a failure of transposition. The definition of qualifying persons under the domestic legislation is incapable of bearing a meaning consistent with RAAP's interpretation of the EU Directive.</w:t>
      </w:r>
    </w:p>
    <w:p w14:paraId="62348176" w14:textId="647CAF1F" w:rsidR="004F7F38" w:rsidRPr="00F55240" w:rsidRDefault="004F7F38" w:rsidP="00CB3C04">
      <w:pPr>
        <w:pStyle w:val="ListParagraph"/>
        <w:spacing w:line="480" w:lineRule="auto"/>
        <w:ind w:left="567"/>
      </w:pPr>
      <w:r w:rsidRPr="00C8364B">
        <w:rPr>
          <w:rFonts w:ascii="Times New Roman" w:hAnsi="Times New Roman" w:cs="Times New Roman"/>
          <w:i/>
          <w:iCs/>
          <w:sz w:val="24"/>
          <w:szCs w:val="24"/>
        </w:rPr>
        <w:t>20. This court had not been asked to determine—and did not determine—what the consequences of a finding of non-transposition would be for the underlying dispute between the parties. It had never been suggested, for example, that a finding of non-transposition would be fatal to RAAP's claim against PPI. This question simply never arose in the context of the trial of the preliminary issues.</w:t>
      </w:r>
    </w:p>
    <w:p w14:paraId="1CCB6C92" w14:textId="1E573458" w:rsidR="004F7F38" w:rsidRPr="00F55240" w:rsidRDefault="004F7F38" w:rsidP="002E6CC7">
      <w:pPr>
        <w:pStyle w:val="ListParagraph"/>
        <w:spacing w:line="480" w:lineRule="auto"/>
        <w:ind w:left="567"/>
        <w:jc w:val="left"/>
      </w:pPr>
      <w:r w:rsidRPr="00C8364B">
        <w:rPr>
          <w:rFonts w:ascii="Times New Roman" w:hAnsi="Times New Roman" w:cs="Times New Roman"/>
          <w:i/>
          <w:iCs/>
          <w:sz w:val="24"/>
          <w:szCs w:val="24"/>
        </w:rPr>
        <w:t>21. Rather, the approach adopted by PPI had been to apply to have the three identified issues determined by way of the trial of preliminary issues in advance of any adjudication on the underlying merits of the contractual dispute. This had been done on the basis that the correct interpretation of the domestic and EU legislation was relevant to the underlying dispute given the fact that certain of the contractual terms were defined by reference to the legislation. As appears from the judgment of Cregan J., part of PPI's justification for seeking the trial of preliminary issues had been that the issues were questions of law and statutory interpretation. It was never suggested that the judge hearing the trial of the preliminary issues would embark upon a consideration of the underlying dispute.</w:t>
      </w:r>
    </w:p>
    <w:p w14:paraId="4310F082" w14:textId="77777777" w:rsidR="004F7F38" w:rsidRPr="00C8364B" w:rsidRDefault="004F7F38" w:rsidP="004F7F38">
      <w:pPr>
        <w:pStyle w:val="ListParagraph"/>
        <w:spacing w:line="480" w:lineRule="auto"/>
        <w:ind w:left="567"/>
        <w:jc w:val="left"/>
        <w:rPr>
          <w:rFonts w:ascii="Times New Roman" w:hAnsi="Times New Roman" w:cs="Times New Roman"/>
          <w:i/>
          <w:iCs/>
          <w:sz w:val="24"/>
          <w:szCs w:val="24"/>
        </w:rPr>
      </w:pPr>
      <w:r w:rsidRPr="00C8364B">
        <w:rPr>
          <w:rFonts w:ascii="Times New Roman" w:hAnsi="Times New Roman" w:cs="Times New Roman"/>
          <w:i/>
          <w:iCs/>
          <w:sz w:val="24"/>
          <w:szCs w:val="24"/>
        </w:rPr>
        <w:t xml:space="preserve">22. Having presented the issues in this way, PPI cannot now turn around and argue, in effect, that the finding in January 2019 that a consistent or sympathetic interpretation of the Directive was not open is conclusive in its favour. Indeed, it is telling in this regard that notwithstanding that the parties were afforded an opportunity to make submissions in relation to the form of the reference to the Court of Justice in the period </w:t>
      </w:r>
      <w:r w:rsidRPr="00C8364B">
        <w:rPr>
          <w:rFonts w:ascii="Times New Roman" w:hAnsi="Times New Roman" w:cs="Times New Roman"/>
          <w:i/>
          <w:iCs/>
          <w:sz w:val="24"/>
          <w:szCs w:val="24"/>
        </w:rPr>
        <w:lastRenderedPageBreak/>
        <w:t>between the date of delivery of my judgment (January 2019) and the formal transmission of the reference to the Court of Justice (March 2019), it was never suggested that the reference was now unnecessary in that the finding as to the absence of a consistent or sympathetic interpretation was sufficient to ensure victory for PPI.”</w:t>
      </w:r>
    </w:p>
    <w:p w14:paraId="7BE79266" w14:textId="16604983" w:rsidR="004F7F38" w:rsidRPr="00F62E2F"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The trial judge granted declarations (1) and (3) in the terms of the order for the trial of the preliminary issues.</w:t>
      </w:r>
      <w:r w:rsidR="00F55240">
        <w:rPr>
          <w:rFonts w:ascii="Times New Roman" w:hAnsi="Times New Roman" w:cs="Times New Roman"/>
          <w:sz w:val="24"/>
          <w:szCs w:val="24"/>
        </w:rPr>
        <w:t xml:space="preserve"> </w:t>
      </w:r>
      <w:r>
        <w:rPr>
          <w:rFonts w:ascii="Times New Roman" w:hAnsi="Times New Roman" w:cs="Times New Roman"/>
          <w:sz w:val="24"/>
          <w:szCs w:val="24"/>
        </w:rPr>
        <w:t xml:space="preserve"> He awarded RAAP the costs of the trial of the preliminary issues, including the costs of the referral for a preliminary ruling to the CJEU</w:t>
      </w:r>
      <w:r w:rsidR="00F55240">
        <w:rPr>
          <w:rFonts w:ascii="Times New Roman" w:hAnsi="Times New Roman" w:cs="Times New Roman"/>
          <w:sz w:val="24"/>
          <w:szCs w:val="24"/>
        </w:rPr>
        <w:t>,</w:t>
      </w:r>
      <w:r>
        <w:rPr>
          <w:rFonts w:ascii="Times New Roman" w:hAnsi="Times New Roman" w:cs="Times New Roman"/>
          <w:sz w:val="24"/>
          <w:szCs w:val="24"/>
        </w:rPr>
        <w:t xml:space="preserve"> and of the hearing on 29 January 2021 against PPI and the State defendants jointly and severally, with a stay on</w:t>
      </w:r>
      <w:r w:rsidRPr="00F62E2F">
        <w:rPr>
          <w:rFonts w:ascii="Times New Roman" w:hAnsi="Times New Roman" w:cs="Times New Roman"/>
          <w:sz w:val="24"/>
          <w:szCs w:val="24"/>
        </w:rPr>
        <w:t xml:space="preserve"> </w:t>
      </w:r>
      <w:r>
        <w:rPr>
          <w:rFonts w:ascii="Times New Roman" w:hAnsi="Times New Roman" w:cs="Times New Roman"/>
          <w:sz w:val="24"/>
          <w:szCs w:val="24"/>
        </w:rPr>
        <w:t>execution pending any appeal.</w:t>
      </w:r>
    </w:p>
    <w:p w14:paraId="7DE857D3" w14:textId="127FE605" w:rsidR="004F7F38" w:rsidRPr="00496C77" w:rsidRDefault="004F7F38" w:rsidP="004F7F38">
      <w:pPr>
        <w:tabs>
          <w:tab w:val="left" w:pos="567"/>
        </w:tabs>
        <w:spacing w:line="480" w:lineRule="auto"/>
        <w:rPr>
          <w:b/>
          <w:u w:val="single"/>
        </w:rPr>
      </w:pPr>
      <w:r w:rsidRPr="00496C77">
        <w:rPr>
          <w:b/>
          <w:u w:val="single"/>
        </w:rPr>
        <w:t xml:space="preserve">PPI’s </w:t>
      </w:r>
      <w:r w:rsidR="00313B27">
        <w:rPr>
          <w:b/>
          <w:u w:val="single"/>
        </w:rPr>
        <w:t>A</w:t>
      </w:r>
      <w:r w:rsidRPr="00496C77">
        <w:rPr>
          <w:b/>
          <w:u w:val="single"/>
        </w:rPr>
        <w:t xml:space="preserve">ppeal </w:t>
      </w:r>
    </w:p>
    <w:p w14:paraId="557E34C2" w14:textId="004D046D" w:rsidR="004F7F38" w:rsidRPr="006F761C"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b/>
          <w:sz w:val="24"/>
          <w:szCs w:val="24"/>
          <w:u w:val="single"/>
        </w:rPr>
      </w:pPr>
      <w:r>
        <w:rPr>
          <w:rFonts w:ascii="Times New Roman" w:hAnsi="Times New Roman" w:cs="Times New Roman"/>
          <w:sz w:val="24"/>
          <w:szCs w:val="24"/>
        </w:rPr>
        <w:t>PPI appealed the making of a declaration as against PPI, rather than solely against the State defendants, as to the correct interpretation of the Directive.</w:t>
      </w:r>
      <w:r w:rsidR="004512D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F761C">
        <w:rPr>
          <w:rFonts w:ascii="Times New Roman" w:hAnsi="Times New Roman" w:cs="Times New Roman"/>
          <w:sz w:val="24"/>
          <w:szCs w:val="24"/>
        </w:rPr>
        <w:t>It argued that the trial judge erred in law in determining that RAAP was entitled to a declaration as to the proper construction of the Directive specifically against PPI</w:t>
      </w:r>
      <w:r>
        <w:rPr>
          <w:rFonts w:ascii="Times New Roman" w:hAnsi="Times New Roman" w:cs="Times New Roman"/>
          <w:sz w:val="24"/>
          <w:szCs w:val="24"/>
        </w:rPr>
        <w:t>,</w:t>
      </w:r>
      <w:r w:rsidRPr="006F761C">
        <w:rPr>
          <w:rFonts w:ascii="Times New Roman" w:hAnsi="Times New Roman" w:cs="Times New Roman"/>
          <w:sz w:val="24"/>
          <w:szCs w:val="24"/>
        </w:rPr>
        <w:t xml:space="preserve"> as RAAP was not entitled to a declaration against PPI, a private party, as to the meaning of a Directive, on the basis that Directives are only binding on </w:t>
      </w:r>
      <w:r>
        <w:rPr>
          <w:rFonts w:ascii="Times New Roman" w:hAnsi="Times New Roman" w:cs="Times New Roman"/>
          <w:sz w:val="24"/>
          <w:szCs w:val="24"/>
        </w:rPr>
        <w:t>m</w:t>
      </w:r>
      <w:r w:rsidRPr="006F761C">
        <w:rPr>
          <w:rFonts w:ascii="Times New Roman" w:hAnsi="Times New Roman" w:cs="Times New Roman"/>
          <w:sz w:val="24"/>
          <w:szCs w:val="24"/>
        </w:rPr>
        <w:t xml:space="preserve">ember </w:t>
      </w:r>
      <w:r>
        <w:rPr>
          <w:rFonts w:ascii="Times New Roman" w:hAnsi="Times New Roman" w:cs="Times New Roman"/>
          <w:sz w:val="24"/>
          <w:szCs w:val="24"/>
        </w:rPr>
        <w:t>s</w:t>
      </w:r>
      <w:r w:rsidRPr="006F761C">
        <w:rPr>
          <w:rFonts w:ascii="Times New Roman" w:hAnsi="Times New Roman" w:cs="Times New Roman"/>
          <w:sz w:val="24"/>
          <w:szCs w:val="24"/>
        </w:rPr>
        <w:t>tates.  It submitted that established EU law principles relating to vertical and horizontal direct effect dictate</w:t>
      </w:r>
      <w:r>
        <w:rPr>
          <w:rFonts w:ascii="Times New Roman" w:hAnsi="Times New Roman" w:cs="Times New Roman"/>
          <w:sz w:val="24"/>
          <w:szCs w:val="24"/>
        </w:rPr>
        <w:t>d</w:t>
      </w:r>
      <w:r w:rsidRPr="006F761C">
        <w:rPr>
          <w:rFonts w:ascii="Times New Roman" w:hAnsi="Times New Roman" w:cs="Times New Roman"/>
          <w:sz w:val="24"/>
          <w:szCs w:val="24"/>
        </w:rPr>
        <w:t xml:space="preserve"> that a declaration of this type as against PPI lack</w:t>
      </w:r>
      <w:r>
        <w:rPr>
          <w:rFonts w:ascii="Times New Roman" w:hAnsi="Times New Roman" w:cs="Times New Roman"/>
          <w:sz w:val="24"/>
          <w:szCs w:val="24"/>
        </w:rPr>
        <w:t>ed</w:t>
      </w:r>
      <w:r w:rsidRPr="006F761C">
        <w:rPr>
          <w:rFonts w:ascii="Times New Roman" w:hAnsi="Times New Roman" w:cs="Times New Roman"/>
          <w:sz w:val="24"/>
          <w:szCs w:val="24"/>
        </w:rPr>
        <w:t xml:space="preserve"> purpose and could have no meaningful effect.  It argue</w:t>
      </w:r>
      <w:r>
        <w:rPr>
          <w:rFonts w:ascii="Times New Roman" w:hAnsi="Times New Roman" w:cs="Times New Roman"/>
          <w:sz w:val="24"/>
          <w:szCs w:val="24"/>
        </w:rPr>
        <w:t>d</w:t>
      </w:r>
      <w:r w:rsidRPr="006F761C">
        <w:rPr>
          <w:rFonts w:ascii="Times New Roman" w:hAnsi="Times New Roman" w:cs="Times New Roman"/>
          <w:sz w:val="24"/>
          <w:szCs w:val="24"/>
        </w:rPr>
        <w:t xml:space="preserve"> that it was contrary to</w:t>
      </w:r>
      <w:r>
        <w:rPr>
          <w:rFonts w:ascii="Times New Roman" w:hAnsi="Times New Roman" w:cs="Times New Roman"/>
          <w:sz w:val="24"/>
          <w:szCs w:val="24"/>
        </w:rPr>
        <w:t xml:space="preserve"> the trial judge’</w:t>
      </w:r>
      <w:r w:rsidRPr="006F761C">
        <w:rPr>
          <w:rFonts w:ascii="Times New Roman" w:hAnsi="Times New Roman" w:cs="Times New Roman"/>
          <w:sz w:val="24"/>
          <w:szCs w:val="24"/>
        </w:rPr>
        <w:t xml:space="preserve">s finding that the </w:t>
      </w:r>
      <w:r w:rsidR="00F55240">
        <w:rPr>
          <w:rFonts w:ascii="Times New Roman" w:hAnsi="Times New Roman" w:cs="Times New Roman"/>
          <w:sz w:val="24"/>
          <w:szCs w:val="24"/>
        </w:rPr>
        <w:t>c</w:t>
      </w:r>
      <w:r w:rsidRPr="006F761C">
        <w:rPr>
          <w:rFonts w:ascii="Times New Roman" w:hAnsi="Times New Roman" w:cs="Times New Roman"/>
          <w:sz w:val="24"/>
          <w:szCs w:val="24"/>
        </w:rPr>
        <w:t>ourt lacked jurisdiction to disapply the national provision</w:t>
      </w:r>
      <w:r w:rsidR="004512D0">
        <w:rPr>
          <w:rFonts w:ascii="Times New Roman" w:hAnsi="Times New Roman" w:cs="Times New Roman"/>
          <w:sz w:val="24"/>
          <w:szCs w:val="24"/>
        </w:rPr>
        <w:t>s</w:t>
      </w:r>
      <w:r w:rsidRPr="006F761C">
        <w:rPr>
          <w:rFonts w:ascii="Times New Roman" w:hAnsi="Times New Roman" w:cs="Times New Roman"/>
          <w:sz w:val="24"/>
          <w:szCs w:val="24"/>
        </w:rPr>
        <w:t xml:space="preserve"> and that the making of the declaration created uncertainty in the context of RAAP’s claim against PPI</w:t>
      </w:r>
      <w:r w:rsidR="00BA1E18">
        <w:rPr>
          <w:rFonts w:ascii="Times New Roman" w:hAnsi="Times New Roman" w:cs="Times New Roman"/>
          <w:sz w:val="24"/>
          <w:szCs w:val="24"/>
        </w:rPr>
        <w:t>,</w:t>
      </w:r>
      <w:r w:rsidRPr="006F761C">
        <w:rPr>
          <w:rFonts w:ascii="Times New Roman" w:hAnsi="Times New Roman" w:cs="Times New Roman"/>
          <w:sz w:val="24"/>
          <w:szCs w:val="24"/>
        </w:rPr>
        <w:t xml:space="preserve"> as to whether PPI ha</w:t>
      </w:r>
      <w:r>
        <w:rPr>
          <w:rFonts w:ascii="Times New Roman" w:hAnsi="Times New Roman" w:cs="Times New Roman"/>
          <w:sz w:val="24"/>
          <w:szCs w:val="24"/>
        </w:rPr>
        <w:t>d</w:t>
      </w:r>
      <w:r w:rsidRPr="006F761C">
        <w:rPr>
          <w:rFonts w:ascii="Times New Roman" w:hAnsi="Times New Roman" w:cs="Times New Roman"/>
          <w:sz w:val="24"/>
          <w:szCs w:val="24"/>
        </w:rPr>
        <w:t xml:space="preserve"> been and is obliged to operate the agreement in accordance with the Directive (as construed by the </w:t>
      </w:r>
      <w:r>
        <w:rPr>
          <w:rFonts w:ascii="Times New Roman" w:hAnsi="Times New Roman" w:cs="Times New Roman"/>
          <w:sz w:val="24"/>
          <w:szCs w:val="24"/>
        </w:rPr>
        <w:t>CJEU</w:t>
      </w:r>
      <w:r w:rsidRPr="006F761C">
        <w:rPr>
          <w:rFonts w:ascii="Times New Roman" w:hAnsi="Times New Roman" w:cs="Times New Roman"/>
          <w:sz w:val="24"/>
          <w:szCs w:val="24"/>
        </w:rPr>
        <w:t xml:space="preserve">), as opposed to in accordance with the Act, pending its necessary amendment, in circumstances where the </w:t>
      </w:r>
      <w:r>
        <w:rPr>
          <w:rFonts w:ascii="Times New Roman" w:hAnsi="Times New Roman" w:cs="Times New Roman"/>
          <w:sz w:val="24"/>
          <w:szCs w:val="24"/>
        </w:rPr>
        <w:t>CJEU</w:t>
      </w:r>
      <w:r w:rsidRPr="006F761C">
        <w:rPr>
          <w:rFonts w:ascii="Times New Roman" w:hAnsi="Times New Roman" w:cs="Times New Roman"/>
          <w:sz w:val="24"/>
          <w:szCs w:val="24"/>
        </w:rPr>
        <w:t xml:space="preserve"> had already determined that such a Directive cannot, without transposition</w:t>
      </w:r>
      <w:r>
        <w:rPr>
          <w:rFonts w:ascii="Times New Roman" w:hAnsi="Times New Roman" w:cs="Times New Roman"/>
          <w:sz w:val="24"/>
          <w:szCs w:val="24"/>
        </w:rPr>
        <w:t>,</w:t>
      </w:r>
      <w:r w:rsidRPr="006F761C">
        <w:rPr>
          <w:rFonts w:ascii="Times New Roman" w:hAnsi="Times New Roman" w:cs="Times New Roman"/>
          <w:sz w:val="24"/>
          <w:szCs w:val="24"/>
        </w:rPr>
        <w:t xml:space="preserve"> be used to impose a payment obligation on a collective management organisation such as PPI.  It argued </w:t>
      </w:r>
      <w:r w:rsidRPr="006F761C">
        <w:rPr>
          <w:rFonts w:ascii="Times New Roman" w:hAnsi="Times New Roman" w:cs="Times New Roman"/>
          <w:sz w:val="24"/>
          <w:szCs w:val="24"/>
        </w:rPr>
        <w:lastRenderedPageBreak/>
        <w:t>that</w:t>
      </w:r>
      <w:r w:rsidR="00746690">
        <w:rPr>
          <w:rFonts w:ascii="Times New Roman" w:hAnsi="Times New Roman" w:cs="Times New Roman"/>
          <w:sz w:val="24"/>
          <w:szCs w:val="24"/>
        </w:rPr>
        <w:t>,</w:t>
      </w:r>
      <w:r w:rsidRPr="006F761C">
        <w:rPr>
          <w:rFonts w:ascii="Times New Roman" w:hAnsi="Times New Roman" w:cs="Times New Roman"/>
          <w:sz w:val="24"/>
          <w:szCs w:val="24"/>
        </w:rPr>
        <w:t xml:space="preserve"> in making the declaration against PPI</w:t>
      </w:r>
      <w:r w:rsidR="00746690">
        <w:rPr>
          <w:rFonts w:ascii="Times New Roman" w:hAnsi="Times New Roman" w:cs="Times New Roman"/>
          <w:sz w:val="24"/>
          <w:szCs w:val="24"/>
        </w:rPr>
        <w:t>,</w:t>
      </w:r>
      <w:r w:rsidRPr="006F761C">
        <w:rPr>
          <w:rFonts w:ascii="Times New Roman" w:hAnsi="Times New Roman" w:cs="Times New Roman"/>
          <w:sz w:val="24"/>
          <w:szCs w:val="24"/>
        </w:rPr>
        <w:t xml:space="preserve"> the trial judge erred in </w:t>
      </w:r>
      <w:r w:rsidRPr="006F761C">
        <w:rPr>
          <w:rFonts w:ascii="Times New Roman" w:hAnsi="Times New Roman" w:cs="Times New Roman"/>
          <w:bCs/>
          <w:sz w:val="24"/>
          <w:szCs w:val="24"/>
        </w:rPr>
        <w:t>pre-emptively finding that the Directive applied to the dispute between the parties</w:t>
      </w:r>
      <w:r>
        <w:rPr>
          <w:rFonts w:ascii="Times New Roman" w:hAnsi="Times New Roman" w:cs="Times New Roman"/>
          <w:bCs/>
          <w:sz w:val="24"/>
          <w:szCs w:val="24"/>
        </w:rPr>
        <w:t>,</w:t>
      </w:r>
      <w:r w:rsidRPr="006F761C">
        <w:rPr>
          <w:rFonts w:ascii="Times New Roman" w:hAnsi="Times New Roman" w:cs="Times New Roman"/>
          <w:bCs/>
          <w:sz w:val="24"/>
          <w:szCs w:val="24"/>
        </w:rPr>
        <w:t xml:space="preserve"> despite the</w:t>
      </w:r>
      <w:r w:rsidR="00EC5177">
        <w:rPr>
          <w:rFonts w:ascii="Times New Roman" w:hAnsi="Times New Roman" w:cs="Times New Roman"/>
          <w:bCs/>
          <w:sz w:val="24"/>
          <w:szCs w:val="24"/>
        </w:rPr>
        <w:t xml:space="preserve"> trial judge’s</w:t>
      </w:r>
      <w:r w:rsidR="00156C46">
        <w:rPr>
          <w:rFonts w:ascii="Times New Roman" w:hAnsi="Times New Roman" w:cs="Times New Roman"/>
          <w:bCs/>
          <w:sz w:val="24"/>
          <w:szCs w:val="24"/>
        </w:rPr>
        <w:t xml:space="preserve"> </w:t>
      </w:r>
      <w:r w:rsidRPr="006F761C">
        <w:rPr>
          <w:rFonts w:ascii="Times New Roman" w:hAnsi="Times New Roman" w:cs="Times New Roman"/>
          <w:bCs/>
          <w:sz w:val="24"/>
          <w:szCs w:val="24"/>
        </w:rPr>
        <w:t xml:space="preserve">stated position </w:t>
      </w:r>
      <w:r>
        <w:rPr>
          <w:rFonts w:ascii="Times New Roman" w:hAnsi="Times New Roman" w:cs="Times New Roman"/>
          <w:bCs/>
          <w:sz w:val="24"/>
          <w:szCs w:val="24"/>
        </w:rPr>
        <w:t>(</w:t>
      </w:r>
      <w:r w:rsidRPr="006F761C">
        <w:rPr>
          <w:rFonts w:ascii="Times New Roman" w:hAnsi="Times New Roman" w:cs="Times New Roman"/>
          <w:bCs/>
          <w:sz w:val="24"/>
          <w:szCs w:val="24"/>
        </w:rPr>
        <w:t>at para. 20</w:t>
      </w:r>
      <w:r>
        <w:rPr>
          <w:rFonts w:ascii="Times New Roman" w:hAnsi="Times New Roman" w:cs="Times New Roman"/>
          <w:bCs/>
          <w:sz w:val="24"/>
          <w:szCs w:val="24"/>
        </w:rPr>
        <w:t xml:space="preserve"> of the judgment of 4 February 2021),</w:t>
      </w:r>
      <w:r w:rsidRPr="006F761C">
        <w:rPr>
          <w:rFonts w:ascii="Times New Roman" w:hAnsi="Times New Roman" w:cs="Times New Roman"/>
          <w:bCs/>
          <w:sz w:val="24"/>
          <w:szCs w:val="24"/>
        </w:rPr>
        <w:t xml:space="preserve"> that the </w:t>
      </w:r>
      <w:r w:rsidR="00746690">
        <w:rPr>
          <w:rFonts w:ascii="Times New Roman" w:hAnsi="Times New Roman" w:cs="Times New Roman"/>
          <w:bCs/>
          <w:sz w:val="24"/>
          <w:szCs w:val="24"/>
        </w:rPr>
        <w:t>c</w:t>
      </w:r>
      <w:r w:rsidRPr="006F761C">
        <w:rPr>
          <w:rFonts w:ascii="Times New Roman" w:hAnsi="Times New Roman" w:cs="Times New Roman"/>
          <w:bCs/>
          <w:sz w:val="24"/>
          <w:szCs w:val="24"/>
        </w:rPr>
        <w:t>ourt had not been asked to determine</w:t>
      </w:r>
      <w:r w:rsidR="00746690">
        <w:rPr>
          <w:rFonts w:ascii="Times New Roman" w:hAnsi="Times New Roman" w:cs="Times New Roman"/>
          <w:bCs/>
          <w:sz w:val="24"/>
          <w:szCs w:val="24"/>
        </w:rPr>
        <w:t>,</w:t>
      </w:r>
      <w:r w:rsidRPr="006F761C">
        <w:rPr>
          <w:rFonts w:ascii="Times New Roman" w:hAnsi="Times New Roman" w:cs="Times New Roman"/>
          <w:bCs/>
          <w:sz w:val="24"/>
          <w:szCs w:val="24"/>
        </w:rPr>
        <w:t xml:space="preserve"> and did not determine</w:t>
      </w:r>
      <w:r w:rsidR="00746690">
        <w:rPr>
          <w:rFonts w:ascii="Times New Roman" w:hAnsi="Times New Roman" w:cs="Times New Roman"/>
          <w:bCs/>
          <w:sz w:val="24"/>
          <w:szCs w:val="24"/>
        </w:rPr>
        <w:t>,</w:t>
      </w:r>
      <w:r w:rsidRPr="006F761C">
        <w:rPr>
          <w:rFonts w:ascii="Times New Roman" w:hAnsi="Times New Roman" w:cs="Times New Roman"/>
          <w:bCs/>
          <w:sz w:val="24"/>
          <w:szCs w:val="24"/>
        </w:rPr>
        <w:t xml:space="preserve"> what the consequences of a finding of non-transposition would be for the underlying dispute between the parties.  Finally, PPI argued that Simons J. erroneously treated the principal issue as being an issue in the round of the interpretation of the Directive, when the issue before him</w:t>
      </w:r>
      <w:r>
        <w:rPr>
          <w:rFonts w:ascii="Times New Roman" w:hAnsi="Times New Roman" w:cs="Times New Roman"/>
          <w:bCs/>
          <w:sz w:val="24"/>
          <w:szCs w:val="24"/>
        </w:rPr>
        <w:t>,</w:t>
      </w:r>
      <w:r w:rsidRPr="006F761C">
        <w:rPr>
          <w:rFonts w:ascii="Times New Roman" w:hAnsi="Times New Roman" w:cs="Times New Roman"/>
          <w:bCs/>
          <w:sz w:val="24"/>
          <w:szCs w:val="24"/>
        </w:rPr>
        <w:t xml:space="preserve"> as fixed for determination was, in fact, whether RAAP was </w:t>
      </w:r>
      <w:r w:rsidRPr="006F761C">
        <w:rPr>
          <w:rFonts w:ascii="Times New Roman" w:hAnsi="Times New Roman" w:cs="Times New Roman"/>
          <w:bCs/>
          <w:i/>
          <w:sz w:val="24"/>
          <w:szCs w:val="24"/>
        </w:rPr>
        <w:t xml:space="preserve">“entitled” </w:t>
      </w:r>
      <w:r w:rsidRPr="006F761C">
        <w:rPr>
          <w:rFonts w:ascii="Times New Roman" w:hAnsi="Times New Roman" w:cs="Times New Roman"/>
          <w:bCs/>
          <w:sz w:val="24"/>
          <w:szCs w:val="24"/>
        </w:rPr>
        <w:t xml:space="preserve">to the three reliefs in question, which required a further step of assessment, which was never conducted by the trial judge in respect of the declaration made against PPI.  </w:t>
      </w:r>
    </w:p>
    <w:p w14:paraId="65BAE119" w14:textId="3E587384" w:rsidR="004F7F38" w:rsidRDefault="004F7F38" w:rsidP="004F7F38">
      <w:pPr>
        <w:pStyle w:val="ListParagraph"/>
        <w:numPr>
          <w:ilvl w:val="0"/>
          <w:numId w:val="2"/>
        </w:numPr>
        <w:tabs>
          <w:tab w:val="left" w:pos="567"/>
        </w:tabs>
        <w:spacing w:line="480" w:lineRule="auto"/>
        <w:ind w:left="0" w:firstLine="0"/>
        <w:rPr>
          <w:rFonts w:ascii="Times New Roman" w:hAnsi="Times New Roman" w:cs="Times New Roman"/>
          <w:bCs/>
          <w:sz w:val="24"/>
          <w:szCs w:val="24"/>
        </w:rPr>
      </w:pPr>
      <w:r>
        <w:rPr>
          <w:rFonts w:ascii="Times New Roman" w:hAnsi="Times New Roman" w:cs="Times New Roman"/>
          <w:bCs/>
          <w:sz w:val="24"/>
          <w:szCs w:val="24"/>
        </w:rPr>
        <w:t xml:space="preserve">PPI argued, in the alternative, </w:t>
      </w:r>
      <w:r w:rsidR="00BA1E18">
        <w:rPr>
          <w:rFonts w:ascii="Times New Roman" w:hAnsi="Times New Roman" w:cs="Times New Roman"/>
          <w:bCs/>
          <w:sz w:val="24"/>
          <w:szCs w:val="24"/>
        </w:rPr>
        <w:t xml:space="preserve">that </w:t>
      </w:r>
      <w:r>
        <w:rPr>
          <w:rFonts w:ascii="Times New Roman" w:hAnsi="Times New Roman" w:cs="Times New Roman"/>
          <w:bCs/>
          <w:sz w:val="24"/>
          <w:szCs w:val="24"/>
        </w:rPr>
        <w:t xml:space="preserve">were the </w:t>
      </w:r>
      <w:r w:rsidR="00451A94">
        <w:rPr>
          <w:rFonts w:ascii="Times New Roman" w:hAnsi="Times New Roman" w:cs="Times New Roman"/>
          <w:bCs/>
          <w:sz w:val="24"/>
          <w:szCs w:val="24"/>
        </w:rPr>
        <w:t>c</w:t>
      </w:r>
      <w:r>
        <w:rPr>
          <w:rFonts w:ascii="Times New Roman" w:hAnsi="Times New Roman" w:cs="Times New Roman"/>
          <w:bCs/>
          <w:sz w:val="24"/>
          <w:szCs w:val="24"/>
        </w:rPr>
        <w:t xml:space="preserve">ourt to find that the making of a declaration as to the meaning of the Directive as against PPI was permissible, that the High Court erred in failing to specify in its judgment or order that while the Directive has not been correctly implemented in Irish law, this could have no effect on the contractual arrangements between RAAP and PPI unless and/or until the Oireachtas amended the applicable Irish legislation to impose an obligation on PPI in national law, which would then apply prospectively and not retrospectively.  </w:t>
      </w:r>
    </w:p>
    <w:p w14:paraId="4D5A6821" w14:textId="10AA0AE8" w:rsidR="004F7F38" w:rsidRDefault="004F7F38" w:rsidP="004F7F38">
      <w:pPr>
        <w:pStyle w:val="ListParagraph"/>
        <w:numPr>
          <w:ilvl w:val="0"/>
          <w:numId w:val="2"/>
        </w:numPr>
        <w:tabs>
          <w:tab w:val="left" w:pos="567"/>
        </w:tabs>
        <w:spacing w:line="480" w:lineRule="auto"/>
        <w:ind w:left="0" w:firstLine="0"/>
        <w:rPr>
          <w:rFonts w:ascii="Times New Roman" w:hAnsi="Times New Roman" w:cs="Times New Roman"/>
          <w:bCs/>
          <w:sz w:val="24"/>
          <w:szCs w:val="24"/>
        </w:rPr>
      </w:pPr>
      <w:r>
        <w:rPr>
          <w:rFonts w:ascii="Times New Roman" w:hAnsi="Times New Roman" w:cs="Times New Roman"/>
          <w:bCs/>
          <w:sz w:val="24"/>
          <w:szCs w:val="24"/>
        </w:rPr>
        <w:t>In addition, PPI argued that the High Court erred in awarding RAAP its costs of the trial of the preliminary issue before the High Court</w:t>
      </w:r>
      <w:r w:rsidR="00451A94">
        <w:rPr>
          <w:rFonts w:ascii="Times New Roman" w:hAnsi="Times New Roman" w:cs="Times New Roman"/>
          <w:bCs/>
          <w:sz w:val="24"/>
          <w:szCs w:val="24"/>
        </w:rPr>
        <w:t>,</w:t>
      </w:r>
      <w:r>
        <w:rPr>
          <w:rFonts w:ascii="Times New Roman" w:hAnsi="Times New Roman" w:cs="Times New Roman"/>
          <w:bCs/>
          <w:sz w:val="24"/>
          <w:szCs w:val="24"/>
        </w:rPr>
        <w:t xml:space="preserve"> of the proceedings before the </w:t>
      </w:r>
      <w:r w:rsidR="00451A94">
        <w:rPr>
          <w:rFonts w:ascii="Times New Roman" w:hAnsi="Times New Roman" w:cs="Times New Roman"/>
          <w:bCs/>
          <w:sz w:val="24"/>
          <w:szCs w:val="24"/>
        </w:rPr>
        <w:t xml:space="preserve">CJEU </w:t>
      </w:r>
      <w:r>
        <w:rPr>
          <w:rFonts w:ascii="Times New Roman" w:hAnsi="Times New Roman" w:cs="Times New Roman"/>
          <w:bCs/>
          <w:sz w:val="24"/>
          <w:szCs w:val="24"/>
        </w:rPr>
        <w:t xml:space="preserve">and of the hearing of 29 </w:t>
      </w:r>
      <w:r w:rsidR="00451A94">
        <w:rPr>
          <w:rFonts w:ascii="Times New Roman" w:hAnsi="Times New Roman" w:cs="Times New Roman"/>
          <w:bCs/>
          <w:sz w:val="24"/>
          <w:szCs w:val="24"/>
        </w:rPr>
        <w:t xml:space="preserve">January </w:t>
      </w:r>
      <w:r>
        <w:rPr>
          <w:rFonts w:ascii="Times New Roman" w:hAnsi="Times New Roman" w:cs="Times New Roman"/>
          <w:bCs/>
          <w:sz w:val="24"/>
          <w:szCs w:val="24"/>
        </w:rPr>
        <w:t xml:space="preserve">2021 as against all the defendants jointly and severally on the grounds that no declaration ought to have been made as against PPI.  It submitted that the trial judge had failed to distinguish between the event between RAAP and the State </w:t>
      </w:r>
      <w:r w:rsidR="00451A94">
        <w:rPr>
          <w:rFonts w:ascii="Times New Roman" w:hAnsi="Times New Roman" w:cs="Times New Roman"/>
          <w:bCs/>
          <w:sz w:val="24"/>
          <w:szCs w:val="24"/>
        </w:rPr>
        <w:t>(</w:t>
      </w:r>
      <w:r>
        <w:rPr>
          <w:rFonts w:ascii="Times New Roman" w:hAnsi="Times New Roman" w:cs="Times New Roman"/>
          <w:bCs/>
          <w:sz w:val="24"/>
          <w:szCs w:val="24"/>
        </w:rPr>
        <w:t>in which RAAP was successful</w:t>
      </w:r>
      <w:r w:rsidR="00451A94">
        <w:rPr>
          <w:rFonts w:ascii="Times New Roman" w:hAnsi="Times New Roman" w:cs="Times New Roman"/>
          <w:bCs/>
          <w:sz w:val="24"/>
          <w:szCs w:val="24"/>
        </w:rPr>
        <w:t>)</w:t>
      </w:r>
      <w:r>
        <w:rPr>
          <w:rFonts w:ascii="Times New Roman" w:hAnsi="Times New Roman" w:cs="Times New Roman"/>
          <w:bCs/>
          <w:sz w:val="24"/>
          <w:szCs w:val="24"/>
        </w:rPr>
        <w:t xml:space="preserve"> on the one hand, and the event as between RAAP and PPI (in which RAAP had failed to demonstrate its entitlement to a declaration as to a conforming interpretation of the Act, and thus to advance its claim for breach of agreement), on the other hand.  It argued that </w:t>
      </w:r>
      <w:r>
        <w:rPr>
          <w:rFonts w:ascii="Times New Roman" w:hAnsi="Times New Roman" w:cs="Times New Roman"/>
          <w:bCs/>
          <w:sz w:val="24"/>
          <w:szCs w:val="24"/>
        </w:rPr>
        <w:lastRenderedPageBreak/>
        <w:t xml:space="preserve">it was entitled to an </w:t>
      </w:r>
      <w:r w:rsidR="005216ED">
        <w:rPr>
          <w:rFonts w:ascii="Times New Roman" w:hAnsi="Times New Roman" w:cs="Times New Roman"/>
          <w:bCs/>
          <w:sz w:val="24"/>
          <w:szCs w:val="24"/>
        </w:rPr>
        <w:t>o</w:t>
      </w:r>
      <w:r>
        <w:rPr>
          <w:rFonts w:ascii="Times New Roman" w:hAnsi="Times New Roman" w:cs="Times New Roman"/>
          <w:bCs/>
          <w:sz w:val="24"/>
          <w:szCs w:val="24"/>
        </w:rPr>
        <w:t xml:space="preserve">rder for costs against RAAP in respect of the trial of a preliminary issue and that the hearing of 29 January 2021 and the </w:t>
      </w:r>
      <w:r w:rsidR="00EA3897">
        <w:rPr>
          <w:rFonts w:ascii="Times New Roman" w:hAnsi="Times New Roman" w:cs="Times New Roman"/>
          <w:bCs/>
          <w:sz w:val="24"/>
          <w:szCs w:val="24"/>
        </w:rPr>
        <w:t>c</w:t>
      </w:r>
      <w:r>
        <w:rPr>
          <w:rFonts w:ascii="Times New Roman" w:hAnsi="Times New Roman" w:cs="Times New Roman"/>
          <w:bCs/>
          <w:sz w:val="24"/>
          <w:szCs w:val="24"/>
        </w:rPr>
        <w:t xml:space="preserve">osts </w:t>
      </w:r>
      <w:r w:rsidR="00EA3897">
        <w:rPr>
          <w:rFonts w:ascii="Times New Roman" w:hAnsi="Times New Roman" w:cs="Times New Roman"/>
          <w:bCs/>
          <w:sz w:val="24"/>
          <w:szCs w:val="24"/>
        </w:rPr>
        <w:t>o</w:t>
      </w:r>
      <w:r>
        <w:rPr>
          <w:rFonts w:ascii="Times New Roman" w:hAnsi="Times New Roman" w:cs="Times New Roman"/>
          <w:bCs/>
          <w:sz w:val="24"/>
          <w:szCs w:val="24"/>
        </w:rPr>
        <w:t>rder made in favour of RAAP should be made solely against the State defendant</w:t>
      </w:r>
      <w:r w:rsidR="00892F7F">
        <w:rPr>
          <w:rFonts w:ascii="Times New Roman" w:hAnsi="Times New Roman" w:cs="Times New Roman"/>
          <w:bCs/>
          <w:sz w:val="24"/>
          <w:szCs w:val="24"/>
        </w:rPr>
        <w:t>s</w:t>
      </w:r>
      <w:r>
        <w:rPr>
          <w:rFonts w:ascii="Times New Roman" w:hAnsi="Times New Roman" w:cs="Times New Roman"/>
          <w:bCs/>
          <w:sz w:val="24"/>
          <w:szCs w:val="24"/>
        </w:rPr>
        <w:t xml:space="preserve">.  </w:t>
      </w:r>
    </w:p>
    <w:p w14:paraId="205990FB" w14:textId="77777777" w:rsidR="004F7F38" w:rsidRDefault="004F7F38" w:rsidP="004F7F38">
      <w:pPr>
        <w:pStyle w:val="ListParagraph"/>
        <w:numPr>
          <w:ilvl w:val="0"/>
          <w:numId w:val="2"/>
        </w:numPr>
        <w:tabs>
          <w:tab w:val="left" w:pos="567"/>
        </w:tabs>
        <w:spacing w:line="480" w:lineRule="auto"/>
        <w:ind w:left="0" w:firstLine="0"/>
        <w:rPr>
          <w:rFonts w:ascii="Times New Roman" w:hAnsi="Times New Roman" w:cs="Times New Roman"/>
          <w:bCs/>
          <w:sz w:val="24"/>
          <w:szCs w:val="24"/>
        </w:rPr>
      </w:pPr>
      <w:r>
        <w:rPr>
          <w:rFonts w:ascii="Times New Roman" w:hAnsi="Times New Roman" w:cs="Times New Roman"/>
          <w:bCs/>
          <w:sz w:val="24"/>
          <w:szCs w:val="24"/>
        </w:rPr>
        <w:t>In its written submissions on the appeal, PPI argued that no declaration as to the proper construction of the Directive should have been made specifically as against PPI on four bases:</w:t>
      </w:r>
    </w:p>
    <w:p w14:paraId="271BC29B" w14:textId="77777777" w:rsidR="004F7F38" w:rsidRPr="00FE56EB" w:rsidRDefault="004F7F38" w:rsidP="004F7F38">
      <w:pPr>
        <w:pStyle w:val="ListParagraph"/>
        <w:spacing w:line="480" w:lineRule="auto"/>
        <w:ind w:left="1134" w:hanging="567"/>
        <w:rPr>
          <w:rFonts w:ascii="Times New Roman" w:hAnsi="Times New Roman" w:cs="Times New Roman"/>
          <w:bCs/>
          <w:sz w:val="24"/>
          <w:szCs w:val="24"/>
        </w:rPr>
      </w:pPr>
      <w:r w:rsidRPr="00FE56EB">
        <w:rPr>
          <w:rFonts w:ascii="Times New Roman" w:hAnsi="Times New Roman" w:cs="Times New Roman"/>
          <w:bCs/>
          <w:sz w:val="24"/>
          <w:szCs w:val="24"/>
        </w:rPr>
        <w:t>(i)</w:t>
      </w:r>
      <w:r w:rsidRPr="00FE56EB">
        <w:rPr>
          <w:rFonts w:ascii="Times New Roman" w:hAnsi="Times New Roman" w:cs="Times New Roman"/>
          <w:bCs/>
          <w:sz w:val="24"/>
          <w:szCs w:val="24"/>
        </w:rPr>
        <w:tab/>
        <w:t>Given that declaratory relief is discretionary in nature, RAAP cannot be entitled to a declaration at all as against PPI;</w:t>
      </w:r>
    </w:p>
    <w:p w14:paraId="6F056A7B" w14:textId="66711050" w:rsidR="004F7F38" w:rsidRPr="00FE56EB" w:rsidRDefault="004F7F38" w:rsidP="004F7F38">
      <w:pPr>
        <w:pStyle w:val="ListParagraph"/>
        <w:spacing w:line="480" w:lineRule="auto"/>
        <w:ind w:left="1134" w:hanging="567"/>
        <w:rPr>
          <w:rFonts w:ascii="Times New Roman" w:hAnsi="Times New Roman" w:cs="Times New Roman"/>
          <w:bCs/>
          <w:sz w:val="24"/>
          <w:szCs w:val="24"/>
        </w:rPr>
      </w:pPr>
      <w:r w:rsidRPr="00FE56EB">
        <w:rPr>
          <w:rFonts w:ascii="Times New Roman" w:hAnsi="Times New Roman" w:cs="Times New Roman"/>
          <w:bCs/>
          <w:sz w:val="24"/>
          <w:szCs w:val="24"/>
        </w:rPr>
        <w:t>(ii)</w:t>
      </w:r>
      <w:r w:rsidRPr="00FE56EB">
        <w:rPr>
          <w:rFonts w:ascii="Times New Roman" w:hAnsi="Times New Roman" w:cs="Times New Roman"/>
          <w:bCs/>
          <w:sz w:val="24"/>
          <w:szCs w:val="24"/>
        </w:rPr>
        <w:tab/>
        <w:t xml:space="preserve">To the extent that the correct interpretation of the High Court’s judgment is that it found that RAAP was entitled to have the </w:t>
      </w:r>
      <w:r w:rsidR="00B870A0">
        <w:rPr>
          <w:rFonts w:ascii="Times New Roman" w:hAnsi="Times New Roman" w:cs="Times New Roman"/>
          <w:bCs/>
          <w:sz w:val="24"/>
          <w:szCs w:val="24"/>
        </w:rPr>
        <w:t>c</w:t>
      </w:r>
      <w:r w:rsidRPr="00FE56EB">
        <w:rPr>
          <w:rFonts w:ascii="Times New Roman" w:hAnsi="Times New Roman" w:cs="Times New Roman"/>
          <w:bCs/>
          <w:sz w:val="24"/>
          <w:szCs w:val="24"/>
        </w:rPr>
        <w:t>ourt exercise its discretion to grant declaratory relief, the High Court erred in exercising this discretion where the declaration could have no legal effect on PPI;</w:t>
      </w:r>
    </w:p>
    <w:p w14:paraId="3DD2D709" w14:textId="265E9497" w:rsidR="004F7F38" w:rsidRPr="00FE56EB" w:rsidRDefault="004F7F38" w:rsidP="004F7F38">
      <w:pPr>
        <w:pStyle w:val="ListParagraph"/>
        <w:spacing w:line="480" w:lineRule="auto"/>
        <w:ind w:left="1134" w:hanging="567"/>
        <w:rPr>
          <w:rFonts w:ascii="Times New Roman" w:hAnsi="Times New Roman" w:cs="Times New Roman"/>
          <w:bCs/>
          <w:sz w:val="24"/>
          <w:szCs w:val="24"/>
        </w:rPr>
      </w:pPr>
      <w:r w:rsidRPr="00FE56EB">
        <w:rPr>
          <w:rFonts w:ascii="Times New Roman" w:hAnsi="Times New Roman" w:cs="Times New Roman"/>
          <w:bCs/>
          <w:sz w:val="24"/>
          <w:szCs w:val="24"/>
        </w:rPr>
        <w:t>(iii)</w:t>
      </w:r>
      <w:r w:rsidRPr="00FE56EB">
        <w:rPr>
          <w:rFonts w:ascii="Times New Roman" w:hAnsi="Times New Roman" w:cs="Times New Roman"/>
          <w:bCs/>
          <w:sz w:val="24"/>
          <w:szCs w:val="24"/>
        </w:rPr>
        <w:tab/>
        <w:t>The High Court erred in failing to distinguish between the State and PPI as a private defendant; and</w:t>
      </w:r>
    </w:p>
    <w:p w14:paraId="5C9052E7" w14:textId="77777777" w:rsidR="004F7F38" w:rsidRPr="00FE56EB" w:rsidRDefault="004F7F38" w:rsidP="004F7F38">
      <w:pPr>
        <w:pStyle w:val="ListParagraph"/>
        <w:spacing w:line="480" w:lineRule="auto"/>
        <w:ind w:left="1134" w:hanging="567"/>
        <w:rPr>
          <w:rFonts w:ascii="Times New Roman" w:hAnsi="Times New Roman" w:cs="Times New Roman"/>
          <w:bCs/>
          <w:sz w:val="24"/>
          <w:szCs w:val="24"/>
        </w:rPr>
      </w:pPr>
      <w:r w:rsidRPr="00FE56EB">
        <w:rPr>
          <w:rFonts w:ascii="Times New Roman" w:hAnsi="Times New Roman" w:cs="Times New Roman"/>
          <w:bCs/>
          <w:sz w:val="24"/>
          <w:szCs w:val="24"/>
        </w:rPr>
        <w:t>(iv)</w:t>
      </w:r>
      <w:r w:rsidRPr="00FE56EB">
        <w:rPr>
          <w:rFonts w:ascii="Times New Roman" w:hAnsi="Times New Roman" w:cs="Times New Roman"/>
          <w:bCs/>
          <w:sz w:val="24"/>
          <w:szCs w:val="24"/>
        </w:rPr>
        <w:tab/>
        <w:t>The High Court erred in failing to consider whether or not RAAP should be awarded relief as against PPI as distinct from the question of the correct interpretation of the Directive.</w:t>
      </w:r>
    </w:p>
    <w:p w14:paraId="27C95192" w14:textId="7FBBE1F8"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sidRPr="00F75C30">
        <w:rPr>
          <w:rFonts w:ascii="Times New Roman" w:hAnsi="Times New Roman" w:cs="Times New Roman"/>
          <w:sz w:val="24"/>
          <w:szCs w:val="24"/>
        </w:rPr>
        <w:t xml:space="preserve">PPI argued that a grant of a declaration is a </w:t>
      </w:r>
      <w:r w:rsidRPr="00F75C30">
        <w:rPr>
          <w:rFonts w:ascii="Times New Roman" w:hAnsi="Times New Roman" w:cs="Times New Roman"/>
          <w:i/>
          <w:sz w:val="24"/>
          <w:szCs w:val="24"/>
        </w:rPr>
        <w:t>discretionary</w:t>
      </w:r>
      <w:r w:rsidRPr="00F75C30">
        <w:rPr>
          <w:rFonts w:ascii="Times New Roman" w:hAnsi="Times New Roman" w:cs="Times New Roman"/>
          <w:sz w:val="24"/>
          <w:szCs w:val="24"/>
        </w:rPr>
        <w:t xml:space="preserve"> remedy and that RAAP has no entitlement </w:t>
      </w:r>
      <w:r w:rsidRPr="00F75C30">
        <w:rPr>
          <w:rFonts w:ascii="Times New Roman" w:hAnsi="Times New Roman" w:cs="Times New Roman"/>
          <w:i/>
          <w:sz w:val="24"/>
          <w:szCs w:val="24"/>
        </w:rPr>
        <w:t xml:space="preserve">per se </w:t>
      </w:r>
      <w:r w:rsidRPr="00F75C30">
        <w:rPr>
          <w:rFonts w:ascii="Times New Roman" w:hAnsi="Times New Roman" w:cs="Times New Roman"/>
          <w:sz w:val="24"/>
          <w:szCs w:val="24"/>
        </w:rPr>
        <w:t xml:space="preserve">to such a declaration.  It argued that the High Court erred in exercising its discretion to grant a declaration against PPI because the </w:t>
      </w:r>
      <w:r w:rsidR="00E43997">
        <w:rPr>
          <w:rFonts w:ascii="Times New Roman" w:hAnsi="Times New Roman" w:cs="Times New Roman"/>
          <w:sz w:val="24"/>
          <w:szCs w:val="24"/>
        </w:rPr>
        <w:t>c</w:t>
      </w:r>
      <w:r w:rsidRPr="00F75C30">
        <w:rPr>
          <w:rFonts w:ascii="Times New Roman" w:hAnsi="Times New Roman" w:cs="Times New Roman"/>
          <w:sz w:val="24"/>
          <w:szCs w:val="24"/>
        </w:rPr>
        <w:t>ourt should refrain from making declarations where the declaration would not serve any useful purpose (see</w:t>
      </w:r>
      <w:r w:rsidR="005B6927">
        <w:rPr>
          <w:rFonts w:ascii="Times New Roman" w:hAnsi="Times New Roman" w:cs="Times New Roman"/>
          <w:sz w:val="24"/>
          <w:szCs w:val="24"/>
        </w:rPr>
        <w:t>,</w:t>
      </w:r>
      <w:r w:rsidRPr="00F75C30">
        <w:rPr>
          <w:rFonts w:ascii="Times New Roman" w:hAnsi="Times New Roman" w:cs="Times New Roman"/>
          <w:sz w:val="24"/>
          <w:szCs w:val="24"/>
        </w:rPr>
        <w:t xml:space="preserve"> </w:t>
      </w:r>
      <w:r w:rsidRPr="00F75C30">
        <w:rPr>
          <w:rFonts w:ascii="Times New Roman" w:hAnsi="Times New Roman" w:cs="Times New Roman"/>
          <w:i/>
          <w:sz w:val="24"/>
          <w:szCs w:val="24"/>
        </w:rPr>
        <w:t xml:space="preserve">Lennon v. Cork City Council </w:t>
      </w:r>
      <w:r w:rsidRPr="00F75C30">
        <w:rPr>
          <w:rFonts w:ascii="Times New Roman" w:hAnsi="Times New Roman" w:cs="Times New Roman"/>
          <w:sz w:val="24"/>
          <w:szCs w:val="24"/>
        </w:rPr>
        <w:t xml:space="preserve">[2006] IEHC 438).  It said that the </w:t>
      </w:r>
      <w:r>
        <w:rPr>
          <w:rFonts w:ascii="Times New Roman" w:hAnsi="Times New Roman" w:cs="Times New Roman"/>
          <w:sz w:val="24"/>
          <w:szCs w:val="24"/>
        </w:rPr>
        <w:t>CJEU</w:t>
      </w:r>
      <w:r w:rsidRPr="00F75C30">
        <w:rPr>
          <w:rFonts w:ascii="Times New Roman" w:hAnsi="Times New Roman" w:cs="Times New Roman"/>
          <w:sz w:val="24"/>
          <w:szCs w:val="24"/>
        </w:rPr>
        <w:t xml:space="preserve"> has given a binding judgment on the meaning of the Directive, which could not be challenged by PPI, so RAAP cannot argue that a declaration should be made against PPI so as to prevent PPI from seeking to rely on a different interpretation of the Directive at some time in the future.  It argued that the findings of the </w:t>
      </w:r>
      <w:r>
        <w:rPr>
          <w:rFonts w:ascii="Times New Roman" w:hAnsi="Times New Roman" w:cs="Times New Roman"/>
          <w:sz w:val="24"/>
          <w:szCs w:val="24"/>
        </w:rPr>
        <w:t>CJEU</w:t>
      </w:r>
      <w:r w:rsidRPr="00F75C30">
        <w:rPr>
          <w:rFonts w:ascii="Times New Roman" w:hAnsi="Times New Roman" w:cs="Times New Roman"/>
          <w:sz w:val="24"/>
          <w:szCs w:val="24"/>
        </w:rPr>
        <w:t xml:space="preserve"> as to the meaning of the Directive are definitive and binding irrespective of any </w:t>
      </w:r>
      <w:r w:rsidRPr="00F75C30">
        <w:rPr>
          <w:rFonts w:ascii="Times New Roman" w:hAnsi="Times New Roman" w:cs="Times New Roman"/>
          <w:sz w:val="24"/>
          <w:szCs w:val="24"/>
        </w:rPr>
        <w:lastRenderedPageBreak/>
        <w:t xml:space="preserve">further steps in the national proceedings, so there was no need for any further order to be made by the High Court to give effect to the judgment of the CJEU. </w:t>
      </w:r>
      <w:r w:rsidR="00E43997">
        <w:rPr>
          <w:rFonts w:ascii="Times New Roman" w:hAnsi="Times New Roman" w:cs="Times New Roman"/>
          <w:sz w:val="24"/>
          <w:szCs w:val="24"/>
        </w:rPr>
        <w:t xml:space="preserve"> </w:t>
      </w:r>
      <w:r w:rsidRPr="00F75C30">
        <w:rPr>
          <w:rFonts w:ascii="Times New Roman" w:hAnsi="Times New Roman" w:cs="Times New Roman"/>
          <w:sz w:val="24"/>
          <w:szCs w:val="24"/>
        </w:rPr>
        <w:t xml:space="preserve">It followed that the declaration made as against PPI could have no purpose or practical use for RAAP, as there was no situation in which RAAP could seek coercive relief against PPI in respect of the meaning of the Directive or its transposition into national law. </w:t>
      </w:r>
    </w:p>
    <w:p w14:paraId="714B05DC" w14:textId="4AE23BA5" w:rsidR="004F7F38" w:rsidRPr="00F75C30"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PPI</w:t>
      </w:r>
      <w:r w:rsidRPr="00F75C30">
        <w:rPr>
          <w:rFonts w:ascii="Times New Roman" w:hAnsi="Times New Roman" w:cs="Times New Roman"/>
          <w:sz w:val="24"/>
          <w:szCs w:val="24"/>
        </w:rPr>
        <w:t xml:space="preserve"> refer</w:t>
      </w:r>
      <w:r>
        <w:rPr>
          <w:rFonts w:ascii="Times New Roman" w:hAnsi="Times New Roman" w:cs="Times New Roman"/>
          <w:sz w:val="24"/>
          <w:szCs w:val="24"/>
        </w:rPr>
        <w:t>red</w:t>
      </w:r>
      <w:r w:rsidRPr="00F75C30">
        <w:rPr>
          <w:rFonts w:ascii="Times New Roman" w:hAnsi="Times New Roman" w:cs="Times New Roman"/>
          <w:sz w:val="24"/>
          <w:szCs w:val="24"/>
        </w:rPr>
        <w:t xml:space="preserve"> to the distinction between the EU law doctrines of vertical and horizontal direct effect and submitted that it was impermissible to disapply </w:t>
      </w:r>
      <w:r>
        <w:rPr>
          <w:rFonts w:ascii="Times New Roman" w:hAnsi="Times New Roman" w:cs="Times New Roman"/>
          <w:sz w:val="24"/>
          <w:szCs w:val="24"/>
        </w:rPr>
        <w:t>n</w:t>
      </w:r>
      <w:r w:rsidRPr="00F75C30">
        <w:rPr>
          <w:rFonts w:ascii="Times New Roman" w:hAnsi="Times New Roman" w:cs="Times New Roman"/>
          <w:sz w:val="24"/>
          <w:szCs w:val="24"/>
        </w:rPr>
        <w:t>ational provisions where this would lead to the purported imposition of an obligation on a private party by way of the purported direct effect of an unimplemented or incorrectly implemented Directive</w:t>
      </w:r>
      <w:r w:rsidR="0015051A">
        <w:rPr>
          <w:rFonts w:ascii="Times New Roman" w:hAnsi="Times New Roman" w:cs="Times New Roman"/>
          <w:sz w:val="24"/>
          <w:szCs w:val="24"/>
        </w:rPr>
        <w:t>,</w:t>
      </w:r>
      <w:r w:rsidRPr="00F75C30">
        <w:rPr>
          <w:rFonts w:ascii="Times New Roman" w:hAnsi="Times New Roman" w:cs="Times New Roman"/>
          <w:sz w:val="24"/>
          <w:szCs w:val="24"/>
        </w:rPr>
        <w:t xml:space="preserve"> without that obligation having any basis in </w:t>
      </w:r>
      <w:r>
        <w:rPr>
          <w:rFonts w:ascii="Times New Roman" w:hAnsi="Times New Roman" w:cs="Times New Roman"/>
          <w:sz w:val="24"/>
          <w:szCs w:val="24"/>
        </w:rPr>
        <w:t>n</w:t>
      </w:r>
      <w:r w:rsidRPr="00F75C30">
        <w:rPr>
          <w:rFonts w:ascii="Times New Roman" w:hAnsi="Times New Roman" w:cs="Times New Roman"/>
          <w:sz w:val="24"/>
          <w:szCs w:val="24"/>
        </w:rPr>
        <w:t xml:space="preserve">ational law.  Such horizontal direct effect is prohibited and where such a horizontal effect would </w:t>
      </w:r>
      <w:r>
        <w:rPr>
          <w:rFonts w:ascii="Times New Roman" w:hAnsi="Times New Roman" w:cs="Times New Roman"/>
          <w:sz w:val="24"/>
          <w:szCs w:val="24"/>
        </w:rPr>
        <w:t>result,</w:t>
      </w:r>
      <w:r w:rsidRPr="00F75C30">
        <w:rPr>
          <w:rFonts w:ascii="Times New Roman" w:hAnsi="Times New Roman" w:cs="Times New Roman"/>
          <w:sz w:val="24"/>
          <w:szCs w:val="24"/>
        </w:rPr>
        <w:t xml:space="preserve"> the obligation of the </w:t>
      </w:r>
      <w:r>
        <w:rPr>
          <w:rFonts w:ascii="Times New Roman" w:hAnsi="Times New Roman" w:cs="Times New Roman"/>
          <w:sz w:val="24"/>
          <w:szCs w:val="24"/>
        </w:rPr>
        <w:t>n</w:t>
      </w:r>
      <w:r w:rsidRPr="00F75C30">
        <w:rPr>
          <w:rFonts w:ascii="Times New Roman" w:hAnsi="Times New Roman" w:cs="Times New Roman"/>
          <w:sz w:val="24"/>
          <w:szCs w:val="24"/>
        </w:rPr>
        <w:t xml:space="preserve">ational </w:t>
      </w:r>
      <w:r>
        <w:rPr>
          <w:rFonts w:ascii="Times New Roman" w:hAnsi="Times New Roman" w:cs="Times New Roman"/>
          <w:sz w:val="24"/>
          <w:szCs w:val="24"/>
        </w:rPr>
        <w:t>c</w:t>
      </w:r>
      <w:r w:rsidRPr="00F75C30">
        <w:rPr>
          <w:rFonts w:ascii="Times New Roman" w:hAnsi="Times New Roman" w:cs="Times New Roman"/>
          <w:sz w:val="24"/>
          <w:szCs w:val="24"/>
        </w:rPr>
        <w:t xml:space="preserve">ourt is to interpret the whole of </w:t>
      </w:r>
      <w:r>
        <w:rPr>
          <w:rFonts w:ascii="Times New Roman" w:hAnsi="Times New Roman" w:cs="Times New Roman"/>
          <w:sz w:val="24"/>
          <w:szCs w:val="24"/>
        </w:rPr>
        <w:t>n</w:t>
      </w:r>
      <w:r w:rsidRPr="00F75C30">
        <w:rPr>
          <w:rFonts w:ascii="Times New Roman" w:hAnsi="Times New Roman" w:cs="Times New Roman"/>
          <w:sz w:val="24"/>
          <w:szCs w:val="24"/>
        </w:rPr>
        <w:t xml:space="preserve">ational law insofar as possible so as to conform with the Directive, but this does not extend to an obligation to interpret </w:t>
      </w:r>
      <w:r>
        <w:rPr>
          <w:rFonts w:ascii="Times New Roman" w:hAnsi="Times New Roman" w:cs="Times New Roman"/>
          <w:sz w:val="24"/>
          <w:szCs w:val="24"/>
        </w:rPr>
        <w:t>n</w:t>
      </w:r>
      <w:r w:rsidRPr="00F75C30">
        <w:rPr>
          <w:rFonts w:ascii="Times New Roman" w:hAnsi="Times New Roman" w:cs="Times New Roman"/>
          <w:sz w:val="24"/>
          <w:szCs w:val="24"/>
        </w:rPr>
        <w:t xml:space="preserve">ational law </w:t>
      </w:r>
      <w:r w:rsidRPr="00F75C30">
        <w:rPr>
          <w:rFonts w:ascii="Times New Roman" w:hAnsi="Times New Roman" w:cs="Times New Roman"/>
          <w:i/>
          <w:sz w:val="24"/>
          <w:szCs w:val="24"/>
        </w:rPr>
        <w:t xml:space="preserve">contra </w:t>
      </w:r>
      <w:proofErr w:type="spellStart"/>
      <w:r w:rsidRPr="00F75C30">
        <w:rPr>
          <w:rFonts w:ascii="Times New Roman" w:hAnsi="Times New Roman" w:cs="Times New Roman"/>
          <w:i/>
          <w:sz w:val="24"/>
          <w:szCs w:val="24"/>
        </w:rPr>
        <w:t>legem</w:t>
      </w:r>
      <w:proofErr w:type="spellEnd"/>
      <w:r w:rsidRPr="00F75C30">
        <w:rPr>
          <w:rFonts w:ascii="Times New Roman" w:hAnsi="Times New Roman" w:cs="Times New Roman"/>
          <w:sz w:val="24"/>
          <w:szCs w:val="24"/>
        </w:rPr>
        <w:t xml:space="preserve"> (see</w:t>
      </w:r>
      <w:r w:rsidR="005B6927">
        <w:rPr>
          <w:rFonts w:ascii="Times New Roman" w:hAnsi="Times New Roman" w:cs="Times New Roman"/>
          <w:sz w:val="24"/>
          <w:szCs w:val="24"/>
        </w:rPr>
        <w:t>,</w:t>
      </w:r>
      <w:r w:rsidRPr="00F75C30">
        <w:rPr>
          <w:rFonts w:ascii="Times New Roman" w:hAnsi="Times New Roman" w:cs="Times New Roman"/>
          <w:sz w:val="24"/>
          <w:szCs w:val="24"/>
        </w:rPr>
        <w:t xml:space="preserve"> Case </w:t>
      </w:r>
      <w:r w:rsidR="009E44A6">
        <w:rPr>
          <w:rFonts w:ascii="Times New Roman" w:hAnsi="Times New Roman" w:cs="Times New Roman"/>
          <w:sz w:val="24"/>
          <w:szCs w:val="24"/>
        </w:rPr>
        <w:t>C-</w:t>
      </w:r>
      <w:r w:rsidRPr="00F75C30">
        <w:rPr>
          <w:rFonts w:ascii="Times New Roman" w:hAnsi="Times New Roman" w:cs="Times New Roman"/>
          <w:sz w:val="24"/>
          <w:szCs w:val="24"/>
        </w:rPr>
        <w:t xml:space="preserve">152/84 </w:t>
      </w:r>
      <w:r w:rsidRPr="00F75C30">
        <w:rPr>
          <w:rFonts w:ascii="Times New Roman" w:hAnsi="Times New Roman" w:cs="Times New Roman"/>
          <w:i/>
          <w:sz w:val="24"/>
          <w:szCs w:val="24"/>
        </w:rPr>
        <w:t xml:space="preserve">Marshall </w:t>
      </w:r>
      <w:r w:rsidRPr="00F75C30">
        <w:rPr>
          <w:rFonts w:ascii="Times New Roman" w:hAnsi="Times New Roman" w:cs="Times New Roman"/>
          <w:sz w:val="24"/>
          <w:szCs w:val="24"/>
        </w:rPr>
        <w:t xml:space="preserve">and Case C-91/92 </w:t>
      </w:r>
      <w:r w:rsidRPr="00F75C30">
        <w:rPr>
          <w:rFonts w:ascii="Times New Roman" w:hAnsi="Times New Roman" w:cs="Times New Roman"/>
          <w:i/>
          <w:sz w:val="24"/>
          <w:szCs w:val="24"/>
        </w:rPr>
        <w:t>Faccini Dori</w:t>
      </w:r>
      <w:r>
        <w:rPr>
          <w:rFonts w:ascii="Times New Roman" w:hAnsi="Times New Roman" w:cs="Times New Roman"/>
          <w:sz w:val="24"/>
          <w:szCs w:val="24"/>
        </w:rPr>
        <w:t>)</w:t>
      </w:r>
      <w:r w:rsidR="0015051A">
        <w:rPr>
          <w:rFonts w:ascii="Times New Roman" w:hAnsi="Times New Roman" w:cs="Times New Roman"/>
          <w:sz w:val="24"/>
          <w:szCs w:val="24"/>
        </w:rPr>
        <w:t>.</w:t>
      </w:r>
      <w:r w:rsidRPr="00F75C30">
        <w:rPr>
          <w:rFonts w:ascii="Times New Roman" w:hAnsi="Times New Roman" w:cs="Times New Roman"/>
          <w:sz w:val="24"/>
          <w:szCs w:val="24"/>
        </w:rPr>
        <w:t xml:space="preserve">  It cited the decision of the Grand Chamber of the CJEU of 22 January 2019, Case C-193/17 </w:t>
      </w:r>
      <w:r w:rsidRPr="00F75C30">
        <w:rPr>
          <w:rFonts w:ascii="Times New Roman" w:hAnsi="Times New Roman" w:cs="Times New Roman"/>
          <w:i/>
          <w:sz w:val="24"/>
          <w:szCs w:val="24"/>
        </w:rPr>
        <w:t xml:space="preserve">Cresco Investigation </w:t>
      </w:r>
      <w:proofErr w:type="spellStart"/>
      <w:r w:rsidRPr="00F75C30">
        <w:rPr>
          <w:rFonts w:ascii="Times New Roman" w:hAnsi="Times New Roman" w:cs="Times New Roman"/>
          <w:i/>
          <w:sz w:val="24"/>
          <w:szCs w:val="24"/>
        </w:rPr>
        <w:t>GmBH</w:t>
      </w:r>
      <w:proofErr w:type="spellEnd"/>
      <w:r w:rsidR="009E44A6">
        <w:rPr>
          <w:rFonts w:ascii="Times New Roman" w:hAnsi="Times New Roman" w:cs="Times New Roman"/>
          <w:iCs/>
          <w:sz w:val="24"/>
          <w:szCs w:val="24"/>
        </w:rPr>
        <w:t>,</w:t>
      </w:r>
      <w:r w:rsidRPr="00F75C30">
        <w:rPr>
          <w:rFonts w:ascii="Times New Roman" w:hAnsi="Times New Roman" w:cs="Times New Roman"/>
          <w:i/>
          <w:sz w:val="24"/>
          <w:szCs w:val="24"/>
        </w:rPr>
        <w:t xml:space="preserve"> </w:t>
      </w:r>
      <w:r w:rsidRPr="00F75C30">
        <w:rPr>
          <w:rFonts w:ascii="Times New Roman" w:hAnsi="Times New Roman" w:cs="Times New Roman"/>
          <w:sz w:val="24"/>
          <w:szCs w:val="24"/>
        </w:rPr>
        <w:t>at paras. 72 and 73:</w:t>
      </w:r>
      <w:r w:rsidR="009E44A6">
        <w:rPr>
          <w:rFonts w:ascii="Times New Roman" w:hAnsi="Times New Roman" w:cs="Times New Roman"/>
          <w:sz w:val="24"/>
          <w:szCs w:val="24"/>
        </w:rPr>
        <w:t>-</w:t>
      </w:r>
    </w:p>
    <w:p w14:paraId="5B472F2C" w14:textId="608DB2F1" w:rsidR="004F7F38" w:rsidRPr="009E44A6" w:rsidRDefault="004F7F38" w:rsidP="009E44A6">
      <w:pPr>
        <w:pStyle w:val="ListParagraph"/>
        <w:spacing w:line="480" w:lineRule="auto"/>
        <w:ind w:left="567"/>
        <w:jc w:val="left"/>
      </w:pPr>
      <w:r>
        <w:rPr>
          <w:rFonts w:ascii="Times New Roman" w:hAnsi="Times New Roman" w:cs="Times New Roman"/>
          <w:i/>
          <w:sz w:val="24"/>
          <w:szCs w:val="24"/>
        </w:rPr>
        <w:t>“…</w:t>
      </w:r>
      <w:r w:rsidR="009E44A6">
        <w:rPr>
          <w:rFonts w:ascii="Times New Roman" w:hAnsi="Times New Roman" w:cs="Times New Roman"/>
          <w:i/>
          <w:sz w:val="24"/>
          <w:szCs w:val="24"/>
        </w:rPr>
        <w:t xml:space="preserve"> </w:t>
      </w:r>
      <w:r w:rsidRPr="00D753FD">
        <w:rPr>
          <w:rFonts w:ascii="Times New Roman" w:hAnsi="Times New Roman" w:cs="Times New Roman"/>
          <w:i/>
          <w:sz w:val="24"/>
          <w:szCs w:val="24"/>
        </w:rPr>
        <w:t>accord</w:t>
      </w:r>
      <w:r>
        <w:rPr>
          <w:rFonts w:ascii="Times New Roman" w:hAnsi="Times New Roman" w:cs="Times New Roman"/>
          <w:i/>
          <w:sz w:val="24"/>
          <w:szCs w:val="24"/>
        </w:rPr>
        <w:t>ing to the Court’s settled case</w:t>
      </w:r>
      <w:r w:rsidR="009E44A6">
        <w:rPr>
          <w:rFonts w:ascii="Times New Roman" w:hAnsi="Times New Roman" w:cs="Times New Roman"/>
          <w:i/>
          <w:sz w:val="24"/>
          <w:szCs w:val="24"/>
        </w:rPr>
        <w:t>-</w:t>
      </w:r>
      <w:r w:rsidRPr="00D753FD">
        <w:rPr>
          <w:rFonts w:ascii="Times New Roman" w:hAnsi="Times New Roman" w:cs="Times New Roman"/>
          <w:i/>
          <w:sz w:val="24"/>
          <w:szCs w:val="24"/>
        </w:rPr>
        <w:t>law, a directive cannot of itself impose obligations on an individual and cannot therefore be relied upon as such against an individual</w:t>
      </w:r>
      <w:r w:rsidR="009E44A6">
        <w:rPr>
          <w:rFonts w:ascii="Times New Roman" w:hAnsi="Times New Roman" w:cs="Times New Roman"/>
          <w:i/>
          <w:sz w:val="24"/>
          <w:szCs w:val="24"/>
        </w:rPr>
        <w:t xml:space="preserve">. </w:t>
      </w:r>
      <w:r>
        <w:rPr>
          <w:rFonts w:ascii="Times New Roman" w:hAnsi="Times New Roman" w:cs="Times New Roman"/>
          <w:i/>
          <w:sz w:val="24"/>
          <w:szCs w:val="24"/>
        </w:rPr>
        <w:t>…</w:t>
      </w:r>
    </w:p>
    <w:p w14:paraId="54E98EF0" w14:textId="7AF52297" w:rsidR="004F7F38" w:rsidRDefault="004F7F38" w:rsidP="004F7F38">
      <w:pPr>
        <w:pStyle w:val="ListParagraph"/>
        <w:spacing w:line="480" w:lineRule="auto"/>
        <w:ind w:left="567"/>
        <w:jc w:val="left"/>
        <w:rPr>
          <w:rFonts w:ascii="Times New Roman" w:hAnsi="Times New Roman" w:cs="Times New Roman"/>
          <w:i/>
          <w:sz w:val="24"/>
          <w:szCs w:val="24"/>
        </w:rPr>
      </w:pPr>
      <w:r>
        <w:rPr>
          <w:rFonts w:ascii="Times New Roman" w:hAnsi="Times New Roman" w:cs="Times New Roman"/>
          <w:i/>
          <w:sz w:val="24"/>
          <w:szCs w:val="24"/>
        </w:rPr>
        <w:t xml:space="preserve">Accordingly, a </w:t>
      </w:r>
      <w:r w:rsidR="00454EA0">
        <w:rPr>
          <w:rFonts w:ascii="Times New Roman" w:hAnsi="Times New Roman" w:cs="Times New Roman"/>
          <w:i/>
          <w:sz w:val="24"/>
          <w:szCs w:val="24"/>
        </w:rPr>
        <w:t>d</w:t>
      </w:r>
      <w:r>
        <w:rPr>
          <w:rFonts w:ascii="Times New Roman" w:hAnsi="Times New Roman" w:cs="Times New Roman"/>
          <w:i/>
          <w:sz w:val="24"/>
          <w:szCs w:val="24"/>
        </w:rPr>
        <w:t xml:space="preserve">irective cannot be relied on in a dispute between individuals for the purpose of setting aside legislation of a Member State that is contrary to that </w:t>
      </w:r>
      <w:r w:rsidR="00454EA0">
        <w:rPr>
          <w:rFonts w:ascii="Times New Roman" w:hAnsi="Times New Roman" w:cs="Times New Roman"/>
          <w:i/>
          <w:sz w:val="24"/>
          <w:szCs w:val="24"/>
        </w:rPr>
        <w:t>d</w:t>
      </w:r>
      <w:r>
        <w:rPr>
          <w:rFonts w:ascii="Times New Roman" w:hAnsi="Times New Roman" w:cs="Times New Roman"/>
          <w:i/>
          <w:sz w:val="24"/>
          <w:szCs w:val="24"/>
        </w:rPr>
        <w:t>irective…”</w:t>
      </w:r>
      <w:r w:rsidRPr="00D753FD">
        <w:rPr>
          <w:rFonts w:ascii="Times New Roman" w:hAnsi="Times New Roman" w:cs="Times New Roman"/>
          <w:i/>
          <w:sz w:val="24"/>
          <w:szCs w:val="24"/>
        </w:rPr>
        <w:t xml:space="preserve">. </w:t>
      </w:r>
    </w:p>
    <w:p w14:paraId="1F1D72DE" w14:textId="293CFB49" w:rsidR="004F7F38" w:rsidRDefault="004F7F38" w:rsidP="004F7F38">
      <w:pPr>
        <w:pStyle w:val="ListParagraph"/>
        <w:tabs>
          <w:tab w:val="left" w:pos="567"/>
        </w:tabs>
        <w:spacing w:line="480" w:lineRule="auto"/>
        <w:ind w:left="0"/>
        <w:jc w:val="left"/>
        <w:rPr>
          <w:rFonts w:ascii="Times New Roman" w:hAnsi="Times New Roman" w:cs="Times New Roman"/>
          <w:sz w:val="24"/>
          <w:szCs w:val="24"/>
        </w:rPr>
      </w:pPr>
      <w:r>
        <w:rPr>
          <w:rFonts w:ascii="Times New Roman" w:hAnsi="Times New Roman" w:cs="Times New Roman"/>
          <w:sz w:val="24"/>
          <w:szCs w:val="24"/>
        </w:rPr>
        <w:t xml:space="preserve">It noted that in Case C-351/12 </w:t>
      </w:r>
      <w:r>
        <w:rPr>
          <w:rFonts w:ascii="Times New Roman" w:hAnsi="Times New Roman" w:cs="Times New Roman"/>
          <w:i/>
          <w:sz w:val="24"/>
          <w:szCs w:val="24"/>
        </w:rPr>
        <w:t>OSA</w:t>
      </w:r>
      <w:r w:rsidR="00C05FEC">
        <w:rPr>
          <w:rFonts w:ascii="Times New Roman" w:hAnsi="Times New Roman" w:cs="Times New Roman"/>
          <w:iCs/>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the CJEU rejected the proposition that a copyright licensing body could disapply provisions of German law which excluded the defendant in that case from payment of royalties, contrary to the terms of a (different) copyright directive. </w:t>
      </w:r>
    </w:p>
    <w:p w14:paraId="47CC74C8" w14:textId="2380DFE3"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lastRenderedPageBreak/>
        <w:t>Separately, PPI argued that the High Court failed to distinguish PPI as a private defendant.  It said that its participation in the Article 267 reference concerning the possible non-transposition of the Directive into national law was more akin to a notice party in judicial review proceedings and that, while it is entitled to participate fully in order to protect its own interests, it was not permissible to award relief against notice parties in an application for judicial review.  By analogy</w:t>
      </w:r>
      <w:r w:rsidR="00C05FEC">
        <w:rPr>
          <w:rFonts w:ascii="Times New Roman" w:hAnsi="Times New Roman" w:cs="Times New Roman"/>
          <w:sz w:val="24"/>
          <w:szCs w:val="24"/>
        </w:rPr>
        <w:t>,</w:t>
      </w:r>
      <w:r>
        <w:rPr>
          <w:rFonts w:ascii="Times New Roman" w:hAnsi="Times New Roman" w:cs="Times New Roman"/>
          <w:sz w:val="24"/>
          <w:szCs w:val="24"/>
        </w:rPr>
        <w:t xml:space="preserve"> the principle should apply equally where an Article 267 reference </w:t>
      </w:r>
      <w:r>
        <w:rPr>
          <w:rFonts w:ascii="Times New Roman" w:hAnsi="Times New Roman" w:cs="Times New Roman"/>
          <w:i/>
          <w:sz w:val="24"/>
          <w:szCs w:val="24"/>
        </w:rPr>
        <w:t xml:space="preserve">“of this type” </w:t>
      </w:r>
      <w:r>
        <w:rPr>
          <w:rFonts w:ascii="Times New Roman" w:hAnsi="Times New Roman" w:cs="Times New Roman"/>
          <w:sz w:val="24"/>
          <w:szCs w:val="24"/>
        </w:rPr>
        <w:t>is made.  It said that the nature of the issues canvasse</w:t>
      </w:r>
      <w:r w:rsidR="00C05FEC">
        <w:rPr>
          <w:rFonts w:ascii="Times New Roman" w:hAnsi="Times New Roman" w:cs="Times New Roman"/>
          <w:sz w:val="24"/>
          <w:szCs w:val="24"/>
        </w:rPr>
        <w:t>d</w:t>
      </w:r>
      <w:r>
        <w:rPr>
          <w:rFonts w:ascii="Times New Roman" w:hAnsi="Times New Roman" w:cs="Times New Roman"/>
          <w:sz w:val="24"/>
          <w:szCs w:val="24"/>
        </w:rPr>
        <w:t xml:space="preserve"> </w:t>
      </w:r>
      <w:r>
        <w:rPr>
          <w:rFonts w:ascii="Times New Roman" w:hAnsi="Times New Roman" w:cs="Times New Roman"/>
          <w:i/>
          <w:sz w:val="24"/>
          <w:szCs w:val="24"/>
        </w:rPr>
        <w:t xml:space="preserve">“necessarily” </w:t>
      </w:r>
      <w:r>
        <w:rPr>
          <w:rFonts w:ascii="Times New Roman" w:hAnsi="Times New Roman" w:cs="Times New Roman"/>
          <w:sz w:val="24"/>
          <w:szCs w:val="24"/>
        </w:rPr>
        <w:t>limited the possibility of any relief being granted to the State defendant</w:t>
      </w:r>
      <w:r w:rsidR="00892F7F">
        <w:rPr>
          <w:rFonts w:ascii="Times New Roman" w:hAnsi="Times New Roman" w:cs="Times New Roman"/>
          <w:sz w:val="24"/>
          <w:szCs w:val="24"/>
        </w:rPr>
        <w:t>s</w:t>
      </w:r>
      <w:r>
        <w:rPr>
          <w:rFonts w:ascii="Times New Roman" w:hAnsi="Times New Roman" w:cs="Times New Roman"/>
          <w:sz w:val="24"/>
          <w:szCs w:val="24"/>
        </w:rPr>
        <w:t xml:space="preserve"> alone.</w:t>
      </w:r>
    </w:p>
    <w:p w14:paraId="09A8F719" w14:textId="50509F48" w:rsidR="004F7F38" w:rsidRPr="00C36A19"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It argued that in making the declaration as against PPI</w:t>
      </w:r>
      <w:r w:rsidR="00E73CE3">
        <w:rPr>
          <w:rFonts w:ascii="Times New Roman" w:hAnsi="Times New Roman" w:cs="Times New Roman"/>
          <w:sz w:val="24"/>
          <w:szCs w:val="24"/>
        </w:rPr>
        <w:t>,</w:t>
      </w:r>
      <w:r>
        <w:rPr>
          <w:rFonts w:ascii="Times New Roman" w:hAnsi="Times New Roman" w:cs="Times New Roman"/>
          <w:sz w:val="24"/>
          <w:szCs w:val="24"/>
        </w:rPr>
        <w:t xml:space="preserve"> the High Court</w:t>
      </w:r>
      <w:r w:rsidR="004B6CBD">
        <w:rPr>
          <w:rFonts w:ascii="Times New Roman" w:hAnsi="Times New Roman" w:cs="Times New Roman"/>
          <w:sz w:val="24"/>
          <w:szCs w:val="24"/>
        </w:rPr>
        <w:t>,</w:t>
      </w:r>
      <w:r>
        <w:rPr>
          <w:rFonts w:ascii="Times New Roman" w:hAnsi="Times New Roman" w:cs="Times New Roman"/>
          <w:sz w:val="24"/>
          <w:szCs w:val="24"/>
        </w:rPr>
        <w:t xml:space="preserve"> in effect</w:t>
      </w:r>
      <w:r w:rsidR="004B6CBD">
        <w:rPr>
          <w:rFonts w:ascii="Times New Roman" w:hAnsi="Times New Roman" w:cs="Times New Roman"/>
          <w:sz w:val="24"/>
          <w:szCs w:val="24"/>
        </w:rPr>
        <w:t>,</w:t>
      </w:r>
      <w:r>
        <w:rPr>
          <w:rFonts w:ascii="Times New Roman" w:hAnsi="Times New Roman" w:cs="Times New Roman"/>
          <w:sz w:val="24"/>
          <w:szCs w:val="24"/>
        </w:rPr>
        <w:t xml:space="preserve"> pre-emptively found that the Directive applied to the dispute between the parties, despite the </w:t>
      </w:r>
      <w:r w:rsidR="00F46465">
        <w:rPr>
          <w:rFonts w:ascii="Times New Roman" w:hAnsi="Times New Roman" w:cs="Times New Roman"/>
          <w:sz w:val="24"/>
          <w:szCs w:val="24"/>
        </w:rPr>
        <w:t xml:space="preserve">trial </w:t>
      </w:r>
      <w:r>
        <w:rPr>
          <w:rFonts w:ascii="Times New Roman" w:hAnsi="Times New Roman" w:cs="Times New Roman"/>
          <w:sz w:val="24"/>
          <w:szCs w:val="24"/>
        </w:rPr>
        <w:t xml:space="preserve">judge’s stated position at para. 20 of the judgment that </w:t>
      </w:r>
      <w:r>
        <w:rPr>
          <w:rFonts w:ascii="Times New Roman" w:hAnsi="Times New Roman" w:cs="Times New Roman"/>
          <w:i/>
          <w:sz w:val="24"/>
          <w:szCs w:val="24"/>
        </w:rPr>
        <w:t>“</w:t>
      </w:r>
      <w:r w:rsidR="00E73CE3">
        <w:rPr>
          <w:rFonts w:ascii="Times New Roman" w:hAnsi="Times New Roman" w:cs="Times New Roman"/>
          <w:i/>
          <w:sz w:val="24"/>
          <w:szCs w:val="24"/>
        </w:rPr>
        <w:t>[t]</w:t>
      </w:r>
      <w:r>
        <w:rPr>
          <w:rFonts w:ascii="Times New Roman" w:hAnsi="Times New Roman" w:cs="Times New Roman"/>
          <w:i/>
          <w:sz w:val="24"/>
          <w:szCs w:val="24"/>
        </w:rPr>
        <w:t xml:space="preserve">his </w:t>
      </w:r>
      <w:r w:rsidR="00E73CE3">
        <w:rPr>
          <w:rFonts w:ascii="Times New Roman" w:hAnsi="Times New Roman" w:cs="Times New Roman"/>
          <w:i/>
          <w:sz w:val="24"/>
          <w:szCs w:val="24"/>
        </w:rPr>
        <w:t>c</w:t>
      </w:r>
      <w:r>
        <w:rPr>
          <w:rFonts w:ascii="Times New Roman" w:hAnsi="Times New Roman" w:cs="Times New Roman"/>
          <w:i/>
          <w:sz w:val="24"/>
          <w:szCs w:val="24"/>
        </w:rPr>
        <w:t>ourt has not been asked to determine – and did not determine – what the consequences of a finding of non-transposition would be for the underline dispute between the parties.”</w:t>
      </w:r>
      <w:r>
        <w:rPr>
          <w:rFonts w:ascii="Times New Roman" w:hAnsi="Times New Roman" w:cs="Times New Roman"/>
          <w:sz w:val="24"/>
          <w:szCs w:val="24"/>
        </w:rPr>
        <w:t xml:space="preserve">  PPI argued that the High Court erred in awarding any relief </w:t>
      </w:r>
      <w:r>
        <w:rPr>
          <w:rFonts w:ascii="Times New Roman" w:hAnsi="Times New Roman" w:cs="Times New Roman"/>
          <w:i/>
          <w:sz w:val="24"/>
          <w:szCs w:val="24"/>
        </w:rPr>
        <w:t xml:space="preserve">“as against” </w:t>
      </w:r>
      <w:r>
        <w:rPr>
          <w:rFonts w:ascii="Times New Roman" w:hAnsi="Times New Roman" w:cs="Times New Roman"/>
          <w:sz w:val="24"/>
          <w:szCs w:val="24"/>
        </w:rPr>
        <w:t xml:space="preserve">PPI because the relief awarded against PPI </w:t>
      </w:r>
      <w:r>
        <w:rPr>
          <w:rFonts w:ascii="Times New Roman" w:hAnsi="Times New Roman" w:cs="Times New Roman"/>
          <w:i/>
          <w:sz w:val="24"/>
          <w:szCs w:val="24"/>
        </w:rPr>
        <w:t>“could only be in resolution or part-resolution of the contractual dispute between RAAP and PPI, which Simons J. expressly found could not be addressed.”</w:t>
      </w:r>
    </w:p>
    <w:p w14:paraId="321C36C6" w14:textId="3FFB7575"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PPI submitted that the High Court erred in failing to consider whether or not RAAP should be awarded relief against PPI as distinct from the question of the correct interpretation of the Directive.  It submitted that the onus lay on RAAP</w:t>
      </w:r>
      <w:r w:rsidR="006669C4">
        <w:rPr>
          <w:rFonts w:ascii="Times New Roman" w:hAnsi="Times New Roman" w:cs="Times New Roman"/>
          <w:sz w:val="24"/>
          <w:szCs w:val="24"/>
        </w:rPr>
        <w:t>,</w:t>
      </w:r>
      <w:r>
        <w:rPr>
          <w:rFonts w:ascii="Times New Roman" w:hAnsi="Times New Roman" w:cs="Times New Roman"/>
          <w:sz w:val="24"/>
          <w:szCs w:val="24"/>
        </w:rPr>
        <w:t xml:space="preserve"> as the plaintiff</w:t>
      </w:r>
      <w:r w:rsidR="006669C4">
        <w:rPr>
          <w:rFonts w:ascii="Times New Roman" w:hAnsi="Times New Roman" w:cs="Times New Roman"/>
          <w:sz w:val="24"/>
          <w:szCs w:val="24"/>
        </w:rPr>
        <w:t>,</w:t>
      </w:r>
      <w:r>
        <w:rPr>
          <w:rFonts w:ascii="Times New Roman" w:hAnsi="Times New Roman" w:cs="Times New Roman"/>
          <w:sz w:val="24"/>
          <w:szCs w:val="24"/>
        </w:rPr>
        <w:t xml:space="preserve"> to prove that it was entitled to the relief sought as against each defendant.  The judgment of the CJEU settled the question as to the correct interpretation of the Directive</w:t>
      </w:r>
      <w:r w:rsidR="006669C4">
        <w:rPr>
          <w:rFonts w:ascii="Times New Roman" w:hAnsi="Times New Roman" w:cs="Times New Roman"/>
          <w:sz w:val="24"/>
          <w:szCs w:val="24"/>
        </w:rPr>
        <w:t>,</w:t>
      </w:r>
      <w:r>
        <w:rPr>
          <w:rFonts w:ascii="Times New Roman" w:hAnsi="Times New Roman" w:cs="Times New Roman"/>
          <w:sz w:val="24"/>
          <w:szCs w:val="24"/>
        </w:rPr>
        <w:t xml:space="preserve"> but not the question as to whether RAAP was entitled to a declaration against PPI under national law.  It argued that there was no basis for placing the onus on PPI to disprove RAAP’s entitlement to relief against it simply because PPI sought to have the preliminary issues in RAAP’s case tried using RAAP’s own wording taken from the statement of claim. </w:t>
      </w:r>
      <w:r w:rsidR="006669C4">
        <w:rPr>
          <w:rFonts w:ascii="Times New Roman" w:hAnsi="Times New Roman" w:cs="Times New Roman"/>
          <w:sz w:val="24"/>
          <w:szCs w:val="24"/>
        </w:rPr>
        <w:t xml:space="preserve"> </w:t>
      </w:r>
      <w:r>
        <w:rPr>
          <w:rFonts w:ascii="Times New Roman" w:hAnsi="Times New Roman" w:cs="Times New Roman"/>
          <w:sz w:val="24"/>
          <w:szCs w:val="24"/>
        </w:rPr>
        <w:t xml:space="preserve">It said that, equally, there was no </w:t>
      </w:r>
      <w:r>
        <w:rPr>
          <w:rFonts w:ascii="Times New Roman" w:hAnsi="Times New Roman" w:cs="Times New Roman"/>
          <w:sz w:val="24"/>
          <w:szCs w:val="24"/>
        </w:rPr>
        <w:lastRenderedPageBreak/>
        <w:t xml:space="preserve">basis for finding that by strongly contesting the issue of the correct interpretation of the Directive, PPI had conceded the issue of whether or not relief could be awarded against it, were PPI’s interpretation found to be incorrect. </w:t>
      </w:r>
    </w:p>
    <w:p w14:paraId="7F6E28B6" w14:textId="716713A1"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In the alternative, PPI argued that a qualified declaration ought to have been made as against PPI specifying that this could have no effect on the contractual arrangements between RAAP and PPI unless and/or until the Oireachtas amended the applicable Irish legislation to impose an obligation on PPI in national law, which would then apply prospectively and not retrospectively.  It argued that any changes in national law will be of prospective effect only and to the extent that RAAP has any claim to losses for the period in which there should have been different national legislation in place, its remedy would lie against the State in damages, if the State’s breach could be shown to be sufficiently serious within the meaning of the </w:t>
      </w:r>
      <w:r>
        <w:rPr>
          <w:rFonts w:ascii="Times New Roman" w:hAnsi="Times New Roman" w:cs="Times New Roman"/>
          <w:i/>
          <w:sz w:val="24"/>
          <w:szCs w:val="24"/>
        </w:rPr>
        <w:t xml:space="preserve">Francovich </w:t>
      </w:r>
      <w:r>
        <w:rPr>
          <w:rFonts w:ascii="Times New Roman" w:hAnsi="Times New Roman" w:cs="Times New Roman"/>
          <w:sz w:val="24"/>
          <w:szCs w:val="24"/>
        </w:rPr>
        <w:t xml:space="preserve">principles.  </w:t>
      </w:r>
    </w:p>
    <w:p w14:paraId="401CC5B4" w14:textId="5342EDB7"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In oral submissions on the appeal, counsel for PPI said that in order for RAAP to succeed on what he described as the depend</w:t>
      </w:r>
      <w:r w:rsidR="004B6CBD">
        <w:rPr>
          <w:rFonts w:ascii="Times New Roman" w:hAnsi="Times New Roman" w:cs="Times New Roman"/>
          <w:sz w:val="24"/>
          <w:szCs w:val="24"/>
        </w:rPr>
        <w:t>e</w:t>
      </w:r>
      <w:r>
        <w:rPr>
          <w:rFonts w:ascii="Times New Roman" w:hAnsi="Times New Roman" w:cs="Times New Roman"/>
          <w:sz w:val="24"/>
          <w:szCs w:val="24"/>
        </w:rPr>
        <w:t xml:space="preserve">nt contractual claims, RAAP must be correct as to the interpretation of the Directive </w:t>
      </w:r>
      <w:r w:rsidRPr="008C3E0F">
        <w:rPr>
          <w:rFonts w:ascii="Times New Roman" w:hAnsi="Times New Roman" w:cs="Times New Roman"/>
          <w:i/>
          <w:sz w:val="24"/>
          <w:szCs w:val="24"/>
        </w:rPr>
        <w:t>and</w:t>
      </w:r>
      <w:r>
        <w:rPr>
          <w:rFonts w:ascii="Times New Roman" w:hAnsi="Times New Roman" w:cs="Times New Roman"/>
          <w:sz w:val="24"/>
          <w:szCs w:val="24"/>
        </w:rPr>
        <w:t xml:space="preserve"> it must succeed on the conforming interpretation argument.  While it succeeded on the former, it failed on the latter.  It had not appealed the trial judge’s finding that a conforming interpretation of the Act was not possible.  Accordingly, this is a binding finding.  It follows, according to PPI, that RAAP’s depend</w:t>
      </w:r>
      <w:r w:rsidR="004B6CBD">
        <w:rPr>
          <w:rFonts w:ascii="Times New Roman" w:hAnsi="Times New Roman" w:cs="Times New Roman"/>
          <w:sz w:val="24"/>
          <w:szCs w:val="24"/>
        </w:rPr>
        <w:t>e</w:t>
      </w:r>
      <w:r>
        <w:rPr>
          <w:rFonts w:ascii="Times New Roman" w:hAnsi="Times New Roman" w:cs="Times New Roman"/>
          <w:sz w:val="24"/>
          <w:szCs w:val="24"/>
        </w:rPr>
        <w:t>nt contractual claims must fail as the claim for breach of agreement based upon the construction of the Act has now been definitively decided against it.</w:t>
      </w:r>
    </w:p>
    <w:p w14:paraId="2AD96056" w14:textId="0E280406"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Counsel contended that declaration </w:t>
      </w:r>
      <w:r w:rsidR="00E84DC4">
        <w:rPr>
          <w:rFonts w:ascii="Times New Roman" w:hAnsi="Times New Roman" w:cs="Times New Roman"/>
          <w:sz w:val="24"/>
          <w:szCs w:val="24"/>
        </w:rPr>
        <w:t>(</w:t>
      </w:r>
      <w:r>
        <w:rPr>
          <w:rFonts w:ascii="Times New Roman" w:hAnsi="Times New Roman" w:cs="Times New Roman"/>
          <w:sz w:val="24"/>
          <w:szCs w:val="24"/>
        </w:rPr>
        <w:t>1</w:t>
      </w:r>
      <w:r w:rsidR="00E84DC4">
        <w:rPr>
          <w:rFonts w:ascii="Times New Roman" w:hAnsi="Times New Roman" w:cs="Times New Roman"/>
          <w:sz w:val="24"/>
          <w:szCs w:val="24"/>
        </w:rPr>
        <w:t>)</w:t>
      </w:r>
      <w:r>
        <w:rPr>
          <w:rFonts w:ascii="Times New Roman" w:hAnsi="Times New Roman" w:cs="Times New Roman"/>
          <w:sz w:val="24"/>
          <w:szCs w:val="24"/>
        </w:rPr>
        <w:t xml:space="preserve"> in the </w:t>
      </w:r>
      <w:r w:rsidR="00E84DC4">
        <w:rPr>
          <w:rFonts w:ascii="Times New Roman" w:hAnsi="Times New Roman" w:cs="Times New Roman"/>
          <w:sz w:val="24"/>
          <w:szCs w:val="24"/>
        </w:rPr>
        <w:t>o</w:t>
      </w:r>
      <w:r>
        <w:rPr>
          <w:rFonts w:ascii="Times New Roman" w:hAnsi="Times New Roman" w:cs="Times New Roman"/>
          <w:sz w:val="24"/>
          <w:szCs w:val="24"/>
        </w:rPr>
        <w:t xml:space="preserve">rder for the trial of a preliminary issue, is ancillary to declarations </w:t>
      </w:r>
      <w:r w:rsidR="00E84DC4">
        <w:rPr>
          <w:rFonts w:ascii="Times New Roman" w:hAnsi="Times New Roman" w:cs="Times New Roman"/>
          <w:sz w:val="24"/>
          <w:szCs w:val="24"/>
        </w:rPr>
        <w:t>(</w:t>
      </w:r>
      <w:r>
        <w:rPr>
          <w:rFonts w:ascii="Times New Roman" w:hAnsi="Times New Roman" w:cs="Times New Roman"/>
          <w:sz w:val="24"/>
          <w:szCs w:val="24"/>
        </w:rPr>
        <w:t>2</w:t>
      </w:r>
      <w:r w:rsidR="00E84DC4">
        <w:rPr>
          <w:rFonts w:ascii="Times New Roman" w:hAnsi="Times New Roman" w:cs="Times New Roman"/>
          <w:sz w:val="24"/>
          <w:szCs w:val="24"/>
        </w:rPr>
        <w:t>)</w:t>
      </w:r>
      <w:r>
        <w:rPr>
          <w:rFonts w:ascii="Times New Roman" w:hAnsi="Times New Roman" w:cs="Times New Roman"/>
          <w:sz w:val="24"/>
          <w:szCs w:val="24"/>
        </w:rPr>
        <w:t xml:space="preserve"> or </w:t>
      </w:r>
      <w:r w:rsidR="00E84DC4">
        <w:rPr>
          <w:rFonts w:ascii="Times New Roman" w:hAnsi="Times New Roman" w:cs="Times New Roman"/>
          <w:sz w:val="24"/>
          <w:szCs w:val="24"/>
        </w:rPr>
        <w:t>(</w:t>
      </w:r>
      <w:r>
        <w:rPr>
          <w:rFonts w:ascii="Times New Roman" w:hAnsi="Times New Roman" w:cs="Times New Roman"/>
          <w:sz w:val="24"/>
          <w:szCs w:val="24"/>
        </w:rPr>
        <w:t>3</w:t>
      </w:r>
      <w:r w:rsidR="00E84DC4">
        <w:rPr>
          <w:rFonts w:ascii="Times New Roman" w:hAnsi="Times New Roman" w:cs="Times New Roman"/>
          <w:sz w:val="24"/>
          <w:szCs w:val="24"/>
        </w:rPr>
        <w:t>)</w:t>
      </w:r>
      <w:r>
        <w:rPr>
          <w:rFonts w:ascii="Times New Roman" w:hAnsi="Times New Roman" w:cs="Times New Roman"/>
          <w:sz w:val="24"/>
          <w:szCs w:val="24"/>
        </w:rPr>
        <w:t xml:space="preserve">; the </w:t>
      </w:r>
      <w:r w:rsidR="00E84DC4">
        <w:rPr>
          <w:rFonts w:ascii="Times New Roman" w:hAnsi="Times New Roman" w:cs="Times New Roman"/>
          <w:sz w:val="24"/>
          <w:szCs w:val="24"/>
        </w:rPr>
        <w:t>c</w:t>
      </w:r>
      <w:r>
        <w:rPr>
          <w:rFonts w:ascii="Times New Roman" w:hAnsi="Times New Roman" w:cs="Times New Roman"/>
          <w:sz w:val="24"/>
          <w:szCs w:val="24"/>
        </w:rPr>
        <w:t xml:space="preserve">ourt granted declaration </w:t>
      </w:r>
      <w:r w:rsidR="00E84DC4">
        <w:rPr>
          <w:rFonts w:ascii="Times New Roman" w:hAnsi="Times New Roman" w:cs="Times New Roman"/>
          <w:sz w:val="24"/>
          <w:szCs w:val="24"/>
        </w:rPr>
        <w:t>(</w:t>
      </w:r>
      <w:r>
        <w:rPr>
          <w:rFonts w:ascii="Times New Roman" w:hAnsi="Times New Roman" w:cs="Times New Roman"/>
          <w:sz w:val="24"/>
          <w:szCs w:val="24"/>
        </w:rPr>
        <w:t>3</w:t>
      </w:r>
      <w:r w:rsidR="00E84DC4">
        <w:rPr>
          <w:rFonts w:ascii="Times New Roman" w:hAnsi="Times New Roman" w:cs="Times New Roman"/>
          <w:sz w:val="24"/>
          <w:szCs w:val="24"/>
        </w:rPr>
        <w:t>)</w:t>
      </w:r>
      <w:r>
        <w:rPr>
          <w:rFonts w:ascii="Times New Roman" w:hAnsi="Times New Roman" w:cs="Times New Roman"/>
          <w:sz w:val="24"/>
          <w:szCs w:val="24"/>
        </w:rPr>
        <w:t xml:space="preserve"> and PPI was only interested in declaration </w:t>
      </w:r>
      <w:r w:rsidR="00E84DC4">
        <w:rPr>
          <w:rFonts w:ascii="Times New Roman" w:hAnsi="Times New Roman" w:cs="Times New Roman"/>
          <w:sz w:val="24"/>
          <w:szCs w:val="24"/>
        </w:rPr>
        <w:t>(</w:t>
      </w:r>
      <w:r>
        <w:rPr>
          <w:rFonts w:ascii="Times New Roman" w:hAnsi="Times New Roman" w:cs="Times New Roman"/>
          <w:sz w:val="24"/>
          <w:szCs w:val="24"/>
        </w:rPr>
        <w:t>1</w:t>
      </w:r>
      <w:r w:rsidR="00E84DC4">
        <w:rPr>
          <w:rFonts w:ascii="Times New Roman" w:hAnsi="Times New Roman" w:cs="Times New Roman"/>
          <w:sz w:val="24"/>
          <w:szCs w:val="24"/>
        </w:rPr>
        <w:t>)</w:t>
      </w:r>
      <w:r>
        <w:rPr>
          <w:rFonts w:ascii="Times New Roman" w:hAnsi="Times New Roman" w:cs="Times New Roman"/>
          <w:sz w:val="24"/>
          <w:szCs w:val="24"/>
        </w:rPr>
        <w:t xml:space="preserve"> insofar as it related to declaration </w:t>
      </w:r>
      <w:r w:rsidR="00E84DC4">
        <w:rPr>
          <w:rFonts w:ascii="Times New Roman" w:hAnsi="Times New Roman" w:cs="Times New Roman"/>
          <w:sz w:val="24"/>
          <w:szCs w:val="24"/>
        </w:rPr>
        <w:t>(</w:t>
      </w:r>
      <w:r>
        <w:rPr>
          <w:rFonts w:ascii="Times New Roman" w:hAnsi="Times New Roman" w:cs="Times New Roman"/>
          <w:sz w:val="24"/>
          <w:szCs w:val="24"/>
        </w:rPr>
        <w:t>2</w:t>
      </w:r>
      <w:r w:rsidR="00E84DC4">
        <w:rPr>
          <w:rFonts w:ascii="Times New Roman" w:hAnsi="Times New Roman" w:cs="Times New Roman"/>
          <w:sz w:val="24"/>
          <w:szCs w:val="24"/>
        </w:rPr>
        <w:t>)</w:t>
      </w:r>
      <w:r>
        <w:rPr>
          <w:rFonts w:ascii="Times New Roman" w:hAnsi="Times New Roman" w:cs="Times New Roman"/>
          <w:sz w:val="24"/>
          <w:szCs w:val="24"/>
        </w:rPr>
        <w:t xml:space="preserve">.  Therefore, he said, PPI had effectively succeeded in the trial of the preliminary issue, albeit that RAAP had succeeded in its case against the State defendants.  </w:t>
      </w:r>
    </w:p>
    <w:p w14:paraId="705183D4" w14:textId="302F24F6"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lastRenderedPageBreak/>
        <w:t>PPI</w:t>
      </w:r>
      <w:r w:rsidRPr="00C36A19">
        <w:rPr>
          <w:rFonts w:ascii="Times New Roman" w:hAnsi="Times New Roman" w:cs="Times New Roman"/>
          <w:sz w:val="24"/>
          <w:szCs w:val="24"/>
        </w:rPr>
        <w:t xml:space="preserve"> </w:t>
      </w:r>
      <w:r>
        <w:rPr>
          <w:rFonts w:ascii="Times New Roman" w:hAnsi="Times New Roman" w:cs="Times New Roman"/>
          <w:sz w:val="24"/>
          <w:szCs w:val="24"/>
        </w:rPr>
        <w:t xml:space="preserve">argued that the identity of the party applying for the trial of a preliminary issue is irrelevant to any order the </w:t>
      </w:r>
      <w:r w:rsidR="00E84DC4">
        <w:rPr>
          <w:rFonts w:ascii="Times New Roman" w:hAnsi="Times New Roman" w:cs="Times New Roman"/>
          <w:sz w:val="24"/>
          <w:szCs w:val="24"/>
        </w:rPr>
        <w:t>c</w:t>
      </w:r>
      <w:r>
        <w:rPr>
          <w:rFonts w:ascii="Times New Roman" w:hAnsi="Times New Roman" w:cs="Times New Roman"/>
          <w:sz w:val="24"/>
          <w:szCs w:val="24"/>
        </w:rPr>
        <w:t xml:space="preserve">ourt may make (save possibly as to costs).  Declaration </w:t>
      </w:r>
      <w:r w:rsidR="00E84DC4">
        <w:rPr>
          <w:rFonts w:ascii="Times New Roman" w:hAnsi="Times New Roman" w:cs="Times New Roman"/>
          <w:sz w:val="24"/>
          <w:szCs w:val="24"/>
        </w:rPr>
        <w:t>(</w:t>
      </w:r>
      <w:r>
        <w:rPr>
          <w:rFonts w:ascii="Times New Roman" w:hAnsi="Times New Roman" w:cs="Times New Roman"/>
          <w:sz w:val="24"/>
          <w:szCs w:val="24"/>
        </w:rPr>
        <w:t>1</w:t>
      </w:r>
      <w:r w:rsidR="00E84DC4">
        <w:rPr>
          <w:rFonts w:ascii="Times New Roman" w:hAnsi="Times New Roman" w:cs="Times New Roman"/>
          <w:sz w:val="24"/>
          <w:szCs w:val="24"/>
        </w:rPr>
        <w:t>)</w:t>
      </w:r>
      <w:r>
        <w:rPr>
          <w:rFonts w:ascii="Times New Roman" w:hAnsi="Times New Roman" w:cs="Times New Roman"/>
          <w:sz w:val="24"/>
          <w:szCs w:val="24"/>
        </w:rPr>
        <w:t xml:space="preserve"> could only be justified against PPI if there was the possibility of a claim based upon the direct effect of the Directive against PPI.  As there can be no such horizontal direct effect between RAAP and PPI, there can be no declaration against PPI.  In this regard</w:t>
      </w:r>
      <w:r w:rsidR="00E84DC4">
        <w:rPr>
          <w:rFonts w:ascii="Times New Roman" w:hAnsi="Times New Roman" w:cs="Times New Roman"/>
          <w:sz w:val="24"/>
          <w:szCs w:val="24"/>
        </w:rPr>
        <w:t>,</w:t>
      </w:r>
      <w:r>
        <w:rPr>
          <w:rFonts w:ascii="Times New Roman" w:hAnsi="Times New Roman" w:cs="Times New Roman"/>
          <w:sz w:val="24"/>
          <w:szCs w:val="24"/>
        </w:rPr>
        <w:t xml:space="preserve"> counsel relied upon the decisions of the CJEU in </w:t>
      </w:r>
      <w:r>
        <w:rPr>
          <w:rFonts w:ascii="Times New Roman" w:hAnsi="Times New Roman" w:cs="Times New Roman"/>
          <w:i/>
          <w:sz w:val="24"/>
          <w:szCs w:val="24"/>
        </w:rPr>
        <w:t xml:space="preserve">Cresco </w:t>
      </w:r>
      <w:r>
        <w:rPr>
          <w:rFonts w:ascii="Times New Roman" w:hAnsi="Times New Roman" w:cs="Times New Roman"/>
          <w:sz w:val="24"/>
          <w:szCs w:val="24"/>
        </w:rPr>
        <w:t xml:space="preserve">and </w:t>
      </w:r>
      <w:r>
        <w:rPr>
          <w:rFonts w:ascii="Times New Roman" w:hAnsi="Times New Roman" w:cs="Times New Roman"/>
          <w:i/>
          <w:sz w:val="24"/>
          <w:szCs w:val="24"/>
        </w:rPr>
        <w:t>OSA</w:t>
      </w:r>
      <w:r>
        <w:rPr>
          <w:rFonts w:ascii="Times New Roman" w:hAnsi="Times New Roman" w:cs="Times New Roman"/>
          <w:sz w:val="24"/>
          <w:szCs w:val="24"/>
        </w:rPr>
        <w:t xml:space="preserve">.  </w:t>
      </w:r>
    </w:p>
    <w:p w14:paraId="023B4BE3" w14:textId="1BA9AF7C"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In the alternative, counsel submitted that the declaration was unnecessary because the CJEU has pronounced the law and there would be a danger that if the declaration was granted that RAAP will maintain </w:t>
      </w:r>
      <w:r>
        <w:rPr>
          <w:rFonts w:ascii="Times New Roman" w:hAnsi="Times New Roman" w:cs="Times New Roman"/>
          <w:i/>
          <w:sz w:val="24"/>
          <w:szCs w:val="24"/>
        </w:rPr>
        <w:t xml:space="preserve">“that the Directive now governs the dealings between RAAP and PPI, which it clearly does not.” </w:t>
      </w:r>
      <w:r>
        <w:rPr>
          <w:rFonts w:ascii="Times New Roman" w:hAnsi="Times New Roman" w:cs="Times New Roman"/>
          <w:b/>
          <w:sz w:val="24"/>
          <w:szCs w:val="24"/>
        </w:rPr>
        <w:t xml:space="preserve"> </w:t>
      </w:r>
      <w:r>
        <w:rPr>
          <w:rFonts w:ascii="Times New Roman" w:hAnsi="Times New Roman" w:cs="Times New Roman"/>
          <w:sz w:val="24"/>
          <w:szCs w:val="24"/>
        </w:rPr>
        <w:t>Counsel submitted that:</w:t>
      </w:r>
      <w:r w:rsidR="00B12E04">
        <w:rPr>
          <w:rFonts w:ascii="Times New Roman" w:hAnsi="Times New Roman" w:cs="Times New Roman"/>
          <w:sz w:val="24"/>
          <w:szCs w:val="24"/>
        </w:rPr>
        <w:t>-</w:t>
      </w:r>
    </w:p>
    <w:p w14:paraId="37DAFE49" w14:textId="77777777" w:rsidR="004F7F38" w:rsidRDefault="004F7F38" w:rsidP="004F7F38">
      <w:pPr>
        <w:pStyle w:val="ListParagraph"/>
        <w:spacing w:line="480" w:lineRule="auto"/>
        <w:ind w:left="567"/>
        <w:jc w:val="left"/>
        <w:rPr>
          <w:rFonts w:ascii="Times New Roman" w:hAnsi="Times New Roman" w:cs="Times New Roman"/>
          <w:i/>
          <w:sz w:val="24"/>
          <w:szCs w:val="24"/>
        </w:rPr>
      </w:pPr>
      <w:r>
        <w:rPr>
          <w:rFonts w:ascii="Times New Roman" w:hAnsi="Times New Roman" w:cs="Times New Roman"/>
          <w:i/>
          <w:sz w:val="24"/>
          <w:szCs w:val="24"/>
        </w:rPr>
        <w:t>“PPI cannot be liable historically or into the future based on the Directive without it being transposed into domestic law.”</w:t>
      </w:r>
    </w:p>
    <w:p w14:paraId="675A008D" w14:textId="3E30605F" w:rsidR="004F7F38" w:rsidRDefault="004F7F38" w:rsidP="004F7F38">
      <w:pPr>
        <w:pStyle w:val="ListParagraph"/>
        <w:spacing w:line="480" w:lineRule="auto"/>
        <w:ind w:left="0"/>
        <w:jc w:val="left"/>
        <w:rPr>
          <w:rFonts w:ascii="Times New Roman" w:hAnsi="Times New Roman" w:cs="Times New Roman"/>
          <w:sz w:val="24"/>
          <w:szCs w:val="24"/>
        </w:rPr>
      </w:pPr>
      <w:r>
        <w:rPr>
          <w:rFonts w:ascii="Times New Roman" w:hAnsi="Times New Roman" w:cs="Times New Roman"/>
          <w:sz w:val="24"/>
          <w:szCs w:val="24"/>
        </w:rPr>
        <w:t>And, he continued:</w:t>
      </w:r>
      <w:r w:rsidR="00B12E04">
        <w:rPr>
          <w:rFonts w:ascii="Times New Roman" w:hAnsi="Times New Roman" w:cs="Times New Roman"/>
          <w:sz w:val="24"/>
          <w:szCs w:val="24"/>
        </w:rPr>
        <w:t>-</w:t>
      </w:r>
    </w:p>
    <w:p w14:paraId="02D3FD63" w14:textId="6FE65213" w:rsidR="004F7F38" w:rsidRPr="001251AE" w:rsidRDefault="004F7F38" w:rsidP="004F7F38">
      <w:pPr>
        <w:pStyle w:val="ListParagraph"/>
        <w:spacing w:line="480" w:lineRule="auto"/>
        <w:ind w:left="567"/>
        <w:jc w:val="left"/>
        <w:rPr>
          <w:rFonts w:ascii="Times New Roman" w:hAnsi="Times New Roman" w:cs="Times New Roman"/>
          <w:i/>
          <w:sz w:val="24"/>
          <w:szCs w:val="24"/>
        </w:rPr>
      </w:pPr>
      <w:r>
        <w:rPr>
          <w:rFonts w:ascii="Times New Roman" w:hAnsi="Times New Roman" w:cs="Times New Roman"/>
          <w:i/>
          <w:sz w:val="24"/>
          <w:szCs w:val="24"/>
        </w:rPr>
        <w:t>“It cannot govern all future dealings as between RAAP and PPI.  What will govern all future dealings is the domestic legislation when this Directive is ultimately transposed and that will be prospective</w:t>
      </w:r>
      <w:r w:rsidR="00B12E04">
        <w:rPr>
          <w:rFonts w:ascii="Times New Roman" w:hAnsi="Times New Roman" w:cs="Times New Roman"/>
          <w:i/>
          <w:sz w:val="24"/>
          <w:szCs w:val="24"/>
        </w:rPr>
        <w:t xml:space="preserve"> only</w:t>
      </w:r>
      <w:r>
        <w:rPr>
          <w:rFonts w:ascii="Times New Roman" w:hAnsi="Times New Roman" w:cs="Times New Roman"/>
          <w:i/>
          <w:sz w:val="24"/>
          <w:szCs w:val="24"/>
        </w:rPr>
        <w:t>.”</w:t>
      </w:r>
    </w:p>
    <w:p w14:paraId="19AC827A" w14:textId="199993A7" w:rsidR="004F7F38" w:rsidRPr="00A800A4"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b/>
          <w:sz w:val="24"/>
          <w:szCs w:val="24"/>
          <w:u w:val="single"/>
        </w:rPr>
      </w:pPr>
      <w:r>
        <w:rPr>
          <w:rFonts w:ascii="Times New Roman" w:hAnsi="Times New Roman" w:cs="Times New Roman"/>
          <w:sz w:val="24"/>
          <w:szCs w:val="24"/>
        </w:rPr>
        <w:t>RAAP opposed PPI on the appeal on both the form of the order and the order for costs. The State defendants opposed the appeal on the order for costs but were neutral in relation to the form of the order.</w:t>
      </w:r>
    </w:p>
    <w:p w14:paraId="0A164F0E" w14:textId="77777777" w:rsidR="004F7F38" w:rsidRPr="002D09FC" w:rsidRDefault="004F7F38" w:rsidP="004F7F38">
      <w:pPr>
        <w:pStyle w:val="ListParagraph"/>
        <w:tabs>
          <w:tab w:val="left" w:pos="567"/>
        </w:tabs>
        <w:spacing w:line="480" w:lineRule="auto"/>
        <w:ind w:left="0"/>
        <w:jc w:val="left"/>
        <w:rPr>
          <w:rFonts w:ascii="Times New Roman" w:hAnsi="Times New Roman" w:cs="Times New Roman"/>
          <w:b/>
          <w:bCs/>
          <w:sz w:val="24"/>
          <w:szCs w:val="24"/>
          <w:u w:val="single"/>
        </w:rPr>
      </w:pPr>
      <w:r>
        <w:rPr>
          <w:rFonts w:ascii="Times New Roman" w:hAnsi="Times New Roman" w:cs="Times New Roman"/>
          <w:b/>
          <w:sz w:val="24"/>
          <w:szCs w:val="24"/>
          <w:u w:val="single"/>
        </w:rPr>
        <w:t>Discussion</w:t>
      </w:r>
      <w:r w:rsidRPr="002D09FC">
        <w:rPr>
          <w:rFonts w:ascii="Times New Roman" w:hAnsi="Times New Roman" w:cs="Times New Roman"/>
          <w:b/>
          <w:bCs/>
          <w:sz w:val="24"/>
          <w:szCs w:val="24"/>
          <w:u w:val="single"/>
        </w:rPr>
        <w:t xml:space="preserve"> and Decision</w:t>
      </w:r>
    </w:p>
    <w:p w14:paraId="14E37034" w14:textId="57BDF1C6"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The High Court referred four questions relating to the construction of the Directive to the CJEU pursuant to Article 267 of the TFEU.  The CJEU has given judgment determining the meaning of the Directive.  Normally, this is followed by an </w:t>
      </w:r>
      <w:r w:rsidR="00B63B08">
        <w:rPr>
          <w:rFonts w:ascii="Times New Roman" w:hAnsi="Times New Roman" w:cs="Times New Roman"/>
          <w:sz w:val="24"/>
          <w:szCs w:val="24"/>
        </w:rPr>
        <w:t>o</w:t>
      </w:r>
      <w:r>
        <w:rPr>
          <w:rFonts w:ascii="Times New Roman" w:hAnsi="Times New Roman" w:cs="Times New Roman"/>
          <w:sz w:val="24"/>
          <w:szCs w:val="24"/>
        </w:rPr>
        <w:t xml:space="preserve">rder of the High Court in the main proceedings giving effect to the ruling of the CJEU on the questions referred to it. </w:t>
      </w:r>
      <w:r w:rsidR="00B63B08">
        <w:rPr>
          <w:rFonts w:ascii="Times New Roman" w:hAnsi="Times New Roman" w:cs="Times New Roman"/>
          <w:sz w:val="24"/>
          <w:szCs w:val="24"/>
        </w:rPr>
        <w:t xml:space="preserve"> </w:t>
      </w:r>
      <w:r>
        <w:rPr>
          <w:rFonts w:ascii="Times New Roman" w:hAnsi="Times New Roman" w:cs="Times New Roman"/>
          <w:sz w:val="24"/>
          <w:szCs w:val="24"/>
        </w:rPr>
        <w:t xml:space="preserve">This is because the purpose of the referral procedure is to assist the referring court to decide the </w:t>
      </w:r>
      <w:r>
        <w:rPr>
          <w:rFonts w:ascii="Times New Roman" w:hAnsi="Times New Roman" w:cs="Times New Roman"/>
          <w:sz w:val="24"/>
          <w:szCs w:val="24"/>
        </w:rPr>
        <w:lastRenderedPageBreak/>
        <w:t xml:space="preserve">case before it. </w:t>
      </w:r>
      <w:r w:rsidR="00B63B08">
        <w:rPr>
          <w:rFonts w:ascii="Times New Roman" w:hAnsi="Times New Roman" w:cs="Times New Roman"/>
          <w:sz w:val="24"/>
          <w:szCs w:val="24"/>
        </w:rPr>
        <w:t xml:space="preserve"> </w:t>
      </w:r>
      <w:r>
        <w:rPr>
          <w:rFonts w:ascii="Times New Roman" w:hAnsi="Times New Roman" w:cs="Times New Roman"/>
          <w:sz w:val="24"/>
          <w:szCs w:val="24"/>
        </w:rPr>
        <w:t>The High Court normally does not refrain from granting a declaration in the proceedings in such circumstances.  As a matter of principle, it is not incorrect for the High Court to make declarations in the proceedings, applying judgments delivered by the CJEU pursuant to a reference and</w:t>
      </w:r>
      <w:r w:rsidR="00B63B08">
        <w:rPr>
          <w:rFonts w:ascii="Times New Roman" w:hAnsi="Times New Roman" w:cs="Times New Roman"/>
          <w:sz w:val="24"/>
          <w:szCs w:val="24"/>
        </w:rPr>
        <w:t>,</w:t>
      </w:r>
      <w:r>
        <w:rPr>
          <w:rFonts w:ascii="Times New Roman" w:hAnsi="Times New Roman" w:cs="Times New Roman"/>
          <w:sz w:val="24"/>
          <w:szCs w:val="24"/>
        </w:rPr>
        <w:t xml:space="preserve"> certainly, it is not an error of law on the part of the trial judge to do so simply because the CJEU has already declared the law.</w:t>
      </w:r>
      <w:r w:rsidR="00B63B08">
        <w:rPr>
          <w:rFonts w:ascii="Times New Roman" w:hAnsi="Times New Roman" w:cs="Times New Roman"/>
          <w:sz w:val="24"/>
          <w:szCs w:val="24"/>
        </w:rPr>
        <w:t xml:space="preserve"> </w:t>
      </w:r>
      <w:r>
        <w:rPr>
          <w:rFonts w:ascii="Times New Roman" w:hAnsi="Times New Roman" w:cs="Times New Roman"/>
          <w:sz w:val="24"/>
          <w:szCs w:val="24"/>
        </w:rPr>
        <w:t xml:space="preserve"> Insofar as PPI contends otherwise, I do not agree.</w:t>
      </w:r>
    </w:p>
    <w:p w14:paraId="7454437E" w14:textId="2CF12EF1"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The reference by the High Court to the CJEU is to assist the national court </w:t>
      </w:r>
      <w:r w:rsidR="00B63B08">
        <w:rPr>
          <w:rFonts w:ascii="Times New Roman" w:hAnsi="Times New Roman" w:cs="Times New Roman"/>
          <w:sz w:val="24"/>
          <w:szCs w:val="24"/>
        </w:rPr>
        <w:t xml:space="preserve">in </w:t>
      </w:r>
      <w:r>
        <w:rPr>
          <w:rFonts w:ascii="Times New Roman" w:hAnsi="Times New Roman" w:cs="Times New Roman"/>
          <w:sz w:val="24"/>
          <w:szCs w:val="24"/>
        </w:rPr>
        <w:t>resolv</w:t>
      </w:r>
      <w:r w:rsidR="00B63B08">
        <w:rPr>
          <w:rFonts w:ascii="Times New Roman" w:hAnsi="Times New Roman" w:cs="Times New Roman"/>
          <w:sz w:val="24"/>
          <w:szCs w:val="24"/>
        </w:rPr>
        <w:t>ing</w:t>
      </w:r>
      <w:r>
        <w:rPr>
          <w:rFonts w:ascii="Times New Roman" w:hAnsi="Times New Roman" w:cs="Times New Roman"/>
          <w:sz w:val="24"/>
          <w:szCs w:val="24"/>
        </w:rPr>
        <w:t xml:space="preserve"> the case before it.  It follows that a national court must make orders once the CJEU has decided the reference (unless the parties resolve the proceedings with a request that there be no order in the case).  PPI has cited no authority to support its argument that the High Court should not make a declaration simply because the CJEU has declared the law and an order from a national court is either unnecessary or</w:t>
      </w:r>
      <w:r w:rsidR="004512D0">
        <w:rPr>
          <w:rFonts w:ascii="Times New Roman" w:hAnsi="Times New Roman" w:cs="Times New Roman"/>
          <w:sz w:val="24"/>
          <w:szCs w:val="24"/>
        </w:rPr>
        <w:t>,</w:t>
      </w:r>
      <w:r>
        <w:rPr>
          <w:rFonts w:ascii="Times New Roman" w:hAnsi="Times New Roman" w:cs="Times New Roman"/>
          <w:sz w:val="24"/>
          <w:szCs w:val="24"/>
        </w:rPr>
        <w:t xml:space="preserve"> potentially</w:t>
      </w:r>
      <w:r w:rsidR="004512D0">
        <w:rPr>
          <w:rFonts w:ascii="Times New Roman" w:hAnsi="Times New Roman" w:cs="Times New Roman"/>
          <w:sz w:val="24"/>
          <w:szCs w:val="24"/>
        </w:rPr>
        <w:t>,</w:t>
      </w:r>
      <w:r>
        <w:rPr>
          <w:rFonts w:ascii="Times New Roman" w:hAnsi="Times New Roman" w:cs="Times New Roman"/>
          <w:sz w:val="24"/>
          <w:szCs w:val="24"/>
        </w:rPr>
        <w:t xml:space="preserve"> could thereby lead to uncertainty.  </w:t>
      </w:r>
    </w:p>
    <w:p w14:paraId="5FAE3959" w14:textId="1A014DB1"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I am satisfied therefore that the trial judge did not err in granting the declarations in terms of relief n</w:t>
      </w:r>
      <w:r w:rsidR="001624E1">
        <w:rPr>
          <w:rFonts w:ascii="Times New Roman" w:hAnsi="Times New Roman" w:cs="Times New Roman"/>
          <w:sz w:val="24"/>
          <w:szCs w:val="24"/>
        </w:rPr>
        <w:t>os.</w:t>
      </w:r>
      <w:r>
        <w:rPr>
          <w:rFonts w:ascii="Times New Roman" w:hAnsi="Times New Roman" w:cs="Times New Roman"/>
          <w:sz w:val="24"/>
          <w:szCs w:val="24"/>
        </w:rPr>
        <w:t xml:space="preserve"> </w:t>
      </w:r>
      <w:r w:rsidR="001624E1">
        <w:rPr>
          <w:rFonts w:ascii="Times New Roman" w:hAnsi="Times New Roman" w:cs="Times New Roman"/>
          <w:sz w:val="24"/>
          <w:szCs w:val="24"/>
        </w:rPr>
        <w:t>(</w:t>
      </w:r>
      <w:r>
        <w:rPr>
          <w:rFonts w:ascii="Times New Roman" w:hAnsi="Times New Roman" w:cs="Times New Roman"/>
          <w:sz w:val="24"/>
          <w:szCs w:val="24"/>
        </w:rPr>
        <w:t>1</w:t>
      </w:r>
      <w:r w:rsidR="001624E1">
        <w:rPr>
          <w:rFonts w:ascii="Times New Roman" w:hAnsi="Times New Roman" w:cs="Times New Roman"/>
          <w:sz w:val="24"/>
          <w:szCs w:val="24"/>
        </w:rPr>
        <w:t>)</w:t>
      </w:r>
      <w:r>
        <w:rPr>
          <w:rFonts w:ascii="Times New Roman" w:hAnsi="Times New Roman" w:cs="Times New Roman"/>
          <w:sz w:val="24"/>
          <w:szCs w:val="24"/>
        </w:rPr>
        <w:t xml:space="preserve"> and </w:t>
      </w:r>
      <w:r w:rsidR="001624E1">
        <w:rPr>
          <w:rFonts w:ascii="Times New Roman" w:hAnsi="Times New Roman" w:cs="Times New Roman"/>
          <w:sz w:val="24"/>
          <w:szCs w:val="24"/>
        </w:rPr>
        <w:t>(</w:t>
      </w:r>
      <w:r>
        <w:rPr>
          <w:rFonts w:ascii="Times New Roman" w:hAnsi="Times New Roman" w:cs="Times New Roman"/>
          <w:sz w:val="24"/>
          <w:szCs w:val="24"/>
        </w:rPr>
        <w:t>3</w:t>
      </w:r>
      <w:r w:rsidR="001624E1">
        <w:rPr>
          <w:rFonts w:ascii="Times New Roman" w:hAnsi="Times New Roman" w:cs="Times New Roman"/>
          <w:sz w:val="24"/>
          <w:szCs w:val="24"/>
        </w:rPr>
        <w:t>)</w:t>
      </w:r>
      <w:r>
        <w:rPr>
          <w:rFonts w:ascii="Times New Roman" w:hAnsi="Times New Roman" w:cs="Times New Roman"/>
          <w:sz w:val="24"/>
          <w:szCs w:val="24"/>
        </w:rPr>
        <w:t xml:space="preserve"> of the prayer for relief in the statement of claim and in the </w:t>
      </w:r>
      <w:r w:rsidR="00181100">
        <w:rPr>
          <w:rFonts w:ascii="Times New Roman" w:hAnsi="Times New Roman" w:cs="Times New Roman"/>
          <w:sz w:val="24"/>
          <w:szCs w:val="24"/>
        </w:rPr>
        <w:t>o</w:t>
      </w:r>
      <w:r>
        <w:rPr>
          <w:rFonts w:ascii="Times New Roman" w:hAnsi="Times New Roman" w:cs="Times New Roman"/>
          <w:sz w:val="24"/>
          <w:szCs w:val="24"/>
        </w:rPr>
        <w:t xml:space="preserve">rder for the trial of a preliminary issue of law. </w:t>
      </w:r>
      <w:r w:rsidR="00181100">
        <w:rPr>
          <w:rFonts w:ascii="Times New Roman" w:hAnsi="Times New Roman" w:cs="Times New Roman"/>
          <w:sz w:val="24"/>
          <w:szCs w:val="24"/>
        </w:rPr>
        <w:t xml:space="preserve"> </w:t>
      </w:r>
      <w:r>
        <w:rPr>
          <w:rFonts w:ascii="Times New Roman" w:hAnsi="Times New Roman" w:cs="Times New Roman"/>
          <w:sz w:val="24"/>
          <w:szCs w:val="24"/>
        </w:rPr>
        <w:t>These were the issues for him to determine pursuant to the order of Cregan J.</w:t>
      </w:r>
    </w:p>
    <w:p w14:paraId="39DAFFD9" w14:textId="7171278F"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In the hearing before Simons J., PPI did not object to the declaration being made as against the State.  Its objection was to the declaration being made </w:t>
      </w:r>
      <w:r>
        <w:rPr>
          <w:rFonts w:ascii="Times New Roman" w:hAnsi="Times New Roman" w:cs="Times New Roman"/>
          <w:i/>
          <w:sz w:val="24"/>
          <w:szCs w:val="24"/>
        </w:rPr>
        <w:t>“as against PPI”</w:t>
      </w:r>
      <w:r>
        <w:rPr>
          <w:rFonts w:ascii="Times New Roman" w:hAnsi="Times New Roman" w:cs="Times New Roman"/>
          <w:sz w:val="24"/>
          <w:szCs w:val="24"/>
        </w:rPr>
        <w:t xml:space="preserve">.  When this </w:t>
      </w:r>
      <w:r w:rsidR="00237A69">
        <w:rPr>
          <w:rFonts w:ascii="Times New Roman" w:hAnsi="Times New Roman" w:cs="Times New Roman"/>
          <w:sz w:val="24"/>
          <w:szCs w:val="24"/>
        </w:rPr>
        <w:t>c</w:t>
      </w:r>
      <w:r>
        <w:rPr>
          <w:rFonts w:ascii="Times New Roman" w:hAnsi="Times New Roman" w:cs="Times New Roman"/>
          <w:sz w:val="24"/>
          <w:szCs w:val="24"/>
        </w:rPr>
        <w:t xml:space="preserve">ourt canvassed with the parties whether it would be appropriate to grant the declaration while omitting the words </w:t>
      </w:r>
      <w:r>
        <w:rPr>
          <w:rFonts w:ascii="Times New Roman" w:hAnsi="Times New Roman" w:cs="Times New Roman"/>
          <w:i/>
          <w:sz w:val="24"/>
          <w:szCs w:val="24"/>
        </w:rPr>
        <w:t>“as against PPI”</w:t>
      </w:r>
      <w:r>
        <w:rPr>
          <w:rFonts w:ascii="Times New Roman" w:hAnsi="Times New Roman" w:cs="Times New Roman"/>
          <w:sz w:val="24"/>
          <w:szCs w:val="24"/>
        </w:rPr>
        <w:t xml:space="preserve">, counsel for PPI submitted that it would not be appropriate for the </w:t>
      </w:r>
      <w:r w:rsidR="00237A69">
        <w:rPr>
          <w:rFonts w:ascii="Times New Roman" w:hAnsi="Times New Roman" w:cs="Times New Roman"/>
          <w:sz w:val="24"/>
          <w:szCs w:val="24"/>
        </w:rPr>
        <w:t>c</w:t>
      </w:r>
      <w:r>
        <w:rPr>
          <w:rFonts w:ascii="Times New Roman" w:hAnsi="Times New Roman" w:cs="Times New Roman"/>
          <w:sz w:val="24"/>
          <w:szCs w:val="24"/>
        </w:rPr>
        <w:t xml:space="preserve">ourt simply to remove the three words from the </w:t>
      </w:r>
      <w:r w:rsidR="00AE160C">
        <w:rPr>
          <w:rFonts w:ascii="Times New Roman" w:hAnsi="Times New Roman" w:cs="Times New Roman"/>
          <w:sz w:val="24"/>
          <w:szCs w:val="24"/>
        </w:rPr>
        <w:t>o</w:t>
      </w:r>
      <w:r>
        <w:rPr>
          <w:rFonts w:ascii="Times New Roman" w:hAnsi="Times New Roman" w:cs="Times New Roman"/>
          <w:sz w:val="24"/>
          <w:szCs w:val="24"/>
        </w:rPr>
        <w:t>rder.  He submitted:</w:t>
      </w:r>
      <w:r w:rsidR="00237A69">
        <w:rPr>
          <w:rFonts w:ascii="Times New Roman" w:hAnsi="Times New Roman" w:cs="Times New Roman"/>
          <w:sz w:val="24"/>
          <w:szCs w:val="24"/>
        </w:rPr>
        <w:t>-</w:t>
      </w:r>
    </w:p>
    <w:p w14:paraId="2195EC9E" w14:textId="2BB7B6F3" w:rsidR="004F7F38" w:rsidRPr="00F15B29" w:rsidRDefault="004F7F38" w:rsidP="004F7F38">
      <w:pPr>
        <w:pStyle w:val="ListParagraph"/>
        <w:spacing w:line="480" w:lineRule="auto"/>
        <w:ind w:left="567"/>
        <w:jc w:val="left"/>
        <w:rPr>
          <w:rFonts w:ascii="Times New Roman" w:hAnsi="Times New Roman" w:cs="Times New Roman"/>
          <w:b/>
          <w:sz w:val="24"/>
          <w:szCs w:val="24"/>
        </w:rPr>
      </w:pPr>
      <w:r>
        <w:rPr>
          <w:rFonts w:ascii="Times New Roman" w:hAnsi="Times New Roman" w:cs="Times New Roman"/>
          <w:i/>
          <w:sz w:val="24"/>
          <w:szCs w:val="24"/>
        </w:rPr>
        <w:t>“The fundamental problem of principle as a matter of EU law would still remain and</w:t>
      </w:r>
      <w:r w:rsidR="00237A69">
        <w:rPr>
          <w:rFonts w:ascii="Times New Roman" w:hAnsi="Times New Roman" w:cs="Times New Roman"/>
          <w:i/>
          <w:sz w:val="24"/>
          <w:szCs w:val="24"/>
        </w:rPr>
        <w:t>,</w:t>
      </w:r>
      <w:r>
        <w:rPr>
          <w:rFonts w:ascii="Times New Roman" w:hAnsi="Times New Roman" w:cs="Times New Roman"/>
          <w:i/>
          <w:sz w:val="24"/>
          <w:szCs w:val="24"/>
        </w:rPr>
        <w:t xml:space="preserve"> if anything, might be more accentuated, because it begs the question as to what is an Irish </w:t>
      </w:r>
      <w:r w:rsidR="00237A69">
        <w:rPr>
          <w:rFonts w:ascii="Times New Roman" w:hAnsi="Times New Roman" w:cs="Times New Roman"/>
          <w:i/>
          <w:sz w:val="24"/>
          <w:szCs w:val="24"/>
        </w:rPr>
        <w:t>c</w:t>
      </w:r>
      <w:r>
        <w:rPr>
          <w:rFonts w:ascii="Times New Roman" w:hAnsi="Times New Roman" w:cs="Times New Roman"/>
          <w:i/>
          <w:sz w:val="24"/>
          <w:szCs w:val="24"/>
        </w:rPr>
        <w:t xml:space="preserve">ourt doing granting a </w:t>
      </w:r>
      <w:r w:rsidR="00237A69">
        <w:rPr>
          <w:rFonts w:ascii="Times New Roman" w:hAnsi="Times New Roman" w:cs="Times New Roman"/>
          <w:i/>
          <w:sz w:val="24"/>
          <w:szCs w:val="24"/>
        </w:rPr>
        <w:t>d</w:t>
      </w:r>
      <w:r>
        <w:rPr>
          <w:rFonts w:ascii="Times New Roman" w:hAnsi="Times New Roman" w:cs="Times New Roman"/>
          <w:i/>
          <w:sz w:val="24"/>
          <w:szCs w:val="24"/>
        </w:rPr>
        <w:t xml:space="preserve">eclaration like this </w:t>
      </w:r>
      <w:proofErr w:type="spellStart"/>
      <w:r>
        <w:rPr>
          <w:rFonts w:ascii="Times New Roman" w:hAnsi="Times New Roman" w:cs="Times New Roman"/>
          <w:i/>
          <w:sz w:val="24"/>
          <w:szCs w:val="24"/>
        </w:rPr>
        <w:t>erga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omnes</w:t>
      </w:r>
      <w:proofErr w:type="spellEnd"/>
      <w:r>
        <w:rPr>
          <w:rFonts w:ascii="Times New Roman" w:hAnsi="Times New Roman" w:cs="Times New Roman"/>
          <w:i/>
          <w:sz w:val="24"/>
          <w:szCs w:val="24"/>
        </w:rPr>
        <w:t xml:space="preserve"> when that is the role of the judgment of the Court of Justice.” </w:t>
      </w:r>
    </w:p>
    <w:p w14:paraId="0FA33980" w14:textId="41F2481E"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lastRenderedPageBreak/>
        <w:t xml:space="preserve">I find it difficult to accept this submission and indeed it appears to contradict para. 69 of PPI’s written submissions to this </w:t>
      </w:r>
      <w:r w:rsidR="000B1892">
        <w:rPr>
          <w:rFonts w:ascii="Times New Roman" w:hAnsi="Times New Roman" w:cs="Times New Roman"/>
          <w:sz w:val="24"/>
          <w:szCs w:val="24"/>
        </w:rPr>
        <w:t>c</w:t>
      </w:r>
      <w:r>
        <w:rPr>
          <w:rFonts w:ascii="Times New Roman" w:hAnsi="Times New Roman" w:cs="Times New Roman"/>
          <w:sz w:val="24"/>
          <w:szCs w:val="24"/>
        </w:rPr>
        <w:t>ourt where it stated:</w:t>
      </w:r>
      <w:r w:rsidR="000B1892">
        <w:rPr>
          <w:rFonts w:ascii="Times New Roman" w:hAnsi="Times New Roman" w:cs="Times New Roman"/>
          <w:sz w:val="24"/>
          <w:szCs w:val="24"/>
        </w:rPr>
        <w:t>-</w:t>
      </w:r>
    </w:p>
    <w:p w14:paraId="03E19DA6" w14:textId="77777777" w:rsidR="004F7F38" w:rsidRDefault="004F7F38" w:rsidP="004F7F38">
      <w:pPr>
        <w:pStyle w:val="ListParagraph"/>
        <w:spacing w:line="480" w:lineRule="auto"/>
        <w:ind w:left="567"/>
        <w:jc w:val="left"/>
        <w:rPr>
          <w:rFonts w:ascii="Times New Roman" w:hAnsi="Times New Roman" w:cs="Times New Roman"/>
          <w:i/>
          <w:sz w:val="24"/>
          <w:szCs w:val="24"/>
        </w:rPr>
      </w:pPr>
      <w:r>
        <w:rPr>
          <w:rFonts w:ascii="Times New Roman" w:hAnsi="Times New Roman" w:cs="Times New Roman"/>
          <w:i/>
          <w:sz w:val="24"/>
          <w:szCs w:val="24"/>
        </w:rPr>
        <w:t>“PPI does not seek to argue that RAAP is not entitled to such a declaration as against the State or to dispute the unimpeachable finding of the Court of Justice as to the correct interpretation of the Directive.”</w:t>
      </w:r>
    </w:p>
    <w:p w14:paraId="01699AFC" w14:textId="4E0E61BA" w:rsidR="004F7F38" w:rsidRPr="001D7957" w:rsidRDefault="004F7F38" w:rsidP="004F7F38">
      <w:pPr>
        <w:spacing w:line="480" w:lineRule="auto"/>
      </w:pPr>
      <w:r>
        <w:t>Later</w:t>
      </w:r>
      <w:r w:rsidR="002E13B6">
        <w:t>,</w:t>
      </w:r>
      <w:r>
        <w:t xml:space="preserve"> PPI submitted that the CJEU judgment did not settle the question of whether RAAP was entitled to a declaration as against PPI under national law.</w:t>
      </w:r>
    </w:p>
    <w:p w14:paraId="4B6B796E" w14:textId="6084345E"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In summary, I am not persuaded by the argument of PPI that the judgment of the CJEU pronouncing the meaning of the Directive requires the High Court to refrain from granting the declaration sought as to the meaning of the Directive or that it may not be granted </w:t>
      </w:r>
      <w:r>
        <w:rPr>
          <w:rFonts w:ascii="Times New Roman" w:hAnsi="Times New Roman" w:cs="Times New Roman"/>
          <w:i/>
          <w:sz w:val="24"/>
          <w:szCs w:val="24"/>
        </w:rPr>
        <w:t>“as against PP</w:t>
      </w:r>
      <w:r w:rsidR="00667059">
        <w:rPr>
          <w:rFonts w:ascii="Times New Roman" w:hAnsi="Times New Roman" w:cs="Times New Roman"/>
          <w:i/>
          <w:sz w:val="24"/>
          <w:szCs w:val="24"/>
        </w:rPr>
        <w:t>I</w:t>
      </w:r>
      <w:r w:rsidR="00EC5177">
        <w:rPr>
          <w:rFonts w:ascii="Times New Roman" w:hAnsi="Times New Roman" w:cs="Times New Roman"/>
          <w:i/>
          <w:sz w:val="24"/>
          <w:szCs w:val="24"/>
        </w:rPr>
        <w:t>”</w:t>
      </w:r>
      <w:r>
        <w:rPr>
          <w:rFonts w:ascii="Times New Roman" w:hAnsi="Times New Roman" w:cs="Times New Roman"/>
          <w:i/>
          <w:sz w:val="24"/>
          <w:szCs w:val="24"/>
        </w:rPr>
        <w:t xml:space="preserve">, </w:t>
      </w:r>
      <w:r w:rsidRPr="00CB3C04">
        <w:rPr>
          <w:rFonts w:ascii="Times New Roman" w:hAnsi="Times New Roman" w:cs="Times New Roman"/>
          <w:sz w:val="24"/>
          <w:szCs w:val="24"/>
        </w:rPr>
        <w:t>the defendant in the proceedings</w:t>
      </w:r>
      <w:r>
        <w:rPr>
          <w:rFonts w:ascii="Times New Roman" w:hAnsi="Times New Roman" w:cs="Times New Roman"/>
          <w:i/>
          <w:sz w:val="24"/>
          <w:szCs w:val="24"/>
        </w:rPr>
        <w:t xml:space="preserve">. </w:t>
      </w:r>
      <w:r>
        <w:rPr>
          <w:rFonts w:ascii="Times New Roman" w:hAnsi="Times New Roman" w:cs="Times New Roman"/>
          <w:sz w:val="24"/>
          <w:szCs w:val="24"/>
        </w:rPr>
        <w:t xml:space="preserve">  </w:t>
      </w:r>
    </w:p>
    <w:p w14:paraId="751E6087" w14:textId="4AD9DFD3"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While the grant of a declaration is a discretionary remedy, it will normally be granted once the plaintiff’s legal argument is upheld.  The leading Irish authority on the granting of declaratory relief is </w:t>
      </w:r>
      <w:r>
        <w:rPr>
          <w:rFonts w:ascii="Times New Roman" w:hAnsi="Times New Roman" w:cs="Times New Roman"/>
          <w:i/>
          <w:sz w:val="24"/>
          <w:szCs w:val="24"/>
        </w:rPr>
        <w:t xml:space="preserve">Transport Salaried Staffs’ Association &amp; Ors. v. CIE </w:t>
      </w:r>
      <w:r>
        <w:rPr>
          <w:rFonts w:ascii="Times New Roman" w:hAnsi="Times New Roman" w:cs="Times New Roman"/>
          <w:sz w:val="24"/>
          <w:szCs w:val="24"/>
        </w:rPr>
        <w:t xml:space="preserve">[1965] </w:t>
      </w:r>
      <w:r w:rsidR="002E13B6">
        <w:rPr>
          <w:rFonts w:ascii="Times New Roman" w:hAnsi="Times New Roman" w:cs="Times New Roman"/>
          <w:sz w:val="24"/>
          <w:szCs w:val="24"/>
        </w:rPr>
        <w:t xml:space="preserve">1 </w:t>
      </w:r>
      <w:r>
        <w:rPr>
          <w:rFonts w:ascii="Times New Roman" w:hAnsi="Times New Roman" w:cs="Times New Roman"/>
          <w:sz w:val="24"/>
          <w:szCs w:val="24"/>
        </w:rPr>
        <w:t>I</w:t>
      </w:r>
      <w:r w:rsidR="002E13B6">
        <w:rPr>
          <w:rFonts w:ascii="Times New Roman" w:hAnsi="Times New Roman" w:cs="Times New Roman"/>
          <w:sz w:val="24"/>
          <w:szCs w:val="24"/>
        </w:rPr>
        <w:t>.</w:t>
      </w:r>
      <w:r>
        <w:rPr>
          <w:rFonts w:ascii="Times New Roman" w:hAnsi="Times New Roman" w:cs="Times New Roman"/>
          <w:sz w:val="24"/>
          <w:szCs w:val="24"/>
        </w:rPr>
        <w:t>R</w:t>
      </w:r>
      <w:r w:rsidR="002E13B6">
        <w:rPr>
          <w:rFonts w:ascii="Times New Roman" w:hAnsi="Times New Roman" w:cs="Times New Roman"/>
          <w:sz w:val="24"/>
          <w:szCs w:val="24"/>
        </w:rPr>
        <w:t>.</w:t>
      </w:r>
      <w:r>
        <w:rPr>
          <w:rFonts w:ascii="Times New Roman" w:hAnsi="Times New Roman" w:cs="Times New Roman"/>
          <w:sz w:val="24"/>
          <w:szCs w:val="24"/>
        </w:rPr>
        <w:t xml:space="preserve"> 180.  At p.</w:t>
      </w:r>
      <w:r w:rsidR="00D25710">
        <w:rPr>
          <w:rFonts w:ascii="Times New Roman" w:hAnsi="Times New Roman" w:cs="Times New Roman"/>
          <w:sz w:val="24"/>
          <w:szCs w:val="24"/>
        </w:rPr>
        <w:t xml:space="preserve"> </w:t>
      </w:r>
      <w:r>
        <w:rPr>
          <w:rFonts w:ascii="Times New Roman" w:hAnsi="Times New Roman" w:cs="Times New Roman"/>
          <w:sz w:val="24"/>
          <w:szCs w:val="24"/>
        </w:rPr>
        <w:t>202</w:t>
      </w:r>
      <w:r w:rsidR="00D25710">
        <w:rPr>
          <w:rFonts w:ascii="Times New Roman" w:hAnsi="Times New Roman" w:cs="Times New Roman"/>
          <w:sz w:val="24"/>
          <w:szCs w:val="24"/>
        </w:rPr>
        <w:t>,</w:t>
      </w:r>
      <w:r>
        <w:rPr>
          <w:rFonts w:ascii="Times New Roman" w:hAnsi="Times New Roman" w:cs="Times New Roman"/>
          <w:sz w:val="24"/>
          <w:szCs w:val="24"/>
        </w:rPr>
        <w:t xml:space="preserve"> Walsh J. held that the plaintiffs in that case were entitled to declaratory relief:</w:t>
      </w:r>
      <w:r w:rsidR="00D25710">
        <w:rPr>
          <w:rFonts w:ascii="Times New Roman" w:hAnsi="Times New Roman" w:cs="Times New Roman"/>
          <w:sz w:val="24"/>
          <w:szCs w:val="24"/>
        </w:rPr>
        <w:t>-</w:t>
      </w:r>
    </w:p>
    <w:p w14:paraId="296A121B" w14:textId="2C95E45C" w:rsidR="004F7F38" w:rsidRDefault="004F7F38" w:rsidP="004F7F38">
      <w:pPr>
        <w:pStyle w:val="ListParagraph"/>
        <w:spacing w:line="480" w:lineRule="auto"/>
        <w:ind w:left="567"/>
        <w:jc w:val="left"/>
        <w:rPr>
          <w:rFonts w:ascii="Times New Roman" w:hAnsi="Times New Roman" w:cs="Times New Roman"/>
          <w:i/>
          <w:sz w:val="24"/>
          <w:szCs w:val="24"/>
        </w:rPr>
      </w:pPr>
      <w:r>
        <w:rPr>
          <w:rFonts w:ascii="Times New Roman" w:hAnsi="Times New Roman" w:cs="Times New Roman"/>
          <w:i/>
          <w:sz w:val="24"/>
          <w:szCs w:val="24"/>
        </w:rPr>
        <w:t xml:space="preserve">“It is also contended by the defendants that the Transport Salaried Staff’s Association is not competent to maintain this action.  The Court of Chancery (Ireland) Act, 1867, </w:t>
      </w:r>
      <w:r w:rsidR="00D25710">
        <w:rPr>
          <w:rFonts w:ascii="Times New Roman" w:hAnsi="Times New Roman" w:cs="Times New Roman"/>
          <w:i/>
          <w:sz w:val="24"/>
          <w:szCs w:val="24"/>
        </w:rPr>
        <w:t>s</w:t>
      </w:r>
      <w:r>
        <w:rPr>
          <w:rFonts w:ascii="Times New Roman" w:hAnsi="Times New Roman" w:cs="Times New Roman"/>
          <w:i/>
          <w:sz w:val="24"/>
          <w:szCs w:val="24"/>
        </w:rPr>
        <w:t>. 155, clearly sets out the right of the Court to make declaratory orders without granting other or consequential relief.  The words of the section were repeated in Or. 25, r.5 of the Rules of 1905 and now appear in Or</w:t>
      </w:r>
      <w:r w:rsidR="00D25710">
        <w:rPr>
          <w:rFonts w:ascii="Times New Roman" w:hAnsi="Times New Roman" w:cs="Times New Roman"/>
          <w:i/>
          <w:sz w:val="24"/>
          <w:szCs w:val="24"/>
        </w:rPr>
        <w:t>.</w:t>
      </w:r>
      <w:r>
        <w:rPr>
          <w:rFonts w:ascii="Times New Roman" w:hAnsi="Times New Roman" w:cs="Times New Roman"/>
          <w:i/>
          <w:sz w:val="24"/>
          <w:szCs w:val="24"/>
        </w:rPr>
        <w:t xml:space="preserve"> 19, r.</w:t>
      </w:r>
      <w:r w:rsidR="00D25710">
        <w:rPr>
          <w:rFonts w:ascii="Times New Roman" w:hAnsi="Times New Roman" w:cs="Times New Roman"/>
          <w:i/>
          <w:sz w:val="24"/>
          <w:szCs w:val="24"/>
        </w:rPr>
        <w:t xml:space="preserve"> </w:t>
      </w:r>
      <w:r>
        <w:rPr>
          <w:rFonts w:ascii="Times New Roman" w:hAnsi="Times New Roman" w:cs="Times New Roman"/>
          <w:i/>
          <w:sz w:val="24"/>
          <w:szCs w:val="24"/>
        </w:rPr>
        <w:t xml:space="preserve">29, of the 1963 Rules.  In modern terms the virtues of the declaratory action are more fully recognised than they formally were and English decisions and dicta in recent years have indicated a departure from the conservative approach to the question of judicial discretion in awarding </w:t>
      </w:r>
      <w:r w:rsidR="00D25710">
        <w:rPr>
          <w:rFonts w:ascii="Times New Roman" w:hAnsi="Times New Roman" w:cs="Times New Roman"/>
          <w:i/>
          <w:sz w:val="24"/>
          <w:szCs w:val="24"/>
        </w:rPr>
        <w:t>d</w:t>
      </w:r>
      <w:r>
        <w:rPr>
          <w:rFonts w:ascii="Times New Roman" w:hAnsi="Times New Roman" w:cs="Times New Roman"/>
          <w:i/>
          <w:sz w:val="24"/>
          <w:szCs w:val="24"/>
        </w:rPr>
        <w:t xml:space="preserve">eclarations.  A discretion which was formally exercised “sparingly” and “with great care and jealousy” and “with extreme caution” can now, in the words of Lord Denning in the </w:t>
      </w:r>
      <w:r>
        <w:rPr>
          <w:rFonts w:ascii="Times New Roman" w:hAnsi="Times New Roman" w:cs="Times New Roman"/>
          <w:i/>
          <w:sz w:val="24"/>
          <w:szCs w:val="24"/>
        </w:rPr>
        <w:lastRenderedPageBreak/>
        <w:t>Pyx Granite Co. Limited case, be exercised “if there is good reason for so doing” provided, of course, that there is a substantial question which one person has a real interest to raise and the other to oppose.  In Vine v. The National Dock Labour Board, Vi</w:t>
      </w:r>
      <w:r w:rsidR="00D25710">
        <w:rPr>
          <w:rFonts w:ascii="Times New Roman" w:hAnsi="Times New Roman" w:cs="Times New Roman"/>
          <w:i/>
          <w:sz w:val="24"/>
          <w:szCs w:val="24"/>
        </w:rPr>
        <w:t>s</w:t>
      </w:r>
      <w:r>
        <w:rPr>
          <w:rFonts w:ascii="Times New Roman" w:hAnsi="Times New Roman" w:cs="Times New Roman"/>
          <w:i/>
          <w:sz w:val="24"/>
          <w:szCs w:val="24"/>
        </w:rPr>
        <w:t>count Kilmuir L</w:t>
      </w:r>
      <w:r w:rsidR="00D25710">
        <w:rPr>
          <w:rFonts w:ascii="Times New Roman" w:hAnsi="Times New Roman" w:cs="Times New Roman"/>
          <w:i/>
          <w:sz w:val="24"/>
          <w:szCs w:val="24"/>
        </w:rPr>
        <w:t>.</w:t>
      </w:r>
      <w:r>
        <w:rPr>
          <w:rFonts w:ascii="Times New Roman" w:hAnsi="Times New Roman" w:cs="Times New Roman"/>
          <w:i/>
          <w:sz w:val="24"/>
          <w:szCs w:val="24"/>
        </w:rPr>
        <w:t>C</w:t>
      </w:r>
      <w:r w:rsidR="00D25710">
        <w:rPr>
          <w:rFonts w:ascii="Times New Roman" w:hAnsi="Times New Roman" w:cs="Times New Roman"/>
          <w:i/>
          <w:sz w:val="24"/>
          <w:szCs w:val="24"/>
        </w:rPr>
        <w:t>.,</w:t>
      </w:r>
      <w:r>
        <w:rPr>
          <w:rFonts w:ascii="Times New Roman" w:hAnsi="Times New Roman" w:cs="Times New Roman"/>
          <w:i/>
          <w:sz w:val="24"/>
          <w:szCs w:val="24"/>
        </w:rPr>
        <w:t xml:space="preserve"> at p.112, cites with approval the Scottish tests set out by Lord Duned</w:t>
      </w:r>
      <w:r w:rsidR="00D25710">
        <w:rPr>
          <w:rFonts w:ascii="Times New Roman" w:hAnsi="Times New Roman" w:cs="Times New Roman"/>
          <w:i/>
          <w:sz w:val="24"/>
          <w:szCs w:val="24"/>
        </w:rPr>
        <w:t>i</w:t>
      </w:r>
      <w:r>
        <w:rPr>
          <w:rFonts w:ascii="Times New Roman" w:hAnsi="Times New Roman" w:cs="Times New Roman"/>
          <w:i/>
          <w:sz w:val="24"/>
          <w:szCs w:val="24"/>
        </w:rPr>
        <w:t>n in Russian Commercial &amp; Industrial Bank v. British Bank of Foreign Trade L</w:t>
      </w:r>
      <w:r w:rsidR="00D25710">
        <w:rPr>
          <w:rFonts w:ascii="Times New Roman" w:hAnsi="Times New Roman" w:cs="Times New Roman"/>
          <w:i/>
          <w:sz w:val="24"/>
          <w:szCs w:val="24"/>
        </w:rPr>
        <w:t>t</w:t>
      </w:r>
      <w:r>
        <w:rPr>
          <w:rFonts w:ascii="Times New Roman" w:hAnsi="Times New Roman" w:cs="Times New Roman"/>
          <w:i/>
          <w:sz w:val="24"/>
          <w:szCs w:val="24"/>
        </w:rPr>
        <w:t>d</w:t>
      </w:r>
      <w:r w:rsidR="00D25710">
        <w:rPr>
          <w:rFonts w:ascii="Times New Roman" w:hAnsi="Times New Roman" w:cs="Times New Roman"/>
          <w:i/>
          <w:sz w:val="24"/>
          <w:szCs w:val="24"/>
        </w:rPr>
        <w:t>.</w:t>
      </w:r>
      <w:r>
        <w:rPr>
          <w:rFonts w:ascii="Times New Roman" w:hAnsi="Times New Roman" w:cs="Times New Roman"/>
          <w:i/>
          <w:sz w:val="24"/>
          <w:szCs w:val="24"/>
        </w:rPr>
        <w:t>, who said, at p.448:-</w:t>
      </w:r>
    </w:p>
    <w:p w14:paraId="65456169" w14:textId="0D665E03" w:rsidR="004F7F38" w:rsidRPr="00E6239E" w:rsidRDefault="004F7F38" w:rsidP="004F7F38">
      <w:pPr>
        <w:pStyle w:val="ListParagraph"/>
        <w:spacing w:line="480" w:lineRule="auto"/>
        <w:ind w:left="1134"/>
        <w:jc w:val="left"/>
        <w:rPr>
          <w:rFonts w:ascii="Times New Roman" w:hAnsi="Times New Roman" w:cs="Times New Roman"/>
          <w:i/>
          <w:sz w:val="24"/>
          <w:szCs w:val="24"/>
        </w:rPr>
      </w:pPr>
      <w:r>
        <w:rPr>
          <w:rFonts w:ascii="Times New Roman" w:hAnsi="Times New Roman" w:cs="Times New Roman"/>
          <w:i/>
          <w:sz w:val="24"/>
          <w:szCs w:val="24"/>
        </w:rPr>
        <w:t xml:space="preserve">“The question must be a real and not a theoretical question; the person raising it must have a real interest to raise it; he must be able to secure a proper contradictor, that is to say, someone presently existing who has a true interest to oppose the </w:t>
      </w:r>
      <w:r w:rsidR="00D25710">
        <w:rPr>
          <w:rFonts w:ascii="Times New Roman" w:hAnsi="Times New Roman" w:cs="Times New Roman"/>
          <w:i/>
          <w:sz w:val="24"/>
          <w:szCs w:val="24"/>
        </w:rPr>
        <w:t>d</w:t>
      </w:r>
      <w:r>
        <w:rPr>
          <w:rFonts w:ascii="Times New Roman" w:hAnsi="Times New Roman" w:cs="Times New Roman"/>
          <w:i/>
          <w:sz w:val="24"/>
          <w:szCs w:val="24"/>
        </w:rPr>
        <w:t>eclaration sought.”</w:t>
      </w:r>
    </w:p>
    <w:p w14:paraId="31B6DD8D" w14:textId="3F1D5394" w:rsidR="004F7F38" w:rsidRDefault="004F7F38" w:rsidP="004F7F38">
      <w:pPr>
        <w:pStyle w:val="ListParagraph"/>
        <w:spacing w:line="480" w:lineRule="auto"/>
        <w:ind w:left="567"/>
        <w:jc w:val="left"/>
        <w:rPr>
          <w:rFonts w:ascii="Times New Roman" w:hAnsi="Times New Roman" w:cs="Times New Roman"/>
          <w:sz w:val="24"/>
          <w:szCs w:val="24"/>
        </w:rPr>
      </w:pPr>
      <w:r>
        <w:rPr>
          <w:rFonts w:ascii="Times New Roman" w:hAnsi="Times New Roman" w:cs="Times New Roman"/>
          <w:i/>
          <w:sz w:val="24"/>
          <w:szCs w:val="24"/>
        </w:rPr>
        <w:t xml:space="preserve">It </w:t>
      </w:r>
      <w:r w:rsidR="00D25710">
        <w:rPr>
          <w:rFonts w:ascii="Times New Roman" w:hAnsi="Times New Roman" w:cs="Times New Roman"/>
          <w:i/>
          <w:sz w:val="24"/>
          <w:szCs w:val="24"/>
        </w:rPr>
        <w:t xml:space="preserve">is </w:t>
      </w:r>
      <w:r>
        <w:rPr>
          <w:rFonts w:ascii="Times New Roman" w:hAnsi="Times New Roman" w:cs="Times New Roman"/>
          <w:i/>
          <w:sz w:val="24"/>
          <w:szCs w:val="24"/>
        </w:rPr>
        <w:t xml:space="preserve">also to be observed that the fact that the </w:t>
      </w:r>
      <w:r w:rsidR="00D25710">
        <w:rPr>
          <w:rFonts w:ascii="Times New Roman" w:hAnsi="Times New Roman" w:cs="Times New Roman"/>
          <w:i/>
          <w:sz w:val="24"/>
          <w:szCs w:val="24"/>
        </w:rPr>
        <w:t>d</w:t>
      </w:r>
      <w:r>
        <w:rPr>
          <w:rFonts w:ascii="Times New Roman" w:hAnsi="Times New Roman" w:cs="Times New Roman"/>
          <w:i/>
          <w:sz w:val="24"/>
          <w:szCs w:val="24"/>
        </w:rPr>
        <w:t xml:space="preserve">eclaration is needed for a present interest has always </w:t>
      </w:r>
      <w:r w:rsidR="00D25710">
        <w:rPr>
          <w:rFonts w:ascii="Times New Roman" w:hAnsi="Times New Roman" w:cs="Times New Roman"/>
          <w:i/>
          <w:sz w:val="24"/>
          <w:szCs w:val="24"/>
        </w:rPr>
        <w:t xml:space="preserve">been </w:t>
      </w:r>
      <w:r>
        <w:rPr>
          <w:rFonts w:ascii="Times New Roman" w:hAnsi="Times New Roman" w:cs="Times New Roman"/>
          <w:i/>
          <w:sz w:val="24"/>
          <w:szCs w:val="24"/>
        </w:rPr>
        <w:t>a consideration of great weight.”</w:t>
      </w:r>
    </w:p>
    <w:p w14:paraId="4F5E2CFC" w14:textId="5DB149E1"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In this case, the question was real and not theoretical.  RAAP had a real interest in raising it; PPI was a proper contradictor and the State was a proper contradictor as regards the meaning of the Directive and the question of the proper transposition into national law of the Directive.  RAAP has identified a present interest in respect of which the declaration is required</w:t>
      </w:r>
      <w:r w:rsidR="00AB2CE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 xml:space="preserve">i.e. </w:t>
      </w:r>
      <w:r>
        <w:rPr>
          <w:rFonts w:ascii="Times New Roman" w:hAnsi="Times New Roman" w:cs="Times New Roman"/>
          <w:sz w:val="24"/>
          <w:szCs w:val="24"/>
        </w:rPr>
        <w:t>in the context of negotiating the future agreement to be operated between the parties.  Thus, under national law</w:t>
      </w:r>
      <w:r w:rsidR="00AB2CEC">
        <w:rPr>
          <w:rFonts w:ascii="Times New Roman" w:hAnsi="Times New Roman" w:cs="Times New Roman"/>
          <w:sz w:val="24"/>
          <w:szCs w:val="24"/>
        </w:rPr>
        <w:t>,</w:t>
      </w:r>
      <w:r>
        <w:rPr>
          <w:rFonts w:ascii="Times New Roman" w:hAnsi="Times New Roman" w:cs="Times New Roman"/>
          <w:sz w:val="24"/>
          <w:szCs w:val="24"/>
        </w:rPr>
        <w:t xml:space="preserve"> RAAP satisfied the requirements for a declaration as established by the leading decision of the Supreme Court and </w:t>
      </w:r>
      <w:r w:rsidRPr="002D09FC">
        <w:rPr>
          <w:rFonts w:ascii="Times New Roman" w:hAnsi="Times New Roman" w:cs="Times New Roman"/>
          <w:i/>
          <w:iCs/>
          <w:sz w:val="24"/>
          <w:szCs w:val="24"/>
        </w:rPr>
        <w:t>prima facie</w:t>
      </w:r>
      <w:r>
        <w:rPr>
          <w:rFonts w:ascii="Times New Roman" w:hAnsi="Times New Roman" w:cs="Times New Roman"/>
          <w:sz w:val="24"/>
          <w:szCs w:val="24"/>
        </w:rPr>
        <w:t xml:space="preserve"> the court should exercise its discretion to grant it the declaration sought. </w:t>
      </w:r>
    </w:p>
    <w:p w14:paraId="6AF09350" w14:textId="0F3929BD"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It is worth emphasising that the declaratory relief is a standalone relief sought separately from the claims for breach of the 2002 agreement.  This was clearly accepted and acknowledged by PPI as I have set out in paras. </w:t>
      </w:r>
      <w:r w:rsidR="00AB2CEC">
        <w:rPr>
          <w:rFonts w:ascii="Times New Roman" w:hAnsi="Times New Roman" w:cs="Times New Roman"/>
          <w:sz w:val="24"/>
          <w:szCs w:val="24"/>
        </w:rPr>
        <w:t>13 and 19</w:t>
      </w:r>
      <w:r w:rsidRPr="00B82FF3">
        <w:rPr>
          <w:rFonts w:ascii="Times New Roman" w:hAnsi="Times New Roman" w:cs="Times New Roman"/>
          <w:bCs/>
          <w:sz w:val="24"/>
          <w:szCs w:val="24"/>
        </w:rPr>
        <w:t>.</w:t>
      </w:r>
      <w:r>
        <w:rPr>
          <w:rFonts w:ascii="Times New Roman" w:hAnsi="Times New Roman" w:cs="Times New Roman"/>
          <w:b/>
          <w:sz w:val="24"/>
          <w:szCs w:val="24"/>
        </w:rPr>
        <w:t xml:space="preserve"> </w:t>
      </w:r>
      <w:r w:rsidR="00B82FF3">
        <w:rPr>
          <w:rFonts w:ascii="Times New Roman" w:hAnsi="Times New Roman" w:cs="Times New Roman"/>
          <w:b/>
          <w:sz w:val="24"/>
          <w:szCs w:val="24"/>
        </w:rPr>
        <w:t xml:space="preserve"> </w:t>
      </w:r>
      <w:r>
        <w:rPr>
          <w:rFonts w:ascii="Times New Roman" w:hAnsi="Times New Roman" w:cs="Times New Roman"/>
          <w:sz w:val="24"/>
          <w:szCs w:val="24"/>
        </w:rPr>
        <w:t>Having been successful in the argument, RAAP would in the normal way be entitled to the declaration sought</w:t>
      </w:r>
      <w:r w:rsidR="00826CC5">
        <w:rPr>
          <w:rFonts w:ascii="Times New Roman" w:hAnsi="Times New Roman" w:cs="Times New Roman"/>
          <w:sz w:val="24"/>
          <w:szCs w:val="24"/>
        </w:rPr>
        <w:t>,</w:t>
      </w:r>
      <w:r>
        <w:rPr>
          <w:rFonts w:ascii="Times New Roman" w:hAnsi="Times New Roman" w:cs="Times New Roman"/>
          <w:sz w:val="24"/>
          <w:szCs w:val="24"/>
        </w:rPr>
        <w:t xml:space="preserve"> absent a </w:t>
      </w:r>
      <w:r>
        <w:rPr>
          <w:rFonts w:ascii="Times New Roman" w:hAnsi="Times New Roman" w:cs="Times New Roman"/>
          <w:sz w:val="24"/>
          <w:szCs w:val="24"/>
        </w:rPr>
        <w:lastRenderedPageBreak/>
        <w:t>compelling reason to the contrary.</w:t>
      </w:r>
      <w:r w:rsidR="00826CC5">
        <w:rPr>
          <w:rFonts w:ascii="Times New Roman" w:hAnsi="Times New Roman" w:cs="Times New Roman"/>
          <w:sz w:val="24"/>
          <w:szCs w:val="24"/>
        </w:rPr>
        <w:t xml:space="preserve"> </w:t>
      </w:r>
      <w:r>
        <w:rPr>
          <w:rFonts w:ascii="Times New Roman" w:hAnsi="Times New Roman" w:cs="Times New Roman"/>
          <w:sz w:val="24"/>
          <w:szCs w:val="24"/>
        </w:rPr>
        <w:t xml:space="preserve"> It is necessary to consider whether any such </w:t>
      </w:r>
      <w:r w:rsidR="00971EAB">
        <w:rPr>
          <w:rFonts w:ascii="Times New Roman" w:hAnsi="Times New Roman" w:cs="Times New Roman"/>
          <w:sz w:val="24"/>
          <w:szCs w:val="24"/>
        </w:rPr>
        <w:t xml:space="preserve">reason </w:t>
      </w:r>
      <w:r>
        <w:rPr>
          <w:rFonts w:ascii="Times New Roman" w:hAnsi="Times New Roman" w:cs="Times New Roman"/>
          <w:sz w:val="24"/>
          <w:szCs w:val="24"/>
        </w:rPr>
        <w:t>exists in this case.</w:t>
      </w:r>
    </w:p>
    <w:p w14:paraId="2A50671D" w14:textId="511CCBB1"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sidRPr="00AA1957">
        <w:rPr>
          <w:rFonts w:ascii="Times New Roman" w:hAnsi="Times New Roman" w:cs="Times New Roman"/>
          <w:sz w:val="24"/>
          <w:szCs w:val="24"/>
        </w:rPr>
        <w:t xml:space="preserve">PPI </w:t>
      </w:r>
      <w:r>
        <w:rPr>
          <w:rFonts w:ascii="Times New Roman" w:hAnsi="Times New Roman" w:cs="Times New Roman"/>
          <w:sz w:val="24"/>
          <w:szCs w:val="24"/>
        </w:rPr>
        <w:t>argued that the declaration should not be made as it would serve no useful purpose because RAAP could never</w:t>
      </w:r>
      <w:r w:rsidR="00AD77E4">
        <w:rPr>
          <w:rFonts w:ascii="Times New Roman" w:hAnsi="Times New Roman" w:cs="Times New Roman"/>
          <w:sz w:val="24"/>
          <w:szCs w:val="24"/>
        </w:rPr>
        <w:t>,</w:t>
      </w:r>
      <w:r>
        <w:rPr>
          <w:rFonts w:ascii="Times New Roman" w:hAnsi="Times New Roman" w:cs="Times New Roman"/>
          <w:sz w:val="24"/>
          <w:szCs w:val="24"/>
        </w:rPr>
        <w:t xml:space="preserve"> as a matter of law</w:t>
      </w:r>
      <w:r w:rsidR="00AD77E4">
        <w:rPr>
          <w:rFonts w:ascii="Times New Roman" w:hAnsi="Times New Roman" w:cs="Times New Roman"/>
          <w:sz w:val="24"/>
          <w:szCs w:val="24"/>
        </w:rPr>
        <w:t>,</w:t>
      </w:r>
      <w:r>
        <w:rPr>
          <w:rFonts w:ascii="Times New Roman" w:hAnsi="Times New Roman" w:cs="Times New Roman"/>
          <w:sz w:val="24"/>
          <w:szCs w:val="24"/>
        </w:rPr>
        <w:t xml:space="preserve"> enforce the declaration against it. </w:t>
      </w:r>
      <w:r w:rsidR="00826CC5">
        <w:rPr>
          <w:rFonts w:ascii="Times New Roman" w:hAnsi="Times New Roman" w:cs="Times New Roman"/>
          <w:sz w:val="24"/>
          <w:szCs w:val="24"/>
        </w:rPr>
        <w:t xml:space="preserve"> </w:t>
      </w:r>
      <w:r>
        <w:rPr>
          <w:rFonts w:ascii="Times New Roman" w:hAnsi="Times New Roman" w:cs="Times New Roman"/>
          <w:sz w:val="24"/>
          <w:szCs w:val="24"/>
        </w:rPr>
        <w:t xml:space="preserve">This, it submitted, was a precondition to the granting of a declaration. </w:t>
      </w:r>
      <w:r w:rsidR="00826CC5">
        <w:rPr>
          <w:rFonts w:ascii="Times New Roman" w:hAnsi="Times New Roman" w:cs="Times New Roman"/>
          <w:sz w:val="24"/>
          <w:szCs w:val="24"/>
        </w:rPr>
        <w:t xml:space="preserve"> </w:t>
      </w:r>
      <w:r>
        <w:rPr>
          <w:rFonts w:ascii="Times New Roman" w:hAnsi="Times New Roman" w:cs="Times New Roman"/>
          <w:sz w:val="24"/>
          <w:szCs w:val="24"/>
        </w:rPr>
        <w:t xml:space="preserve">It </w:t>
      </w:r>
      <w:r w:rsidRPr="00AA1957">
        <w:rPr>
          <w:rFonts w:ascii="Times New Roman" w:hAnsi="Times New Roman" w:cs="Times New Roman"/>
          <w:sz w:val="24"/>
          <w:szCs w:val="24"/>
        </w:rPr>
        <w:t>relied upon t</w:t>
      </w:r>
      <w:r>
        <w:rPr>
          <w:rFonts w:ascii="Times New Roman" w:hAnsi="Times New Roman" w:cs="Times New Roman"/>
          <w:sz w:val="24"/>
          <w:szCs w:val="24"/>
        </w:rPr>
        <w:t>wo</w:t>
      </w:r>
      <w:r w:rsidRPr="00AA1957">
        <w:rPr>
          <w:rFonts w:ascii="Times New Roman" w:hAnsi="Times New Roman" w:cs="Times New Roman"/>
          <w:sz w:val="24"/>
          <w:szCs w:val="24"/>
        </w:rPr>
        <w:t xml:space="preserve"> decision</w:t>
      </w:r>
      <w:r>
        <w:rPr>
          <w:rFonts w:ascii="Times New Roman" w:hAnsi="Times New Roman" w:cs="Times New Roman"/>
          <w:sz w:val="24"/>
          <w:szCs w:val="24"/>
        </w:rPr>
        <w:t>s</w:t>
      </w:r>
      <w:r w:rsidRPr="00AA1957">
        <w:rPr>
          <w:rFonts w:ascii="Times New Roman" w:hAnsi="Times New Roman" w:cs="Times New Roman"/>
          <w:sz w:val="24"/>
          <w:szCs w:val="24"/>
        </w:rPr>
        <w:t xml:space="preserve"> in</w:t>
      </w:r>
      <w:r>
        <w:rPr>
          <w:rFonts w:ascii="Times New Roman" w:hAnsi="Times New Roman" w:cs="Times New Roman"/>
          <w:sz w:val="24"/>
          <w:szCs w:val="24"/>
        </w:rPr>
        <w:t xml:space="preserve"> support of its argument:</w:t>
      </w:r>
      <w:r w:rsidRPr="00AA1957">
        <w:rPr>
          <w:rFonts w:ascii="Times New Roman" w:hAnsi="Times New Roman" w:cs="Times New Roman"/>
          <w:sz w:val="24"/>
          <w:szCs w:val="24"/>
        </w:rPr>
        <w:t xml:space="preserve"> </w:t>
      </w:r>
      <w:r w:rsidRPr="00AA1957">
        <w:rPr>
          <w:rFonts w:ascii="Times New Roman" w:hAnsi="Times New Roman" w:cs="Times New Roman"/>
          <w:i/>
          <w:sz w:val="24"/>
          <w:szCs w:val="24"/>
        </w:rPr>
        <w:t xml:space="preserve">Lennon v. Cork City Council </w:t>
      </w:r>
      <w:r w:rsidRPr="00AA1957">
        <w:rPr>
          <w:rFonts w:ascii="Times New Roman" w:hAnsi="Times New Roman" w:cs="Times New Roman"/>
          <w:sz w:val="24"/>
          <w:szCs w:val="24"/>
        </w:rPr>
        <w:t xml:space="preserve">[2006] IEHC 438 </w:t>
      </w:r>
      <w:r>
        <w:rPr>
          <w:rFonts w:ascii="Times New Roman" w:hAnsi="Times New Roman" w:cs="Times New Roman"/>
          <w:sz w:val="24"/>
          <w:szCs w:val="24"/>
        </w:rPr>
        <w:t xml:space="preserve">and </w:t>
      </w:r>
      <w:r w:rsidRPr="0054402F">
        <w:rPr>
          <w:rFonts w:ascii="Times New Roman" w:hAnsi="Times New Roman" w:cs="Times New Roman"/>
          <w:i/>
          <w:sz w:val="24"/>
          <w:szCs w:val="24"/>
        </w:rPr>
        <w:t>Dudley v. An</w:t>
      </w:r>
      <w:r>
        <w:rPr>
          <w:rFonts w:ascii="Times New Roman" w:hAnsi="Times New Roman" w:cs="Times New Roman"/>
          <w:sz w:val="24"/>
          <w:szCs w:val="24"/>
        </w:rPr>
        <w:t xml:space="preserve"> </w:t>
      </w:r>
      <w:r w:rsidRPr="0054402F">
        <w:rPr>
          <w:rFonts w:ascii="Times New Roman" w:hAnsi="Times New Roman" w:cs="Times New Roman"/>
          <w:i/>
          <w:sz w:val="24"/>
          <w:szCs w:val="24"/>
        </w:rPr>
        <w:t xml:space="preserve">Taoiseach </w:t>
      </w:r>
      <w:r w:rsidRPr="00CB3C04">
        <w:rPr>
          <w:rFonts w:ascii="Times New Roman" w:hAnsi="Times New Roman" w:cs="Times New Roman"/>
          <w:iCs/>
          <w:sz w:val="24"/>
          <w:szCs w:val="24"/>
        </w:rPr>
        <w:t>[1994]</w:t>
      </w:r>
      <w:r w:rsidR="00826CC5" w:rsidRPr="00CB3C04">
        <w:rPr>
          <w:rFonts w:ascii="Times New Roman" w:hAnsi="Times New Roman" w:cs="Times New Roman"/>
          <w:iCs/>
          <w:sz w:val="24"/>
          <w:szCs w:val="24"/>
        </w:rPr>
        <w:t xml:space="preserve"> 2</w:t>
      </w:r>
      <w:r w:rsidRPr="00CB3C04">
        <w:rPr>
          <w:rFonts w:ascii="Times New Roman" w:hAnsi="Times New Roman" w:cs="Times New Roman"/>
          <w:iCs/>
          <w:sz w:val="24"/>
          <w:szCs w:val="24"/>
        </w:rPr>
        <w:t xml:space="preserve"> ILRM 321</w:t>
      </w:r>
      <w:r>
        <w:rPr>
          <w:rFonts w:ascii="Times New Roman" w:hAnsi="Times New Roman" w:cs="Times New Roman"/>
          <w:sz w:val="24"/>
          <w:szCs w:val="24"/>
        </w:rPr>
        <w:t>.</w:t>
      </w:r>
      <w:r w:rsidRPr="0054402F">
        <w:rPr>
          <w:rFonts w:ascii="Times New Roman" w:hAnsi="Times New Roman" w:cs="Times New Roman"/>
          <w:sz w:val="24"/>
          <w:szCs w:val="24"/>
        </w:rPr>
        <w:t xml:space="preserve"> </w:t>
      </w:r>
      <w:r w:rsidR="00826CC5">
        <w:rPr>
          <w:rFonts w:ascii="Times New Roman" w:hAnsi="Times New Roman" w:cs="Times New Roman"/>
          <w:sz w:val="24"/>
          <w:szCs w:val="24"/>
        </w:rPr>
        <w:t xml:space="preserve"> </w:t>
      </w:r>
      <w:r>
        <w:rPr>
          <w:rFonts w:ascii="Times New Roman" w:hAnsi="Times New Roman" w:cs="Times New Roman"/>
          <w:sz w:val="24"/>
          <w:szCs w:val="24"/>
        </w:rPr>
        <w:t xml:space="preserve">RAAP objected on the basis that the argument advanced by PPI as to alleged pre-conditions to the exercise by the </w:t>
      </w:r>
      <w:r w:rsidR="00826CC5">
        <w:rPr>
          <w:rFonts w:ascii="Times New Roman" w:hAnsi="Times New Roman" w:cs="Times New Roman"/>
          <w:sz w:val="24"/>
          <w:szCs w:val="24"/>
        </w:rPr>
        <w:t>c</w:t>
      </w:r>
      <w:r>
        <w:rPr>
          <w:rFonts w:ascii="Times New Roman" w:hAnsi="Times New Roman" w:cs="Times New Roman"/>
          <w:sz w:val="24"/>
          <w:szCs w:val="24"/>
        </w:rPr>
        <w:t xml:space="preserve">ourt of its declaratory jurisdiction was an argument which was not made at first instance and ought not to be permitted to be advanced for the first time on appeal.  While it seems to be the case that the argument has changed, and no good reason has been advanced to this </w:t>
      </w:r>
      <w:r w:rsidR="00826CC5">
        <w:rPr>
          <w:rFonts w:ascii="Times New Roman" w:hAnsi="Times New Roman" w:cs="Times New Roman"/>
          <w:sz w:val="24"/>
          <w:szCs w:val="24"/>
        </w:rPr>
        <w:t>c</w:t>
      </w:r>
      <w:r>
        <w:rPr>
          <w:rFonts w:ascii="Times New Roman" w:hAnsi="Times New Roman" w:cs="Times New Roman"/>
          <w:sz w:val="24"/>
          <w:szCs w:val="24"/>
        </w:rPr>
        <w:t xml:space="preserve">ourt to explain why the argument was not made to Simons J., I am nonetheless satisfied that it is sufficiently close to the arguments which were advanced in the High Court that PPI ought not to be precluded from advancing the argument on appeal in accordance with established </w:t>
      </w:r>
      <w:r w:rsidRPr="003A4B57">
        <w:rPr>
          <w:rFonts w:ascii="Times New Roman" w:hAnsi="Times New Roman" w:cs="Times New Roman"/>
          <w:sz w:val="24"/>
          <w:szCs w:val="24"/>
        </w:rPr>
        <w:t>jurisprudence</w:t>
      </w:r>
      <w:r>
        <w:rPr>
          <w:rFonts w:ascii="Times New Roman" w:hAnsi="Times New Roman" w:cs="Times New Roman"/>
          <w:sz w:val="24"/>
          <w:szCs w:val="24"/>
        </w:rPr>
        <w:t xml:space="preserve"> concerning the raising of arguments for the first time on appeal.</w:t>
      </w:r>
    </w:p>
    <w:p w14:paraId="37BAA286" w14:textId="3B837D08" w:rsidR="004F7F38" w:rsidRPr="00CB3C04" w:rsidRDefault="004F7F38" w:rsidP="00B46C8F">
      <w:pPr>
        <w:pStyle w:val="ListParagraph"/>
        <w:numPr>
          <w:ilvl w:val="0"/>
          <w:numId w:val="2"/>
        </w:numPr>
        <w:tabs>
          <w:tab w:val="left" w:pos="567"/>
        </w:tabs>
        <w:spacing w:line="480" w:lineRule="auto"/>
        <w:ind w:left="0" w:firstLine="0"/>
        <w:jc w:val="left"/>
        <w:rPr>
          <w:rFonts w:ascii="Times New Roman" w:hAnsi="Times New Roman" w:cs="Times New Roman"/>
          <w:i/>
          <w:sz w:val="24"/>
          <w:szCs w:val="24"/>
        </w:rPr>
      </w:pPr>
      <w:r>
        <w:rPr>
          <w:rFonts w:ascii="Times New Roman" w:hAnsi="Times New Roman" w:cs="Times New Roman"/>
          <w:sz w:val="24"/>
          <w:szCs w:val="24"/>
        </w:rPr>
        <w:t xml:space="preserve">In </w:t>
      </w:r>
      <w:r w:rsidRPr="0054402F">
        <w:rPr>
          <w:rFonts w:ascii="Times New Roman" w:hAnsi="Times New Roman" w:cs="Times New Roman"/>
          <w:i/>
          <w:sz w:val="24"/>
          <w:szCs w:val="24"/>
        </w:rPr>
        <w:t>Lennon</w:t>
      </w:r>
      <w:r w:rsidR="00826CC5">
        <w:rPr>
          <w:rFonts w:ascii="Times New Roman" w:hAnsi="Times New Roman" w:cs="Times New Roman"/>
          <w:iCs/>
          <w:sz w:val="24"/>
          <w:szCs w:val="24"/>
        </w:rPr>
        <w:t>,</w:t>
      </w:r>
      <w:r w:rsidRPr="0054402F">
        <w:rPr>
          <w:rFonts w:ascii="Times New Roman" w:hAnsi="Times New Roman" w:cs="Times New Roman"/>
          <w:sz w:val="24"/>
          <w:szCs w:val="24"/>
        </w:rPr>
        <w:t xml:space="preserve"> Smyth J. in the High Court refused the plaintiff a </w:t>
      </w:r>
      <w:r>
        <w:rPr>
          <w:rFonts w:ascii="Times New Roman" w:hAnsi="Times New Roman" w:cs="Times New Roman"/>
          <w:sz w:val="24"/>
          <w:szCs w:val="24"/>
        </w:rPr>
        <w:t>d</w:t>
      </w:r>
      <w:r w:rsidRPr="0054402F">
        <w:rPr>
          <w:rFonts w:ascii="Times New Roman" w:hAnsi="Times New Roman" w:cs="Times New Roman"/>
          <w:sz w:val="24"/>
          <w:szCs w:val="24"/>
        </w:rPr>
        <w:t>eclaration on the basis that if it were granted it would conflict with earlier decisions</w:t>
      </w:r>
      <w:r>
        <w:rPr>
          <w:rFonts w:ascii="Times New Roman" w:hAnsi="Times New Roman" w:cs="Times New Roman"/>
          <w:sz w:val="24"/>
          <w:szCs w:val="24"/>
        </w:rPr>
        <w:t xml:space="preserve"> </w:t>
      </w:r>
      <w:r w:rsidRPr="0054402F">
        <w:rPr>
          <w:rFonts w:ascii="Times New Roman" w:hAnsi="Times New Roman" w:cs="Times New Roman"/>
          <w:i/>
          <w:sz w:val="24"/>
          <w:szCs w:val="24"/>
        </w:rPr>
        <w:t>“and such could not harmonious</w:t>
      </w:r>
      <w:r>
        <w:rPr>
          <w:rFonts w:ascii="Times New Roman" w:hAnsi="Times New Roman" w:cs="Times New Roman"/>
          <w:i/>
          <w:sz w:val="24"/>
          <w:szCs w:val="24"/>
        </w:rPr>
        <w:t>ly</w:t>
      </w:r>
      <w:r w:rsidRPr="0054402F">
        <w:rPr>
          <w:rFonts w:ascii="Times New Roman" w:hAnsi="Times New Roman" w:cs="Times New Roman"/>
          <w:i/>
          <w:sz w:val="24"/>
          <w:szCs w:val="24"/>
        </w:rPr>
        <w:t xml:space="preserve"> exist in law except as a source of confusion and contradiction</w:t>
      </w:r>
      <w:r w:rsidR="00826CC5">
        <w:rPr>
          <w:rFonts w:ascii="Times New Roman" w:hAnsi="Times New Roman" w:cs="Times New Roman"/>
          <w:i/>
          <w:sz w:val="24"/>
          <w:szCs w:val="24"/>
        </w:rPr>
        <w:t>.</w:t>
      </w:r>
      <w:r w:rsidR="00510FFB">
        <w:rPr>
          <w:rFonts w:ascii="Times New Roman" w:hAnsi="Times New Roman" w:cs="Times New Roman"/>
          <w:i/>
          <w:sz w:val="24"/>
          <w:szCs w:val="24"/>
        </w:rPr>
        <w:t xml:space="preserve"> … </w:t>
      </w:r>
      <w:r w:rsidRPr="00CB3C04">
        <w:rPr>
          <w:rFonts w:ascii="Times New Roman" w:hAnsi="Times New Roman" w:cs="Times New Roman"/>
          <w:i/>
          <w:sz w:val="24"/>
          <w:szCs w:val="24"/>
        </w:rPr>
        <w:t>In short, to make the declaration sought (even if warranted) without an order of certiorari (which is deliberately eschewed by the applicant) would be to s</w:t>
      </w:r>
      <w:r w:rsidR="000347BC" w:rsidRPr="00CB3C04">
        <w:rPr>
          <w:rFonts w:ascii="Times New Roman" w:hAnsi="Times New Roman" w:cs="Times New Roman"/>
          <w:i/>
          <w:sz w:val="24"/>
          <w:szCs w:val="24"/>
        </w:rPr>
        <w:t>e</w:t>
      </w:r>
      <w:r w:rsidRPr="00CB3C04">
        <w:rPr>
          <w:rFonts w:ascii="Times New Roman" w:hAnsi="Times New Roman" w:cs="Times New Roman"/>
          <w:i/>
          <w:sz w:val="24"/>
          <w:szCs w:val="24"/>
        </w:rPr>
        <w:t xml:space="preserve">w </w:t>
      </w:r>
      <w:r w:rsidR="000347BC" w:rsidRPr="00CB3C04">
        <w:rPr>
          <w:rFonts w:ascii="Times New Roman" w:hAnsi="Times New Roman" w:cs="Times New Roman"/>
          <w:i/>
          <w:sz w:val="24"/>
          <w:szCs w:val="24"/>
        </w:rPr>
        <w:t xml:space="preserve">(sic) </w:t>
      </w:r>
      <w:r w:rsidRPr="00CB3C04">
        <w:rPr>
          <w:rFonts w:ascii="Times New Roman" w:hAnsi="Times New Roman" w:cs="Times New Roman"/>
          <w:i/>
          <w:sz w:val="24"/>
          <w:szCs w:val="24"/>
        </w:rPr>
        <w:t>the seeds of dissension and confusion and beget (as a matter of probability at the least) further unnecessary litigation.</w:t>
      </w:r>
      <w:r w:rsidR="000347BC" w:rsidRPr="00CB3C04">
        <w:rPr>
          <w:rFonts w:ascii="Times New Roman" w:hAnsi="Times New Roman" w:cs="Times New Roman"/>
          <w:i/>
          <w:sz w:val="24"/>
          <w:szCs w:val="24"/>
        </w:rPr>
        <w:t>”</w:t>
      </w:r>
      <w:r w:rsidRPr="00CB3C04">
        <w:rPr>
          <w:rFonts w:ascii="Times New Roman" w:hAnsi="Times New Roman" w:cs="Times New Roman"/>
          <w:i/>
          <w:sz w:val="24"/>
          <w:szCs w:val="24"/>
        </w:rPr>
        <w:t xml:space="preserve"> </w:t>
      </w:r>
    </w:p>
    <w:p w14:paraId="0DF9CE71" w14:textId="78EAFEB5"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Having explained why Ms</w:t>
      </w:r>
      <w:r w:rsidR="00A773B9">
        <w:rPr>
          <w:rFonts w:ascii="Times New Roman" w:hAnsi="Times New Roman" w:cs="Times New Roman"/>
          <w:sz w:val="24"/>
          <w:szCs w:val="24"/>
        </w:rPr>
        <w:t>.</w:t>
      </w:r>
      <w:r>
        <w:rPr>
          <w:rFonts w:ascii="Times New Roman" w:hAnsi="Times New Roman" w:cs="Times New Roman"/>
          <w:sz w:val="24"/>
          <w:szCs w:val="24"/>
        </w:rPr>
        <w:t xml:space="preserve"> Lennon was not entitled to a default planning permission he said:</w:t>
      </w:r>
      <w:r w:rsidR="00A773B9">
        <w:rPr>
          <w:rFonts w:ascii="Times New Roman" w:hAnsi="Times New Roman" w:cs="Times New Roman"/>
          <w:sz w:val="24"/>
          <w:szCs w:val="24"/>
        </w:rPr>
        <w:t>-</w:t>
      </w:r>
    </w:p>
    <w:p w14:paraId="43717DC6" w14:textId="3E607A51" w:rsidR="004F7F38" w:rsidRPr="00691773" w:rsidRDefault="004F7F38" w:rsidP="004F7F38">
      <w:pPr>
        <w:pStyle w:val="ListParagraph"/>
        <w:spacing w:line="480" w:lineRule="auto"/>
        <w:ind w:left="567"/>
        <w:jc w:val="left"/>
        <w:rPr>
          <w:rFonts w:ascii="Times New Roman" w:hAnsi="Times New Roman" w:cs="Times New Roman"/>
          <w:sz w:val="24"/>
          <w:szCs w:val="24"/>
        </w:rPr>
      </w:pPr>
      <w:r>
        <w:rPr>
          <w:rFonts w:ascii="Times New Roman" w:hAnsi="Times New Roman" w:cs="Times New Roman"/>
          <w:i/>
          <w:sz w:val="24"/>
          <w:szCs w:val="24"/>
        </w:rPr>
        <w:t>“</w:t>
      </w:r>
      <w:r w:rsidRPr="00C54487">
        <w:rPr>
          <w:rFonts w:ascii="Times New Roman" w:hAnsi="Times New Roman" w:cs="Times New Roman"/>
          <w:i/>
          <w:sz w:val="24"/>
          <w:szCs w:val="24"/>
        </w:rPr>
        <w:t xml:space="preserve">Accordingly, in my judgment no question can arise that she has any entitlement to default permission. </w:t>
      </w:r>
      <w:r w:rsidRPr="00691773">
        <w:rPr>
          <w:rFonts w:ascii="Times New Roman" w:hAnsi="Times New Roman" w:cs="Times New Roman"/>
          <w:b/>
          <w:i/>
          <w:sz w:val="24"/>
          <w:szCs w:val="24"/>
        </w:rPr>
        <w:t xml:space="preserve">In circumstances where the only practical purpose of seeking the </w:t>
      </w:r>
      <w:r w:rsidRPr="00691773">
        <w:rPr>
          <w:rFonts w:ascii="Times New Roman" w:hAnsi="Times New Roman" w:cs="Times New Roman"/>
          <w:b/>
          <w:i/>
          <w:sz w:val="24"/>
          <w:szCs w:val="24"/>
        </w:rPr>
        <w:lastRenderedPageBreak/>
        <w:t>declaration could be as a basis for asserting an entitlement for a default permission, and where it is clear that no such entitlement arises, it follows that no useful purpose would be served in granting such a declaration</w:t>
      </w:r>
      <w:r w:rsidRPr="00C54487">
        <w:rPr>
          <w:rFonts w:ascii="Times New Roman" w:hAnsi="Times New Roman" w:cs="Times New Roman"/>
          <w:i/>
          <w:sz w:val="24"/>
          <w:szCs w:val="24"/>
        </w:rPr>
        <w:t xml:space="preserve"> and that, of itself, is a ground for refusing it.</w:t>
      </w:r>
      <w:r>
        <w:rPr>
          <w:rFonts w:ascii="Times New Roman" w:hAnsi="Times New Roman" w:cs="Times New Roman"/>
          <w:i/>
          <w:sz w:val="24"/>
          <w:szCs w:val="24"/>
        </w:rPr>
        <w:t xml:space="preserve">” </w:t>
      </w:r>
      <w:r>
        <w:rPr>
          <w:rFonts w:ascii="Times New Roman" w:hAnsi="Times New Roman" w:cs="Times New Roman"/>
          <w:sz w:val="24"/>
          <w:szCs w:val="24"/>
        </w:rPr>
        <w:t>(emphasis added)</w:t>
      </w:r>
    </w:p>
    <w:p w14:paraId="73F2DBA9" w14:textId="61C73E2B"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sz w:val="24"/>
          <w:szCs w:val="24"/>
        </w:rPr>
        <w:t>Dudley</w:t>
      </w:r>
      <w:r w:rsidR="00DB7D9D" w:rsidRPr="00DB7D9D">
        <w:rPr>
          <w:rFonts w:ascii="Times New Roman" w:hAnsi="Times New Roman" w:cs="Times New Roman"/>
          <w:iCs/>
          <w:sz w:val="24"/>
          <w:szCs w:val="24"/>
        </w:rPr>
        <w:t>,</w:t>
      </w:r>
      <w:r>
        <w:rPr>
          <w:rFonts w:ascii="Times New Roman" w:hAnsi="Times New Roman" w:cs="Times New Roman"/>
          <w:sz w:val="24"/>
          <w:szCs w:val="24"/>
        </w:rPr>
        <w:t xml:space="preserve"> Geoghegan J. in the High Court gave the plaintiff leave to institute judicial review proceedings against the Government of Ireland and the Attorney General in relation to the failure to hold a by</w:t>
      </w:r>
      <w:r w:rsidR="00DB7D9D">
        <w:rPr>
          <w:rFonts w:ascii="Times New Roman" w:hAnsi="Times New Roman" w:cs="Times New Roman"/>
          <w:sz w:val="24"/>
          <w:szCs w:val="24"/>
        </w:rPr>
        <w:t>-</w:t>
      </w:r>
      <w:r>
        <w:rPr>
          <w:rFonts w:ascii="Times New Roman" w:hAnsi="Times New Roman" w:cs="Times New Roman"/>
          <w:sz w:val="24"/>
          <w:szCs w:val="24"/>
        </w:rPr>
        <w:t xml:space="preserve">election within a reasonable time of a vacancy occurring and whether a reasonable time had elapsed.  The High Court refused leave to seek a declaration as against </w:t>
      </w:r>
      <w:r w:rsidRPr="00962C74">
        <w:rPr>
          <w:rFonts w:ascii="Times New Roman" w:hAnsi="Times New Roman" w:cs="Times New Roman"/>
          <w:sz w:val="24"/>
          <w:szCs w:val="24"/>
        </w:rPr>
        <w:t>Dáil Éireann</w:t>
      </w:r>
      <w:r>
        <w:rPr>
          <w:rFonts w:ascii="Times New Roman" w:hAnsi="Times New Roman" w:cs="Times New Roman"/>
          <w:sz w:val="24"/>
          <w:szCs w:val="24"/>
        </w:rPr>
        <w:t xml:space="preserve"> that it had failed to take the necessary steps to enable the by</w:t>
      </w:r>
      <w:r w:rsidR="00FE7A53">
        <w:rPr>
          <w:rFonts w:ascii="Times New Roman" w:hAnsi="Times New Roman" w:cs="Times New Roman"/>
          <w:sz w:val="24"/>
          <w:szCs w:val="24"/>
        </w:rPr>
        <w:t>-</w:t>
      </w:r>
      <w:r>
        <w:rPr>
          <w:rFonts w:ascii="Times New Roman" w:hAnsi="Times New Roman" w:cs="Times New Roman"/>
          <w:sz w:val="24"/>
          <w:szCs w:val="24"/>
        </w:rPr>
        <w:t xml:space="preserve">election to take place on the grounds that such relief should not be granted where it could not be followed up by an enforceable order.  The High Court held that an order cannot be made in the terms sought as the courts cannot grant an order of mandamus compelling the body of members of the </w:t>
      </w:r>
      <w:r w:rsidRPr="002D15EC">
        <w:rPr>
          <w:rFonts w:ascii="Times New Roman" w:hAnsi="Times New Roman" w:cs="Times New Roman"/>
          <w:sz w:val="24"/>
          <w:szCs w:val="24"/>
        </w:rPr>
        <w:t xml:space="preserve">Dáil </w:t>
      </w:r>
      <w:r>
        <w:rPr>
          <w:rFonts w:ascii="Times New Roman" w:hAnsi="Times New Roman" w:cs="Times New Roman"/>
          <w:sz w:val="24"/>
          <w:szCs w:val="24"/>
        </w:rPr>
        <w:t xml:space="preserve">to vote in a particular way on a particular motion.  </w:t>
      </w:r>
    </w:p>
    <w:p w14:paraId="46E1CE37" w14:textId="33A8DCB3"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In my judgment, neither of these decisions assist PPI in this case.  In the first place, they are both decisions of the High Court and they do not discuss the relevant passage from the judgment of Walsh J. for the Supreme Court in </w:t>
      </w:r>
      <w:r w:rsidRPr="00503ED0">
        <w:rPr>
          <w:rFonts w:ascii="Times New Roman" w:hAnsi="Times New Roman" w:cs="Times New Roman"/>
          <w:i/>
          <w:sz w:val="24"/>
          <w:szCs w:val="24"/>
        </w:rPr>
        <w:t>Transport Sala</w:t>
      </w:r>
      <w:r>
        <w:rPr>
          <w:rFonts w:ascii="Times New Roman" w:hAnsi="Times New Roman" w:cs="Times New Roman"/>
          <w:i/>
          <w:sz w:val="24"/>
          <w:szCs w:val="24"/>
        </w:rPr>
        <w:t>r</w:t>
      </w:r>
      <w:r w:rsidRPr="00503ED0">
        <w:rPr>
          <w:rFonts w:ascii="Times New Roman" w:hAnsi="Times New Roman" w:cs="Times New Roman"/>
          <w:i/>
          <w:sz w:val="24"/>
          <w:szCs w:val="24"/>
        </w:rPr>
        <w:t>ied Staffs</w:t>
      </w:r>
      <w:r w:rsidR="00FE7A53">
        <w:rPr>
          <w:rFonts w:ascii="Times New Roman" w:hAnsi="Times New Roman" w:cs="Times New Roman"/>
          <w:i/>
          <w:sz w:val="24"/>
          <w:szCs w:val="24"/>
        </w:rPr>
        <w:t>’</w:t>
      </w:r>
      <w:r w:rsidRPr="00503ED0">
        <w:rPr>
          <w:rFonts w:ascii="Times New Roman" w:hAnsi="Times New Roman" w:cs="Times New Roman"/>
          <w:i/>
          <w:sz w:val="24"/>
          <w:szCs w:val="24"/>
        </w:rPr>
        <w:t xml:space="preserve"> Association. </w:t>
      </w:r>
      <w:r w:rsidR="00FE7A53">
        <w:rPr>
          <w:rFonts w:ascii="Times New Roman" w:hAnsi="Times New Roman" w:cs="Times New Roman"/>
          <w:i/>
          <w:sz w:val="24"/>
          <w:szCs w:val="24"/>
        </w:rPr>
        <w:t xml:space="preserve"> </w:t>
      </w:r>
      <w:r>
        <w:rPr>
          <w:rFonts w:ascii="Times New Roman" w:hAnsi="Times New Roman" w:cs="Times New Roman"/>
          <w:sz w:val="24"/>
          <w:szCs w:val="24"/>
        </w:rPr>
        <w:t xml:space="preserve">It is quite striking that PPI likewise failed to address that passage. </w:t>
      </w:r>
      <w:r w:rsidR="00FE7A53">
        <w:rPr>
          <w:rFonts w:ascii="Times New Roman" w:hAnsi="Times New Roman" w:cs="Times New Roman"/>
          <w:sz w:val="24"/>
          <w:szCs w:val="24"/>
        </w:rPr>
        <w:t xml:space="preserve"> </w:t>
      </w:r>
      <w:r>
        <w:rPr>
          <w:rFonts w:ascii="Times New Roman" w:hAnsi="Times New Roman" w:cs="Times New Roman"/>
          <w:sz w:val="24"/>
          <w:szCs w:val="24"/>
        </w:rPr>
        <w:t>As this is the leading decision and it is binding</w:t>
      </w:r>
      <w:r w:rsidR="00AD77E4">
        <w:rPr>
          <w:rFonts w:ascii="Times New Roman" w:hAnsi="Times New Roman" w:cs="Times New Roman"/>
          <w:sz w:val="24"/>
          <w:szCs w:val="24"/>
        </w:rPr>
        <w:t xml:space="preserve"> on</w:t>
      </w:r>
      <w:r>
        <w:rPr>
          <w:rFonts w:ascii="Times New Roman" w:hAnsi="Times New Roman" w:cs="Times New Roman"/>
          <w:sz w:val="24"/>
          <w:szCs w:val="24"/>
        </w:rPr>
        <w:t xml:space="preserve"> this court, that omission severely undermines this argument of PPI.</w:t>
      </w:r>
    </w:p>
    <w:p w14:paraId="5FB0FC81" w14:textId="57168165"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Secondly, the cases are very far removed from these proceedings.</w:t>
      </w:r>
      <w:r w:rsidR="00FE7A53">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i/>
          <w:sz w:val="24"/>
          <w:szCs w:val="24"/>
        </w:rPr>
        <w:t xml:space="preserve">Lennon </w:t>
      </w:r>
      <w:r>
        <w:rPr>
          <w:rFonts w:ascii="Times New Roman" w:hAnsi="Times New Roman" w:cs="Times New Roman"/>
          <w:sz w:val="24"/>
          <w:szCs w:val="24"/>
        </w:rPr>
        <w:t xml:space="preserve">was concerned with an application for default planning permission.  The High Court found that the relevant party would not be entitled to default planning permission and, therefore, it was not appropriate to make a declaration </w:t>
      </w:r>
      <w:r w:rsidR="00D360E3">
        <w:rPr>
          <w:rFonts w:ascii="Times New Roman" w:hAnsi="Times New Roman" w:cs="Times New Roman"/>
          <w:sz w:val="24"/>
          <w:szCs w:val="24"/>
        </w:rPr>
        <w:t>where</w:t>
      </w:r>
      <w:r w:rsidR="00383619">
        <w:rPr>
          <w:rFonts w:ascii="Times New Roman" w:hAnsi="Times New Roman" w:cs="Times New Roman"/>
          <w:sz w:val="24"/>
          <w:szCs w:val="24"/>
        </w:rPr>
        <w:t xml:space="preserve"> the</w:t>
      </w:r>
      <w:r w:rsidR="00D360E3">
        <w:rPr>
          <w:rFonts w:ascii="Times New Roman" w:hAnsi="Times New Roman" w:cs="Times New Roman"/>
          <w:sz w:val="24"/>
          <w:szCs w:val="24"/>
        </w:rPr>
        <w:t xml:space="preserve"> </w:t>
      </w:r>
      <w:r>
        <w:rPr>
          <w:rFonts w:ascii="Times New Roman" w:hAnsi="Times New Roman" w:cs="Times New Roman"/>
          <w:sz w:val="24"/>
          <w:szCs w:val="24"/>
        </w:rPr>
        <w:t xml:space="preserve">sole purpose could only be as a basis for claiming a default planning permission: therefore, the declaration could serve no useful purpose.  In </w:t>
      </w:r>
      <w:r>
        <w:rPr>
          <w:rFonts w:ascii="Times New Roman" w:hAnsi="Times New Roman" w:cs="Times New Roman"/>
          <w:i/>
          <w:sz w:val="24"/>
          <w:szCs w:val="24"/>
        </w:rPr>
        <w:t>Dudley</w:t>
      </w:r>
      <w:r>
        <w:rPr>
          <w:rFonts w:ascii="Times New Roman" w:hAnsi="Times New Roman" w:cs="Times New Roman"/>
          <w:sz w:val="24"/>
          <w:szCs w:val="24"/>
        </w:rPr>
        <w:t xml:space="preserve">, the decision was to refuse the applicant leave to seek a declaration </w:t>
      </w:r>
      <w:r>
        <w:rPr>
          <w:rFonts w:ascii="Times New Roman" w:hAnsi="Times New Roman" w:cs="Times New Roman"/>
          <w:sz w:val="24"/>
          <w:szCs w:val="24"/>
        </w:rPr>
        <w:lastRenderedPageBreak/>
        <w:t xml:space="preserve">against </w:t>
      </w:r>
      <w:r w:rsidRPr="002D15EC">
        <w:rPr>
          <w:rFonts w:ascii="Times New Roman" w:hAnsi="Times New Roman" w:cs="Times New Roman"/>
          <w:sz w:val="24"/>
          <w:szCs w:val="24"/>
        </w:rPr>
        <w:t>Dáil Éireann</w:t>
      </w:r>
      <w:r>
        <w:rPr>
          <w:rFonts w:ascii="Times New Roman" w:hAnsi="Times New Roman" w:cs="Times New Roman"/>
          <w:sz w:val="24"/>
          <w:szCs w:val="24"/>
        </w:rPr>
        <w:t xml:space="preserve">. </w:t>
      </w:r>
      <w:r w:rsidR="00D360E3">
        <w:rPr>
          <w:rFonts w:ascii="Times New Roman" w:hAnsi="Times New Roman" w:cs="Times New Roman"/>
          <w:sz w:val="24"/>
          <w:szCs w:val="24"/>
        </w:rPr>
        <w:t xml:space="preserve"> </w:t>
      </w:r>
      <w:r>
        <w:rPr>
          <w:rFonts w:ascii="Times New Roman" w:hAnsi="Times New Roman" w:cs="Times New Roman"/>
          <w:sz w:val="24"/>
          <w:szCs w:val="24"/>
        </w:rPr>
        <w:t>The High Court held that it would never be competent to make an order of mandamus against the members of D</w:t>
      </w:r>
      <w:r w:rsidR="00D360E3">
        <w:rPr>
          <w:rFonts w:ascii="Times New Roman" w:hAnsi="Times New Roman" w:cs="Times New Roman"/>
          <w:sz w:val="24"/>
          <w:szCs w:val="24"/>
        </w:rPr>
        <w:t>á</w:t>
      </w:r>
      <w:r>
        <w:rPr>
          <w:rFonts w:ascii="Times New Roman" w:hAnsi="Times New Roman" w:cs="Times New Roman"/>
          <w:sz w:val="24"/>
          <w:szCs w:val="24"/>
        </w:rPr>
        <w:t xml:space="preserve">il </w:t>
      </w:r>
      <w:r w:rsidR="00D360E3">
        <w:rPr>
          <w:rFonts w:ascii="Times New Roman" w:hAnsi="Times New Roman" w:cs="Times New Roman"/>
          <w:sz w:val="24"/>
          <w:szCs w:val="24"/>
        </w:rPr>
        <w:t>É</w:t>
      </w:r>
      <w:r>
        <w:rPr>
          <w:rFonts w:ascii="Times New Roman" w:hAnsi="Times New Roman" w:cs="Times New Roman"/>
          <w:sz w:val="24"/>
          <w:szCs w:val="24"/>
        </w:rPr>
        <w:t xml:space="preserve">ireann and, therefore, it would not be appropriate to grant a declaration which could not be so enforced. </w:t>
      </w:r>
      <w:r w:rsidR="00D360E3">
        <w:rPr>
          <w:rFonts w:ascii="Times New Roman" w:hAnsi="Times New Roman" w:cs="Times New Roman"/>
          <w:sz w:val="24"/>
          <w:szCs w:val="24"/>
        </w:rPr>
        <w:t xml:space="preserve"> </w:t>
      </w:r>
      <w:r>
        <w:rPr>
          <w:rFonts w:ascii="Times New Roman" w:hAnsi="Times New Roman" w:cs="Times New Roman"/>
          <w:sz w:val="24"/>
          <w:szCs w:val="24"/>
        </w:rPr>
        <w:t xml:space="preserve">As the judgment was given on an application for leave to seek judicial review, there was no detailed analysis of whether declaratory relief as sought by way of judicial review may only be granted where it could be followed up either in the same proceedings or in some other proceedings by an enforceable order. </w:t>
      </w:r>
      <w:r w:rsidR="00D360E3">
        <w:rPr>
          <w:rFonts w:ascii="Times New Roman" w:hAnsi="Times New Roman" w:cs="Times New Roman"/>
          <w:sz w:val="24"/>
          <w:szCs w:val="24"/>
        </w:rPr>
        <w:t xml:space="preserve"> </w:t>
      </w:r>
      <w:r>
        <w:rPr>
          <w:rFonts w:ascii="Times New Roman" w:hAnsi="Times New Roman" w:cs="Times New Roman"/>
          <w:sz w:val="24"/>
          <w:szCs w:val="24"/>
        </w:rPr>
        <w:t>Specifically, there was no discussion of the</w:t>
      </w:r>
      <w:r w:rsidRPr="007118D7">
        <w:rPr>
          <w:rFonts w:ascii="Times New Roman" w:hAnsi="Times New Roman" w:cs="Times New Roman"/>
          <w:i/>
          <w:sz w:val="24"/>
          <w:szCs w:val="24"/>
        </w:rPr>
        <w:t xml:space="preserve"> Transport</w:t>
      </w:r>
      <w:r>
        <w:rPr>
          <w:rFonts w:ascii="Times New Roman" w:hAnsi="Times New Roman" w:cs="Times New Roman"/>
          <w:i/>
          <w:sz w:val="24"/>
          <w:szCs w:val="24"/>
        </w:rPr>
        <w:t xml:space="preserve"> Salaried Staffs’ Association</w:t>
      </w:r>
      <w:r>
        <w:rPr>
          <w:rFonts w:ascii="Times New Roman" w:hAnsi="Times New Roman" w:cs="Times New Roman"/>
          <w:sz w:val="24"/>
          <w:szCs w:val="24"/>
        </w:rPr>
        <w:t xml:space="preserve"> case. </w:t>
      </w:r>
      <w:r w:rsidR="00D360E3">
        <w:rPr>
          <w:rFonts w:ascii="Times New Roman" w:hAnsi="Times New Roman" w:cs="Times New Roman"/>
          <w:sz w:val="24"/>
          <w:szCs w:val="24"/>
        </w:rPr>
        <w:t xml:space="preserve"> </w:t>
      </w:r>
      <w:r>
        <w:rPr>
          <w:rFonts w:ascii="Times New Roman" w:hAnsi="Times New Roman" w:cs="Times New Roman"/>
          <w:sz w:val="24"/>
          <w:szCs w:val="24"/>
        </w:rPr>
        <w:t>Insofar as PPI relies upon this judgment as authority for the wide, unqualified proposition, I am not inclined to follow it.</w:t>
      </w:r>
    </w:p>
    <w:p w14:paraId="23D3C99D" w14:textId="5FCFE2A1" w:rsidR="004F7F38" w:rsidRPr="007118D7"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It is important to emphasise that </w:t>
      </w:r>
      <w:r>
        <w:rPr>
          <w:rFonts w:ascii="Times New Roman" w:hAnsi="Times New Roman" w:cs="Times New Roman"/>
          <w:i/>
          <w:sz w:val="24"/>
          <w:szCs w:val="24"/>
        </w:rPr>
        <w:t>Transport Salaried Staffs</w:t>
      </w:r>
      <w:r w:rsidR="00D360E3">
        <w:rPr>
          <w:rFonts w:ascii="Times New Roman" w:hAnsi="Times New Roman" w:cs="Times New Roman"/>
          <w:i/>
          <w:sz w:val="24"/>
          <w:szCs w:val="24"/>
        </w:rPr>
        <w:t>’</w:t>
      </w:r>
      <w:r>
        <w:rPr>
          <w:rFonts w:ascii="Times New Roman" w:hAnsi="Times New Roman" w:cs="Times New Roman"/>
          <w:i/>
          <w:sz w:val="24"/>
          <w:szCs w:val="24"/>
        </w:rPr>
        <w:t xml:space="preserve"> Association </w:t>
      </w:r>
      <w:r>
        <w:rPr>
          <w:rFonts w:ascii="Times New Roman" w:hAnsi="Times New Roman" w:cs="Times New Roman"/>
          <w:sz w:val="24"/>
          <w:szCs w:val="24"/>
        </w:rPr>
        <w:t xml:space="preserve">does not impose a requirement that a party seeking a declaration have the right in law thereafter to enforce the declaration against the party against whom it was obtained.  Insofar as PPI opposes the grant of a declaration on the basis that it would not be open to RAAP in the future to obtain a coercive order against PPI, in my opinion, this is irrelevant to the issue whether or not the High Court erred in granting the order in the form under appeal.  </w:t>
      </w:r>
    </w:p>
    <w:p w14:paraId="0EEA6354" w14:textId="77777777" w:rsidR="004F7F38" w:rsidRPr="002D15EC"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While the parties referred to decisions of the House of Lords, the Court of Appeal of England and Wales and the High Court in England and Wales, I do not propose to discuss these as, in my judgment, this case can, and should, be decided on the basis of the decision of the Supreme Court in</w:t>
      </w:r>
      <w:r>
        <w:rPr>
          <w:rFonts w:ascii="Times New Roman" w:hAnsi="Times New Roman" w:cs="Times New Roman"/>
          <w:i/>
          <w:sz w:val="24"/>
          <w:szCs w:val="24"/>
        </w:rPr>
        <w:t xml:space="preserve"> Transport Salaried Staffs’ Association</w:t>
      </w:r>
      <w:r>
        <w:rPr>
          <w:rFonts w:ascii="Times New Roman" w:hAnsi="Times New Roman" w:cs="Times New Roman"/>
          <w:sz w:val="24"/>
          <w:szCs w:val="24"/>
        </w:rPr>
        <w:t xml:space="preserve">.  </w:t>
      </w:r>
    </w:p>
    <w:p w14:paraId="50F15871" w14:textId="19DABCAA" w:rsidR="004F7F38" w:rsidRPr="008929B3"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A variation of PPI’s argument was that the court ought not to make a declaration where it was of no utility to the party, aside from the issue of enforcement. </w:t>
      </w:r>
      <w:r w:rsidR="00D360E3">
        <w:rPr>
          <w:rFonts w:ascii="Times New Roman" w:hAnsi="Times New Roman" w:cs="Times New Roman"/>
          <w:sz w:val="24"/>
          <w:szCs w:val="24"/>
        </w:rPr>
        <w:t xml:space="preserve"> </w:t>
      </w:r>
      <w:r>
        <w:rPr>
          <w:rFonts w:ascii="Times New Roman" w:hAnsi="Times New Roman" w:cs="Times New Roman"/>
          <w:sz w:val="24"/>
          <w:szCs w:val="24"/>
        </w:rPr>
        <w:t>PPI said that the declaration could have no legal effect against PPI and so the declaration served no useful purpose, but merely</w:t>
      </w:r>
      <w:r w:rsidR="00D360E3">
        <w:rPr>
          <w:rFonts w:ascii="Times New Roman" w:hAnsi="Times New Roman" w:cs="Times New Roman"/>
          <w:sz w:val="24"/>
          <w:szCs w:val="24"/>
        </w:rPr>
        <w:t>,</w:t>
      </w:r>
      <w:r>
        <w:rPr>
          <w:rFonts w:ascii="Times New Roman" w:hAnsi="Times New Roman" w:cs="Times New Roman"/>
          <w:sz w:val="24"/>
          <w:szCs w:val="24"/>
        </w:rPr>
        <w:t xml:space="preserve"> potentially</w:t>
      </w:r>
      <w:r w:rsidR="00B711FF">
        <w:rPr>
          <w:rFonts w:ascii="Times New Roman" w:hAnsi="Times New Roman" w:cs="Times New Roman"/>
          <w:sz w:val="24"/>
          <w:szCs w:val="24"/>
        </w:rPr>
        <w:t>,</w:t>
      </w:r>
      <w:r>
        <w:rPr>
          <w:rFonts w:ascii="Times New Roman" w:hAnsi="Times New Roman" w:cs="Times New Roman"/>
          <w:sz w:val="24"/>
          <w:szCs w:val="24"/>
        </w:rPr>
        <w:t xml:space="preserve"> created legal uncertainty. </w:t>
      </w:r>
      <w:r w:rsidR="00D360E3">
        <w:rPr>
          <w:rFonts w:ascii="Times New Roman" w:hAnsi="Times New Roman" w:cs="Times New Roman"/>
          <w:sz w:val="24"/>
          <w:szCs w:val="24"/>
        </w:rPr>
        <w:t xml:space="preserve"> </w:t>
      </w:r>
      <w:r>
        <w:rPr>
          <w:rFonts w:ascii="Times New Roman" w:hAnsi="Times New Roman" w:cs="Times New Roman"/>
          <w:sz w:val="24"/>
          <w:szCs w:val="24"/>
        </w:rPr>
        <w:t>RAAP denies that the declaration is of no utility and asserts, to the contrary, that it was always a standalone relief, one which RAAP sought in the context of the future relations between the parties.</w:t>
      </w:r>
      <w:r w:rsidR="00D360E3">
        <w:rPr>
          <w:rFonts w:ascii="Times New Roman" w:hAnsi="Times New Roman" w:cs="Times New Roman"/>
          <w:sz w:val="24"/>
          <w:szCs w:val="24"/>
        </w:rPr>
        <w:t xml:space="preserve"> </w:t>
      </w:r>
      <w:r>
        <w:rPr>
          <w:rFonts w:ascii="Times New Roman" w:hAnsi="Times New Roman" w:cs="Times New Roman"/>
          <w:sz w:val="24"/>
          <w:szCs w:val="24"/>
        </w:rPr>
        <w:t xml:space="preserve"> Under the Act (as it </w:t>
      </w:r>
      <w:r>
        <w:rPr>
          <w:rFonts w:ascii="Times New Roman" w:hAnsi="Times New Roman" w:cs="Times New Roman"/>
          <w:sz w:val="24"/>
          <w:szCs w:val="24"/>
        </w:rPr>
        <w:lastRenderedPageBreak/>
        <w:t>stands) a performer only benefits from the performers’ rights provided for by the Act in respect of a particular performance if the performer has the prescribed connection of citizenship, domicile or residence in the State or an EEA member state</w:t>
      </w:r>
      <w:r w:rsidR="00D360E3">
        <w:rPr>
          <w:rFonts w:ascii="Times New Roman" w:hAnsi="Times New Roman" w:cs="Times New Roman"/>
          <w:sz w:val="24"/>
          <w:szCs w:val="24"/>
        </w:rPr>
        <w:t>,</w:t>
      </w:r>
      <w:r>
        <w:rPr>
          <w:rFonts w:ascii="Times New Roman" w:hAnsi="Times New Roman" w:cs="Times New Roman"/>
          <w:sz w:val="24"/>
          <w:szCs w:val="24"/>
        </w:rPr>
        <w:t xml:space="preserve"> or if the performance in question took place in the State or an EEA member state.  However, the Act does not preclude the parties from agreeing a distribution of fees collected by PPI from users of performances, be they qualifying or otherwise within the meaning of the Act, to non-EEA performers.  In that context</w:t>
      </w:r>
      <w:r w:rsidR="0061214E">
        <w:rPr>
          <w:rFonts w:ascii="Times New Roman" w:hAnsi="Times New Roman" w:cs="Times New Roman"/>
          <w:sz w:val="24"/>
          <w:szCs w:val="24"/>
        </w:rPr>
        <w:t>,</w:t>
      </w:r>
      <w:r>
        <w:rPr>
          <w:rFonts w:ascii="Times New Roman" w:hAnsi="Times New Roman" w:cs="Times New Roman"/>
          <w:sz w:val="24"/>
          <w:szCs w:val="24"/>
        </w:rPr>
        <w:t xml:space="preserve"> the declaration cannot be said to lack utility and is, therefore, not a reason to allow the appeal from the order of the High Court.</w:t>
      </w:r>
    </w:p>
    <w:p w14:paraId="55DAD977" w14:textId="523CEFEB"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Separately, PPI contended that the </w:t>
      </w:r>
      <w:r w:rsidR="0061214E">
        <w:rPr>
          <w:rFonts w:ascii="Times New Roman" w:hAnsi="Times New Roman" w:cs="Times New Roman"/>
          <w:sz w:val="24"/>
          <w:szCs w:val="24"/>
        </w:rPr>
        <w:t>c</w:t>
      </w:r>
      <w:r>
        <w:rPr>
          <w:rFonts w:ascii="Times New Roman" w:hAnsi="Times New Roman" w:cs="Times New Roman"/>
          <w:sz w:val="24"/>
          <w:szCs w:val="24"/>
        </w:rPr>
        <w:t xml:space="preserve">ourt ought not grant the declaration sought in the first prayer for relief of the </w:t>
      </w:r>
      <w:r w:rsidR="0061214E">
        <w:rPr>
          <w:rFonts w:ascii="Times New Roman" w:hAnsi="Times New Roman" w:cs="Times New Roman"/>
          <w:sz w:val="24"/>
          <w:szCs w:val="24"/>
        </w:rPr>
        <w:t>s</w:t>
      </w:r>
      <w:r>
        <w:rPr>
          <w:rFonts w:ascii="Times New Roman" w:hAnsi="Times New Roman" w:cs="Times New Roman"/>
          <w:sz w:val="24"/>
          <w:szCs w:val="24"/>
        </w:rPr>
        <w:t xml:space="preserve">tatement of </w:t>
      </w:r>
      <w:r w:rsidR="0061214E">
        <w:rPr>
          <w:rFonts w:ascii="Times New Roman" w:hAnsi="Times New Roman" w:cs="Times New Roman"/>
          <w:sz w:val="24"/>
          <w:szCs w:val="24"/>
        </w:rPr>
        <w:t>c</w:t>
      </w:r>
      <w:r>
        <w:rPr>
          <w:rFonts w:ascii="Times New Roman" w:hAnsi="Times New Roman" w:cs="Times New Roman"/>
          <w:sz w:val="24"/>
          <w:szCs w:val="24"/>
        </w:rPr>
        <w:t xml:space="preserve">laim because of the implications of such a declaration for the outcome of the remainder of the case.  It submitted that the Directive can have no direct horizontal effects between two private parties such as RAAP and PPI and that </w:t>
      </w:r>
      <w:r>
        <w:rPr>
          <w:rFonts w:ascii="Times New Roman" w:hAnsi="Times New Roman" w:cs="Times New Roman"/>
          <w:i/>
          <w:sz w:val="24"/>
          <w:szCs w:val="24"/>
        </w:rPr>
        <w:t xml:space="preserve">“the declaration made can have no legal effect </w:t>
      </w:r>
      <w:r w:rsidR="003E19D5">
        <w:rPr>
          <w:rFonts w:ascii="Times New Roman" w:hAnsi="Times New Roman" w:cs="Times New Roman"/>
          <w:i/>
          <w:sz w:val="24"/>
          <w:szCs w:val="24"/>
        </w:rPr>
        <w:t>‘</w:t>
      </w:r>
      <w:r>
        <w:rPr>
          <w:rFonts w:ascii="Times New Roman" w:hAnsi="Times New Roman" w:cs="Times New Roman"/>
          <w:i/>
          <w:sz w:val="24"/>
          <w:szCs w:val="24"/>
        </w:rPr>
        <w:t>as against</w:t>
      </w:r>
      <w:r w:rsidR="003E19D5">
        <w:rPr>
          <w:rFonts w:ascii="Times New Roman" w:hAnsi="Times New Roman" w:cs="Times New Roman"/>
          <w:i/>
          <w:sz w:val="24"/>
          <w:szCs w:val="24"/>
        </w:rPr>
        <w:t>’</w:t>
      </w:r>
      <w:r>
        <w:rPr>
          <w:rFonts w:ascii="Times New Roman" w:hAnsi="Times New Roman" w:cs="Times New Roman"/>
          <w:i/>
          <w:sz w:val="24"/>
          <w:szCs w:val="24"/>
        </w:rPr>
        <w:t xml:space="preserve"> PPI”</w:t>
      </w:r>
      <w:r>
        <w:rPr>
          <w:rFonts w:ascii="Times New Roman" w:hAnsi="Times New Roman" w:cs="Times New Roman"/>
          <w:sz w:val="24"/>
          <w:szCs w:val="24"/>
        </w:rPr>
        <w:t xml:space="preserve">.  It follows, according to PPI, that it is not appropriate for any declaration to be made as to the </w:t>
      </w:r>
      <w:r w:rsidRPr="00CB3C04">
        <w:rPr>
          <w:rFonts w:ascii="Times New Roman" w:hAnsi="Times New Roman" w:cs="Times New Roman"/>
          <w:i/>
          <w:iCs/>
          <w:sz w:val="24"/>
          <w:szCs w:val="24"/>
        </w:rPr>
        <w:t>“legal implications”</w:t>
      </w:r>
      <w:r>
        <w:rPr>
          <w:rFonts w:ascii="Times New Roman" w:hAnsi="Times New Roman" w:cs="Times New Roman"/>
          <w:sz w:val="24"/>
          <w:szCs w:val="24"/>
        </w:rPr>
        <w:t xml:space="preserve"> arising for either RAAP or PPI from the </w:t>
      </w:r>
      <w:r w:rsidR="001018FF">
        <w:rPr>
          <w:rFonts w:ascii="Times New Roman" w:hAnsi="Times New Roman" w:cs="Times New Roman"/>
          <w:sz w:val="24"/>
          <w:szCs w:val="24"/>
        </w:rPr>
        <w:t>CJEU’s</w:t>
      </w:r>
      <w:r>
        <w:rPr>
          <w:rFonts w:ascii="Times New Roman" w:hAnsi="Times New Roman" w:cs="Times New Roman"/>
          <w:sz w:val="24"/>
          <w:szCs w:val="24"/>
        </w:rPr>
        <w:t xml:space="preserve"> judgment.  It submitted that the only parties for whom there can be any implications at this stage of the proceedings are the State parties.  It said that in making the declaration against PPI</w:t>
      </w:r>
      <w:r w:rsidR="00873A08">
        <w:rPr>
          <w:rFonts w:ascii="Times New Roman" w:hAnsi="Times New Roman" w:cs="Times New Roman"/>
          <w:sz w:val="24"/>
          <w:szCs w:val="24"/>
        </w:rPr>
        <w:t>,</w:t>
      </w:r>
      <w:r>
        <w:rPr>
          <w:rFonts w:ascii="Times New Roman" w:hAnsi="Times New Roman" w:cs="Times New Roman"/>
          <w:sz w:val="24"/>
          <w:szCs w:val="24"/>
        </w:rPr>
        <w:t xml:space="preserve"> the High Court</w:t>
      </w:r>
      <w:r w:rsidR="00873A08">
        <w:rPr>
          <w:rFonts w:ascii="Times New Roman" w:hAnsi="Times New Roman" w:cs="Times New Roman"/>
          <w:sz w:val="24"/>
          <w:szCs w:val="24"/>
        </w:rPr>
        <w:t>,</w:t>
      </w:r>
      <w:r>
        <w:rPr>
          <w:rFonts w:ascii="Times New Roman" w:hAnsi="Times New Roman" w:cs="Times New Roman"/>
          <w:sz w:val="24"/>
          <w:szCs w:val="24"/>
        </w:rPr>
        <w:t xml:space="preserve"> in effect</w:t>
      </w:r>
      <w:r w:rsidR="00873A08">
        <w:rPr>
          <w:rFonts w:ascii="Times New Roman" w:hAnsi="Times New Roman" w:cs="Times New Roman"/>
          <w:sz w:val="24"/>
          <w:szCs w:val="24"/>
        </w:rPr>
        <w:t>,</w:t>
      </w:r>
      <w:r>
        <w:rPr>
          <w:rFonts w:ascii="Times New Roman" w:hAnsi="Times New Roman" w:cs="Times New Roman"/>
          <w:sz w:val="24"/>
          <w:szCs w:val="24"/>
        </w:rPr>
        <w:t xml:space="preserve"> pre-emptively found that the Directive applied to the dispute between the parties.  Separately</w:t>
      </w:r>
      <w:r w:rsidR="00873A08">
        <w:rPr>
          <w:rFonts w:ascii="Times New Roman" w:hAnsi="Times New Roman" w:cs="Times New Roman"/>
          <w:sz w:val="24"/>
          <w:szCs w:val="24"/>
        </w:rPr>
        <w:t>,</w:t>
      </w:r>
      <w:r>
        <w:rPr>
          <w:rFonts w:ascii="Times New Roman" w:hAnsi="Times New Roman" w:cs="Times New Roman"/>
          <w:sz w:val="24"/>
          <w:szCs w:val="24"/>
        </w:rPr>
        <w:t xml:space="preserve"> it submitted that relief could only be awarded against PPI in resolution or part-resolution of the contractual dispute between RAAP and PPI.</w:t>
      </w:r>
    </w:p>
    <w:p w14:paraId="47D59215" w14:textId="005B3AC3"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These submissions ignore two realities.  Firstly, that the declaratory relief is a standalone relief.  The proceedings encompass both contractual issues and the underlying lawfulness of the statutory framework.  The contractual issues, according to RAAP, do not rely on any particular outcome in relation to the latter issue. </w:t>
      </w:r>
      <w:r w:rsidR="00873A08">
        <w:rPr>
          <w:rFonts w:ascii="Times New Roman" w:hAnsi="Times New Roman" w:cs="Times New Roman"/>
          <w:sz w:val="24"/>
          <w:szCs w:val="24"/>
        </w:rPr>
        <w:t xml:space="preserve"> </w:t>
      </w:r>
      <w:r>
        <w:rPr>
          <w:rFonts w:ascii="Times New Roman" w:hAnsi="Times New Roman" w:cs="Times New Roman"/>
          <w:sz w:val="24"/>
          <w:szCs w:val="24"/>
        </w:rPr>
        <w:t xml:space="preserve">PPI argues to the contrary, and in fact says that RAAP’s case based on the </w:t>
      </w:r>
      <w:r w:rsidRPr="00CB3C04">
        <w:rPr>
          <w:rFonts w:ascii="Times New Roman" w:hAnsi="Times New Roman" w:cs="Times New Roman"/>
          <w:i/>
          <w:iCs/>
          <w:sz w:val="24"/>
          <w:szCs w:val="24"/>
        </w:rPr>
        <w:t>“dependent contract claims”</w:t>
      </w:r>
      <w:r>
        <w:rPr>
          <w:rFonts w:ascii="Times New Roman" w:hAnsi="Times New Roman" w:cs="Times New Roman"/>
          <w:sz w:val="24"/>
          <w:szCs w:val="24"/>
        </w:rPr>
        <w:t xml:space="preserve"> must fail. </w:t>
      </w:r>
      <w:r w:rsidR="00083DED">
        <w:rPr>
          <w:rFonts w:ascii="Times New Roman" w:hAnsi="Times New Roman" w:cs="Times New Roman"/>
          <w:sz w:val="24"/>
          <w:szCs w:val="24"/>
        </w:rPr>
        <w:t xml:space="preserve"> </w:t>
      </w:r>
      <w:r>
        <w:rPr>
          <w:rFonts w:ascii="Times New Roman" w:hAnsi="Times New Roman" w:cs="Times New Roman"/>
          <w:sz w:val="24"/>
          <w:szCs w:val="24"/>
        </w:rPr>
        <w:t xml:space="preserve">Whatever </w:t>
      </w:r>
      <w:r>
        <w:rPr>
          <w:rFonts w:ascii="Times New Roman" w:hAnsi="Times New Roman" w:cs="Times New Roman"/>
          <w:sz w:val="24"/>
          <w:szCs w:val="24"/>
        </w:rPr>
        <w:lastRenderedPageBreak/>
        <w:t>the rights of this argument</w:t>
      </w:r>
      <w:r w:rsidR="00083DED">
        <w:rPr>
          <w:rFonts w:ascii="Times New Roman" w:hAnsi="Times New Roman" w:cs="Times New Roman"/>
          <w:sz w:val="24"/>
          <w:szCs w:val="24"/>
        </w:rPr>
        <w:t xml:space="preserve"> – </w:t>
      </w:r>
      <w:r>
        <w:rPr>
          <w:rFonts w:ascii="Times New Roman" w:hAnsi="Times New Roman" w:cs="Times New Roman"/>
          <w:sz w:val="24"/>
          <w:szCs w:val="24"/>
        </w:rPr>
        <w:t>about which I make no observation and express no conclusion</w:t>
      </w:r>
      <w:r w:rsidR="00083DED">
        <w:rPr>
          <w:rFonts w:ascii="Times New Roman" w:hAnsi="Times New Roman" w:cs="Times New Roman"/>
          <w:sz w:val="24"/>
          <w:szCs w:val="24"/>
        </w:rPr>
        <w:t xml:space="preserve"> –</w:t>
      </w:r>
      <w:r>
        <w:rPr>
          <w:rFonts w:ascii="Times New Roman" w:hAnsi="Times New Roman" w:cs="Times New Roman"/>
          <w:sz w:val="24"/>
          <w:szCs w:val="24"/>
        </w:rPr>
        <w:t xml:space="preserve"> it relates to the contractual claims and not to the claim for declaratory relief.</w:t>
      </w:r>
    </w:p>
    <w:p w14:paraId="67520006" w14:textId="46EA0A14"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Secondly, this is an order made following the trial of a preliminary issue.  The remaining issues remain to be tried and resolved.  The implications of the orders</w:t>
      </w:r>
      <w:r w:rsidR="00B46C8F">
        <w:rPr>
          <w:rFonts w:ascii="Times New Roman" w:hAnsi="Times New Roman" w:cs="Times New Roman"/>
          <w:sz w:val="24"/>
          <w:szCs w:val="24"/>
        </w:rPr>
        <w:t>,</w:t>
      </w:r>
      <w:r>
        <w:rPr>
          <w:rFonts w:ascii="Times New Roman" w:hAnsi="Times New Roman" w:cs="Times New Roman"/>
          <w:sz w:val="24"/>
          <w:szCs w:val="24"/>
        </w:rPr>
        <w:t xml:space="preserve"> following the trial of the preliminary issue</w:t>
      </w:r>
      <w:r w:rsidR="00B46C8F">
        <w:rPr>
          <w:rFonts w:ascii="Times New Roman" w:hAnsi="Times New Roman" w:cs="Times New Roman"/>
          <w:sz w:val="24"/>
          <w:szCs w:val="24"/>
        </w:rPr>
        <w:t>,</w:t>
      </w:r>
      <w:r>
        <w:rPr>
          <w:rFonts w:ascii="Times New Roman" w:hAnsi="Times New Roman" w:cs="Times New Roman"/>
          <w:sz w:val="24"/>
          <w:szCs w:val="24"/>
        </w:rPr>
        <w:t xml:space="preserve"> for those issues will fall to be determined by the judge trying the remainder of the proceedings.  Simons J. and this </w:t>
      </w:r>
      <w:r w:rsidR="00AC5524">
        <w:rPr>
          <w:rFonts w:ascii="Times New Roman" w:hAnsi="Times New Roman" w:cs="Times New Roman"/>
          <w:sz w:val="24"/>
          <w:szCs w:val="24"/>
        </w:rPr>
        <w:t>c</w:t>
      </w:r>
      <w:r>
        <w:rPr>
          <w:rFonts w:ascii="Times New Roman" w:hAnsi="Times New Roman" w:cs="Times New Roman"/>
          <w:sz w:val="24"/>
          <w:szCs w:val="24"/>
        </w:rPr>
        <w:t>ourt on appeal cannot determine those issues.  The implications of the orders made following the trial of the preliminary issue and the complexities which may or may not be created thereby</w:t>
      </w:r>
      <w:r w:rsidR="00AC5524">
        <w:rPr>
          <w:rFonts w:ascii="Times New Roman" w:hAnsi="Times New Roman" w:cs="Times New Roman"/>
          <w:sz w:val="24"/>
          <w:szCs w:val="24"/>
        </w:rPr>
        <w:t>,</w:t>
      </w:r>
      <w:r>
        <w:rPr>
          <w:rFonts w:ascii="Times New Roman" w:hAnsi="Times New Roman" w:cs="Times New Roman"/>
          <w:sz w:val="24"/>
          <w:szCs w:val="24"/>
        </w:rPr>
        <w:t xml:space="preserve"> to some extent</w:t>
      </w:r>
      <w:r w:rsidR="00AC5524">
        <w:rPr>
          <w:rFonts w:ascii="Times New Roman" w:hAnsi="Times New Roman" w:cs="Times New Roman"/>
          <w:sz w:val="24"/>
          <w:szCs w:val="24"/>
        </w:rPr>
        <w:t>,</w:t>
      </w:r>
      <w:r>
        <w:rPr>
          <w:rFonts w:ascii="Times New Roman" w:hAnsi="Times New Roman" w:cs="Times New Roman"/>
          <w:sz w:val="24"/>
          <w:szCs w:val="24"/>
        </w:rPr>
        <w:t xml:space="preserve"> are the result of the choice of PPI to seek a trial of a preliminary issue in the first place.  This necessarily involves sequential judgments and orders.  In my judgment, it is not open to a party to ask the High Court to direct the trial of a preliminary issue and then to ask the court to refrain from making an order following the trial because of the possible implications for the parties of an order on the balance of the proceedings.  That is the very purpose for which the relief was </w:t>
      </w:r>
      <w:r w:rsidR="00AC5524">
        <w:rPr>
          <w:rFonts w:ascii="Times New Roman" w:hAnsi="Times New Roman" w:cs="Times New Roman"/>
          <w:sz w:val="24"/>
          <w:szCs w:val="24"/>
        </w:rPr>
        <w:t>s</w:t>
      </w:r>
      <w:r>
        <w:rPr>
          <w:rFonts w:ascii="Times New Roman" w:hAnsi="Times New Roman" w:cs="Times New Roman"/>
          <w:sz w:val="24"/>
          <w:szCs w:val="24"/>
        </w:rPr>
        <w:t xml:space="preserve">ought in the first place.  </w:t>
      </w:r>
    </w:p>
    <w:p w14:paraId="4FD7E28F" w14:textId="57BF0D54"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Somewhat at odds with this argument, is the submission advanced by PPI to the effect that because Simons J. has determined that the Act cannot be giving a conforming interpretation in line with the judgment of the </w:t>
      </w:r>
      <w:r w:rsidR="00AC5524">
        <w:rPr>
          <w:rFonts w:ascii="Times New Roman" w:hAnsi="Times New Roman" w:cs="Times New Roman"/>
          <w:sz w:val="24"/>
          <w:szCs w:val="24"/>
        </w:rPr>
        <w:t>CJEU</w:t>
      </w:r>
      <w:r>
        <w:rPr>
          <w:rFonts w:ascii="Times New Roman" w:hAnsi="Times New Roman" w:cs="Times New Roman"/>
          <w:sz w:val="24"/>
          <w:szCs w:val="24"/>
        </w:rPr>
        <w:t>, RAAP’s dependent contractual claims must fail.  Quite apart from the fact that RAAP argues that none of its contractual issues rely upon the conforming interpretation of the Act, this is a matter which has not been argued or determined by the High Court.  In the circumstances</w:t>
      </w:r>
      <w:r w:rsidR="00F0691C">
        <w:rPr>
          <w:rFonts w:ascii="Times New Roman" w:hAnsi="Times New Roman" w:cs="Times New Roman"/>
          <w:sz w:val="24"/>
          <w:szCs w:val="24"/>
        </w:rPr>
        <w:t>,</w:t>
      </w:r>
      <w:r>
        <w:rPr>
          <w:rFonts w:ascii="Times New Roman" w:hAnsi="Times New Roman" w:cs="Times New Roman"/>
          <w:sz w:val="24"/>
          <w:szCs w:val="24"/>
        </w:rPr>
        <w:t xml:space="preserve"> this </w:t>
      </w:r>
      <w:r w:rsidR="00AC5524">
        <w:rPr>
          <w:rFonts w:ascii="Times New Roman" w:hAnsi="Times New Roman" w:cs="Times New Roman"/>
          <w:sz w:val="24"/>
          <w:szCs w:val="24"/>
        </w:rPr>
        <w:t>c</w:t>
      </w:r>
      <w:r>
        <w:rPr>
          <w:rFonts w:ascii="Times New Roman" w:hAnsi="Times New Roman" w:cs="Times New Roman"/>
          <w:sz w:val="24"/>
          <w:szCs w:val="24"/>
        </w:rPr>
        <w:t xml:space="preserve">ourt could not </w:t>
      </w:r>
      <w:r w:rsidR="00AC5524">
        <w:rPr>
          <w:rFonts w:ascii="Times New Roman" w:hAnsi="Times New Roman" w:cs="Times New Roman"/>
          <w:sz w:val="24"/>
          <w:szCs w:val="24"/>
        </w:rPr>
        <w:t xml:space="preserve">– </w:t>
      </w:r>
      <w:r>
        <w:rPr>
          <w:rFonts w:ascii="Times New Roman" w:hAnsi="Times New Roman" w:cs="Times New Roman"/>
          <w:sz w:val="24"/>
          <w:szCs w:val="24"/>
        </w:rPr>
        <w:t>and should not</w:t>
      </w:r>
      <w:r w:rsidR="00AC5524">
        <w:rPr>
          <w:rFonts w:ascii="Times New Roman" w:hAnsi="Times New Roman" w:cs="Times New Roman"/>
          <w:sz w:val="24"/>
          <w:szCs w:val="24"/>
        </w:rPr>
        <w:t xml:space="preserve"> – </w:t>
      </w:r>
      <w:r>
        <w:rPr>
          <w:rFonts w:ascii="Times New Roman" w:hAnsi="Times New Roman" w:cs="Times New Roman"/>
          <w:sz w:val="24"/>
          <w:szCs w:val="24"/>
        </w:rPr>
        <w:t>conclude that what PPI characterises as dependent contractual claims must fail for the reasons it advances.  The issues of contractual interpretation raised in these proceedings were not the subject of the trial of a preliminary issue and have not even been argued before the High Court.  Neither the High Court</w:t>
      </w:r>
      <w:r w:rsidR="00AC5524">
        <w:rPr>
          <w:rFonts w:ascii="Times New Roman" w:hAnsi="Times New Roman" w:cs="Times New Roman"/>
          <w:sz w:val="24"/>
          <w:szCs w:val="24"/>
        </w:rPr>
        <w:t>,</w:t>
      </w:r>
      <w:r>
        <w:rPr>
          <w:rFonts w:ascii="Times New Roman" w:hAnsi="Times New Roman" w:cs="Times New Roman"/>
          <w:sz w:val="24"/>
          <w:szCs w:val="24"/>
        </w:rPr>
        <w:t xml:space="preserve"> nor this </w:t>
      </w:r>
      <w:r w:rsidR="00AC5524">
        <w:rPr>
          <w:rFonts w:ascii="Times New Roman" w:hAnsi="Times New Roman" w:cs="Times New Roman"/>
          <w:sz w:val="24"/>
          <w:szCs w:val="24"/>
        </w:rPr>
        <w:t>c</w:t>
      </w:r>
      <w:r>
        <w:rPr>
          <w:rFonts w:ascii="Times New Roman" w:hAnsi="Times New Roman" w:cs="Times New Roman"/>
          <w:sz w:val="24"/>
          <w:szCs w:val="24"/>
        </w:rPr>
        <w:t xml:space="preserve">ourt could conclude the issue against RAAP without hearing its case.  In my judgment, it is a most surprising proposition for PPI to advance, </w:t>
      </w:r>
      <w:r>
        <w:rPr>
          <w:rFonts w:ascii="Times New Roman" w:hAnsi="Times New Roman" w:cs="Times New Roman"/>
          <w:sz w:val="24"/>
          <w:szCs w:val="24"/>
        </w:rPr>
        <w:lastRenderedPageBreak/>
        <w:t xml:space="preserve">particularly in light of the basis upon which the trial of the preliminary issue was sought, granted and argued.  </w:t>
      </w:r>
    </w:p>
    <w:p w14:paraId="281B75DF" w14:textId="6F56C61F"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In view of the fact that the issues have yet to be argued and determined</w:t>
      </w:r>
      <w:r w:rsidR="00AC5524">
        <w:rPr>
          <w:rFonts w:ascii="Times New Roman" w:hAnsi="Times New Roman" w:cs="Times New Roman"/>
          <w:sz w:val="24"/>
          <w:szCs w:val="24"/>
        </w:rPr>
        <w:t>,</w:t>
      </w:r>
      <w:r>
        <w:rPr>
          <w:rFonts w:ascii="Times New Roman" w:hAnsi="Times New Roman" w:cs="Times New Roman"/>
          <w:sz w:val="24"/>
          <w:szCs w:val="24"/>
        </w:rPr>
        <w:t xml:space="preserve"> it is appropriate that I say no more other than the fact that these issues have not been resolved by any judgment to date in the proceedings.  Insofar as PPI appeals from the decision of Simons J. based on this argument, I have no hesitation in rejecting it.  </w:t>
      </w:r>
    </w:p>
    <w:p w14:paraId="4085B165" w14:textId="77777777"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I am not satisfied that the grant of the declaration sought creates legal uncertainty as PPI alleges will arise in some unspecified way.  This seems to me to be completely inconsistent both with the basis upon which PPI sought the trial of the preliminary issue and with the fact that, as it accepted and acknowledged, contractual issues were not to be resolved at the trial of the preliminary issue.  Therefore, it is not a basis for overturning the decision of the High Court.</w:t>
      </w:r>
    </w:p>
    <w:p w14:paraId="63F3512C" w14:textId="576F23E2"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One of the principal arguments advanced by PPI in opposing the making of declaration </w:t>
      </w:r>
      <w:r w:rsidR="00AC5524">
        <w:rPr>
          <w:rFonts w:ascii="Times New Roman" w:hAnsi="Times New Roman" w:cs="Times New Roman"/>
          <w:sz w:val="24"/>
          <w:szCs w:val="24"/>
        </w:rPr>
        <w:t>(</w:t>
      </w:r>
      <w:r>
        <w:rPr>
          <w:rFonts w:ascii="Times New Roman" w:hAnsi="Times New Roman" w:cs="Times New Roman"/>
          <w:sz w:val="24"/>
          <w:szCs w:val="24"/>
        </w:rPr>
        <w:t>1</w:t>
      </w:r>
      <w:r w:rsidR="00AC5524">
        <w:rPr>
          <w:rFonts w:ascii="Times New Roman" w:hAnsi="Times New Roman" w:cs="Times New Roman"/>
          <w:sz w:val="24"/>
          <w:szCs w:val="24"/>
        </w:rPr>
        <w:t>)</w:t>
      </w:r>
      <w:r>
        <w:rPr>
          <w:rFonts w:ascii="Times New Roman" w:hAnsi="Times New Roman" w:cs="Times New Roman"/>
          <w:sz w:val="24"/>
          <w:szCs w:val="24"/>
        </w:rPr>
        <w:t xml:space="preserve"> against it was that to do so would be to give impermissible direct horizontal effect to the Directive between two private entities contrary to EU law.</w:t>
      </w:r>
      <w:r w:rsidR="00AC5524">
        <w:rPr>
          <w:rFonts w:ascii="Times New Roman" w:hAnsi="Times New Roman" w:cs="Times New Roman"/>
          <w:sz w:val="24"/>
          <w:szCs w:val="24"/>
        </w:rPr>
        <w:t xml:space="preserve"> </w:t>
      </w:r>
      <w:r>
        <w:rPr>
          <w:rFonts w:ascii="Times New Roman" w:hAnsi="Times New Roman" w:cs="Times New Roman"/>
          <w:sz w:val="24"/>
          <w:szCs w:val="24"/>
        </w:rPr>
        <w:t xml:space="preserve"> I do not agree.</w:t>
      </w:r>
      <w:r w:rsidR="00AC5524">
        <w:rPr>
          <w:rFonts w:ascii="Times New Roman" w:hAnsi="Times New Roman" w:cs="Times New Roman"/>
          <w:sz w:val="24"/>
          <w:szCs w:val="24"/>
        </w:rPr>
        <w:t xml:space="preserve"> </w:t>
      </w:r>
      <w:r>
        <w:rPr>
          <w:rFonts w:ascii="Times New Roman" w:hAnsi="Times New Roman" w:cs="Times New Roman"/>
          <w:sz w:val="24"/>
          <w:szCs w:val="24"/>
        </w:rPr>
        <w:t xml:space="preserve"> In its terms</w:t>
      </w:r>
      <w:r w:rsidR="00AC5524">
        <w:rPr>
          <w:rFonts w:ascii="Times New Roman" w:hAnsi="Times New Roman" w:cs="Times New Roman"/>
          <w:sz w:val="24"/>
          <w:szCs w:val="24"/>
        </w:rPr>
        <w:t>,</w:t>
      </w:r>
      <w:r>
        <w:rPr>
          <w:rFonts w:ascii="Times New Roman" w:hAnsi="Times New Roman" w:cs="Times New Roman"/>
          <w:sz w:val="24"/>
          <w:szCs w:val="24"/>
        </w:rPr>
        <w:t xml:space="preserve"> the declaration does no more than declare the law. </w:t>
      </w:r>
      <w:r w:rsidR="00AC5524">
        <w:rPr>
          <w:rFonts w:ascii="Times New Roman" w:hAnsi="Times New Roman" w:cs="Times New Roman"/>
          <w:sz w:val="24"/>
          <w:szCs w:val="24"/>
        </w:rPr>
        <w:t xml:space="preserve"> </w:t>
      </w:r>
      <w:r>
        <w:rPr>
          <w:rFonts w:ascii="Times New Roman" w:hAnsi="Times New Roman" w:cs="Times New Roman"/>
          <w:sz w:val="24"/>
          <w:szCs w:val="24"/>
        </w:rPr>
        <w:t xml:space="preserve">PPI is concerned with the implications of the declaration, </w:t>
      </w:r>
      <w:r w:rsidRPr="00CB3C04">
        <w:rPr>
          <w:rFonts w:ascii="Times New Roman" w:hAnsi="Times New Roman" w:cs="Times New Roman"/>
          <w:i/>
          <w:iCs/>
          <w:sz w:val="24"/>
          <w:szCs w:val="24"/>
        </w:rPr>
        <w:t>i.e.</w:t>
      </w:r>
      <w:r>
        <w:rPr>
          <w:rFonts w:ascii="Times New Roman" w:hAnsi="Times New Roman" w:cs="Times New Roman"/>
          <w:sz w:val="24"/>
          <w:szCs w:val="24"/>
        </w:rPr>
        <w:t xml:space="preserve"> the possible future application of it in the balance of the proceedings.</w:t>
      </w:r>
      <w:r w:rsidR="00AC5524">
        <w:rPr>
          <w:rFonts w:ascii="Times New Roman" w:hAnsi="Times New Roman" w:cs="Times New Roman"/>
          <w:sz w:val="24"/>
          <w:szCs w:val="24"/>
        </w:rPr>
        <w:t xml:space="preserve"> </w:t>
      </w:r>
      <w:r>
        <w:rPr>
          <w:rFonts w:ascii="Times New Roman" w:hAnsi="Times New Roman" w:cs="Times New Roman"/>
          <w:sz w:val="24"/>
          <w:szCs w:val="24"/>
        </w:rPr>
        <w:t xml:space="preserve"> As I have stated, that is not a matter for this court on this appeal</w:t>
      </w:r>
      <w:r w:rsidR="00AC5524">
        <w:rPr>
          <w:rFonts w:ascii="Times New Roman" w:hAnsi="Times New Roman" w:cs="Times New Roman"/>
          <w:sz w:val="24"/>
          <w:szCs w:val="24"/>
        </w:rPr>
        <w:t>,</w:t>
      </w:r>
      <w:r>
        <w:rPr>
          <w:rFonts w:ascii="Times New Roman" w:hAnsi="Times New Roman" w:cs="Times New Roman"/>
          <w:sz w:val="24"/>
          <w:szCs w:val="24"/>
        </w:rPr>
        <w:t xml:space="preserve"> and it is not a reason to refuse to make the declaration sought.</w:t>
      </w:r>
    </w:p>
    <w:p w14:paraId="087DEAE4" w14:textId="3D75024E"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PPI argues that the declaration should not be made as against it by analogy to a notice party in judicial review proceedings.  First, PPI is not a notice party; it is a defendant in a breach of contract claim. </w:t>
      </w:r>
      <w:r w:rsidR="00313038">
        <w:rPr>
          <w:rFonts w:ascii="Times New Roman" w:hAnsi="Times New Roman" w:cs="Times New Roman"/>
          <w:sz w:val="24"/>
          <w:szCs w:val="24"/>
        </w:rPr>
        <w:t xml:space="preserve"> </w:t>
      </w:r>
      <w:r>
        <w:rPr>
          <w:rFonts w:ascii="Times New Roman" w:hAnsi="Times New Roman" w:cs="Times New Roman"/>
          <w:sz w:val="24"/>
          <w:szCs w:val="24"/>
        </w:rPr>
        <w:t xml:space="preserve">Secondly, these are not judicial review proceedings but, insofar as they concern PPI, they primarily involve a breach of contract claim, as was stated by </w:t>
      </w:r>
      <w:r w:rsidR="00313038">
        <w:rPr>
          <w:rFonts w:ascii="Times New Roman" w:hAnsi="Times New Roman" w:cs="Times New Roman"/>
          <w:sz w:val="24"/>
          <w:szCs w:val="24"/>
        </w:rPr>
        <w:t xml:space="preserve">   </w:t>
      </w:r>
      <w:r>
        <w:rPr>
          <w:rFonts w:ascii="Times New Roman" w:hAnsi="Times New Roman" w:cs="Times New Roman"/>
          <w:sz w:val="24"/>
          <w:szCs w:val="24"/>
        </w:rPr>
        <w:t xml:space="preserve">Cregan J.  The fact that Cregan J. directed that there be a trial of a preliminary issue does not mean that PPI thereby became a </w:t>
      </w:r>
      <w:proofErr w:type="spellStart"/>
      <w:r>
        <w:rPr>
          <w:rFonts w:ascii="Times New Roman" w:hAnsi="Times New Roman" w:cs="Times New Roman"/>
          <w:i/>
          <w:sz w:val="24"/>
          <w:szCs w:val="24"/>
        </w:rPr>
        <w:t xml:space="preserve">quasi </w:t>
      </w:r>
      <w:r>
        <w:rPr>
          <w:rFonts w:ascii="Times New Roman" w:hAnsi="Times New Roman" w:cs="Times New Roman"/>
          <w:sz w:val="24"/>
          <w:szCs w:val="24"/>
        </w:rPr>
        <w:t>notice</w:t>
      </w:r>
      <w:proofErr w:type="spellEnd"/>
      <w:r>
        <w:rPr>
          <w:rFonts w:ascii="Times New Roman" w:hAnsi="Times New Roman" w:cs="Times New Roman"/>
          <w:sz w:val="24"/>
          <w:szCs w:val="24"/>
        </w:rPr>
        <w:t xml:space="preserve"> party in the trial of the preliminary issue (which </w:t>
      </w:r>
      <w:r>
        <w:rPr>
          <w:rFonts w:ascii="Times New Roman" w:hAnsi="Times New Roman" w:cs="Times New Roman"/>
          <w:sz w:val="24"/>
          <w:szCs w:val="24"/>
        </w:rPr>
        <w:lastRenderedPageBreak/>
        <w:t>PPI sought) as to the proper meaning of the Directive or the reference to the CJEU on the issue.  The order for the trial of a preliminary issue (and the anticipated preliminary reference to the CJEU) is of an issue in the proceedings in which PPI is a defendant.  The focus on one legal aspect of the entire dispute cannot change the role of PPI in the proceedings.  In my judgment</w:t>
      </w:r>
      <w:r w:rsidR="00CE2355">
        <w:rPr>
          <w:rFonts w:ascii="Times New Roman" w:hAnsi="Times New Roman" w:cs="Times New Roman"/>
          <w:sz w:val="24"/>
          <w:szCs w:val="24"/>
        </w:rPr>
        <w:t>,</w:t>
      </w:r>
      <w:r>
        <w:rPr>
          <w:rFonts w:ascii="Times New Roman" w:hAnsi="Times New Roman" w:cs="Times New Roman"/>
          <w:sz w:val="24"/>
          <w:szCs w:val="24"/>
        </w:rPr>
        <w:t xml:space="preserve"> the analogy is misconceived.</w:t>
      </w:r>
      <w:r w:rsidR="00CE2355">
        <w:rPr>
          <w:rFonts w:ascii="Times New Roman" w:hAnsi="Times New Roman" w:cs="Times New Roman"/>
          <w:sz w:val="24"/>
          <w:szCs w:val="24"/>
        </w:rPr>
        <w:t xml:space="preserve"> </w:t>
      </w:r>
      <w:r>
        <w:rPr>
          <w:rFonts w:ascii="Times New Roman" w:hAnsi="Times New Roman" w:cs="Times New Roman"/>
          <w:sz w:val="24"/>
          <w:szCs w:val="24"/>
        </w:rPr>
        <w:t xml:space="preserve"> It does not afford a reason to allow the appeal.</w:t>
      </w:r>
    </w:p>
    <w:p w14:paraId="61A8E180" w14:textId="015B6159"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In its second, alternative, ground of appeal</w:t>
      </w:r>
      <w:r w:rsidR="00CE2355">
        <w:rPr>
          <w:rFonts w:ascii="Times New Roman" w:hAnsi="Times New Roman" w:cs="Times New Roman"/>
          <w:sz w:val="24"/>
          <w:szCs w:val="24"/>
        </w:rPr>
        <w:t>,</w:t>
      </w:r>
      <w:r>
        <w:rPr>
          <w:rFonts w:ascii="Times New Roman" w:hAnsi="Times New Roman" w:cs="Times New Roman"/>
          <w:sz w:val="24"/>
          <w:szCs w:val="24"/>
        </w:rPr>
        <w:t xml:space="preserve"> PPI submitted that the High Court ought to have made a declaration which specified that it could have no effect on the contractual arrangements between RAAP and PPI unless and/or until the Oireachtas amended the applicable Irish legislation to impose an obligation on PPI in national law, which would then apply prospectively and not retrospectively.  In my judgment, it was not open to the High Court to make such an order as it would involve the court straying outside the parameters of the issues to be tried as preliminary issues and amount to a ruling on matters which have yet to be tried in the High Court. </w:t>
      </w:r>
      <w:r w:rsidR="00CE2355">
        <w:rPr>
          <w:rFonts w:ascii="Times New Roman" w:hAnsi="Times New Roman" w:cs="Times New Roman"/>
          <w:sz w:val="24"/>
          <w:szCs w:val="24"/>
        </w:rPr>
        <w:t xml:space="preserve"> </w:t>
      </w:r>
      <w:r>
        <w:rPr>
          <w:rFonts w:ascii="Times New Roman" w:hAnsi="Times New Roman" w:cs="Times New Roman"/>
          <w:sz w:val="24"/>
          <w:szCs w:val="24"/>
        </w:rPr>
        <w:t>It would also involve trespassing on the role of the Oireachtas in legislating and thus give rise to an impermissible breach of the separation of powers.</w:t>
      </w:r>
      <w:r w:rsidR="00CE2355">
        <w:rPr>
          <w:rFonts w:ascii="Times New Roman" w:hAnsi="Times New Roman" w:cs="Times New Roman"/>
          <w:sz w:val="24"/>
          <w:szCs w:val="24"/>
        </w:rPr>
        <w:t xml:space="preserve"> </w:t>
      </w:r>
      <w:r>
        <w:rPr>
          <w:rFonts w:ascii="Times New Roman" w:hAnsi="Times New Roman" w:cs="Times New Roman"/>
          <w:sz w:val="24"/>
          <w:szCs w:val="24"/>
        </w:rPr>
        <w:t xml:space="preserve"> In my judgment, the High Court did not err when it did not limit its order as advocated by PPI.  I agree with the submission of RAAP that this ground of an appeal amounts to an attempt by PPI to have the consequences of the findings as to the preliminary issues determined in advance of the trial of the main proceedings.  </w:t>
      </w:r>
    </w:p>
    <w:p w14:paraId="26DFDFF1" w14:textId="6EA436DB"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sidRPr="000809B0">
        <w:rPr>
          <w:rFonts w:ascii="Times New Roman" w:hAnsi="Times New Roman" w:cs="Times New Roman"/>
          <w:sz w:val="24"/>
          <w:szCs w:val="24"/>
        </w:rPr>
        <w:t xml:space="preserve">The position adopted by PPI in relation to the issue whether the High Court, or this </w:t>
      </w:r>
      <w:r w:rsidR="00BC2B5B">
        <w:rPr>
          <w:rFonts w:ascii="Times New Roman" w:hAnsi="Times New Roman" w:cs="Times New Roman"/>
          <w:sz w:val="24"/>
          <w:szCs w:val="24"/>
        </w:rPr>
        <w:t>c</w:t>
      </w:r>
      <w:r w:rsidRPr="000809B0">
        <w:rPr>
          <w:rFonts w:ascii="Times New Roman" w:hAnsi="Times New Roman" w:cs="Times New Roman"/>
          <w:sz w:val="24"/>
          <w:szCs w:val="24"/>
        </w:rPr>
        <w:t xml:space="preserve">ourt, should make declarations in terms of paras. </w:t>
      </w:r>
      <w:r w:rsidR="00BC2B5B">
        <w:rPr>
          <w:rFonts w:ascii="Times New Roman" w:hAnsi="Times New Roman" w:cs="Times New Roman"/>
          <w:sz w:val="24"/>
          <w:szCs w:val="24"/>
        </w:rPr>
        <w:t>(</w:t>
      </w:r>
      <w:r w:rsidRPr="000809B0">
        <w:rPr>
          <w:rFonts w:ascii="Times New Roman" w:hAnsi="Times New Roman" w:cs="Times New Roman"/>
          <w:sz w:val="24"/>
          <w:szCs w:val="24"/>
        </w:rPr>
        <w:t>1</w:t>
      </w:r>
      <w:r w:rsidR="00BC2B5B">
        <w:rPr>
          <w:rFonts w:ascii="Times New Roman" w:hAnsi="Times New Roman" w:cs="Times New Roman"/>
          <w:sz w:val="24"/>
          <w:szCs w:val="24"/>
        </w:rPr>
        <w:t>)</w:t>
      </w:r>
      <w:r w:rsidRPr="000809B0">
        <w:rPr>
          <w:rFonts w:ascii="Times New Roman" w:hAnsi="Times New Roman" w:cs="Times New Roman"/>
          <w:sz w:val="24"/>
          <w:szCs w:val="24"/>
        </w:rPr>
        <w:t xml:space="preserve"> and </w:t>
      </w:r>
      <w:r w:rsidR="00BC2B5B">
        <w:rPr>
          <w:rFonts w:ascii="Times New Roman" w:hAnsi="Times New Roman" w:cs="Times New Roman"/>
          <w:sz w:val="24"/>
          <w:szCs w:val="24"/>
        </w:rPr>
        <w:t>(</w:t>
      </w:r>
      <w:r w:rsidRPr="000809B0">
        <w:rPr>
          <w:rFonts w:ascii="Times New Roman" w:hAnsi="Times New Roman" w:cs="Times New Roman"/>
          <w:sz w:val="24"/>
          <w:szCs w:val="24"/>
        </w:rPr>
        <w:t>3</w:t>
      </w:r>
      <w:r w:rsidR="00BC2B5B">
        <w:rPr>
          <w:rFonts w:ascii="Times New Roman" w:hAnsi="Times New Roman" w:cs="Times New Roman"/>
          <w:sz w:val="24"/>
          <w:szCs w:val="24"/>
        </w:rPr>
        <w:t>)</w:t>
      </w:r>
      <w:r w:rsidRPr="000809B0">
        <w:rPr>
          <w:rFonts w:ascii="Times New Roman" w:hAnsi="Times New Roman" w:cs="Times New Roman"/>
          <w:sz w:val="24"/>
          <w:szCs w:val="24"/>
        </w:rPr>
        <w:t xml:space="preserve"> of the </w:t>
      </w:r>
      <w:r w:rsidR="00BC2B5B">
        <w:rPr>
          <w:rFonts w:ascii="Times New Roman" w:hAnsi="Times New Roman" w:cs="Times New Roman"/>
          <w:sz w:val="24"/>
          <w:szCs w:val="24"/>
        </w:rPr>
        <w:t>o</w:t>
      </w:r>
      <w:r w:rsidRPr="000809B0">
        <w:rPr>
          <w:rFonts w:ascii="Times New Roman" w:hAnsi="Times New Roman" w:cs="Times New Roman"/>
          <w:sz w:val="24"/>
          <w:szCs w:val="24"/>
        </w:rPr>
        <w:t xml:space="preserve">rder for the </w:t>
      </w:r>
      <w:r>
        <w:rPr>
          <w:rFonts w:ascii="Times New Roman" w:hAnsi="Times New Roman" w:cs="Times New Roman"/>
          <w:sz w:val="24"/>
          <w:szCs w:val="24"/>
        </w:rPr>
        <w:t>t</w:t>
      </w:r>
      <w:r w:rsidRPr="000809B0">
        <w:rPr>
          <w:rFonts w:ascii="Times New Roman" w:hAnsi="Times New Roman" w:cs="Times New Roman"/>
          <w:sz w:val="24"/>
          <w:szCs w:val="24"/>
        </w:rPr>
        <w:t>rial of</w:t>
      </w:r>
      <w:r>
        <w:rPr>
          <w:rFonts w:ascii="Times New Roman" w:hAnsi="Times New Roman" w:cs="Times New Roman"/>
          <w:sz w:val="24"/>
          <w:szCs w:val="24"/>
        </w:rPr>
        <w:t xml:space="preserve"> a p</w:t>
      </w:r>
      <w:r w:rsidRPr="000809B0">
        <w:rPr>
          <w:rFonts w:ascii="Times New Roman" w:hAnsi="Times New Roman" w:cs="Times New Roman"/>
          <w:sz w:val="24"/>
          <w:szCs w:val="24"/>
        </w:rPr>
        <w:t xml:space="preserve">reliminary </w:t>
      </w:r>
      <w:r>
        <w:rPr>
          <w:rFonts w:ascii="Times New Roman" w:hAnsi="Times New Roman" w:cs="Times New Roman"/>
          <w:sz w:val="24"/>
          <w:szCs w:val="24"/>
        </w:rPr>
        <w:t>i</w:t>
      </w:r>
      <w:r w:rsidRPr="000809B0">
        <w:rPr>
          <w:rFonts w:ascii="Times New Roman" w:hAnsi="Times New Roman" w:cs="Times New Roman"/>
          <w:sz w:val="24"/>
          <w:szCs w:val="24"/>
        </w:rPr>
        <w:t>ssue is, to my mind, inconsistent with the basis upon which PPI sought the trial of a preliminary issue in the first instance, and the basis upon which Cregan J. ordered the trial of the preliminary issue</w:t>
      </w:r>
      <w:r>
        <w:rPr>
          <w:rFonts w:ascii="Times New Roman" w:hAnsi="Times New Roman" w:cs="Times New Roman"/>
          <w:sz w:val="24"/>
          <w:szCs w:val="24"/>
        </w:rPr>
        <w:t xml:space="preserve"> as I have set out </w:t>
      </w:r>
      <w:r w:rsidR="00EE1006">
        <w:rPr>
          <w:rFonts w:ascii="Times New Roman" w:hAnsi="Times New Roman" w:cs="Times New Roman"/>
          <w:sz w:val="24"/>
          <w:szCs w:val="24"/>
        </w:rPr>
        <w:t xml:space="preserve">from </w:t>
      </w:r>
      <w:r>
        <w:rPr>
          <w:rFonts w:ascii="Times New Roman" w:hAnsi="Times New Roman" w:cs="Times New Roman"/>
          <w:sz w:val="24"/>
          <w:szCs w:val="24"/>
        </w:rPr>
        <w:t xml:space="preserve">paras. </w:t>
      </w:r>
      <w:r w:rsidR="00D2665B">
        <w:rPr>
          <w:rFonts w:ascii="Times New Roman" w:hAnsi="Times New Roman" w:cs="Times New Roman"/>
          <w:sz w:val="24"/>
          <w:szCs w:val="24"/>
        </w:rPr>
        <w:t>9</w:t>
      </w:r>
      <w:r w:rsidR="00314EA8">
        <w:rPr>
          <w:rFonts w:ascii="Times New Roman" w:hAnsi="Times New Roman" w:cs="Times New Roman"/>
          <w:sz w:val="24"/>
          <w:szCs w:val="24"/>
        </w:rPr>
        <w:t>-</w:t>
      </w:r>
      <w:r w:rsidR="00D2665B">
        <w:rPr>
          <w:rFonts w:ascii="Times New Roman" w:hAnsi="Times New Roman" w:cs="Times New Roman"/>
          <w:sz w:val="24"/>
          <w:szCs w:val="24"/>
        </w:rPr>
        <w:t>19.</w:t>
      </w:r>
    </w:p>
    <w:p w14:paraId="759EDE5D" w14:textId="28FE1E6B"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At no point did PPI argue that if the interpretation of the Directive advanced by RAAP was to succeed, and if the High Court held that it was not possible to give the Act a </w:t>
      </w:r>
      <w:r>
        <w:rPr>
          <w:rFonts w:ascii="Times New Roman" w:hAnsi="Times New Roman" w:cs="Times New Roman"/>
          <w:sz w:val="24"/>
          <w:szCs w:val="24"/>
        </w:rPr>
        <w:lastRenderedPageBreak/>
        <w:t xml:space="preserve">conforming interpretation in line with RAAP’s interpretation of the Directive, it necessarily followed that RAAP’s claim for breach of the </w:t>
      </w:r>
      <w:r w:rsidR="00EC1CAD">
        <w:rPr>
          <w:rFonts w:ascii="Times New Roman" w:hAnsi="Times New Roman" w:cs="Times New Roman"/>
          <w:sz w:val="24"/>
          <w:szCs w:val="24"/>
        </w:rPr>
        <w:t>a</w:t>
      </w:r>
      <w:r>
        <w:rPr>
          <w:rFonts w:ascii="Times New Roman" w:hAnsi="Times New Roman" w:cs="Times New Roman"/>
          <w:sz w:val="24"/>
          <w:szCs w:val="24"/>
        </w:rPr>
        <w:t xml:space="preserve">greement of 2002 must fail as the Directive cannot have direct horizontal </w:t>
      </w:r>
      <w:r w:rsidR="00FE1202">
        <w:rPr>
          <w:rFonts w:ascii="Times New Roman" w:hAnsi="Times New Roman" w:cs="Times New Roman"/>
          <w:sz w:val="24"/>
          <w:szCs w:val="24"/>
        </w:rPr>
        <w:t>e</w:t>
      </w:r>
      <w:r>
        <w:rPr>
          <w:rFonts w:ascii="Times New Roman" w:hAnsi="Times New Roman" w:cs="Times New Roman"/>
          <w:sz w:val="24"/>
          <w:szCs w:val="24"/>
        </w:rPr>
        <w:t>ffect between the private parties, RAAP and PPI.</w:t>
      </w:r>
      <w:r w:rsidR="00EC1CAD">
        <w:rPr>
          <w:rFonts w:ascii="Times New Roman" w:hAnsi="Times New Roman" w:cs="Times New Roman"/>
          <w:sz w:val="24"/>
          <w:szCs w:val="24"/>
        </w:rPr>
        <w:t xml:space="preserve"> </w:t>
      </w:r>
      <w:r>
        <w:rPr>
          <w:rFonts w:ascii="Times New Roman" w:hAnsi="Times New Roman" w:cs="Times New Roman"/>
          <w:sz w:val="24"/>
          <w:szCs w:val="24"/>
        </w:rPr>
        <w:t xml:space="preserve"> It is striking that it failed to make this point after Simons J. had delivered his principal judgment when he said that the Act could not be given a conforming interpretation.</w:t>
      </w:r>
      <w:r w:rsidR="00EC1CAD">
        <w:rPr>
          <w:rFonts w:ascii="Times New Roman" w:hAnsi="Times New Roman" w:cs="Times New Roman"/>
          <w:sz w:val="24"/>
          <w:szCs w:val="24"/>
        </w:rPr>
        <w:t xml:space="preserve"> </w:t>
      </w:r>
      <w:r>
        <w:rPr>
          <w:rFonts w:ascii="Times New Roman" w:hAnsi="Times New Roman" w:cs="Times New Roman"/>
          <w:sz w:val="24"/>
          <w:szCs w:val="24"/>
        </w:rPr>
        <w:t xml:space="preserve"> This omission is all the more significant in view of the fact that PPI successfully argued that the High Court should make the order in the precise terms adopted by Cregan J., notwithstanding the fact that RAAP had contended for an alternative form of order.</w:t>
      </w:r>
    </w:p>
    <w:p w14:paraId="6AC5905E" w14:textId="37E1B7B4"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If, as PPI now maintains, as a matter of law it was not open to the High Court ever to grant a declaration </w:t>
      </w:r>
      <w:r>
        <w:rPr>
          <w:rFonts w:ascii="Times New Roman" w:hAnsi="Times New Roman" w:cs="Times New Roman"/>
          <w:i/>
          <w:sz w:val="24"/>
          <w:szCs w:val="24"/>
        </w:rPr>
        <w:t>“as against PPI”</w:t>
      </w:r>
      <w:r>
        <w:rPr>
          <w:rFonts w:ascii="Times New Roman" w:hAnsi="Times New Roman" w:cs="Times New Roman"/>
          <w:sz w:val="24"/>
          <w:szCs w:val="24"/>
        </w:rPr>
        <w:t xml:space="preserve"> in relation to the meaning of the Directive as sought in declaration </w:t>
      </w:r>
      <w:r w:rsidR="00EC1CAD">
        <w:rPr>
          <w:rFonts w:ascii="Times New Roman" w:hAnsi="Times New Roman" w:cs="Times New Roman"/>
          <w:sz w:val="24"/>
          <w:szCs w:val="24"/>
        </w:rPr>
        <w:t>(</w:t>
      </w:r>
      <w:r>
        <w:rPr>
          <w:rFonts w:ascii="Times New Roman" w:hAnsi="Times New Roman" w:cs="Times New Roman"/>
          <w:sz w:val="24"/>
          <w:szCs w:val="24"/>
        </w:rPr>
        <w:t>1</w:t>
      </w:r>
      <w:r w:rsidR="00EC1CAD">
        <w:rPr>
          <w:rFonts w:ascii="Times New Roman" w:hAnsi="Times New Roman" w:cs="Times New Roman"/>
          <w:sz w:val="24"/>
          <w:szCs w:val="24"/>
        </w:rPr>
        <w:t>)</w:t>
      </w:r>
      <w:r>
        <w:rPr>
          <w:rFonts w:ascii="Times New Roman" w:hAnsi="Times New Roman" w:cs="Times New Roman"/>
          <w:sz w:val="24"/>
          <w:szCs w:val="24"/>
        </w:rPr>
        <w:t xml:space="preserve">, it is difficult to understand why it insisted on a trial of a preliminary issue in this express form.  It would have been open to it to request the High Court to determine the issue of the rights of performers under the Directive without seeking the </w:t>
      </w:r>
      <w:r w:rsidR="00EC1CAD">
        <w:rPr>
          <w:rFonts w:ascii="Times New Roman" w:hAnsi="Times New Roman" w:cs="Times New Roman"/>
          <w:sz w:val="24"/>
          <w:szCs w:val="24"/>
        </w:rPr>
        <w:t>o</w:t>
      </w:r>
      <w:r>
        <w:rPr>
          <w:rFonts w:ascii="Times New Roman" w:hAnsi="Times New Roman" w:cs="Times New Roman"/>
          <w:sz w:val="24"/>
          <w:szCs w:val="24"/>
        </w:rPr>
        <w:t>rder in the precise terms upon which it insisted.</w:t>
      </w:r>
      <w:r w:rsidR="00EC1CAD">
        <w:rPr>
          <w:rFonts w:ascii="Times New Roman" w:hAnsi="Times New Roman" w:cs="Times New Roman"/>
          <w:sz w:val="24"/>
          <w:szCs w:val="24"/>
        </w:rPr>
        <w:t xml:space="preserve"> </w:t>
      </w:r>
      <w:r>
        <w:rPr>
          <w:rFonts w:ascii="Times New Roman" w:hAnsi="Times New Roman" w:cs="Times New Roman"/>
          <w:sz w:val="24"/>
          <w:szCs w:val="24"/>
        </w:rPr>
        <w:t xml:space="preserve"> It is no answer to say that the pleading was that of RAAP, not PPI, and that it was somehow constrained to seek the order in the precise terms of the prayer for relief. </w:t>
      </w:r>
      <w:r w:rsidR="00EC1CAD">
        <w:rPr>
          <w:rFonts w:ascii="Times New Roman" w:hAnsi="Times New Roman" w:cs="Times New Roman"/>
          <w:sz w:val="24"/>
          <w:szCs w:val="24"/>
        </w:rPr>
        <w:t xml:space="preserve"> </w:t>
      </w:r>
      <w:r>
        <w:rPr>
          <w:rFonts w:ascii="Times New Roman" w:hAnsi="Times New Roman" w:cs="Times New Roman"/>
          <w:sz w:val="24"/>
          <w:szCs w:val="24"/>
        </w:rPr>
        <w:t>It could always have rephrased the question it sought to have tried as a preliminary issue and then, if necessary, subsequently argued that no such declaration in the terms pleaded could be made against it.</w:t>
      </w:r>
    </w:p>
    <w:p w14:paraId="38404648" w14:textId="6207F0F1" w:rsidR="004F7F38" w:rsidRPr="001E2129"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sidRPr="001E2129">
        <w:rPr>
          <w:rFonts w:ascii="Times New Roman" w:hAnsi="Times New Roman" w:cs="Times New Roman"/>
          <w:sz w:val="24"/>
          <w:szCs w:val="24"/>
        </w:rPr>
        <w:t xml:space="preserve">Furthermore, in my view, </w:t>
      </w:r>
      <w:r>
        <w:rPr>
          <w:rFonts w:ascii="Times New Roman" w:hAnsi="Times New Roman" w:cs="Times New Roman"/>
          <w:sz w:val="24"/>
          <w:szCs w:val="24"/>
        </w:rPr>
        <w:t>PPI</w:t>
      </w:r>
      <w:r w:rsidRPr="001E2129">
        <w:rPr>
          <w:rFonts w:ascii="Times New Roman" w:hAnsi="Times New Roman" w:cs="Times New Roman"/>
          <w:sz w:val="24"/>
          <w:szCs w:val="24"/>
        </w:rPr>
        <w:t xml:space="preserve"> ought to have made clear in its submissions requesting the trial of a preliminary issue that it would be contending that no such declaration could be made as against it, regardless of the proper construction of the Directive</w:t>
      </w:r>
      <w:r w:rsidR="00EC1CAD">
        <w:rPr>
          <w:rFonts w:ascii="Times New Roman" w:hAnsi="Times New Roman" w:cs="Times New Roman"/>
          <w:sz w:val="24"/>
          <w:szCs w:val="24"/>
        </w:rPr>
        <w:t>,</w:t>
      </w:r>
      <w:r w:rsidRPr="001E2129">
        <w:rPr>
          <w:rFonts w:ascii="Times New Roman" w:hAnsi="Times New Roman" w:cs="Times New Roman"/>
          <w:sz w:val="24"/>
          <w:szCs w:val="24"/>
        </w:rPr>
        <w:t xml:space="preserve"> because to do so would amount to giving impermissible horizontal effect to the Directive between private parties.</w:t>
      </w:r>
      <w:r w:rsidR="00EC1CAD">
        <w:rPr>
          <w:rFonts w:ascii="Times New Roman" w:hAnsi="Times New Roman" w:cs="Times New Roman"/>
          <w:sz w:val="24"/>
          <w:szCs w:val="24"/>
        </w:rPr>
        <w:t xml:space="preserve"> </w:t>
      </w:r>
      <w:r w:rsidRPr="001E2129">
        <w:rPr>
          <w:rFonts w:ascii="Times New Roman" w:hAnsi="Times New Roman" w:cs="Times New Roman"/>
          <w:sz w:val="24"/>
          <w:szCs w:val="24"/>
        </w:rPr>
        <w:t xml:space="preserve"> </w:t>
      </w:r>
      <w:r>
        <w:rPr>
          <w:rFonts w:ascii="Times New Roman" w:hAnsi="Times New Roman" w:cs="Times New Roman"/>
          <w:sz w:val="24"/>
          <w:szCs w:val="24"/>
        </w:rPr>
        <w:t>At the very least</w:t>
      </w:r>
      <w:r w:rsidR="00EC1CAD">
        <w:rPr>
          <w:rFonts w:ascii="Times New Roman" w:hAnsi="Times New Roman" w:cs="Times New Roman"/>
          <w:sz w:val="24"/>
          <w:szCs w:val="24"/>
        </w:rPr>
        <w:t>,</w:t>
      </w:r>
      <w:r>
        <w:rPr>
          <w:rFonts w:ascii="Times New Roman" w:hAnsi="Times New Roman" w:cs="Times New Roman"/>
          <w:sz w:val="24"/>
          <w:szCs w:val="24"/>
        </w:rPr>
        <w:t xml:space="preserve"> it was relevant to the terms of the order for a trial of a preliminary issue if not, in fact, whether such an exercise would not serve any useful purpose in the overall conduct of the litigation.</w:t>
      </w:r>
    </w:p>
    <w:p w14:paraId="14D513CC" w14:textId="65B32A9C" w:rsidR="004F7F3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lastRenderedPageBreak/>
        <w:t>For these reasons</w:t>
      </w:r>
      <w:r w:rsidR="00EC1CAD">
        <w:rPr>
          <w:rFonts w:ascii="Times New Roman" w:hAnsi="Times New Roman" w:cs="Times New Roman"/>
          <w:sz w:val="24"/>
          <w:szCs w:val="24"/>
        </w:rPr>
        <w:t>,</w:t>
      </w:r>
      <w:r>
        <w:rPr>
          <w:rFonts w:ascii="Times New Roman" w:hAnsi="Times New Roman" w:cs="Times New Roman"/>
          <w:sz w:val="24"/>
          <w:szCs w:val="24"/>
        </w:rPr>
        <w:t xml:space="preserve"> I would dismiss the appeal on the form of the order granted by the High Court and I would affirm the order.</w:t>
      </w:r>
    </w:p>
    <w:p w14:paraId="4CBA5272" w14:textId="77777777" w:rsidR="004F7F38" w:rsidRPr="002D09FC" w:rsidRDefault="004F7F38" w:rsidP="004F7F38">
      <w:pPr>
        <w:pStyle w:val="ListParagraph"/>
        <w:tabs>
          <w:tab w:val="left" w:pos="567"/>
        </w:tabs>
        <w:spacing w:line="480" w:lineRule="auto"/>
        <w:ind w:left="0"/>
        <w:jc w:val="left"/>
        <w:rPr>
          <w:rFonts w:ascii="Times New Roman" w:hAnsi="Times New Roman" w:cs="Times New Roman"/>
          <w:b/>
          <w:sz w:val="24"/>
          <w:szCs w:val="24"/>
          <w:u w:val="single"/>
        </w:rPr>
      </w:pPr>
      <w:r>
        <w:rPr>
          <w:rFonts w:ascii="Times New Roman" w:hAnsi="Times New Roman" w:cs="Times New Roman"/>
          <w:b/>
          <w:sz w:val="24"/>
          <w:szCs w:val="24"/>
          <w:u w:val="single"/>
        </w:rPr>
        <w:t>Appeal on Costs</w:t>
      </w:r>
    </w:p>
    <w:p w14:paraId="22F9C9BD" w14:textId="388B6C99" w:rsidR="004F7F38" w:rsidRPr="00F14BF4"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b/>
          <w:sz w:val="24"/>
          <w:szCs w:val="24"/>
          <w:u w:val="single"/>
        </w:rPr>
      </w:pPr>
      <w:r>
        <w:rPr>
          <w:rFonts w:ascii="Times New Roman" w:hAnsi="Times New Roman" w:cs="Times New Roman"/>
          <w:bCs/>
          <w:sz w:val="24"/>
          <w:szCs w:val="24"/>
        </w:rPr>
        <w:t>On the appeal in relation to costs, PPI accepted that it must bear its own costs of the hearing of the preliminary reference before the CJEU.  However, it argued that RAAP did not succeed at all as against PPI on the preliminary issues and, accordingly, PPI should be entitled to recover its costs from RAAP of the preliminary hearing before the High Court and the hearing of 21 January 2021</w:t>
      </w:r>
      <w:r w:rsidR="00EC1CAD">
        <w:rPr>
          <w:rFonts w:ascii="Times New Roman" w:hAnsi="Times New Roman" w:cs="Times New Roman"/>
          <w:bCs/>
          <w:sz w:val="24"/>
          <w:szCs w:val="24"/>
        </w:rPr>
        <w:t>,</w:t>
      </w:r>
      <w:r>
        <w:rPr>
          <w:rFonts w:ascii="Times New Roman" w:hAnsi="Times New Roman" w:cs="Times New Roman"/>
          <w:bCs/>
          <w:sz w:val="24"/>
          <w:szCs w:val="24"/>
        </w:rPr>
        <w:t xml:space="preserve"> and that RAAP’s costs of the preliminary hearing, the proceedings before the </w:t>
      </w:r>
      <w:r w:rsidR="00EC1CAD">
        <w:rPr>
          <w:rFonts w:ascii="Times New Roman" w:hAnsi="Times New Roman" w:cs="Times New Roman"/>
          <w:bCs/>
          <w:sz w:val="24"/>
          <w:szCs w:val="24"/>
        </w:rPr>
        <w:t>CJEU</w:t>
      </w:r>
      <w:r>
        <w:rPr>
          <w:rFonts w:ascii="Times New Roman" w:hAnsi="Times New Roman" w:cs="Times New Roman"/>
          <w:bCs/>
          <w:sz w:val="24"/>
          <w:szCs w:val="24"/>
        </w:rPr>
        <w:t xml:space="preserve"> and the hearing of 21 January 2021 ought to be recoverable against the State alone.  </w:t>
      </w:r>
    </w:p>
    <w:p w14:paraId="63BD27D5" w14:textId="57D1F99B" w:rsidR="004F7F38" w:rsidRPr="00F14BF4"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b/>
          <w:sz w:val="24"/>
          <w:szCs w:val="24"/>
          <w:u w:val="single"/>
        </w:rPr>
      </w:pPr>
      <w:r>
        <w:rPr>
          <w:rFonts w:ascii="Times New Roman" w:hAnsi="Times New Roman" w:cs="Times New Roman"/>
          <w:bCs/>
          <w:sz w:val="24"/>
          <w:szCs w:val="24"/>
        </w:rPr>
        <w:t xml:space="preserve">PPI argued that the High Court directed that three issues be tried as preliminary issues.  Declarations </w:t>
      </w:r>
      <w:r w:rsidR="00EC1CAD">
        <w:rPr>
          <w:rFonts w:ascii="Times New Roman" w:hAnsi="Times New Roman" w:cs="Times New Roman"/>
          <w:bCs/>
          <w:sz w:val="24"/>
          <w:szCs w:val="24"/>
        </w:rPr>
        <w:t>(</w:t>
      </w:r>
      <w:r>
        <w:rPr>
          <w:rFonts w:ascii="Times New Roman" w:hAnsi="Times New Roman" w:cs="Times New Roman"/>
          <w:bCs/>
          <w:sz w:val="24"/>
          <w:szCs w:val="24"/>
        </w:rPr>
        <w:t>2</w:t>
      </w:r>
      <w:r w:rsidR="00EC1CAD">
        <w:rPr>
          <w:rFonts w:ascii="Times New Roman" w:hAnsi="Times New Roman" w:cs="Times New Roman"/>
          <w:bCs/>
          <w:sz w:val="24"/>
          <w:szCs w:val="24"/>
        </w:rPr>
        <w:t>)</w:t>
      </w:r>
      <w:r>
        <w:rPr>
          <w:rFonts w:ascii="Times New Roman" w:hAnsi="Times New Roman" w:cs="Times New Roman"/>
          <w:bCs/>
          <w:sz w:val="24"/>
          <w:szCs w:val="24"/>
        </w:rPr>
        <w:t xml:space="preserve"> and </w:t>
      </w:r>
      <w:r w:rsidR="00EC1CAD">
        <w:rPr>
          <w:rFonts w:ascii="Times New Roman" w:hAnsi="Times New Roman" w:cs="Times New Roman"/>
          <w:bCs/>
          <w:sz w:val="24"/>
          <w:szCs w:val="24"/>
        </w:rPr>
        <w:t>(</w:t>
      </w:r>
      <w:r>
        <w:rPr>
          <w:rFonts w:ascii="Times New Roman" w:hAnsi="Times New Roman" w:cs="Times New Roman"/>
          <w:bCs/>
          <w:sz w:val="24"/>
          <w:szCs w:val="24"/>
        </w:rPr>
        <w:t>3</w:t>
      </w:r>
      <w:r w:rsidR="00EC1CAD">
        <w:rPr>
          <w:rFonts w:ascii="Times New Roman" w:hAnsi="Times New Roman" w:cs="Times New Roman"/>
          <w:bCs/>
          <w:sz w:val="24"/>
          <w:szCs w:val="24"/>
        </w:rPr>
        <w:t>)</w:t>
      </w:r>
      <w:r>
        <w:rPr>
          <w:rFonts w:ascii="Times New Roman" w:hAnsi="Times New Roman" w:cs="Times New Roman"/>
          <w:bCs/>
          <w:sz w:val="24"/>
          <w:szCs w:val="24"/>
        </w:rPr>
        <w:t xml:space="preserve"> were alternatives.  RAAP could only ever obtain declarations </w:t>
      </w:r>
      <w:r w:rsidR="00EC1CAD">
        <w:rPr>
          <w:rFonts w:ascii="Times New Roman" w:hAnsi="Times New Roman" w:cs="Times New Roman"/>
          <w:bCs/>
          <w:sz w:val="24"/>
          <w:szCs w:val="24"/>
        </w:rPr>
        <w:t>(</w:t>
      </w:r>
      <w:r>
        <w:rPr>
          <w:rFonts w:ascii="Times New Roman" w:hAnsi="Times New Roman" w:cs="Times New Roman"/>
          <w:bCs/>
          <w:sz w:val="24"/>
          <w:szCs w:val="24"/>
        </w:rPr>
        <w:t>1</w:t>
      </w:r>
      <w:r w:rsidR="00EC1CAD">
        <w:rPr>
          <w:rFonts w:ascii="Times New Roman" w:hAnsi="Times New Roman" w:cs="Times New Roman"/>
          <w:bCs/>
          <w:sz w:val="24"/>
          <w:szCs w:val="24"/>
        </w:rPr>
        <w:t>)</w:t>
      </w:r>
      <w:r>
        <w:rPr>
          <w:rFonts w:ascii="Times New Roman" w:hAnsi="Times New Roman" w:cs="Times New Roman"/>
          <w:bCs/>
          <w:sz w:val="24"/>
          <w:szCs w:val="24"/>
        </w:rPr>
        <w:t xml:space="preserve"> and </w:t>
      </w:r>
      <w:r w:rsidR="00EC1CAD">
        <w:rPr>
          <w:rFonts w:ascii="Times New Roman" w:hAnsi="Times New Roman" w:cs="Times New Roman"/>
          <w:bCs/>
          <w:sz w:val="24"/>
          <w:szCs w:val="24"/>
        </w:rPr>
        <w:t>(</w:t>
      </w:r>
      <w:r>
        <w:rPr>
          <w:rFonts w:ascii="Times New Roman" w:hAnsi="Times New Roman" w:cs="Times New Roman"/>
          <w:bCs/>
          <w:sz w:val="24"/>
          <w:szCs w:val="24"/>
        </w:rPr>
        <w:t>2</w:t>
      </w:r>
      <w:r w:rsidR="00EC1CAD">
        <w:rPr>
          <w:rFonts w:ascii="Times New Roman" w:hAnsi="Times New Roman" w:cs="Times New Roman"/>
          <w:bCs/>
          <w:sz w:val="24"/>
          <w:szCs w:val="24"/>
        </w:rPr>
        <w:t>)</w:t>
      </w:r>
      <w:r>
        <w:rPr>
          <w:rFonts w:ascii="Times New Roman" w:hAnsi="Times New Roman" w:cs="Times New Roman"/>
          <w:bCs/>
          <w:sz w:val="24"/>
          <w:szCs w:val="24"/>
        </w:rPr>
        <w:t xml:space="preserve"> or declarations </w:t>
      </w:r>
      <w:r w:rsidR="00EC1CAD">
        <w:rPr>
          <w:rFonts w:ascii="Times New Roman" w:hAnsi="Times New Roman" w:cs="Times New Roman"/>
          <w:bCs/>
          <w:sz w:val="24"/>
          <w:szCs w:val="24"/>
        </w:rPr>
        <w:t>(</w:t>
      </w:r>
      <w:r>
        <w:rPr>
          <w:rFonts w:ascii="Times New Roman" w:hAnsi="Times New Roman" w:cs="Times New Roman"/>
          <w:bCs/>
          <w:sz w:val="24"/>
          <w:szCs w:val="24"/>
        </w:rPr>
        <w:t>1</w:t>
      </w:r>
      <w:r w:rsidR="00EC1CAD">
        <w:rPr>
          <w:rFonts w:ascii="Times New Roman" w:hAnsi="Times New Roman" w:cs="Times New Roman"/>
          <w:bCs/>
          <w:sz w:val="24"/>
          <w:szCs w:val="24"/>
        </w:rPr>
        <w:t>)</w:t>
      </w:r>
      <w:r>
        <w:rPr>
          <w:rFonts w:ascii="Times New Roman" w:hAnsi="Times New Roman" w:cs="Times New Roman"/>
          <w:bCs/>
          <w:sz w:val="24"/>
          <w:szCs w:val="24"/>
        </w:rPr>
        <w:t xml:space="preserve"> and </w:t>
      </w:r>
      <w:r w:rsidR="00EC1CAD">
        <w:rPr>
          <w:rFonts w:ascii="Times New Roman" w:hAnsi="Times New Roman" w:cs="Times New Roman"/>
          <w:bCs/>
          <w:sz w:val="24"/>
          <w:szCs w:val="24"/>
        </w:rPr>
        <w:t>(</w:t>
      </w:r>
      <w:r>
        <w:rPr>
          <w:rFonts w:ascii="Times New Roman" w:hAnsi="Times New Roman" w:cs="Times New Roman"/>
          <w:bCs/>
          <w:sz w:val="24"/>
          <w:szCs w:val="24"/>
        </w:rPr>
        <w:t>3</w:t>
      </w:r>
      <w:r w:rsidR="00EC1CAD">
        <w:rPr>
          <w:rFonts w:ascii="Times New Roman" w:hAnsi="Times New Roman" w:cs="Times New Roman"/>
          <w:bCs/>
          <w:sz w:val="24"/>
          <w:szCs w:val="24"/>
        </w:rPr>
        <w:t>)</w:t>
      </w:r>
      <w:r>
        <w:rPr>
          <w:rFonts w:ascii="Times New Roman" w:hAnsi="Times New Roman" w:cs="Times New Roman"/>
          <w:bCs/>
          <w:sz w:val="24"/>
          <w:szCs w:val="24"/>
        </w:rPr>
        <w:t xml:space="preserve">.  It was not entitled to declaration </w:t>
      </w:r>
      <w:r w:rsidR="00EC1CAD">
        <w:rPr>
          <w:rFonts w:ascii="Times New Roman" w:hAnsi="Times New Roman" w:cs="Times New Roman"/>
          <w:bCs/>
          <w:sz w:val="24"/>
          <w:szCs w:val="24"/>
        </w:rPr>
        <w:t>(</w:t>
      </w:r>
      <w:r>
        <w:rPr>
          <w:rFonts w:ascii="Times New Roman" w:hAnsi="Times New Roman" w:cs="Times New Roman"/>
          <w:bCs/>
          <w:sz w:val="24"/>
          <w:szCs w:val="24"/>
        </w:rPr>
        <w:t>2</w:t>
      </w:r>
      <w:r w:rsidR="00EC1CAD">
        <w:rPr>
          <w:rFonts w:ascii="Times New Roman" w:hAnsi="Times New Roman" w:cs="Times New Roman"/>
          <w:bCs/>
          <w:sz w:val="24"/>
          <w:szCs w:val="24"/>
        </w:rPr>
        <w:t>)</w:t>
      </w:r>
      <w:r>
        <w:rPr>
          <w:rFonts w:ascii="Times New Roman" w:hAnsi="Times New Roman" w:cs="Times New Roman"/>
          <w:bCs/>
          <w:sz w:val="24"/>
          <w:szCs w:val="24"/>
        </w:rPr>
        <w:t xml:space="preserve"> because the High Court held that a conforming interpretation of the Act was not possible.  RAAP, accordingly, was entitled to declaration</w:t>
      </w:r>
      <w:r w:rsidR="00AC4677">
        <w:rPr>
          <w:rFonts w:ascii="Times New Roman" w:hAnsi="Times New Roman" w:cs="Times New Roman"/>
          <w:bCs/>
          <w:sz w:val="24"/>
          <w:szCs w:val="24"/>
        </w:rPr>
        <w:t>s</w:t>
      </w:r>
      <w:r>
        <w:rPr>
          <w:rFonts w:ascii="Times New Roman" w:hAnsi="Times New Roman" w:cs="Times New Roman"/>
          <w:bCs/>
          <w:sz w:val="24"/>
          <w:szCs w:val="24"/>
        </w:rPr>
        <w:t xml:space="preserve"> </w:t>
      </w:r>
      <w:r w:rsidR="00EC1CAD">
        <w:rPr>
          <w:rFonts w:ascii="Times New Roman" w:hAnsi="Times New Roman" w:cs="Times New Roman"/>
          <w:bCs/>
          <w:sz w:val="24"/>
          <w:szCs w:val="24"/>
        </w:rPr>
        <w:t>(</w:t>
      </w:r>
      <w:r>
        <w:rPr>
          <w:rFonts w:ascii="Times New Roman" w:hAnsi="Times New Roman" w:cs="Times New Roman"/>
          <w:bCs/>
          <w:sz w:val="24"/>
          <w:szCs w:val="24"/>
        </w:rPr>
        <w:t>1</w:t>
      </w:r>
      <w:r w:rsidR="00EC1CAD">
        <w:rPr>
          <w:rFonts w:ascii="Times New Roman" w:hAnsi="Times New Roman" w:cs="Times New Roman"/>
          <w:bCs/>
          <w:sz w:val="24"/>
          <w:szCs w:val="24"/>
        </w:rPr>
        <w:t>)</w:t>
      </w:r>
      <w:r>
        <w:rPr>
          <w:rFonts w:ascii="Times New Roman" w:hAnsi="Times New Roman" w:cs="Times New Roman"/>
          <w:bCs/>
          <w:sz w:val="24"/>
          <w:szCs w:val="24"/>
        </w:rPr>
        <w:t xml:space="preserve"> and </w:t>
      </w:r>
      <w:r w:rsidR="00EC1CAD">
        <w:rPr>
          <w:rFonts w:ascii="Times New Roman" w:hAnsi="Times New Roman" w:cs="Times New Roman"/>
          <w:bCs/>
          <w:sz w:val="24"/>
          <w:szCs w:val="24"/>
        </w:rPr>
        <w:t>(</w:t>
      </w:r>
      <w:r>
        <w:rPr>
          <w:rFonts w:ascii="Times New Roman" w:hAnsi="Times New Roman" w:cs="Times New Roman"/>
          <w:bCs/>
          <w:sz w:val="24"/>
          <w:szCs w:val="24"/>
        </w:rPr>
        <w:t>3</w:t>
      </w:r>
      <w:r w:rsidR="00EC1CAD">
        <w:rPr>
          <w:rFonts w:ascii="Times New Roman" w:hAnsi="Times New Roman" w:cs="Times New Roman"/>
          <w:bCs/>
          <w:sz w:val="24"/>
          <w:szCs w:val="24"/>
        </w:rPr>
        <w:t>)</w:t>
      </w:r>
      <w:r>
        <w:rPr>
          <w:rFonts w:ascii="Times New Roman" w:hAnsi="Times New Roman" w:cs="Times New Roman"/>
          <w:bCs/>
          <w:sz w:val="24"/>
          <w:szCs w:val="24"/>
        </w:rPr>
        <w:t xml:space="preserve"> as against the State.  Declaration </w:t>
      </w:r>
      <w:r w:rsidR="00EC1CAD">
        <w:rPr>
          <w:rFonts w:ascii="Times New Roman" w:hAnsi="Times New Roman" w:cs="Times New Roman"/>
          <w:bCs/>
          <w:sz w:val="24"/>
          <w:szCs w:val="24"/>
        </w:rPr>
        <w:t>(</w:t>
      </w:r>
      <w:r>
        <w:rPr>
          <w:rFonts w:ascii="Times New Roman" w:hAnsi="Times New Roman" w:cs="Times New Roman"/>
          <w:bCs/>
          <w:sz w:val="24"/>
          <w:szCs w:val="24"/>
        </w:rPr>
        <w:t>3</w:t>
      </w:r>
      <w:r w:rsidR="00EC1CAD">
        <w:rPr>
          <w:rFonts w:ascii="Times New Roman" w:hAnsi="Times New Roman" w:cs="Times New Roman"/>
          <w:bCs/>
          <w:sz w:val="24"/>
          <w:szCs w:val="24"/>
        </w:rPr>
        <w:t>)</w:t>
      </w:r>
      <w:r>
        <w:rPr>
          <w:rFonts w:ascii="Times New Roman" w:hAnsi="Times New Roman" w:cs="Times New Roman"/>
          <w:bCs/>
          <w:sz w:val="24"/>
          <w:szCs w:val="24"/>
        </w:rPr>
        <w:t xml:space="preserve"> was not directed against PPI and, for the reasons it had argued in its appeal against the form of the order, it submitted that the court ought not to make declaration </w:t>
      </w:r>
      <w:r w:rsidR="00EC1CAD">
        <w:rPr>
          <w:rFonts w:ascii="Times New Roman" w:hAnsi="Times New Roman" w:cs="Times New Roman"/>
          <w:bCs/>
          <w:sz w:val="24"/>
          <w:szCs w:val="24"/>
        </w:rPr>
        <w:t>(</w:t>
      </w:r>
      <w:r>
        <w:rPr>
          <w:rFonts w:ascii="Times New Roman" w:hAnsi="Times New Roman" w:cs="Times New Roman"/>
          <w:bCs/>
          <w:sz w:val="24"/>
          <w:szCs w:val="24"/>
        </w:rPr>
        <w:t>1</w:t>
      </w:r>
      <w:r w:rsidR="00EC1CAD">
        <w:rPr>
          <w:rFonts w:ascii="Times New Roman" w:hAnsi="Times New Roman" w:cs="Times New Roman"/>
          <w:bCs/>
          <w:sz w:val="24"/>
          <w:szCs w:val="24"/>
        </w:rPr>
        <w:t>)</w:t>
      </w:r>
      <w:r>
        <w:rPr>
          <w:rFonts w:ascii="Times New Roman" w:hAnsi="Times New Roman" w:cs="Times New Roman"/>
          <w:bCs/>
          <w:sz w:val="24"/>
          <w:szCs w:val="24"/>
        </w:rPr>
        <w:t xml:space="preserve"> as against PPI.  Therefore, according to PPI, because no declaration could be given against PPI, notwithstanding the fact that it had lost the argument as to the proper construction of the Directive, it had been entirely successful on the preliminary issues tried by the High Court; RAAP had lost its case against PPI and, accordingly, PPI should obtain its costs against RAAP.  According to PPI, the event for the purposes of an order of costs is that RAAP is not entitled to reliefs </w:t>
      </w:r>
      <w:r w:rsidR="00CB4882">
        <w:rPr>
          <w:rFonts w:ascii="Times New Roman" w:hAnsi="Times New Roman" w:cs="Times New Roman"/>
          <w:bCs/>
          <w:sz w:val="24"/>
          <w:szCs w:val="24"/>
        </w:rPr>
        <w:t>(</w:t>
      </w:r>
      <w:r>
        <w:rPr>
          <w:rFonts w:ascii="Times New Roman" w:hAnsi="Times New Roman" w:cs="Times New Roman"/>
          <w:bCs/>
          <w:sz w:val="24"/>
          <w:szCs w:val="24"/>
        </w:rPr>
        <w:t>1</w:t>
      </w:r>
      <w:r w:rsidR="00CB4882">
        <w:rPr>
          <w:rFonts w:ascii="Times New Roman" w:hAnsi="Times New Roman" w:cs="Times New Roman"/>
          <w:bCs/>
          <w:sz w:val="24"/>
          <w:szCs w:val="24"/>
        </w:rPr>
        <w:t>)</w:t>
      </w:r>
      <w:r>
        <w:rPr>
          <w:rFonts w:ascii="Times New Roman" w:hAnsi="Times New Roman" w:cs="Times New Roman"/>
          <w:bCs/>
          <w:sz w:val="24"/>
          <w:szCs w:val="24"/>
        </w:rPr>
        <w:t xml:space="preserve"> and </w:t>
      </w:r>
      <w:r w:rsidR="00CB4882">
        <w:rPr>
          <w:rFonts w:ascii="Times New Roman" w:hAnsi="Times New Roman" w:cs="Times New Roman"/>
          <w:bCs/>
          <w:sz w:val="24"/>
          <w:szCs w:val="24"/>
        </w:rPr>
        <w:t>(</w:t>
      </w:r>
      <w:r>
        <w:rPr>
          <w:rFonts w:ascii="Times New Roman" w:hAnsi="Times New Roman" w:cs="Times New Roman"/>
          <w:bCs/>
          <w:sz w:val="24"/>
          <w:szCs w:val="24"/>
        </w:rPr>
        <w:t>2</w:t>
      </w:r>
      <w:r w:rsidR="00CB4882">
        <w:rPr>
          <w:rFonts w:ascii="Times New Roman" w:hAnsi="Times New Roman" w:cs="Times New Roman"/>
          <w:bCs/>
          <w:sz w:val="24"/>
          <w:szCs w:val="24"/>
        </w:rPr>
        <w:t>)</w:t>
      </w:r>
      <w:r>
        <w:rPr>
          <w:rFonts w:ascii="Times New Roman" w:hAnsi="Times New Roman" w:cs="Times New Roman"/>
          <w:bCs/>
          <w:sz w:val="24"/>
          <w:szCs w:val="24"/>
        </w:rPr>
        <w:t>; therefore, PPI has been successful and is entitled to its costs.</w:t>
      </w:r>
    </w:p>
    <w:p w14:paraId="6AADFDDA" w14:textId="2D6188D9" w:rsidR="004F7F38" w:rsidRPr="00FC6932"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b/>
          <w:sz w:val="24"/>
          <w:szCs w:val="24"/>
          <w:u w:val="single"/>
        </w:rPr>
      </w:pPr>
      <w:r>
        <w:rPr>
          <w:rFonts w:ascii="Times New Roman" w:hAnsi="Times New Roman" w:cs="Times New Roman"/>
          <w:sz w:val="24"/>
          <w:szCs w:val="24"/>
        </w:rPr>
        <w:t>It is apparent that PPI’s appeal on costs is entirely dependent upon succeeding on the appeal as to the form of order</w:t>
      </w:r>
      <w:r w:rsidR="00CB4882">
        <w:rPr>
          <w:rFonts w:ascii="Times New Roman" w:hAnsi="Times New Roman" w:cs="Times New Roman"/>
          <w:sz w:val="24"/>
          <w:szCs w:val="24"/>
        </w:rPr>
        <w:t>,</w:t>
      </w:r>
      <w:r>
        <w:rPr>
          <w:rFonts w:ascii="Times New Roman" w:hAnsi="Times New Roman" w:cs="Times New Roman"/>
          <w:sz w:val="24"/>
          <w:szCs w:val="24"/>
        </w:rPr>
        <w:t xml:space="preserve"> </w:t>
      </w:r>
      <w:r w:rsidRPr="00CB3C04">
        <w:rPr>
          <w:rFonts w:ascii="Times New Roman" w:hAnsi="Times New Roman" w:cs="Times New Roman"/>
          <w:i/>
          <w:iCs/>
          <w:sz w:val="24"/>
          <w:szCs w:val="24"/>
        </w:rPr>
        <w:t>i.e.</w:t>
      </w:r>
      <w:r>
        <w:rPr>
          <w:rFonts w:ascii="Times New Roman" w:hAnsi="Times New Roman" w:cs="Times New Roman"/>
          <w:sz w:val="24"/>
          <w:szCs w:val="24"/>
        </w:rPr>
        <w:t xml:space="preserve"> it is dependent upon their being no declaration made as </w:t>
      </w:r>
      <w:r>
        <w:rPr>
          <w:rFonts w:ascii="Times New Roman" w:hAnsi="Times New Roman" w:cs="Times New Roman"/>
          <w:sz w:val="24"/>
          <w:szCs w:val="24"/>
        </w:rPr>
        <w:lastRenderedPageBreak/>
        <w:t>against PPI.  As, in my judgment, that appeal should be rejected</w:t>
      </w:r>
      <w:r w:rsidR="00CB4882">
        <w:rPr>
          <w:rFonts w:ascii="Times New Roman" w:hAnsi="Times New Roman" w:cs="Times New Roman"/>
          <w:sz w:val="24"/>
          <w:szCs w:val="24"/>
        </w:rPr>
        <w:t>, i</w:t>
      </w:r>
      <w:r>
        <w:rPr>
          <w:rFonts w:ascii="Times New Roman" w:hAnsi="Times New Roman" w:cs="Times New Roman"/>
          <w:sz w:val="24"/>
          <w:szCs w:val="24"/>
        </w:rPr>
        <w:t xml:space="preserve">t follows that the appeal in relation to costs also fails. </w:t>
      </w:r>
    </w:p>
    <w:p w14:paraId="2FF08E7B" w14:textId="1BDFDC3D" w:rsidR="004F7F38" w:rsidRPr="00FC6932"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b/>
          <w:sz w:val="24"/>
          <w:szCs w:val="24"/>
          <w:u w:val="single"/>
        </w:rPr>
      </w:pPr>
      <w:r>
        <w:rPr>
          <w:rFonts w:ascii="Times New Roman" w:hAnsi="Times New Roman" w:cs="Times New Roman"/>
          <w:sz w:val="24"/>
          <w:szCs w:val="24"/>
        </w:rPr>
        <w:t>Separately, I agree with counsel for the State, that the approach adopted by PPI in dividing up the three issues to be tried as preliminary issues is artificial and the trial judge was correct in his approach.  He heard the case over four days and held that the central issue  was the proper construction of the Directive.  Once that had been determined, it largely determined the question as to whether a conforming interpretation of the Act was possible in light of the proper construction of the Directive</w:t>
      </w:r>
      <w:r w:rsidR="006E7B93">
        <w:rPr>
          <w:rFonts w:ascii="Times New Roman" w:hAnsi="Times New Roman" w:cs="Times New Roman"/>
          <w:sz w:val="24"/>
          <w:szCs w:val="24"/>
        </w:rPr>
        <w:t>,</w:t>
      </w:r>
      <w:r>
        <w:rPr>
          <w:rFonts w:ascii="Times New Roman" w:hAnsi="Times New Roman" w:cs="Times New Roman"/>
          <w:sz w:val="24"/>
          <w:szCs w:val="24"/>
        </w:rPr>
        <w:t xml:space="preserve"> or whether the Directive had been properly transposed by the State.  Simons J., in my opinion, correctly identified the case before him as being about the correct interpretation of the Directive.  On that view of the matter, RAAP was on one side of the argument and PPI and the State were on the other side.  They lost that issue.  The only point upon which RAAP lost was the alternative argument as to a conforming interpretation of the Act.  It is frequently the case that parties advance cases in the alternative.  When they win on one but not all points, this does not mean that they are not therefore entitled to the costs of the proceedings.  Such an outcome would be, in the words of counsel for RAAP, a travesty.  </w:t>
      </w:r>
    </w:p>
    <w:p w14:paraId="3A96C8F2" w14:textId="11CBC8FF" w:rsidR="004F7F38" w:rsidRPr="00FC6932"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b/>
          <w:sz w:val="24"/>
          <w:szCs w:val="24"/>
          <w:u w:val="single"/>
        </w:rPr>
      </w:pPr>
      <w:r>
        <w:rPr>
          <w:rFonts w:ascii="Times New Roman" w:hAnsi="Times New Roman" w:cs="Times New Roman"/>
          <w:sz w:val="24"/>
          <w:szCs w:val="24"/>
        </w:rPr>
        <w:t xml:space="preserve">Furthermore, having regard to the decision of this court in </w:t>
      </w:r>
      <w:r>
        <w:rPr>
          <w:rFonts w:ascii="Times New Roman" w:hAnsi="Times New Roman" w:cs="Times New Roman"/>
          <w:i/>
          <w:sz w:val="24"/>
          <w:szCs w:val="24"/>
        </w:rPr>
        <w:t>J</w:t>
      </w:r>
      <w:r w:rsidR="00BE2636">
        <w:rPr>
          <w:rFonts w:ascii="Times New Roman" w:hAnsi="Times New Roman" w:cs="Times New Roman"/>
          <w:i/>
          <w:sz w:val="24"/>
          <w:szCs w:val="24"/>
        </w:rPr>
        <w:t>.</w:t>
      </w:r>
      <w:r>
        <w:rPr>
          <w:rFonts w:ascii="Times New Roman" w:hAnsi="Times New Roman" w:cs="Times New Roman"/>
          <w:i/>
          <w:sz w:val="24"/>
          <w:szCs w:val="24"/>
        </w:rPr>
        <w:t>O</w:t>
      </w:r>
      <w:r w:rsidR="00BE2636">
        <w:rPr>
          <w:rFonts w:ascii="Times New Roman" w:hAnsi="Times New Roman" w:cs="Times New Roman"/>
          <w:i/>
          <w:sz w:val="24"/>
          <w:szCs w:val="24"/>
        </w:rPr>
        <w:t>.</w:t>
      </w:r>
      <w:r>
        <w:rPr>
          <w:rFonts w:ascii="Times New Roman" w:hAnsi="Times New Roman" w:cs="Times New Roman"/>
          <w:i/>
          <w:sz w:val="24"/>
          <w:szCs w:val="24"/>
        </w:rPr>
        <w:t xml:space="preserve"> &amp; Ors. v. The Minister for Justice and Equality</w:t>
      </w:r>
      <w:r w:rsidR="00BE2636">
        <w:rPr>
          <w:rFonts w:ascii="Times New Roman" w:hAnsi="Times New Roman" w:cs="Times New Roman"/>
          <w:iCs/>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[2021] IECA 293</w:t>
      </w:r>
      <w:r w:rsidR="00BE2636">
        <w:rPr>
          <w:rFonts w:ascii="Times New Roman" w:hAnsi="Times New Roman" w:cs="Times New Roman"/>
          <w:sz w:val="24"/>
          <w:szCs w:val="24"/>
        </w:rPr>
        <w:t>,</w:t>
      </w:r>
      <w:r>
        <w:rPr>
          <w:rFonts w:ascii="Times New Roman" w:hAnsi="Times New Roman" w:cs="Times New Roman"/>
          <w:sz w:val="24"/>
          <w:szCs w:val="24"/>
        </w:rPr>
        <w:t xml:space="preserve"> I am not satisfied that PPI has established a basis upon which this </w:t>
      </w:r>
      <w:r w:rsidR="00BE2636">
        <w:rPr>
          <w:rFonts w:ascii="Times New Roman" w:hAnsi="Times New Roman" w:cs="Times New Roman"/>
          <w:sz w:val="24"/>
          <w:szCs w:val="24"/>
        </w:rPr>
        <w:t>c</w:t>
      </w:r>
      <w:r>
        <w:rPr>
          <w:rFonts w:ascii="Times New Roman" w:hAnsi="Times New Roman" w:cs="Times New Roman"/>
          <w:sz w:val="24"/>
          <w:szCs w:val="24"/>
        </w:rPr>
        <w:t>ourt ought to intervene in the decision of the High Court on costs.  At para. 30 of the judgment</w:t>
      </w:r>
      <w:r w:rsidR="00AC4677">
        <w:rPr>
          <w:rFonts w:ascii="Times New Roman" w:hAnsi="Times New Roman" w:cs="Times New Roman"/>
          <w:sz w:val="24"/>
          <w:szCs w:val="24"/>
        </w:rPr>
        <w:t>,</w:t>
      </w:r>
      <w:r>
        <w:rPr>
          <w:rFonts w:ascii="Times New Roman" w:hAnsi="Times New Roman" w:cs="Times New Roman"/>
          <w:sz w:val="24"/>
          <w:szCs w:val="24"/>
        </w:rPr>
        <w:t xml:space="preserve"> Collins J. stated:</w:t>
      </w:r>
      <w:r w:rsidR="00BE2636">
        <w:rPr>
          <w:rFonts w:ascii="Times New Roman" w:hAnsi="Times New Roman" w:cs="Times New Roman"/>
          <w:sz w:val="24"/>
          <w:szCs w:val="24"/>
        </w:rPr>
        <w:t>-</w:t>
      </w:r>
    </w:p>
    <w:p w14:paraId="45A7B199" w14:textId="315B5888" w:rsidR="004F7F38" w:rsidRPr="00EB24C8" w:rsidRDefault="004F7F38" w:rsidP="004F7F38">
      <w:pPr>
        <w:pStyle w:val="ListParagraph"/>
        <w:spacing w:line="480" w:lineRule="auto"/>
        <w:ind w:left="567"/>
        <w:rPr>
          <w:rFonts w:ascii="Times New Roman" w:hAnsi="Times New Roman"/>
          <w:bCs/>
          <w:i/>
          <w:sz w:val="24"/>
        </w:rPr>
      </w:pPr>
      <w:r>
        <w:rPr>
          <w:rFonts w:ascii="Times New Roman" w:hAnsi="Times New Roman"/>
          <w:bCs/>
          <w:i/>
          <w:sz w:val="24"/>
        </w:rPr>
        <w:t>“</w:t>
      </w:r>
      <w:r w:rsidRPr="00EB24C8">
        <w:rPr>
          <w:rFonts w:ascii="Times New Roman" w:hAnsi="Times New Roman"/>
          <w:bCs/>
          <w:i/>
          <w:sz w:val="24"/>
        </w:rPr>
        <w:t xml:space="preserve">(1) While costs orders are discretionary, this Court nonetheless has “full appellate jurisdiction in respect of such orders”: </w:t>
      </w:r>
      <w:proofErr w:type="spellStart"/>
      <w:r w:rsidRPr="00EB24C8">
        <w:rPr>
          <w:rFonts w:ascii="Times New Roman" w:hAnsi="Times New Roman"/>
          <w:bCs/>
          <w:i/>
          <w:sz w:val="24"/>
        </w:rPr>
        <w:t>Godsil</w:t>
      </w:r>
      <w:proofErr w:type="spellEnd"/>
      <w:r w:rsidRPr="00EB24C8">
        <w:rPr>
          <w:rFonts w:ascii="Times New Roman" w:hAnsi="Times New Roman"/>
          <w:bCs/>
          <w:i/>
          <w:sz w:val="24"/>
        </w:rPr>
        <w:t xml:space="preserve"> v </w:t>
      </w:r>
      <w:r w:rsidR="00BE2636">
        <w:rPr>
          <w:rFonts w:ascii="Times New Roman" w:hAnsi="Times New Roman"/>
          <w:bCs/>
          <w:i/>
          <w:sz w:val="24"/>
        </w:rPr>
        <w:t xml:space="preserve">Ireland </w:t>
      </w:r>
      <w:r w:rsidRPr="00EB24C8">
        <w:rPr>
          <w:rFonts w:ascii="Times New Roman" w:hAnsi="Times New Roman"/>
          <w:bCs/>
          <w:i/>
          <w:sz w:val="24"/>
        </w:rPr>
        <w:t>[2015] IESC 103, [2015] 4 I.R. 535, per McKechnie J. (Dunne and Charleton JJ. concurring) at para</w:t>
      </w:r>
      <w:r w:rsidR="00BE2636">
        <w:rPr>
          <w:rFonts w:ascii="Times New Roman" w:hAnsi="Times New Roman"/>
          <w:bCs/>
          <w:i/>
          <w:sz w:val="24"/>
        </w:rPr>
        <w:t>.</w:t>
      </w:r>
      <w:r w:rsidRPr="00EB24C8">
        <w:rPr>
          <w:rFonts w:ascii="Times New Roman" w:hAnsi="Times New Roman"/>
          <w:bCs/>
          <w:i/>
          <w:sz w:val="24"/>
        </w:rPr>
        <w:t xml:space="preserve"> 65, citing In </w:t>
      </w:r>
      <w:proofErr w:type="spellStart"/>
      <w:r w:rsidRPr="00EB24C8">
        <w:rPr>
          <w:rFonts w:ascii="Times New Roman" w:hAnsi="Times New Roman"/>
          <w:bCs/>
          <w:i/>
          <w:sz w:val="24"/>
        </w:rPr>
        <w:t>bonis</w:t>
      </w:r>
      <w:proofErr w:type="spellEnd"/>
      <w:r w:rsidRPr="00EB24C8">
        <w:rPr>
          <w:rFonts w:ascii="Times New Roman" w:hAnsi="Times New Roman"/>
          <w:bCs/>
          <w:i/>
          <w:sz w:val="24"/>
        </w:rPr>
        <w:t xml:space="preserve"> Morelli; Vella v Morelli</w:t>
      </w:r>
      <w:r w:rsidR="00BE2636">
        <w:rPr>
          <w:rFonts w:ascii="Times New Roman" w:hAnsi="Times New Roman"/>
          <w:bCs/>
          <w:i/>
          <w:sz w:val="24"/>
        </w:rPr>
        <w:t xml:space="preserve"> </w:t>
      </w:r>
      <w:r w:rsidRPr="00EB24C8">
        <w:rPr>
          <w:rFonts w:ascii="Times New Roman" w:hAnsi="Times New Roman"/>
          <w:bCs/>
          <w:i/>
          <w:sz w:val="24"/>
        </w:rPr>
        <w:t>[1968] I.R. 11.</w:t>
      </w:r>
    </w:p>
    <w:p w14:paraId="4D551193" w14:textId="137DF8E5" w:rsidR="004F7F38" w:rsidRPr="00545C8A" w:rsidRDefault="004F7F38" w:rsidP="004F7F38">
      <w:pPr>
        <w:pStyle w:val="ListParagraph"/>
        <w:spacing w:line="480" w:lineRule="auto"/>
        <w:ind w:left="567"/>
        <w:rPr>
          <w:rFonts w:ascii="Times New Roman" w:hAnsi="Times New Roman"/>
          <w:bCs/>
          <w:i/>
          <w:sz w:val="24"/>
        </w:rPr>
      </w:pPr>
      <w:r w:rsidRPr="00545C8A">
        <w:rPr>
          <w:rFonts w:ascii="Times New Roman" w:hAnsi="Times New Roman"/>
          <w:bCs/>
          <w:i/>
          <w:sz w:val="24"/>
        </w:rPr>
        <w:lastRenderedPageBreak/>
        <w:t>(2) It follows that the Court “may substitute its own discretion in place of that of the trial judge”: Mangan v Independent Newspapers</w:t>
      </w:r>
      <w:r w:rsidR="00BE2636">
        <w:rPr>
          <w:rFonts w:ascii="Times New Roman" w:hAnsi="Times New Roman"/>
          <w:bCs/>
          <w:i/>
          <w:sz w:val="24"/>
        </w:rPr>
        <w:t xml:space="preserve"> </w:t>
      </w:r>
      <w:r w:rsidRPr="00545C8A">
        <w:rPr>
          <w:rFonts w:ascii="Times New Roman" w:hAnsi="Times New Roman"/>
          <w:bCs/>
          <w:i/>
          <w:sz w:val="24"/>
        </w:rPr>
        <w:t>[2003] 1 I</w:t>
      </w:r>
      <w:r>
        <w:rPr>
          <w:rFonts w:ascii="Times New Roman" w:hAnsi="Times New Roman"/>
          <w:bCs/>
          <w:i/>
          <w:sz w:val="24"/>
        </w:rPr>
        <w:t>.</w:t>
      </w:r>
      <w:r w:rsidRPr="00545C8A">
        <w:rPr>
          <w:rFonts w:ascii="Times New Roman" w:hAnsi="Times New Roman"/>
          <w:bCs/>
          <w:i/>
          <w:sz w:val="24"/>
        </w:rPr>
        <w:t>R</w:t>
      </w:r>
      <w:r>
        <w:rPr>
          <w:rFonts w:ascii="Times New Roman" w:hAnsi="Times New Roman"/>
          <w:bCs/>
          <w:i/>
          <w:sz w:val="24"/>
        </w:rPr>
        <w:t>.</w:t>
      </w:r>
      <w:r w:rsidRPr="00545C8A">
        <w:rPr>
          <w:rFonts w:ascii="Times New Roman" w:hAnsi="Times New Roman"/>
          <w:bCs/>
          <w:i/>
          <w:sz w:val="24"/>
        </w:rPr>
        <w:t xml:space="preserve"> 442, per McCracken J</w:t>
      </w:r>
      <w:r>
        <w:rPr>
          <w:rFonts w:ascii="Times New Roman" w:hAnsi="Times New Roman"/>
          <w:bCs/>
          <w:i/>
          <w:sz w:val="24"/>
        </w:rPr>
        <w:t>.</w:t>
      </w:r>
      <w:r w:rsidRPr="00545C8A">
        <w:rPr>
          <w:rFonts w:ascii="Times New Roman" w:hAnsi="Times New Roman"/>
          <w:bCs/>
          <w:i/>
          <w:sz w:val="24"/>
        </w:rPr>
        <w:t xml:space="preserve"> (Geoghegan and Fennelly JJ</w:t>
      </w:r>
      <w:r>
        <w:rPr>
          <w:rFonts w:ascii="Times New Roman" w:hAnsi="Times New Roman"/>
          <w:bCs/>
          <w:i/>
          <w:sz w:val="24"/>
        </w:rPr>
        <w:t>.</w:t>
      </w:r>
      <w:r w:rsidRPr="00545C8A">
        <w:rPr>
          <w:rFonts w:ascii="Times New Roman" w:hAnsi="Times New Roman"/>
          <w:bCs/>
          <w:i/>
          <w:sz w:val="24"/>
        </w:rPr>
        <w:t xml:space="preserve"> concurring) at 447.</w:t>
      </w:r>
    </w:p>
    <w:p w14:paraId="539009D2" w14:textId="62C2377D" w:rsidR="004F7F38" w:rsidRPr="00545C8A" w:rsidRDefault="004F7F38" w:rsidP="004F7F38">
      <w:pPr>
        <w:pStyle w:val="ListParagraph"/>
        <w:spacing w:line="480" w:lineRule="auto"/>
        <w:ind w:left="567"/>
        <w:rPr>
          <w:rFonts w:ascii="Times New Roman" w:hAnsi="Times New Roman"/>
          <w:bCs/>
          <w:i/>
          <w:sz w:val="24"/>
        </w:rPr>
      </w:pPr>
      <w:r w:rsidRPr="00545C8A">
        <w:rPr>
          <w:rFonts w:ascii="Times New Roman" w:hAnsi="Times New Roman"/>
          <w:bCs/>
          <w:i/>
          <w:sz w:val="24"/>
        </w:rPr>
        <w:t>(3) The jurisdiction “is not dependent on having to establish an error of law or otherwise on proving that in the exercise of such discretion the trial judge acted erroneously” (</w:t>
      </w:r>
      <w:proofErr w:type="spellStart"/>
      <w:r w:rsidRPr="00545C8A">
        <w:rPr>
          <w:rFonts w:ascii="Times New Roman" w:hAnsi="Times New Roman"/>
          <w:bCs/>
          <w:i/>
          <w:sz w:val="24"/>
        </w:rPr>
        <w:t>Godsil</w:t>
      </w:r>
      <w:proofErr w:type="spellEnd"/>
      <w:r w:rsidRPr="00545C8A">
        <w:rPr>
          <w:rFonts w:ascii="Times New Roman" w:hAnsi="Times New Roman"/>
          <w:bCs/>
          <w:i/>
          <w:sz w:val="24"/>
        </w:rPr>
        <w:t>, at para</w:t>
      </w:r>
      <w:r w:rsidR="00BE2636">
        <w:rPr>
          <w:rFonts w:ascii="Times New Roman" w:hAnsi="Times New Roman"/>
          <w:bCs/>
          <w:i/>
          <w:sz w:val="24"/>
        </w:rPr>
        <w:t>.</w:t>
      </w:r>
      <w:r w:rsidRPr="00545C8A">
        <w:rPr>
          <w:rFonts w:ascii="Times New Roman" w:hAnsi="Times New Roman"/>
          <w:bCs/>
          <w:i/>
          <w:sz w:val="24"/>
        </w:rPr>
        <w:t xml:space="preserve"> 65)</w:t>
      </w:r>
    </w:p>
    <w:p w14:paraId="57D599D3" w14:textId="1860333F" w:rsidR="004F7F38" w:rsidRPr="00545C8A" w:rsidRDefault="004F7F38" w:rsidP="004F7F38">
      <w:pPr>
        <w:pStyle w:val="ListParagraph"/>
        <w:spacing w:line="480" w:lineRule="auto"/>
        <w:ind w:left="567"/>
        <w:rPr>
          <w:rFonts w:ascii="Times New Roman" w:hAnsi="Times New Roman"/>
          <w:bCs/>
          <w:i/>
          <w:sz w:val="24"/>
        </w:rPr>
      </w:pPr>
      <w:r w:rsidRPr="00545C8A">
        <w:rPr>
          <w:rFonts w:ascii="Times New Roman" w:hAnsi="Times New Roman"/>
          <w:bCs/>
          <w:i/>
          <w:sz w:val="24"/>
        </w:rPr>
        <w:t>(4) At the same time, however, an appellate court “will, in general, be slow to interfere with the exercise of a trial judge's discretion in awarding costs”: MD v ND</w:t>
      </w:r>
      <w:r>
        <w:rPr>
          <w:rFonts w:ascii="Times New Roman" w:hAnsi="Times New Roman"/>
          <w:bCs/>
          <w:i/>
          <w:sz w:val="24"/>
        </w:rPr>
        <w:t xml:space="preserve"> </w:t>
      </w:r>
      <w:r w:rsidRPr="00545C8A">
        <w:rPr>
          <w:rFonts w:ascii="Times New Roman" w:hAnsi="Times New Roman"/>
          <w:bCs/>
          <w:i/>
          <w:sz w:val="24"/>
        </w:rPr>
        <w:t>[2015] IESC 66, [2016] 2 I.R. 438, per McMenamin J</w:t>
      </w:r>
      <w:r w:rsidR="00BE2636">
        <w:rPr>
          <w:rFonts w:ascii="Times New Roman" w:hAnsi="Times New Roman"/>
          <w:bCs/>
          <w:i/>
          <w:sz w:val="24"/>
        </w:rPr>
        <w:t>.</w:t>
      </w:r>
      <w:r w:rsidRPr="00545C8A">
        <w:rPr>
          <w:rFonts w:ascii="Times New Roman" w:hAnsi="Times New Roman"/>
          <w:bCs/>
          <w:i/>
          <w:sz w:val="24"/>
        </w:rPr>
        <w:t xml:space="preserve"> (dissenting in the result), at para</w:t>
      </w:r>
      <w:r w:rsidR="00BE2636">
        <w:rPr>
          <w:rFonts w:ascii="Times New Roman" w:hAnsi="Times New Roman"/>
          <w:bCs/>
          <w:i/>
          <w:sz w:val="24"/>
        </w:rPr>
        <w:t>.</w:t>
      </w:r>
      <w:r w:rsidRPr="00545C8A">
        <w:rPr>
          <w:rFonts w:ascii="Times New Roman" w:hAnsi="Times New Roman"/>
          <w:bCs/>
          <w:i/>
          <w:sz w:val="24"/>
        </w:rPr>
        <w:t xml:space="preserve"> 46.</w:t>
      </w:r>
    </w:p>
    <w:p w14:paraId="387B1A01" w14:textId="371A2660" w:rsidR="004F7F38" w:rsidRPr="00545C8A" w:rsidRDefault="004F7F38" w:rsidP="004F7F38">
      <w:pPr>
        <w:pStyle w:val="ListParagraph"/>
        <w:spacing w:line="480" w:lineRule="auto"/>
        <w:ind w:left="567"/>
        <w:rPr>
          <w:rFonts w:ascii="Times New Roman" w:hAnsi="Times New Roman"/>
          <w:bCs/>
          <w:i/>
          <w:sz w:val="24"/>
        </w:rPr>
      </w:pPr>
      <w:r w:rsidRPr="00545C8A">
        <w:rPr>
          <w:rFonts w:ascii="Times New Roman" w:hAnsi="Times New Roman"/>
          <w:bCs/>
          <w:i/>
          <w:sz w:val="24"/>
        </w:rPr>
        <w:t>(</w:t>
      </w:r>
      <w:r>
        <w:rPr>
          <w:rFonts w:ascii="Times New Roman" w:hAnsi="Times New Roman"/>
          <w:bCs/>
          <w:i/>
          <w:sz w:val="24"/>
        </w:rPr>
        <w:t>5</w:t>
      </w:r>
      <w:r w:rsidRPr="00545C8A">
        <w:rPr>
          <w:rFonts w:ascii="Times New Roman" w:hAnsi="Times New Roman"/>
          <w:bCs/>
          <w:i/>
          <w:sz w:val="24"/>
        </w:rPr>
        <w:t>) Furthermore, an appellate court “should not simply substitute its own assessment of what the appropriate order ought to have been but should afford an appropriate deference to the view of the trial judge who will have been much closer to the nuts and bolts of “the event” itself”: Nash v DPP</w:t>
      </w:r>
      <w:r w:rsidR="00BE2636">
        <w:rPr>
          <w:rFonts w:ascii="Times New Roman" w:hAnsi="Times New Roman"/>
          <w:bCs/>
          <w:i/>
          <w:sz w:val="24"/>
        </w:rPr>
        <w:t xml:space="preserve"> </w:t>
      </w:r>
      <w:r w:rsidRPr="00545C8A">
        <w:rPr>
          <w:rFonts w:ascii="Times New Roman" w:hAnsi="Times New Roman"/>
          <w:bCs/>
          <w:i/>
          <w:sz w:val="24"/>
        </w:rPr>
        <w:t>[2016] IESC 60; [2017] 3 I.R. 320, per Clarke J</w:t>
      </w:r>
      <w:r>
        <w:rPr>
          <w:rFonts w:ascii="Times New Roman" w:hAnsi="Times New Roman"/>
          <w:bCs/>
          <w:i/>
          <w:sz w:val="24"/>
        </w:rPr>
        <w:t>.</w:t>
      </w:r>
      <w:r w:rsidRPr="00545C8A">
        <w:rPr>
          <w:rFonts w:ascii="Times New Roman" w:hAnsi="Times New Roman"/>
          <w:bCs/>
          <w:i/>
          <w:sz w:val="24"/>
        </w:rPr>
        <w:t xml:space="preserve"> (as he then was) ((Denham C</w:t>
      </w:r>
      <w:r>
        <w:rPr>
          <w:rFonts w:ascii="Times New Roman" w:hAnsi="Times New Roman"/>
          <w:bCs/>
          <w:i/>
          <w:sz w:val="24"/>
        </w:rPr>
        <w:t>.</w:t>
      </w:r>
      <w:r w:rsidRPr="00545C8A">
        <w:rPr>
          <w:rFonts w:ascii="Times New Roman" w:hAnsi="Times New Roman"/>
          <w:bCs/>
          <w:i/>
          <w:sz w:val="24"/>
        </w:rPr>
        <w:t>J</w:t>
      </w:r>
      <w:r>
        <w:rPr>
          <w:rFonts w:ascii="Times New Roman" w:hAnsi="Times New Roman"/>
          <w:bCs/>
          <w:i/>
          <w:sz w:val="24"/>
        </w:rPr>
        <w:t>.</w:t>
      </w:r>
      <w:r w:rsidRPr="00545C8A">
        <w:rPr>
          <w:rFonts w:ascii="Times New Roman" w:hAnsi="Times New Roman"/>
          <w:bCs/>
          <w:i/>
          <w:sz w:val="24"/>
        </w:rPr>
        <w:t xml:space="preserve"> and O' Donnell, Dunne and Charleton JJ</w:t>
      </w:r>
      <w:r>
        <w:rPr>
          <w:rFonts w:ascii="Times New Roman" w:hAnsi="Times New Roman"/>
          <w:bCs/>
          <w:i/>
          <w:sz w:val="24"/>
        </w:rPr>
        <w:t>.</w:t>
      </w:r>
      <w:r w:rsidRPr="00545C8A">
        <w:rPr>
          <w:rFonts w:ascii="Times New Roman" w:hAnsi="Times New Roman"/>
          <w:bCs/>
          <w:i/>
          <w:sz w:val="24"/>
        </w:rPr>
        <w:t xml:space="preserve"> concurring), at para 67.</w:t>
      </w:r>
    </w:p>
    <w:p w14:paraId="65A176D9" w14:textId="6ADF2D7E" w:rsidR="004F7F38" w:rsidRPr="00545C8A" w:rsidRDefault="004F7F38" w:rsidP="004F7F38">
      <w:pPr>
        <w:pStyle w:val="ListParagraph"/>
        <w:spacing w:line="480" w:lineRule="auto"/>
        <w:ind w:left="567"/>
        <w:jc w:val="left"/>
        <w:rPr>
          <w:rFonts w:ascii="Times New Roman" w:hAnsi="Times New Roman"/>
          <w:bCs/>
          <w:i/>
          <w:sz w:val="24"/>
        </w:rPr>
      </w:pPr>
      <w:r w:rsidRPr="00545C8A">
        <w:rPr>
          <w:rFonts w:ascii="Times New Roman" w:hAnsi="Times New Roman"/>
          <w:bCs/>
          <w:i/>
          <w:sz w:val="24"/>
        </w:rPr>
        <w:t>(</w:t>
      </w:r>
      <w:r>
        <w:rPr>
          <w:rFonts w:ascii="Times New Roman" w:hAnsi="Times New Roman"/>
          <w:bCs/>
          <w:i/>
          <w:sz w:val="24"/>
        </w:rPr>
        <w:t>6</w:t>
      </w:r>
      <w:r w:rsidRPr="00545C8A">
        <w:rPr>
          <w:rFonts w:ascii="Times New Roman" w:hAnsi="Times New Roman"/>
          <w:bCs/>
          <w:i/>
          <w:sz w:val="24"/>
        </w:rPr>
        <w:t>) Absent some error of principle on the part of the trial judge, an appellate court should intervene only where it “feels that the exercise by the trial judge of an assessment in relation to costs has gone outside of the parameters of that margin of appreciation which the trial judge enjoys”: Nash, at para</w:t>
      </w:r>
      <w:r w:rsidR="00BE2636">
        <w:rPr>
          <w:rFonts w:ascii="Times New Roman" w:hAnsi="Times New Roman"/>
          <w:bCs/>
          <w:i/>
          <w:sz w:val="24"/>
        </w:rPr>
        <w:t>.</w:t>
      </w:r>
      <w:r w:rsidRPr="00545C8A">
        <w:rPr>
          <w:rFonts w:ascii="Times New Roman" w:hAnsi="Times New Roman"/>
          <w:bCs/>
          <w:i/>
          <w:sz w:val="24"/>
        </w:rPr>
        <w:t xml:space="preserve"> 67. Where the costs order is “within the range of costs orders which were open to the trial judge within the margin of appreciation which must be afforded to a High Court judge”, there will be no basis for appellate intervention: Nash, para</w:t>
      </w:r>
      <w:r w:rsidR="00BE2636">
        <w:rPr>
          <w:rFonts w:ascii="Times New Roman" w:hAnsi="Times New Roman"/>
          <w:bCs/>
          <w:i/>
          <w:sz w:val="24"/>
        </w:rPr>
        <w:t>.</w:t>
      </w:r>
      <w:r w:rsidRPr="00545C8A">
        <w:rPr>
          <w:rFonts w:ascii="Times New Roman" w:hAnsi="Times New Roman"/>
          <w:bCs/>
          <w:i/>
          <w:sz w:val="24"/>
        </w:rPr>
        <w:t xml:space="preserve"> 73.</w:t>
      </w:r>
      <w:r>
        <w:rPr>
          <w:rFonts w:ascii="Times New Roman" w:hAnsi="Times New Roman"/>
          <w:bCs/>
          <w:i/>
          <w:sz w:val="24"/>
        </w:rPr>
        <w:t>”</w:t>
      </w:r>
    </w:p>
    <w:p w14:paraId="40C140EC" w14:textId="3D9AC98F" w:rsidR="004F7F38" w:rsidRPr="00697FF8"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b/>
          <w:sz w:val="24"/>
          <w:szCs w:val="24"/>
          <w:u w:val="single"/>
        </w:rPr>
      </w:pPr>
      <w:r>
        <w:rPr>
          <w:rFonts w:ascii="Times New Roman" w:hAnsi="Times New Roman" w:cs="Times New Roman"/>
          <w:bCs/>
          <w:sz w:val="24"/>
          <w:szCs w:val="24"/>
        </w:rPr>
        <w:t xml:space="preserve">In my view, </w:t>
      </w:r>
      <w:r w:rsidR="00E426CB">
        <w:rPr>
          <w:rFonts w:ascii="Times New Roman" w:hAnsi="Times New Roman" w:cs="Times New Roman"/>
          <w:bCs/>
          <w:sz w:val="24"/>
          <w:szCs w:val="24"/>
        </w:rPr>
        <w:t xml:space="preserve">in this case, </w:t>
      </w:r>
      <w:r>
        <w:rPr>
          <w:rFonts w:ascii="Times New Roman" w:hAnsi="Times New Roman" w:cs="Times New Roman"/>
          <w:bCs/>
          <w:sz w:val="24"/>
          <w:szCs w:val="24"/>
        </w:rPr>
        <w:t xml:space="preserve">the exercise by the trial judge of his assessment in relation to the costs of the trial of the preliminary issue, the reference to the CJEU and the hearing on 21 January 2021 was well within the parameters of the margin of appreciation which a trial </w:t>
      </w:r>
      <w:r>
        <w:rPr>
          <w:rFonts w:ascii="Times New Roman" w:hAnsi="Times New Roman" w:cs="Times New Roman"/>
          <w:bCs/>
          <w:sz w:val="24"/>
          <w:szCs w:val="24"/>
        </w:rPr>
        <w:lastRenderedPageBreak/>
        <w:t>judge enjoys and there was no basis for appellate intervention.</w:t>
      </w:r>
      <w:r w:rsidR="00AF00BA">
        <w:rPr>
          <w:rFonts w:ascii="Times New Roman" w:hAnsi="Times New Roman" w:cs="Times New Roman"/>
          <w:bCs/>
          <w:sz w:val="24"/>
          <w:szCs w:val="24"/>
        </w:rPr>
        <w:t xml:space="preserve"> </w:t>
      </w:r>
      <w:r>
        <w:rPr>
          <w:rFonts w:ascii="Times New Roman" w:hAnsi="Times New Roman" w:cs="Times New Roman"/>
          <w:bCs/>
          <w:sz w:val="24"/>
          <w:szCs w:val="24"/>
        </w:rPr>
        <w:t xml:space="preserve"> For these reasons</w:t>
      </w:r>
      <w:r w:rsidR="00AF00BA">
        <w:rPr>
          <w:rFonts w:ascii="Times New Roman" w:hAnsi="Times New Roman" w:cs="Times New Roman"/>
          <w:bCs/>
          <w:sz w:val="24"/>
          <w:szCs w:val="24"/>
        </w:rPr>
        <w:t>,</w:t>
      </w:r>
      <w:r>
        <w:rPr>
          <w:rFonts w:ascii="Times New Roman" w:hAnsi="Times New Roman" w:cs="Times New Roman"/>
          <w:bCs/>
          <w:sz w:val="24"/>
          <w:szCs w:val="24"/>
        </w:rPr>
        <w:t xml:space="preserve"> I would refuse the appeal in relation costs.   </w:t>
      </w:r>
    </w:p>
    <w:p w14:paraId="50E48343" w14:textId="4925E7FC" w:rsidR="004F7F38" w:rsidRPr="0021326B"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b/>
          <w:sz w:val="24"/>
          <w:szCs w:val="24"/>
          <w:u w:val="single"/>
        </w:rPr>
      </w:pPr>
      <w:r>
        <w:rPr>
          <w:rFonts w:ascii="Times New Roman" w:hAnsi="Times New Roman" w:cs="Times New Roman"/>
          <w:sz w:val="24"/>
          <w:szCs w:val="24"/>
        </w:rPr>
        <w:t xml:space="preserve"> Noonan and Barniville JJ. have read this judgment and</w:t>
      </w:r>
      <w:r w:rsidR="00AF00BA">
        <w:rPr>
          <w:rFonts w:ascii="Times New Roman" w:hAnsi="Times New Roman" w:cs="Times New Roman"/>
          <w:sz w:val="24"/>
          <w:szCs w:val="24"/>
        </w:rPr>
        <w:t xml:space="preserve"> have</w:t>
      </w:r>
      <w:r>
        <w:rPr>
          <w:rFonts w:ascii="Times New Roman" w:hAnsi="Times New Roman" w:cs="Times New Roman"/>
          <w:sz w:val="24"/>
          <w:szCs w:val="24"/>
        </w:rPr>
        <w:t xml:space="preserve"> indicated their agreement with it.</w:t>
      </w:r>
    </w:p>
    <w:p w14:paraId="698C7FE6" w14:textId="1F99E960" w:rsidR="004F7F38" w:rsidRPr="0021326B" w:rsidRDefault="004F7F38" w:rsidP="004F7F38">
      <w:pPr>
        <w:pStyle w:val="ListParagraph"/>
        <w:numPr>
          <w:ilvl w:val="0"/>
          <w:numId w:val="2"/>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The appellant has lost its appeal and the normal rule is that costs should be awarded to the party that has been entirely successful. </w:t>
      </w:r>
      <w:r w:rsidR="00AF00BA">
        <w:rPr>
          <w:rFonts w:ascii="Times New Roman" w:hAnsi="Times New Roman" w:cs="Times New Roman"/>
          <w:sz w:val="24"/>
          <w:szCs w:val="24"/>
        </w:rPr>
        <w:t xml:space="preserve"> </w:t>
      </w:r>
      <w:r>
        <w:rPr>
          <w:rFonts w:ascii="Times New Roman" w:hAnsi="Times New Roman" w:cs="Times New Roman"/>
          <w:sz w:val="24"/>
          <w:szCs w:val="24"/>
        </w:rPr>
        <w:t>M</w:t>
      </w:r>
      <w:r w:rsidRPr="0021326B">
        <w:rPr>
          <w:rFonts w:ascii="Times New Roman" w:hAnsi="Times New Roman" w:cs="Times New Roman"/>
          <w:sz w:val="24"/>
          <w:szCs w:val="24"/>
        </w:rPr>
        <w:t>y provisional view is that</w:t>
      </w:r>
      <w:r>
        <w:rPr>
          <w:rFonts w:ascii="Times New Roman" w:hAnsi="Times New Roman" w:cs="Times New Roman"/>
          <w:sz w:val="24"/>
          <w:szCs w:val="24"/>
        </w:rPr>
        <w:t xml:space="preserve"> the respondents are entitled to the costs of the appeal, to be adjudicated in default of agreement.</w:t>
      </w:r>
      <w:r w:rsidR="00AF00BA">
        <w:rPr>
          <w:rFonts w:ascii="Times New Roman" w:hAnsi="Times New Roman" w:cs="Times New Roman"/>
          <w:sz w:val="24"/>
          <w:szCs w:val="24"/>
        </w:rPr>
        <w:t xml:space="preserve"> </w:t>
      </w:r>
      <w:r>
        <w:rPr>
          <w:rFonts w:ascii="Times New Roman" w:hAnsi="Times New Roman" w:cs="Times New Roman"/>
          <w:sz w:val="24"/>
          <w:szCs w:val="24"/>
        </w:rPr>
        <w:t xml:space="preserve"> If PPI wishes to contend for an alternative order as to costs it may contact the Office of the Court of Appeal</w:t>
      </w:r>
      <w:r w:rsidR="00EC5177">
        <w:rPr>
          <w:rFonts w:ascii="Times New Roman" w:hAnsi="Times New Roman" w:cs="Times New Roman"/>
          <w:sz w:val="24"/>
          <w:szCs w:val="24"/>
        </w:rPr>
        <w:t xml:space="preserve"> within 7 days of the delivery of this ju</w:t>
      </w:r>
      <w:r w:rsidR="00CB3C04">
        <w:rPr>
          <w:rFonts w:ascii="Times New Roman" w:hAnsi="Times New Roman" w:cs="Times New Roman"/>
          <w:sz w:val="24"/>
          <w:szCs w:val="24"/>
        </w:rPr>
        <w:t>dgment</w:t>
      </w:r>
      <w:r>
        <w:rPr>
          <w:rFonts w:ascii="Times New Roman" w:hAnsi="Times New Roman" w:cs="Times New Roman"/>
          <w:sz w:val="24"/>
          <w:szCs w:val="24"/>
        </w:rPr>
        <w:t xml:space="preserve"> to request a short hearing on the matter. </w:t>
      </w:r>
      <w:r w:rsidR="00AF00BA">
        <w:rPr>
          <w:rFonts w:ascii="Times New Roman" w:hAnsi="Times New Roman" w:cs="Times New Roman"/>
          <w:sz w:val="24"/>
          <w:szCs w:val="24"/>
        </w:rPr>
        <w:t xml:space="preserve"> </w:t>
      </w:r>
      <w:r>
        <w:rPr>
          <w:rFonts w:ascii="Times New Roman" w:hAnsi="Times New Roman" w:cs="Times New Roman"/>
          <w:sz w:val="24"/>
          <w:szCs w:val="24"/>
        </w:rPr>
        <w:t>If a party requests a further hearing and does not succeed in altering the provisional order for costs, it may be required to pay the additional costs incurred in such a hearing.</w:t>
      </w:r>
    </w:p>
    <w:p w14:paraId="4E137D3C" w14:textId="77777777" w:rsidR="004F7F38" w:rsidRPr="00B65494" w:rsidRDefault="004F7F38" w:rsidP="004F7F38">
      <w:pPr>
        <w:pStyle w:val="ListParagraph"/>
        <w:tabs>
          <w:tab w:val="left" w:pos="567"/>
        </w:tabs>
        <w:spacing w:line="480" w:lineRule="auto"/>
        <w:ind w:left="0"/>
        <w:jc w:val="left"/>
        <w:rPr>
          <w:rFonts w:ascii="Times New Roman" w:hAnsi="Times New Roman" w:cs="Times New Roman"/>
          <w:b/>
          <w:sz w:val="24"/>
          <w:szCs w:val="24"/>
          <w:u w:val="single"/>
        </w:rPr>
      </w:pPr>
      <w:r w:rsidRPr="00B65494">
        <w:rPr>
          <w:rFonts w:ascii="Times New Roman" w:hAnsi="Times New Roman" w:cs="Times New Roman"/>
          <w:sz w:val="24"/>
          <w:szCs w:val="24"/>
        </w:rPr>
        <w:t xml:space="preserve"> </w:t>
      </w:r>
    </w:p>
    <w:p w14:paraId="5CB8491A" w14:textId="77777777" w:rsidR="004F7F38" w:rsidRPr="00F96B3B" w:rsidRDefault="004F7F38" w:rsidP="004F7F38">
      <w:pPr>
        <w:tabs>
          <w:tab w:val="left" w:pos="567"/>
        </w:tabs>
        <w:spacing w:line="480" w:lineRule="auto"/>
      </w:pPr>
      <w:r>
        <w:t xml:space="preserve"> </w:t>
      </w:r>
    </w:p>
    <w:p w14:paraId="24D95046" w14:textId="77777777" w:rsidR="004F7F38" w:rsidRPr="0050791B" w:rsidRDefault="004F7F38" w:rsidP="004F7F38">
      <w:pPr>
        <w:pStyle w:val="ListParagraph"/>
        <w:tabs>
          <w:tab w:val="left" w:pos="567"/>
        </w:tabs>
        <w:spacing w:line="480" w:lineRule="auto"/>
        <w:ind w:left="0"/>
        <w:jc w:val="left"/>
        <w:rPr>
          <w:rFonts w:ascii="Times New Roman" w:hAnsi="Times New Roman" w:cs="Times New Roman"/>
          <w:b/>
          <w:sz w:val="24"/>
          <w:szCs w:val="24"/>
          <w:u w:val="single"/>
        </w:rPr>
      </w:pPr>
    </w:p>
    <w:p w14:paraId="2127E67E" w14:textId="77777777" w:rsidR="0050791B" w:rsidRPr="0050791B" w:rsidRDefault="0050791B" w:rsidP="0050791B">
      <w:pPr>
        <w:pStyle w:val="ListParagraph"/>
        <w:tabs>
          <w:tab w:val="left" w:pos="567"/>
        </w:tabs>
        <w:spacing w:line="480" w:lineRule="auto"/>
        <w:ind w:left="0"/>
        <w:jc w:val="left"/>
        <w:rPr>
          <w:rFonts w:ascii="Times New Roman" w:hAnsi="Times New Roman" w:cs="Times New Roman"/>
          <w:b/>
          <w:sz w:val="24"/>
          <w:szCs w:val="24"/>
          <w:u w:val="single"/>
        </w:rPr>
      </w:pPr>
    </w:p>
    <w:sectPr w:rsidR="0050791B" w:rsidRPr="0050791B" w:rsidSect="0050791B">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A1F32" w14:textId="77777777" w:rsidR="00BA1E18" w:rsidRDefault="00BA1E18" w:rsidP="00775B8D">
      <w:r>
        <w:separator/>
      </w:r>
    </w:p>
  </w:endnote>
  <w:endnote w:type="continuationSeparator" w:id="0">
    <w:p w14:paraId="380F270A" w14:textId="77777777" w:rsidR="00BA1E18" w:rsidRDefault="00BA1E18" w:rsidP="00775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C6227" w14:textId="77777777" w:rsidR="00BA1E18" w:rsidRDefault="00BA1E18" w:rsidP="00775B8D">
      <w:r>
        <w:separator/>
      </w:r>
    </w:p>
  </w:footnote>
  <w:footnote w:type="continuationSeparator" w:id="0">
    <w:p w14:paraId="1E6A56F7" w14:textId="77777777" w:rsidR="00BA1E18" w:rsidRDefault="00BA1E18" w:rsidP="00775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73242" w14:textId="77777777" w:rsidR="00BA1E18" w:rsidRDefault="00BA1E18" w:rsidP="0050791B">
    <w:pPr>
      <w:pStyle w:val="Header"/>
      <w:jc w:val="center"/>
    </w:pPr>
    <w:r>
      <w:t xml:space="preserve">- </w:t>
    </w:r>
    <w:sdt>
      <w:sdtPr>
        <w:id w:val="-171564528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30</w:t>
        </w:r>
        <w:r>
          <w:rPr>
            <w:noProof/>
          </w:rPr>
          <w:fldChar w:fldCharType="end"/>
        </w:r>
      </w:sdtContent>
    </w:sdt>
    <w:r>
      <w:rPr>
        <w:noProof/>
      </w:rPr>
      <w:t xml:space="preserve"> -</w:t>
    </w:r>
  </w:p>
  <w:p w14:paraId="0FA00172" w14:textId="77777777" w:rsidR="00BA1E18" w:rsidRPr="0050791B" w:rsidRDefault="00BA1E18" w:rsidP="0050791B">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75395" w14:textId="77777777" w:rsidR="00BA1E18" w:rsidRDefault="00BA1E18" w:rsidP="00775B8D">
    <w:pPr>
      <w:pStyle w:val="Header"/>
      <w:jc w:val="center"/>
    </w:pPr>
    <w:r w:rsidRPr="00BB5679">
      <w:rPr>
        <w:noProof/>
      </w:rPr>
      <w:drawing>
        <wp:inline distT="0" distB="0" distL="0" distR="0" wp14:anchorId="1C4E6F80" wp14:editId="0818307C">
          <wp:extent cx="384175" cy="599440"/>
          <wp:effectExtent l="0" t="0" r="0" b="0"/>
          <wp:docPr id="1" name="Picture 1" descr="harp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4175" cy="5994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9517B"/>
    <w:multiLevelType w:val="hybridMultilevel"/>
    <w:tmpl w:val="FB442570"/>
    <w:lvl w:ilvl="0" w:tplc="B25055E4">
      <w:start w:val="1"/>
      <w:numFmt w:val="decimal"/>
      <w:lvlText w:val="%1."/>
      <w:lvlJc w:val="left"/>
      <w:pPr>
        <w:ind w:left="644"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DB60954"/>
    <w:multiLevelType w:val="hybridMultilevel"/>
    <w:tmpl w:val="54D4E0B2"/>
    <w:lvl w:ilvl="0" w:tplc="B25055E4">
      <w:start w:val="1"/>
      <w:numFmt w:val="decimal"/>
      <w:lvlText w:val="%1."/>
      <w:lvlJc w:val="left"/>
      <w:pPr>
        <w:ind w:left="36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5544AAF"/>
    <w:multiLevelType w:val="hybridMultilevel"/>
    <w:tmpl w:val="820A477C"/>
    <w:lvl w:ilvl="0" w:tplc="85AA4AF2">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9B8356A"/>
    <w:multiLevelType w:val="hybridMultilevel"/>
    <w:tmpl w:val="B70271E8"/>
    <w:lvl w:ilvl="0" w:tplc="69009EBA">
      <w:start w:val="1"/>
      <w:numFmt w:val="lowerRoman"/>
      <w:lvlText w:val="(%1)"/>
      <w:lvlJc w:val="left"/>
      <w:pPr>
        <w:ind w:left="1287" w:hanging="360"/>
      </w:pPr>
      <w:rPr>
        <w:rFonts w:ascii="Times New Roman" w:hAnsi="Times New Roman" w:hint="default"/>
        <w:b w:val="0"/>
        <w:i/>
        <w:sz w:val="24"/>
      </w:r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4" w15:restartNumberingAfterBreak="0">
    <w:nsid w:val="6B863EEF"/>
    <w:multiLevelType w:val="hybridMultilevel"/>
    <w:tmpl w:val="4DD69FEE"/>
    <w:lvl w:ilvl="0" w:tplc="04090001">
      <w:start w:val="1"/>
      <w:numFmt w:val="bullet"/>
      <w:lvlText w:val=""/>
      <w:lvlJc w:val="left"/>
      <w:pPr>
        <w:ind w:left="1914" w:hanging="360"/>
      </w:pPr>
      <w:rPr>
        <w:rFonts w:ascii="Symbol" w:hAnsi="Symbol" w:hint="default"/>
      </w:rPr>
    </w:lvl>
    <w:lvl w:ilvl="1" w:tplc="04090003">
      <w:start w:val="1"/>
      <w:numFmt w:val="bullet"/>
      <w:lvlText w:val="o"/>
      <w:lvlJc w:val="left"/>
      <w:pPr>
        <w:ind w:left="2634" w:hanging="360"/>
      </w:pPr>
      <w:rPr>
        <w:rFonts w:ascii="Courier New" w:hAnsi="Courier New" w:cs="Courier New" w:hint="default"/>
      </w:rPr>
    </w:lvl>
    <w:lvl w:ilvl="2" w:tplc="04090005" w:tentative="1">
      <w:start w:val="1"/>
      <w:numFmt w:val="bullet"/>
      <w:lvlText w:val=""/>
      <w:lvlJc w:val="left"/>
      <w:pPr>
        <w:ind w:left="3354" w:hanging="360"/>
      </w:pPr>
      <w:rPr>
        <w:rFonts w:ascii="Wingdings" w:hAnsi="Wingdings" w:hint="default"/>
      </w:rPr>
    </w:lvl>
    <w:lvl w:ilvl="3" w:tplc="04090001" w:tentative="1">
      <w:start w:val="1"/>
      <w:numFmt w:val="bullet"/>
      <w:lvlText w:val=""/>
      <w:lvlJc w:val="left"/>
      <w:pPr>
        <w:ind w:left="4074" w:hanging="360"/>
      </w:pPr>
      <w:rPr>
        <w:rFonts w:ascii="Symbol" w:hAnsi="Symbol" w:hint="default"/>
      </w:rPr>
    </w:lvl>
    <w:lvl w:ilvl="4" w:tplc="04090003" w:tentative="1">
      <w:start w:val="1"/>
      <w:numFmt w:val="bullet"/>
      <w:lvlText w:val="o"/>
      <w:lvlJc w:val="left"/>
      <w:pPr>
        <w:ind w:left="4794" w:hanging="360"/>
      </w:pPr>
      <w:rPr>
        <w:rFonts w:ascii="Courier New" w:hAnsi="Courier New" w:cs="Courier New" w:hint="default"/>
      </w:rPr>
    </w:lvl>
    <w:lvl w:ilvl="5" w:tplc="04090005" w:tentative="1">
      <w:start w:val="1"/>
      <w:numFmt w:val="bullet"/>
      <w:lvlText w:val=""/>
      <w:lvlJc w:val="left"/>
      <w:pPr>
        <w:ind w:left="5514" w:hanging="360"/>
      </w:pPr>
      <w:rPr>
        <w:rFonts w:ascii="Wingdings" w:hAnsi="Wingdings" w:hint="default"/>
      </w:rPr>
    </w:lvl>
    <w:lvl w:ilvl="6" w:tplc="04090001" w:tentative="1">
      <w:start w:val="1"/>
      <w:numFmt w:val="bullet"/>
      <w:lvlText w:val=""/>
      <w:lvlJc w:val="left"/>
      <w:pPr>
        <w:ind w:left="6234" w:hanging="360"/>
      </w:pPr>
      <w:rPr>
        <w:rFonts w:ascii="Symbol" w:hAnsi="Symbol" w:hint="default"/>
      </w:rPr>
    </w:lvl>
    <w:lvl w:ilvl="7" w:tplc="04090003" w:tentative="1">
      <w:start w:val="1"/>
      <w:numFmt w:val="bullet"/>
      <w:lvlText w:val="o"/>
      <w:lvlJc w:val="left"/>
      <w:pPr>
        <w:ind w:left="6954" w:hanging="360"/>
      </w:pPr>
      <w:rPr>
        <w:rFonts w:ascii="Courier New" w:hAnsi="Courier New" w:cs="Courier New" w:hint="default"/>
      </w:rPr>
    </w:lvl>
    <w:lvl w:ilvl="8" w:tplc="04090005" w:tentative="1">
      <w:start w:val="1"/>
      <w:numFmt w:val="bullet"/>
      <w:lvlText w:val=""/>
      <w:lvlJc w:val="left"/>
      <w:pPr>
        <w:ind w:left="7674"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B8D"/>
    <w:rsid w:val="00012E65"/>
    <w:rsid w:val="000277CE"/>
    <w:rsid w:val="00031681"/>
    <w:rsid w:val="00031F8E"/>
    <w:rsid w:val="00033173"/>
    <w:rsid w:val="0003360B"/>
    <w:rsid w:val="000347BC"/>
    <w:rsid w:val="00034912"/>
    <w:rsid w:val="00035A47"/>
    <w:rsid w:val="000526AE"/>
    <w:rsid w:val="00055CDB"/>
    <w:rsid w:val="00080254"/>
    <w:rsid w:val="000809B0"/>
    <w:rsid w:val="00083DED"/>
    <w:rsid w:val="00086039"/>
    <w:rsid w:val="000B1892"/>
    <w:rsid w:val="000D4C81"/>
    <w:rsid w:val="000D5D04"/>
    <w:rsid w:val="001018FF"/>
    <w:rsid w:val="00103BAC"/>
    <w:rsid w:val="0011783A"/>
    <w:rsid w:val="00120779"/>
    <w:rsid w:val="00124194"/>
    <w:rsid w:val="001251AE"/>
    <w:rsid w:val="00125266"/>
    <w:rsid w:val="001333C9"/>
    <w:rsid w:val="00134934"/>
    <w:rsid w:val="00146778"/>
    <w:rsid w:val="0015051A"/>
    <w:rsid w:val="001508C1"/>
    <w:rsid w:val="00156C46"/>
    <w:rsid w:val="001624E1"/>
    <w:rsid w:val="001652AA"/>
    <w:rsid w:val="00167FE0"/>
    <w:rsid w:val="001771A0"/>
    <w:rsid w:val="00181100"/>
    <w:rsid w:val="00196C8D"/>
    <w:rsid w:val="001A4D05"/>
    <w:rsid w:val="001C3E83"/>
    <w:rsid w:val="001D59D5"/>
    <w:rsid w:val="001D6B06"/>
    <w:rsid w:val="001D6DA9"/>
    <w:rsid w:val="001D7957"/>
    <w:rsid w:val="001E2129"/>
    <w:rsid w:val="001F442A"/>
    <w:rsid w:val="00212C28"/>
    <w:rsid w:val="0021326B"/>
    <w:rsid w:val="0022045F"/>
    <w:rsid w:val="0022311B"/>
    <w:rsid w:val="00224AD0"/>
    <w:rsid w:val="00225B18"/>
    <w:rsid w:val="002322C2"/>
    <w:rsid w:val="00237A69"/>
    <w:rsid w:val="002608CC"/>
    <w:rsid w:val="0026503F"/>
    <w:rsid w:val="002C0771"/>
    <w:rsid w:val="002C68BF"/>
    <w:rsid w:val="002D15EC"/>
    <w:rsid w:val="002E13B6"/>
    <w:rsid w:val="002E6CC7"/>
    <w:rsid w:val="002F1AC0"/>
    <w:rsid w:val="0031120C"/>
    <w:rsid w:val="00313038"/>
    <w:rsid w:val="00313B27"/>
    <w:rsid w:val="00314EA8"/>
    <w:rsid w:val="00325B24"/>
    <w:rsid w:val="0032666F"/>
    <w:rsid w:val="003314C6"/>
    <w:rsid w:val="0034272B"/>
    <w:rsid w:val="00342C24"/>
    <w:rsid w:val="00346884"/>
    <w:rsid w:val="0035296D"/>
    <w:rsid w:val="00367554"/>
    <w:rsid w:val="003745F0"/>
    <w:rsid w:val="00381714"/>
    <w:rsid w:val="00383619"/>
    <w:rsid w:val="003A2B75"/>
    <w:rsid w:val="003A4B57"/>
    <w:rsid w:val="003A6EA1"/>
    <w:rsid w:val="003B42D9"/>
    <w:rsid w:val="003B4885"/>
    <w:rsid w:val="003B54C7"/>
    <w:rsid w:val="003C11D8"/>
    <w:rsid w:val="003D1471"/>
    <w:rsid w:val="003E1747"/>
    <w:rsid w:val="003E19D5"/>
    <w:rsid w:val="003E1A4D"/>
    <w:rsid w:val="003F036B"/>
    <w:rsid w:val="003F5049"/>
    <w:rsid w:val="003F542A"/>
    <w:rsid w:val="00400885"/>
    <w:rsid w:val="004037AB"/>
    <w:rsid w:val="00417A8F"/>
    <w:rsid w:val="00420C64"/>
    <w:rsid w:val="004512D0"/>
    <w:rsid w:val="00451A94"/>
    <w:rsid w:val="00454757"/>
    <w:rsid w:val="00454EA0"/>
    <w:rsid w:val="00456957"/>
    <w:rsid w:val="00483945"/>
    <w:rsid w:val="00486230"/>
    <w:rsid w:val="00487DD3"/>
    <w:rsid w:val="00496C77"/>
    <w:rsid w:val="004A53C7"/>
    <w:rsid w:val="004B0070"/>
    <w:rsid w:val="004B6CBD"/>
    <w:rsid w:val="004C15CC"/>
    <w:rsid w:val="004C7664"/>
    <w:rsid w:val="004E030A"/>
    <w:rsid w:val="004E05B5"/>
    <w:rsid w:val="004E2B60"/>
    <w:rsid w:val="004F13EB"/>
    <w:rsid w:val="004F7F38"/>
    <w:rsid w:val="005031E8"/>
    <w:rsid w:val="00503ED0"/>
    <w:rsid w:val="0050791B"/>
    <w:rsid w:val="00510FFB"/>
    <w:rsid w:val="00511C97"/>
    <w:rsid w:val="005216ED"/>
    <w:rsid w:val="00524505"/>
    <w:rsid w:val="00526307"/>
    <w:rsid w:val="00531CC7"/>
    <w:rsid w:val="00535733"/>
    <w:rsid w:val="00541D26"/>
    <w:rsid w:val="005424A8"/>
    <w:rsid w:val="0054402F"/>
    <w:rsid w:val="00550D71"/>
    <w:rsid w:val="005524A0"/>
    <w:rsid w:val="00560D2A"/>
    <w:rsid w:val="0056246D"/>
    <w:rsid w:val="00565E23"/>
    <w:rsid w:val="005843A3"/>
    <w:rsid w:val="005A5259"/>
    <w:rsid w:val="005B092E"/>
    <w:rsid w:val="005B0EC6"/>
    <w:rsid w:val="005B6927"/>
    <w:rsid w:val="005B6B1E"/>
    <w:rsid w:val="005C3775"/>
    <w:rsid w:val="005F1E0B"/>
    <w:rsid w:val="0061214E"/>
    <w:rsid w:val="006127AA"/>
    <w:rsid w:val="006365E3"/>
    <w:rsid w:val="00643D03"/>
    <w:rsid w:val="00651390"/>
    <w:rsid w:val="00652C51"/>
    <w:rsid w:val="006574D0"/>
    <w:rsid w:val="00660912"/>
    <w:rsid w:val="00661B03"/>
    <w:rsid w:val="00662345"/>
    <w:rsid w:val="006669C4"/>
    <w:rsid w:val="00667059"/>
    <w:rsid w:val="006711ED"/>
    <w:rsid w:val="0068157B"/>
    <w:rsid w:val="00681BD8"/>
    <w:rsid w:val="006846D7"/>
    <w:rsid w:val="00691773"/>
    <w:rsid w:val="00692272"/>
    <w:rsid w:val="006A2B21"/>
    <w:rsid w:val="006A7033"/>
    <w:rsid w:val="006B72E2"/>
    <w:rsid w:val="006C21E5"/>
    <w:rsid w:val="006C54A4"/>
    <w:rsid w:val="006E43B1"/>
    <w:rsid w:val="006E7B93"/>
    <w:rsid w:val="006F761C"/>
    <w:rsid w:val="0070096C"/>
    <w:rsid w:val="007118D7"/>
    <w:rsid w:val="00713482"/>
    <w:rsid w:val="00720006"/>
    <w:rsid w:val="007232DA"/>
    <w:rsid w:val="00746690"/>
    <w:rsid w:val="00757E10"/>
    <w:rsid w:val="00775B8D"/>
    <w:rsid w:val="00775F01"/>
    <w:rsid w:val="00782460"/>
    <w:rsid w:val="007902A5"/>
    <w:rsid w:val="007A0698"/>
    <w:rsid w:val="007B7683"/>
    <w:rsid w:val="007C70FA"/>
    <w:rsid w:val="007E1762"/>
    <w:rsid w:val="007E2B8B"/>
    <w:rsid w:val="007F10B1"/>
    <w:rsid w:val="007F7211"/>
    <w:rsid w:val="00800C6A"/>
    <w:rsid w:val="008023E7"/>
    <w:rsid w:val="00805BD5"/>
    <w:rsid w:val="00825D8A"/>
    <w:rsid w:val="00826CC5"/>
    <w:rsid w:val="00832ACA"/>
    <w:rsid w:val="008333EA"/>
    <w:rsid w:val="00837EF2"/>
    <w:rsid w:val="00860EFA"/>
    <w:rsid w:val="00864ED1"/>
    <w:rsid w:val="0086788D"/>
    <w:rsid w:val="00873A08"/>
    <w:rsid w:val="00884D98"/>
    <w:rsid w:val="008929B3"/>
    <w:rsid w:val="00892F7F"/>
    <w:rsid w:val="008939AE"/>
    <w:rsid w:val="008C1230"/>
    <w:rsid w:val="008C386A"/>
    <w:rsid w:val="008C3E0F"/>
    <w:rsid w:val="008E5633"/>
    <w:rsid w:val="008F0E3E"/>
    <w:rsid w:val="00906E70"/>
    <w:rsid w:val="00907A41"/>
    <w:rsid w:val="00912D43"/>
    <w:rsid w:val="009320A0"/>
    <w:rsid w:val="0094046D"/>
    <w:rsid w:val="00940BDC"/>
    <w:rsid w:val="00942D2B"/>
    <w:rsid w:val="009452BB"/>
    <w:rsid w:val="00945A01"/>
    <w:rsid w:val="00950758"/>
    <w:rsid w:val="009509D8"/>
    <w:rsid w:val="00962C74"/>
    <w:rsid w:val="00967D6D"/>
    <w:rsid w:val="00971EAB"/>
    <w:rsid w:val="00977B69"/>
    <w:rsid w:val="0098466C"/>
    <w:rsid w:val="00995DCE"/>
    <w:rsid w:val="009A0A4F"/>
    <w:rsid w:val="009A30C5"/>
    <w:rsid w:val="009B18C2"/>
    <w:rsid w:val="009B7CF9"/>
    <w:rsid w:val="009C0623"/>
    <w:rsid w:val="009E44A6"/>
    <w:rsid w:val="009F29AC"/>
    <w:rsid w:val="00A00640"/>
    <w:rsid w:val="00A02DCD"/>
    <w:rsid w:val="00A03B2B"/>
    <w:rsid w:val="00A05C8F"/>
    <w:rsid w:val="00A27136"/>
    <w:rsid w:val="00A541C8"/>
    <w:rsid w:val="00A546B2"/>
    <w:rsid w:val="00A60E40"/>
    <w:rsid w:val="00A61CC8"/>
    <w:rsid w:val="00A63658"/>
    <w:rsid w:val="00A71096"/>
    <w:rsid w:val="00A773B9"/>
    <w:rsid w:val="00A81D58"/>
    <w:rsid w:val="00A867F5"/>
    <w:rsid w:val="00A910DD"/>
    <w:rsid w:val="00AA0E1A"/>
    <w:rsid w:val="00AA1957"/>
    <w:rsid w:val="00AB2CEC"/>
    <w:rsid w:val="00AB7F76"/>
    <w:rsid w:val="00AC0AF0"/>
    <w:rsid w:val="00AC3755"/>
    <w:rsid w:val="00AC4677"/>
    <w:rsid w:val="00AC5524"/>
    <w:rsid w:val="00AD226D"/>
    <w:rsid w:val="00AD77E4"/>
    <w:rsid w:val="00AE160C"/>
    <w:rsid w:val="00AF00BA"/>
    <w:rsid w:val="00B12E04"/>
    <w:rsid w:val="00B21AE7"/>
    <w:rsid w:val="00B272B9"/>
    <w:rsid w:val="00B27F60"/>
    <w:rsid w:val="00B30E0F"/>
    <w:rsid w:val="00B30F79"/>
    <w:rsid w:val="00B33A22"/>
    <w:rsid w:val="00B4366F"/>
    <w:rsid w:val="00B43AAA"/>
    <w:rsid w:val="00B46C8F"/>
    <w:rsid w:val="00B51D9D"/>
    <w:rsid w:val="00B63B08"/>
    <w:rsid w:val="00B65494"/>
    <w:rsid w:val="00B711FF"/>
    <w:rsid w:val="00B82FF3"/>
    <w:rsid w:val="00B870A0"/>
    <w:rsid w:val="00B978B2"/>
    <w:rsid w:val="00BA1E18"/>
    <w:rsid w:val="00BA3444"/>
    <w:rsid w:val="00BC2B5B"/>
    <w:rsid w:val="00BC5EFF"/>
    <w:rsid w:val="00BD5783"/>
    <w:rsid w:val="00BE2636"/>
    <w:rsid w:val="00BE49F7"/>
    <w:rsid w:val="00BE4A3F"/>
    <w:rsid w:val="00BE5347"/>
    <w:rsid w:val="00BF0D19"/>
    <w:rsid w:val="00BF56B3"/>
    <w:rsid w:val="00C00C68"/>
    <w:rsid w:val="00C05FEC"/>
    <w:rsid w:val="00C220F2"/>
    <w:rsid w:val="00C227D6"/>
    <w:rsid w:val="00C33B75"/>
    <w:rsid w:val="00C343E5"/>
    <w:rsid w:val="00C36A19"/>
    <w:rsid w:val="00C3783B"/>
    <w:rsid w:val="00C54487"/>
    <w:rsid w:val="00C55887"/>
    <w:rsid w:val="00C558F0"/>
    <w:rsid w:val="00C55A15"/>
    <w:rsid w:val="00C7189C"/>
    <w:rsid w:val="00C8364B"/>
    <w:rsid w:val="00CB0014"/>
    <w:rsid w:val="00CB1E49"/>
    <w:rsid w:val="00CB3C04"/>
    <w:rsid w:val="00CB4882"/>
    <w:rsid w:val="00CC115E"/>
    <w:rsid w:val="00CC2BC6"/>
    <w:rsid w:val="00CD551C"/>
    <w:rsid w:val="00CE2355"/>
    <w:rsid w:val="00CE6918"/>
    <w:rsid w:val="00D11654"/>
    <w:rsid w:val="00D170E7"/>
    <w:rsid w:val="00D2326B"/>
    <w:rsid w:val="00D25710"/>
    <w:rsid w:val="00D2665B"/>
    <w:rsid w:val="00D3182D"/>
    <w:rsid w:val="00D360E3"/>
    <w:rsid w:val="00D40E42"/>
    <w:rsid w:val="00D56BEA"/>
    <w:rsid w:val="00D60BDD"/>
    <w:rsid w:val="00D64CDF"/>
    <w:rsid w:val="00D65448"/>
    <w:rsid w:val="00D73EC9"/>
    <w:rsid w:val="00D753FD"/>
    <w:rsid w:val="00D7724D"/>
    <w:rsid w:val="00D92C20"/>
    <w:rsid w:val="00DA5339"/>
    <w:rsid w:val="00DB7D12"/>
    <w:rsid w:val="00DB7D9D"/>
    <w:rsid w:val="00DB7FFB"/>
    <w:rsid w:val="00DC2655"/>
    <w:rsid w:val="00DE00C3"/>
    <w:rsid w:val="00DE6402"/>
    <w:rsid w:val="00E02698"/>
    <w:rsid w:val="00E028FB"/>
    <w:rsid w:val="00E10A66"/>
    <w:rsid w:val="00E129B4"/>
    <w:rsid w:val="00E21C61"/>
    <w:rsid w:val="00E2326E"/>
    <w:rsid w:val="00E34F53"/>
    <w:rsid w:val="00E426CB"/>
    <w:rsid w:val="00E43997"/>
    <w:rsid w:val="00E6239E"/>
    <w:rsid w:val="00E64BF7"/>
    <w:rsid w:val="00E73CE3"/>
    <w:rsid w:val="00E82F5E"/>
    <w:rsid w:val="00E84B38"/>
    <w:rsid w:val="00E84DC4"/>
    <w:rsid w:val="00E853B9"/>
    <w:rsid w:val="00E86C2D"/>
    <w:rsid w:val="00E912E0"/>
    <w:rsid w:val="00E9223D"/>
    <w:rsid w:val="00E93A6E"/>
    <w:rsid w:val="00EA3897"/>
    <w:rsid w:val="00EB2AF3"/>
    <w:rsid w:val="00EC1CAD"/>
    <w:rsid w:val="00EC237C"/>
    <w:rsid w:val="00EC5177"/>
    <w:rsid w:val="00ED6B6E"/>
    <w:rsid w:val="00EE1006"/>
    <w:rsid w:val="00EF3176"/>
    <w:rsid w:val="00EF5756"/>
    <w:rsid w:val="00F009CB"/>
    <w:rsid w:val="00F00A36"/>
    <w:rsid w:val="00F00EF0"/>
    <w:rsid w:val="00F00FFD"/>
    <w:rsid w:val="00F0691C"/>
    <w:rsid w:val="00F1567F"/>
    <w:rsid w:val="00F15B29"/>
    <w:rsid w:val="00F348F5"/>
    <w:rsid w:val="00F45F59"/>
    <w:rsid w:val="00F46465"/>
    <w:rsid w:val="00F46985"/>
    <w:rsid w:val="00F55240"/>
    <w:rsid w:val="00F57BA7"/>
    <w:rsid w:val="00F62E2F"/>
    <w:rsid w:val="00F6393A"/>
    <w:rsid w:val="00F75C30"/>
    <w:rsid w:val="00F76622"/>
    <w:rsid w:val="00F76718"/>
    <w:rsid w:val="00F77683"/>
    <w:rsid w:val="00F8451A"/>
    <w:rsid w:val="00F85916"/>
    <w:rsid w:val="00F96B3B"/>
    <w:rsid w:val="00FA6E4B"/>
    <w:rsid w:val="00FC3F95"/>
    <w:rsid w:val="00FC54E7"/>
    <w:rsid w:val="00FC6585"/>
    <w:rsid w:val="00FC6B4C"/>
    <w:rsid w:val="00FE0FDC"/>
    <w:rsid w:val="00FE1202"/>
    <w:rsid w:val="00FE4EF9"/>
    <w:rsid w:val="00FE56EB"/>
    <w:rsid w:val="00FE7A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1FF7E5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B8D"/>
    <w:pPr>
      <w:spacing w:after="0" w:line="240" w:lineRule="auto"/>
    </w:pPr>
    <w:rPr>
      <w:rFonts w:ascii="Times New Roman" w:eastAsia="Times New Roman" w:hAnsi="Times New Roman" w:cs="Times New Roman"/>
      <w:sz w:val="24"/>
      <w:szCs w:val="24"/>
      <w:lang w:eastAsia="en-IE"/>
    </w:rPr>
  </w:style>
  <w:style w:type="paragraph" w:styleId="Heading1">
    <w:name w:val="heading 1"/>
    <w:basedOn w:val="Normal"/>
    <w:next w:val="Normal"/>
    <w:link w:val="Heading1Char"/>
    <w:uiPriority w:val="9"/>
    <w:qFormat/>
    <w:rsid w:val="007E176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B8D"/>
    <w:pPr>
      <w:spacing w:line="360" w:lineRule="auto"/>
      <w:ind w:left="720"/>
      <w:contextualSpacing/>
      <w:jc w:val="both"/>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775B8D"/>
    <w:pPr>
      <w:tabs>
        <w:tab w:val="center" w:pos="4513"/>
        <w:tab w:val="right" w:pos="9026"/>
      </w:tabs>
    </w:pPr>
  </w:style>
  <w:style w:type="character" w:customStyle="1" w:styleId="HeaderChar">
    <w:name w:val="Header Char"/>
    <w:basedOn w:val="DefaultParagraphFont"/>
    <w:link w:val="Header"/>
    <w:uiPriority w:val="99"/>
    <w:rsid w:val="00775B8D"/>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775B8D"/>
    <w:pPr>
      <w:tabs>
        <w:tab w:val="center" w:pos="4513"/>
        <w:tab w:val="right" w:pos="9026"/>
      </w:tabs>
    </w:pPr>
  </w:style>
  <w:style w:type="character" w:customStyle="1" w:styleId="FooterChar">
    <w:name w:val="Footer Char"/>
    <w:basedOn w:val="DefaultParagraphFont"/>
    <w:link w:val="Footer"/>
    <w:uiPriority w:val="99"/>
    <w:rsid w:val="00775B8D"/>
    <w:rPr>
      <w:rFonts w:ascii="Times New Roman" w:eastAsia="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167F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FE0"/>
    <w:rPr>
      <w:rFonts w:ascii="Segoe UI" w:eastAsia="Times New Roman" w:hAnsi="Segoe UI" w:cs="Segoe UI"/>
      <w:sz w:val="18"/>
      <w:szCs w:val="18"/>
      <w:lang w:eastAsia="en-IE"/>
    </w:rPr>
  </w:style>
  <w:style w:type="character" w:customStyle="1" w:styleId="Heading1Char">
    <w:name w:val="Heading 1 Char"/>
    <w:basedOn w:val="DefaultParagraphFont"/>
    <w:link w:val="Heading1"/>
    <w:uiPriority w:val="9"/>
    <w:rsid w:val="007E1762"/>
    <w:rPr>
      <w:rFonts w:asciiTheme="majorHAnsi" w:eastAsiaTheme="majorEastAsia" w:hAnsiTheme="majorHAnsi" w:cstheme="majorBidi"/>
      <w:color w:val="2F5496" w:themeColor="accent1" w:themeShade="BF"/>
      <w:sz w:val="32"/>
      <w:szCs w:val="32"/>
      <w:lang w:eastAsia="en-IE"/>
    </w:rPr>
  </w:style>
  <w:style w:type="character" w:styleId="CommentReference">
    <w:name w:val="annotation reference"/>
    <w:basedOn w:val="DefaultParagraphFont"/>
    <w:uiPriority w:val="99"/>
    <w:semiHidden/>
    <w:unhideWhenUsed/>
    <w:rsid w:val="00224AD0"/>
    <w:rPr>
      <w:sz w:val="16"/>
      <w:szCs w:val="16"/>
    </w:rPr>
  </w:style>
  <w:style w:type="paragraph" w:styleId="CommentText">
    <w:name w:val="annotation text"/>
    <w:basedOn w:val="Normal"/>
    <w:link w:val="CommentTextChar"/>
    <w:uiPriority w:val="99"/>
    <w:semiHidden/>
    <w:unhideWhenUsed/>
    <w:rsid w:val="00224AD0"/>
    <w:rPr>
      <w:sz w:val="20"/>
      <w:szCs w:val="20"/>
    </w:rPr>
  </w:style>
  <w:style w:type="character" w:customStyle="1" w:styleId="CommentTextChar">
    <w:name w:val="Comment Text Char"/>
    <w:basedOn w:val="DefaultParagraphFont"/>
    <w:link w:val="CommentText"/>
    <w:uiPriority w:val="99"/>
    <w:semiHidden/>
    <w:rsid w:val="00224AD0"/>
    <w:rPr>
      <w:rFonts w:ascii="Times New Roman" w:eastAsia="Times New Roman" w:hAnsi="Times New Roman" w:cs="Times New Roman"/>
      <w:sz w:val="20"/>
      <w:szCs w:val="20"/>
      <w:lang w:eastAsia="en-IE"/>
    </w:rPr>
  </w:style>
  <w:style w:type="paragraph" w:styleId="CommentSubject">
    <w:name w:val="annotation subject"/>
    <w:basedOn w:val="CommentText"/>
    <w:next w:val="CommentText"/>
    <w:link w:val="CommentSubjectChar"/>
    <w:uiPriority w:val="99"/>
    <w:semiHidden/>
    <w:unhideWhenUsed/>
    <w:rsid w:val="00224AD0"/>
    <w:rPr>
      <w:b/>
      <w:bCs/>
    </w:rPr>
  </w:style>
  <w:style w:type="character" w:customStyle="1" w:styleId="CommentSubjectChar">
    <w:name w:val="Comment Subject Char"/>
    <w:basedOn w:val="CommentTextChar"/>
    <w:link w:val="CommentSubject"/>
    <w:uiPriority w:val="99"/>
    <w:semiHidden/>
    <w:rsid w:val="00224AD0"/>
    <w:rPr>
      <w:rFonts w:ascii="Times New Roman" w:eastAsia="Times New Roman" w:hAnsi="Times New Roman" w:cs="Times New Roman"/>
      <w:b/>
      <w:bCs/>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699632">
      <w:bodyDiv w:val="1"/>
      <w:marLeft w:val="0"/>
      <w:marRight w:val="0"/>
      <w:marTop w:val="0"/>
      <w:marBottom w:val="0"/>
      <w:divBdr>
        <w:top w:val="none" w:sz="0" w:space="0" w:color="auto"/>
        <w:left w:val="none" w:sz="0" w:space="0" w:color="auto"/>
        <w:bottom w:val="none" w:sz="0" w:space="0" w:color="auto"/>
        <w:right w:val="none" w:sz="0" w:space="0" w:color="auto"/>
      </w:divBdr>
      <w:divsChild>
        <w:div w:id="899826368">
          <w:marLeft w:val="0"/>
          <w:marRight w:val="0"/>
          <w:marTop w:val="0"/>
          <w:marBottom w:val="150"/>
          <w:divBdr>
            <w:top w:val="none" w:sz="0" w:space="0" w:color="auto"/>
            <w:left w:val="none" w:sz="0" w:space="0" w:color="auto"/>
            <w:bottom w:val="none" w:sz="0" w:space="0" w:color="auto"/>
            <w:right w:val="none" w:sz="0" w:space="0" w:color="auto"/>
          </w:divBdr>
        </w:div>
        <w:div w:id="1758821412">
          <w:marLeft w:val="0"/>
          <w:marRight w:val="0"/>
          <w:marTop w:val="0"/>
          <w:marBottom w:val="150"/>
          <w:divBdr>
            <w:top w:val="none" w:sz="0" w:space="0" w:color="auto"/>
            <w:left w:val="none" w:sz="0" w:space="0" w:color="auto"/>
            <w:bottom w:val="none" w:sz="0" w:space="0" w:color="auto"/>
            <w:right w:val="none" w:sz="0" w:space="0" w:color="auto"/>
          </w:divBdr>
        </w:div>
      </w:divsChild>
    </w:div>
    <w:div w:id="978268390">
      <w:bodyDiv w:val="1"/>
      <w:marLeft w:val="0"/>
      <w:marRight w:val="0"/>
      <w:marTop w:val="0"/>
      <w:marBottom w:val="0"/>
      <w:divBdr>
        <w:top w:val="none" w:sz="0" w:space="0" w:color="auto"/>
        <w:left w:val="none" w:sz="0" w:space="0" w:color="auto"/>
        <w:bottom w:val="none" w:sz="0" w:space="0" w:color="auto"/>
        <w:right w:val="none" w:sz="0" w:space="0" w:color="auto"/>
      </w:divBdr>
      <w:divsChild>
        <w:div w:id="2127652526">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683555766">
      <w:bodyDiv w:val="1"/>
      <w:marLeft w:val="0"/>
      <w:marRight w:val="0"/>
      <w:marTop w:val="0"/>
      <w:marBottom w:val="0"/>
      <w:divBdr>
        <w:top w:val="none" w:sz="0" w:space="0" w:color="auto"/>
        <w:left w:val="none" w:sz="0" w:space="0" w:color="auto"/>
        <w:bottom w:val="none" w:sz="0" w:space="0" w:color="auto"/>
        <w:right w:val="none" w:sz="0" w:space="0" w:color="auto"/>
      </w:divBdr>
      <w:divsChild>
        <w:div w:id="18549720">
          <w:marLeft w:val="0"/>
          <w:marRight w:val="0"/>
          <w:marTop w:val="0"/>
          <w:marBottom w:val="150"/>
          <w:divBdr>
            <w:top w:val="none" w:sz="0" w:space="0" w:color="auto"/>
            <w:left w:val="none" w:sz="0" w:space="0" w:color="auto"/>
            <w:bottom w:val="none" w:sz="0" w:space="0" w:color="auto"/>
            <w:right w:val="none" w:sz="0" w:space="0" w:color="auto"/>
          </w:divBdr>
        </w:div>
        <w:div w:id="1660884909">
          <w:marLeft w:val="0"/>
          <w:marRight w:val="0"/>
          <w:marTop w:val="0"/>
          <w:marBottom w:val="150"/>
          <w:divBdr>
            <w:top w:val="none" w:sz="0" w:space="0" w:color="auto"/>
            <w:left w:val="none" w:sz="0" w:space="0" w:color="auto"/>
            <w:bottom w:val="none" w:sz="0" w:space="0" w:color="auto"/>
            <w:right w:val="none" w:sz="0" w:space="0" w:color="auto"/>
          </w:divBdr>
        </w:div>
      </w:divsChild>
    </w:div>
    <w:div w:id="207219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61148-27B4-4EA9-9BB1-390B790E5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12362</Words>
  <Characters>70470</Characters>
  <Application>Microsoft Office Word</Application>
  <DocSecurity>0</DocSecurity>
  <Lines>587</Lines>
  <Paragraphs>165</Paragraphs>
  <ScaleCrop>false</ScaleCrop>
  <Company/>
  <LinksUpToDate>false</LinksUpToDate>
  <CharactersWithSpaces>82667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2022-01-21T12:00:00Z</dcterms:created>
  <dcterms:modified xsi:type="dcterms:W3CDTF">2022-01-21T12:00:00Z</dcterms:modified>
</cp:coreProperties>
</file>