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3B4D" w14:textId="77777777" w:rsidR="00AA76EA" w:rsidRPr="009F67C7" w:rsidRDefault="00AA76EA" w:rsidP="00AA76EA">
      <w:pPr>
        <w:ind w:left="709" w:hanging="720"/>
        <w:jc w:val="center"/>
        <w:rPr>
          <w:b/>
          <w:sz w:val="28"/>
          <w:szCs w:val="28"/>
        </w:rPr>
      </w:pPr>
      <w:bookmarkStart w:id="0" w:name="_GoBack"/>
      <w:bookmarkEnd w:id="0"/>
      <w:r w:rsidRPr="009F67C7">
        <w:rPr>
          <w:b/>
          <w:sz w:val="28"/>
          <w:szCs w:val="28"/>
        </w:rPr>
        <w:t>THE COURT OF APPEAL</w:t>
      </w:r>
    </w:p>
    <w:p w14:paraId="1E9DC4F4" w14:textId="77777777" w:rsidR="00AA76EA" w:rsidRPr="009F67C7" w:rsidRDefault="00AA76EA" w:rsidP="00AA76EA">
      <w:pPr>
        <w:ind w:left="709" w:hanging="720"/>
        <w:jc w:val="center"/>
        <w:rPr>
          <w:b/>
          <w:caps/>
          <w:sz w:val="28"/>
          <w:szCs w:val="28"/>
        </w:rPr>
      </w:pPr>
      <w:r w:rsidRPr="009F67C7">
        <w:rPr>
          <w:b/>
          <w:caps/>
          <w:sz w:val="28"/>
          <w:szCs w:val="28"/>
        </w:rPr>
        <w:t>Civil</w:t>
      </w:r>
    </w:p>
    <w:p w14:paraId="25997F29" w14:textId="72B025D1" w:rsidR="00AA76EA" w:rsidRPr="009F67C7" w:rsidRDefault="00AA76EA" w:rsidP="00AA76EA">
      <w:pPr>
        <w:ind w:left="709" w:hanging="720"/>
        <w:jc w:val="right"/>
        <w:rPr>
          <w:b/>
          <w:sz w:val="28"/>
          <w:szCs w:val="28"/>
        </w:rPr>
      </w:pPr>
      <w:r>
        <w:rPr>
          <w:b/>
          <w:sz w:val="28"/>
          <w:szCs w:val="28"/>
        </w:rPr>
        <w:t xml:space="preserve">Neutral Citation Number [2021] IECA </w:t>
      </w:r>
      <w:r w:rsidR="00BA1A7B">
        <w:rPr>
          <w:b/>
          <w:sz w:val="28"/>
          <w:szCs w:val="28"/>
        </w:rPr>
        <w:t>316</w:t>
      </w:r>
    </w:p>
    <w:p w14:paraId="0CB01C6B" w14:textId="77777777" w:rsidR="00AA76EA" w:rsidRPr="009F67C7" w:rsidRDefault="00AA76EA" w:rsidP="00AA76EA">
      <w:pPr>
        <w:ind w:left="709" w:hanging="720"/>
        <w:jc w:val="right"/>
        <w:rPr>
          <w:b/>
          <w:sz w:val="28"/>
          <w:szCs w:val="28"/>
        </w:rPr>
      </w:pPr>
      <w:r w:rsidRPr="009F67C7">
        <w:rPr>
          <w:b/>
          <w:sz w:val="28"/>
          <w:szCs w:val="28"/>
        </w:rPr>
        <w:t>Court of Appeal Record No 2019/1</w:t>
      </w:r>
      <w:r>
        <w:rPr>
          <w:b/>
          <w:sz w:val="28"/>
          <w:szCs w:val="28"/>
        </w:rPr>
        <w:t>52</w:t>
      </w:r>
    </w:p>
    <w:p w14:paraId="5B3EE426" w14:textId="77777777" w:rsidR="00AA76EA" w:rsidRPr="009F67C7" w:rsidRDefault="00AA76EA" w:rsidP="00AA76EA">
      <w:pPr>
        <w:ind w:left="709" w:hanging="720"/>
        <w:rPr>
          <w:b/>
          <w:sz w:val="28"/>
          <w:szCs w:val="28"/>
        </w:rPr>
      </w:pPr>
      <w:r w:rsidRPr="009F67C7">
        <w:rPr>
          <w:b/>
          <w:sz w:val="28"/>
          <w:szCs w:val="28"/>
        </w:rPr>
        <w:t>Whelan J.</w:t>
      </w:r>
    </w:p>
    <w:p w14:paraId="16C37740" w14:textId="77777777" w:rsidR="00AA76EA" w:rsidRDefault="00AA76EA" w:rsidP="00AA76EA">
      <w:pPr>
        <w:ind w:left="709" w:hanging="720"/>
        <w:rPr>
          <w:b/>
          <w:sz w:val="28"/>
          <w:szCs w:val="28"/>
        </w:rPr>
      </w:pPr>
      <w:r w:rsidRPr="009F67C7">
        <w:rPr>
          <w:b/>
          <w:sz w:val="28"/>
          <w:szCs w:val="28"/>
        </w:rPr>
        <w:t>Collins J.</w:t>
      </w:r>
    </w:p>
    <w:p w14:paraId="63C285E0" w14:textId="77777777" w:rsidR="00AA76EA" w:rsidRPr="009F67C7" w:rsidRDefault="00AA76EA" w:rsidP="00AA76EA">
      <w:pPr>
        <w:ind w:left="709" w:hanging="720"/>
        <w:rPr>
          <w:b/>
          <w:sz w:val="28"/>
          <w:szCs w:val="28"/>
        </w:rPr>
      </w:pPr>
      <w:r>
        <w:rPr>
          <w:b/>
          <w:sz w:val="28"/>
          <w:szCs w:val="28"/>
        </w:rPr>
        <w:t>Binchy J.</w:t>
      </w:r>
    </w:p>
    <w:p w14:paraId="3896C1FC" w14:textId="77777777" w:rsidR="00AA76EA" w:rsidRPr="009F67C7" w:rsidRDefault="00AA76EA" w:rsidP="00AA76EA">
      <w:pPr>
        <w:ind w:left="709" w:hanging="720"/>
        <w:rPr>
          <w:b/>
          <w:sz w:val="28"/>
          <w:szCs w:val="28"/>
        </w:rPr>
      </w:pPr>
    </w:p>
    <w:p w14:paraId="0A9CB1B3" w14:textId="77777777" w:rsidR="00AA76EA" w:rsidRPr="009F67C7" w:rsidRDefault="00AA76EA" w:rsidP="00AA76EA">
      <w:pPr>
        <w:ind w:left="709" w:hanging="720"/>
        <w:jc w:val="left"/>
        <w:rPr>
          <w:b/>
          <w:sz w:val="28"/>
          <w:szCs w:val="28"/>
        </w:rPr>
      </w:pPr>
      <w:r w:rsidRPr="009F67C7">
        <w:rPr>
          <w:b/>
          <w:sz w:val="28"/>
          <w:szCs w:val="28"/>
        </w:rPr>
        <w:t>BETWEEN</w:t>
      </w:r>
    </w:p>
    <w:p w14:paraId="3859C8A4" w14:textId="3FAF909D" w:rsidR="00AA76EA" w:rsidRPr="009F67C7" w:rsidRDefault="00AA76EA" w:rsidP="00AA76EA">
      <w:pPr>
        <w:ind w:left="709" w:hanging="720"/>
        <w:jc w:val="center"/>
        <w:rPr>
          <w:b/>
          <w:sz w:val="28"/>
          <w:szCs w:val="28"/>
        </w:rPr>
      </w:pPr>
      <w:r>
        <w:rPr>
          <w:b/>
          <w:sz w:val="28"/>
          <w:szCs w:val="28"/>
        </w:rPr>
        <w:t>JOSEPH SHEEHAN</w:t>
      </w:r>
    </w:p>
    <w:p w14:paraId="67730049" w14:textId="77777777" w:rsidR="00AA76EA" w:rsidRPr="009F67C7" w:rsidRDefault="00AA76EA" w:rsidP="00AA76EA">
      <w:pPr>
        <w:ind w:left="709" w:hanging="720"/>
        <w:jc w:val="right"/>
        <w:rPr>
          <w:i/>
          <w:sz w:val="28"/>
          <w:szCs w:val="28"/>
        </w:rPr>
      </w:pPr>
      <w:r w:rsidRPr="009F67C7">
        <w:rPr>
          <w:i/>
          <w:sz w:val="28"/>
          <w:szCs w:val="28"/>
        </w:rPr>
        <w:t>Plaintiff/Appellant</w:t>
      </w:r>
    </w:p>
    <w:p w14:paraId="41DEE003" w14:textId="77777777" w:rsidR="00AA76EA" w:rsidRPr="009F67C7" w:rsidRDefault="00AA76EA" w:rsidP="00AA76EA">
      <w:pPr>
        <w:ind w:left="709" w:hanging="720"/>
        <w:jc w:val="left"/>
        <w:rPr>
          <w:b/>
          <w:sz w:val="28"/>
          <w:szCs w:val="28"/>
        </w:rPr>
      </w:pPr>
      <w:r w:rsidRPr="009F67C7">
        <w:rPr>
          <w:b/>
          <w:sz w:val="28"/>
          <w:szCs w:val="28"/>
        </w:rPr>
        <w:t>AND</w:t>
      </w:r>
    </w:p>
    <w:p w14:paraId="1E44B7B9" w14:textId="77777777" w:rsidR="00AA76EA" w:rsidRPr="009F67C7" w:rsidRDefault="00AA76EA" w:rsidP="00AA76EA">
      <w:pPr>
        <w:ind w:left="709" w:hanging="720"/>
        <w:jc w:val="center"/>
        <w:rPr>
          <w:b/>
          <w:sz w:val="28"/>
          <w:szCs w:val="28"/>
        </w:rPr>
      </w:pPr>
      <w:r>
        <w:rPr>
          <w:b/>
          <w:sz w:val="28"/>
          <w:szCs w:val="28"/>
        </w:rPr>
        <w:t>TALOS CAPITAL LIMITED</w:t>
      </w:r>
    </w:p>
    <w:p w14:paraId="4D48E582" w14:textId="77777777" w:rsidR="00AA76EA" w:rsidRPr="009F67C7" w:rsidRDefault="00AA76EA" w:rsidP="00AA76EA">
      <w:pPr>
        <w:ind w:left="709" w:hanging="720"/>
        <w:jc w:val="right"/>
        <w:rPr>
          <w:i/>
          <w:sz w:val="28"/>
          <w:szCs w:val="28"/>
        </w:rPr>
      </w:pPr>
      <w:r w:rsidRPr="009F67C7">
        <w:rPr>
          <w:i/>
          <w:sz w:val="28"/>
          <w:szCs w:val="28"/>
        </w:rPr>
        <w:t>Defendant/Respondent</w:t>
      </w:r>
    </w:p>
    <w:p w14:paraId="00999A00" w14:textId="5E18A9A8" w:rsidR="00AA76EA" w:rsidRDefault="00AA76EA" w:rsidP="00AA76EA">
      <w:pPr>
        <w:ind w:left="709" w:hanging="720"/>
        <w:rPr>
          <w:sz w:val="28"/>
          <w:szCs w:val="28"/>
        </w:rPr>
      </w:pPr>
    </w:p>
    <w:p w14:paraId="7331747C" w14:textId="77777777" w:rsidR="00DD3258" w:rsidRPr="009F67C7" w:rsidRDefault="00DD3258" w:rsidP="00AA76EA">
      <w:pPr>
        <w:ind w:left="709" w:hanging="720"/>
        <w:rPr>
          <w:sz w:val="28"/>
          <w:szCs w:val="28"/>
        </w:rPr>
      </w:pPr>
    </w:p>
    <w:p w14:paraId="1FB5A973" w14:textId="78089786" w:rsidR="00AA76EA" w:rsidRPr="00DD3258" w:rsidRDefault="00AA76EA" w:rsidP="00DD3258">
      <w:pPr>
        <w:ind w:left="709" w:hanging="720"/>
        <w:rPr>
          <w:b/>
          <w:sz w:val="28"/>
          <w:szCs w:val="28"/>
          <w:u w:val="single"/>
        </w:rPr>
      </w:pPr>
      <w:r w:rsidRPr="00DD3258">
        <w:rPr>
          <w:b/>
          <w:sz w:val="28"/>
          <w:szCs w:val="28"/>
          <w:u w:val="single"/>
        </w:rPr>
        <w:t xml:space="preserve">JUDGMENT of Mr Justice Maurice Collins delivered on </w:t>
      </w:r>
      <w:r w:rsidR="00DD3258" w:rsidRPr="00DD3258">
        <w:rPr>
          <w:b/>
          <w:sz w:val="28"/>
          <w:szCs w:val="28"/>
          <w:u w:val="single"/>
        </w:rPr>
        <w:t>26</w:t>
      </w:r>
      <w:r w:rsidRPr="00DD3258">
        <w:rPr>
          <w:b/>
          <w:sz w:val="28"/>
          <w:szCs w:val="28"/>
          <w:u w:val="single"/>
        </w:rPr>
        <w:t xml:space="preserve"> </w:t>
      </w:r>
      <w:r w:rsidR="003028C4" w:rsidRPr="00DD3258">
        <w:rPr>
          <w:b/>
          <w:sz w:val="28"/>
          <w:szCs w:val="28"/>
          <w:u w:val="single"/>
        </w:rPr>
        <w:t>November</w:t>
      </w:r>
      <w:r w:rsidR="00C90450" w:rsidRPr="00DD3258">
        <w:rPr>
          <w:b/>
          <w:sz w:val="28"/>
          <w:szCs w:val="28"/>
          <w:u w:val="single"/>
        </w:rPr>
        <w:t xml:space="preserve"> </w:t>
      </w:r>
      <w:r w:rsidRPr="00DD3258">
        <w:rPr>
          <w:b/>
          <w:sz w:val="28"/>
          <w:szCs w:val="28"/>
          <w:u w:val="single"/>
        </w:rPr>
        <w:t>2021</w:t>
      </w:r>
    </w:p>
    <w:p w14:paraId="17326424" w14:textId="77777777" w:rsidR="00A05199" w:rsidRDefault="00AA76EA" w:rsidP="00AA76EA">
      <w:pPr>
        <w:jc w:val="center"/>
        <w:rPr>
          <w:b/>
          <w:szCs w:val="28"/>
        </w:rPr>
      </w:pPr>
      <w:r w:rsidRPr="009F67C7">
        <w:rPr>
          <w:szCs w:val="28"/>
          <w:u w:val="single"/>
        </w:rPr>
        <w:br w:type="page"/>
      </w:r>
      <w:r w:rsidR="00C12739">
        <w:rPr>
          <w:b/>
          <w:szCs w:val="28"/>
        </w:rPr>
        <w:lastRenderedPageBreak/>
        <w:t>BACKGROUND</w:t>
      </w:r>
    </w:p>
    <w:p w14:paraId="03388360" w14:textId="77777777" w:rsidR="00AA76EA" w:rsidRDefault="00AA76EA" w:rsidP="00AA76EA">
      <w:pPr>
        <w:jc w:val="center"/>
        <w:rPr>
          <w:b/>
        </w:rPr>
      </w:pPr>
    </w:p>
    <w:p w14:paraId="2A149DE1" w14:textId="77777777" w:rsidR="00AA76EA" w:rsidRDefault="00AA76EA" w:rsidP="00AA76EA">
      <w:pPr>
        <w:pStyle w:val="ListParagraph"/>
        <w:numPr>
          <w:ilvl w:val="0"/>
          <w:numId w:val="1"/>
        </w:numPr>
        <w:ind w:hanging="720"/>
      </w:pPr>
      <w:r>
        <w:t xml:space="preserve">This is an appeal brought by </w:t>
      </w:r>
      <w:r w:rsidR="0026784C">
        <w:t xml:space="preserve">the Appellant, Dr Joseph Sheehan, </w:t>
      </w:r>
      <w:r w:rsidR="0026784C" w:rsidRPr="0026784C">
        <w:t>(</w:t>
      </w:r>
      <w:r w:rsidR="0026784C" w:rsidRPr="0026784C">
        <w:rPr>
          <w:i/>
        </w:rPr>
        <w:t>“Dr Sheehan”</w:t>
      </w:r>
      <w:r w:rsidR="0026784C" w:rsidRPr="0026784C">
        <w:t>)</w:t>
      </w:r>
      <w:r w:rsidR="0026784C">
        <w:t xml:space="preserve"> </w:t>
      </w:r>
      <w:r>
        <w:t xml:space="preserve">from the judgment and order of the High Court (Twomey J) of 20 June 2018 </w:t>
      </w:r>
      <w:r w:rsidR="006B25A1">
        <w:t xml:space="preserve">dismissing </w:t>
      </w:r>
      <w:r>
        <w:t xml:space="preserve">his claim </w:t>
      </w:r>
      <w:r w:rsidR="0026784C">
        <w:t>against the Respondent, Talos Capital Limited (“</w:t>
      </w:r>
      <w:r w:rsidR="0026784C" w:rsidRPr="0026784C">
        <w:rPr>
          <w:i/>
        </w:rPr>
        <w:t>Talos</w:t>
      </w:r>
      <w:r w:rsidR="0026784C">
        <w:t xml:space="preserve">”). </w:t>
      </w:r>
    </w:p>
    <w:p w14:paraId="73F99213" w14:textId="77777777" w:rsidR="0026784C" w:rsidRDefault="0026784C" w:rsidP="0026784C">
      <w:pPr>
        <w:pStyle w:val="ListParagraph"/>
      </w:pPr>
    </w:p>
    <w:p w14:paraId="4865C71E" w14:textId="77777777" w:rsidR="0026784C" w:rsidRDefault="0026784C" w:rsidP="00AA76EA">
      <w:pPr>
        <w:pStyle w:val="ListParagraph"/>
        <w:numPr>
          <w:ilvl w:val="0"/>
          <w:numId w:val="1"/>
        </w:numPr>
        <w:ind w:hanging="720"/>
      </w:pPr>
      <w:r>
        <w:t xml:space="preserve">The </w:t>
      </w:r>
      <w:r w:rsidR="00051EFD">
        <w:t xml:space="preserve">circumstances in which that claim arose </w:t>
      </w:r>
      <w:r>
        <w:t xml:space="preserve">are set out in detail in the Judgment of the High Court Judge ([2018] IEHC 361). While there are some </w:t>
      </w:r>
      <w:r w:rsidR="005F23A7">
        <w:t>aspects</w:t>
      </w:r>
      <w:r>
        <w:t xml:space="preserve"> that will require more detailed discussion, the following summary </w:t>
      </w:r>
      <w:r w:rsidR="00243A00">
        <w:t xml:space="preserve">(which no doubt simplifies the background excessively) will </w:t>
      </w:r>
      <w:r>
        <w:t>suffice at this stage.</w:t>
      </w:r>
      <w:r w:rsidR="009A220A">
        <w:t xml:space="preserve"> </w:t>
      </w:r>
    </w:p>
    <w:p w14:paraId="0394B4D3" w14:textId="77777777" w:rsidR="00051EFD" w:rsidRDefault="00051EFD" w:rsidP="0026784C">
      <w:pPr>
        <w:pStyle w:val="ListParagraph"/>
      </w:pPr>
    </w:p>
    <w:p w14:paraId="7AE9BDD8" w14:textId="25E859D9" w:rsidR="0026784C" w:rsidRDefault="0026784C" w:rsidP="00AA76EA">
      <w:pPr>
        <w:pStyle w:val="ListParagraph"/>
        <w:numPr>
          <w:ilvl w:val="0"/>
          <w:numId w:val="1"/>
        </w:numPr>
        <w:ind w:hanging="720"/>
      </w:pPr>
      <w:r>
        <w:t>Dr S</w:t>
      </w:r>
      <w:r w:rsidR="00D20E5D">
        <w:t>heehan was one of the founders of the Blackrock Clinic, a well-known private hospital</w:t>
      </w:r>
      <w:r w:rsidR="007B3D5D">
        <w:t xml:space="preserve"> in Dublin</w:t>
      </w:r>
      <w:r w:rsidR="00D20E5D">
        <w:t xml:space="preserve">, and, during the </w:t>
      </w:r>
      <w:r w:rsidR="00C90450">
        <w:t>time-</w:t>
      </w:r>
      <w:r w:rsidR="00D20E5D">
        <w:t xml:space="preserve">period </w:t>
      </w:r>
      <w:r w:rsidR="00FB41CA">
        <w:t>relevant</w:t>
      </w:r>
      <w:r w:rsidR="00D20E5D">
        <w:t xml:space="preserve"> to these proceedings, </w:t>
      </w:r>
      <w:r w:rsidR="00FB41CA">
        <w:t xml:space="preserve">he </w:t>
      </w:r>
      <w:r w:rsidR="00D20E5D">
        <w:t>continued to be (directly or indirectly) a significant shareholder in Blackrock Hospital Limited</w:t>
      </w:r>
      <w:r w:rsidR="00145B08">
        <w:t xml:space="preserve"> (“</w:t>
      </w:r>
      <w:r w:rsidR="00145B08" w:rsidRPr="00145B08">
        <w:rPr>
          <w:i/>
        </w:rPr>
        <w:t>BHL</w:t>
      </w:r>
      <w:r w:rsidR="00145B08">
        <w:t>”)</w:t>
      </w:r>
      <w:r w:rsidR="00D20E5D">
        <w:t xml:space="preserve">, the company that </w:t>
      </w:r>
      <w:r w:rsidR="00255830">
        <w:t>(th</w:t>
      </w:r>
      <w:r w:rsidR="0024629C">
        <w:t>r</w:t>
      </w:r>
      <w:r w:rsidR="00255830">
        <w:t xml:space="preserve">ough a further company) </w:t>
      </w:r>
      <w:r w:rsidR="00D20E5D">
        <w:t xml:space="preserve">owned and operated </w:t>
      </w:r>
      <w:r w:rsidR="00C90450">
        <w:t>the Clinic</w:t>
      </w:r>
      <w:r w:rsidR="00D20E5D">
        <w:t xml:space="preserve">. </w:t>
      </w:r>
      <w:r w:rsidR="00FB41CA">
        <w:t xml:space="preserve">As </w:t>
      </w:r>
      <w:r w:rsidR="00D20E5D">
        <w:t xml:space="preserve">of 2014, </w:t>
      </w:r>
      <w:r w:rsidR="00FB41CA">
        <w:t xml:space="preserve">however, </w:t>
      </w:r>
      <w:r w:rsidR="00D20E5D">
        <w:t xml:space="preserve">his shareholding was encumbered by </w:t>
      </w:r>
      <w:r w:rsidR="00243A00">
        <w:t xml:space="preserve">charges securing loan facilities </w:t>
      </w:r>
      <w:r w:rsidR="00C90450">
        <w:t>that</w:t>
      </w:r>
      <w:r w:rsidR="00243A00">
        <w:t xml:space="preserve"> had</w:t>
      </w:r>
      <w:r w:rsidR="00D20E5D">
        <w:t xml:space="preserve"> </w:t>
      </w:r>
      <w:r w:rsidR="00255830">
        <w:t>originally</w:t>
      </w:r>
      <w:r w:rsidR="00013BF1">
        <w:t xml:space="preserve"> been</w:t>
      </w:r>
      <w:r w:rsidR="00255830">
        <w:t xml:space="preserve"> provided by Anglo Irish Bank</w:t>
      </w:r>
      <w:r w:rsidR="00243A00">
        <w:t xml:space="preserve"> and </w:t>
      </w:r>
      <w:r w:rsidR="00C90450">
        <w:t>that</w:t>
      </w:r>
      <w:r w:rsidR="00243A00">
        <w:t xml:space="preserve"> by then were</w:t>
      </w:r>
      <w:r w:rsidR="00C90450">
        <w:t xml:space="preserve"> owned by </w:t>
      </w:r>
      <w:r w:rsidR="00255830">
        <w:t>the</w:t>
      </w:r>
      <w:r w:rsidR="00D20E5D">
        <w:t xml:space="preserve"> Irish Bank Resolution Corporation (“</w:t>
      </w:r>
      <w:r w:rsidR="00D20E5D" w:rsidRPr="00D20E5D">
        <w:rPr>
          <w:i/>
        </w:rPr>
        <w:t>IBRC</w:t>
      </w:r>
      <w:r w:rsidR="00D20E5D">
        <w:t>”)</w:t>
      </w:r>
      <w:r w:rsidR="00243A00">
        <w:t>.</w:t>
      </w:r>
      <w:r w:rsidR="00255830">
        <w:t xml:space="preserve"> </w:t>
      </w:r>
      <w:r w:rsidR="00D20E5D">
        <w:t xml:space="preserve">A fellow shareholder, </w:t>
      </w:r>
      <w:r w:rsidR="006B25A1">
        <w:t>Mr Duffy</w:t>
      </w:r>
      <w:r w:rsidR="00D20E5D">
        <w:t>, was in a similar position and a third shareholder</w:t>
      </w:r>
      <w:r w:rsidR="006B25A1">
        <w:t>,</w:t>
      </w:r>
      <w:r w:rsidR="006B25A1" w:rsidRPr="006B25A1">
        <w:t xml:space="preserve"> </w:t>
      </w:r>
      <w:r w:rsidR="006B25A1">
        <w:t>Mr Flynn</w:t>
      </w:r>
      <w:r w:rsidR="00D20E5D">
        <w:t xml:space="preserve">, </w:t>
      </w:r>
      <w:r w:rsidR="00145B08">
        <w:t>had significant indebtedness to the National Asset Loan Management Limited (“</w:t>
      </w:r>
      <w:r w:rsidR="00145B08" w:rsidRPr="00145B08">
        <w:rPr>
          <w:i/>
        </w:rPr>
        <w:t>NALM</w:t>
      </w:r>
      <w:r w:rsidR="00145B08">
        <w:t>”) which was also secured over his shareholding</w:t>
      </w:r>
      <w:r w:rsidR="00255830">
        <w:t xml:space="preserve"> (</w:t>
      </w:r>
      <w:r w:rsidR="00C90450">
        <w:t xml:space="preserve">all of </w:t>
      </w:r>
      <w:r w:rsidR="00255830">
        <w:t xml:space="preserve">these shareholdings </w:t>
      </w:r>
      <w:r w:rsidR="00C90450">
        <w:t>being</w:t>
      </w:r>
      <w:r w:rsidR="00255830">
        <w:t xml:space="preserve"> held through corporate vehicles). </w:t>
      </w:r>
      <w:r w:rsidR="00145B08">
        <w:t>Thes</w:t>
      </w:r>
      <w:r w:rsidR="00255830">
        <w:t>e three s</w:t>
      </w:r>
      <w:r w:rsidR="00145B08">
        <w:t>hareholders between them held some 56% of the shares in BHL</w:t>
      </w:r>
      <w:r w:rsidR="005141C4">
        <w:t xml:space="preserve"> (28% held by and/or </w:t>
      </w:r>
      <w:r w:rsidR="00675691">
        <w:t xml:space="preserve">on </w:t>
      </w:r>
      <w:r w:rsidR="005141C4">
        <w:t>behalf of Dr Sheehan and 20% and 8% held by and/or on behalf of Mr Duffy and Mr Flynn respectively).</w:t>
      </w:r>
    </w:p>
    <w:p w14:paraId="7424F456" w14:textId="77777777" w:rsidR="00145B08" w:rsidRDefault="00145B08" w:rsidP="00145B08">
      <w:pPr>
        <w:pStyle w:val="ListParagraph"/>
      </w:pPr>
    </w:p>
    <w:p w14:paraId="48BE8499" w14:textId="74469CDD" w:rsidR="00145B08" w:rsidRDefault="00145B08" w:rsidP="00AA76EA">
      <w:pPr>
        <w:pStyle w:val="ListParagraph"/>
        <w:numPr>
          <w:ilvl w:val="0"/>
          <w:numId w:val="1"/>
        </w:numPr>
        <w:ind w:hanging="720"/>
      </w:pPr>
      <w:r>
        <w:t xml:space="preserve">As </w:t>
      </w:r>
      <w:r w:rsidR="005E5B5B">
        <w:t>anyone with an</w:t>
      </w:r>
      <w:r w:rsidR="004456D1">
        <w:t xml:space="preserve"> </w:t>
      </w:r>
      <w:r w:rsidR="005E5B5B">
        <w:t>interest in</w:t>
      </w:r>
      <w:r>
        <w:t xml:space="preserve"> the </w:t>
      </w:r>
      <w:r w:rsidR="00C90450">
        <w:t xml:space="preserve">recent </w:t>
      </w:r>
      <w:r w:rsidR="008C661E">
        <w:t>work product</w:t>
      </w:r>
      <w:r>
        <w:t xml:space="preserve"> of the Superior Courts in</w:t>
      </w:r>
      <w:r w:rsidR="005E5B5B">
        <w:t xml:space="preserve"> this jurisdiction </w:t>
      </w:r>
      <w:r w:rsidR="003028C4">
        <w:t>is</w:t>
      </w:r>
      <w:r>
        <w:t xml:space="preserve"> aware, the Blackrock Clinic has been a much fought-over </w:t>
      </w:r>
      <w:r w:rsidR="00F054AC">
        <w:t>prize</w:t>
      </w:r>
      <w:r>
        <w:t xml:space="preserve"> and disputes over </w:t>
      </w:r>
      <w:r w:rsidR="005E4C26">
        <w:t>its</w:t>
      </w:r>
      <w:r>
        <w:t xml:space="preserve"> ownership and control have generated very significant litigation, much </w:t>
      </w:r>
      <w:r w:rsidR="00C90450">
        <w:t xml:space="preserve">(though by no means all) </w:t>
      </w:r>
      <w:r>
        <w:t>involving Dr Sheehan</w:t>
      </w:r>
      <w:r w:rsidR="003028C4">
        <w:t xml:space="preserve"> as either plaintiff or defendant</w:t>
      </w:r>
      <w:r>
        <w:t xml:space="preserve">. It will be necessary to say something more about this litigation later in this judgment given the observations </w:t>
      </w:r>
      <w:r w:rsidR="003028C4">
        <w:t>that</w:t>
      </w:r>
      <w:r>
        <w:t xml:space="preserve"> the Judge </w:t>
      </w:r>
      <w:r w:rsidR="003028C4">
        <w:t xml:space="preserve">made </w:t>
      </w:r>
      <w:r>
        <w:t xml:space="preserve">about it. However, it has no direct </w:t>
      </w:r>
      <w:r w:rsidR="00F054AC">
        <w:t>bearing on</w:t>
      </w:r>
      <w:r>
        <w:t xml:space="preserve"> an</w:t>
      </w:r>
      <w:r w:rsidR="00F054AC">
        <w:t xml:space="preserve">y </w:t>
      </w:r>
      <w:r>
        <w:t>of the substantive issues arising in this appeal.</w:t>
      </w:r>
    </w:p>
    <w:p w14:paraId="4FF1B713" w14:textId="77777777" w:rsidR="00145B08" w:rsidRDefault="00145B08" w:rsidP="00145B08">
      <w:pPr>
        <w:pStyle w:val="ListParagraph"/>
      </w:pPr>
    </w:p>
    <w:p w14:paraId="07093769" w14:textId="6F0AABFA" w:rsidR="00145B08" w:rsidRDefault="00255830" w:rsidP="00AA76EA">
      <w:pPr>
        <w:pStyle w:val="ListParagraph"/>
        <w:numPr>
          <w:ilvl w:val="0"/>
          <w:numId w:val="1"/>
        </w:numPr>
        <w:ind w:hanging="720"/>
      </w:pPr>
      <w:r>
        <w:t xml:space="preserve">In 2014 Talos agreed to lend up to €45 million </w:t>
      </w:r>
      <w:r w:rsidR="00243A00">
        <w:t>to Dr Sheehan, Mr Flynn and Mr Duffy (and/or to companies controlled by them) for the purpose of funding the acquisition of their respective loans</w:t>
      </w:r>
      <w:r w:rsidR="003028C4">
        <w:t xml:space="preserve"> from IBRC</w:t>
      </w:r>
      <w:r w:rsidR="00243A00">
        <w:t xml:space="preserve"> and securing the release of the charges over their shareholdings in BHL. </w:t>
      </w:r>
      <w:r w:rsidR="003028C4">
        <w:t xml:space="preserve">Talos (now Talos Capital DAC) is an investment subsidiary of the Children’s Investment Fund Foundation, a charity registered in England and Wales </w:t>
      </w:r>
      <w:r w:rsidR="00F054AC">
        <w:t>a</w:t>
      </w:r>
      <w:r w:rsidR="003028C4">
        <w:t>nd described in evidence as “</w:t>
      </w:r>
      <w:r w:rsidR="003028C4" w:rsidRPr="003028C4">
        <w:rPr>
          <w:i/>
        </w:rPr>
        <w:t>one of the UK’s largest philanthropic organisations</w:t>
      </w:r>
      <w:r w:rsidR="003028C4">
        <w:rPr>
          <w:i/>
        </w:rPr>
        <w:t>.</w:t>
      </w:r>
      <w:r w:rsidR="003028C4">
        <w:t xml:space="preserve">” </w:t>
      </w:r>
      <w:r w:rsidR="00C7190B">
        <w:t xml:space="preserve">A series of agreements was entered into in March 2014 </w:t>
      </w:r>
      <w:r w:rsidR="00C90450">
        <w:t xml:space="preserve">in </w:t>
      </w:r>
      <w:r w:rsidR="003028C4">
        <w:t>connection with</w:t>
      </w:r>
      <w:r w:rsidR="00C7190B">
        <w:t xml:space="preserve"> this lending. </w:t>
      </w:r>
      <w:r w:rsidR="00177AAE">
        <w:t xml:space="preserve"> </w:t>
      </w:r>
      <w:r w:rsidR="00C7190B">
        <w:t>While the borrower was original</w:t>
      </w:r>
      <w:r w:rsidR="006B25A1">
        <w:t>ly</w:t>
      </w:r>
      <w:r w:rsidR="00C7190B">
        <w:t xml:space="preserve"> intended to be Medfund, a Cayman SPV controlled by Dr Sheehan, it was subsequently agreed that the borrower would instead be an Irish SPV. That SPV was JCS Investments Holdings XIV Limited (“</w:t>
      </w:r>
      <w:r w:rsidR="00C7190B" w:rsidRPr="00C7190B">
        <w:rPr>
          <w:i/>
        </w:rPr>
        <w:t>JCS</w:t>
      </w:r>
      <w:r w:rsidR="00C7190B">
        <w:t>”).</w:t>
      </w:r>
      <w:r w:rsidR="00561ACE">
        <w:t xml:space="preserve"> </w:t>
      </w:r>
      <w:r w:rsidR="00C406F9">
        <w:t xml:space="preserve">The terms of the agreed facility were set out in </w:t>
      </w:r>
      <w:r w:rsidR="008C661E">
        <w:t xml:space="preserve">the schedule to </w:t>
      </w:r>
      <w:r w:rsidR="00C406F9">
        <w:t xml:space="preserve">an </w:t>
      </w:r>
      <w:r w:rsidR="00C406F9" w:rsidRPr="005E5B5B">
        <w:rPr>
          <w:i/>
        </w:rPr>
        <w:t>Amendment and Restatement Agreement</w:t>
      </w:r>
      <w:r w:rsidR="00C406F9">
        <w:t xml:space="preserve"> dated 17 March 2014</w:t>
      </w:r>
      <w:r w:rsidR="008C661E">
        <w:t xml:space="preserve"> (which restated facility I shall refer </w:t>
      </w:r>
      <w:r w:rsidR="006B25A1">
        <w:t xml:space="preserve">to </w:t>
      </w:r>
      <w:r w:rsidR="008C661E">
        <w:t>as “</w:t>
      </w:r>
      <w:r w:rsidR="008C661E" w:rsidRPr="008C661E">
        <w:rPr>
          <w:i/>
        </w:rPr>
        <w:t>the Facility Agreement”).</w:t>
      </w:r>
      <w:r w:rsidR="008C661E">
        <w:t xml:space="preserve"> </w:t>
      </w:r>
      <w:r w:rsidR="006E0C8D">
        <w:t xml:space="preserve">These included, by way of security for Talos, a requirement that a share charge be granted in its favour over the entire share capital of JCS and a requirement that a personal guarantee be entered into by Dr Sheehan and Mr Flynn. These were </w:t>
      </w:r>
      <w:r w:rsidR="006E0C8D">
        <w:lastRenderedPageBreak/>
        <w:t>conditions precedent to the advancing by Talos of the “</w:t>
      </w:r>
      <w:r w:rsidR="006E0C8D" w:rsidRPr="006E0C8D">
        <w:rPr>
          <w:i/>
        </w:rPr>
        <w:t>Deposit Loan”.</w:t>
      </w:r>
      <w:r w:rsidR="006E0C8D">
        <w:t xml:space="preserve"> </w:t>
      </w:r>
      <w:r w:rsidR="00C80187">
        <w:t xml:space="preserve">The purpose of the Deposit Loan was to enable JCS to pay the deposit that would </w:t>
      </w:r>
      <w:r w:rsidR="0076067A">
        <w:t>have</w:t>
      </w:r>
      <w:r w:rsidR="00C80187">
        <w:t xml:space="preserve"> to be paid to IBRC under the </w:t>
      </w:r>
      <w:r w:rsidR="008C661E">
        <w:t>l</w:t>
      </w:r>
      <w:r w:rsidR="00C80187" w:rsidRPr="008C661E">
        <w:t xml:space="preserve">oan </w:t>
      </w:r>
      <w:r w:rsidR="008C661E">
        <w:t>s</w:t>
      </w:r>
      <w:r w:rsidR="00C80187" w:rsidRPr="008C661E">
        <w:t xml:space="preserve">ale </w:t>
      </w:r>
      <w:r w:rsidR="008C661E">
        <w:t>d</w:t>
      </w:r>
      <w:r w:rsidR="00C80187" w:rsidRPr="008C661E">
        <w:t>eed that</w:t>
      </w:r>
      <w:r w:rsidR="00C80187">
        <w:t xml:space="preserve"> was being negotiated at that time</w:t>
      </w:r>
      <w:r w:rsidR="00C64A5D">
        <w:t xml:space="preserve"> (“</w:t>
      </w:r>
      <w:r w:rsidR="00C64A5D" w:rsidRPr="00C64A5D">
        <w:rPr>
          <w:i/>
        </w:rPr>
        <w:t>the Deposit</w:t>
      </w:r>
      <w:r w:rsidR="00C64A5D">
        <w:t>”)</w:t>
      </w:r>
      <w:r w:rsidR="00C80187">
        <w:t xml:space="preserve">. It </w:t>
      </w:r>
      <w:r w:rsidR="006B25A1">
        <w:t>had been</w:t>
      </w:r>
      <w:r w:rsidR="00C80187">
        <w:t xml:space="preserve"> </w:t>
      </w:r>
      <w:r w:rsidR="00C90450">
        <w:t xml:space="preserve">originally </w:t>
      </w:r>
      <w:r w:rsidR="00C80187">
        <w:t xml:space="preserve">intended that Medfund would fund the deposit but subsequent to the signing of the original </w:t>
      </w:r>
      <w:r w:rsidR="008C661E">
        <w:t>f</w:t>
      </w:r>
      <w:r w:rsidR="00C80187" w:rsidRPr="008C661E">
        <w:t xml:space="preserve">acility </w:t>
      </w:r>
      <w:r w:rsidR="008C661E">
        <w:t>a</w:t>
      </w:r>
      <w:r w:rsidR="00C80187" w:rsidRPr="008C661E">
        <w:t>greement</w:t>
      </w:r>
      <w:r w:rsidR="00C80187">
        <w:t xml:space="preserve"> on 13 March 2014, </w:t>
      </w:r>
      <w:r w:rsidR="0063173D">
        <w:t xml:space="preserve">it </w:t>
      </w:r>
      <w:r w:rsidR="00C80187">
        <w:t xml:space="preserve">emerged that </w:t>
      </w:r>
      <w:r w:rsidR="0063173D">
        <w:t>Medfund was not in a position to do so and Talos agreed (“</w:t>
      </w:r>
      <w:r w:rsidR="0063173D" w:rsidRPr="0063173D">
        <w:rPr>
          <w:i/>
        </w:rPr>
        <w:t>reluctantly</w:t>
      </w:r>
      <w:r w:rsidR="0063173D">
        <w:t xml:space="preserve">”, it </w:t>
      </w:r>
      <w:r w:rsidR="00C90450">
        <w:t>was</w:t>
      </w:r>
      <w:r w:rsidR="0063173D">
        <w:t xml:space="preserve"> said) to fund the dep</w:t>
      </w:r>
      <w:r w:rsidR="00561ACE">
        <w:t xml:space="preserve">osit </w:t>
      </w:r>
      <w:r w:rsidR="0063173D">
        <w:t xml:space="preserve">also </w:t>
      </w:r>
      <w:r w:rsidR="00C80187">
        <w:t xml:space="preserve">and </w:t>
      </w:r>
      <w:r w:rsidR="008C661E">
        <w:t xml:space="preserve">that </w:t>
      </w:r>
      <w:r w:rsidR="00C80187">
        <w:t xml:space="preserve">was one of the factors that led to the agreement of </w:t>
      </w:r>
      <w:r w:rsidR="008C661E">
        <w:t xml:space="preserve">a restated facility by means of </w:t>
      </w:r>
      <w:r w:rsidR="00C80187">
        <w:t xml:space="preserve">the </w:t>
      </w:r>
      <w:r w:rsidR="00C80187" w:rsidRPr="005E5B5B">
        <w:t xml:space="preserve">Amendment and Restatement Agreement </w:t>
      </w:r>
      <w:r w:rsidR="00C80187">
        <w:t>a few days later.</w:t>
      </w:r>
      <w:r w:rsidR="00156480">
        <w:t xml:space="preserve"> The </w:t>
      </w:r>
      <w:bookmarkStart w:id="1" w:name="_Hlk77836622"/>
      <w:r w:rsidR="00156480" w:rsidRPr="005E5B5B">
        <w:t>Amendment and Restatement Agreement</w:t>
      </w:r>
      <w:r w:rsidR="00156480">
        <w:rPr>
          <w:i/>
        </w:rPr>
        <w:t xml:space="preserve"> </w:t>
      </w:r>
      <w:bookmarkEnd w:id="1"/>
      <w:r w:rsidR="00156480" w:rsidRPr="00156480">
        <w:rPr>
          <w:i/>
        </w:rPr>
        <w:t>“and any non-contractual liabilities arising from it”</w:t>
      </w:r>
      <w:r w:rsidR="00156480">
        <w:t xml:space="preserve"> </w:t>
      </w:r>
      <w:r w:rsidR="0076067A">
        <w:t>was</w:t>
      </w:r>
      <w:r w:rsidR="00156480">
        <w:t xml:space="preserve"> governed by English law (clause 8)</w:t>
      </w:r>
      <w:r w:rsidR="008C661E">
        <w:t>, as was the Facility Agreement itself (clause 33).</w:t>
      </w:r>
    </w:p>
    <w:p w14:paraId="079F7304" w14:textId="77777777" w:rsidR="00C80187" w:rsidRDefault="00C80187" w:rsidP="00C80187">
      <w:pPr>
        <w:pStyle w:val="ListParagraph"/>
      </w:pPr>
    </w:p>
    <w:p w14:paraId="0B0C18F4" w14:textId="432581CB" w:rsidR="00C80187" w:rsidRPr="004725F6" w:rsidRDefault="00CD05AD" w:rsidP="006B25A1">
      <w:pPr>
        <w:pStyle w:val="ListParagraph"/>
        <w:numPr>
          <w:ilvl w:val="0"/>
          <w:numId w:val="1"/>
        </w:numPr>
        <w:ind w:hanging="720"/>
        <w:rPr>
          <w:i/>
        </w:rPr>
      </w:pPr>
      <w:r>
        <w:t xml:space="preserve">In accordance with Clause 24 of the Facility Agreement, </w:t>
      </w:r>
      <w:r w:rsidR="00BA446E">
        <w:t xml:space="preserve">JCS acceded </w:t>
      </w:r>
      <w:r w:rsidR="00D804B3">
        <w:t xml:space="preserve">to </w:t>
      </w:r>
      <w:r>
        <w:t>it as the “</w:t>
      </w:r>
      <w:r w:rsidRPr="00CD05AD">
        <w:rPr>
          <w:i/>
        </w:rPr>
        <w:t>Acceding Borrower</w:t>
      </w:r>
      <w:r>
        <w:t>” i</w:t>
      </w:r>
      <w:r w:rsidR="00BA446E">
        <w:t>n place of Medfund on 19 March 2014. On the same date, a</w:t>
      </w:r>
      <w:r w:rsidR="00C80187">
        <w:t xml:space="preserve"> </w:t>
      </w:r>
      <w:r w:rsidR="00C80187" w:rsidRPr="0076067A">
        <w:t>Deed of Guarantee</w:t>
      </w:r>
      <w:r w:rsidR="00C80187">
        <w:t xml:space="preserve"> (“</w:t>
      </w:r>
      <w:r w:rsidR="00C80187" w:rsidRPr="00C80187">
        <w:rPr>
          <w:i/>
        </w:rPr>
        <w:t>the Guarantee</w:t>
      </w:r>
      <w:r w:rsidR="00C80187">
        <w:t xml:space="preserve">”) was executed by Dr Sheehan and Mr Flynn. </w:t>
      </w:r>
      <w:r w:rsidR="00C12739">
        <w:t xml:space="preserve">It guaranteed the punctual performance by </w:t>
      </w:r>
      <w:r w:rsidR="00BA446E" w:rsidRPr="00BA446E">
        <w:rPr>
          <w:i/>
        </w:rPr>
        <w:t>“the Borrower</w:t>
      </w:r>
      <w:r w:rsidR="00BA446E">
        <w:t xml:space="preserve">” (by then </w:t>
      </w:r>
      <w:r w:rsidR="00C12739">
        <w:t>JCS</w:t>
      </w:r>
      <w:r w:rsidR="00BA446E">
        <w:t>)</w:t>
      </w:r>
      <w:r w:rsidR="00C12739">
        <w:t xml:space="preserve"> of its payment obligations under the “</w:t>
      </w:r>
      <w:r w:rsidR="00C12739" w:rsidRPr="00C12739">
        <w:rPr>
          <w:i/>
        </w:rPr>
        <w:t>Finance Documents”</w:t>
      </w:r>
      <w:r w:rsidR="006858EF">
        <w:t xml:space="preserve"> subject, however, to a maximum liability of </w:t>
      </w:r>
      <w:r w:rsidR="006858EF" w:rsidRPr="006858EF">
        <w:rPr>
          <w:i/>
        </w:rPr>
        <w:t>“€2,400,000 plus any accrued but unpaid interest under the Senior Facilit</w:t>
      </w:r>
      <w:r w:rsidR="006858EF">
        <w:rPr>
          <w:i/>
        </w:rPr>
        <w:t>y</w:t>
      </w:r>
      <w:r w:rsidR="006858EF" w:rsidRPr="006858EF">
        <w:rPr>
          <w:i/>
        </w:rPr>
        <w:t xml:space="preserve"> Agreement</w:t>
      </w:r>
      <w:r w:rsidR="00675691">
        <w:rPr>
          <w:i/>
        </w:rPr>
        <w:t xml:space="preserve">” </w:t>
      </w:r>
      <w:r w:rsidR="006858EF">
        <w:t xml:space="preserve">(clause 2.1(b)). The </w:t>
      </w:r>
      <w:r w:rsidR="006858EF" w:rsidRPr="005E5B5B">
        <w:t>Senior Facility Agreement</w:t>
      </w:r>
      <w:r w:rsidR="006858EF" w:rsidRPr="006858EF">
        <w:rPr>
          <w:i/>
        </w:rPr>
        <w:t xml:space="preserve"> </w:t>
      </w:r>
      <w:r w:rsidR="006858EF">
        <w:t xml:space="preserve">referred to here was the  </w:t>
      </w:r>
      <w:r w:rsidR="005E5B5B">
        <w:t xml:space="preserve">restated facility set out in the </w:t>
      </w:r>
      <w:r w:rsidR="006858EF" w:rsidRPr="005E5B5B">
        <w:t>Amendment and Restatement Agreement</w:t>
      </w:r>
      <w:r w:rsidR="006858EF">
        <w:rPr>
          <w:i/>
        </w:rPr>
        <w:t xml:space="preserve">. </w:t>
      </w:r>
      <w:r w:rsidR="006858EF">
        <w:t xml:space="preserve">The </w:t>
      </w:r>
      <w:r w:rsidR="00156480">
        <w:t>amount of €2</w:t>
      </w:r>
      <w:r w:rsidR="006B25A1">
        <w:t xml:space="preserve">.4 million </w:t>
      </w:r>
      <w:r w:rsidR="00156480">
        <w:t xml:space="preserve">corresponded to the </w:t>
      </w:r>
      <w:r w:rsidR="00C64A5D">
        <w:t>Deposit</w:t>
      </w:r>
      <w:r w:rsidR="00156480">
        <w:t xml:space="preserve"> that would be payable to IBRC under the intended </w:t>
      </w:r>
      <w:r>
        <w:t>l</w:t>
      </w:r>
      <w:r w:rsidR="00156480" w:rsidRPr="005E5B5B">
        <w:t xml:space="preserve">oan </w:t>
      </w:r>
      <w:r>
        <w:t>s</w:t>
      </w:r>
      <w:r w:rsidR="00156480" w:rsidRPr="005E5B5B">
        <w:t xml:space="preserve">ale </w:t>
      </w:r>
      <w:r>
        <w:t>d</w:t>
      </w:r>
      <w:r w:rsidR="00156480" w:rsidRPr="005E5B5B">
        <w:t>eed</w:t>
      </w:r>
      <w:r w:rsidR="004456D1">
        <w:t xml:space="preserve"> (</w:t>
      </w:r>
      <w:r w:rsidR="00C90450">
        <w:t xml:space="preserve">that amount </w:t>
      </w:r>
      <w:r w:rsidR="004456D1">
        <w:t>being 10% of the total consideration of €24 million)</w:t>
      </w:r>
      <w:r w:rsidR="00156480">
        <w:t>.</w:t>
      </w:r>
      <w:r w:rsidR="00BA446E">
        <w:t xml:space="preserve"> The Guarantee was governed by Irish law.</w:t>
      </w:r>
    </w:p>
    <w:p w14:paraId="6A25FA77" w14:textId="77777777" w:rsidR="004725F6" w:rsidRPr="004725F6" w:rsidRDefault="004725F6" w:rsidP="004725F6">
      <w:pPr>
        <w:pStyle w:val="ListParagraph"/>
        <w:rPr>
          <w:i/>
        </w:rPr>
      </w:pPr>
    </w:p>
    <w:p w14:paraId="4E069F6A" w14:textId="151D1892" w:rsidR="004725F6" w:rsidRPr="004725F6" w:rsidRDefault="007E6519" w:rsidP="004725F6">
      <w:pPr>
        <w:pStyle w:val="ListParagraph"/>
        <w:numPr>
          <w:ilvl w:val="0"/>
          <w:numId w:val="1"/>
        </w:numPr>
        <w:ind w:hanging="720"/>
      </w:pPr>
      <w:r>
        <w:lastRenderedPageBreak/>
        <w:t xml:space="preserve">Pursuant to </w:t>
      </w:r>
      <w:r w:rsidR="004725F6">
        <w:t>clause 17 of the Facility Agreement, JCS was liable for all costs and expenses of Talos (including legal fees) in relation to the negotiation of the loan transaction and also in respect of the enforcement of, and/or preservation of rights under, the Facility Agreement or associat</w:t>
      </w:r>
      <w:r w:rsidR="006E3C59">
        <w:t>ed</w:t>
      </w:r>
      <w:r w:rsidR="004725F6">
        <w:t xml:space="preserve"> transaction documents. As a result of the operation of this provision, JCS ended up with significant liabilities to Talos over and above its liability for the Deposit Loan.</w:t>
      </w:r>
    </w:p>
    <w:p w14:paraId="6F1E8CD5" w14:textId="77777777" w:rsidR="00156480" w:rsidRPr="00156480" w:rsidRDefault="00156480" w:rsidP="00156480">
      <w:pPr>
        <w:pStyle w:val="ListParagraph"/>
        <w:rPr>
          <w:i/>
        </w:rPr>
      </w:pPr>
    </w:p>
    <w:p w14:paraId="020DB3BB" w14:textId="15DDD259" w:rsidR="007A7CF5" w:rsidRDefault="00CD05AD" w:rsidP="00AA76EA">
      <w:pPr>
        <w:pStyle w:val="ListParagraph"/>
        <w:numPr>
          <w:ilvl w:val="0"/>
          <w:numId w:val="1"/>
        </w:numPr>
        <w:ind w:hanging="720"/>
      </w:pPr>
      <w:r>
        <w:t>A</w:t>
      </w:r>
      <w:r w:rsidR="00156480">
        <w:t xml:space="preserve"> </w:t>
      </w:r>
      <w:r>
        <w:t>l</w:t>
      </w:r>
      <w:r w:rsidR="00156480" w:rsidRPr="005E5B5B">
        <w:t xml:space="preserve">oan </w:t>
      </w:r>
      <w:r>
        <w:t>s</w:t>
      </w:r>
      <w:r w:rsidR="00156480" w:rsidRPr="005E5B5B">
        <w:t xml:space="preserve">ale </w:t>
      </w:r>
      <w:r>
        <w:t>d</w:t>
      </w:r>
      <w:r w:rsidR="00156480" w:rsidRPr="005E5B5B">
        <w:t>eed</w:t>
      </w:r>
      <w:r w:rsidR="00156480">
        <w:t xml:space="preserve"> was executed </w:t>
      </w:r>
      <w:r w:rsidR="007A7CF5">
        <w:t>on 7 April 2014</w:t>
      </w:r>
      <w:r w:rsidR="00A17327">
        <w:t xml:space="preserve"> by IBRC and its Special Liquidators, JCS and Dr Sheehan</w:t>
      </w:r>
      <w:r>
        <w:t xml:space="preserve"> personally as “</w:t>
      </w:r>
      <w:r w:rsidRPr="00CD05AD">
        <w:rPr>
          <w:i/>
        </w:rPr>
        <w:t>Purchase Guarantor</w:t>
      </w:r>
      <w:r>
        <w:t>”</w:t>
      </w:r>
      <w:r w:rsidR="00D804B3">
        <w:t>,</w:t>
      </w:r>
      <w:r w:rsidR="007A7CF5">
        <w:t xml:space="preserve"> </w:t>
      </w:r>
      <w:r>
        <w:t>(“</w:t>
      </w:r>
      <w:r w:rsidRPr="00CD05AD">
        <w:rPr>
          <w:i/>
        </w:rPr>
        <w:t>the Loan Sale Deed</w:t>
      </w:r>
      <w:r>
        <w:t xml:space="preserve">”) </w:t>
      </w:r>
      <w:r w:rsidR="007A7CF5">
        <w:t>and the</w:t>
      </w:r>
      <w:r w:rsidR="006B25A1">
        <w:t xml:space="preserve"> </w:t>
      </w:r>
      <w:r w:rsidR="00C64A5D">
        <w:t>D</w:t>
      </w:r>
      <w:r w:rsidR="007A7CF5">
        <w:t>eposit was paid on the same da</w:t>
      </w:r>
      <w:r w:rsidR="006B25A1">
        <w:t>y</w:t>
      </w:r>
      <w:r w:rsidR="007A7CF5">
        <w:t xml:space="preserve">. </w:t>
      </w:r>
      <w:r w:rsidR="00021F50">
        <w:t xml:space="preserve">The </w:t>
      </w:r>
      <w:r w:rsidR="00BA446E">
        <w:t xml:space="preserve">deposit amount was transferred </w:t>
      </w:r>
      <w:r w:rsidR="007A7CF5">
        <w:t>directly by</w:t>
      </w:r>
      <w:r w:rsidR="00BA446E">
        <w:t xml:space="preserve"> Clifford Chance,</w:t>
      </w:r>
      <w:r w:rsidR="007A7CF5">
        <w:t xml:space="preserve"> </w:t>
      </w:r>
      <w:r w:rsidR="00BA446E">
        <w:t xml:space="preserve">the solicitors acting for </w:t>
      </w:r>
      <w:r w:rsidR="007A7CF5">
        <w:t>Talos</w:t>
      </w:r>
      <w:r w:rsidR="00BA446E">
        <w:t>,</w:t>
      </w:r>
      <w:r w:rsidR="007A7CF5">
        <w:t xml:space="preserve"> to</w:t>
      </w:r>
      <w:r w:rsidR="005141C4">
        <w:t xml:space="preserve"> the Special Liquidators of </w:t>
      </w:r>
      <w:r w:rsidR="007A7CF5">
        <w:t xml:space="preserve">IBRC but </w:t>
      </w:r>
      <w:r w:rsidR="00BA446E">
        <w:t>the payment</w:t>
      </w:r>
      <w:r w:rsidR="007A7CF5">
        <w:t xml:space="preserve"> was clearly made on behalf of JCS, whose </w:t>
      </w:r>
      <w:r w:rsidR="006B25A1">
        <w:t xml:space="preserve">payment </w:t>
      </w:r>
      <w:r w:rsidR="007A7CF5">
        <w:t xml:space="preserve">obligation it was. </w:t>
      </w:r>
      <w:r w:rsidR="00BA446E">
        <w:t xml:space="preserve">The </w:t>
      </w:r>
      <w:r w:rsidR="00BA446E" w:rsidRPr="005E5B5B">
        <w:t>Loan Sale Deed</w:t>
      </w:r>
      <w:r w:rsidR="00BA446E">
        <w:t xml:space="preserve"> </w:t>
      </w:r>
      <w:r w:rsidR="005E5B5B">
        <w:t xml:space="preserve">provided for the sale of the relevant IBRC loans to JCS and </w:t>
      </w:r>
      <w:r w:rsidR="00BA446E">
        <w:t xml:space="preserve">was governed by Irish law. </w:t>
      </w:r>
    </w:p>
    <w:p w14:paraId="62B4B338" w14:textId="77777777" w:rsidR="00156480" w:rsidRPr="00156480" w:rsidRDefault="007A7CF5" w:rsidP="007A7CF5">
      <w:pPr>
        <w:pStyle w:val="ListParagraph"/>
      </w:pPr>
      <w:r>
        <w:t xml:space="preserve">  </w:t>
      </w:r>
    </w:p>
    <w:p w14:paraId="494C6494" w14:textId="123303BD" w:rsidR="00156480" w:rsidRDefault="00BA446E" w:rsidP="00AA76EA">
      <w:pPr>
        <w:pStyle w:val="ListParagraph"/>
        <w:numPr>
          <w:ilvl w:val="0"/>
          <w:numId w:val="1"/>
        </w:numPr>
        <w:ind w:hanging="720"/>
      </w:pPr>
      <w:r>
        <w:t xml:space="preserve">It was at this point that serious </w:t>
      </w:r>
      <w:r w:rsidR="006B25A1">
        <w:t>problems</w:t>
      </w:r>
      <w:r>
        <w:t xml:space="preserve"> arose. </w:t>
      </w:r>
      <w:r w:rsidR="005141C4">
        <w:t xml:space="preserve">In </w:t>
      </w:r>
      <w:r w:rsidR="00C90450">
        <w:t>brief</w:t>
      </w:r>
      <w:r w:rsidR="003019BD">
        <w:t>,</w:t>
      </w:r>
      <w:r w:rsidR="005141C4">
        <w:t xml:space="preserve"> Talos learned that Mr Duffy’s loans with IBRC had </w:t>
      </w:r>
      <w:r w:rsidR="00D804B3">
        <w:t xml:space="preserve">already </w:t>
      </w:r>
      <w:r w:rsidR="005141C4">
        <w:t xml:space="preserve">been redeemed in full prior to the </w:t>
      </w:r>
      <w:r w:rsidR="005141C4" w:rsidRPr="005E5B5B">
        <w:t>Loan Sale Deed</w:t>
      </w:r>
      <w:r w:rsidR="005141C4">
        <w:t xml:space="preserve"> becom</w:t>
      </w:r>
      <w:r w:rsidR="005E5B5B">
        <w:t>ing</w:t>
      </w:r>
      <w:r w:rsidR="005141C4">
        <w:t xml:space="preserve"> operative. </w:t>
      </w:r>
      <w:r w:rsidR="00CD05AD">
        <w:t xml:space="preserve">From </w:t>
      </w:r>
      <w:r w:rsidR="005E5B5B">
        <w:t>Talos</w:t>
      </w:r>
      <w:r w:rsidR="00CD05AD">
        <w:t xml:space="preserve">’ perspective, </w:t>
      </w:r>
      <w:r w:rsidR="005E5B5B">
        <w:t>Mr Duffy’s</w:t>
      </w:r>
      <w:r w:rsidR="005141C4">
        <w:t xml:space="preserve"> participation in the transaction was critical because his shareholding was </w:t>
      </w:r>
      <w:r w:rsidR="00D804B3">
        <w:t>needed</w:t>
      </w:r>
      <w:r w:rsidR="00CD05AD">
        <w:t xml:space="preserve"> </w:t>
      </w:r>
      <w:r w:rsidR="005141C4">
        <w:t xml:space="preserve">to ensure that Talos </w:t>
      </w:r>
      <w:r w:rsidR="006B25A1">
        <w:t>would obtain</w:t>
      </w:r>
      <w:r w:rsidR="005141C4">
        <w:t xml:space="preserve"> security rights over a </w:t>
      </w:r>
      <w:r w:rsidR="006B25A1">
        <w:t>majority of the</w:t>
      </w:r>
      <w:r w:rsidR="005141C4">
        <w:t xml:space="preserve"> share</w:t>
      </w:r>
      <w:r w:rsidR="006B25A1">
        <w:t>s in BHL</w:t>
      </w:r>
      <w:r w:rsidR="00D804B3">
        <w:t xml:space="preserve">, thus giving </w:t>
      </w:r>
      <w:r w:rsidR="005141C4">
        <w:t xml:space="preserve">it control over </w:t>
      </w:r>
      <w:r w:rsidR="00C90450">
        <w:t xml:space="preserve">the payment of </w:t>
      </w:r>
      <w:r w:rsidR="005E5B5B">
        <w:t>dividends (which were intended to fund interest payments</w:t>
      </w:r>
      <w:r w:rsidR="00C90450">
        <w:t xml:space="preserve"> to Talos</w:t>
      </w:r>
      <w:r w:rsidR="005E5B5B">
        <w:t xml:space="preserve">). </w:t>
      </w:r>
      <w:r w:rsidR="00CD05AD">
        <w:t>In that context, i</w:t>
      </w:r>
      <w:r w:rsidR="005E5B5B">
        <w:t xml:space="preserve">t was a </w:t>
      </w:r>
      <w:r w:rsidR="00D804B3">
        <w:t xml:space="preserve">further </w:t>
      </w:r>
      <w:r w:rsidR="005E5B5B">
        <w:t xml:space="preserve">condition of the funding being provided by Talos that Dr Sheehan, Mr Duffy and Mr Flynn and their associated corporate vehicles would enter </w:t>
      </w:r>
      <w:r w:rsidR="005E5B5B">
        <w:lastRenderedPageBreak/>
        <w:t xml:space="preserve">into a </w:t>
      </w:r>
      <w:r w:rsidR="005E5B5B" w:rsidRPr="005E5B5B">
        <w:rPr>
          <w:i/>
        </w:rPr>
        <w:t>Framework Agreement</w:t>
      </w:r>
      <w:r w:rsidR="005E5B5B">
        <w:t xml:space="preserve"> with Talos which would regulate their rights as controlling shareholders, including as </w:t>
      </w:r>
      <w:r w:rsidR="006B25A1">
        <w:t>regards</w:t>
      </w:r>
      <w:r w:rsidR="005E5B5B">
        <w:t xml:space="preserve"> payment of dividends</w:t>
      </w:r>
      <w:r w:rsidR="006B25A1">
        <w:t xml:space="preserve"> by BHL</w:t>
      </w:r>
      <w:r w:rsidR="003019BD">
        <w:t>.</w:t>
      </w:r>
    </w:p>
    <w:p w14:paraId="12BB6E91" w14:textId="77777777" w:rsidR="008C661E" w:rsidRDefault="008C661E" w:rsidP="008C661E">
      <w:pPr>
        <w:pStyle w:val="ListParagraph"/>
      </w:pPr>
    </w:p>
    <w:p w14:paraId="3B8D5A43" w14:textId="4EEDA27F" w:rsidR="008C661E" w:rsidRDefault="008C661E" w:rsidP="00AA76EA">
      <w:pPr>
        <w:pStyle w:val="ListParagraph"/>
        <w:numPr>
          <w:ilvl w:val="0"/>
          <w:numId w:val="1"/>
        </w:numPr>
        <w:ind w:hanging="720"/>
      </w:pPr>
      <w:r>
        <w:t>In Talos’ opinion, the redemption of Mr Duffy’s loans and the failure of Dr Sheehan and JCS to disclose that fact prior to draw down of the Deposit Loan g</w:t>
      </w:r>
      <w:r w:rsidR="006B25A1">
        <w:t>a</w:t>
      </w:r>
      <w:r>
        <w:t xml:space="preserve">ve rise to a number of </w:t>
      </w:r>
      <w:r w:rsidR="006B25A1">
        <w:t xml:space="preserve">material </w:t>
      </w:r>
      <w:r>
        <w:t>breach</w:t>
      </w:r>
      <w:r w:rsidR="00CD05AD">
        <w:t>es of the Facility Agreement, each constitut</w:t>
      </w:r>
      <w:r w:rsidR="006B25A1">
        <w:t>ing</w:t>
      </w:r>
      <w:r w:rsidR="00CD05AD">
        <w:t xml:space="preserve"> an event of default for the purposes of clause 21 of </w:t>
      </w:r>
      <w:r w:rsidR="006A5D9E">
        <w:t>that agreement</w:t>
      </w:r>
      <w:r w:rsidR="006B25A1">
        <w:t>.</w:t>
      </w:r>
      <w:r w:rsidR="00CD05AD">
        <w:t xml:space="preserve"> </w:t>
      </w:r>
      <w:r w:rsidR="006A5D9E">
        <w:t>Consequently</w:t>
      </w:r>
      <w:r w:rsidR="00CD05AD">
        <w:t xml:space="preserve">, on 6 May 2014 Talos issued a notice pursuant to </w:t>
      </w:r>
      <w:r w:rsidR="006A5D9E">
        <w:t>C</w:t>
      </w:r>
      <w:r w:rsidR="00CD05AD">
        <w:t xml:space="preserve">lause 21.18 </w:t>
      </w:r>
      <w:r w:rsidR="006A5D9E">
        <w:t xml:space="preserve">which </w:t>
      </w:r>
      <w:r w:rsidR="00CD05AD">
        <w:t>cancell</w:t>
      </w:r>
      <w:r w:rsidR="006A5D9E">
        <w:t>ed</w:t>
      </w:r>
      <w:r w:rsidR="00CD05AD">
        <w:t xml:space="preserve"> its commitments under the Facility Agreement, </w:t>
      </w:r>
      <w:r w:rsidR="004A6A54">
        <w:t>declar</w:t>
      </w:r>
      <w:r w:rsidR="006A5D9E">
        <w:t>ed</w:t>
      </w:r>
      <w:r w:rsidR="004A6A54">
        <w:t xml:space="preserve"> the Deposit Loan of €2.4 million, and accrued interest of €27,616.44, immediately payable and demand</w:t>
      </w:r>
      <w:r w:rsidR="006A5D9E">
        <w:t>ed</w:t>
      </w:r>
      <w:r w:rsidR="004A6A54">
        <w:t xml:space="preserve"> payment of those amounts. On the same day, Talos demanded payment from Dr Sheehan and Mr Flynn pursuant to the Guarantee. </w:t>
      </w:r>
      <w:r w:rsidR="00D804B3">
        <w:t>A f</w:t>
      </w:r>
      <w:r w:rsidR="004A6A54">
        <w:t xml:space="preserve">urther demand followed </w:t>
      </w:r>
      <w:r w:rsidR="00E03AB0">
        <w:t xml:space="preserve">on 15 May 2014 </w:t>
      </w:r>
      <w:r w:rsidR="004A6A54">
        <w:t xml:space="preserve">for payment of expenses incurred by Talos as lender, </w:t>
      </w:r>
      <w:r w:rsidR="00E03AB0">
        <w:t>namely legal fees payable to Clifford Chance pursuant to an interim invoice</w:t>
      </w:r>
      <w:r w:rsidR="00D804B3">
        <w:t>. This demand was made</w:t>
      </w:r>
      <w:r w:rsidR="00E03AB0">
        <w:t xml:space="preserve"> </w:t>
      </w:r>
      <w:r w:rsidR="004A6A54">
        <w:t xml:space="preserve">on the basis of provisions </w:t>
      </w:r>
      <w:r w:rsidR="0076067A">
        <w:t xml:space="preserve">contained </w:t>
      </w:r>
      <w:r w:rsidR="004A6A54">
        <w:t xml:space="preserve">in </w:t>
      </w:r>
      <w:r w:rsidR="006E3C59">
        <w:t>a</w:t>
      </w:r>
      <w:r w:rsidR="004A6A54">
        <w:t xml:space="preserve"> Term Sheet that had been executed by Dr Sheehan and Mr Flynn in early March 2014</w:t>
      </w:r>
      <w:r w:rsidR="006B25A1">
        <w:t>.</w:t>
      </w:r>
    </w:p>
    <w:p w14:paraId="38CC8EE9" w14:textId="77777777" w:rsidR="000A7238" w:rsidRDefault="000A7238" w:rsidP="000A7238">
      <w:pPr>
        <w:pStyle w:val="ListParagraph"/>
      </w:pPr>
    </w:p>
    <w:p w14:paraId="1A9360EE" w14:textId="1A012760" w:rsidR="000A7238" w:rsidRDefault="000A7238" w:rsidP="00AA76EA">
      <w:pPr>
        <w:pStyle w:val="ListParagraph"/>
        <w:numPr>
          <w:ilvl w:val="0"/>
          <w:numId w:val="1"/>
        </w:numPr>
        <w:ind w:hanging="720"/>
      </w:pPr>
      <w:r>
        <w:t xml:space="preserve">In addition, </w:t>
      </w:r>
      <w:r w:rsidR="00CF5FD0">
        <w:t xml:space="preserve">Talos </w:t>
      </w:r>
      <w:r w:rsidR="006B25A1">
        <w:t xml:space="preserve">exercised its security rights under the Facility Agreement to take </w:t>
      </w:r>
      <w:r w:rsidR="00CF5FD0">
        <w:t xml:space="preserve"> control of JCS.</w:t>
      </w:r>
      <w:r w:rsidR="00CE732F">
        <w:t xml:space="preserve"> While there is a reference in the papers to a Deed of Charge over Shares which was </w:t>
      </w:r>
      <w:r w:rsidR="0024629C">
        <w:t xml:space="preserve">apparently </w:t>
      </w:r>
      <w:r w:rsidR="00CE732F">
        <w:t xml:space="preserve">executed </w:t>
      </w:r>
      <w:r w:rsidR="003019BD">
        <w:t xml:space="preserve">by Medfund over the shares in JCS </w:t>
      </w:r>
      <w:r w:rsidR="00CE732F">
        <w:t>on 19 March 2014, that Deed does not appear to be in the papers furnished to this Court. In any event, n</w:t>
      </w:r>
      <w:r w:rsidR="00396DAF">
        <w:t xml:space="preserve">o issue </w:t>
      </w:r>
      <w:r w:rsidR="003019BD">
        <w:t>a</w:t>
      </w:r>
      <w:r w:rsidR="00396DAF">
        <w:t>r</w:t>
      </w:r>
      <w:r w:rsidR="003019BD">
        <w:t>ises</w:t>
      </w:r>
      <w:r w:rsidR="00396DAF">
        <w:t xml:space="preserve"> </w:t>
      </w:r>
      <w:r w:rsidR="006A5D9E">
        <w:t xml:space="preserve">in the appeal </w:t>
      </w:r>
      <w:r w:rsidR="00396DAF">
        <w:t xml:space="preserve">as to </w:t>
      </w:r>
      <w:r w:rsidR="00CE732F">
        <w:t>Talos’</w:t>
      </w:r>
      <w:r w:rsidR="00396DAF">
        <w:t xml:space="preserve"> entitlement to </w:t>
      </w:r>
      <w:r w:rsidR="00CE732F">
        <w:t>take th</w:t>
      </w:r>
      <w:r w:rsidR="00D804B3">
        <w:t>at</w:t>
      </w:r>
      <w:r w:rsidR="00CE732F">
        <w:t xml:space="preserve"> step.</w:t>
      </w:r>
    </w:p>
    <w:p w14:paraId="22FA4D99" w14:textId="77777777" w:rsidR="004A6A54" w:rsidRDefault="004A6A54" w:rsidP="004A6A54">
      <w:pPr>
        <w:pStyle w:val="ListParagraph"/>
      </w:pPr>
    </w:p>
    <w:p w14:paraId="777FB6D4" w14:textId="09B9987D" w:rsidR="004A6A54" w:rsidRDefault="006B25A1" w:rsidP="00AA76EA">
      <w:pPr>
        <w:pStyle w:val="ListParagraph"/>
        <w:numPr>
          <w:ilvl w:val="0"/>
          <w:numId w:val="1"/>
        </w:numPr>
        <w:ind w:hanging="720"/>
      </w:pPr>
      <w:r>
        <w:t>Difficulties</w:t>
      </w:r>
      <w:r w:rsidR="00CE732F">
        <w:t xml:space="preserve"> also arose </w:t>
      </w:r>
      <w:r w:rsidR="004A6A54">
        <w:t>in relation to the Loan</w:t>
      </w:r>
      <w:r w:rsidR="000A7238">
        <w:t xml:space="preserve"> Sale</w:t>
      </w:r>
      <w:r w:rsidR="004A6A54">
        <w:t xml:space="preserve"> Deed. On 21 May 2014 IBRC served a completion notice. </w:t>
      </w:r>
      <w:r w:rsidR="006A5D9E">
        <w:t xml:space="preserve">In the absence of funding from Talos, </w:t>
      </w:r>
      <w:r w:rsidR="004A6A54">
        <w:t xml:space="preserve">JCS was not in a position to </w:t>
      </w:r>
      <w:r w:rsidR="004A6A54">
        <w:lastRenderedPageBreak/>
        <w:t xml:space="preserve">complete and </w:t>
      </w:r>
      <w:r w:rsidR="000A7238">
        <w:t xml:space="preserve">on 26 June 2014 IBRC served a termination notice and </w:t>
      </w:r>
      <w:r w:rsidR="0024629C">
        <w:t xml:space="preserve">it </w:t>
      </w:r>
      <w:r w:rsidR="000A7238">
        <w:t xml:space="preserve">subsequently forfeited the </w:t>
      </w:r>
      <w:r>
        <w:t xml:space="preserve">€2.4 million </w:t>
      </w:r>
      <w:r w:rsidR="00C64A5D">
        <w:t>D</w:t>
      </w:r>
      <w:r w:rsidR="000A7238">
        <w:t>eposit</w:t>
      </w:r>
      <w:r>
        <w:t>.</w:t>
      </w:r>
    </w:p>
    <w:p w14:paraId="7995D175" w14:textId="77777777" w:rsidR="000A7238" w:rsidRDefault="000A7238" w:rsidP="000A7238">
      <w:pPr>
        <w:pStyle w:val="ListParagraph"/>
      </w:pPr>
    </w:p>
    <w:p w14:paraId="03916BD2" w14:textId="10F127AF" w:rsidR="000A7238" w:rsidRDefault="00CF5FD0" w:rsidP="00AA76EA">
      <w:pPr>
        <w:pStyle w:val="ListParagraph"/>
        <w:numPr>
          <w:ilvl w:val="0"/>
          <w:numId w:val="1"/>
        </w:numPr>
        <w:ind w:hanging="720"/>
      </w:pPr>
      <w:r>
        <w:t xml:space="preserve">Talos </w:t>
      </w:r>
      <w:r w:rsidR="00D804B3">
        <w:t xml:space="preserve">then </w:t>
      </w:r>
      <w:r>
        <w:t>sued Dr Sheehan</w:t>
      </w:r>
      <w:r w:rsidR="00087468">
        <w:t xml:space="preserve"> (and Mr Flynn)</w:t>
      </w:r>
      <w:r>
        <w:t xml:space="preserve"> </w:t>
      </w:r>
      <w:r w:rsidR="00396DAF">
        <w:t xml:space="preserve">in this jurisdiction </w:t>
      </w:r>
      <w:r>
        <w:t>on foot of the Guarantee. The claim was</w:t>
      </w:r>
      <w:r w:rsidR="001D5EC1">
        <w:t xml:space="preserve"> </w:t>
      </w:r>
      <w:r>
        <w:t xml:space="preserve">opposed but </w:t>
      </w:r>
      <w:r w:rsidR="00396DAF">
        <w:t xml:space="preserve">on 23 January 2015 </w:t>
      </w:r>
      <w:r>
        <w:t xml:space="preserve">the High Court (Ryan J) gave </w:t>
      </w:r>
      <w:r w:rsidR="001D5EC1">
        <w:t xml:space="preserve">judgment upholding Talos’ entitlement to summary judgment ([2015] IEHC 27) and on 30 January 2015 </w:t>
      </w:r>
      <w:r>
        <w:t xml:space="preserve">judgment </w:t>
      </w:r>
      <w:r w:rsidR="001D5EC1">
        <w:t xml:space="preserve">was </w:t>
      </w:r>
      <w:r w:rsidR="006B25A1">
        <w:t>formally ordered</w:t>
      </w:r>
      <w:r w:rsidR="001D5EC1">
        <w:t xml:space="preserve"> </w:t>
      </w:r>
      <w:r>
        <w:t>in favour of Talos in the sum of €2</w:t>
      </w:r>
      <w:r w:rsidR="001D5EC1">
        <w:t>,788,671.53 (€2,400,00</w:t>
      </w:r>
      <w:r w:rsidR="006B188C">
        <w:t>0</w:t>
      </w:r>
      <w:r w:rsidR="001D5EC1">
        <w:t xml:space="preserve"> plus interest of €388,671.53), subject to a </w:t>
      </w:r>
      <w:r>
        <w:t>stay of 6 months</w:t>
      </w:r>
      <w:r w:rsidR="00396DAF">
        <w:t xml:space="preserve">. </w:t>
      </w:r>
      <w:r w:rsidR="001D5EC1">
        <w:t>Dr Sheehan appealed to this Court but on</w:t>
      </w:r>
      <w:r w:rsidR="00396DAF">
        <w:t xml:space="preserve"> 27 July 2015</w:t>
      </w:r>
      <w:r w:rsidR="00D804B3">
        <w:t>,</w:t>
      </w:r>
      <w:r w:rsidR="006A5D9E">
        <w:t xml:space="preserve"> </w:t>
      </w:r>
      <w:r w:rsidR="00A95E39">
        <w:t xml:space="preserve">the day </w:t>
      </w:r>
      <w:r w:rsidR="00D804B3">
        <w:t xml:space="preserve">on which the appeal </w:t>
      </w:r>
      <w:r w:rsidR="001D5EC1">
        <w:t>was listed for hearing</w:t>
      </w:r>
      <w:r w:rsidR="00D804B3">
        <w:t xml:space="preserve">, it </w:t>
      </w:r>
      <w:r w:rsidR="001D5EC1">
        <w:t>was withdrawn</w:t>
      </w:r>
      <w:r w:rsidR="00A95E39">
        <w:t xml:space="preserve">. As a result, costs were awarded against Dr Sheehan </w:t>
      </w:r>
      <w:r w:rsidR="00396DAF">
        <w:t xml:space="preserve">and </w:t>
      </w:r>
      <w:r w:rsidR="001D5EC1">
        <w:t xml:space="preserve">the stay </w:t>
      </w:r>
      <w:r w:rsidR="00A95E39">
        <w:t xml:space="preserve">on the High Court judgment </w:t>
      </w:r>
      <w:r w:rsidR="001D5EC1">
        <w:t>was lifted</w:t>
      </w:r>
      <w:r w:rsidR="00A95E39">
        <w:t xml:space="preserve"> with immediate effect</w:t>
      </w:r>
      <w:r w:rsidR="001D5EC1">
        <w:t xml:space="preserve">. </w:t>
      </w:r>
    </w:p>
    <w:p w14:paraId="7CE20391" w14:textId="77777777" w:rsidR="00E66C30" w:rsidRDefault="00E66C30" w:rsidP="00E66C30">
      <w:pPr>
        <w:pStyle w:val="ListParagraph"/>
      </w:pPr>
    </w:p>
    <w:p w14:paraId="05AFDF4B" w14:textId="1356C8B5" w:rsidR="00E66C30" w:rsidRDefault="00E66C30" w:rsidP="00AA76EA">
      <w:pPr>
        <w:pStyle w:val="ListParagraph"/>
        <w:numPr>
          <w:ilvl w:val="0"/>
          <w:numId w:val="1"/>
        </w:numPr>
        <w:ind w:hanging="720"/>
      </w:pPr>
      <w:r>
        <w:t>On foot of this judgment, Talos obtained charging orders over Dr Sheehan’s shares in BHL and a related entity</w:t>
      </w:r>
      <w:r w:rsidR="006B188C">
        <w:t>,</w:t>
      </w:r>
      <w:r>
        <w:t xml:space="preserve"> Blackrock Medical Partners Limited.</w:t>
      </w:r>
    </w:p>
    <w:p w14:paraId="4715FF69" w14:textId="77777777" w:rsidR="00396DAF" w:rsidRDefault="00396DAF" w:rsidP="00396DAF">
      <w:pPr>
        <w:pStyle w:val="ListParagraph"/>
      </w:pPr>
    </w:p>
    <w:p w14:paraId="31F43DB5" w14:textId="2FB5E5F3" w:rsidR="00396DAF" w:rsidRDefault="00396DAF" w:rsidP="00AA76EA">
      <w:pPr>
        <w:pStyle w:val="ListParagraph"/>
        <w:numPr>
          <w:ilvl w:val="0"/>
          <w:numId w:val="1"/>
        </w:numPr>
        <w:ind w:hanging="720"/>
      </w:pPr>
      <w:r>
        <w:t>There was further litigation outside of this jurisdiction</w:t>
      </w:r>
      <w:r w:rsidR="001D5EC1">
        <w:t xml:space="preserve"> also</w:t>
      </w:r>
      <w:r>
        <w:t xml:space="preserve">. On 8 May 2014 (that is to say, just a few days after the demands made by Talos on 6 May 2014) Dr Sheehan was one </w:t>
      </w:r>
      <w:r w:rsidR="006B188C">
        <w:t xml:space="preserve">of </w:t>
      </w:r>
      <w:r>
        <w:t xml:space="preserve">a number of </w:t>
      </w:r>
      <w:r w:rsidR="00A67002">
        <w:t xml:space="preserve">parties </w:t>
      </w:r>
      <w:r w:rsidR="00087468">
        <w:t>that issued</w:t>
      </w:r>
      <w:r w:rsidR="00A67002">
        <w:t xml:space="preserve"> proceedings against Talos and others in New York alleging that Talos had acted in breach of the Facility Agreement and that the defendants had </w:t>
      </w:r>
      <w:r w:rsidR="00D804B3">
        <w:t>(mis)</w:t>
      </w:r>
      <w:r w:rsidR="00A67002">
        <w:t xml:space="preserve">used the Facility Agreement to take over control of BHL. In June 2014, </w:t>
      </w:r>
      <w:r w:rsidR="00D804B3">
        <w:t>at the suit of Talos</w:t>
      </w:r>
      <w:r w:rsidR="006B188C">
        <w:t>,</w:t>
      </w:r>
      <w:r w:rsidR="00D804B3">
        <w:t xml:space="preserve"> </w:t>
      </w:r>
      <w:r w:rsidR="00A67002">
        <w:t xml:space="preserve">an anti-suit injunction was granted on an interim basis by Blair J in the High Court of England and Wales </w:t>
      </w:r>
      <w:r w:rsidR="00C4170B">
        <w:t>p</w:t>
      </w:r>
      <w:r w:rsidR="00A67002">
        <w:t>rohi</w:t>
      </w:r>
      <w:r w:rsidR="00C4170B">
        <w:t xml:space="preserve">biting the further prosecution of the New York proceedings. Talos’ </w:t>
      </w:r>
      <w:r w:rsidR="00AD2301">
        <w:t xml:space="preserve">proceedings </w:t>
      </w:r>
      <w:r w:rsidR="00C4170B">
        <w:t xml:space="preserve">subsequently </w:t>
      </w:r>
      <w:r w:rsidR="00AD2301">
        <w:t>came before the High Court (</w:t>
      </w:r>
      <w:r w:rsidR="00A67002">
        <w:t xml:space="preserve">Flaux </w:t>
      </w:r>
      <w:r w:rsidR="00AD2301">
        <w:t xml:space="preserve">J) </w:t>
      </w:r>
      <w:r w:rsidR="00E03AB0">
        <w:t>on 21 November 20</w:t>
      </w:r>
      <w:r w:rsidR="0022683E">
        <w:t>1</w:t>
      </w:r>
      <w:r w:rsidR="00E03AB0">
        <w:t>4</w:t>
      </w:r>
      <w:r w:rsidR="00AD2301">
        <w:t xml:space="preserve"> when (</w:t>
      </w:r>
      <w:r w:rsidR="00AD2301" w:rsidRPr="00AD2301">
        <w:rPr>
          <w:i/>
        </w:rPr>
        <w:t>inter alia</w:t>
      </w:r>
      <w:r w:rsidR="00AD2301">
        <w:t xml:space="preserve">) </w:t>
      </w:r>
      <w:r w:rsidR="00E03AB0">
        <w:t xml:space="preserve">he made an order </w:t>
      </w:r>
      <w:r w:rsidR="00C4170B">
        <w:t xml:space="preserve">for </w:t>
      </w:r>
      <w:r w:rsidR="00E03AB0">
        <w:t xml:space="preserve">costs </w:t>
      </w:r>
      <w:r w:rsidR="00E03AB0">
        <w:lastRenderedPageBreak/>
        <w:t>against Dr Sheehan</w:t>
      </w:r>
      <w:r w:rsidR="00B715D3">
        <w:t xml:space="preserve"> (and JCS)</w:t>
      </w:r>
      <w:r w:rsidR="00E03AB0">
        <w:t xml:space="preserve">, and also made an order directing payment by him </w:t>
      </w:r>
      <w:r w:rsidR="00C4170B">
        <w:t xml:space="preserve">(and by Mr Flynn) </w:t>
      </w:r>
      <w:r w:rsidR="00E03AB0">
        <w:t>of €284,867.86 (plus interest</w:t>
      </w:r>
      <w:r w:rsidR="0022683E">
        <w:t xml:space="preserve"> of €2,622.35</w:t>
      </w:r>
      <w:r w:rsidR="00E03AB0">
        <w:t>) within 14 days. That sum represented the interim Clifford Chance invoice amount payment of which had been demanded by Talos on 15 May 2014 in reliance on the terms of the Term Sheet.</w:t>
      </w:r>
      <w:r w:rsidR="00AD2301">
        <w:t xml:space="preserve"> Other orders were made by Flaux J declaratory of the position of Talos under the Facility Agreement. </w:t>
      </w:r>
      <w:r w:rsidR="00E03AB0">
        <w:t>Flaux J’s judgment of 21</w:t>
      </w:r>
      <w:r w:rsidR="006B188C">
        <w:t xml:space="preserve"> </w:t>
      </w:r>
      <w:r w:rsidR="00E03AB0">
        <w:t xml:space="preserve">November 2014 </w:t>
      </w:r>
      <w:r w:rsidR="00AD2301">
        <w:t xml:space="preserve">– to which extensive reference is made in the Judge’s Judgment here – is very critical of the New York proceedings and of </w:t>
      </w:r>
      <w:r w:rsidR="00BE7B2F">
        <w:t xml:space="preserve">the conduct of </w:t>
      </w:r>
      <w:r w:rsidR="00AD2301">
        <w:t>Dr Sheehan</w:t>
      </w:r>
      <w:r w:rsidR="00BE7B2F">
        <w:t xml:space="preserve"> and his New York attorney, Mr O’Neill,</w:t>
      </w:r>
      <w:r w:rsidR="00AD2301">
        <w:t xml:space="preserve"> in </w:t>
      </w:r>
      <w:r w:rsidR="00D804B3">
        <w:t>relation</w:t>
      </w:r>
      <w:r w:rsidR="006A5D9E">
        <w:t xml:space="preserve"> </w:t>
      </w:r>
      <w:r w:rsidR="00D804B3">
        <w:t>to</w:t>
      </w:r>
      <w:r w:rsidR="00AD2301">
        <w:t xml:space="preserve"> those proceedings.</w:t>
      </w:r>
    </w:p>
    <w:p w14:paraId="01F00513" w14:textId="77777777" w:rsidR="00AD2301" w:rsidRDefault="00AD2301" w:rsidP="00AD2301">
      <w:pPr>
        <w:pStyle w:val="ListParagraph"/>
      </w:pPr>
    </w:p>
    <w:p w14:paraId="6FFF65D8" w14:textId="304F9337" w:rsidR="00AD2301" w:rsidRDefault="001F1D85" w:rsidP="00AA76EA">
      <w:pPr>
        <w:pStyle w:val="ListParagraph"/>
        <w:numPr>
          <w:ilvl w:val="0"/>
          <w:numId w:val="1"/>
        </w:numPr>
        <w:ind w:hanging="720"/>
      </w:pPr>
      <w:r>
        <w:t xml:space="preserve">The costs order made against Dr Sheehan resulted in </w:t>
      </w:r>
      <w:r w:rsidR="001D5EC1">
        <w:t>the issu</w:t>
      </w:r>
      <w:r w:rsidR="00C4170B">
        <w:t>ing</w:t>
      </w:r>
      <w:r w:rsidR="001D5EC1">
        <w:t xml:space="preserve"> of two Default Costs Certificates (“</w:t>
      </w:r>
      <w:r w:rsidR="001D5EC1" w:rsidRPr="001D5EC1">
        <w:rPr>
          <w:i/>
        </w:rPr>
        <w:t>the Costs Cer</w:t>
      </w:r>
      <w:r w:rsidR="001D5EC1">
        <w:rPr>
          <w:i/>
        </w:rPr>
        <w:t>t</w:t>
      </w:r>
      <w:r w:rsidR="001D5EC1" w:rsidRPr="001D5EC1">
        <w:rPr>
          <w:i/>
        </w:rPr>
        <w:t>ificates”)</w:t>
      </w:r>
      <w:r w:rsidR="001D5EC1">
        <w:t xml:space="preserve"> on 10 July 2015 in amounts of</w:t>
      </w:r>
      <w:r w:rsidR="00675691">
        <w:t xml:space="preserve"> </w:t>
      </w:r>
      <w:r w:rsidR="001D5EC1">
        <w:t>STG£436,285.74 and STG£184,722.04 (totalling STG£621,007.78)</w:t>
      </w:r>
      <w:r w:rsidR="00D804B3">
        <w:t xml:space="preserve"> respectively.</w:t>
      </w:r>
      <w:r w:rsidR="001D5EC1">
        <w:t xml:space="preserve"> </w:t>
      </w:r>
      <w:r w:rsidR="00087468">
        <w:t>Costs c</w:t>
      </w:r>
      <w:r w:rsidR="00BE7B2F">
        <w:t xml:space="preserve">ertificates </w:t>
      </w:r>
      <w:r w:rsidR="00087468">
        <w:t>also i</w:t>
      </w:r>
      <w:r w:rsidR="00BE7B2F">
        <w:t>ssued in relation to JCS.</w:t>
      </w:r>
    </w:p>
    <w:p w14:paraId="33F2F54D" w14:textId="77777777" w:rsidR="00A95E39" w:rsidRDefault="00A95E39" w:rsidP="00A95E39">
      <w:pPr>
        <w:pStyle w:val="ListParagraph"/>
      </w:pPr>
    </w:p>
    <w:p w14:paraId="0232B5B5" w14:textId="3B5A9BB4" w:rsidR="00BE7B2F" w:rsidRDefault="00A95E39" w:rsidP="00836056">
      <w:pPr>
        <w:pStyle w:val="ListParagraph"/>
        <w:numPr>
          <w:ilvl w:val="0"/>
          <w:numId w:val="1"/>
        </w:numPr>
        <w:ind w:hanging="720"/>
      </w:pPr>
      <w:r>
        <w:t xml:space="preserve">Pausing here, it will be apparent that, as of the end of July 2015, Dr Sheehan had significant liabilities to Talos.  There was an enforceable High Court Judgment against him in the amount </w:t>
      </w:r>
      <w:r w:rsidR="00C4170B">
        <w:t xml:space="preserve">of </w:t>
      </w:r>
      <w:r>
        <w:t>€2,788,671.53 on foot of the Guarantee</w:t>
      </w:r>
      <w:r w:rsidR="006A5D9E">
        <w:t>. Dr Sheehan</w:t>
      </w:r>
      <w:r>
        <w:t xml:space="preserve"> was also liable for the costs of the guarantee proceedings in the High Court and </w:t>
      </w:r>
      <w:r w:rsidR="00C4170B">
        <w:t>in this Court</w:t>
      </w:r>
      <w:r w:rsidR="00D804B3">
        <w:t xml:space="preserve">. Those costs </w:t>
      </w:r>
      <w:r w:rsidR="006A5D9E">
        <w:t xml:space="preserve">were at that stage unquantified. </w:t>
      </w:r>
      <w:r w:rsidR="0022683E">
        <w:t>In addition, he</w:t>
      </w:r>
      <w:r>
        <w:t xml:space="preserve"> </w:t>
      </w:r>
      <w:r w:rsidR="00D804B3">
        <w:t xml:space="preserve">was </w:t>
      </w:r>
      <w:r>
        <w:t>also liable for €28</w:t>
      </w:r>
      <w:r w:rsidR="0022683E">
        <w:t>7,490.21</w:t>
      </w:r>
      <w:r>
        <w:t xml:space="preserve"> on foot of the Order made by Flaux J </w:t>
      </w:r>
      <w:r w:rsidR="0022683E">
        <w:t>in November 2014 (which had been ordered to be paid by 5 December 2014 but whic</w:t>
      </w:r>
      <w:r w:rsidR="006A5D9E">
        <w:t>h in fact</w:t>
      </w:r>
      <w:r w:rsidR="0022683E">
        <w:t xml:space="preserve"> </w:t>
      </w:r>
      <w:r w:rsidR="006A5D9E">
        <w:t>was</w:t>
      </w:r>
      <w:r w:rsidR="0022683E">
        <w:t xml:space="preserve"> unpaid</w:t>
      </w:r>
      <w:r w:rsidR="006A5D9E">
        <w:t xml:space="preserve"> as of July 2015</w:t>
      </w:r>
      <w:r w:rsidR="0022683E">
        <w:t xml:space="preserve">). </w:t>
      </w:r>
      <w:r>
        <w:t xml:space="preserve"> Finally, he was also liable under the Costs Certificates for STG£621,007.78 which at the time converted into €842,387.49. These quantified elements amounted to </w:t>
      </w:r>
      <w:r>
        <w:lastRenderedPageBreak/>
        <w:t>€3,91</w:t>
      </w:r>
      <w:r w:rsidR="0022683E">
        <w:t>8</w:t>
      </w:r>
      <w:r>
        <w:t>,</w:t>
      </w:r>
      <w:r w:rsidR="0022683E">
        <w:t>549.23</w:t>
      </w:r>
      <w:r>
        <w:t xml:space="preserve">. </w:t>
      </w:r>
      <w:r w:rsidR="0022683E">
        <w:t xml:space="preserve">Allowing for the costs of the guarantee proceedings and accruing interest, it </w:t>
      </w:r>
      <w:r w:rsidR="006A5D9E">
        <w:t xml:space="preserve">seems clear </w:t>
      </w:r>
      <w:r w:rsidR="0022683E">
        <w:t xml:space="preserve">that Dr Sheehan’s liabilities to Talos as at the end of July 2015 </w:t>
      </w:r>
      <w:r w:rsidR="00D804B3">
        <w:t>exceeded</w:t>
      </w:r>
      <w:r w:rsidR="0022683E">
        <w:t xml:space="preserve"> €4 million. These were, I emphasise, liabilities of Dr Sheehan </w:t>
      </w:r>
      <w:r w:rsidR="0022683E" w:rsidRPr="0076067A">
        <w:rPr>
          <w:i/>
        </w:rPr>
        <w:t>personally</w:t>
      </w:r>
      <w:r w:rsidR="0076067A">
        <w:t>.</w:t>
      </w:r>
    </w:p>
    <w:p w14:paraId="1E141665" w14:textId="77777777" w:rsidR="0076067A" w:rsidRDefault="0076067A" w:rsidP="0076067A">
      <w:pPr>
        <w:pStyle w:val="ListParagraph"/>
      </w:pPr>
    </w:p>
    <w:p w14:paraId="6E719F04" w14:textId="77777777" w:rsidR="00BE7B2F" w:rsidRDefault="00BE7B2F" w:rsidP="0022683E">
      <w:pPr>
        <w:pStyle w:val="ListParagraph"/>
        <w:numPr>
          <w:ilvl w:val="0"/>
          <w:numId w:val="1"/>
        </w:numPr>
        <w:ind w:hanging="720"/>
      </w:pPr>
      <w:r>
        <w:t xml:space="preserve">As we shall see, JCS also had significant liabilities to Talos. </w:t>
      </w:r>
    </w:p>
    <w:p w14:paraId="17EE5A7D" w14:textId="77777777" w:rsidR="00156AD9" w:rsidRDefault="00156AD9" w:rsidP="00156AD9">
      <w:pPr>
        <w:pStyle w:val="ListParagraph"/>
      </w:pPr>
    </w:p>
    <w:p w14:paraId="2E122588" w14:textId="47D96BDC" w:rsidR="0022683E" w:rsidRDefault="00CE732F" w:rsidP="00AA76EA">
      <w:pPr>
        <w:pStyle w:val="ListParagraph"/>
        <w:numPr>
          <w:ilvl w:val="0"/>
          <w:numId w:val="1"/>
        </w:numPr>
        <w:ind w:hanging="720"/>
      </w:pPr>
      <w:r>
        <w:t xml:space="preserve">Meanwhile, the issue of the forfeited </w:t>
      </w:r>
      <w:r w:rsidR="00C64A5D">
        <w:t>D</w:t>
      </w:r>
      <w:r>
        <w:t xml:space="preserve">eposit </w:t>
      </w:r>
      <w:r w:rsidR="00584ACC">
        <w:t>was no</w:t>
      </w:r>
      <w:r w:rsidR="006A5D9E">
        <w:t>t</w:t>
      </w:r>
      <w:r w:rsidR="00584ACC">
        <w:t xml:space="preserve"> settled</w:t>
      </w:r>
      <w:r>
        <w:t>.</w:t>
      </w:r>
      <w:r w:rsidR="004456D1">
        <w:t xml:space="preserve"> As early as 14 May 2014 (before ever the </w:t>
      </w:r>
      <w:r w:rsidR="00C64A5D">
        <w:t>D</w:t>
      </w:r>
      <w:r w:rsidR="004456D1">
        <w:t xml:space="preserve">eposit was forfeited) Clifford Chance </w:t>
      </w:r>
      <w:r w:rsidR="00BE7B2F">
        <w:t xml:space="preserve">(on behalf of Talos) </w:t>
      </w:r>
      <w:r w:rsidR="004456D1">
        <w:t>had written to the Special Liquidators</w:t>
      </w:r>
      <w:r w:rsidR="0099044D">
        <w:t xml:space="preserve"> </w:t>
      </w:r>
      <w:r w:rsidR="004F7389">
        <w:t>asserting</w:t>
      </w:r>
      <w:r w:rsidR="004456D1">
        <w:t xml:space="preserve"> that the</w:t>
      </w:r>
      <w:r w:rsidR="005F23A7">
        <w:t>y</w:t>
      </w:r>
      <w:r w:rsidR="004456D1">
        <w:t xml:space="preserve"> had been guilty of misrepresentation on the basis that, though they had been aware of the redemption of the Duffy loans in advance of the drawdown of the </w:t>
      </w:r>
      <w:r w:rsidR="008D4D9E">
        <w:t>D</w:t>
      </w:r>
      <w:r w:rsidR="004456D1">
        <w:t xml:space="preserve">eposit, and knew of the importance to Talos of Mr Duffy’s participation in the transaction, they had failed to disclose the redemption to Talos. </w:t>
      </w:r>
      <w:r w:rsidR="005F23A7">
        <w:t>In these circumstances</w:t>
      </w:r>
      <w:r w:rsidR="00B44E87">
        <w:t xml:space="preserve"> (so</w:t>
      </w:r>
      <w:r w:rsidR="005F23A7">
        <w:t xml:space="preserve"> </w:t>
      </w:r>
      <w:r w:rsidR="004456D1">
        <w:t xml:space="preserve">Clifford Chance </w:t>
      </w:r>
      <w:r w:rsidR="004F7389">
        <w:t>said</w:t>
      </w:r>
      <w:r w:rsidR="00B44E87">
        <w:t>)</w:t>
      </w:r>
      <w:r w:rsidR="005F23A7">
        <w:t xml:space="preserve"> the Special Liquidators were obliged to repay the </w:t>
      </w:r>
      <w:r w:rsidR="008D4D9E">
        <w:t>D</w:t>
      </w:r>
      <w:r w:rsidR="005F23A7">
        <w:t xml:space="preserve">eposit </w:t>
      </w:r>
      <w:r w:rsidR="005F23A7" w:rsidRPr="00584ACC">
        <w:rPr>
          <w:u w:val="single"/>
        </w:rPr>
        <w:t>to Talos</w:t>
      </w:r>
      <w:r w:rsidR="005F23A7">
        <w:t xml:space="preserve">. That claim was firmly rebuffed by the Special Liquidators. Talos sought advice on its prospects of successfully suing for the recovery of the </w:t>
      </w:r>
      <w:r w:rsidR="008D4D9E">
        <w:t>D</w:t>
      </w:r>
      <w:r w:rsidR="005F23A7">
        <w:t xml:space="preserve">eposit and was advised that an action for recovery of the </w:t>
      </w:r>
      <w:r w:rsidR="008D4D9E">
        <w:t>D</w:t>
      </w:r>
      <w:r w:rsidR="005F23A7">
        <w:t>eposit would not be successful.</w:t>
      </w:r>
    </w:p>
    <w:p w14:paraId="0936AE1F" w14:textId="77777777" w:rsidR="005F23A7" w:rsidRDefault="005F23A7" w:rsidP="005F23A7">
      <w:pPr>
        <w:pStyle w:val="ListParagraph"/>
      </w:pPr>
    </w:p>
    <w:p w14:paraId="11C29B54" w14:textId="1ED73258" w:rsidR="005F23A7" w:rsidRDefault="005F23A7" w:rsidP="00AA76EA">
      <w:pPr>
        <w:pStyle w:val="ListParagraph"/>
        <w:numPr>
          <w:ilvl w:val="0"/>
          <w:numId w:val="1"/>
        </w:numPr>
        <w:ind w:hanging="720"/>
      </w:pPr>
      <w:r>
        <w:t xml:space="preserve">Nonetheless, Talos resolved to make a further approach to the Special Liquidators </w:t>
      </w:r>
      <w:r w:rsidR="002E4B15">
        <w:t xml:space="preserve">and on 23 December 2014 a further letter was sent in which Talos set out at some length its dissatisfaction with the conduct of the Special Liquidators and asserted once more that the </w:t>
      </w:r>
      <w:r w:rsidR="008D4D9E">
        <w:t>D</w:t>
      </w:r>
      <w:r w:rsidR="002E4B15">
        <w:t xml:space="preserve">eposit was being wrongfully withheld by them and ought to be repaid immediately to Talos.  After some further engagement, a meeting took place in Dublin on 14 January 2015 at which the Special Liquidators made a </w:t>
      </w:r>
      <w:r w:rsidR="002E4B15" w:rsidRPr="002E4B15">
        <w:rPr>
          <w:i/>
        </w:rPr>
        <w:t>without prejudice</w:t>
      </w:r>
      <w:r w:rsidR="002E4B15">
        <w:t xml:space="preserve"> offer to repay €1.7 </w:t>
      </w:r>
      <w:r w:rsidR="002E4B15">
        <w:lastRenderedPageBreak/>
        <w:t xml:space="preserve">million of the </w:t>
      </w:r>
      <w:r w:rsidR="008D4D9E">
        <w:t>D</w:t>
      </w:r>
      <w:r w:rsidR="002E4B15">
        <w:t>eposit. The deduction of €700,000 was explained by reference to the fees and expenses that had been incurred by them in relation to the aborted loan sale to JCS and in the subsequent sale of those loans to a third party.</w:t>
      </w:r>
    </w:p>
    <w:p w14:paraId="71CDA49A" w14:textId="77777777" w:rsidR="00BE7B2F" w:rsidRDefault="00BE7B2F" w:rsidP="00BE7B2F">
      <w:pPr>
        <w:pStyle w:val="ListParagraph"/>
      </w:pPr>
    </w:p>
    <w:p w14:paraId="7930A5E6" w14:textId="0D237340" w:rsidR="00212C88" w:rsidRDefault="002E4B15" w:rsidP="00863627">
      <w:pPr>
        <w:pStyle w:val="ListParagraph"/>
        <w:numPr>
          <w:ilvl w:val="0"/>
          <w:numId w:val="1"/>
        </w:numPr>
        <w:ind w:hanging="720"/>
      </w:pPr>
      <w:r>
        <w:t xml:space="preserve">By the end of January 2015, </w:t>
      </w:r>
      <w:r w:rsidR="007913C9">
        <w:t xml:space="preserve">the Special Liquidators and Talos had reached a </w:t>
      </w:r>
      <w:r w:rsidR="007913C9" w:rsidRPr="007913C9">
        <w:rPr>
          <w:i/>
        </w:rPr>
        <w:t>without</w:t>
      </w:r>
      <w:r w:rsidR="007913C9">
        <w:t xml:space="preserve"> </w:t>
      </w:r>
      <w:r w:rsidR="007913C9" w:rsidRPr="007913C9">
        <w:rPr>
          <w:i/>
        </w:rPr>
        <w:t>prejudice</w:t>
      </w:r>
      <w:r w:rsidR="007913C9">
        <w:t xml:space="preserve"> agreement on this basis, subject to the execution of the necessary legal documentation. </w:t>
      </w:r>
      <w:r w:rsidR="00BE7B2F">
        <w:t xml:space="preserve">At around the same time, the Special Liquidators were advised that any settlement would have to involve JCS as </w:t>
      </w:r>
      <w:r w:rsidR="00863627" w:rsidRPr="00863627">
        <w:rPr>
          <w:i/>
        </w:rPr>
        <w:t>“the purchaser company</w:t>
      </w:r>
      <w:r w:rsidR="00863627">
        <w:t xml:space="preserve">” and </w:t>
      </w:r>
      <w:r w:rsidR="00B44E87">
        <w:t xml:space="preserve">should </w:t>
      </w:r>
      <w:r w:rsidR="00863627">
        <w:t>provide that any monies be paid “</w:t>
      </w:r>
      <w:r w:rsidR="00863627" w:rsidRPr="00863627">
        <w:rPr>
          <w:i/>
        </w:rPr>
        <w:t>through them</w:t>
      </w:r>
      <w:r w:rsidR="00863627">
        <w:t>”</w:t>
      </w:r>
      <w:r w:rsidR="00B44E87">
        <w:t xml:space="preserve"> (i.e. through JCS).</w:t>
      </w:r>
      <w:r w:rsidR="00863627">
        <w:t xml:space="preserve"> </w:t>
      </w:r>
      <w:r w:rsidR="007913C9">
        <w:t>Th</w:t>
      </w:r>
      <w:r w:rsidR="00863627">
        <w:t xml:space="preserve">e settlement </w:t>
      </w:r>
      <w:r w:rsidR="007913C9">
        <w:t xml:space="preserve">documentation was </w:t>
      </w:r>
      <w:r w:rsidR="00574EAE">
        <w:t xml:space="preserve">not </w:t>
      </w:r>
      <w:r w:rsidR="007913C9">
        <w:t xml:space="preserve">executed </w:t>
      </w:r>
      <w:r w:rsidR="00574EAE">
        <w:t xml:space="preserve">until 28 </w:t>
      </w:r>
      <w:r w:rsidR="007913C9">
        <w:t xml:space="preserve">September 2015, </w:t>
      </w:r>
      <w:r w:rsidR="00574EAE">
        <w:t xml:space="preserve">when </w:t>
      </w:r>
      <w:r w:rsidR="007913C9">
        <w:t>a Settlement and Waiver Agreement between IBRC</w:t>
      </w:r>
      <w:r w:rsidR="00A22D42">
        <w:t xml:space="preserve"> (described as “</w:t>
      </w:r>
      <w:r w:rsidR="00A22D42" w:rsidRPr="00863627">
        <w:rPr>
          <w:i/>
        </w:rPr>
        <w:t>the Vendor</w:t>
      </w:r>
      <w:r w:rsidR="00A22D42">
        <w:t>”)</w:t>
      </w:r>
      <w:r w:rsidR="007913C9">
        <w:t>, the Special Liquidator</w:t>
      </w:r>
      <w:r w:rsidR="00A22D42">
        <w:t>s (“</w:t>
      </w:r>
      <w:r w:rsidR="00A22D42" w:rsidRPr="00863627">
        <w:rPr>
          <w:i/>
        </w:rPr>
        <w:t>SLs</w:t>
      </w:r>
      <w:r w:rsidR="00A22D42">
        <w:t>”), JCS (“</w:t>
      </w:r>
      <w:r w:rsidR="00A22D42" w:rsidRPr="00863627">
        <w:rPr>
          <w:i/>
        </w:rPr>
        <w:t>the Purchaser</w:t>
      </w:r>
      <w:r w:rsidR="00A22D42">
        <w:t xml:space="preserve">”), Talos and two Talos related entities </w:t>
      </w:r>
      <w:r w:rsidR="00574EAE">
        <w:t>was signed</w:t>
      </w:r>
      <w:r w:rsidR="00A22D42">
        <w:t xml:space="preserve">. </w:t>
      </w:r>
      <w:r w:rsidR="00212C88">
        <w:t>I will refer to this agreement as the “</w:t>
      </w:r>
      <w:r w:rsidR="00212C88" w:rsidRPr="00863627">
        <w:rPr>
          <w:i/>
        </w:rPr>
        <w:t xml:space="preserve">IBRC Settlement Agreement” </w:t>
      </w:r>
      <w:r w:rsidR="00212C88">
        <w:t xml:space="preserve">in order to distinguish it from the settlement agreement subsequently entered into </w:t>
      </w:r>
      <w:r w:rsidR="0099044D">
        <w:t>between</w:t>
      </w:r>
      <w:r w:rsidR="00212C88">
        <w:t xml:space="preserve"> Dr Sheehan and Talos</w:t>
      </w:r>
      <w:r w:rsidR="00212C88" w:rsidRPr="00863627">
        <w:rPr>
          <w:i/>
        </w:rPr>
        <w:t>.</w:t>
      </w:r>
      <w:r w:rsidR="00212C88">
        <w:t xml:space="preserve"> </w:t>
      </w:r>
    </w:p>
    <w:p w14:paraId="5A594F6E" w14:textId="77777777" w:rsidR="00212C88" w:rsidRDefault="00212C88" w:rsidP="00212C88">
      <w:pPr>
        <w:pStyle w:val="ListParagraph"/>
      </w:pPr>
    </w:p>
    <w:p w14:paraId="2F4917F0" w14:textId="727C22BE" w:rsidR="002E4B15" w:rsidRDefault="00A22D42" w:rsidP="00AA76EA">
      <w:pPr>
        <w:pStyle w:val="ListParagraph"/>
        <w:numPr>
          <w:ilvl w:val="0"/>
          <w:numId w:val="1"/>
        </w:numPr>
        <w:ind w:hanging="720"/>
      </w:pPr>
      <w:r>
        <w:t xml:space="preserve">The critical provision of the </w:t>
      </w:r>
      <w:r w:rsidR="00212C88">
        <w:t xml:space="preserve">IBRC </w:t>
      </w:r>
      <w:r>
        <w:t>Settlement Agreement was clause 2.1 whereby “</w:t>
      </w:r>
      <w:r w:rsidRPr="00A22D42">
        <w:rPr>
          <w:i/>
        </w:rPr>
        <w:t>in consideration of the entry into this Deed and Vendor and the SLs returning the sum of €1,700,000 to the Purchaser, which sum forms part of the Deposit paid by the Purchaser under the Loan Sale Deed”</w:t>
      </w:r>
      <w:r>
        <w:rPr>
          <w:i/>
        </w:rPr>
        <w:t xml:space="preserve"> </w:t>
      </w:r>
      <w:r>
        <w:t xml:space="preserve">JCS, Talos and the two other Talos-related entities waived </w:t>
      </w:r>
      <w:r w:rsidRPr="00A22D42">
        <w:rPr>
          <w:i/>
        </w:rPr>
        <w:t xml:space="preserve">“all claims past, present or future (known or unknown) of any kind whatsoever against each of the Vendor, the SLs and/or their servants or agents and advisors arising out of or relating to the entry into by the Purchaser of the Loan Sale </w:t>
      </w:r>
      <w:r w:rsidRPr="00A22D42">
        <w:rPr>
          <w:i/>
        </w:rPr>
        <w:lastRenderedPageBreak/>
        <w:t>Deed or any other connected transaction.”</w:t>
      </w:r>
      <w:r>
        <w:rPr>
          <w:i/>
        </w:rPr>
        <w:t xml:space="preserve"> </w:t>
      </w:r>
      <w:r>
        <w:t xml:space="preserve">The </w:t>
      </w:r>
      <w:r w:rsidR="00212C88">
        <w:t xml:space="preserve">IBRC </w:t>
      </w:r>
      <w:r>
        <w:t>Settlement Agreement</w:t>
      </w:r>
      <w:r w:rsidR="00E15512">
        <w:t xml:space="preserve"> also</w:t>
      </w:r>
      <w:r>
        <w:t xml:space="preserve"> </w:t>
      </w:r>
      <w:r w:rsidR="00E15512">
        <w:t xml:space="preserve">contained a confidentiality clause. </w:t>
      </w:r>
      <w:r w:rsidR="00152DD1">
        <w:t>The agreement</w:t>
      </w:r>
      <w:r w:rsidR="00E15512">
        <w:t xml:space="preserve"> was governed by Irish law.</w:t>
      </w:r>
    </w:p>
    <w:p w14:paraId="22281806" w14:textId="77777777" w:rsidR="00574EAE" w:rsidRDefault="00574EAE" w:rsidP="00574EAE">
      <w:pPr>
        <w:pStyle w:val="ListParagraph"/>
      </w:pPr>
    </w:p>
    <w:p w14:paraId="772E5CBE" w14:textId="1F4DC8E3" w:rsidR="00574EAE" w:rsidRDefault="00574EAE" w:rsidP="00AA76EA">
      <w:pPr>
        <w:pStyle w:val="ListParagraph"/>
        <w:numPr>
          <w:ilvl w:val="0"/>
          <w:numId w:val="1"/>
        </w:numPr>
        <w:ind w:hanging="720"/>
      </w:pPr>
      <w:r>
        <w:t xml:space="preserve">The </w:t>
      </w:r>
      <w:r w:rsidR="00212C88">
        <w:t xml:space="preserve">IBRC </w:t>
      </w:r>
      <w:r>
        <w:t xml:space="preserve">Settlement Agreement become effective on 27 October 2015 and on that date IBRC made the agreed payment of €1.7 million to JCS. </w:t>
      </w:r>
      <w:r w:rsidR="0099044D">
        <w:t>A week later, o</w:t>
      </w:r>
      <w:r w:rsidR="00B44E87">
        <w:t xml:space="preserve">n 3 November 2015, </w:t>
      </w:r>
      <w:r>
        <w:t>JCS paid th</w:t>
      </w:r>
      <w:r w:rsidR="0099044D">
        <w:t>at</w:t>
      </w:r>
      <w:r>
        <w:t xml:space="preserve"> </w:t>
      </w:r>
      <w:r w:rsidR="0099044D">
        <w:t>sum</w:t>
      </w:r>
      <w:r>
        <w:t xml:space="preserve"> on</w:t>
      </w:r>
      <w:r w:rsidR="00152DD1">
        <w:t xml:space="preserve"> </w:t>
      </w:r>
      <w:r>
        <w:t xml:space="preserve">to Talos. </w:t>
      </w:r>
    </w:p>
    <w:p w14:paraId="48A8D890" w14:textId="77777777" w:rsidR="00890DD7" w:rsidRDefault="00890DD7" w:rsidP="00890DD7">
      <w:pPr>
        <w:pStyle w:val="ListParagraph"/>
      </w:pPr>
    </w:p>
    <w:p w14:paraId="1088E9C0" w14:textId="58E10B08" w:rsidR="00890DD7" w:rsidRDefault="00890DD7" w:rsidP="00AA76EA">
      <w:pPr>
        <w:pStyle w:val="ListParagraph"/>
        <w:numPr>
          <w:ilvl w:val="0"/>
          <w:numId w:val="1"/>
        </w:numPr>
        <w:ind w:hanging="720"/>
      </w:pPr>
      <w:r>
        <w:t xml:space="preserve">Although JCS was a party to the </w:t>
      </w:r>
      <w:r w:rsidR="00212C88">
        <w:t xml:space="preserve">IBRC </w:t>
      </w:r>
      <w:r>
        <w:t xml:space="preserve">Settlement Agreement, Dr Sheehan </w:t>
      </w:r>
      <w:r w:rsidR="00574EAE">
        <w:t xml:space="preserve">and his advisors were </w:t>
      </w:r>
      <w:r>
        <w:t xml:space="preserve">not aware of </w:t>
      </w:r>
      <w:r w:rsidR="00152DD1">
        <w:t>the agreement</w:t>
      </w:r>
      <w:r w:rsidR="00574EAE">
        <w:t xml:space="preserve"> at the time and did not know of the payments just referred to</w:t>
      </w:r>
      <w:r>
        <w:t xml:space="preserve">. As I have </w:t>
      </w:r>
      <w:r w:rsidR="0099044D">
        <w:t>noted</w:t>
      </w:r>
      <w:r>
        <w:t xml:space="preserve">, </w:t>
      </w:r>
      <w:r w:rsidR="00574EAE">
        <w:t xml:space="preserve">Talos had effectively taken </w:t>
      </w:r>
      <w:r w:rsidR="00152DD1">
        <w:t>control of</w:t>
      </w:r>
      <w:r w:rsidR="00574EAE">
        <w:t xml:space="preserve"> JCS</w:t>
      </w:r>
      <w:r w:rsidR="007A07CE">
        <w:t xml:space="preserve">, the existing officers had been replaced </w:t>
      </w:r>
      <w:r w:rsidR="00574EAE">
        <w:t xml:space="preserve">and a new secretary and new directors had been appointed. It was this </w:t>
      </w:r>
      <w:r w:rsidR="007A07CE">
        <w:t xml:space="preserve">new </w:t>
      </w:r>
      <w:r w:rsidR="00574EAE">
        <w:t xml:space="preserve">board that </w:t>
      </w:r>
      <w:r w:rsidR="0099044D">
        <w:t xml:space="preserve">had </w:t>
      </w:r>
      <w:r w:rsidR="00574EAE">
        <w:t>made the decision that JCS should be a party to the</w:t>
      </w:r>
      <w:r w:rsidR="00212C88">
        <w:t xml:space="preserve"> IBRC </w:t>
      </w:r>
      <w:r w:rsidR="00574EAE">
        <w:t xml:space="preserve">Settlement Agreement </w:t>
      </w:r>
      <w:r w:rsidR="00863627">
        <w:t xml:space="preserve">(with the benefit of independent legal advice) </w:t>
      </w:r>
      <w:r w:rsidR="00574EAE">
        <w:t>and it did so without recourse to Dr Sheehan.</w:t>
      </w:r>
    </w:p>
    <w:p w14:paraId="6F7C31A1" w14:textId="77777777" w:rsidR="00574EAE" w:rsidRDefault="00574EAE" w:rsidP="00574EAE">
      <w:pPr>
        <w:pStyle w:val="ListParagraph"/>
      </w:pPr>
    </w:p>
    <w:p w14:paraId="0A88E740" w14:textId="4102D961" w:rsidR="00574EAE" w:rsidRDefault="007A07CE" w:rsidP="00AA76EA">
      <w:pPr>
        <w:pStyle w:val="ListParagraph"/>
        <w:numPr>
          <w:ilvl w:val="0"/>
          <w:numId w:val="1"/>
        </w:numPr>
        <w:ind w:hanging="720"/>
      </w:pPr>
      <w:r>
        <w:t xml:space="preserve">Dr Sheehan </w:t>
      </w:r>
      <w:r w:rsidR="0099044D">
        <w:t xml:space="preserve">himself </w:t>
      </w:r>
      <w:r>
        <w:t>was</w:t>
      </w:r>
      <w:r w:rsidR="00B44E87">
        <w:t xml:space="preserve"> </w:t>
      </w:r>
      <w:r w:rsidR="0099044D">
        <w:t xml:space="preserve">in fact </w:t>
      </w:r>
      <w:r>
        <w:t xml:space="preserve">contemplating the possibility of a claim against IBRC for the recovery of the </w:t>
      </w:r>
      <w:r w:rsidR="008D4D9E">
        <w:t>D</w:t>
      </w:r>
      <w:r>
        <w:t xml:space="preserve">eposit. On 25 March 2015 solicitors acting on his behalf (Mr Larry Brennan of Arthur McClean) wrote to the solicitors acting for Talos (Mr Gavin Simons of AMOSS Solicitors) referring to the judgment that Talos had just obtained against Dr Sheehan </w:t>
      </w:r>
      <w:r w:rsidR="00953C99">
        <w:t xml:space="preserve">(that being the judgment </w:t>
      </w:r>
      <w:r w:rsidR="001E6140">
        <w:t>of Ryan J on the Guarantee)</w:t>
      </w:r>
      <w:r w:rsidR="00B44E87">
        <w:t xml:space="preserve">. Mr Brennan </w:t>
      </w:r>
      <w:r w:rsidR="001E6140">
        <w:t>suggest</w:t>
      </w:r>
      <w:r w:rsidR="00B44E87">
        <w:t>ed</w:t>
      </w:r>
      <w:r w:rsidR="001E6140">
        <w:t xml:space="preserve"> that, in light of the judgment, there appeared to be little purpose in Talos retaining control of JCS and </w:t>
      </w:r>
      <w:r w:rsidR="0099044D">
        <w:t xml:space="preserve">he </w:t>
      </w:r>
      <w:r w:rsidR="001E6140">
        <w:t>ask</w:t>
      </w:r>
      <w:r w:rsidR="00B44E87">
        <w:t>ed</w:t>
      </w:r>
      <w:r w:rsidR="001E6140">
        <w:t xml:space="preserve"> Mr Simons to take Talos’ instructions as to whether </w:t>
      </w:r>
      <w:r w:rsidR="00B44E87">
        <w:t>it</w:t>
      </w:r>
      <w:r w:rsidR="001E6140">
        <w:t xml:space="preserve"> would be prepared to allow Dr Sheehan to appoint new directors to JCS for the purpose of JCS bringing proceedings against IBRC to recover the </w:t>
      </w:r>
      <w:r w:rsidR="008D4D9E">
        <w:t>D</w:t>
      </w:r>
      <w:r w:rsidR="001E6140">
        <w:t xml:space="preserve">eposit. Mr </w:t>
      </w:r>
      <w:r w:rsidR="001E6140">
        <w:lastRenderedPageBreak/>
        <w:t>Brennan added that “</w:t>
      </w:r>
      <w:r w:rsidR="001E6140" w:rsidRPr="001E6140">
        <w:rPr>
          <w:i/>
        </w:rPr>
        <w:t xml:space="preserve">his clients” </w:t>
      </w:r>
      <w:r w:rsidR="001E6140">
        <w:t xml:space="preserve">had no objection to Talos retaining its share charge over the assets of JCS. </w:t>
      </w:r>
    </w:p>
    <w:p w14:paraId="411C3C2B" w14:textId="77777777" w:rsidR="001E6140" w:rsidRPr="00156480" w:rsidRDefault="001E6140" w:rsidP="001E6140">
      <w:pPr>
        <w:pStyle w:val="ListParagraph"/>
      </w:pPr>
    </w:p>
    <w:p w14:paraId="733D271E" w14:textId="381F2808" w:rsidR="007A07CE" w:rsidRDefault="001E6140">
      <w:pPr>
        <w:pStyle w:val="ListParagraph"/>
        <w:numPr>
          <w:ilvl w:val="0"/>
          <w:numId w:val="1"/>
        </w:numPr>
        <w:ind w:hanging="720"/>
      </w:pPr>
      <w:r>
        <w:t xml:space="preserve">While this request was rejected, it did </w:t>
      </w:r>
      <w:r w:rsidR="00272974">
        <w:t>lead to further</w:t>
      </w:r>
      <w:r w:rsidR="00152DD1">
        <w:t>, intermittent,</w:t>
      </w:r>
      <w:r>
        <w:t xml:space="preserve"> engagement between Dr Sheehan (or, more correctly, a </w:t>
      </w:r>
      <w:r w:rsidR="008324D2">
        <w:t>succession</w:t>
      </w:r>
      <w:r>
        <w:t xml:space="preserve"> of different solicitors acting on his behalf, </w:t>
      </w:r>
      <w:r w:rsidR="008936F7">
        <w:t>initially</w:t>
      </w:r>
      <w:r>
        <w:t xml:space="preserve"> Mr Brennan, followed by </w:t>
      </w:r>
      <w:r w:rsidR="008936F7">
        <w:t xml:space="preserve">Mr </w:t>
      </w:r>
      <w:r>
        <w:t>Marc Hickey of Downes Solicitors and finally by Mr Eamonn Shannon of Shannon O’Connor Solicitors) and Mr Simons</w:t>
      </w:r>
      <w:r w:rsidR="00212C88">
        <w:t xml:space="preserve"> on behalf of Talos</w:t>
      </w:r>
      <w:r>
        <w:t xml:space="preserve"> that </w:t>
      </w:r>
      <w:r w:rsidR="00212C88">
        <w:t>intensified significantly in November 2015 and resulted in the execution of a settlement agreement between Dr Sheehan and Talos on 19 November 2015 (“</w:t>
      </w:r>
      <w:r w:rsidR="00212C88" w:rsidRPr="00212C88">
        <w:rPr>
          <w:i/>
        </w:rPr>
        <w:t>the Settlement Agreement</w:t>
      </w:r>
      <w:r w:rsidR="00212C88">
        <w:t>”).</w:t>
      </w:r>
    </w:p>
    <w:p w14:paraId="0C12A083" w14:textId="77777777" w:rsidR="00BE7B2F" w:rsidRDefault="00BE7B2F" w:rsidP="00BE7B2F">
      <w:pPr>
        <w:pStyle w:val="ListParagraph"/>
      </w:pPr>
    </w:p>
    <w:p w14:paraId="41A489BF" w14:textId="77CF6651" w:rsidR="00212C88" w:rsidRDefault="00212C88">
      <w:pPr>
        <w:pStyle w:val="ListParagraph"/>
        <w:numPr>
          <w:ilvl w:val="0"/>
          <w:numId w:val="1"/>
        </w:numPr>
        <w:ind w:hanging="720"/>
      </w:pPr>
      <w:r>
        <w:t xml:space="preserve">The Settlement Agreement </w:t>
      </w:r>
      <w:r w:rsidR="00272974">
        <w:t>identified the total amount outstanding from Dr Sheehan (and JCS) as €3,958,536 and provided that on receipt of that amount there would be no further sums due from Dr Sheehan, JCS or Medfund</w:t>
      </w:r>
      <w:r w:rsidR="008324D2">
        <w:t xml:space="preserve"> and</w:t>
      </w:r>
      <w:r w:rsidR="00272974">
        <w:t xml:space="preserve"> that Talos would not rely on any security provided by any of those parties (clause 2). A deed of release </w:t>
      </w:r>
      <w:r w:rsidR="0067314C">
        <w:t xml:space="preserve">in agreed form was attached to the Agreement. </w:t>
      </w:r>
      <w:r w:rsidR="0099044D">
        <w:t>The Agreement</w:t>
      </w:r>
      <w:r w:rsidR="0067314C">
        <w:t xml:space="preserve"> </w:t>
      </w:r>
      <w:r w:rsidR="00272974">
        <w:t>also provided that on payment, Talos would take all such action as Dr Sheehan reasonably requested in order to effect a transfer of the ownership and control of JCS to him or his nominee (clause 5). In turn, Dr Sheehan waived any claims against Talos arising from the Loan Sale Deed, the Facility Agreement and the other Finance Documents (as defined in the Facility Letter</w:t>
      </w:r>
      <w:r w:rsidR="00B54BAE">
        <w:t>)</w:t>
      </w:r>
      <w:r w:rsidR="00272974">
        <w:t xml:space="preserve"> (clause 6).</w:t>
      </w:r>
      <w:r w:rsidR="00144753">
        <w:t xml:space="preserve"> Both the </w:t>
      </w:r>
      <w:r w:rsidR="00CE5B9B">
        <w:t>Settlement Agreement and the deed of release were governed by Irish law.</w:t>
      </w:r>
      <w:r w:rsidR="009D29DE">
        <w:t xml:space="preserve"> </w:t>
      </w:r>
    </w:p>
    <w:p w14:paraId="60453B27" w14:textId="77777777" w:rsidR="0067314C" w:rsidRDefault="0067314C" w:rsidP="0067314C">
      <w:pPr>
        <w:pStyle w:val="ListParagraph"/>
      </w:pPr>
    </w:p>
    <w:p w14:paraId="5AFB2E0B" w14:textId="7E8B7C78" w:rsidR="0067314C" w:rsidRDefault="008936F7">
      <w:pPr>
        <w:pStyle w:val="ListParagraph"/>
        <w:numPr>
          <w:ilvl w:val="0"/>
          <w:numId w:val="1"/>
        </w:numPr>
        <w:ind w:hanging="720"/>
      </w:pPr>
      <w:r>
        <w:lastRenderedPageBreak/>
        <w:t>T</w:t>
      </w:r>
      <w:r w:rsidR="0067314C">
        <w:t xml:space="preserve">he agreed amount was </w:t>
      </w:r>
      <w:r>
        <w:t>duly</w:t>
      </w:r>
      <w:r w:rsidR="008324D2">
        <w:t xml:space="preserve"> </w:t>
      </w:r>
      <w:r>
        <w:t>paid</w:t>
      </w:r>
      <w:r w:rsidR="0067314C">
        <w:t xml:space="preserve"> by Dr Sheehan and he thus regained control of JCS.</w:t>
      </w:r>
      <w:r w:rsidR="008324D2">
        <w:t xml:space="preserve"> I</w:t>
      </w:r>
      <w:r w:rsidR="0067314C">
        <w:t xml:space="preserve">n January 2016 he was provided with a copy of the IBRC Settlement Agreement. This prompted correspondence on his behalf to Talos which </w:t>
      </w:r>
      <w:r w:rsidR="00051EFD">
        <w:t>demanded the return of the €</w:t>
      </w:r>
      <w:r w:rsidR="008324D2">
        <w:t>1</w:t>
      </w:r>
      <w:r w:rsidR="00051EFD">
        <w:t>.7 million received by Talos</w:t>
      </w:r>
      <w:r w:rsidR="008324D2">
        <w:t xml:space="preserve"> (</w:t>
      </w:r>
      <w:r>
        <w:t xml:space="preserve">notably, </w:t>
      </w:r>
      <w:r w:rsidR="008324D2">
        <w:t>no assertion of any form of misrepresentation appears to have been made in the initial pre-action correspondence</w:t>
      </w:r>
      <w:r w:rsidR="00DC3BA9">
        <w:t>;</w:t>
      </w:r>
      <w:r w:rsidR="00F47019">
        <w:t xml:space="preserve"> rather,</w:t>
      </w:r>
      <w:r w:rsidR="00DC3BA9">
        <w:t xml:space="preserve"> the complaint </w:t>
      </w:r>
      <w:r w:rsidR="00F47019">
        <w:t>at that state was</w:t>
      </w:r>
      <w:r w:rsidR="00DC3BA9">
        <w:t xml:space="preserve"> that the amount paid by Dr Sheehan to Talos ought to have been reduced by the €1.7 million</w:t>
      </w:r>
      <w:r w:rsidR="008324D2">
        <w:t>)</w:t>
      </w:r>
      <w:r>
        <w:t>.</w:t>
      </w:r>
      <w:r w:rsidR="00051EFD">
        <w:t xml:space="preserve"> </w:t>
      </w:r>
      <w:r w:rsidR="008324D2">
        <w:t>Talos did not agree to this demand and</w:t>
      </w:r>
      <w:r w:rsidR="00051EFD">
        <w:t xml:space="preserve"> these proceedings issued subsequently.</w:t>
      </w:r>
    </w:p>
    <w:p w14:paraId="712244E5" w14:textId="77777777" w:rsidR="00051EFD" w:rsidRDefault="00051EFD" w:rsidP="00051EFD">
      <w:pPr>
        <w:pStyle w:val="ListParagraph"/>
      </w:pPr>
    </w:p>
    <w:p w14:paraId="4AB9EA6B" w14:textId="5F84A0EA" w:rsidR="00051EFD" w:rsidRDefault="00051EFD">
      <w:pPr>
        <w:pStyle w:val="ListParagraph"/>
        <w:numPr>
          <w:ilvl w:val="0"/>
          <w:numId w:val="1"/>
        </w:numPr>
        <w:ind w:hanging="720"/>
      </w:pPr>
      <w:r>
        <w:t xml:space="preserve">In this summary, I have intentionally avoided any detailed discussion of the engagement between the parties in November 2015. I </w:t>
      </w:r>
      <w:r w:rsidR="008936F7">
        <w:t>discuss</w:t>
      </w:r>
      <w:r>
        <w:t xml:space="preserve"> this </w:t>
      </w:r>
      <w:r w:rsidR="008936F7">
        <w:t>in more detail</w:t>
      </w:r>
      <w:r>
        <w:t xml:space="preserve"> below. Ultimately, however, it was claimed by Dr Sheehan that</w:t>
      </w:r>
      <w:r w:rsidR="00E24C25">
        <w:t xml:space="preserve"> </w:t>
      </w:r>
      <w:r>
        <w:t xml:space="preserve">Talos was guilty of misrepresentation, deceit and fraudulent misrepresentation in its dealings with him (through his solicitors) in November 2015. </w:t>
      </w:r>
      <w:r w:rsidR="00B715D3">
        <w:t xml:space="preserve">Specifically, Dr Sheehan claimed that two emails sent by Mr Simons on 16 November 2015 falsely represented that the entirety of the liability under </w:t>
      </w:r>
      <w:r w:rsidR="00861627">
        <w:t xml:space="preserve">the </w:t>
      </w:r>
      <w:r w:rsidR="00A825B1">
        <w:t>Costs Certificates</w:t>
      </w:r>
      <w:r w:rsidR="00861627">
        <w:t xml:space="preserve"> </w:t>
      </w:r>
      <w:r w:rsidR="00A825B1">
        <w:t xml:space="preserve">remained outstanding. </w:t>
      </w:r>
      <w:r w:rsidR="00B715D3">
        <w:t xml:space="preserve">Those representations, it was said, had </w:t>
      </w:r>
      <w:r w:rsidR="00A825B1">
        <w:t>caused</w:t>
      </w:r>
      <w:r w:rsidR="00B715D3">
        <w:t xml:space="preserve"> Dr Sheehan to believe that JCS’s entitlement to litigate against IBRC for the return of the forfeited </w:t>
      </w:r>
      <w:r w:rsidR="008D4D9E">
        <w:t>De</w:t>
      </w:r>
      <w:r w:rsidR="00B715D3">
        <w:t>posit remained intact</w:t>
      </w:r>
      <w:r w:rsidR="00A825B1">
        <w:t>, thereby inducing</w:t>
      </w:r>
      <w:r w:rsidR="00B715D3">
        <w:t xml:space="preserve"> him to enter into the Settlement Agreement. The failure to notify Dr Sheehan of the IBRC Settlement Agreement and/or the payment made under it was also said to amount to an actionable misrepresentation</w:t>
      </w:r>
      <w:r w:rsidR="00A825B1">
        <w:t xml:space="preserve"> in the circumstances.</w:t>
      </w:r>
    </w:p>
    <w:p w14:paraId="5962F3FF" w14:textId="21B96C6B" w:rsidR="0099044D" w:rsidRDefault="0099044D">
      <w:pPr>
        <w:spacing w:after="160" w:line="259" w:lineRule="auto"/>
        <w:jc w:val="left"/>
      </w:pPr>
      <w:r>
        <w:br w:type="page"/>
      </w:r>
    </w:p>
    <w:p w14:paraId="44375168" w14:textId="77777777" w:rsidR="00E24C25" w:rsidRPr="00E24C25" w:rsidRDefault="00E24C25" w:rsidP="00E24C25">
      <w:pPr>
        <w:pStyle w:val="ListParagraph"/>
        <w:ind w:left="0"/>
        <w:jc w:val="center"/>
        <w:rPr>
          <w:b/>
        </w:rPr>
      </w:pPr>
      <w:r w:rsidRPr="00E24C25">
        <w:rPr>
          <w:b/>
        </w:rPr>
        <w:lastRenderedPageBreak/>
        <w:t xml:space="preserve">THE </w:t>
      </w:r>
      <w:r w:rsidR="002E2015">
        <w:rPr>
          <w:b/>
        </w:rPr>
        <w:t>PROCEEDINGS</w:t>
      </w:r>
    </w:p>
    <w:p w14:paraId="193ADF78" w14:textId="77777777" w:rsidR="00E24C25" w:rsidRDefault="00E24C25" w:rsidP="00B715D3">
      <w:pPr>
        <w:pStyle w:val="ListParagraph"/>
      </w:pPr>
    </w:p>
    <w:p w14:paraId="029BCC86" w14:textId="77777777" w:rsidR="004904BF" w:rsidRPr="005A5E72" w:rsidRDefault="004904BF" w:rsidP="00B715D3">
      <w:pPr>
        <w:pStyle w:val="ListParagraph"/>
        <w:rPr>
          <w:b/>
          <w:i/>
        </w:rPr>
      </w:pPr>
      <w:r w:rsidRPr="005A5E72">
        <w:rPr>
          <w:b/>
          <w:i/>
        </w:rPr>
        <w:t>The Pleaded Claim</w:t>
      </w:r>
    </w:p>
    <w:p w14:paraId="2E01E08F" w14:textId="77777777" w:rsidR="008022C7" w:rsidRPr="008022C7" w:rsidRDefault="008022C7" w:rsidP="00B715D3">
      <w:pPr>
        <w:pStyle w:val="ListParagraph"/>
        <w:rPr>
          <w:i/>
        </w:rPr>
      </w:pPr>
    </w:p>
    <w:p w14:paraId="1910AA6A" w14:textId="1142CC3C" w:rsidR="00984D3E" w:rsidRDefault="00E24C25" w:rsidP="00984D3E">
      <w:pPr>
        <w:pStyle w:val="ListParagraph"/>
        <w:numPr>
          <w:ilvl w:val="0"/>
          <w:numId w:val="1"/>
        </w:numPr>
        <w:ind w:hanging="720"/>
      </w:pPr>
      <w:bookmarkStart w:id="2" w:name="_Hlk77874350"/>
      <w:r>
        <w:t xml:space="preserve">A </w:t>
      </w:r>
      <w:r w:rsidR="00984D3E">
        <w:t>Plenary Su</w:t>
      </w:r>
      <w:r>
        <w:t xml:space="preserve">mmons issued on 3 August 2016, followed </w:t>
      </w:r>
      <w:r w:rsidR="00137305">
        <w:t xml:space="preserve">by a Statement of Claim </w:t>
      </w:r>
      <w:r w:rsidR="00296F41">
        <w:t>on 15 August 2016</w:t>
      </w:r>
      <w:r>
        <w:t xml:space="preserve">. </w:t>
      </w:r>
      <w:r w:rsidR="00296F41">
        <w:t xml:space="preserve">This pleaded two distinct claims on behalf of Dr Sheehan.  </w:t>
      </w:r>
      <w:r w:rsidR="00984D3E">
        <w:t>The first claim was the claim for misrepresentation pleaded as follows:</w:t>
      </w:r>
    </w:p>
    <w:bookmarkEnd w:id="2"/>
    <w:p w14:paraId="2F667488" w14:textId="77777777" w:rsidR="00984D3E" w:rsidRPr="00984D3E" w:rsidRDefault="00984D3E" w:rsidP="00984D3E">
      <w:pPr>
        <w:pStyle w:val="ListParagraph"/>
      </w:pPr>
    </w:p>
    <w:p w14:paraId="08915EF3" w14:textId="77777777" w:rsidR="00984D3E" w:rsidRPr="00984D3E" w:rsidRDefault="00984D3E" w:rsidP="00984D3E">
      <w:pPr>
        <w:pStyle w:val="ListParagraph"/>
        <w:ind w:left="1418"/>
        <w:rPr>
          <w:rFonts w:cs="Times New Roman"/>
          <w:i/>
          <w:szCs w:val="24"/>
        </w:rPr>
      </w:pPr>
      <w:r w:rsidRPr="00984D3E">
        <w:rPr>
          <w:rFonts w:cs="Times New Roman"/>
          <w:i/>
          <w:szCs w:val="24"/>
        </w:rPr>
        <w:t>“34. Arising from the aforesaid, the Defendant has acted wrongfully and unlawfully and has been guilty of misrepresentation (including fraudulent misrepresentation) in the following respects:</w:t>
      </w:r>
    </w:p>
    <w:p w14:paraId="4BF44613" w14:textId="77777777" w:rsidR="00984D3E" w:rsidRPr="00984D3E" w:rsidRDefault="00984D3E" w:rsidP="00984D3E">
      <w:pPr>
        <w:pStyle w:val="ListParagraph"/>
        <w:ind w:left="1418"/>
        <w:rPr>
          <w:i/>
        </w:rPr>
      </w:pPr>
    </w:p>
    <w:p w14:paraId="753130C6" w14:textId="77777777" w:rsidR="00984D3E" w:rsidRPr="00984D3E" w:rsidRDefault="00984D3E" w:rsidP="00984D3E">
      <w:pPr>
        <w:pStyle w:val="ListParagraph"/>
        <w:ind w:left="1418"/>
        <w:jc w:val="center"/>
        <w:rPr>
          <w:b/>
          <w:i/>
        </w:rPr>
      </w:pPr>
      <w:r w:rsidRPr="00984D3E">
        <w:rPr>
          <w:b/>
          <w:i/>
        </w:rPr>
        <w:t>Particulars</w:t>
      </w:r>
    </w:p>
    <w:p w14:paraId="7B290F04" w14:textId="77777777" w:rsidR="00984D3E" w:rsidRPr="00984D3E" w:rsidRDefault="00984D3E" w:rsidP="00984D3E">
      <w:pPr>
        <w:pStyle w:val="ListParagraph"/>
        <w:ind w:left="1418"/>
        <w:jc w:val="center"/>
        <w:rPr>
          <w:i/>
        </w:rPr>
      </w:pPr>
    </w:p>
    <w:p w14:paraId="71320CA7" w14:textId="77777777" w:rsidR="00984D3E" w:rsidRDefault="00984D3E" w:rsidP="00984D3E">
      <w:pPr>
        <w:autoSpaceDE w:val="0"/>
        <w:autoSpaceDN w:val="0"/>
        <w:adjustRightInd w:val="0"/>
        <w:ind w:left="1418"/>
        <w:rPr>
          <w:rFonts w:cs="Times New Roman"/>
          <w:i/>
          <w:szCs w:val="24"/>
        </w:rPr>
      </w:pPr>
      <w:r w:rsidRPr="00984D3E">
        <w:rPr>
          <w:rFonts w:cs="Times New Roman"/>
          <w:i/>
          <w:szCs w:val="24"/>
        </w:rPr>
        <w:t>Throughout all communications sent by the Defendant its servants and/or agents, in the period</w:t>
      </w:r>
      <w:r>
        <w:rPr>
          <w:rFonts w:cs="Times New Roman"/>
          <w:i/>
          <w:szCs w:val="24"/>
        </w:rPr>
        <w:t xml:space="preserve"> </w:t>
      </w:r>
      <w:r w:rsidRPr="00984D3E">
        <w:rPr>
          <w:rFonts w:cs="Times New Roman"/>
          <w:i/>
          <w:szCs w:val="24"/>
        </w:rPr>
        <w:t>following the settlement made between IBRC and the Defendant/ JCS:</w:t>
      </w:r>
    </w:p>
    <w:p w14:paraId="281C5AC8" w14:textId="77777777" w:rsidR="00984D3E" w:rsidRPr="00984D3E" w:rsidRDefault="00984D3E" w:rsidP="00984D3E">
      <w:pPr>
        <w:autoSpaceDE w:val="0"/>
        <w:autoSpaceDN w:val="0"/>
        <w:adjustRightInd w:val="0"/>
        <w:ind w:left="1418"/>
        <w:rPr>
          <w:rFonts w:cs="Times New Roman"/>
          <w:i/>
          <w:szCs w:val="24"/>
        </w:rPr>
      </w:pPr>
    </w:p>
    <w:p w14:paraId="62D364B9" w14:textId="1A4DD626" w:rsidR="00984D3E" w:rsidRDefault="00984D3E" w:rsidP="00984D3E">
      <w:pPr>
        <w:autoSpaceDE w:val="0"/>
        <w:autoSpaceDN w:val="0"/>
        <w:adjustRightInd w:val="0"/>
        <w:ind w:left="1418"/>
        <w:rPr>
          <w:rFonts w:cs="Times New Roman"/>
          <w:i/>
          <w:szCs w:val="24"/>
        </w:rPr>
      </w:pPr>
      <w:r w:rsidRPr="00984D3E">
        <w:rPr>
          <w:rFonts w:cs="Times New Roman"/>
          <w:i/>
          <w:szCs w:val="24"/>
        </w:rPr>
        <w:t>(a) the Defendant was guilty of misrepresentation and/or deceit/ fraudulent misrepresentation</w:t>
      </w:r>
      <w:r>
        <w:rPr>
          <w:rFonts w:cs="Times New Roman"/>
          <w:i/>
          <w:szCs w:val="24"/>
        </w:rPr>
        <w:t xml:space="preserve"> </w:t>
      </w:r>
      <w:r w:rsidRPr="00984D3E">
        <w:rPr>
          <w:rFonts w:cs="Times New Roman"/>
          <w:i/>
          <w:szCs w:val="24"/>
        </w:rPr>
        <w:t>(by silence) in failing to notify the Plaintiff of the said settlement, or of the terms thereof, or</w:t>
      </w:r>
      <w:r>
        <w:rPr>
          <w:rFonts w:cs="Times New Roman"/>
          <w:i/>
          <w:szCs w:val="24"/>
        </w:rPr>
        <w:t xml:space="preserve"> </w:t>
      </w:r>
      <w:r w:rsidRPr="00984D3E">
        <w:rPr>
          <w:rFonts w:cs="Times New Roman"/>
          <w:i/>
          <w:szCs w:val="24"/>
        </w:rPr>
        <w:t>of the payment or payments made or to be made by IBRC under the said settlement.</w:t>
      </w:r>
    </w:p>
    <w:p w14:paraId="62CC04A4" w14:textId="77777777" w:rsidR="00F55046" w:rsidRPr="00984D3E" w:rsidRDefault="00F55046" w:rsidP="00984D3E">
      <w:pPr>
        <w:autoSpaceDE w:val="0"/>
        <w:autoSpaceDN w:val="0"/>
        <w:adjustRightInd w:val="0"/>
        <w:ind w:left="1418"/>
        <w:rPr>
          <w:rFonts w:cs="Times New Roman"/>
          <w:i/>
          <w:szCs w:val="24"/>
        </w:rPr>
      </w:pPr>
    </w:p>
    <w:p w14:paraId="47DAF5F3" w14:textId="6FFC2123" w:rsidR="00984D3E" w:rsidRDefault="00984D3E" w:rsidP="00984D3E">
      <w:pPr>
        <w:autoSpaceDE w:val="0"/>
        <w:autoSpaceDN w:val="0"/>
        <w:adjustRightInd w:val="0"/>
        <w:ind w:left="1418"/>
        <w:rPr>
          <w:rFonts w:cs="Times New Roman"/>
          <w:i/>
          <w:szCs w:val="24"/>
        </w:rPr>
      </w:pPr>
      <w:r w:rsidRPr="00984D3E">
        <w:rPr>
          <w:rFonts w:cs="Times New Roman"/>
          <w:i/>
          <w:szCs w:val="24"/>
        </w:rPr>
        <w:lastRenderedPageBreak/>
        <w:t>(b) the Defendant was guilty of misrepresentation and/or deceit/ fraudulent misrepresentation</w:t>
      </w:r>
      <w:r>
        <w:rPr>
          <w:rFonts w:cs="Times New Roman"/>
          <w:i/>
          <w:szCs w:val="24"/>
        </w:rPr>
        <w:t xml:space="preserve"> </w:t>
      </w:r>
      <w:r w:rsidRPr="00984D3E">
        <w:rPr>
          <w:rFonts w:cs="Times New Roman"/>
          <w:i/>
          <w:szCs w:val="24"/>
        </w:rPr>
        <w:t>(by silence) in causing the Plaintiff to believe that the entitlement to litigate against IBRC in</w:t>
      </w:r>
      <w:r>
        <w:rPr>
          <w:rFonts w:cs="Times New Roman"/>
          <w:i/>
          <w:szCs w:val="24"/>
        </w:rPr>
        <w:t xml:space="preserve"> </w:t>
      </w:r>
      <w:r w:rsidRPr="00984D3E">
        <w:rPr>
          <w:rFonts w:cs="Times New Roman"/>
          <w:i/>
          <w:szCs w:val="24"/>
        </w:rPr>
        <w:t xml:space="preserve">respect of the forfeited </w:t>
      </w:r>
      <w:r w:rsidR="008D4D9E">
        <w:rPr>
          <w:rFonts w:cs="Times New Roman"/>
          <w:i/>
          <w:szCs w:val="24"/>
        </w:rPr>
        <w:t>d</w:t>
      </w:r>
      <w:r w:rsidRPr="00984D3E">
        <w:rPr>
          <w:rFonts w:cs="Times New Roman"/>
          <w:i/>
          <w:szCs w:val="24"/>
        </w:rPr>
        <w:t>eposit was preserved.</w:t>
      </w:r>
    </w:p>
    <w:p w14:paraId="361A341C" w14:textId="77777777" w:rsidR="00486B0F" w:rsidRPr="00984D3E" w:rsidRDefault="00486B0F" w:rsidP="00984D3E">
      <w:pPr>
        <w:autoSpaceDE w:val="0"/>
        <w:autoSpaceDN w:val="0"/>
        <w:adjustRightInd w:val="0"/>
        <w:ind w:left="1418"/>
        <w:rPr>
          <w:rFonts w:cs="Times New Roman"/>
          <w:i/>
          <w:szCs w:val="24"/>
        </w:rPr>
      </w:pPr>
    </w:p>
    <w:p w14:paraId="264DDEEE" w14:textId="77777777" w:rsidR="00984D3E" w:rsidRDefault="00984D3E" w:rsidP="00984D3E">
      <w:pPr>
        <w:autoSpaceDE w:val="0"/>
        <w:autoSpaceDN w:val="0"/>
        <w:adjustRightInd w:val="0"/>
        <w:ind w:left="1418"/>
        <w:rPr>
          <w:rFonts w:cs="Times New Roman"/>
          <w:i/>
          <w:szCs w:val="24"/>
        </w:rPr>
      </w:pPr>
      <w:r w:rsidRPr="00984D3E">
        <w:rPr>
          <w:rFonts w:cs="Times New Roman"/>
          <w:i/>
          <w:szCs w:val="24"/>
        </w:rPr>
        <w:t>Further, by the email of the 16</w:t>
      </w:r>
      <w:r w:rsidRPr="00984D3E">
        <w:rPr>
          <w:rFonts w:cs="Times New Roman"/>
          <w:i/>
          <w:sz w:val="16"/>
          <w:szCs w:val="16"/>
        </w:rPr>
        <w:t xml:space="preserve">th </w:t>
      </w:r>
      <w:r w:rsidRPr="00984D3E">
        <w:rPr>
          <w:rFonts w:cs="Times New Roman"/>
          <w:i/>
          <w:szCs w:val="24"/>
        </w:rPr>
        <w:t>November 2015:</w:t>
      </w:r>
    </w:p>
    <w:p w14:paraId="146E1240" w14:textId="77777777" w:rsidR="00486B0F" w:rsidRPr="00984D3E" w:rsidRDefault="00486B0F" w:rsidP="00984D3E">
      <w:pPr>
        <w:autoSpaceDE w:val="0"/>
        <w:autoSpaceDN w:val="0"/>
        <w:adjustRightInd w:val="0"/>
        <w:ind w:left="1418"/>
        <w:rPr>
          <w:rFonts w:cs="Times New Roman"/>
          <w:i/>
          <w:szCs w:val="24"/>
        </w:rPr>
      </w:pPr>
    </w:p>
    <w:p w14:paraId="5DBEE728" w14:textId="77777777" w:rsidR="00984D3E" w:rsidRPr="00984D3E" w:rsidRDefault="00984D3E" w:rsidP="00984D3E">
      <w:pPr>
        <w:autoSpaceDE w:val="0"/>
        <w:autoSpaceDN w:val="0"/>
        <w:adjustRightInd w:val="0"/>
        <w:ind w:left="1418"/>
        <w:rPr>
          <w:rFonts w:cs="Times New Roman"/>
          <w:i/>
          <w:szCs w:val="24"/>
        </w:rPr>
      </w:pPr>
      <w:r w:rsidRPr="00984D3E">
        <w:rPr>
          <w:rFonts w:cs="Times New Roman"/>
          <w:i/>
          <w:szCs w:val="24"/>
        </w:rPr>
        <w:t>(c) the Defendant falsely represented that the entirety of the liability pursuant to the U.K. costs</w:t>
      </w:r>
      <w:r>
        <w:rPr>
          <w:rFonts w:cs="Times New Roman"/>
          <w:i/>
          <w:szCs w:val="24"/>
        </w:rPr>
        <w:t xml:space="preserve"> </w:t>
      </w:r>
      <w:r w:rsidRPr="00984D3E">
        <w:rPr>
          <w:rFonts w:cs="Times New Roman"/>
          <w:i/>
          <w:szCs w:val="24"/>
        </w:rPr>
        <w:t>Orders remained outstanding in circumstances where the Defendant knew that a proportion</w:t>
      </w:r>
      <w:r>
        <w:rPr>
          <w:rFonts w:cs="Times New Roman"/>
          <w:i/>
          <w:szCs w:val="24"/>
        </w:rPr>
        <w:t xml:space="preserve"> </w:t>
      </w:r>
      <w:r w:rsidRPr="00984D3E">
        <w:rPr>
          <w:rFonts w:cs="Times New Roman"/>
          <w:i/>
          <w:szCs w:val="24"/>
        </w:rPr>
        <w:t>of the said liability had been discharged from the IBRC settlement monies and where the</w:t>
      </w:r>
      <w:r>
        <w:rPr>
          <w:rFonts w:cs="Times New Roman"/>
          <w:i/>
          <w:szCs w:val="24"/>
        </w:rPr>
        <w:t xml:space="preserve"> </w:t>
      </w:r>
      <w:r w:rsidRPr="00984D3E">
        <w:rPr>
          <w:rFonts w:cs="Times New Roman"/>
          <w:i/>
          <w:szCs w:val="24"/>
        </w:rPr>
        <w:t>Defendant well knew that if it stated that a proportion of the said liability had been</w:t>
      </w:r>
      <w:r>
        <w:rPr>
          <w:rFonts w:cs="Times New Roman"/>
          <w:i/>
          <w:szCs w:val="24"/>
        </w:rPr>
        <w:t xml:space="preserve"> </w:t>
      </w:r>
      <w:r w:rsidRPr="00984D3E">
        <w:rPr>
          <w:rFonts w:cs="Times New Roman"/>
          <w:i/>
          <w:szCs w:val="24"/>
        </w:rPr>
        <w:t>discharged the Plaintiff would thereby be alerted to the fact of the IBRC settlement.</w:t>
      </w:r>
      <w:r w:rsidR="00486B0F">
        <w:rPr>
          <w:rFonts w:cs="Times New Roman"/>
          <w:i/>
          <w:szCs w:val="24"/>
        </w:rPr>
        <w:t>”</w:t>
      </w:r>
    </w:p>
    <w:p w14:paraId="7FB6D56D" w14:textId="77777777" w:rsidR="00984D3E" w:rsidRDefault="00984D3E" w:rsidP="00984D3E">
      <w:pPr>
        <w:autoSpaceDE w:val="0"/>
        <w:autoSpaceDN w:val="0"/>
        <w:adjustRightInd w:val="0"/>
        <w:ind w:left="1418"/>
        <w:rPr>
          <w:rFonts w:cs="Times New Roman"/>
          <w:i/>
          <w:szCs w:val="24"/>
        </w:rPr>
      </w:pPr>
    </w:p>
    <w:p w14:paraId="2426A605" w14:textId="2B4E793B" w:rsidR="00984D3E" w:rsidRDefault="00984D3E" w:rsidP="00984D3E">
      <w:pPr>
        <w:pStyle w:val="ListParagraph"/>
      </w:pPr>
      <w:r>
        <w:t>On foot of this claim, Dr Sheehan sought damages for misrepresentation, deceit and fraudulent misrepresentation and also sought rescission of the Settlement Agreement.</w:t>
      </w:r>
      <w:r w:rsidR="00553C42">
        <w:t xml:space="preserve"> No </w:t>
      </w:r>
      <w:r w:rsidR="007468C5" w:rsidRPr="007468C5">
        <w:rPr>
          <w:i/>
        </w:rPr>
        <w:t>Hedley Byrne</w:t>
      </w:r>
      <w:r w:rsidR="007468C5">
        <w:t xml:space="preserve"> type </w:t>
      </w:r>
      <w:r w:rsidR="00553C42">
        <w:t xml:space="preserve">claim for negligent misstatement </w:t>
      </w:r>
      <w:r w:rsidR="0099044D">
        <w:t>is</w:t>
      </w:r>
      <w:r w:rsidR="007468C5">
        <w:t xml:space="preserve"> made in the pleadings. Neither is there any reference in the pleadings to the (UK) Misrepresentation Act 1967 or its Irish equivalen</w:t>
      </w:r>
      <w:r w:rsidR="0099044D">
        <w:t>t, Part V of</w:t>
      </w:r>
      <w:r w:rsidR="007468C5">
        <w:t xml:space="preserve"> the Sale of Goods and Supply of Services Act 1980.</w:t>
      </w:r>
      <w:r w:rsidR="002814E4">
        <w:t xml:space="preserve"> No contractual claim – whether on the basis of an argument that the representations allegedly made by Talos were incorporated into the Settlement Agreement and/or that a</w:t>
      </w:r>
      <w:r w:rsidR="0099044D">
        <w:t>ny</w:t>
      </w:r>
      <w:r w:rsidR="002814E4">
        <w:t xml:space="preserve"> term or terms ought to be implied into the Settlement Agreement – is made. </w:t>
      </w:r>
    </w:p>
    <w:p w14:paraId="79BBC52F" w14:textId="77777777" w:rsidR="00984D3E" w:rsidRDefault="00984D3E" w:rsidP="00984D3E">
      <w:pPr>
        <w:pStyle w:val="ListParagraph"/>
      </w:pPr>
    </w:p>
    <w:p w14:paraId="3388A532" w14:textId="34CE727C" w:rsidR="00486B0F" w:rsidRPr="008022C7" w:rsidRDefault="00984D3E" w:rsidP="00486B0F">
      <w:pPr>
        <w:pStyle w:val="ListParagraph"/>
        <w:numPr>
          <w:ilvl w:val="0"/>
          <w:numId w:val="1"/>
        </w:numPr>
        <w:ind w:hanging="720"/>
      </w:pPr>
      <w:r>
        <w:lastRenderedPageBreak/>
        <w:t xml:space="preserve">The second claim (pleaded without prejudice to the misrepresentation claim) was to the effect that </w:t>
      </w:r>
      <w:r w:rsidR="00486B0F">
        <w:t>Talos and IBRC were concurrent wrongdoers within the meaning of the Civil Liability Act 1961 (“</w:t>
      </w:r>
      <w:r w:rsidR="00486B0F" w:rsidRPr="00486B0F">
        <w:rPr>
          <w:i/>
        </w:rPr>
        <w:t>the 1961 Act”)</w:t>
      </w:r>
      <w:r w:rsidR="00486B0F">
        <w:t xml:space="preserve"> so that (</w:t>
      </w:r>
      <w:r w:rsidR="00B14778">
        <w:t xml:space="preserve">so </w:t>
      </w:r>
      <w:r w:rsidR="00486B0F">
        <w:t xml:space="preserve">it was said) </w:t>
      </w:r>
      <w:r w:rsidR="00486B0F" w:rsidRPr="00486B0F">
        <w:rPr>
          <w:i/>
        </w:rPr>
        <w:t>“</w:t>
      </w:r>
      <w:r w:rsidR="00486B0F" w:rsidRPr="00486B0F">
        <w:rPr>
          <w:rFonts w:cs="Times New Roman"/>
          <w:i/>
          <w:szCs w:val="24"/>
        </w:rPr>
        <w:t>all/any payment or other consideration accruing to [Talos] under the IBRC settlement must be treated in accordance with the provisions of Section 17(2) of the [1961 Act] and the liability of the Plaintiff under the judgment in the summary proceedings must be diminished in the manner therein specified</w:t>
      </w:r>
      <w:r w:rsidR="00486B0F">
        <w:rPr>
          <w:rFonts w:cs="Times New Roman"/>
          <w:i/>
          <w:szCs w:val="24"/>
        </w:rPr>
        <w:t xml:space="preserve">.” </w:t>
      </w:r>
      <w:r w:rsidR="00486B0F">
        <w:rPr>
          <w:rFonts w:cs="Times New Roman"/>
          <w:szCs w:val="24"/>
        </w:rPr>
        <w:t>A declaration to this effect was sought, along with damages for breach of section 17(2) of the 1961 Act.</w:t>
      </w:r>
    </w:p>
    <w:p w14:paraId="1C36323A" w14:textId="77777777" w:rsidR="008022C7" w:rsidRPr="00486B0F" w:rsidRDefault="008022C7" w:rsidP="008022C7">
      <w:pPr>
        <w:pStyle w:val="ListParagraph"/>
      </w:pPr>
    </w:p>
    <w:p w14:paraId="6631A459" w14:textId="194517D4" w:rsidR="00486B0F" w:rsidRDefault="00486B0F" w:rsidP="00984D3E">
      <w:pPr>
        <w:pStyle w:val="ListParagraph"/>
        <w:numPr>
          <w:ilvl w:val="0"/>
          <w:numId w:val="1"/>
        </w:numPr>
        <w:ind w:hanging="720"/>
      </w:pPr>
      <w:r>
        <w:t xml:space="preserve">The Statement of Claim was amended in November 2016 to </w:t>
      </w:r>
      <w:r w:rsidR="00B14778">
        <w:t>rely on</w:t>
      </w:r>
      <w:r>
        <w:t xml:space="preserve"> Mr Brennan’s letter of 25 March 2015 as constituting notification to Talos </w:t>
      </w:r>
      <w:r w:rsidR="00957E7F">
        <w:t>that Dr Sheehan’s only</w:t>
      </w:r>
      <w:r w:rsidR="008022C7">
        <w:t xml:space="preserve"> intention and</w:t>
      </w:r>
      <w:r w:rsidR="00957E7F">
        <w:t xml:space="preserve"> motivation in seeking to re</w:t>
      </w:r>
      <w:r w:rsidR="008022C7">
        <w:t xml:space="preserve">gain control of JCS was to litigate the issue of the forfeited </w:t>
      </w:r>
      <w:r w:rsidR="008D4D9E">
        <w:t>Deposit</w:t>
      </w:r>
      <w:r w:rsidR="008022C7">
        <w:t>. Surprisingly</w:t>
      </w:r>
      <w:r w:rsidR="003D5C9B">
        <w:t xml:space="preserve"> – given the weight subsequently placed on </w:t>
      </w:r>
      <w:r w:rsidR="00137305">
        <w:t>this letter</w:t>
      </w:r>
      <w:r w:rsidR="003D5C9B">
        <w:t xml:space="preserve"> by Dr Sheehan - </w:t>
      </w:r>
      <w:r w:rsidR="008022C7">
        <w:t xml:space="preserve"> it </w:t>
      </w:r>
      <w:r w:rsidR="003D5C9B">
        <w:t>seems</w:t>
      </w:r>
      <w:r w:rsidR="008022C7">
        <w:t xml:space="preserve"> that </w:t>
      </w:r>
      <w:r w:rsidR="00137305">
        <w:t>it</w:t>
      </w:r>
      <w:r w:rsidR="008022C7">
        <w:t xml:space="preserve"> had been overlooked when the Statement of Claim was drafted</w:t>
      </w:r>
      <w:r w:rsidR="00137305">
        <w:t xml:space="preserve">. In fact, the Statement of Claim </w:t>
      </w:r>
      <w:r w:rsidR="008022C7">
        <w:t>had originally pleaded</w:t>
      </w:r>
      <w:r w:rsidR="009D29DE">
        <w:t xml:space="preserve"> - </w:t>
      </w:r>
      <w:r w:rsidR="008022C7">
        <w:t>“</w:t>
      </w:r>
      <w:r w:rsidR="008022C7" w:rsidRPr="008022C7">
        <w:rPr>
          <w:i/>
        </w:rPr>
        <w:t>for the avoidance of doubt”</w:t>
      </w:r>
      <w:r w:rsidR="009D29DE">
        <w:t>-</w:t>
      </w:r>
      <w:r w:rsidR="008022C7">
        <w:t xml:space="preserve"> that Dr Sheehan was </w:t>
      </w:r>
      <w:r w:rsidR="008022C7" w:rsidRPr="008022C7">
        <w:rPr>
          <w:i/>
        </w:rPr>
        <w:t>not</w:t>
      </w:r>
      <w:r w:rsidR="008022C7">
        <w:t xml:space="preserve"> alleging that he or his advisors had expressed that intention or motivation to Talos</w:t>
      </w:r>
      <w:r w:rsidR="009D29DE">
        <w:t>,</w:t>
      </w:r>
      <w:r w:rsidR="008022C7">
        <w:t xml:space="preserve"> though it also pleaded that Talos could not but have known that this was his intention and motivation.</w:t>
      </w:r>
    </w:p>
    <w:p w14:paraId="197ADCE6" w14:textId="77777777" w:rsidR="008022C7" w:rsidRDefault="008022C7" w:rsidP="008022C7">
      <w:pPr>
        <w:pStyle w:val="ListParagraph"/>
      </w:pPr>
    </w:p>
    <w:p w14:paraId="197932FB" w14:textId="19EDD52D" w:rsidR="00984D3E" w:rsidRDefault="002E2015" w:rsidP="00984D3E">
      <w:pPr>
        <w:pStyle w:val="ListParagraph"/>
        <w:numPr>
          <w:ilvl w:val="0"/>
          <w:numId w:val="1"/>
        </w:numPr>
        <w:ind w:hanging="720"/>
      </w:pPr>
      <w:r>
        <w:t xml:space="preserve">In its Defence and Counterclaim, </w:t>
      </w:r>
      <w:r w:rsidR="00524C2F">
        <w:t>T</w:t>
      </w:r>
      <w:r>
        <w:t>alos denied all material elements of the claim.</w:t>
      </w:r>
      <w:r w:rsidR="009C5855">
        <w:t xml:space="preserve"> The </w:t>
      </w:r>
      <w:r>
        <w:t>Counterclaim</w:t>
      </w:r>
      <w:r w:rsidR="009C5855">
        <w:t xml:space="preserve"> </w:t>
      </w:r>
      <w:r>
        <w:t xml:space="preserve">alleged that the bringing of proceedings by Dr Sheehan constituted a breach of clause 6 of the Settlement Agreement. </w:t>
      </w:r>
      <w:r w:rsidR="00863627">
        <w:t>In i</w:t>
      </w:r>
      <w:r w:rsidR="0063173D">
        <w:t>t</w:t>
      </w:r>
      <w:r w:rsidR="00863627">
        <w:t xml:space="preserve">s Defence, Talos </w:t>
      </w:r>
      <w:r w:rsidR="00E66C30">
        <w:t>referred to emails and attached schedule</w:t>
      </w:r>
      <w:r w:rsidR="0063173D">
        <w:t>s</w:t>
      </w:r>
      <w:r w:rsidR="00E66C30">
        <w:t xml:space="preserve"> sent to Dr Sheehan’s legal advisors on 22 September 2015 and 11 November 2015 and pleaded (at para 14) that:</w:t>
      </w:r>
    </w:p>
    <w:p w14:paraId="59A58F57" w14:textId="77777777" w:rsidR="00E66C30" w:rsidRDefault="00E66C30" w:rsidP="00E66C30">
      <w:pPr>
        <w:pStyle w:val="ListParagraph"/>
      </w:pPr>
    </w:p>
    <w:p w14:paraId="3F78D35F" w14:textId="77777777" w:rsidR="00E66C30" w:rsidRPr="00E66C30" w:rsidRDefault="00E66C30" w:rsidP="00E66C30">
      <w:pPr>
        <w:autoSpaceDE w:val="0"/>
        <w:autoSpaceDN w:val="0"/>
        <w:adjustRightInd w:val="0"/>
        <w:ind w:left="1418"/>
        <w:rPr>
          <w:rFonts w:cs="Times New Roman"/>
          <w:i/>
          <w:szCs w:val="24"/>
        </w:rPr>
      </w:pPr>
      <w:r w:rsidRPr="00E66C30">
        <w:rPr>
          <w:rFonts w:cs="Times New Roman"/>
          <w:i/>
          <w:szCs w:val="24"/>
        </w:rPr>
        <w:t>“b. A comparison of the schedules of 22 September 2015 and 11 November 2015 clearly shows that the amount claimed and due from JCS had reduced from €2,180,295.31 –made up of 45 entries – to €516,505.42 – made up of five entries – in the period between 22 September 2015 and 11 November 2015.</w:t>
      </w:r>
    </w:p>
    <w:p w14:paraId="1951CA64" w14:textId="3821F669" w:rsidR="00863627" w:rsidRDefault="00E66C30" w:rsidP="00E66C30">
      <w:pPr>
        <w:autoSpaceDE w:val="0"/>
        <w:autoSpaceDN w:val="0"/>
        <w:adjustRightInd w:val="0"/>
        <w:ind w:left="1418"/>
        <w:rPr>
          <w:rFonts w:cs="Times New Roman"/>
          <w:i/>
          <w:szCs w:val="24"/>
        </w:rPr>
      </w:pPr>
      <w:r w:rsidRPr="00E66C30">
        <w:rPr>
          <w:rFonts w:cs="Times New Roman"/>
          <w:i/>
          <w:szCs w:val="24"/>
        </w:rPr>
        <w:t>c. It was, and ought to have been, clear to the Plaintiff and his advisors that these</w:t>
      </w:r>
      <w:r>
        <w:rPr>
          <w:rFonts w:cs="Times New Roman"/>
          <w:i/>
          <w:szCs w:val="24"/>
        </w:rPr>
        <w:t xml:space="preserve"> </w:t>
      </w:r>
      <w:r w:rsidRPr="00E66C30">
        <w:rPr>
          <w:rFonts w:cs="Times New Roman"/>
          <w:i/>
          <w:szCs w:val="24"/>
        </w:rPr>
        <w:t>liabilities had reduced by a significant amount.”</w:t>
      </w:r>
    </w:p>
    <w:p w14:paraId="09F6F2A4" w14:textId="77777777" w:rsidR="002814E4" w:rsidRPr="00E66C30" w:rsidRDefault="002814E4" w:rsidP="00E66C30">
      <w:pPr>
        <w:autoSpaceDE w:val="0"/>
        <w:autoSpaceDN w:val="0"/>
        <w:adjustRightInd w:val="0"/>
        <w:ind w:left="1418"/>
        <w:rPr>
          <w:rFonts w:cs="Times New Roman"/>
          <w:i/>
          <w:szCs w:val="24"/>
        </w:rPr>
      </w:pPr>
    </w:p>
    <w:p w14:paraId="71CE20DD" w14:textId="462C6DDD" w:rsidR="00863627" w:rsidRDefault="00E66C30" w:rsidP="00984D3E">
      <w:pPr>
        <w:pStyle w:val="ListParagraph"/>
        <w:numPr>
          <w:ilvl w:val="0"/>
          <w:numId w:val="1"/>
        </w:numPr>
        <w:ind w:hanging="720"/>
      </w:pPr>
      <w:r>
        <w:t xml:space="preserve">This </w:t>
      </w:r>
      <w:r w:rsidR="009B77B4">
        <w:t>was a key element of Talos</w:t>
      </w:r>
      <w:r w:rsidR="0063173D">
        <w:t>’</w:t>
      </w:r>
      <w:r w:rsidR="009B77B4">
        <w:t xml:space="preserve"> defence at trial which, as we shall see, was accepted by the Judge. Dr Sheehan’s pleaded response to it s</w:t>
      </w:r>
      <w:r w:rsidR="00863627">
        <w:t xml:space="preserve">hould </w:t>
      </w:r>
      <w:r w:rsidR="0063173D">
        <w:t xml:space="preserve">also </w:t>
      </w:r>
      <w:r w:rsidR="00863627">
        <w:t xml:space="preserve">be noted. Paragraph 8 </w:t>
      </w:r>
      <w:r w:rsidR="009B77B4">
        <w:t xml:space="preserve">of the Reply and Defence to Counterclaim </w:t>
      </w:r>
      <w:r w:rsidR="00863627">
        <w:t>expressly acknowledges that “</w:t>
      </w:r>
      <w:r w:rsidR="00863627" w:rsidRPr="00863627">
        <w:rPr>
          <w:i/>
        </w:rPr>
        <w:t>the Plaintiff”</w:t>
      </w:r>
      <w:r w:rsidR="00863627">
        <w:t xml:space="preserve"> </w:t>
      </w:r>
      <w:r>
        <w:t xml:space="preserve">had </w:t>
      </w:r>
      <w:r w:rsidR="00863627">
        <w:t xml:space="preserve">noted that the liability claimed in the schedule of 11 November 2015 </w:t>
      </w:r>
      <w:r>
        <w:t>was “</w:t>
      </w:r>
      <w:r w:rsidRPr="00E66C30">
        <w:rPr>
          <w:i/>
        </w:rPr>
        <w:t>considerably lower”</w:t>
      </w:r>
      <w:r>
        <w:t xml:space="preserve"> than that claimed in the schedule of 22 September 2015. However, </w:t>
      </w:r>
      <w:r w:rsidR="0063173D">
        <w:t>paragraph 8</w:t>
      </w:r>
      <w:r>
        <w:t xml:space="preserve"> goes on to deny that the Plaintiff was cognisant that these schedules set out aggregate liabilities or that the reduced amount in the schedule of 11 November 2015 was associated with any sum having been credited against the liabilities in the schedule of 22 September</w:t>
      </w:r>
      <w:r w:rsidR="009B77B4">
        <w:t xml:space="preserve"> and reiterates the Plaintiff’s position that he was unaware of any such credit. Paragraph 9 accepts that the Plaintiff made no inquiry as to why the liability in the 11 November schedule was reduced.</w:t>
      </w:r>
    </w:p>
    <w:p w14:paraId="0BCFA384" w14:textId="77777777" w:rsidR="002E2015" w:rsidRDefault="002E2015" w:rsidP="002E2015">
      <w:pPr>
        <w:pStyle w:val="ListParagraph"/>
      </w:pPr>
    </w:p>
    <w:p w14:paraId="37C0C1B7" w14:textId="77777777" w:rsidR="002E2015" w:rsidRPr="005A5E72" w:rsidRDefault="002E2015" w:rsidP="002E2015">
      <w:pPr>
        <w:pStyle w:val="ListParagraph"/>
        <w:rPr>
          <w:b/>
          <w:i/>
        </w:rPr>
      </w:pPr>
      <w:r w:rsidRPr="005A5E72">
        <w:rPr>
          <w:b/>
          <w:i/>
        </w:rPr>
        <w:t>The Hearing in the High Court</w:t>
      </w:r>
    </w:p>
    <w:p w14:paraId="78D45D3F" w14:textId="77777777" w:rsidR="002E2015" w:rsidRDefault="002E2015" w:rsidP="002E2015">
      <w:pPr>
        <w:pStyle w:val="ListParagraph"/>
      </w:pPr>
    </w:p>
    <w:p w14:paraId="060A3CF1" w14:textId="6968D9BF" w:rsidR="002E2015" w:rsidRDefault="00524C2F" w:rsidP="00984D3E">
      <w:pPr>
        <w:pStyle w:val="ListParagraph"/>
        <w:numPr>
          <w:ilvl w:val="0"/>
          <w:numId w:val="1"/>
        </w:numPr>
        <w:ind w:hanging="720"/>
      </w:pPr>
      <w:r>
        <w:t>In due course the pleadings closed and the action proceed</w:t>
      </w:r>
      <w:r w:rsidR="009D29DE">
        <w:t>ed</w:t>
      </w:r>
      <w:r>
        <w:t xml:space="preserve"> to trial in the Commercial list. </w:t>
      </w:r>
      <w:r w:rsidR="00340690">
        <w:t>W</w:t>
      </w:r>
      <w:r>
        <w:t xml:space="preserve">itness statements were exchanged in advance of the hearing and one of the </w:t>
      </w:r>
      <w:r>
        <w:lastRenderedPageBreak/>
        <w:t xml:space="preserve">witness statements delivered by Talos was from Arthur Lawrence QC </w:t>
      </w:r>
      <w:r w:rsidR="00B14778">
        <w:t xml:space="preserve">which </w:t>
      </w:r>
      <w:r>
        <w:t>address</w:t>
      </w:r>
      <w:r w:rsidR="00B14778">
        <w:t>ed</w:t>
      </w:r>
      <w:r>
        <w:t xml:space="preserve"> </w:t>
      </w:r>
      <w:r w:rsidR="00A825B1">
        <w:t>a number of specific</w:t>
      </w:r>
      <w:r>
        <w:t xml:space="preserve"> issues of English law</w:t>
      </w:r>
      <w:r w:rsidR="00A825B1">
        <w:t xml:space="preserve"> said to arise in </w:t>
      </w:r>
      <w:r w:rsidR="00917698">
        <w:t>the proceedings.</w:t>
      </w:r>
      <w:r w:rsidR="001E7AEB">
        <w:rPr>
          <w:rStyle w:val="FootnoteReference"/>
        </w:rPr>
        <w:footnoteReference w:id="1"/>
      </w:r>
      <w:r>
        <w:t xml:space="preserve">  While it had not been pleaded that </w:t>
      </w:r>
      <w:r w:rsidR="00917698">
        <w:t>any part of the</w:t>
      </w:r>
      <w:r w:rsidR="00A825B1">
        <w:t xml:space="preserve"> claim was </w:t>
      </w:r>
      <w:r>
        <w:t>governed by English law</w:t>
      </w:r>
      <w:r w:rsidR="00A825B1">
        <w:t xml:space="preserve"> (an Amended Defence and Counterclaim </w:t>
      </w:r>
      <w:r w:rsidR="00B14778">
        <w:t xml:space="preserve">may have </w:t>
      </w:r>
      <w:r w:rsidR="00A825B1">
        <w:t xml:space="preserve">been delivered subsequently </w:t>
      </w:r>
      <w:r w:rsidR="00B14778">
        <w:t xml:space="preserve">containing </w:t>
      </w:r>
      <w:r w:rsidR="00A825B1">
        <w:t>such a plea)</w:t>
      </w:r>
      <w:r>
        <w:t xml:space="preserve"> it was ultimately </w:t>
      </w:r>
      <w:r w:rsidR="00A825B1">
        <w:t>agreed</w:t>
      </w:r>
      <w:r>
        <w:t xml:space="preserve"> that </w:t>
      </w:r>
      <w:r w:rsidR="00A8564F">
        <w:t>this was the case as regards the misrepresentation claim. In d</w:t>
      </w:r>
      <w:r>
        <w:t xml:space="preserve">ue course Dr Sheehan’s side produced a witness statement from Richard Salter QC. That in turn prompted a further statement from Mr Lawrence the contents of which, </w:t>
      </w:r>
      <w:r w:rsidR="0024655D">
        <w:t>we were told</w:t>
      </w:r>
      <w:r>
        <w:t xml:space="preserve">, </w:t>
      </w:r>
      <w:r w:rsidR="0024655D">
        <w:t>had been</w:t>
      </w:r>
      <w:r>
        <w:t xml:space="preserve"> accepted by Mr Salter. In these circumstances the statements were admitted into evidence by agreement and neither Mr Lawrence nor Mr Salter was called to give oral evidence. Reference will be made to their </w:t>
      </w:r>
      <w:r w:rsidR="00AE55EF">
        <w:t>written</w:t>
      </w:r>
      <w:r>
        <w:t xml:space="preserve"> evidence in due course.</w:t>
      </w:r>
    </w:p>
    <w:p w14:paraId="51D09130" w14:textId="77777777" w:rsidR="00524C2F" w:rsidRDefault="00524C2F" w:rsidP="00524C2F">
      <w:pPr>
        <w:pStyle w:val="ListParagraph"/>
      </w:pPr>
    </w:p>
    <w:p w14:paraId="495EBBA6" w14:textId="23875FB7" w:rsidR="006171A5" w:rsidRPr="006171A5" w:rsidRDefault="00524C2F" w:rsidP="006171A5">
      <w:pPr>
        <w:pStyle w:val="ListParagraph"/>
        <w:numPr>
          <w:ilvl w:val="0"/>
          <w:numId w:val="1"/>
        </w:numPr>
        <w:ind w:hanging="720"/>
        <w:rPr>
          <w:rFonts w:cs="Times New Roman"/>
          <w:szCs w:val="24"/>
        </w:rPr>
      </w:pPr>
      <w:r>
        <w:t xml:space="preserve">The Judge heard the action over </w:t>
      </w:r>
      <w:r w:rsidR="00AE55EF">
        <w:t>7</w:t>
      </w:r>
      <w:r w:rsidR="00351553">
        <w:t xml:space="preserve"> hearing days</w:t>
      </w:r>
      <w:r w:rsidR="00AE55EF">
        <w:t xml:space="preserve"> in April 2018.</w:t>
      </w:r>
      <w:r w:rsidR="00351553">
        <w:t xml:space="preserve"> Mr Shannon, Mr Hickey and Mr Brennan gave evidence on behalf of Dr Sheehan. Dr Sheehan himself was not called to give evidence </w:t>
      </w:r>
      <w:r w:rsidR="00B14778">
        <w:t xml:space="preserve">even </w:t>
      </w:r>
      <w:r w:rsidR="00351553">
        <w:t xml:space="preserve">though he had provided a witness statement.  </w:t>
      </w:r>
      <w:r w:rsidR="006171A5">
        <w:t xml:space="preserve">At the conclusion of day 3, immediately </w:t>
      </w:r>
      <w:r w:rsidR="00003032">
        <w:t xml:space="preserve">after </w:t>
      </w:r>
      <w:r w:rsidR="006171A5">
        <w:t xml:space="preserve">the evidence of Mr Hickey, </w:t>
      </w:r>
      <w:r w:rsidR="00177FA1">
        <w:t>c</w:t>
      </w:r>
      <w:r w:rsidR="006171A5">
        <w:t xml:space="preserve">ounsel for Dr Sheehan indicated to the Court that he had </w:t>
      </w:r>
      <w:r w:rsidR="00B14778">
        <w:t xml:space="preserve">made the decision </w:t>
      </w:r>
      <w:r w:rsidR="006171A5">
        <w:t>not to call Dr Sheehan. In explanation of that decision, he referred to the fact that the claim under the 1961 Act (which, in his opening, he had characterised as “</w:t>
      </w:r>
      <w:r w:rsidR="006171A5" w:rsidRPr="006171A5">
        <w:rPr>
          <w:i/>
        </w:rPr>
        <w:t>the first claim</w:t>
      </w:r>
      <w:r w:rsidR="006171A5">
        <w:t xml:space="preserve">”) depended on the </w:t>
      </w:r>
      <w:r w:rsidR="006171A5">
        <w:lastRenderedPageBreak/>
        <w:t>characterisation of undisputed facts. As regards the misrepresentation claim (which counsel in his opening had characterised as “</w:t>
      </w:r>
      <w:r w:rsidR="006171A5" w:rsidRPr="006171A5">
        <w:rPr>
          <w:i/>
        </w:rPr>
        <w:t>an alternative claim”</w:t>
      </w:r>
      <w:r w:rsidR="006171A5">
        <w:t xml:space="preserve">), </w:t>
      </w:r>
      <w:r w:rsidR="004C0481">
        <w:t>he</w:t>
      </w:r>
      <w:r w:rsidR="006171A5">
        <w:t xml:space="preserve"> explained that the claim depended on </w:t>
      </w:r>
      <w:r w:rsidR="006171A5" w:rsidRPr="006171A5">
        <w:rPr>
          <w:rFonts w:cs="Times New Roman"/>
          <w:szCs w:val="24"/>
        </w:rPr>
        <w:t>the communications between Mr. McLean, Mr. Hickey and Mr. Shannon on the Plaintiff’s side and Mr. Simons</w:t>
      </w:r>
      <w:r w:rsidR="009D29DE">
        <w:rPr>
          <w:rFonts w:cs="Times New Roman"/>
          <w:szCs w:val="24"/>
        </w:rPr>
        <w:t>,</w:t>
      </w:r>
      <w:r w:rsidR="006171A5" w:rsidRPr="006171A5">
        <w:rPr>
          <w:rFonts w:cs="Times New Roman"/>
          <w:szCs w:val="24"/>
        </w:rPr>
        <w:t xml:space="preserve"> informed by Mr. Livingstone</w:t>
      </w:r>
      <w:r w:rsidR="009D29DE">
        <w:rPr>
          <w:rFonts w:cs="Times New Roman"/>
          <w:szCs w:val="24"/>
        </w:rPr>
        <w:t>,</w:t>
      </w:r>
      <w:r w:rsidR="006171A5" w:rsidRPr="006171A5">
        <w:rPr>
          <w:rFonts w:cs="Times New Roman"/>
          <w:szCs w:val="24"/>
        </w:rPr>
        <w:t xml:space="preserve"> on the other side and observed that the Court was</w:t>
      </w:r>
      <w:r w:rsidR="006171A5" w:rsidRPr="006171A5">
        <w:rPr>
          <w:rFonts w:cs="Times New Roman"/>
          <w:i/>
          <w:szCs w:val="24"/>
        </w:rPr>
        <w:t xml:space="preserve"> “going to hear first hand evidence from all of those people about what was said, the context of it and what they understood by the communications.”</w:t>
      </w:r>
      <w:r w:rsidR="006171A5">
        <w:rPr>
          <w:rFonts w:cs="Times New Roman"/>
          <w:i/>
          <w:szCs w:val="24"/>
        </w:rPr>
        <w:t xml:space="preserve"> </w:t>
      </w:r>
    </w:p>
    <w:p w14:paraId="5251A7A5" w14:textId="77777777" w:rsidR="006171A5" w:rsidRDefault="006171A5" w:rsidP="006171A5">
      <w:pPr>
        <w:pStyle w:val="ListParagraph"/>
      </w:pPr>
    </w:p>
    <w:p w14:paraId="219944B4" w14:textId="7C24F2D2" w:rsidR="00524C2F" w:rsidRDefault="006171A5" w:rsidP="00984D3E">
      <w:pPr>
        <w:pStyle w:val="ListParagraph"/>
        <w:numPr>
          <w:ilvl w:val="0"/>
          <w:numId w:val="1"/>
        </w:numPr>
        <w:ind w:hanging="720"/>
      </w:pPr>
      <w:r>
        <w:t>Talos also called three witnesses</w:t>
      </w:r>
      <w:r w:rsidR="0092668A">
        <w:t>. The first was</w:t>
      </w:r>
      <w:r>
        <w:t xml:space="preserve"> Mr Hal Livingstone</w:t>
      </w:r>
      <w:r w:rsidR="0092668A">
        <w:t xml:space="preserve">, legal counsel of TCI Fund Services LLP, which provided legal and other services to TCI Fund Management, which had managed Talos as and from 29 June 2015.  Kieran Wallace, one of the Special Liquidators of IBRC, </w:t>
      </w:r>
      <w:r w:rsidR="00B14778">
        <w:t>then</w:t>
      </w:r>
      <w:r w:rsidR="0092668A">
        <w:t xml:space="preserve"> gave evidence, followed by Mr Simons. </w:t>
      </w:r>
      <w:r w:rsidR="00351553">
        <w:t xml:space="preserve"> </w:t>
      </w:r>
    </w:p>
    <w:p w14:paraId="0FED661D" w14:textId="77777777" w:rsidR="00AE55EF" w:rsidRDefault="00AE55EF" w:rsidP="00AE55EF">
      <w:pPr>
        <w:pStyle w:val="ListParagraph"/>
      </w:pPr>
    </w:p>
    <w:p w14:paraId="21732D45" w14:textId="5EB27246" w:rsidR="00524C2F" w:rsidRPr="00B82002" w:rsidRDefault="00AE55EF" w:rsidP="00524C2F">
      <w:pPr>
        <w:pStyle w:val="ListParagraph"/>
        <w:numPr>
          <w:ilvl w:val="0"/>
          <w:numId w:val="1"/>
        </w:numPr>
        <w:ind w:hanging="720"/>
      </w:pPr>
      <w:r>
        <w:t xml:space="preserve">In the course of the hearing, Dr Sheehan’s misrepresentation claim altered somewhat. </w:t>
      </w:r>
      <w:r w:rsidR="00E81D3A">
        <w:t>During</w:t>
      </w:r>
      <w:r w:rsidR="00B82002">
        <w:t xml:space="preserve"> counsel’s opening, the Judge was asked by consent to delete the </w:t>
      </w:r>
      <w:r>
        <w:t>words “</w:t>
      </w:r>
      <w:r w:rsidRPr="00B82002">
        <w:rPr>
          <w:i/>
        </w:rPr>
        <w:t>by silence</w:t>
      </w:r>
      <w:r>
        <w:t xml:space="preserve">” </w:t>
      </w:r>
      <w:r w:rsidR="00B82002">
        <w:t>from</w:t>
      </w:r>
      <w:r>
        <w:t xml:space="preserve"> particulars (a) and (b) in paragraph 34 of the Amended Statement of Claim</w:t>
      </w:r>
      <w:r w:rsidR="00B82002">
        <w:t>.</w:t>
      </w:r>
      <w:r w:rsidR="00B82002">
        <w:rPr>
          <w:rStyle w:val="FootnoteReference"/>
        </w:rPr>
        <w:footnoteReference w:id="2"/>
      </w:r>
      <w:r w:rsidR="00B82002">
        <w:t xml:space="preserve"> </w:t>
      </w:r>
      <w:r>
        <w:t xml:space="preserve"> </w:t>
      </w:r>
      <w:r w:rsidR="00B82002">
        <w:t xml:space="preserve">In the course of counsel’s closing submissions, it was indicated to the Judge that Dr Sheehan was no longer relying on the second part of the allegation in particular (c). While Dr Sheehan was </w:t>
      </w:r>
      <w:r w:rsidR="00B14778">
        <w:t xml:space="preserve">continuing to </w:t>
      </w:r>
      <w:r w:rsidR="00B82002">
        <w:t>maintai</w:t>
      </w:r>
      <w:r w:rsidR="00B14778">
        <w:t xml:space="preserve">n </w:t>
      </w:r>
      <w:r w:rsidR="00B82002">
        <w:t>that Talos “</w:t>
      </w:r>
      <w:r w:rsidR="00B82002" w:rsidRPr="00B82002">
        <w:rPr>
          <w:rFonts w:cs="Times New Roman"/>
          <w:i/>
          <w:szCs w:val="24"/>
        </w:rPr>
        <w:t>falsely represented that the entirety of the liability pursuant to the U.K. costs Orders remained outstanding in circumstances where the Defendant knew that a proportion of the said liability had been discharged from the IBRC settlement monies</w:t>
      </w:r>
      <w:r w:rsidR="00B82002">
        <w:rPr>
          <w:rFonts w:cs="Times New Roman"/>
          <w:i/>
          <w:szCs w:val="24"/>
        </w:rPr>
        <w:t>”</w:t>
      </w:r>
      <w:r w:rsidR="00B14778">
        <w:rPr>
          <w:rFonts w:cs="Times New Roman"/>
          <w:i/>
          <w:szCs w:val="24"/>
        </w:rPr>
        <w:t xml:space="preserve"> </w:t>
      </w:r>
      <w:r w:rsidR="00713EFF" w:rsidRPr="00713EFF">
        <w:rPr>
          <w:rFonts w:cs="Times New Roman"/>
          <w:szCs w:val="24"/>
        </w:rPr>
        <w:t>(</w:t>
      </w:r>
      <w:r w:rsidR="00B82002">
        <w:rPr>
          <w:rFonts w:cs="Times New Roman"/>
          <w:szCs w:val="24"/>
        </w:rPr>
        <w:t xml:space="preserve">and in the course of this </w:t>
      </w:r>
      <w:r w:rsidR="00B82002">
        <w:rPr>
          <w:rFonts w:cs="Times New Roman"/>
          <w:szCs w:val="24"/>
        </w:rPr>
        <w:lastRenderedPageBreak/>
        <w:t xml:space="preserve">discussion, it was made clear that this was indeed an allegation of </w:t>
      </w:r>
      <w:r w:rsidR="00B82002" w:rsidRPr="009D29DE">
        <w:rPr>
          <w:rFonts w:cs="Times New Roman"/>
          <w:i/>
          <w:szCs w:val="24"/>
        </w:rPr>
        <w:t>fraudulent</w:t>
      </w:r>
      <w:r w:rsidR="00B82002">
        <w:rPr>
          <w:rFonts w:cs="Times New Roman"/>
          <w:szCs w:val="24"/>
        </w:rPr>
        <w:t xml:space="preserve"> misrepresentation</w:t>
      </w:r>
      <w:r w:rsidR="00713EFF">
        <w:rPr>
          <w:rFonts w:cs="Times New Roman"/>
          <w:szCs w:val="24"/>
        </w:rPr>
        <w:t xml:space="preserve">), </w:t>
      </w:r>
      <w:r w:rsidR="00B14778">
        <w:rPr>
          <w:rFonts w:cs="Times New Roman"/>
          <w:szCs w:val="24"/>
        </w:rPr>
        <w:t xml:space="preserve">counsel explained that </w:t>
      </w:r>
      <w:r w:rsidR="00B82002">
        <w:rPr>
          <w:rFonts w:cs="Times New Roman"/>
          <w:szCs w:val="24"/>
        </w:rPr>
        <w:t>Dr Sheehan was no longer alleging that Talos “</w:t>
      </w:r>
      <w:r w:rsidR="00B82002" w:rsidRPr="00B82002">
        <w:rPr>
          <w:rFonts w:cs="Times New Roman"/>
          <w:i/>
          <w:szCs w:val="24"/>
        </w:rPr>
        <w:t>well knew that if it stated that a proportion of the said liability had been discharged the Plaintiff would thereby be alerted to the fact of the IBRC settlement.”</w:t>
      </w:r>
      <w:r w:rsidR="00B82002">
        <w:rPr>
          <w:rFonts w:cs="Times New Roman"/>
          <w:i/>
          <w:szCs w:val="24"/>
        </w:rPr>
        <w:t xml:space="preserve"> </w:t>
      </w:r>
      <w:r w:rsidR="00B82002">
        <w:rPr>
          <w:rFonts w:cs="Times New Roman"/>
          <w:szCs w:val="24"/>
        </w:rPr>
        <w:t>That was, counsel said, “</w:t>
      </w:r>
      <w:r w:rsidR="00B82002" w:rsidRPr="00B82002">
        <w:rPr>
          <w:rFonts w:cs="Times New Roman"/>
          <w:i/>
          <w:szCs w:val="24"/>
        </w:rPr>
        <w:t xml:space="preserve">an imputation that this was a separate and conscious lie on the part of Mr Simons” </w:t>
      </w:r>
      <w:r w:rsidR="00B82002">
        <w:rPr>
          <w:rFonts w:cs="Times New Roman"/>
          <w:szCs w:val="24"/>
        </w:rPr>
        <w:t>and Dr Sheehan was not proceeding with it.</w:t>
      </w:r>
      <w:r w:rsidR="00B82002">
        <w:rPr>
          <w:rStyle w:val="FootnoteReference"/>
          <w:rFonts w:cs="Times New Roman"/>
          <w:szCs w:val="24"/>
        </w:rPr>
        <w:footnoteReference w:id="3"/>
      </w:r>
      <w:r w:rsidR="00B82002">
        <w:rPr>
          <w:rFonts w:cs="Times New Roman"/>
          <w:szCs w:val="24"/>
        </w:rPr>
        <w:t xml:space="preserve"> No </w:t>
      </w:r>
      <w:r w:rsidR="00EE6EE8">
        <w:rPr>
          <w:rFonts w:cs="Times New Roman"/>
          <w:szCs w:val="24"/>
        </w:rPr>
        <w:t>Re</w:t>
      </w:r>
      <w:r w:rsidR="00825811">
        <w:rPr>
          <w:rFonts w:cs="Times New Roman"/>
          <w:szCs w:val="24"/>
        </w:rPr>
        <w:t>-A</w:t>
      </w:r>
      <w:r w:rsidR="00EE6EE8">
        <w:rPr>
          <w:rFonts w:cs="Times New Roman"/>
          <w:szCs w:val="24"/>
        </w:rPr>
        <w:t>mended Statement of Claim incorporating these changes appears to have been delivered</w:t>
      </w:r>
      <w:r w:rsidR="00E81D3A">
        <w:rPr>
          <w:rFonts w:cs="Times New Roman"/>
          <w:szCs w:val="24"/>
        </w:rPr>
        <w:t>.</w:t>
      </w:r>
    </w:p>
    <w:p w14:paraId="5A9C7586" w14:textId="77777777" w:rsidR="00B82002" w:rsidRPr="00B82002" w:rsidRDefault="00B82002" w:rsidP="00B82002">
      <w:pPr>
        <w:pStyle w:val="ListParagraph"/>
      </w:pPr>
    </w:p>
    <w:p w14:paraId="3F557E21" w14:textId="2AEB8FE3" w:rsidR="00B82002" w:rsidRDefault="00E05C66" w:rsidP="00524C2F">
      <w:pPr>
        <w:pStyle w:val="ListParagraph"/>
        <w:numPr>
          <w:ilvl w:val="0"/>
          <w:numId w:val="1"/>
        </w:numPr>
        <w:ind w:hanging="720"/>
      </w:pPr>
      <w:r>
        <w:t>O</w:t>
      </w:r>
      <w:r w:rsidR="00EE6EE8">
        <w:t xml:space="preserve">ne other aspect of the High Court </w:t>
      </w:r>
      <w:r w:rsidR="004F754C">
        <w:t>proceedings</w:t>
      </w:r>
      <w:r w:rsidR="00EE6EE8">
        <w:t xml:space="preserve"> </w:t>
      </w:r>
      <w:r>
        <w:t xml:space="preserve">should be </w:t>
      </w:r>
      <w:r w:rsidR="004F754C">
        <w:t>mentioned</w:t>
      </w:r>
      <w:r>
        <w:t xml:space="preserve">. I have </w:t>
      </w:r>
      <w:r w:rsidR="004F754C">
        <w:t>explained</w:t>
      </w:r>
      <w:r>
        <w:t xml:space="preserve"> that the parties </w:t>
      </w:r>
      <w:r w:rsidR="00CD0555">
        <w:t xml:space="preserve">agreed </w:t>
      </w:r>
      <w:r>
        <w:t>that the misrepresentation claim was governed by English law and that the</w:t>
      </w:r>
      <w:r w:rsidR="00CD0555">
        <w:t xml:space="preserve">y had also </w:t>
      </w:r>
      <w:r>
        <w:t>agreed to admit the witness statements of their respective experts on English law as their evidence</w:t>
      </w:r>
      <w:r w:rsidR="009D29DE">
        <w:t xml:space="preserve">, without the necessity for </w:t>
      </w:r>
      <w:r w:rsidR="0040060C">
        <w:t xml:space="preserve">either to </w:t>
      </w:r>
      <w:r w:rsidR="00CD0555">
        <w:t xml:space="preserve">attend </w:t>
      </w:r>
      <w:r w:rsidR="0040060C">
        <w:t>to give oral evidence</w:t>
      </w:r>
      <w:r w:rsidR="00B14778">
        <w:t xml:space="preserve"> or be cross-examined</w:t>
      </w:r>
      <w:r>
        <w:t xml:space="preserve">.  </w:t>
      </w:r>
      <w:r w:rsidR="00CD0555">
        <w:t>While those</w:t>
      </w:r>
      <w:r w:rsidR="00E8357D">
        <w:t xml:space="preserve"> witness statements are detailed and illuminating</w:t>
      </w:r>
      <w:r w:rsidR="00CD0555">
        <w:t xml:space="preserve">, they </w:t>
      </w:r>
      <w:r w:rsidR="00E8357D">
        <w:t>are</w:t>
      </w:r>
      <w:r>
        <w:t xml:space="preserve"> </w:t>
      </w:r>
      <w:r w:rsidR="004F754C">
        <w:t xml:space="preserve">also </w:t>
      </w:r>
      <w:r w:rsidR="000D1F77">
        <w:t>limited</w:t>
      </w:r>
      <w:r>
        <w:t xml:space="preserve"> in scope, addressing only the specific issues which had been put to the</w:t>
      </w:r>
      <w:r w:rsidR="00825811">
        <w:t xml:space="preserve"> witnesses</w:t>
      </w:r>
      <w:r>
        <w:t xml:space="preserve"> for </w:t>
      </w:r>
      <w:r w:rsidR="00825811">
        <w:t>analysis</w:t>
      </w:r>
      <w:r>
        <w:t>.</w:t>
      </w:r>
      <w:r w:rsidR="009C6758">
        <w:t xml:space="preserve"> Naturally, t</w:t>
      </w:r>
      <w:r>
        <w:t xml:space="preserve">he statements did not purport to set out the entirety of English law on actionable misrepresentation. This gave rise to difficulty </w:t>
      </w:r>
      <w:r w:rsidR="004B6A49">
        <w:t xml:space="preserve">when, </w:t>
      </w:r>
      <w:r>
        <w:t>in the course of the closing submissions of counsel</w:t>
      </w:r>
      <w:r w:rsidR="004B6A49">
        <w:t xml:space="preserve">, </w:t>
      </w:r>
      <w:r>
        <w:t xml:space="preserve">issues </w:t>
      </w:r>
      <w:r w:rsidR="00A71BDB">
        <w:t xml:space="preserve">were raised by the Judge </w:t>
      </w:r>
      <w:r>
        <w:t>about elements of actionable misrepresentation such as reliance</w:t>
      </w:r>
      <w:r w:rsidR="00A71BDB">
        <w:t>/</w:t>
      </w:r>
      <w:r>
        <w:t>inducement</w:t>
      </w:r>
      <w:r w:rsidR="00A71BDB">
        <w:t>/causation</w:t>
      </w:r>
      <w:r>
        <w:t xml:space="preserve"> that were not addressed</w:t>
      </w:r>
      <w:r w:rsidR="008263CF">
        <w:t xml:space="preserve"> (or </w:t>
      </w:r>
      <w:r w:rsidR="00B14778">
        <w:t xml:space="preserve">not </w:t>
      </w:r>
      <w:r w:rsidR="008263CF">
        <w:t xml:space="preserve">addressed </w:t>
      </w:r>
      <w:r w:rsidR="00B14778">
        <w:t xml:space="preserve">in any detail) </w:t>
      </w:r>
      <w:r>
        <w:t>in the expert evidence.</w:t>
      </w:r>
      <w:r w:rsidR="00A71BDB">
        <w:t xml:space="preserve"> </w:t>
      </w:r>
      <w:r w:rsidR="008263CF">
        <w:t>Such</w:t>
      </w:r>
      <w:r w:rsidR="00A71BDB">
        <w:t xml:space="preserve"> issues were, </w:t>
      </w:r>
      <w:r w:rsidR="000D1F77">
        <w:t xml:space="preserve">arguably, </w:t>
      </w:r>
      <w:r w:rsidR="00A71BDB">
        <w:t xml:space="preserve">particularly </w:t>
      </w:r>
      <w:r w:rsidR="000D1F77">
        <w:t>pertinent</w:t>
      </w:r>
      <w:r w:rsidR="00A71BDB">
        <w:t xml:space="preserve"> in light of the fact that Dr Sheehan had not been called </w:t>
      </w:r>
      <w:r w:rsidR="0040060C">
        <w:t xml:space="preserve">(a scenario that neither expert had </w:t>
      </w:r>
      <w:r w:rsidR="00CD0555">
        <w:t xml:space="preserve">explicitly </w:t>
      </w:r>
      <w:r w:rsidR="0040060C">
        <w:t xml:space="preserve">considered in their respective reports) </w:t>
      </w:r>
      <w:r w:rsidR="00A71BDB">
        <w:t xml:space="preserve">but they are issues that require to be addressed </w:t>
      </w:r>
      <w:r w:rsidR="00A71BDB">
        <w:lastRenderedPageBreak/>
        <w:t>in any claim for misrepresentation</w:t>
      </w:r>
      <w:r w:rsidR="009C6758">
        <w:t xml:space="preserve"> and the parties and their advisors ought to have anticipated that they would arise here</w:t>
      </w:r>
      <w:r w:rsidR="000860B6">
        <w:t>.</w:t>
      </w:r>
    </w:p>
    <w:p w14:paraId="4DD499C5" w14:textId="77777777" w:rsidR="004B6A49" w:rsidRDefault="004B6A49" w:rsidP="004B6A49">
      <w:pPr>
        <w:pStyle w:val="ListParagraph"/>
      </w:pPr>
    </w:p>
    <w:p w14:paraId="701BF5FA" w14:textId="07212B06" w:rsidR="000D1F77" w:rsidRDefault="00E47286" w:rsidP="00344DC1">
      <w:pPr>
        <w:pStyle w:val="ListParagraph"/>
        <w:numPr>
          <w:ilvl w:val="0"/>
          <w:numId w:val="1"/>
        </w:numPr>
        <w:ind w:hanging="720"/>
      </w:pPr>
      <w:r>
        <w:t xml:space="preserve">The parties had agreed that the misrepresentation </w:t>
      </w:r>
      <w:r w:rsidR="00344DC1">
        <w:t>claim was governed by English law. That being so, it was the</w:t>
      </w:r>
      <w:r w:rsidR="006F5DE6">
        <w:t>ir r</w:t>
      </w:r>
      <w:r w:rsidR="0040060C">
        <w:t>esponsibility</w:t>
      </w:r>
      <w:r w:rsidR="00344DC1">
        <w:t xml:space="preserve"> to</w:t>
      </w:r>
      <w:r w:rsidR="006F5DE6">
        <w:t xml:space="preserve"> ensure</w:t>
      </w:r>
      <w:r w:rsidR="00344DC1">
        <w:t xml:space="preserve"> that appropriate evidence of English law was put before the High Court </w:t>
      </w:r>
      <w:r w:rsidR="00B14778">
        <w:t xml:space="preserve">so as </w:t>
      </w:r>
      <w:r w:rsidR="00344DC1">
        <w:t>to allow th</w:t>
      </w:r>
      <w:r w:rsidR="006F5DE6">
        <w:t>at</w:t>
      </w:r>
      <w:r w:rsidR="00344DC1">
        <w:t xml:space="preserve"> claim to be adjudicated. </w:t>
      </w:r>
      <w:r w:rsidR="0040060C">
        <w:t xml:space="preserve">That required evidence </w:t>
      </w:r>
      <w:r w:rsidR="00CD0555">
        <w:t>a</w:t>
      </w:r>
      <w:r w:rsidR="0040060C">
        <w:t>ddress</w:t>
      </w:r>
      <w:r w:rsidR="00CD0555">
        <w:t>ing</w:t>
      </w:r>
      <w:r w:rsidR="0040060C">
        <w:t xml:space="preserve"> </w:t>
      </w:r>
      <w:r w:rsidR="0040060C" w:rsidRPr="0040060C">
        <w:rPr>
          <w:i/>
        </w:rPr>
        <w:t>all</w:t>
      </w:r>
      <w:r w:rsidR="0040060C">
        <w:t xml:space="preserve"> relevant issues in dispute</w:t>
      </w:r>
      <w:r w:rsidR="00D0304D">
        <w:t xml:space="preserve"> (and/or potentially in dispute)</w:t>
      </w:r>
      <w:r w:rsidR="0040060C">
        <w:t xml:space="preserve">. </w:t>
      </w:r>
      <w:r w:rsidR="00D0304D">
        <w:t xml:space="preserve">The evidence furnished to the Court manifestly did not do so.  </w:t>
      </w:r>
    </w:p>
    <w:p w14:paraId="7BB868BC" w14:textId="77777777" w:rsidR="000D1F77" w:rsidRDefault="000D1F77" w:rsidP="000D1F77">
      <w:pPr>
        <w:pStyle w:val="ListParagraph"/>
      </w:pPr>
    </w:p>
    <w:p w14:paraId="6C96EA4E" w14:textId="230406D8" w:rsidR="00344DC1" w:rsidRPr="009A2C70" w:rsidRDefault="00344DC1" w:rsidP="001A1357">
      <w:pPr>
        <w:pStyle w:val="ListParagraph"/>
        <w:numPr>
          <w:ilvl w:val="0"/>
          <w:numId w:val="1"/>
        </w:numPr>
        <w:ind w:hanging="720"/>
      </w:pPr>
      <w:r>
        <w:t>I</w:t>
      </w:r>
      <w:r w:rsidR="00B14778">
        <w:t xml:space="preserve">n the circumstances, it clearly </w:t>
      </w:r>
      <w:r>
        <w:t xml:space="preserve">was open to the Judge to direct that the parties furnish further written evidence from Mr Lawrence and Mr Salter and/or to direct that they be called to give oral evidence (and counsel did bring that option to his attention, though suggesting that it was </w:t>
      </w:r>
      <w:r w:rsidR="00B14778">
        <w:t xml:space="preserve">not </w:t>
      </w:r>
      <w:r>
        <w:t xml:space="preserve">necessary). </w:t>
      </w:r>
      <w:r w:rsidR="003C4FA7">
        <w:t>One can readily understand</w:t>
      </w:r>
      <w:r w:rsidR="00B14778">
        <w:t>, however,</w:t>
      </w:r>
      <w:r w:rsidR="003C4FA7">
        <w:t xml:space="preserve"> why that might have seemed an unattractive option to the Judge.</w:t>
      </w:r>
      <w:r w:rsidR="000D1F77">
        <w:t xml:space="preserve"> I</w:t>
      </w:r>
      <w:r w:rsidR="008263CF">
        <w:t xml:space="preserve">t may be </w:t>
      </w:r>
      <w:r w:rsidR="000D1F77">
        <w:t>that</w:t>
      </w:r>
      <w:r w:rsidR="003C4FA7">
        <w:t xml:space="preserve"> the Judge </w:t>
      </w:r>
      <w:r w:rsidR="000D1F77">
        <w:t xml:space="preserve">could have </w:t>
      </w:r>
      <w:r w:rsidR="008263CF">
        <w:t>dismissed the misrepresentation claim</w:t>
      </w:r>
      <w:r w:rsidR="000D1F77">
        <w:t xml:space="preserve">, on </w:t>
      </w:r>
      <w:r w:rsidR="003C4FA7">
        <w:t xml:space="preserve">the basis that the onus was on </w:t>
      </w:r>
      <w:r w:rsidR="008263CF">
        <w:t>Dr Sheehan</w:t>
      </w:r>
      <w:r w:rsidR="000D1F77">
        <w:t xml:space="preserve"> </w:t>
      </w:r>
      <w:r w:rsidR="003C4FA7">
        <w:t xml:space="preserve">to </w:t>
      </w:r>
      <w:r w:rsidR="00590230">
        <w:t xml:space="preserve">adduce evidence sufficient to enable the High Court to adjudicate on </w:t>
      </w:r>
      <w:r w:rsidR="008263CF">
        <w:t>his</w:t>
      </w:r>
      <w:r w:rsidR="000D1F77">
        <w:t xml:space="preserve"> claim</w:t>
      </w:r>
      <w:r w:rsidR="00590230">
        <w:t>.</w:t>
      </w:r>
      <w:r w:rsidR="000D1F77">
        <w:rPr>
          <w:rStyle w:val="FootnoteReference"/>
        </w:rPr>
        <w:footnoteReference w:id="4"/>
      </w:r>
      <w:r w:rsidR="00590230">
        <w:t xml:space="preserve"> In the course of his closing submissions, there were </w:t>
      </w:r>
      <w:r w:rsidR="00570201">
        <w:t>points</w:t>
      </w:r>
      <w:r w:rsidR="00590230">
        <w:t xml:space="preserve"> when counsel for Talos appear</w:t>
      </w:r>
      <w:r w:rsidR="00F618A6">
        <w:t>ed to co</w:t>
      </w:r>
      <w:r w:rsidR="00590230">
        <w:t xml:space="preserve">me close to inviting the Judge to adopt such an approach but </w:t>
      </w:r>
      <w:r w:rsidR="00570201">
        <w:t xml:space="preserve">the </w:t>
      </w:r>
      <w:r w:rsidR="00E967D9">
        <w:t>point</w:t>
      </w:r>
      <w:r w:rsidR="00590230">
        <w:t xml:space="preserve"> was not pressed. However, it appears to me that there was a third alternative, namely that</w:t>
      </w:r>
      <w:r>
        <w:t xml:space="preserve">, </w:t>
      </w:r>
      <w:r w:rsidR="008F51EC">
        <w:t xml:space="preserve">as regards issues which </w:t>
      </w:r>
      <w:r w:rsidR="00590230">
        <w:t>had not been</w:t>
      </w:r>
      <w:r w:rsidR="008F51EC">
        <w:t xml:space="preserve"> </w:t>
      </w:r>
      <w:r w:rsidR="009C6758">
        <w:t xml:space="preserve">addressed </w:t>
      </w:r>
      <w:r w:rsidR="00590230">
        <w:t>in</w:t>
      </w:r>
      <w:r w:rsidR="009C6758">
        <w:t xml:space="preserve"> </w:t>
      </w:r>
      <w:r>
        <w:t>the expert</w:t>
      </w:r>
      <w:r w:rsidR="008F51EC">
        <w:t xml:space="preserve"> eviden</w:t>
      </w:r>
      <w:r>
        <w:t>ce – in other words, issues in respect of which the applicable English law had not been proved</w:t>
      </w:r>
      <w:r w:rsidR="000F4258">
        <w:t xml:space="preserve"> - </w:t>
      </w:r>
      <w:r>
        <w:t xml:space="preserve"> </w:t>
      </w:r>
      <w:r w:rsidR="009B77B4">
        <w:t>t</w:t>
      </w:r>
      <w:r w:rsidR="008F51EC">
        <w:t xml:space="preserve">he Judge was entitled to </w:t>
      </w:r>
      <w:r>
        <w:t>apply Irish law</w:t>
      </w:r>
      <w:r w:rsidR="000F4258">
        <w:t xml:space="preserve">. </w:t>
      </w:r>
      <w:r w:rsidR="001A1357">
        <w:t xml:space="preserve"> </w:t>
      </w:r>
      <w:r w:rsidR="000F4258">
        <w:t xml:space="preserve">This follows from the principles reflected  </w:t>
      </w:r>
      <w:r w:rsidR="000F4258">
        <w:lastRenderedPageBreak/>
        <w:t xml:space="preserve">in </w:t>
      </w:r>
      <w:r>
        <w:t xml:space="preserve"> </w:t>
      </w:r>
      <w:bookmarkStart w:id="3" w:name="para1"/>
      <w:r w:rsidRPr="001A1357">
        <w:rPr>
          <w:rFonts w:eastAsia="Times New Roman" w:cs="Times New Roman"/>
          <w:i/>
          <w:iCs/>
          <w:color w:val="000000"/>
          <w:szCs w:val="24"/>
          <w:lang w:eastAsia="en-IE"/>
        </w:rPr>
        <w:t>Dicey, Morris &amp; Collins</w:t>
      </w:r>
      <w:r w:rsidR="000F4258" w:rsidRPr="001A1357">
        <w:rPr>
          <w:rFonts w:eastAsia="Times New Roman" w:cs="Times New Roman"/>
          <w:color w:val="000000"/>
          <w:szCs w:val="24"/>
          <w:lang w:eastAsia="en-IE"/>
        </w:rPr>
        <w:t xml:space="preserve"> </w:t>
      </w:r>
      <w:r w:rsidR="000F4258" w:rsidRPr="001A1357">
        <w:rPr>
          <w:rFonts w:eastAsia="Times New Roman" w:cs="Times New Roman"/>
          <w:i/>
          <w:color w:val="000000"/>
          <w:szCs w:val="24"/>
          <w:lang w:eastAsia="en-IE"/>
        </w:rPr>
        <w:t>on t</w:t>
      </w:r>
      <w:r w:rsidRPr="001A1357">
        <w:rPr>
          <w:rFonts w:eastAsia="Times New Roman" w:cs="Times New Roman"/>
          <w:i/>
          <w:iCs/>
          <w:color w:val="000000"/>
          <w:szCs w:val="24"/>
          <w:lang w:eastAsia="en-IE"/>
        </w:rPr>
        <w:t>he Conflict of Laws</w:t>
      </w:r>
      <w:r w:rsidR="000F4258" w:rsidRPr="001A1357">
        <w:rPr>
          <w:rFonts w:eastAsia="Times New Roman" w:cs="Times New Roman"/>
          <w:color w:val="000000"/>
          <w:szCs w:val="24"/>
          <w:lang w:eastAsia="en-IE"/>
        </w:rPr>
        <w:t xml:space="preserve"> </w:t>
      </w:r>
      <w:r w:rsidRPr="001A1357">
        <w:rPr>
          <w:rFonts w:eastAsia="Times New Roman" w:cs="Times New Roman"/>
          <w:color w:val="000000"/>
          <w:szCs w:val="24"/>
          <w:lang w:eastAsia="en-IE"/>
        </w:rPr>
        <w:t>(15</w:t>
      </w:r>
      <w:r w:rsidR="000F4258" w:rsidRPr="001A1357">
        <w:rPr>
          <w:rFonts w:eastAsia="Times New Roman" w:cs="Times New Roman"/>
          <w:color w:val="000000"/>
          <w:szCs w:val="24"/>
          <w:vertAlign w:val="superscript"/>
          <w:lang w:eastAsia="en-IE"/>
        </w:rPr>
        <w:t xml:space="preserve">th </w:t>
      </w:r>
      <w:r w:rsidR="000F4258" w:rsidRPr="001A1357">
        <w:rPr>
          <w:rFonts w:eastAsia="Times New Roman" w:cs="Times New Roman"/>
          <w:color w:val="000000"/>
          <w:szCs w:val="24"/>
          <w:lang w:eastAsia="en-IE"/>
        </w:rPr>
        <w:t>ed; 2012</w:t>
      </w:r>
      <w:bookmarkEnd w:id="3"/>
      <w:r w:rsidR="009A2C70" w:rsidRPr="001A1357">
        <w:rPr>
          <w:rFonts w:eastAsia="Times New Roman" w:cs="Times New Roman"/>
          <w:color w:val="000000"/>
          <w:szCs w:val="24"/>
          <w:lang w:eastAsia="en-IE"/>
        </w:rPr>
        <w:t xml:space="preserve">) </w:t>
      </w:r>
      <w:r w:rsidR="00886798">
        <w:t xml:space="preserve">Rule 25 </w:t>
      </w:r>
      <w:r w:rsidR="009A2C70" w:rsidRPr="001A1357">
        <w:rPr>
          <w:rFonts w:eastAsia="Times New Roman" w:cs="Times New Roman"/>
          <w:color w:val="000000"/>
          <w:szCs w:val="24"/>
          <w:lang w:eastAsia="en-IE"/>
        </w:rPr>
        <w:t>which is in the following terms</w:t>
      </w:r>
      <w:r w:rsidR="00EE31AA" w:rsidRPr="001A1357">
        <w:rPr>
          <w:rFonts w:eastAsia="Times New Roman" w:cs="Times New Roman"/>
          <w:color w:val="000000"/>
          <w:szCs w:val="24"/>
          <w:lang w:eastAsia="en-IE"/>
        </w:rPr>
        <w:t xml:space="preserve"> (adapted for application in this jurisdiction)</w:t>
      </w:r>
      <w:r w:rsidR="009A2C70" w:rsidRPr="001A1357">
        <w:rPr>
          <w:rFonts w:eastAsia="Times New Roman" w:cs="Times New Roman"/>
          <w:color w:val="000000"/>
          <w:szCs w:val="24"/>
          <w:lang w:eastAsia="en-IE"/>
        </w:rPr>
        <w:t>:</w:t>
      </w:r>
    </w:p>
    <w:p w14:paraId="74A7B5D5" w14:textId="77777777" w:rsidR="009A2C70" w:rsidRPr="00344DC1" w:rsidRDefault="009A2C70" w:rsidP="009A2C70">
      <w:pPr>
        <w:pStyle w:val="ListParagraph"/>
      </w:pPr>
    </w:p>
    <w:p w14:paraId="60F7A430" w14:textId="77777777" w:rsidR="00344DC1" w:rsidRPr="009A2C70" w:rsidRDefault="009A2C70" w:rsidP="009A2C70">
      <w:pPr>
        <w:ind w:left="1440"/>
        <w:rPr>
          <w:rFonts w:eastAsia="Times New Roman" w:cs="Times New Roman"/>
          <w:bCs/>
          <w:i/>
          <w:color w:val="000000"/>
          <w:szCs w:val="24"/>
          <w:lang w:eastAsia="en-IE"/>
        </w:rPr>
      </w:pPr>
      <w:r w:rsidRPr="009A2C70">
        <w:rPr>
          <w:rFonts w:eastAsia="Times New Roman" w:cs="Times New Roman"/>
          <w:i/>
          <w:color w:val="000000"/>
          <w:szCs w:val="24"/>
          <w:lang w:eastAsia="en-IE"/>
        </w:rPr>
        <w:t xml:space="preserve"> </w:t>
      </w:r>
      <w:r>
        <w:rPr>
          <w:rFonts w:eastAsia="Times New Roman" w:cs="Times New Roman"/>
          <w:i/>
          <w:color w:val="000000"/>
          <w:szCs w:val="24"/>
          <w:lang w:eastAsia="en-IE"/>
        </w:rPr>
        <w:t>“</w:t>
      </w:r>
      <w:r w:rsidR="00344DC1" w:rsidRPr="00344DC1">
        <w:rPr>
          <w:rFonts w:eastAsia="Times New Roman" w:cs="Times New Roman"/>
          <w:i/>
          <w:color w:val="000000"/>
          <w:szCs w:val="24"/>
          <w:lang w:eastAsia="en-IE"/>
        </w:rPr>
        <w:t>(1) </w:t>
      </w:r>
      <w:r w:rsidR="00344DC1" w:rsidRPr="00344DC1">
        <w:rPr>
          <w:rFonts w:eastAsia="Times New Roman" w:cs="Times New Roman"/>
          <w:bCs/>
          <w:i/>
          <w:color w:val="000000"/>
          <w:szCs w:val="24"/>
          <w:lang w:eastAsia="en-IE"/>
        </w:rPr>
        <w:t>In any case to which foreign law applies, that law must be pleaded and proved as a fact to the satisfaction of the judge by expert evidence or sometimes by certain other means.</w:t>
      </w:r>
    </w:p>
    <w:p w14:paraId="1762B05D" w14:textId="77777777" w:rsidR="009A2C70" w:rsidRPr="00344DC1" w:rsidRDefault="009A2C70" w:rsidP="009A2C70">
      <w:pPr>
        <w:ind w:left="1440"/>
        <w:rPr>
          <w:rFonts w:eastAsia="Times New Roman" w:cs="Times New Roman"/>
          <w:i/>
          <w:color w:val="000000"/>
          <w:szCs w:val="24"/>
          <w:lang w:eastAsia="en-IE"/>
        </w:rPr>
      </w:pPr>
    </w:p>
    <w:p w14:paraId="40149AFB" w14:textId="77777777" w:rsidR="00344DC1" w:rsidRDefault="00344DC1" w:rsidP="009A2C70">
      <w:pPr>
        <w:ind w:left="1440"/>
        <w:rPr>
          <w:rFonts w:eastAsia="Times New Roman" w:cs="Times New Roman"/>
          <w:bCs/>
          <w:i/>
          <w:color w:val="000000"/>
          <w:szCs w:val="24"/>
          <w:lang w:eastAsia="en-IE"/>
        </w:rPr>
      </w:pPr>
      <w:r w:rsidRPr="00344DC1">
        <w:rPr>
          <w:rFonts w:eastAsia="Times New Roman" w:cs="Times New Roman"/>
          <w:i/>
          <w:color w:val="000000"/>
          <w:szCs w:val="24"/>
          <w:lang w:eastAsia="en-IE"/>
        </w:rPr>
        <w:t>(2) </w:t>
      </w:r>
      <w:r w:rsidRPr="00344DC1">
        <w:rPr>
          <w:rFonts w:eastAsia="Times New Roman" w:cs="Times New Roman"/>
          <w:bCs/>
          <w:i/>
          <w:color w:val="000000"/>
          <w:szCs w:val="24"/>
          <w:lang w:eastAsia="en-IE"/>
        </w:rPr>
        <w:t xml:space="preserve">In the absence of satisfactory evidence of foreign law, the court will apply </w:t>
      </w:r>
      <w:r w:rsidR="00EE31AA">
        <w:rPr>
          <w:rFonts w:eastAsia="Times New Roman" w:cs="Times New Roman"/>
          <w:bCs/>
          <w:i/>
          <w:color w:val="000000"/>
          <w:szCs w:val="24"/>
          <w:lang w:eastAsia="en-IE"/>
        </w:rPr>
        <w:t>[Irish]</w:t>
      </w:r>
      <w:r w:rsidRPr="00344DC1">
        <w:rPr>
          <w:rFonts w:eastAsia="Times New Roman" w:cs="Times New Roman"/>
          <w:bCs/>
          <w:i/>
          <w:color w:val="000000"/>
          <w:szCs w:val="24"/>
          <w:lang w:eastAsia="en-IE"/>
        </w:rPr>
        <w:t xml:space="preserve"> law to such a case.</w:t>
      </w:r>
      <w:r w:rsidR="00886798">
        <w:rPr>
          <w:rFonts w:eastAsia="Times New Roman" w:cs="Times New Roman"/>
          <w:bCs/>
          <w:i/>
          <w:color w:val="000000"/>
          <w:szCs w:val="24"/>
          <w:lang w:eastAsia="en-IE"/>
        </w:rPr>
        <w:t>”</w:t>
      </w:r>
    </w:p>
    <w:p w14:paraId="718A55B0" w14:textId="77777777" w:rsidR="009B77B4" w:rsidRDefault="009B77B4" w:rsidP="009A2C70">
      <w:pPr>
        <w:ind w:left="1440"/>
        <w:rPr>
          <w:rFonts w:eastAsia="Times New Roman" w:cs="Times New Roman"/>
          <w:bCs/>
          <w:i/>
          <w:color w:val="000000"/>
          <w:szCs w:val="24"/>
          <w:lang w:eastAsia="en-IE"/>
        </w:rPr>
      </w:pPr>
    </w:p>
    <w:p w14:paraId="63063E37" w14:textId="4545BA85" w:rsidR="001A1357" w:rsidRPr="001A1357" w:rsidRDefault="001A1357" w:rsidP="001A1357">
      <w:pPr>
        <w:ind w:left="851"/>
        <w:rPr>
          <w:rFonts w:eastAsia="Times New Roman" w:cs="Times New Roman"/>
          <w:color w:val="000000"/>
          <w:szCs w:val="24"/>
          <w:lang w:eastAsia="en-IE"/>
        </w:rPr>
      </w:pPr>
      <w:bookmarkStart w:id="4" w:name="para4"/>
      <w:r>
        <w:rPr>
          <w:rFonts w:eastAsia="Times New Roman" w:cs="Times New Roman"/>
          <w:color w:val="000000"/>
          <w:szCs w:val="24"/>
          <w:lang w:eastAsia="en-IE"/>
        </w:rPr>
        <w:t xml:space="preserve">Binchy, </w:t>
      </w:r>
      <w:r w:rsidRPr="001A1357">
        <w:rPr>
          <w:rFonts w:eastAsia="Times New Roman" w:cs="Times New Roman"/>
          <w:i/>
          <w:color w:val="000000"/>
          <w:szCs w:val="24"/>
          <w:lang w:eastAsia="en-IE"/>
        </w:rPr>
        <w:t>Irish Conflicts of Law</w:t>
      </w:r>
      <w:r>
        <w:rPr>
          <w:rFonts w:eastAsia="Times New Roman" w:cs="Times New Roman"/>
          <w:color w:val="000000"/>
          <w:szCs w:val="24"/>
          <w:lang w:eastAsia="en-IE"/>
        </w:rPr>
        <w:t xml:space="preserve"> (1988)</w:t>
      </w:r>
      <w:r w:rsidR="009B77B4">
        <w:rPr>
          <w:rFonts w:eastAsia="Times New Roman" w:cs="Times New Roman"/>
          <w:color w:val="000000"/>
          <w:szCs w:val="24"/>
          <w:lang w:eastAsia="en-IE"/>
        </w:rPr>
        <w:t>, at page 113,</w:t>
      </w:r>
      <w:r>
        <w:rPr>
          <w:rFonts w:eastAsia="Times New Roman" w:cs="Times New Roman"/>
          <w:color w:val="000000"/>
          <w:szCs w:val="24"/>
          <w:lang w:eastAsia="en-IE"/>
        </w:rPr>
        <w:t xml:space="preserve"> is to similar effect, suggesting </w:t>
      </w:r>
      <w:r w:rsidRPr="001A1357">
        <w:rPr>
          <w:rFonts w:eastAsia="Times New Roman" w:cs="Times New Roman"/>
          <w:i/>
          <w:color w:val="000000"/>
          <w:szCs w:val="24"/>
          <w:lang w:eastAsia="en-IE"/>
        </w:rPr>
        <w:t>“that where foreign law is not pleaded or is not proved, the law of the forum will be applied</w:t>
      </w:r>
      <w:r>
        <w:rPr>
          <w:rFonts w:eastAsia="Times New Roman" w:cs="Times New Roman"/>
          <w:color w:val="000000"/>
          <w:szCs w:val="24"/>
          <w:lang w:eastAsia="en-IE"/>
        </w:rPr>
        <w:t>” (a formulation of the rule that the author considers to be “</w:t>
      </w:r>
      <w:r w:rsidRPr="001A1357">
        <w:rPr>
          <w:rFonts w:eastAsia="Times New Roman" w:cs="Times New Roman"/>
          <w:i/>
          <w:color w:val="000000"/>
          <w:szCs w:val="24"/>
          <w:lang w:eastAsia="en-IE"/>
        </w:rPr>
        <w:t>more realistic</w:t>
      </w:r>
      <w:r>
        <w:rPr>
          <w:rFonts w:eastAsia="Times New Roman" w:cs="Times New Roman"/>
          <w:color w:val="000000"/>
          <w:szCs w:val="24"/>
          <w:lang w:eastAsia="en-IE"/>
        </w:rPr>
        <w:t>” than a rule expressed in terms of a presumption that foreign law is the same as Irish</w:t>
      </w:r>
      <w:r w:rsidR="00A462B6">
        <w:rPr>
          <w:rFonts w:eastAsia="Times New Roman" w:cs="Times New Roman"/>
          <w:color w:val="000000"/>
          <w:szCs w:val="24"/>
          <w:lang w:eastAsia="en-IE"/>
        </w:rPr>
        <w:t xml:space="preserve"> law</w:t>
      </w:r>
      <w:r>
        <w:rPr>
          <w:rFonts w:eastAsia="Times New Roman" w:cs="Times New Roman"/>
          <w:color w:val="000000"/>
          <w:szCs w:val="24"/>
          <w:lang w:eastAsia="en-IE"/>
        </w:rPr>
        <w:t>)</w:t>
      </w:r>
      <w:r w:rsidR="009B77B4">
        <w:rPr>
          <w:rFonts w:eastAsia="Times New Roman" w:cs="Times New Roman"/>
          <w:color w:val="000000"/>
          <w:szCs w:val="24"/>
          <w:lang w:eastAsia="en-IE"/>
        </w:rPr>
        <w:t>.</w:t>
      </w:r>
      <w:r w:rsidR="00786244">
        <w:rPr>
          <w:rFonts w:eastAsia="Times New Roman" w:cs="Times New Roman"/>
          <w:color w:val="000000"/>
          <w:szCs w:val="24"/>
          <w:lang w:eastAsia="en-IE"/>
        </w:rPr>
        <w:t xml:space="preserve"> </w:t>
      </w:r>
      <w:r w:rsidR="00F618A6">
        <w:rPr>
          <w:rFonts w:eastAsia="Times New Roman" w:cs="Times New Roman"/>
          <w:color w:val="000000"/>
          <w:szCs w:val="24"/>
          <w:lang w:eastAsia="en-IE"/>
        </w:rPr>
        <w:t>Notably</w:t>
      </w:r>
      <w:r w:rsidR="00786244">
        <w:rPr>
          <w:rFonts w:eastAsia="Times New Roman" w:cs="Times New Roman"/>
          <w:color w:val="000000"/>
          <w:szCs w:val="24"/>
          <w:lang w:eastAsia="en-IE"/>
        </w:rPr>
        <w:t xml:space="preserve">, the same point was made by Ryan J in his judgment in the guarantee proceedings: </w:t>
      </w:r>
      <w:r w:rsidR="00786244" w:rsidRPr="00786244">
        <w:rPr>
          <w:rFonts w:eastAsia="Times New Roman" w:cs="Times New Roman"/>
          <w:i/>
          <w:color w:val="000000"/>
          <w:szCs w:val="24"/>
          <w:lang w:eastAsia="en-IE"/>
        </w:rPr>
        <w:t>“the rule is that foreign law must be pro</w:t>
      </w:r>
      <w:r w:rsidR="00786244">
        <w:rPr>
          <w:rFonts w:eastAsia="Times New Roman" w:cs="Times New Roman"/>
          <w:i/>
          <w:color w:val="000000"/>
          <w:szCs w:val="24"/>
          <w:lang w:eastAsia="en-IE"/>
        </w:rPr>
        <w:t>v</w:t>
      </w:r>
      <w:r w:rsidR="00786244" w:rsidRPr="00786244">
        <w:rPr>
          <w:rFonts w:eastAsia="Times New Roman" w:cs="Times New Roman"/>
          <w:i/>
          <w:color w:val="000000"/>
          <w:szCs w:val="24"/>
          <w:lang w:eastAsia="en-IE"/>
        </w:rPr>
        <w:t>ed; in default of evidence o</w:t>
      </w:r>
      <w:r w:rsidR="00F618A6">
        <w:rPr>
          <w:rFonts w:eastAsia="Times New Roman" w:cs="Times New Roman"/>
          <w:i/>
          <w:color w:val="000000"/>
          <w:szCs w:val="24"/>
          <w:lang w:eastAsia="en-IE"/>
        </w:rPr>
        <w:t>r</w:t>
      </w:r>
      <w:r w:rsidR="00786244" w:rsidRPr="00786244">
        <w:rPr>
          <w:rFonts w:eastAsia="Times New Roman" w:cs="Times New Roman"/>
          <w:i/>
          <w:color w:val="000000"/>
          <w:szCs w:val="24"/>
          <w:lang w:eastAsia="en-IE"/>
        </w:rPr>
        <w:t xml:space="preserve"> sufficient evidence, the court applies </w:t>
      </w:r>
      <w:r w:rsidR="00764F4F">
        <w:rPr>
          <w:rFonts w:eastAsia="Times New Roman" w:cs="Times New Roman"/>
          <w:i/>
          <w:color w:val="000000"/>
          <w:szCs w:val="24"/>
          <w:lang w:eastAsia="en-IE"/>
        </w:rPr>
        <w:t xml:space="preserve">Irish </w:t>
      </w:r>
      <w:r w:rsidR="00786244" w:rsidRPr="00786244">
        <w:rPr>
          <w:rFonts w:eastAsia="Times New Roman" w:cs="Times New Roman"/>
          <w:i/>
          <w:color w:val="000000"/>
          <w:szCs w:val="24"/>
          <w:lang w:eastAsia="en-IE"/>
        </w:rPr>
        <w:t>law</w:t>
      </w:r>
      <w:r w:rsidR="00786244">
        <w:rPr>
          <w:rFonts w:eastAsia="Times New Roman" w:cs="Times New Roman"/>
          <w:i/>
          <w:color w:val="000000"/>
          <w:szCs w:val="24"/>
          <w:lang w:eastAsia="en-IE"/>
        </w:rPr>
        <w:t xml:space="preserve">” </w:t>
      </w:r>
      <w:r w:rsidR="00786244" w:rsidRPr="00786244">
        <w:rPr>
          <w:rFonts w:eastAsia="Times New Roman" w:cs="Times New Roman"/>
          <w:color w:val="000000"/>
          <w:szCs w:val="24"/>
          <w:lang w:eastAsia="en-IE"/>
        </w:rPr>
        <w:t>(at para 46)</w:t>
      </w:r>
      <w:r w:rsidR="00786244">
        <w:rPr>
          <w:rFonts w:eastAsia="Times New Roman" w:cs="Times New Roman"/>
          <w:color w:val="000000"/>
          <w:szCs w:val="24"/>
          <w:lang w:eastAsia="en-IE"/>
        </w:rPr>
        <w:t>.</w:t>
      </w:r>
      <w:r w:rsidR="00F618A6">
        <w:rPr>
          <w:rFonts w:eastAsia="Times New Roman" w:cs="Times New Roman"/>
          <w:color w:val="000000"/>
          <w:szCs w:val="24"/>
          <w:lang w:eastAsia="en-IE"/>
        </w:rPr>
        <w:t xml:space="preserve"> That statement does not appear to have been brought to the attention of the Judge.</w:t>
      </w:r>
    </w:p>
    <w:p w14:paraId="018DB8CC" w14:textId="77777777" w:rsidR="001A1357" w:rsidRPr="001A1357" w:rsidRDefault="001A1357" w:rsidP="001A1357">
      <w:pPr>
        <w:pStyle w:val="ListParagraph"/>
      </w:pPr>
    </w:p>
    <w:p w14:paraId="34F72468" w14:textId="25259CFA" w:rsidR="00EE31AA" w:rsidRDefault="00D85C39" w:rsidP="00F54978">
      <w:pPr>
        <w:pStyle w:val="ListParagraph"/>
        <w:numPr>
          <w:ilvl w:val="0"/>
          <w:numId w:val="1"/>
        </w:numPr>
        <w:ind w:hanging="720"/>
      </w:pPr>
      <w:r w:rsidRPr="00EE31AA">
        <w:rPr>
          <w:color w:val="000000"/>
          <w:szCs w:val="24"/>
        </w:rPr>
        <w:t xml:space="preserve">The </w:t>
      </w:r>
      <w:r w:rsidR="00675691">
        <w:rPr>
          <w:color w:val="000000"/>
          <w:szCs w:val="24"/>
        </w:rPr>
        <w:t>principle</w:t>
      </w:r>
      <w:r w:rsidRPr="00EE31AA">
        <w:rPr>
          <w:color w:val="000000"/>
          <w:szCs w:val="24"/>
        </w:rPr>
        <w:t xml:space="preserve"> in Rule 25(2) is not absolute. In their discussion of it, the learned editors </w:t>
      </w:r>
      <w:r w:rsidR="00F618A6">
        <w:rPr>
          <w:color w:val="000000"/>
          <w:szCs w:val="24"/>
        </w:rPr>
        <w:t xml:space="preserve">of </w:t>
      </w:r>
      <w:r w:rsidR="00F618A6" w:rsidRPr="00F618A6">
        <w:rPr>
          <w:i/>
          <w:color w:val="000000"/>
          <w:szCs w:val="24"/>
        </w:rPr>
        <w:t>Dicey</w:t>
      </w:r>
      <w:r w:rsidR="0034451C">
        <w:rPr>
          <w:i/>
          <w:color w:val="000000"/>
          <w:szCs w:val="24"/>
        </w:rPr>
        <w:t>,</w:t>
      </w:r>
      <w:r w:rsidR="00F618A6" w:rsidRPr="00F618A6">
        <w:rPr>
          <w:i/>
          <w:color w:val="000000"/>
          <w:szCs w:val="24"/>
        </w:rPr>
        <w:t xml:space="preserve"> Morris</w:t>
      </w:r>
      <w:r w:rsidR="0034451C">
        <w:rPr>
          <w:i/>
          <w:color w:val="000000"/>
          <w:szCs w:val="24"/>
        </w:rPr>
        <w:t xml:space="preserve"> &amp; Collins</w:t>
      </w:r>
      <w:r w:rsidR="00F618A6">
        <w:rPr>
          <w:color w:val="000000"/>
          <w:szCs w:val="24"/>
        </w:rPr>
        <w:t xml:space="preserve"> </w:t>
      </w:r>
      <w:r w:rsidRPr="00EE31AA">
        <w:rPr>
          <w:color w:val="000000"/>
          <w:szCs w:val="24"/>
        </w:rPr>
        <w:t>state that “</w:t>
      </w:r>
      <w:r w:rsidRPr="00EE31AA">
        <w:rPr>
          <w:i/>
          <w:iCs/>
          <w:color w:val="000000"/>
          <w:szCs w:val="24"/>
        </w:rPr>
        <w:t>there will still be cases in which the application of English law … will be just too strained or artificial to be appropriate”</w:t>
      </w:r>
      <w:r w:rsidRPr="00EE31AA">
        <w:rPr>
          <w:color w:val="000000"/>
          <w:szCs w:val="24"/>
        </w:rPr>
        <w:t xml:space="preserve"> (para 9-026)</w:t>
      </w:r>
      <w:r w:rsidRPr="00EE31AA">
        <w:rPr>
          <w:i/>
          <w:iCs/>
          <w:color w:val="000000"/>
          <w:szCs w:val="24"/>
        </w:rPr>
        <w:t xml:space="preserve"> </w:t>
      </w:r>
      <w:r w:rsidRPr="00EE31AA">
        <w:rPr>
          <w:iCs/>
          <w:color w:val="000000"/>
          <w:szCs w:val="24"/>
        </w:rPr>
        <w:t>and that “</w:t>
      </w:r>
      <w:r w:rsidRPr="00EE31AA">
        <w:rPr>
          <w:i/>
          <w:iCs/>
          <w:color w:val="000000"/>
          <w:szCs w:val="24"/>
        </w:rPr>
        <w:t xml:space="preserve">there are cases in which the default application of a rule of English law is simply too problematic to be appropriate” </w:t>
      </w:r>
      <w:r w:rsidRPr="00EE31AA">
        <w:rPr>
          <w:color w:val="000000"/>
          <w:szCs w:val="24"/>
        </w:rPr>
        <w:t>(para.</w:t>
      </w:r>
      <w:r w:rsidR="0034451C">
        <w:rPr>
          <w:color w:val="000000"/>
          <w:szCs w:val="24"/>
        </w:rPr>
        <w:t xml:space="preserve"> </w:t>
      </w:r>
      <w:r w:rsidRPr="00EE31AA">
        <w:rPr>
          <w:color w:val="000000"/>
          <w:szCs w:val="24"/>
        </w:rPr>
        <w:t>9-029).</w:t>
      </w:r>
      <w:bookmarkEnd w:id="4"/>
      <w:r w:rsidRPr="00EE31AA">
        <w:rPr>
          <w:color w:val="000000"/>
          <w:szCs w:val="24"/>
        </w:rPr>
        <w:t xml:space="preserve"> </w:t>
      </w:r>
      <w:r w:rsidR="00EE31AA" w:rsidRPr="00EE31AA">
        <w:rPr>
          <w:color w:val="000000"/>
          <w:szCs w:val="24"/>
        </w:rPr>
        <w:t xml:space="preserve">I </w:t>
      </w:r>
      <w:r w:rsidR="00F618A6">
        <w:rPr>
          <w:color w:val="000000"/>
          <w:szCs w:val="24"/>
        </w:rPr>
        <w:t>do not</w:t>
      </w:r>
      <w:r w:rsidR="00EE31AA" w:rsidRPr="00EE31AA">
        <w:rPr>
          <w:color w:val="000000"/>
          <w:szCs w:val="24"/>
        </w:rPr>
        <w:t xml:space="preserve"> </w:t>
      </w:r>
      <w:r w:rsidR="00EE31AA">
        <w:rPr>
          <w:color w:val="000000"/>
          <w:szCs w:val="24"/>
        </w:rPr>
        <w:t>see</w:t>
      </w:r>
      <w:r w:rsidR="00EE31AA" w:rsidRPr="00EE31AA">
        <w:rPr>
          <w:color w:val="000000"/>
          <w:szCs w:val="24"/>
        </w:rPr>
        <w:t xml:space="preserve"> any basis on which </w:t>
      </w:r>
      <w:r w:rsidR="00EE31AA" w:rsidRPr="00EE31AA">
        <w:rPr>
          <w:color w:val="000000"/>
          <w:szCs w:val="24"/>
        </w:rPr>
        <w:lastRenderedPageBreak/>
        <w:t>it would be “</w:t>
      </w:r>
      <w:r w:rsidR="00EE31AA" w:rsidRPr="00EE31AA">
        <w:rPr>
          <w:i/>
          <w:color w:val="000000"/>
          <w:szCs w:val="24"/>
        </w:rPr>
        <w:t>problematic</w:t>
      </w:r>
      <w:r w:rsidR="00EE31AA" w:rsidRPr="00EE31AA">
        <w:rPr>
          <w:color w:val="000000"/>
          <w:szCs w:val="24"/>
        </w:rPr>
        <w:t>” or “</w:t>
      </w:r>
      <w:r w:rsidR="00EE31AA" w:rsidRPr="00EE31AA">
        <w:rPr>
          <w:i/>
          <w:color w:val="000000"/>
          <w:szCs w:val="24"/>
        </w:rPr>
        <w:t>inappropriate</w:t>
      </w:r>
      <w:r w:rsidR="00EE31AA" w:rsidRPr="00EE31AA">
        <w:rPr>
          <w:color w:val="000000"/>
          <w:szCs w:val="24"/>
        </w:rPr>
        <w:t xml:space="preserve">” to apply Irish law </w:t>
      </w:r>
      <w:r w:rsidR="00EE31AA">
        <w:rPr>
          <w:color w:val="000000"/>
          <w:szCs w:val="24"/>
        </w:rPr>
        <w:t>here</w:t>
      </w:r>
      <w:r w:rsidR="005B3D41">
        <w:rPr>
          <w:color w:val="000000"/>
          <w:szCs w:val="24"/>
        </w:rPr>
        <w:t xml:space="preserve">. </w:t>
      </w:r>
      <w:r w:rsidR="008F51EC">
        <w:t xml:space="preserve">English law and Irish law on </w:t>
      </w:r>
      <w:r w:rsidR="009C6758">
        <w:t>the issue of misrepresentation are v</w:t>
      </w:r>
      <w:r w:rsidR="008F51EC">
        <w:t xml:space="preserve">ery similar, </w:t>
      </w:r>
      <w:r w:rsidR="001A1357">
        <w:t>especially</w:t>
      </w:r>
      <w:r w:rsidR="00E8357D">
        <w:t xml:space="preserve"> </w:t>
      </w:r>
      <w:r w:rsidR="008F51EC">
        <w:t xml:space="preserve">as regards common-law </w:t>
      </w:r>
      <w:r w:rsidR="005B3D41">
        <w:t>claims (</w:t>
      </w:r>
      <w:r w:rsidR="001A1357">
        <w:t>and the misrepresentation claim here is</w:t>
      </w:r>
      <w:r w:rsidR="005B3D41">
        <w:t xml:space="preserve"> such</w:t>
      </w:r>
      <w:r w:rsidR="001A1357">
        <w:t xml:space="preserve"> a claim</w:t>
      </w:r>
      <w:r w:rsidR="00F618A6">
        <w:t>; no statutory misrepresentation claim has been advanced</w:t>
      </w:r>
      <w:r w:rsidR="001A1357">
        <w:t xml:space="preserve">). </w:t>
      </w:r>
      <w:r w:rsidR="008F51EC">
        <w:t>If</w:t>
      </w:r>
      <w:r w:rsidR="00825811">
        <w:t xml:space="preserve"> </w:t>
      </w:r>
      <w:r w:rsidR="008F51EC">
        <w:t xml:space="preserve">the misrepresentation claim made here </w:t>
      </w:r>
      <w:r w:rsidR="001A1357">
        <w:t>had been</w:t>
      </w:r>
      <w:r w:rsidR="008F51EC">
        <w:t xml:space="preserve"> governed by Irish law, it is likely that the  submissions of counsel would have referred to </w:t>
      </w:r>
      <w:r w:rsidR="00EE31AA">
        <w:t xml:space="preserve">the same texts as were referred to by </w:t>
      </w:r>
      <w:r w:rsidR="009C6758">
        <w:t>Mr Lawrence and Mr Salter</w:t>
      </w:r>
      <w:r w:rsidR="008F51EC">
        <w:t xml:space="preserve"> </w:t>
      </w:r>
      <w:r w:rsidR="00EE31AA">
        <w:t>(</w:t>
      </w:r>
      <w:r w:rsidR="00EE31AA" w:rsidRPr="00EE31AA">
        <w:rPr>
          <w:i/>
        </w:rPr>
        <w:t>Chitty on Contracts,</w:t>
      </w:r>
      <w:r w:rsidR="00EE31AA">
        <w:t xml:space="preserve"> Spencer Bower &amp; Handley, </w:t>
      </w:r>
      <w:r w:rsidR="00EE31AA" w:rsidRPr="00EE31AA">
        <w:rPr>
          <w:i/>
        </w:rPr>
        <w:t xml:space="preserve">Actionable </w:t>
      </w:r>
      <w:r w:rsidR="00EE31AA">
        <w:rPr>
          <w:i/>
        </w:rPr>
        <w:t>Misr</w:t>
      </w:r>
      <w:r w:rsidR="00EE31AA" w:rsidRPr="00EE31AA">
        <w:rPr>
          <w:i/>
        </w:rPr>
        <w:t>epresentation</w:t>
      </w:r>
      <w:r w:rsidR="00EE31AA">
        <w:t xml:space="preserve"> and Cartwright, </w:t>
      </w:r>
      <w:r w:rsidR="00EE31AA" w:rsidRPr="00EE31AA">
        <w:rPr>
          <w:i/>
        </w:rPr>
        <w:t>Misrepresentation, Mistake and Non-Di</w:t>
      </w:r>
      <w:r w:rsidR="00EE31AA">
        <w:rPr>
          <w:i/>
        </w:rPr>
        <w:t>s</w:t>
      </w:r>
      <w:r w:rsidR="00EE31AA" w:rsidRPr="00EE31AA">
        <w:rPr>
          <w:i/>
        </w:rPr>
        <w:t>closure</w:t>
      </w:r>
      <w:r w:rsidR="00EE31AA">
        <w:t>)</w:t>
      </w:r>
      <w:r w:rsidR="008F51EC">
        <w:t xml:space="preserve"> </w:t>
      </w:r>
      <w:r w:rsidR="00EE31AA">
        <w:t xml:space="preserve">and many of the same authorities. </w:t>
      </w:r>
      <w:r w:rsidR="00E8357D">
        <w:t>Other aspects of the legal relationship between the parties (notably the Guarantee) were governed by Irish law. The misrepresentation claim had a close connection with this jurisdiction.</w:t>
      </w:r>
      <w:r w:rsidR="004F754C">
        <w:t xml:space="preserve"> </w:t>
      </w:r>
    </w:p>
    <w:p w14:paraId="083C6966" w14:textId="77777777" w:rsidR="00EE31AA" w:rsidRDefault="00EE31AA" w:rsidP="00EE31AA">
      <w:pPr>
        <w:pStyle w:val="ListParagraph"/>
      </w:pPr>
    </w:p>
    <w:p w14:paraId="10A43534" w14:textId="3C53ABE0" w:rsidR="00590230" w:rsidRDefault="003C4FA7" w:rsidP="00D565FA">
      <w:pPr>
        <w:pStyle w:val="ListParagraph"/>
        <w:numPr>
          <w:ilvl w:val="0"/>
          <w:numId w:val="1"/>
        </w:numPr>
        <w:ind w:hanging="720"/>
      </w:pPr>
      <w:r>
        <w:t xml:space="preserve">The Judge was </w:t>
      </w:r>
      <w:r w:rsidR="00590230">
        <w:t xml:space="preserve">not invited to </w:t>
      </w:r>
      <w:r w:rsidR="001D39B6">
        <w:t>adopt such an approach</w:t>
      </w:r>
      <w:r w:rsidR="00590230">
        <w:t>. In fact, he was told by counsel for one of the parties (without demur from his oppo</w:t>
      </w:r>
      <w:r w:rsidR="009F5DD4">
        <w:t>site number</w:t>
      </w:r>
      <w:r w:rsidR="00590230">
        <w:t xml:space="preserve">) that </w:t>
      </w:r>
      <w:r>
        <w:t xml:space="preserve">he was </w:t>
      </w:r>
      <w:r w:rsidRPr="00D565FA">
        <w:rPr>
          <w:i/>
        </w:rPr>
        <w:t>precluded</w:t>
      </w:r>
      <w:r>
        <w:t xml:space="preserve"> from taking Irish law into account. </w:t>
      </w:r>
      <w:r w:rsidR="00590230">
        <w:t xml:space="preserve">In my opinion, that submission was </w:t>
      </w:r>
      <w:r w:rsidR="007A40D9">
        <w:t>mistaken</w:t>
      </w:r>
      <w:r w:rsidR="00590230">
        <w:t xml:space="preserve">. </w:t>
      </w:r>
      <w:r w:rsidR="007A40D9">
        <w:t xml:space="preserve">The court could not properly be constrained in that way. If the Judge </w:t>
      </w:r>
      <w:r w:rsidR="00A462B6">
        <w:t>considered</w:t>
      </w:r>
      <w:r w:rsidR="007A40D9">
        <w:t xml:space="preserve"> that an issue </w:t>
      </w:r>
      <w:r w:rsidR="00E967D9">
        <w:t xml:space="preserve">or issues </w:t>
      </w:r>
      <w:r w:rsidR="007A40D9">
        <w:t xml:space="preserve">arose for determination that </w:t>
      </w:r>
      <w:r w:rsidR="00A462B6">
        <w:t>had not been</w:t>
      </w:r>
      <w:r w:rsidR="007A40D9">
        <w:t xml:space="preserve"> </w:t>
      </w:r>
      <w:r w:rsidR="00A462B6">
        <w:t>addressed</w:t>
      </w:r>
      <w:r w:rsidR="00E967D9">
        <w:t>, or sufficiently addressed,</w:t>
      </w:r>
      <w:r w:rsidR="007A40D9">
        <w:t xml:space="preserve"> by the evidence of English law</w:t>
      </w:r>
      <w:r w:rsidR="001741EB">
        <w:t xml:space="preserve"> provided by the parties, he was entitled to decide that issue by applying Irish law.</w:t>
      </w:r>
      <w:r w:rsidR="007A40D9">
        <w:t xml:space="preserve"> </w:t>
      </w:r>
      <w:r w:rsidR="00590230">
        <w:t xml:space="preserve">The application of Irish law in the circumstances may not have been the </w:t>
      </w:r>
      <w:r w:rsidR="00D565FA">
        <w:t xml:space="preserve">perfect solution but it </w:t>
      </w:r>
      <w:r w:rsidR="001741EB">
        <w:t xml:space="preserve">represented </w:t>
      </w:r>
      <w:r w:rsidR="00D565FA">
        <w:t xml:space="preserve">a pragmatic and workable response to a problem that was not of the Court’s making. </w:t>
      </w:r>
    </w:p>
    <w:p w14:paraId="086C607C" w14:textId="563D84B0" w:rsidR="00F618A6" w:rsidRDefault="00F618A6">
      <w:pPr>
        <w:spacing w:after="160" w:line="259" w:lineRule="auto"/>
        <w:jc w:val="left"/>
      </w:pPr>
      <w:r>
        <w:br w:type="page"/>
      </w:r>
    </w:p>
    <w:p w14:paraId="11182816" w14:textId="77777777" w:rsidR="00EE6EE8" w:rsidRDefault="00EE6EE8" w:rsidP="00786244">
      <w:pPr>
        <w:pStyle w:val="ListParagraph"/>
        <w:ind w:left="0"/>
      </w:pPr>
    </w:p>
    <w:p w14:paraId="40BE3D21" w14:textId="5F5627B6" w:rsidR="002E2015" w:rsidRDefault="00A462B6" w:rsidP="00523DA4">
      <w:pPr>
        <w:autoSpaceDE w:val="0"/>
        <w:autoSpaceDN w:val="0"/>
        <w:adjustRightInd w:val="0"/>
        <w:jc w:val="center"/>
        <w:rPr>
          <w:rFonts w:cs="Times New Roman"/>
          <w:b/>
          <w:caps/>
          <w:szCs w:val="24"/>
        </w:rPr>
      </w:pPr>
      <w:r>
        <w:rPr>
          <w:rFonts w:cs="Times New Roman"/>
          <w:b/>
          <w:caps/>
          <w:szCs w:val="24"/>
        </w:rPr>
        <w:t xml:space="preserve">THE </w:t>
      </w:r>
      <w:r w:rsidR="00523DA4" w:rsidRPr="00523DA4">
        <w:rPr>
          <w:rFonts w:cs="Times New Roman"/>
          <w:b/>
          <w:caps/>
          <w:szCs w:val="24"/>
        </w:rPr>
        <w:t xml:space="preserve">High Court Decision </w:t>
      </w:r>
    </w:p>
    <w:p w14:paraId="5D3BEAC9" w14:textId="77777777" w:rsidR="00825811" w:rsidRPr="001840F7" w:rsidRDefault="00825811" w:rsidP="00523DA4">
      <w:pPr>
        <w:autoSpaceDE w:val="0"/>
        <w:autoSpaceDN w:val="0"/>
        <w:adjustRightInd w:val="0"/>
        <w:jc w:val="center"/>
        <w:rPr>
          <w:rFonts w:cs="Times New Roman"/>
          <w:b/>
          <w:szCs w:val="24"/>
        </w:rPr>
      </w:pPr>
    </w:p>
    <w:p w14:paraId="5EAB0C04" w14:textId="77777777" w:rsidR="001840F7" w:rsidRPr="005A5E72" w:rsidRDefault="008456E5" w:rsidP="008456E5">
      <w:pPr>
        <w:autoSpaceDE w:val="0"/>
        <w:autoSpaceDN w:val="0"/>
        <w:adjustRightInd w:val="0"/>
        <w:jc w:val="left"/>
        <w:rPr>
          <w:rFonts w:cs="Times New Roman"/>
          <w:b/>
          <w:i/>
          <w:szCs w:val="24"/>
        </w:rPr>
      </w:pPr>
      <w:r>
        <w:rPr>
          <w:rFonts w:cs="Times New Roman"/>
          <w:b/>
          <w:szCs w:val="24"/>
        </w:rPr>
        <w:tab/>
      </w:r>
      <w:r w:rsidR="001840F7" w:rsidRPr="005A5E72">
        <w:rPr>
          <w:rFonts w:cs="Times New Roman"/>
          <w:b/>
          <w:i/>
          <w:szCs w:val="24"/>
        </w:rPr>
        <w:t>The Misrepresentation Claim</w:t>
      </w:r>
    </w:p>
    <w:p w14:paraId="62F8DDFA" w14:textId="77777777" w:rsidR="001840F7" w:rsidRPr="001840F7" w:rsidRDefault="001840F7" w:rsidP="00523DA4">
      <w:pPr>
        <w:autoSpaceDE w:val="0"/>
        <w:autoSpaceDN w:val="0"/>
        <w:adjustRightInd w:val="0"/>
        <w:jc w:val="center"/>
        <w:rPr>
          <w:rFonts w:cs="Times New Roman"/>
          <w:b/>
          <w:szCs w:val="24"/>
        </w:rPr>
      </w:pPr>
    </w:p>
    <w:p w14:paraId="0068A893" w14:textId="473AF535" w:rsidR="00825811" w:rsidRPr="00F54978" w:rsidRDefault="00825811" w:rsidP="00825811">
      <w:pPr>
        <w:pStyle w:val="ListParagraph"/>
        <w:numPr>
          <w:ilvl w:val="0"/>
          <w:numId w:val="1"/>
        </w:numPr>
        <w:autoSpaceDE w:val="0"/>
        <w:autoSpaceDN w:val="0"/>
        <w:adjustRightInd w:val="0"/>
        <w:ind w:hanging="720"/>
        <w:rPr>
          <w:rFonts w:cs="Times New Roman"/>
          <w:caps/>
          <w:szCs w:val="24"/>
        </w:rPr>
      </w:pPr>
      <w:r w:rsidRPr="001840F7">
        <w:rPr>
          <w:rFonts w:cs="Times New Roman"/>
          <w:szCs w:val="24"/>
        </w:rPr>
        <w:t xml:space="preserve">The </w:t>
      </w:r>
      <w:r w:rsidR="00D565FA" w:rsidRPr="001840F7">
        <w:rPr>
          <w:rFonts w:cs="Times New Roman"/>
          <w:szCs w:val="24"/>
        </w:rPr>
        <w:t>Judge addressed the misrepresentation claim</w:t>
      </w:r>
      <w:r w:rsidR="00D565FA">
        <w:rPr>
          <w:rFonts w:cs="Times New Roman"/>
          <w:szCs w:val="24"/>
        </w:rPr>
        <w:t xml:space="preserve"> first. He made </w:t>
      </w:r>
      <w:r w:rsidR="00356A0D">
        <w:rPr>
          <w:rFonts w:cs="Times New Roman"/>
          <w:szCs w:val="24"/>
        </w:rPr>
        <w:t>a number of</w:t>
      </w:r>
      <w:r w:rsidR="00CD0555">
        <w:rPr>
          <w:rFonts w:cs="Times New Roman"/>
          <w:szCs w:val="24"/>
        </w:rPr>
        <w:t xml:space="preserve"> </w:t>
      </w:r>
      <w:r w:rsidR="00D565FA">
        <w:rPr>
          <w:rFonts w:cs="Times New Roman"/>
          <w:szCs w:val="24"/>
        </w:rPr>
        <w:t>reference</w:t>
      </w:r>
      <w:r w:rsidR="006E3C59">
        <w:rPr>
          <w:rFonts w:cs="Times New Roman"/>
          <w:szCs w:val="24"/>
        </w:rPr>
        <w:t>s</w:t>
      </w:r>
      <w:r w:rsidR="00D565FA">
        <w:rPr>
          <w:rFonts w:cs="Times New Roman"/>
          <w:szCs w:val="24"/>
        </w:rPr>
        <w:t xml:space="preserve"> to the fact that Dr Sheehan had chosen not to give evidence. </w:t>
      </w:r>
      <w:r w:rsidR="00F54978">
        <w:rPr>
          <w:rFonts w:cs="Times New Roman"/>
          <w:szCs w:val="24"/>
        </w:rPr>
        <w:t>It was, he observed, “</w:t>
      </w:r>
      <w:r w:rsidR="00F54978" w:rsidRPr="00F54978">
        <w:rPr>
          <w:rFonts w:cs="Times New Roman"/>
          <w:i/>
          <w:szCs w:val="24"/>
        </w:rPr>
        <w:t>a curiosity of this case</w:t>
      </w:r>
      <w:r w:rsidR="00F54978">
        <w:rPr>
          <w:rFonts w:cs="Times New Roman"/>
          <w:szCs w:val="24"/>
        </w:rPr>
        <w:t>” (para 89). He referred to the expert evidence and noted the view of Mr Salter QC (Dr Sheehan’s expert) that the category of misrepresentation by silence had no application on the facts. It followed, in his view, that the misrepresentation claim came down primarily to the meaning and effect of the email of 16 November 2015 (by which, it is clear, he meant the longer of the two emails sent by Mr Simons on that date) (para 93). That email</w:t>
      </w:r>
      <w:r w:rsidR="00CD0555">
        <w:rPr>
          <w:rFonts w:cs="Times New Roman"/>
          <w:szCs w:val="24"/>
        </w:rPr>
        <w:t>, he noted (relying again on the evidence of Mr Salter),</w:t>
      </w:r>
      <w:r w:rsidR="00F54978">
        <w:rPr>
          <w:rFonts w:cs="Times New Roman"/>
          <w:szCs w:val="24"/>
        </w:rPr>
        <w:t xml:space="preserve"> had to be looked at in context and in light of the previous emails (para 94).</w:t>
      </w:r>
    </w:p>
    <w:p w14:paraId="4A17C055" w14:textId="77777777" w:rsidR="00F54978" w:rsidRPr="00F54978" w:rsidRDefault="00F54978" w:rsidP="00F54978">
      <w:pPr>
        <w:pStyle w:val="ListParagraph"/>
        <w:autoSpaceDE w:val="0"/>
        <w:autoSpaceDN w:val="0"/>
        <w:adjustRightInd w:val="0"/>
        <w:rPr>
          <w:rFonts w:cs="Times New Roman"/>
          <w:caps/>
          <w:szCs w:val="24"/>
        </w:rPr>
      </w:pPr>
    </w:p>
    <w:p w14:paraId="0C3A47D0" w14:textId="20BAF5B5" w:rsidR="00F54978" w:rsidRPr="00CC5AB8" w:rsidRDefault="00F54978" w:rsidP="00825811">
      <w:pPr>
        <w:pStyle w:val="ListParagraph"/>
        <w:numPr>
          <w:ilvl w:val="0"/>
          <w:numId w:val="1"/>
        </w:numPr>
        <w:autoSpaceDE w:val="0"/>
        <w:autoSpaceDN w:val="0"/>
        <w:adjustRightInd w:val="0"/>
        <w:ind w:hanging="720"/>
        <w:rPr>
          <w:rFonts w:cs="Times New Roman"/>
          <w:caps/>
          <w:szCs w:val="24"/>
        </w:rPr>
      </w:pPr>
      <w:r w:rsidRPr="00F54978">
        <w:rPr>
          <w:rFonts w:cs="Times New Roman"/>
          <w:szCs w:val="24"/>
        </w:rPr>
        <w:t>T</w:t>
      </w:r>
      <w:r>
        <w:rPr>
          <w:rFonts w:cs="Times New Roman"/>
          <w:szCs w:val="24"/>
        </w:rPr>
        <w:t>he</w:t>
      </w:r>
      <w:r w:rsidRPr="00F54978">
        <w:rPr>
          <w:rFonts w:cs="Times New Roman"/>
          <w:szCs w:val="24"/>
        </w:rPr>
        <w:t xml:space="preserve"> </w:t>
      </w:r>
      <w:r>
        <w:rPr>
          <w:rFonts w:cs="Times New Roman"/>
          <w:szCs w:val="24"/>
        </w:rPr>
        <w:t xml:space="preserve">Judge then noted that what was being alleged was not an express misrepresentation by Talos that </w:t>
      </w:r>
      <w:r w:rsidR="00CC5AB8">
        <w:rPr>
          <w:rFonts w:cs="Times New Roman"/>
          <w:szCs w:val="24"/>
        </w:rPr>
        <w:t xml:space="preserve">the IBRC claim was extant but </w:t>
      </w:r>
      <w:r w:rsidR="00675691">
        <w:rPr>
          <w:rFonts w:cs="Times New Roman"/>
          <w:szCs w:val="24"/>
        </w:rPr>
        <w:t xml:space="preserve">rather </w:t>
      </w:r>
      <w:r w:rsidR="00CC5AB8">
        <w:rPr>
          <w:rFonts w:cs="Times New Roman"/>
          <w:szCs w:val="24"/>
        </w:rPr>
        <w:t xml:space="preserve">an implied representation to that effect (para 95). </w:t>
      </w:r>
      <w:r w:rsidR="00F618A6">
        <w:rPr>
          <w:rFonts w:cs="Times New Roman"/>
          <w:szCs w:val="24"/>
        </w:rPr>
        <w:t>He</w:t>
      </w:r>
      <w:r w:rsidR="00CC5AB8">
        <w:rPr>
          <w:rFonts w:cs="Times New Roman"/>
          <w:szCs w:val="24"/>
        </w:rPr>
        <w:t xml:space="preserve"> then referred to what Mr </w:t>
      </w:r>
      <w:r w:rsidR="00F45271">
        <w:rPr>
          <w:rFonts w:cs="Times New Roman"/>
          <w:szCs w:val="24"/>
        </w:rPr>
        <w:t>Salter</w:t>
      </w:r>
      <w:r w:rsidR="00CC5AB8">
        <w:rPr>
          <w:rFonts w:cs="Times New Roman"/>
          <w:szCs w:val="24"/>
        </w:rPr>
        <w:t xml:space="preserve"> had said in his witness statement as to the appropriate approach in relation to implied representations, referring here to </w:t>
      </w:r>
      <w:r w:rsidR="00CC5AB8" w:rsidRPr="00CC5AB8">
        <w:rPr>
          <w:rFonts w:cs="Times New Roman"/>
          <w:i/>
          <w:szCs w:val="24"/>
        </w:rPr>
        <w:t>Geest Plc v Fyffes Plc</w:t>
      </w:r>
      <w:r w:rsidR="00CC5AB8">
        <w:rPr>
          <w:rFonts w:cs="Times New Roman"/>
          <w:szCs w:val="24"/>
        </w:rPr>
        <w:t xml:space="preserve"> [1999] 1 All ER (Comm) 672 and  </w:t>
      </w:r>
      <w:r w:rsidR="00CC5AB8" w:rsidRPr="00CC5AB8">
        <w:rPr>
          <w:rFonts w:cs="Times New Roman"/>
          <w:i/>
          <w:szCs w:val="24"/>
        </w:rPr>
        <w:t>Property Alliance Group Ltd v Royal Bank of Scotland plc</w:t>
      </w:r>
      <w:r w:rsidR="00CC5AB8">
        <w:rPr>
          <w:rFonts w:cs="Times New Roman"/>
          <w:szCs w:val="24"/>
        </w:rPr>
        <w:t xml:space="preserve"> [2018] EWCA Civ 355, [2018] 1 WLR 3529 and noting that, in the latter, the Court of Appeal had stated that the court “</w:t>
      </w:r>
      <w:r w:rsidR="00CC5AB8" w:rsidRPr="00CC5AB8">
        <w:rPr>
          <w:rFonts w:cs="Times New Roman"/>
          <w:i/>
          <w:szCs w:val="24"/>
        </w:rPr>
        <w:t>should not be too ready to find an implied representation.”</w:t>
      </w:r>
      <w:r w:rsidR="00CC5AB8">
        <w:rPr>
          <w:rFonts w:cs="Times New Roman"/>
          <w:i/>
          <w:szCs w:val="24"/>
        </w:rPr>
        <w:t xml:space="preserve"> </w:t>
      </w:r>
    </w:p>
    <w:p w14:paraId="32E1AAA4" w14:textId="77777777" w:rsidR="00CC5AB8" w:rsidRPr="00CC5AB8" w:rsidRDefault="00CC5AB8" w:rsidP="00CC5AB8">
      <w:pPr>
        <w:pStyle w:val="ListParagraph"/>
        <w:autoSpaceDE w:val="0"/>
        <w:autoSpaceDN w:val="0"/>
        <w:adjustRightInd w:val="0"/>
        <w:rPr>
          <w:rFonts w:cs="Times New Roman"/>
          <w:szCs w:val="24"/>
        </w:rPr>
      </w:pPr>
    </w:p>
    <w:p w14:paraId="165C1246" w14:textId="43E15D25" w:rsidR="00CC5AB8" w:rsidRDefault="00CC5AB8" w:rsidP="00825811">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 xml:space="preserve">The Judge then referred to the evidence of Mr Shannon. </w:t>
      </w:r>
      <w:r w:rsidR="00F618A6">
        <w:rPr>
          <w:rFonts w:cs="Times New Roman"/>
          <w:szCs w:val="24"/>
        </w:rPr>
        <w:t>Mr Shannon</w:t>
      </w:r>
      <w:r>
        <w:rPr>
          <w:rFonts w:cs="Times New Roman"/>
          <w:szCs w:val="24"/>
        </w:rPr>
        <w:t xml:space="preserve"> had been instructed to act for Dr Sheehan </w:t>
      </w:r>
      <w:r w:rsidR="00F925D7">
        <w:rPr>
          <w:rFonts w:cs="Times New Roman"/>
          <w:szCs w:val="24"/>
        </w:rPr>
        <w:t xml:space="preserve">in relation to his refinancing </w:t>
      </w:r>
      <w:r w:rsidR="00CD0555">
        <w:rPr>
          <w:rFonts w:cs="Times New Roman"/>
          <w:szCs w:val="24"/>
        </w:rPr>
        <w:t xml:space="preserve">only </w:t>
      </w:r>
      <w:r>
        <w:rPr>
          <w:rFonts w:cs="Times New Roman"/>
          <w:szCs w:val="24"/>
        </w:rPr>
        <w:t xml:space="preserve">on 13 November 2015 </w:t>
      </w:r>
      <w:r w:rsidR="00F925D7">
        <w:rPr>
          <w:rFonts w:cs="Times New Roman"/>
          <w:szCs w:val="24"/>
        </w:rPr>
        <w:t xml:space="preserve">(the evidence established that Dr Sheehan’s engagement with Talos was </w:t>
      </w:r>
      <w:r w:rsidR="00BC1033">
        <w:rPr>
          <w:rFonts w:cs="Times New Roman"/>
          <w:szCs w:val="24"/>
        </w:rPr>
        <w:t>part of a larger refinancing project to be financed by HIG Bayside Capital</w:t>
      </w:r>
      <w:r w:rsidR="001F0277">
        <w:rPr>
          <w:rFonts w:cs="Times New Roman"/>
          <w:szCs w:val="24"/>
        </w:rPr>
        <w:t xml:space="preserve"> (“</w:t>
      </w:r>
      <w:r w:rsidR="001F0277" w:rsidRPr="001F0277">
        <w:rPr>
          <w:rFonts w:cs="Times New Roman"/>
          <w:i/>
          <w:szCs w:val="24"/>
        </w:rPr>
        <w:t>HIG</w:t>
      </w:r>
      <w:r w:rsidR="001F0277">
        <w:rPr>
          <w:rFonts w:cs="Times New Roman"/>
          <w:szCs w:val="24"/>
        </w:rPr>
        <w:t>”)</w:t>
      </w:r>
      <w:r w:rsidR="00BC1033">
        <w:rPr>
          <w:rFonts w:cs="Times New Roman"/>
          <w:szCs w:val="24"/>
        </w:rPr>
        <w:t xml:space="preserve">) </w:t>
      </w:r>
      <w:r>
        <w:rPr>
          <w:rFonts w:cs="Times New Roman"/>
          <w:szCs w:val="24"/>
        </w:rPr>
        <w:t xml:space="preserve">but </w:t>
      </w:r>
      <w:r w:rsidR="00F925D7">
        <w:rPr>
          <w:rFonts w:cs="Times New Roman"/>
          <w:szCs w:val="24"/>
        </w:rPr>
        <w:t xml:space="preserve">had </w:t>
      </w:r>
      <w:r w:rsidR="00BC1033">
        <w:rPr>
          <w:rFonts w:cs="Times New Roman"/>
          <w:szCs w:val="24"/>
        </w:rPr>
        <w:t>previously</w:t>
      </w:r>
      <w:r w:rsidR="00F925D7">
        <w:rPr>
          <w:rFonts w:cs="Times New Roman"/>
          <w:szCs w:val="24"/>
        </w:rPr>
        <w:t xml:space="preserve"> </w:t>
      </w:r>
      <w:r w:rsidR="00BC1033">
        <w:rPr>
          <w:rFonts w:cs="Times New Roman"/>
          <w:szCs w:val="24"/>
        </w:rPr>
        <w:t xml:space="preserve">been </w:t>
      </w:r>
      <w:r w:rsidR="00F925D7">
        <w:rPr>
          <w:rFonts w:cs="Times New Roman"/>
          <w:szCs w:val="24"/>
        </w:rPr>
        <w:t>provided with copies of the earlier email correspondence. He himself had been in email correspondence with Mr Simons on 13 November. However, in his evidence he had said that he had no recollection of reviewing the earlier emails (specifically emails of 22 September and 11 November 2015) or opening the attachments to them. As regards the email sent to him by Mr Simon</w:t>
      </w:r>
      <w:r w:rsidR="00A75765">
        <w:rPr>
          <w:rFonts w:cs="Times New Roman"/>
          <w:szCs w:val="24"/>
        </w:rPr>
        <w:t>s</w:t>
      </w:r>
      <w:r w:rsidR="00F925D7">
        <w:rPr>
          <w:rFonts w:cs="Times New Roman"/>
          <w:szCs w:val="24"/>
        </w:rPr>
        <w:t xml:space="preserve"> on 13 November, he had not reviewed that </w:t>
      </w:r>
      <w:r w:rsidR="00BC1033">
        <w:rPr>
          <w:rFonts w:cs="Times New Roman"/>
          <w:szCs w:val="24"/>
        </w:rPr>
        <w:t>or the attachments to it</w:t>
      </w:r>
      <w:r w:rsidR="00F925D7">
        <w:rPr>
          <w:rFonts w:cs="Times New Roman"/>
          <w:szCs w:val="24"/>
        </w:rPr>
        <w:t xml:space="preserve"> </w:t>
      </w:r>
      <w:r w:rsidR="00B44CC6">
        <w:rPr>
          <w:rFonts w:cs="Times New Roman"/>
          <w:szCs w:val="24"/>
        </w:rPr>
        <w:t xml:space="preserve">in </w:t>
      </w:r>
      <w:r w:rsidR="00F925D7">
        <w:rPr>
          <w:rFonts w:cs="Times New Roman"/>
          <w:szCs w:val="24"/>
        </w:rPr>
        <w:t>detail either. In the Judge’s view, Mr Shannon’s failure to carefully read the correspondence (including correspondence pre-dating his instruction</w:t>
      </w:r>
      <w:r w:rsidR="00BC1033">
        <w:rPr>
          <w:rFonts w:cs="Times New Roman"/>
          <w:szCs w:val="24"/>
        </w:rPr>
        <w:t xml:space="preserve">s which, in the Judge’s view, he should have carefully reviewed </w:t>
      </w:r>
      <w:r w:rsidR="00CD0555">
        <w:rPr>
          <w:rFonts w:cs="Times New Roman"/>
          <w:szCs w:val="24"/>
        </w:rPr>
        <w:t>upon being</w:t>
      </w:r>
      <w:r w:rsidR="00BC1033">
        <w:rPr>
          <w:rFonts w:cs="Times New Roman"/>
          <w:szCs w:val="24"/>
        </w:rPr>
        <w:t xml:space="preserve"> instructed) ought not to be allowed to benefit Dr Sheehan (paras 106 and 107). </w:t>
      </w:r>
    </w:p>
    <w:p w14:paraId="6535BFD9" w14:textId="77777777" w:rsidR="00BC1033" w:rsidRDefault="00BC1033" w:rsidP="00BC1033">
      <w:pPr>
        <w:pStyle w:val="ListParagraph"/>
        <w:autoSpaceDE w:val="0"/>
        <w:autoSpaceDN w:val="0"/>
        <w:adjustRightInd w:val="0"/>
        <w:rPr>
          <w:rFonts w:cs="Times New Roman"/>
          <w:szCs w:val="24"/>
        </w:rPr>
      </w:pPr>
    </w:p>
    <w:p w14:paraId="5A0DDF6B" w14:textId="1E75A536" w:rsidR="00BC1033" w:rsidRDefault="00BC1033" w:rsidP="00825811">
      <w:pPr>
        <w:pStyle w:val="ListParagraph"/>
        <w:numPr>
          <w:ilvl w:val="0"/>
          <w:numId w:val="1"/>
        </w:numPr>
        <w:autoSpaceDE w:val="0"/>
        <w:autoSpaceDN w:val="0"/>
        <w:adjustRightInd w:val="0"/>
        <w:ind w:hanging="720"/>
        <w:rPr>
          <w:rFonts w:cs="Times New Roman"/>
          <w:szCs w:val="24"/>
        </w:rPr>
      </w:pPr>
      <w:r>
        <w:rPr>
          <w:rFonts w:cs="Times New Roman"/>
          <w:szCs w:val="24"/>
        </w:rPr>
        <w:t xml:space="preserve">Looking at the email correspondence (and, in passing, I </w:t>
      </w:r>
      <w:r w:rsidR="00F618A6">
        <w:rPr>
          <w:rFonts w:cs="Times New Roman"/>
          <w:szCs w:val="24"/>
        </w:rPr>
        <w:t>note</w:t>
      </w:r>
      <w:r>
        <w:rPr>
          <w:rFonts w:cs="Times New Roman"/>
          <w:szCs w:val="24"/>
        </w:rPr>
        <w:t xml:space="preserve"> that the misrepresentation claim was based entirely on these emails</w:t>
      </w:r>
      <w:r w:rsidR="00CD0555">
        <w:rPr>
          <w:rFonts w:cs="Times New Roman"/>
          <w:szCs w:val="24"/>
        </w:rPr>
        <w:t>; n</w:t>
      </w:r>
      <w:r>
        <w:rPr>
          <w:rFonts w:cs="Times New Roman"/>
          <w:szCs w:val="24"/>
        </w:rPr>
        <w:t>o reliance was placed on any oral representations, whether by Mr Simons or anyone else on Talos’ behalf), the Judge acknowledged that, if read in isolation, “</w:t>
      </w:r>
      <w:r w:rsidRPr="00BC1033">
        <w:rPr>
          <w:rFonts w:cs="Times New Roman"/>
          <w:i/>
          <w:szCs w:val="24"/>
        </w:rPr>
        <w:t xml:space="preserve">it is </w:t>
      </w:r>
      <w:r w:rsidRPr="00BC1033">
        <w:rPr>
          <w:rFonts w:cs="Times New Roman"/>
          <w:i/>
          <w:szCs w:val="24"/>
          <w:u w:val="single"/>
        </w:rPr>
        <w:t>possible</w:t>
      </w:r>
      <w:r w:rsidRPr="00BC1033">
        <w:rPr>
          <w:rFonts w:cs="Times New Roman"/>
          <w:i/>
          <w:szCs w:val="24"/>
        </w:rPr>
        <w:t>”</w:t>
      </w:r>
      <w:r>
        <w:rPr>
          <w:rFonts w:cs="Times New Roman"/>
          <w:szCs w:val="24"/>
        </w:rPr>
        <w:t xml:space="preserve"> (</w:t>
      </w:r>
      <w:r w:rsidR="00AF324F">
        <w:rPr>
          <w:rFonts w:cs="Times New Roman"/>
          <w:szCs w:val="24"/>
        </w:rPr>
        <w:t>his</w:t>
      </w:r>
      <w:r>
        <w:rPr>
          <w:rFonts w:cs="Times New Roman"/>
          <w:szCs w:val="24"/>
        </w:rPr>
        <w:t xml:space="preserve"> emphasis) that the recipient could read its contents as </w:t>
      </w:r>
      <w:r w:rsidR="00F054DB">
        <w:rPr>
          <w:rFonts w:cs="Times New Roman"/>
          <w:szCs w:val="24"/>
        </w:rPr>
        <w:t>“</w:t>
      </w:r>
      <w:r w:rsidRPr="00F054DB">
        <w:rPr>
          <w:rFonts w:cs="Times New Roman"/>
          <w:i/>
          <w:szCs w:val="24"/>
        </w:rPr>
        <w:t xml:space="preserve">meaning that JCS’s costs and expenses in relation to the UK Costs Certificates </w:t>
      </w:r>
      <w:r w:rsidR="00AF324F" w:rsidRPr="00F054DB">
        <w:rPr>
          <w:rFonts w:cs="Times New Roman"/>
          <w:i/>
          <w:szCs w:val="24"/>
        </w:rPr>
        <w:t xml:space="preserve">came to a total of </w:t>
      </w:r>
      <w:r w:rsidR="00F054DB" w:rsidRPr="00F054DB">
        <w:rPr>
          <w:rFonts w:cs="Times New Roman"/>
          <w:i/>
          <w:szCs w:val="24"/>
        </w:rPr>
        <w:t>€878,262.89 and these were all still outstanding”</w:t>
      </w:r>
      <w:r w:rsidR="00F054DB">
        <w:rPr>
          <w:rFonts w:cs="Times New Roman"/>
          <w:i/>
          <w:szCs w:val="24"/>
        </w:rPr>
        <w:t xml:space="preserve"> </w:t>
      </w:r>
      <w:r w:rsidR="00F054DB">
        <w:rPr>
          <w:rFonts w:cs="Times New Roman"/>
          <w:szCs w:val="24"/>
        </w:rPr>
        <w:t>(para 111).  However, it was “</w:t>
      </w:r>
      <w:r w:rsidR="00F054DB" w:rsidRPr="00F054DB">
        <w:rPr>
          <w:rFonts w:cs="Times New Roman"/>
          <w:i/>
          <w:szCs w:val="24"/>
        </w:rPr>
        <w:t>equally possible”</w:t>
      </w:r>
      <w:r w:rsidR="00F054DB">
        <w:rPr>
          <w:rFonts w:cs="Times New Roman"/>
          <w:szCs w:val="24"/>
        </w:rPr>
        <w:t xml:space="preserve"> for the recipient of the email of 13 November 2015 to have read that email and the attachment to it as indicating that the amount outstanding in respect of those Certificates was €516,505.42 (para 112). </w:t>
      </w:r>
      <w:r w:rsidR="00F054DB">
        <w:rPr>
          <w:rFonts w:cs="Times New Roman"/>
          <w:szCs w:val="24"/>
        </w:rPr>
        <w:lastRenderedPageBreak/>
        <w:t xml:space="preserve">Furthermore, in the Judge’s view, </w:t>
      </w:r>
      <w:r w:rsidR="0012240D">
        <w:rPr>
          <w:rFonts w:cs="Times New Roman"/>
          <w:szCs w:val="24"/>
        </w:rPr>
        <w:t xml:space="preserve">that interpretation of the email of 13 November 2015 was made more likely when one considered the emails of 11 November and 22 September 2015 (para 113). A comparison of those emails indicated a number of matters set out in para 114 of the Judgment, including the fact that the total amount that Dr Sheehan was being asked to pay had dropped by €1.3 million, as well as that the amount shown to be payable to Clifford Chance had reduced by over €1 million.  If the email of 16 November </w:t>
      </w:r>
      <w:r w:rsidR="00A23E7B">
        <w:rPr>
          <w:rFonts w:cs="Times New Roman"/>
          <w:szCs w:val="24"/>
        </w:rPr>
        <w:t xml:space="preserve">was to be interpreted as Mr Shannon had said he had interpreted it, it followed that there was a conflict between the costs figures set out in that email and the email sent 3 days before and that should have </w:t>
      </w:r>
      <w:r w:rsidR="00675691">
        <w:rPr>
          <w:rFonts w:cs="Times New Roman"/>
          <w:szCs w:val="24"/>
        </w:rPr>
        <w:t>prompted</w:t>
      </w:r>
      <w:r w:rsidR="00A23E7B">
        <w:rPr>
          <w:rFonts w:cs="Times New Roman"/>
          <w:szCs w:val="24"/>
        </w:rPr>
        <w:t xml:space="preserve"> </w:t>
      </w:r>
      <w:r w:rsidR="001840F7">
        <w:rPr>
          <w:rFonts w:cs="Times New Roman"/>
          <w:szCs w:val="24"/>
        </w:rPr>
        <w:t xml:space="preserve">inquiry from </w:t>
      </w:r>
      <w:r w:rsidR="00A23E7B">
        <w:rPr>
          <w:rFonts w:cs="Times New Roman"/>
          <w:szCs w:val="24"/>
        </w:rPr>
        <w:t xml:space="preserve">Mr Shannon </w:t>
      </w:r>
      <w:r w:rsidR="001840F7">
        <w:rPr>
          <w:rFonts w:cs="Times New Roman"/>
          <w:szCs w:val="24"/>
        </w:rPr>
        <w:t>(para 116(vii)</w:t>
      </w:r>
      <w:r w:rsidR="00B44CC6">
        <w:rPr>
          <w:rFonts w:cs="Times New Roman"/>
          <w:szCs w:val="24"/>
        </w:rPr>
        <w:t>)</w:t>
      </w:r>
      <w:r w:rsidR="001840F7">
        <w:rPr>
          <w:rFonts w:cs="Times New Roman"/>
          <w:szCs w:val="24"/>
        </w:rPr>
        <w:t>. Further, “</w:t>
      </w:r>
      <w:r w:rsidR="001840F7" w:rsidRPr="001840F7">
        <w:rPr>
          <w:rFonts w:cs="Times New Roman"/>
          <w:i/>
          <w:szCs w:val="24"/>
        </w:rPr>
        <w:t>it should have been obvious to Mr Shannon</w:t>
      </w:r>
      <w:r w:rsidR="001840F7">
        <w:rPr>
          <w:rFonts w:cs="Times New Roman"/>
          <w:szCs w:val="24"/>
        </w:rPr>
        <w:t>” that the “</w:t>
      </w:r>
      <w:r w:rsidR="001840F7" w:rsidRPr="001840F7">
        <w:rPr>
          <w:rFonts w:cs="Times New Roman"/>
          <w:i/>
          <w:szCs w:val="24"/>
        </w:rPr>
        <w:t>very precise figure</w:t>
      </w:r>
      <w:r w:rsidR="001840F7">
        <w:rPr>
          <w:rFonts w:cs="Times New Roman"/>
          <w:szCs w:val="24"/>
        </w:rPr>
        <w:t>” of €842,387.49 which the email of 16 November stated would be accepted by Talos in full and final settlement was the sum of the JCS expenses and interest set out in the 13 November email (para 116(vii)).</w:t>
      </w:r>
    </w:p>
    <w:p w14:paraId="6140E1D0" w14:textId="77777777" w:rsidR="001840F7" w:rsidRDefault="001840F7" w:rsidP="001840F7">
      <w:pPr>
        <w:pStyle w:val="ListParagraph"/>
        <w:autoSpaceDE w:val="0"/>
        <w:autoSpaceDN w:val="0"/>
        <w:adjustRightInd w:val="0"/>
        <w:rPr>
          <w:rFonts w:cs="Times New Roman"/>
          <w:szCs w:val="24"/>
        </w:rPr>
      </w:pPr>
    </w:p>
    <w:p w14:paraId="1123CF84" w14:textId="109230C9" w:rsidR="001840F7" w:rsidRDefault="001840F7" w:rsidP="00825811">
      <w:pPr>
        <w:pStyle w:val="ListParagraph"/>
        <w:numPr>
          <w:ilvl w:val="0"/>
          <w:numId w:val="1"/>
        </w:numPr>
        <w:autoSpaceDE w:val="0"/>
        <w:autoSpaceDN w:val="0"/>
        <w:adjustRightInd w:val="0"/>
        <w:ind w:hanging="720"/>
        <w:rPr>
          <w:rFonts w:cs="Times New Roman"/>
          <w:szCs w:val="24"/>
        </w:rPr>
      </w:pPr>
      <w:r>
        <w:rPr>
          <w:rFonts w:cs="Times New Roman"/>
          <w:szCs w:val="24"/>
        </w:rPr>
        <w:t xml:space="preserve">On the basis of this analysis, the </w:t>
      </w:r>
      <w:r w:rsidR="008456E5">
        <w:rPr>
          <w:rFonts w:cs="Times New Roman"/>
          <w:szCs w:val="24"/>
        </w:rPr>
        <w:t>Judge concluded</w:t>
      </w:r>
      <w:r w:rsidR="004C0458">
        <w:rPr>
          <w:rFonts w:cs="Times New Roman"/>
          <w:szCs w:val="24"/>
        </w:rPr>
        <w:t xml:space="preserve"> as follows:</w:t>
      </w:r>
    </w:p>
    <w:p w14:paraId="25DCC476" w14:textId="77777777" w:rsidR="00356D10" w:rsidRDefault="00356D10" w:rsidP="00356D10">
      <w:pPr>
        <w:pStyle w:val="ListParagraph"/>
        <w:autoSpaceDE w:val="0"/>
        <w:autoSpaceDN w:val="0"/>
        <w:adjustRightInd w:val="0"/>
        <w:rPr>
          <w:rStyle w:val="para-num"/>
          <w:rFonts w:eastAsiaTheme="majorEastAsia" w:cs="Times New Roman"/>
          <w:i/>
          <w:color w:val="333333"/>
          <w:szCs w:val="24"/>
        </w:rPr>
      </w:pPr>
    </w:p>
    <w:p w14:paraId="21699D9D" w14:textId="77777777" w:rsidR="00896E6B" w:rsidRDefault="00356D10" w:rsidP="00C70B5A">
      <w:pPr>
        <w:pStyle w:val="ListParagraph"/>
        <w:autoSpaceDE w:val="0"/>
        <w:autoSpaceDN w:val="0"/>
        <w:adjustRightInd w:val="0"/>
        <w:ind w:left="1418"/>
        <w:rPr>
          <w:i/>
          <w:color w:val="000000" w:themeColor="text1"/>
        </w:rPr>
      </w:pPr>
      <w:r w:rsidRPr="00C70B5A">
        <w:rPr>
          <w:rStyle w:val="para-num"/>
          <w:rFonts w:eastAsiaTheme="majorEastAsia" w:cs="Times New Roman"/>
          <w:i/>
          <w:color w:val="000000" w:themeColor="text1"/>
          <w:szCs w:val="24"/>
        </w:rPr>
        <w:t>“122.</w:t>
      </w:r>
      <w:r w:rsidRPr="00C70B5A">
        <w:rPr>
          <w:i/>
          <w:color w:val="000000" w:themeColor="text1"/>
        </w:rPr>
        <w:t xml:space="preserve"> However, as is clear from the foregoing evidence, Mr. Shannon had been provided with sufficient information, in emails and attachments prior to the 16th November, 2015, to conclude that the UK Costs Certificates had been previously part paid (or more generally, that JCS's costs and expenses had been part paid) prior to the execution of the Talos/Sheehan Settlement Agreement, but he either did not read those emails and attachments or did not read them carefully. In this Court's view, it is not now open to Mr. Shannon to seek to benefit his client, Dr. Sheehan, by relying on his own failure to carefully read emails and attachments </w:t>
      </w:r>
      <w:r w:rsidRPr="00C70B5A">
        <w:rPr>
          <w:i/>
          <w:color w:val="000000" w:themeColor="text1"/>
        </w:rPr>
        <w:lastRenderedPageBreak/>
        <w:t>and by so doing allege that another solicitor had misrepresented the facts to him, which is a very serious allegation to make against any professional.</w:t>
      </w:r>
    </w:p>
    <w:p w14:paraId="6BD05318" w14:textId="77777777" w:rsidR="00896E6B" w:rsidRPr="00896E6B" w:rsidRDefault="00896E6B" w:rsidP="00C70B5A">
      <w:pPr>
        <w:pStyle w:val="ListParagraph"/>
        <w:autoSpaceDE w:val="0"/>
        <w:autoSpaceDN w:val="0"/>
        <w:adjustRightInd w:val="0"/>
        <w:ind w:left="1418"/>
        <w:rPr>
          <w:i/>
          <w:color w:val="000000" w:themeColor="text1"/>
        </w:rPr>
      </w:pPr>
    </w:p>
    <w:p w14:paraId="3210AF5D" w14:textId="77777777" w:rsidR="00356D10" w:rsidRPr="00C70B5A" w:rsidRDefault="00356D10" w:rsidP="00C70B5A">
      <w:pPr>
        <w:pStyle w:val="NormalWeb"/>
        <w:shd w:val="clear" w:color="auto" w:fill="FFFFFF"/>
        <w:spacing w:before="0" w:beforeAutospacing="0" w:after="0" w:afterAutospacing="0" w:line="480" w:lineRule="auto"/>
        <w:ind w:left="1418"/>
        <w:jc w:val="both"/>
        <w:rPr>
          <w:i/>
          <w:color w:val="000000" w:themeColor="text1"/>
        </w:rPr>
      </w:pPr>
      <w:r w:rsidRPr="00C70B5A">
        <w:rPr>
          <w:rStyle w:val="para-num"/>
          <w:rFonts w:eastAsiaTheme="majorEastAsia"/>
          <w:i/>
          <w:color w:val="000000" w:themeColor="text1"/>
        </w:rPr>
        <w:t>123.</w:t>
      </w:r>
      <w:r w:rsidRPr="00C70B5A">
        <w:rPr>
          <w:i/>
          <w:color w:val="000000" w:themeColor="text1"/>
        </w:rPr>
        <w:t xml:space="preserve"> More generally, it seems clear to this Court that, when all of the emails and attachments are viewed in the round, it would have indicated to Mr. Shannon, if he had read them at all, or indeed carefully which a solicitor would be expected to do, the very thing which he complains he was not told, namely that some of the UK Costs Certificates and/or some of JCS's costs and expenses had been paid, would have been obvious to him.</w:t>
      </w:r>
    </w:p>
    <w:p w14:paraId="45244F23" w14:textId="77777777" w:rsidR="00356D10" w:rsidRPr="00C70B5A" w:rsidRDefault="00356D10" w:rsidP="00C70B5A">
      <w:pPr>
        <w:pStyle w:val="NormalWeb"/>
        <w:shd w:val="clear" w:color="auto" w:fill="FFFFFF"/>
        <w:spacing w:before="0" w:beforeAutospacing="0" w:after="0" w:afterAutospacing="0" w:line="480" w:lineRule="auto"/>
        <w:ind w:left="1418"/>
        <w:jc w:val="both"/>
        <w:rPr>
          <w:i/>
          <w:color w:val="000000" w:themeColor="text1"/>
        </w:rPr>
      </w:pPr>
    </w:p>
    <w:p w14:paraId="1CFCCF14" w14:textId="77777777" w:rsidR="00356D10" w:rsidRPr="00C70B5A" w:rsidRDefault="00356D10" w:rsidP="00C70B5A">
      <w:pPr>
        <w:pStyle w:val="NormalWeb"/>
        <w:shd w:val="clear" w:color="auto" w:fill="FFFFFF"/>
        <w:spacing w:before="0" w:beforeAutospacing="0" w:after="0" w:afterAutospacing="0" w:line="480" w:lineRule="auto"/>
        <w:ind w:left="1418"/>
        <w:jc w:val="both"/>
        <w:rPr>
          <w:i/>
          <w:color w:val="000000" w:themeColor="text1"/>
        </w:rPr>
      </w:pPr>
      <w:r w:rsidRPr="00C70B5A">
        <w:rPr>
          <w:rStyle w:val="para-num"/>
          <w:rFonts w:eastAsiaTheme="majorEastAsia"/>
          <w:i/>
          <w:color w:val="000000" w:themeColor="text1"/>
        </w:rPr>
        <w:t>124.</w:t>
      </w:r>
      <w:r w:rsidRPr="00C70B5A">
        <w:rPr>
          <w:i/>
          <w:color w:val="000000" w:themeColor="text1"/>
        </w:rPr>
        <w:t xml:space="preserve"> Since English law requires this Court to consider the alleged misrepresentation in </w:t>
      </w:r>
      <w:r w:rsidRPr="00CD0555">
        <w:rPr>
          <w:color w:val="000000" w:themeColor="text1"/>
        </w:rPr>
        <w:t>" </w:t>
      </w:r>
      <w:r w:rsidRPr="00CD0555">
        <w:rPr>
          <w:rStyle w:val="Emphasis"/>
          <w:rFonts w:eastAsiaTheme="majorEastAsia"/>
          <w:color w:val="000000" w:themeColor="text1"/>
        </w:rPr>
        <w:t>all the circumstances</w:t>
      </w:r>
      <w:r w:rsidRPr="00C70B5A">
        <w:rPr>
          <w:i/>
          <w:color w:val="000000" w:themeColor="text1"/>
        </w:rPr>
        <w:t>" of the case, this Court cannot see how the 16th November Email can be read in isolation. When all of the correspondence is considered, this Court concludes that there has been no representation by Mr. Simons or Talos on the 16th November, 2015, or on any other date that the UK Costs Certificates were all outstanding (after they had been part paid) and therefore there was no misrepresentation that some of JCS's costs and expenses had </w:t>
      </w:r>
      <w:r w:rsidRPr="00C70B5A">
        <w:rPr>
          <w:rStyle w:val="Emphasis"/>
          <w:rFonts w:eastAsiaTheme="majorEastAsia"/>
          <w:color w:val="000000" w:themeColor="text1"/>
          <w:u w:val="single"/>
        </w:rPr>
        <w:t>not</w:t>
      </w:r>
      <w:r w:rsidRPr="00C70B5A">
        <w:rPr>
          <w:i/>
          <w:color w:val="000000" w:themeColor="text1"/>
        </w:rPr>
        <w:t> been paid and accordingly there was no misrepresentation that the IBRC Claim had not been settled.</w:t>
      </w:r>
    </w:p>
    <w:p w14:paraId="29A0F22E" w14:textId="77777777" w:rsidR="00356D10" w:rsidRPr="00C70B5A" w:rsidRDefault="00356D10" w:rsidP="00C70B5A">
      <w:pPr>
        <w:pStyle w:val="NormalWeb"/>
        <w:shd w:val="clear" w:color="auto" w:fill="FFFFFF"/>
        <w:spacing w:before="0" w:beforeAutospacing="0" w:after="0" w:afterAutospacing="0" w:line="480" w:lineRule="auto"/>
        <w:ind w:left="1418"/>
        <w:jc w:val="both"/>
        <w:rPr>
          <w:i/>
          <w:color w:val="000000" w:themeColor="text1"/>
        </w:rPr>
      </w:pPr>
    </w:p>
    <w:p w14:paraId="1E77A63B" w14:textId="2A05F5B7" w:rsidR="00356D10" w:rsidRDefault="00356D10" w:rsidP="00C70B5A">
      <w:pPr>
        <w:pStyle w:val="NormalWeb"/>
        <w:shd w:val="clear" w:color="auto" w:fill="FFFFFF"/>
        <w:spacing w:before="0" w:beforeAutospacing="0" w:after="0" w:afterAutospacing="0" w:line="480" w:lineRule="auto"/>
        <w:ind w:left="1418"/>
        <w:jc w:val="both"/>
        <w:rPr>
          <w:i/>
          <w:color w:val="000000" w:themeColor="text1"/>
        </w:rPr>
      </w:pPr>
      <w:r w:rsidRPr="00C70B5A">
        <w:rPr>
          <w:rStyle w:val="para-num"/>
          <w:rFonts w:eastAsiaTheme="majorEastAsia"/>
          <w:i/>
          <w:color w:val="000000" w:themeColor="text1"/>
        </w:rPr>
        <w:t>125.</w:t>
      </w:r>
      <w:r w:rsidRPr="00C70B5A">
        <w:rPr>
          <w:i/>
          <w:color w:val="000000" w:themeColor="text1"/>
        </w:rPr>
        <w:t xml:space="preserve"> In particular, this Court cannot see how Mr. Shannon can claim that the 16th November Email amounted to a misrepresentation to him that the UK Costs Certificates (in the sum of €878,262.89) were all outstanding, when only three days previously, the 13th November Email stated that the only costs and </w:t>
      </w:r>
      <w:r w:rsidRPr="00C70B5A">
        <w:rPr>
          <w:i/>
          <w:color w:val="000000" w:themeColor="text1"/>
        </w:rPr>
        <w:lastRenderedPageBreak/>
        <w:t>expenses outstanding for JCS totalled €666,504.42 made up of five invoices, two of which were from the UK law firm Clifford Chance, and one of which was stated to be "part paid" and the total of those two invoices from Clifford Chance alone only came to €626,722.16.</w:t>
      </w:r>
    </w:p>
    <w:p w14:paraId="41B04931" w14:textId="77777777" w:rsidR="00CD0555" w:rsidRPr="00C70B5A" w:rsidRDefault="00CD0555" w:rsidP="00C70B5A">
      <w:pPr>
        <w:pStyle w:val="NormalWeb"/>
        <w:shd w:val="clear" w:color="auto" w:fill="FFFFFF"/>
        <w:spacing w:before="0" w:beforeAutospacing="0" w:after="0" w:afterAutospacing="0" w:line="480" w:lineRule="auto"/>
        <w:ind w:left="1418"/>
        <w:jc w:val="both"/>
        <w:rPr>
          <w:i/>
          <w:color w:val="000000" w:themeColor="text1"/>
        </w:rPr>
      </w:pPr>
    </w:p>
    <w:p w14:paraId="6F30DEE7" w14:textId="77777777" w:rsidR="00356D10" w:rsidRDefault="00356D10" w:rsidP="00C70B5A">
      <w:pPr>
        <w:pStyle w:val="NormalWeb"/>
        <w:shd w:val="clear" w:color="auto" w:fill="FFFFFF"/>
        <w:spacing w:before="0" w:beforeAutospacing="0" w:after="0" w:afterAutospacing="0" w:line="480" w:lineRule="auto"/>
        <w:ind w:left="1418"/>
        <w:jc w:val="both"/>
        <w:rPr>
          <w:color w:val="000000" w:themeColor="text1"/>
        </w:rPr>
      </w:pPr>
      <w:r w:rsidRPr="00C70B5A">
        <w:rPr>
          <w:rStyle w:val="para-num"/>
          <w:rFonts w:eastAsiaTheme="majorEastAsia"/>
          <w:i/>
          <w:color w:val="000000" w:themeColor="text1"/>
        </w:rPr>
        <w:t>126.</w:t>
      </w:r>
      <w:r w:rsidRPr="00C70B5A">
        <w:rPr>
          <w:i/>
          <w:color w:val="000000" w:themeColor="text1"/>
        </w:rPr>
        <w:t xml:space="preserve"> The only way in which a claim for misrepresentation could even have a chance of success, in this Court's view, is if the </w:t>
      </w:r>
      <w:r w:rsidRPr="00CD0555">
        <w:rPr>
          <w:rStyle w:val="Emphasis"/>
          <w:rFonts w:eastAsiaTheme="majorEastAsia"/>
          <w:color w:val="000000" w:themeColor="text1"/>
        </w:rPr>
        <w:t>only</w:t>
      </w:r>
      <w:r w:rsidRPr="00C70B5A">
        <w:rPr>
          <w:i/>
          <w:color w:val="000000" w:themeColor="text1"/>
        </w:rPr>
        <w:t> email that was sent by Mr. Simons was the 16th November Email and if there never had been the 22nd September Email, the 11th November Email and the 13th November Email. However, this was patently not the case.</w:t>
      </w:r>
      <w:r w:rsidR="00C70B5A" w:rsidRPr="00C70B5A">
        <w:rPr>
          <w:i/>
          <w:color w:val="000000" w:themeColor="text1"/>
        </w:rPr>
        <w:t>”</w:t>
      </w:r>
      <w:r w:rsidR="00C70B5A">
        <w:rPr>
          <w:i/>
          <w:color w:val="000000" w:themeColor="text1"/>
        </w:rPr>
        <w:t xml:space="preserve"> </w:t>
      </w:r>
      <w:r w:rsidR="00C70B5A">
        <w:rPr>
          <w:color w:val="000000" w:themeColor="text1"/>
        </w:rPr>
        <w:t>(original emphasis)</w:t>
      </w:r>
    </w:p>
    <w:p w14:paraId="40E429F8" w14:textId="77777777" w:rsidR="00C70B5A" w:rsidRPr="00C70B5A" w:rsidRDefault="00C70B5A" w:rsidP="00C70B5A">
      <w:pPr>
        <w:pStyle w:val="NormalWeb"/>
        <w:shd w:val="clear" w:color="auto" w:fill="FFFFFF"/>
        <w:spacing w:before="0" w:beforeAutospacing="0" w:after="0" w:afterAutospacing="0" w:line="480" w:lineRule="auto"/>
        <w:ind w:left="1418"/>
        <w:jc w:val="both"/>
        <w:rPr>
          <w:color w:val="000000" w:themeColor="text1"/>
        </w:rPr>
      </w:pPr>
    </w:p>
    <w:p w14:paraId="0C2AF839" w14:textId="0CF21683" w:rsidR="008456E5" w:rsidRDefault="008A062E" w:rsidP="00C70B5A">
      <w:pPr>
        <w:pStyle w:val="ListParagraph"/>
        <w:numPr>
          <w:ilvl w:val="0"/>
          <w:numId w:val="1"/>
        </w:numPr>
        <w:autoSpaceDE w:val="0"/>
        <w:autoSpaceDN w:val="0"/>
        <w:adjustRightInd w:val="0"/>
        <w:ind w:hanging="720"/>
        <w:rPr>
          <w:rFonts w:cs="Times New Roman"/>
          <w:szCs w:val="24"/>
        </w:rPr>
      </w:pPr>
      <w:r>
        <w:rPr>
          <w:rFonts w:cs="Times New Roman"/>
          <w:szCs w:val="24"/>
        </w:rPr>
        <w:t>In a section of his judgment headed “</w:t>
      </w:r>
      <w:r w:rsidRPr="008A062E">
        <w:rPr>
          <w:rFonts w:cs="Times New Roman"/>
          <w:i/>
          <w:szCs w:val="24"/>
        </w:rPr>
        <w:t>Absolutely no question of fraudulent misrepresentation by Mr Simons</w:t>
      </w:r>
      <w:r>
        <w:rPr>
          <w:rFonts w:cs="Times New Roman"/>
          <w:szCs w:val="24"/>
        </w:rPr>
        <w:t>”, t</w:t>
      </w:r>
      <w:r w:rsidR="00C70B5A">
        <w:rPr>
          <w:rFonts w:cs="Times New Roman"/>
          <w:szCs w:val="24"/>
        </w:rPr>
        <w:t>he Judge went on to reject</w:t>
      </w:r>
      <w:r w:rsidR="000860B6">
        <w:rPr>
          <w:rFonts w:cs="Times New Roman"/>
          <w:szCs w:val="24"/>
        </w:rPr>
        <w:t xml:space="preserve"> in</w:t>
      </w:r>
      <w:r w:rsidR="00C70B5A">
        <w:rPr>
          <w:rFonts w:cs="Times New Roman"/>
          <w:szCs w:val="24"/>
        </w:rPr>
        <w:t xml:space="preserve"> </w:t>
      </w:r>
      <w:r w:rsidR="000860B6">
        <w:rPr>
          <w:rFonts w:cs="Times New Roman"/>
          <w:szCs w:val="24"/>
        </w:rPr>
        <w:t xml:space="preserve">emphatic terms </w:t>
      </w:r>
      <w:r w:rsidR="00C70B5A">
        <w:rPr>
          <w:rFonts w:cs="Times New Roman"/>
          <w:szCs w:val="24"/>
        </w:rPr>
        <w:t>any suggestion that Mr Simons had deliberately sought to mislead Mr Shannon. If that was Mr Simons</w:t>
      </w:r>
      <w:r w:rsidR="00B44CC6">
        <w:rPr>
          <w:rFonts w:cs="Times New Roman"/>
          <w:szCs w:val="24"/>
        </w:rPr>
        <w:t>’</w:t>
      </w:r>
      <w:r w:rsidR="00C70B5A">
        <w:rPr>
          <w:rFonts w:cs="Times New Roman"/>
          <w:szCs w:val="24"/>
        </w:rPr>
        <w:t xml:space="preserve"> intention, </w:t>
      </w:r>
      <w:r w:rsidR="00CD0555">
        <w:rPr>
          <w:rFonts w:cs="Times New Roman"/>
          <w:szCs w:val="24"/>
        </w:rPr>
        <w:t>t</w:t>
      </w:r>
      <w:r w:rsidR="00C70B5A">
        <w:rPr>
          <w:rFonts w:cs="Times New Roman"/>
          <w:szCs w:val="24"/>
        </w:rPr>
        <w:t xml:space="preserve">he </w:t>
      </w:r>
      <w:r w:rsidR="00CD0555">
        <w:rPr>
          <w:rFonts w:cs="Times New Roman"/>
          <w:szCs w:val="24"/>
        </w:rPr>
        <w:t xml:space="preserve">Judge </w:t>
      </w:r>
      <w:r w:rsidR="00C70B5A">
        <w:rPr>
          <w:rFonts w:cs="Times New Roman"/>
          <w:szCs w:val="24"/>
        </w:rPr>
        <w:t xml:space="preserve">observed, </w:t>
      </w:r>
      <w:r w:rsidR="00C70B5A" w:rsidRPr="00C70B5A">
        <w:rPr>
          <w:rFonts w:cs="Times New Roman"/>
          <w:i/>
          <w:szCs w:val="24"/>
        </w:rPr>
        <w:t>“the last thing he would do”</w:t>
      </w:r>
      <w:r w:rsidR="00C70B5A">
        <w:rPr>
          <w:rFonts w:cs="Times New Roman"/>
          <w:szCs w:val="24"/>
        </w:rPr>
        <w:t xml:space="preserve"> was to send an email “</w:t>
      </w:r>
      <w:r w:rsidR="00C70B5A" w:rsidRPr="00C70B5A">
        <w:rPr>
          <w:rFonts w:cs="Times New Roman"/>
          <w:i/>
          <w:szCs w:val="24"/>
        </w:rPr>
        <w:t>just three days earlier”</w:t>
      </w:r>
      <w:r w:rsidR="00C70B5A">
        <w:rPr>
          <w:rFonts w:cs="Times New Roman"/>
          <w:szCs w:val="24"/>
        </w:rPr>
        <w:t xml:space="preserve"> in the terms of his email of 13 November (para 129). The Judge then referred to the principles in </w:t>
      </w:r>
      <w:r w:rsidR="00C70B5A" w:rsidRPr="00C70B5A">
        <w:rPr>
          <w:rFonts w:cs="Times New Roman"/>
          <w:i/>
          <w:szCs w:val="24"/>
        </w:rPr>
        <w:t>Coo</w:t>
      </w:r>
      <w:r w:rsidR="00C70B5A">
        <w:rPr>
          <w:rFonts w:cs="Times New Roman"/>
          <w:i/>
          <w:szCs w:val="24"/>
        </w:rPr>
        <w:t>k</w:t>
      </w:r>
      <w:r w:rsidR="00C70B5A" w:rsidRPr="00C70B5A">
        <w:rPr>
          <w:rFonts w:cs="Times New Roman"/>
          <w:i/>
          <w:szCs w:val="24"/>
        </w:rPr>
        <w:t>e v Cronin</w:t>
      </w:r>
      <w:r w:rsidR="00C70B5A">
        <w:rPr>
          <w:rFonts w:cs="Times New Roman"/>
          <w:szCs w:val="24"/>
        </w:rPr>
        <w:t xml:space="preserve"> </w:t>
      </w:r>
      <w:r w:rsidR="00B80684">
        <w:rPr>
          <w:rFonts w:cs="Times New Roman"/>
          <w:szCs w:val="24"/>
        </w:rPr>
        <w:t xml:space="preserve">(Unreported, Supreme Court, 14 July 1999) </w:t>
      </w:r>
      <w:r w:rsidR="00C70B5A">
        <w:rPr>
          <w:rFonts w:cs="Times New Roman"/>
          <w:szCs w:val="24"/>
        </w:rPr>
        <w:t>and, while noting that the principles had no direct app</w:t>
      </w:r>
      <w:r w:rsidR="009D7E50">
        <w:rPr>
          <w:rFonts w:cs="Times New Roman"/>
          <w:szCs w:val="24"/>
        </w:rPr>
        <w:t xml:space="preserve">lication given that Mr Simons was not a defendant, he observed that the underlying rationale implied that, at a minimum, particular care should be taken by litigants and their advisors before making serious allegations against a professional. </w:t>
      </w:r>
      <w:r w:rsidR="00C70B5A">
        <w:rPr>
          <w:rFonts w:cs="Times New Roman"/>
          <w:szCs w:val="24"/>
        </w:rPr>
        <w:t xml:space="preserve">There were, in the Judge’s view, </w:t>
      </w:r>
      <w:r w:rsidR="00C70B5A" w:rsidRPr="00C70B5A">
        <w:rPr>
          <w:rFonts w:cs="Times New Roman"/>
          <w:i/>
          <w:szCs w:val="24"/>
        </w:rPr>
        <w:t>“no grounds for the very serious allegations of misrepresentation made by Dr Sheehan against Mr Simons”</w:t>
      </w:r>
      <w:r w:rsidR="00C70B5A">
        <w:rPr>
          <w:rFonts w:cs="Times New Roman"/>
          <w:szCs w:val="24"/>
        </w:rPr>
        <w:t xml:space="preserve"> </w:t>
      </w:r>
      <w:r w:rsidR="009D7E50">
        <w:rPr>
          <w:rFonts w:cs="Times New Roman"/>
          <w:szCs w:val="24"/>
        </w:rPr>
        <w:t>(paras 129-134).</w:t>
      </w:r>
    </w:p>
    <w:p w14:paraId="6781501D" w14:textId="536642DE" w:rsidR="00DE7340" w:rsidRDefault="00DE7340" w:rsidP="00DE7340">
      <w:pPr>
        <w:autoSpaceDE w:val="0"/>
        <w:autoSpaceDN w:val="0"/>
        <w:adjustRightInd w:val="0"/>
        <w:rPr>
          <w:rFonts w:cs="Times New Roman"/>
          <w:szCs w:val="24"/>
        </w:rPr>
      </w:pPr>
    </w:p>
    <w:p w14:paraId="66EB4538" w14:textId="77777777" w:rsidR="00DE7340" w:rsidRPr="00DE7340" w:rsidRDefault="00DE7340" w:rsidP="00DE7340">
      <w:pPr>
        <w:autoSpaceDE w:val="0"/>
        <w:autoSpaceDN w:val="0"/>
        <w:adjustRightInd w:val="0"/>
        <w:rPr>
          <w:rFonts w:cs="Times New Roman"/>
          <w:b/>
          <w:i/>
          <w:szCs w:val="24"/>
        </w:rPr>
      </w:pPr>
      <w:r w:rsidRPr="00DE7340">
        <w:rPr>
          <w:rFonts w:cs="Times New Roman"/>
          <w:b/>
          <w:i/>
          <w:szCs w:val="24"/>
        </w:rPr>
        <w:lastRenderedPageBreak/>
        <w:tab/>
        <w:t xml:space="preserve">The Section </w:t>
      </w:r>
      <w:r w:rsidR="00AD1312">
        <w:rPr>
          <w:rFonts w:cs="Times New Roman"/>
          <w:b/>
          <w:i/>
          <w:szCs w:val="24"/>
        </w:rPr>
        <w:t>1</w:t>
      </w:r>
      <w:r w:rsidRPr="00DE7340">
        <w:rPr>
          <w:rFonts w:cs="Times New Roman"/>
          <w:b/>
          <w:i/>
          <w:szCs w:val="24"/>
        </w:rPr>
        <w:t xml:space="preserve">7(2) </w:t>
      </w:r>
      <w:r w:rsidR="001C69D0">
        <w:rPr>
          <w:rFonts w:cs="Times New Roman"/>
          <w:b/>
          <w:i/>
          <w:szCs w:val="24"/>
        </w:rPr>
        <w:t>Claim</w:t>
      </w:r>
    </w:p>
    <w:p w14:paraId="6ACB69A1" w14:textId="77777777" w:rsidR="00DE7340" w:rsidRPr="00DE7340" w:rsidRDefault="00DE7340" w:rsidP="00DE7340">
      <w:pPr>
        <w:autoSpaceDE w:val="0"/>
        <w:autoSpaceDN w:val="0"/>
        <w:adjustRightInd w:val="0"/>
        <w:rPr>
          <w:rFonts w:cs="Times New Roman"/>
          <w:szCs w:val="24"/>
        </w:rPr>
      </w:pPr>
    </w:p>
    <w:p w14:paraId="18A04219" w14:textId="6184A984" w:rsidR="00DE7340" w:rsidRDefault="00DE7340" w:rsidP="00C70B5A">
      <w:pPr>
        <w:pStyle w:val="ListParagraph"/>
        <w:numPr>
          <w:ilvl w:val="0"/>
          <w:numId w:val="1"/>
        </w:numPr>
        <w:autoSpaceDE w:val="0"/>
        <w:autoSpaceDN w:val="0"/>
        <w:adjustRightInd w:val="0"/>
        <w:ind w:hanging="720"/>
        <w:rPr>
          <w:rFonts w:cs="Times New Roman"/>
          <w:szCs w:val="24"/>
        </w:rPr>
      </w:pPr>
      <w:r>
        <w:rPr>
          <w:rFonts w:cs="Times New Roman"/>
          <w:szCs w:val="24"/>
        </w:rPr>
        <w:t xml:space="preserve">The Judge </w:t>
      </w:r>
      <w:r w:rsidR="00394DA9">
        <w:rPr>
          <w:rFonts w:cs="Times New Roman"/>
          <w:szCs w:val="24"/>
        </w:rPr>
        <w:t>next</w:t>
      </w:r>
      <w:r>
        <w:rPr>
          <w:rFonts w:cs="Times New Roman"/>
          <w:szCs w:val="24"/>
        </w:rPr>
        <w:t xml:space="preserve"> considered </w:t>
      </w:r>
      <w:r w:rsidR="001C69D0">
        <w:rPr>
          <w:rFonts w:cs="Times New Roman"/>
          <w:szCs w:val="24"/>
        </w:rPr>
        <w:t>Dr Sheehan’s</w:t>
      </w:r>
      <w:r>
        <w:rPr>
          <w:rFonts w:cs="Times New Roman"/>
          <w:szCs w:val="24"/>
        </w:rPr>
        <w:t xml:space="preserve"> section </w:t>
      </w:r>
      <w:r w:rsidR="00AD1312">
        <w:rPr>
          <w:rFonts w:cs="Times New Roman"/>
          <w:szCs w:val="24"/>
        </w:rPr>
        <w:t>1</w:t>
      </w:r>
      <w:r>
        <w:rPr>
          <w:rFonts w:cs="Times New Roman"/>
          <w:szCs w:val="24"/>
        </w:rPr>
        <w:t xml:space="preserve">7(2) </w:t>
      </w:r>
      <w:r w:rsidR="001C69D0">
        <w:rPr>
          <w:rFonts w:cs="Times New Roman"/>
          <w:szCs w:val="24"/>
        </w:rPr>
        <w:t>claim</w:t>
      </w:r>
      <w:r>
        <w:rPr>
          <w:rFonts w:cs="Times New Roman"/>
          <w:szCs w:val="24"/>
        </w:rPr>
        <w:t xml:space="preserve">. He summarised </w:t>
      </w:r>
      <w:r w:rsidR="001C69D0">
        <w:rPr>
          <w:rFonts w:cs="Times New Roman"/>
          <w:szCs w:val="24"/>
        </w:rPr>
        <w:t xml:space="preserve">that </w:t>
      </w:r>
      <w:r>
        <w:rPr>
          <w:rFonts w:cs="Times New Roman"/>
          <w:szCs w:val="24"/>
        </w:rPr>
        <w:t>claim as one “</w:t>
      </w:r>
      <w:r w:rsidRPr="00DE7340">
        <w:rPr>
          <w:rFonts w:cs="Times New Roman"/>
          <w:i/>
          <w:szCs w:val="24"/>
        </w:rPr>
        <w:t>that he and IBRC are concurrent wrongdoers vis a vis Talos and that the payment by IBRC of €1.7 million in respect of the Deposit of €2.4 million should have reduced Talos’ clai</w:t>
      </w:r>
      <w:r w:rsidR="004B0BE1">
        <w:rPr>
          <w:rFonts w:cs="Times New Roman"/>
          <w:i/>
          <w:szCs w:val="24"/>
        </w:rPr>
        <w:t>m</w:t>
      </w:r>
      <w:r w:rsidRPr="00DE7340">
        <w:rPr>
          <w:rFonts w:cs="Times New Roman"/>
          <w:i/>
          <w:szCs w:val="24"/>
        </w:rPr>
        <w:t xml:space="preserve"> against Dr Sheehan in respect of his guarantee of the obligations of JCS to Talos, which included the repayment of the Deposit</w:t>
      </w:r>
      <w:r>
        <w:rPr>
          <w:rFonts w:cs="Times New Roman"/>
          <w:szCs w:val="24"/>
        </w:rPr>
        <w:t>” (para 137)</w:t>
      </w:r>
    </w:p>
    <w:p w14:paraId="57146F41" w14:textId="77777777" w:rsidR="00DE7340" w:rsidRDefault="00DE7340" w:rsidP="00DE7340">
      <w:pPr>
        <w:pStyle w:val="ListParagraph"/>
        <w:autoSpaceDE w:val="0"/>
        <w:autoSpaceDN w:val="0"/>
        <w:adjustRightInd w:val="0"/>
        <w:rPr>
          <w:rFonts w:cs="Times New Roman"/>
          <w:szCs w:val="24"/>
        </w:rPr>
      </w:pPr>
    </w:p>
    <w:p w14:paraId="45FCF6F7" w14:textId="127DF0AD" w:rsidR="00DE7340" w:rsidRDefault="00DE7340" w:rsidP="00C70B5A">
      <w:pPr>
        <w:pStyle w:val="ListParagraph"/>
        <w:numPr>
          <w:ilvl w:val="0"/>
          <w:numId w:val="1"/>
        </w:numPr>
        <w:autoSpaceDE w:val="0"/>
        <w:autoSpaceDN w:val="0"/>
        <w:adjustRightInd w:val="0"/>
        <w:ind w:hanging="720"/>
        <w:rPr>
          <w:rFonts w:cs="Times New Roman"/>
          <w:szCs w:val="24"/>
        </w:rPr>
      </w:pPr>
      <w:r>
        <w:rPr>
          <w:rFonts w:cs="Times New Roman"/>
          <w:szCs w:val="24"/>
        </w:rPr>
        <w:t>Having looked at section 17(2) and the definition of “</w:t>
      </w:r>
      <w:r w:rsidRPr="00DE7340">
        <w:rPr>
          <w:rFonts w:cs="Times New Roman"/>
          <w:i/>
          <w:szCs w:val="24"/>
        </w:rPr>
        <w:t>concurrent wrongdoer</w:t>
      </w:r>
      <w:r>
        <w:rPr>
          <w:rFonts w:cs="Times New Roman"/>
          <w:szCs w:val="24"/>
        </w:rPr>
        <w:t>” in section 1</w:t>
      </w:r>
      <w:r w:rsidR="00300639">
        <w:rPr>
          <w:rFonts w:cs="Times New Roman"/>
          <w:szCs w:val="24"/>
        </w:rPr>
        <w:t>1</w:t>
      </w:r>
      <w:r>
        <w:rPr>
          <w:rFonts w:cs="Times New Roman"/>
          <w:szCs w:val="24"/>
        </w:rPr>
        <w:t xml:space="preserve">(1) of the 1961 Act, the Judge expressed the view that it was quite clear </w:t>
      </w:r>
      <w:r w:rsidR="00394DA9">
        <w:rPr>
          <w:rFonts w:cs="Times New Roman"/>
          <w:szCs w:val="24"/>
        </w:rPr>
        <w:t>that, f</w:t>
      </w:r>
      <w:r>
        <w:rPr>
          <w:rFonts w:cs="Times New Roman"/>
          <w:szCs w:val="24"/>
        </w:rPr>
        <w:t>or section 17(2) to apply “</w:t>
      </w:r>
      <w:r w:rsidRPr="00DE7340">
        <w:rPr>
          <w:rFonts w:cs="Times New Roman"/>
          <w:i/>
          <w:szCs w:val="24"/>
        </w:rPr>
        <w:t>there must be only one injured party or plaintiff.”</w:t>
      </w:r>
      <w:r>
        <w:rPr>
          <w:rFonts w:cs="Times New Roman"/>
          <w:szCs w:val="24"/>
        </w:rPr>
        <w:t xml:space="preserve"> It could not, in his view, “</w:t>
      </w:r>
      <w:r w:rsidRPr="00DE7340">
        <w:rPr>
          <w:rFonts w:cs="Times New Roman"/>
          <w:i/>
          <w:szCs w:val="24"/>
        </w:rPr>
        <w:t>be the same damage if it is caused to two different persons since damage caused to C and damage caused to D could not be the ‘same damage’”</w:t>
      </w:r>
      <w:r>
        <w:rPr>
          <w:rFonts w:cs="Times New Roman"/>
          <w:i/>
          <w:szCs w:val="24"/>
        </w:rPr>
        <w:t xml:space="preserve"> </w:t>
      </w:r>
      <w:r>
        <w:rPr>
          <w:rFonts w:cs="Times New Roman"/>
          <w:szCs w:val="24"/>
        </w:rPr>
        <w:t xml:space="preserve">(at para 140). </w:t>
      </w:r>
      <w:r w:rsidR="004B0BE1">
        <w:rPr>
          <w:rFonts w:cs="Times New Roman"/>
          <w:szCs w:val="24"/>
        </w:rPr>
        <w:t xml:space="preserve">He then considered the argument made by Dr Sheehan that, for the purposes of section 17(2), the first claim (that against IBRC) was in substance a claim by Talos, rather than a claim by JCS. He rejected that argument, </w:t>
      </w:r>
      <w:r w:rsidR="00394DA9">
        <w:rPr>
          <w:rFonts w:cs="Times New Roman"/>
          <w:szCs w:val="24"/>
        </w:rPr>
        <w:t>referring to</w:t>
      </w:r>
      <w:r w:rsidR="004B0BE1">
        <w:rPr>
          <w:rFonts w:cs="Times New Roman"/>
          <w:szCs w:val="24"/>
        </w:rPr>
        <w:t xml:space="preserve"> a number of </w:t>
      </w:r>
      <w:r w:rsidR="00394DA9">
        <w:rPr>
          <w:rFonts w:cs="Times New Roman"/>
          <w:szCs w:val="24"/>
        </w:rPr>
        <w:t>considerations</w:t>
      </w:r>
      <w:r w:rsidR="004B0BE1">
        <w:rPr>
          <w:rFonts w:cs="Times New Roman"/>
          <w:szCs w:val="24"/>
        </w:rPr>
        <w:t xml:space="preserve">. First, the </w:t>
      </w:r>
      <w:r w:rsidR="008D4D9E">
        <w:rPr>
          <w:rFonts w:cs="Times New Roman"/>
          <w:szCs w:val="24"/>
        </w:rPr>
        <w:t>Deposit</w:t>
      </w:r>
      <w:r w:rsidR="004B0BE1">
        <w:rPr>
          <w:rFonts w:cs="Times New Roman"/>
          <w:szCs w:val="24"/>
        </w:rPr>
        <w:t xml:space="preserve"> payment had been made to IBRC by JCS, not Talos (nothing turned in his view on the fact that the payment had been effected by Talos as this had been done on the instructions of JCS and the funds were JCS’</w:t>
      </w:r>
      <w:r w:rsidR="005C57CB">
        <w:rPr>
          <w:rFonts w:cs="Times New Roman"/>
          <w:szCs w:val="24"/>
        </w:rPr>
        <w:t>s</w:t>
      </w:r>
      <w:r w:rsidR="004B0BE1">
        <w:rPr>
          <w:rFonts w:cs="Times New Roman"/>
          <w:szCs w:val="24"/>
        </w:rPr>
        <w:t xml:space="preserve"> funds)</w:t>
      </w:r>
      <w:r w:rsidR="001C69D0">
        <w:rPr>
          <w:rFonts w:cs="Times New Roman"/>
          <w:szCs w:val="24"/>
        </w:rPr>
        <w:t xml:space="preserve"> (para 143).</w:t>
      </w:r>
      <w:r w:rsidR="004B0BE1">
        <w:rPr>
          <w:rFonts w:cs="Times New Roman"/>
          <w:szCs w:val="24"/>
        </w:rPr>
        <w:t xml:space="preserve"> Second, the </w:t>
      </w:r>
      <w:r w:rsidR="008D4D9E">
        <w:rPr>
          <w:rFonts w:cs="Times New Roman"/>
          <w:szCs w:val="24"/>
        </w:rPr>
        <w:t>Deposit</w:t>
      </w:r>
      <w:r w:rsidR="004B0BE1">
        <w:rPr>
          <w:rFonts w:cs="Times New Roman"/>
          <w:szCs w:val="24"/>
        </w:rPr>
        <w:t xml:space="preserve"> (less costs) had been repaid to JCS and not to Talos. He pointed to an email to IBRC from its solicitors of 30 January 2015 which advised that any settlement agreement must include JCS and </w:t>
      </w:r>
      <w:r w:rsidR="004B0BE1" w:rsidRPr="004B0BE1">
        <w:rPr>
          <w:rFonts w:cs="Times New Roman"/>
          <w:i/>
          <w:szCs w:val="24"/>
        </w:rPr>
        <w:t>“provide that the monies are paid through them</w:t>
      </w:r>
      <w:r w:rsidR="004B0BE1">
        <w:rPr>
          <w:rFonts w:cs="Times New Roman"/>
          <w:szCs w:val="24"/>
        </w:rPr>
        <w:t xml:space="preserve">” as </w:t>
      </w:r>
      <w:r w:rsidR="001C69D0">
        <w:rPr>
          <w:rFonts w:cs="Times New Roman"/>
          <w:szCs w:val="24"/>
        </w:rPr>
        <w:t xml:space="preserve">supportive of the view that the payment could not be made to Talos as the claim being settled was a claim which JCS (not Talos) had against IBRC for the return of the Deposit </w:t>
      </w:r>
      <w:r w:rsidR="001C69D0">
        <w:rPr>
          <w:rFonts w:cs="Times New Roman"/>
          <w:szCs w:val="24"/>
        </w:rPr>
        <w:lastRenderedPageBreak/>
        <w:t xml:space="preserve">(para 144). The fact that, after receiving the payment from IBRC, </w:t>
      </w:r>
      <w:r w:rsidR="009A0672">
        <w:rPr>
          <w:rFonts w:cs="Times New Roman"/>
          <w:szCs w:val="24"/>
        </w:rPr>
        <w:t>JCS</w:t>
      </w:r>
      <w:r w:rsidR="001C69D0">
        <w:rPr>
          <w:rFonts w:cs="Times New Roman"/>
          <w:szCs w:val="24"/>
        </w:rPr>
        <w:t xml:space="preserve"> paid it to </w:t>
      </w:r>
      <w:r w:rsidR="009A0672">
        <w:rPr>
          <w:rFonts w:cs="Times New Roman"/>
          <w:szCs w:val="24"/>
        </w:rPr>
        <w:t>Talos</w:t>
      </w:r>
      <w:r w:rsidR="001C69D0">
        <w:rPr>
          <w:rFonts w:cs="Times New Roman"/>
          <w:szCs w:val="24"/>
        </w:rPr>
        <w:t xml:space="preserve"> was</w:t>
      </w:r>
      <w:r w:rsidR="001C69D0" w:rsidRPr="001C69D0">
        <w:rPr>
          <w:rFonts w:cs="Times New Roman"/>
          <w:i/>
          <w:szCs w:val="24"/>
        </w:rPr>
        <w:t xml:space="preserve"> “neither here nor there”</w:t>
      </w:r>
      <w:r w:rsidR="001C69D0">
        <w:rPr>
          <w:rFonts w:cs="Times New Roman"/>
          <w:szCs w:val="24"/>
        </w:rPr>
        <w:t xml:space="preserve"> (para 145). Equally, the fact that Talos negotiated or brokered the settlement between IBRC and JCS did not provide a basis on which the court could conclude that Talos was to be treated as the injured party or the party that has suffered the loss for the purpose of section 17 (para 147).</w:t>
      </w:r>
    </w:p>
    <w:p w14:paraId="149B4038" w14:textId="77777777" w:rsidR="001C69D0" w:rsidRDefault="001C69D0" w:rsidP="001C69D0">
      <w:pPr>
        <w:pStyle w:val="ListParagraph"/>
        <w:autoSpaceDE w:val="0"/>
        <w:autoSpaceDN w:val="0"/>
        <w:adjustRightInd w:val="0"/>
        <w:rPr>
          <w:rFonts w:cs="Times New Roman"/>
          <w:szCs w:val="24"/>
        </w:rPr>
      </w:pPr>
    </w:p>
    <w:p w14:paraId="22FB59B2" w14:textId="77777777" w:rsidR="001C69D0" w:rsidRDefault="001C69D0" w:rsidP="00C70B5A">
      <w:pPr>
        <w:pStyle w:val="ListParagraph"/>
        <w:numPr>
          <w:ilvl w:val="0"/>
          <w:numId w:val="1"/>
        </w:numPr>
        <w:autoSpaceDE w:val="0"/>
        <w:autoSpaceDN w:val="0"/>
        <w:adjustRightInd w:val="0"/>
        <w:ind w:hanging="720"/>
        <w:rPr>
          <w:rFonts w:cs="Times New Roman"/>
          <w:szCs w:val="24"/>
        </w:rPr>
      </w:pPr>
      <w:r>
        <w:rPr>
          <w:rFonts w:cs="Times New Roman"/>
          <w:szCs w:val="24"/>
        </w:rPr>
        <w:t>The Judge therefore rejected Dr Sheehan’s claim to be entitled to have the benefit of the settlement between IBRC and JCS.</w:t>
      </w:r>
    </w:p>
    <w:p w14:paraId="6E3BD7C5" w14:textId="77777777" w:rsidR="00896E6B" w:rsidRDefault="00896E6B" w:rsidP="001C69D0">
      <w:pPr>
        <w:pStyle w:val="ListParagraph"/>
        <w:autoSpaceDE w:val="0"/>
        <w:autoSpaceDN w:val="0"/>
        <w:adjustRightInd w:val="0"/>
        <w:rPr>
          <w:rFonts w:cs="Times New Roman"/>
          <w:szCs w:val="24"/>
        </w:rPr>
      </w:pPr>
    </w:p>
    <w:p w14:paraId="08D1875F" w14:textId="77777777" w:rsidR="001C69D0" w:rsidRPr="001C69D0" w:rsidRDefault="001C69D0" w:rsidP="001C69D0">
      <w:pPr>
        <w:pStyle w:val="ListParagraph"/>
        <w:autoSpaceDE w:val="0"/>
        <w:autoSpaceDN w:val="0"/>
        <w:adjustRightInd w:val="0"/>
        <w:rPr>
          <w:rFonts w:cs="Times New Roman"/>
          <w:b/>
          <w:i/>
          <w:szCs w:val="24"/>
        </w:rPr>
      </w:pPr>
      <w:r w:rsidRPr="001C69D0">
        <w:rPr>
          <w:rFonts w:cs="Times New Roman"/>
          <w:b/>
          <w:i/>
          <w:szCs w:val="24"/>
        </w:rPr>
        <w:t xml:space="preserve">Other </w:t>
      </w:r>
      <w:r w:rsidR="009E494C">
        <w:rPr>
          <w:rFonts w:cs="Times New Roman"/>
          <w:b/>
          <w:i/>
          <w:szCs w:val="24"/>
        </w:rPr>
        <w:t xml:space="preserve">Aspects of </w:t>
      </w:r>
      <w:r w:rsidRPr="001C69D0">
        <w:rPr>
          <w:rFonts w:cs="Times New Roman"/>
          <w:b/>
          <w:i/>
          <w:szCs w:val="24"/>
        </w:rPr>
        <w:t>the Judgment</w:t>
      </w:r>
    </w:p>
    <w:p w14:paraId="69430314" w14:textId="77777777" w:rsidR="001C69D0" w:rsidRDefault="001C69D0" w:rsidP="001C69D0">
      <w:pPr>
        <w:pStyle w:val="ListParagraph"/>
        <w:autoSpaceDE w:val="0"/>
        <w:autoSpaceDN w:val="0"/>
        <w:adjustRightInd w:val="0"/>
        <w:rPr>
          <w:rFonts w:cs="Times New Roman"/>
          <w:szCs w:val="24"/>
        </w:rPr>
      </w:pPr>
    </w:p>
    <w:p w14:paraId="4AD9FF9D" w14:textId="716B6553" w:rsidR="00373D18" w:rsidRDefault="00373D18" w:rsidP="00797374">
      <w:pPr>
        <w:pStyle w:val="ListParagraph"/>
        <w:numPr>
          <w:ilvl w:val="0"/>
          <w:numId w:val="1"/>
        </w:numPr>
        <w:autoSpaceDE w:val="0"/>
        <w:autoSpaceDN w:val="0"/>
        <w:adjustRightInd w:val="0"/>
        <w:ind w:hanging="720"/>
        <w:rPr>
          <w:rFonts w:cs="Times New Roman"/>
          <w:szCs w:val="24"/>
        </w:rPr>
      </w:pPr>
      <w:r>
        <w:rPr>
          <w:rFonts w:cs="Times New Roman"/>
          <w:szCs w:val="24"/>
        </w:rPr>
        <w:t>T</w:t>
      </w:r>
      <w:r w:rsidR="00993C25" w:rsidRPr="00993C25">
        <w:rPr>
          <w:rFonts w:cs="Times New Roman"/>
          <w:szCs w:val="24"/>
        </w:rPr>
        <w:t xml:space="preserve">here </w:t>
      </w:r>
      <w:r w:rsidR="00896E6B">
        <w:rPr>
          <w:rFonts w:cs="Times New Roman"/>
          <w:szCs w:val="24"/>
        </w:rPr>
        <w:t xml:space="preserve">are </w:t>
      </w:r>
      <w:r>
        <w:rPr>
          <w:rFonts w:cs="Times New Roman"/>
          <w:szCs w:val="24"/>
        </w:rPr>
        <w:t xml:space="preserve">other </w:t>
      </w:r>
      <w:r w:rsidR="00993C25" w:rsidRPr="00993C25">
        <w:rPr>
          <w:rFonts w:cs="Times New Roman"/>
          <w:szCs w:val="24"/>
        </w:rPr>
        <w:t>aspect</w:t>
      </w:r>
      <w:r>
        <w:rPr>
          <w:rFonts w:cs="Times New Roman"/>
          <w:szCs w:val="24"/>
        </w:rPr>
        <w:t xml:space="preserve">s </w:t>
      </w:r>
      <w:r w:rsidR="00993C25" w:rsidRPr="00993C25">
        <w:rPr>
          <w:rFonts w:cs="Times New Roman"/>
          <w:szCs w:val="24"/>
        </w:rPr>
        <w:t xml:space="preserve">of the Judgment that </w:t>
      </w:r>
      <w:r>
        <w:rPr>
          <w:rFonts w:cs="Times New Roman"/>
          <w:szCs w:val="24"/>
        </w:rPr>
        <w:t xml:space="preserve">were the subject of criticism in Dr Sheehan’s </w:t>
      </w:r>
      <w:r w:rsidR="00CD001B">
        <w:rPr>
          <w:rFonts w:cs="Times New Roman"/>
          <w:szCs w:val="24"/>
        </w:rPr>
        <w:t xml:space="preserve">notice of appeal, </w:t>
      </w:r>
      <w:r w:rsidR="00394DA9">
        <w:rPr>
          <w:rFonts w:cs="Times New Roman"/>
          <w:szCs w:val="24"/>
        </w:rPr>
        <w:t xml:space="preserve">in his </w:t>
      </w:r>
      <w:r>
        <w:rPr>
          <w:rFonts w:cs="Times New Roman"/>
          <w:szCs w:val="24"/>
        </w:rPr>
        <w:t xml:space="preserve">written submissions and/or in the oral submissions made by him at the hearing of the appeal to which </w:t>
      </w:r>
      <w:r w:rsidR="009353B6">
        <w:rPr>
          <w:rFonts w:cs="Times New Roman"/>
          <w:szCs w:val="24"/>
        </w:rPr>
        <w:t>I now</w:t>
      </w:r>
      <w:r>
        <w:rPr>
          <w:rFonts w:cs="Times New Roman"/>
          <w:szCs w:val="24"/>
        </w:rPr>
        <w:t xml:space="preserve"> refer.</w:t>
      </w:r>
    </w:p>
    <w:p w14:paraId="283012B6" w14:textId="77777777" w:rsidR="00373D18" w:rsidRDefault="00373D18" w:rsidP="00373D18">
      <w:pPr>
        <w:pStyle w:val="ListParagraph"/>
        <w:autoSpaceDE w:val="0"/>
        <w:autoSpaceDN w:val="0"/>
        <w:adjustRightInd w:val="0"/>
        <w:rPr>
          <w:rFonts w:cs="Times New Roman"/>
          <w:szCs w:val="24"/>
        </w:rPr>
      </w:pPr>
    </w:p>
    <w:p w14:paraId="574AA070" w14:textId="7BF8A035" w:rsidR="001C69D0" w:rsidRDefault="00993C25" w:rsidP="00797374">
      <w:pPr>
        <w:pStyle w:val="ListParagraph"/>
        <w:numPr>
          <w:ilvl w:val="0"/>
          <w:numId w:val="1"/>
        </w:numPr>
        <w:autoSpaceDE w:val="0"/>
        <w:autoSpaceDN w:val="0"/>
        <w:adjustRightInd w:val="0"/>
        <w:ind w:hanging="720"/>
        <w:rPr>
          <w:rFonts w:cs="Times New Roman"/>
          <w:szCs w:val="24"/>
        </w:rPr>
      </w:pPr>
      <w:r w:rsidRPr="00993C25">
        <w:rPr>
          <w:rFonts w:cs="Times New Roman"/>
          <w:szCs w:val="24"/>
        </w:rPr>
        <w:t xml:space="preserve"> The Judgment begins with a short summary of what the action was about and a statement of the Judge’s findings.  There is then a </w:t>
      </w:r>
      <w:r>
        <w:rPr>
          <w:rFonts w:cs="Times New Roman"/>
          <w:szCs w:val="24"/>
        </w:rPr>
        <w:t xml:space="preserve">short </w:t>
      </w:r>
      <w:r w:rsidRPr="00993C25">
        <w:rPr>
          <w:rFonts w:cs="Times New Roman"/>
          <w:szCs w:val="24"/>
        </w:rPr>
        <w:t xml:space="preserve">section headed </w:t>
      </w:r>
      <w:r w:rsidRPr="00993C25">
        <w:rPr>
          <w:rFonts w:cs="Times New Roman"/>
          <w:i/>
          <w:szCs w:val="24"/>
        </w:rPr>
        <w:t>“Applicability of Isaac Wunder orders to all litigants</w:t>
      </w:r>
      <w:r>
        <w:rPr>
          <w:rFonts w:cs="Times New Roman"/>
          <w:i/>
          <w:szCs w:val="24"/>
        </w:rPr>
        <w:t>.</w:t>
      </w:r>
      <w:r w:rsidR="00394DA9">
        <w:rPr>
          <w:rFonts w:cs="Times New Roman"/>
          <w:i/>
          <w:szCs w:val="24"/>
        </w:rPr>
        <w:t>”</w:t>
      </w:r>
      <w:r>
        <w:rPr>
          <w:rFonts w:cs="Times New Roman"/>
          <w:i/>
          <w:szCs w:val="24"/>
        </w:rPr>
        <w:t xml:space="preserve"> </w:t>
      </w:r>
      <w:r>
        <w:rPr>
          <w:rFonts w:cs="Times New Roman"/>
          <w:szCs w:val="24"/>
        </w:rPr>
        <w:t>That</w:t>
      </w:r>
      <w:r w:rsidR="00CD0555">
        <w:rPr>
          <w:rFonts w:cs="Times New Roman"/>
          <w:szCs w:val="24"/>
        </w:rPr>
        <w:t xml:space="preserve"> section</w:t>
      </w:r>
      <w:r>
        <w:rPr>
          <w:rFonts w:cs="Times New Roman"/>
          <w:szCs w:val="24"/>
        </w:rPr>
        <w:t xml:space="preserve"> starts with a statement that the High Court had been provided with uncontroverted evidence of Dr Sheehan’s previous litigation in relation to the subject matter of the dispute, which had been described (by Flaux J) as “</w:t>
      </w:r>
      <w:r w:rsidRPr="00993C25">
        <w:rPr>
          <w:rFonts w:cs="Times New Roman"/>
          <w:i/>
          <w:szCs w:val="24"/>
        </w:rPr>
        <w:t>outrageous</w:t>
      </w:r>
      <w:r>
        <w:rPr>
          <w:rFonts w:cs="Times New Roman"/>
          <w:szCs w:val="24"/>
        </w:rPr>
        <w:t xml:space="preserve">”. Noting that </w:t>
      </w:r>
      <w:r w:rsidRPr="00993C25">
        <w:rPr>
          <w:rFonts w:cs="Times New Roman"/>
          <w:i/>
          <w:szCs w:val="24"/>
        </w:rPr>
        <w:t>Isaac Wunder</w:t>
      </w:r>
      <w:r>
        <w:rPr>
          <w:rFonts w:cs="Times New Roman"/>
          <w:szCs w:val="24"/>
        </w:rPr>
        <w:t xml:space="preserve"> orders had been made “</w:t>
      </w:r>
      <w:r w:rsidRPr="00993C25">
        <w:rPr>
          <w:rFonts w:cs="Times New Roman"/>
          <w:i/>
          <w:szCs w:val="24"/>
        </w:rPr>
        <w:t>on several occasions”</w:t>
      </w:r>
      <w:r>
        <w:rPr>
          <w:rFonts w:cs="Times New Roman"/>
          <w:szCs w:val="24"/>
        </w:rPr>
        <w:t xml:space="preserve"> against lay litigants, the Judge </w:t>
      </w:r>
      <w:r w:rsidR="00DC1F05">
        <w:rPr>
          <w:rFonts w:cs="Times New Roman"/>
          <w:szCs w:val="24"/>
        </w:rPr>
        <w:t>goes on</w:t>
      </w:r>
      <w:r>
        <w:rPr>
          <w:rFonts w:cs="Times New Roman"/>
          <w:szCs w:val="24"/>
        </w:rPr>
        <w:t xml:space="preserve"> to observe that </w:t>
      </w:r>
      <w:r w:rsidRPr="00DC1F05">
        <w:rPr>
          <w:rFonts w:cs="Times New Roman"/>
          <w:i/>
          <w:szCs w:val="24"/>
        </w:rPr>
        <w:t xml:space="preserve">“the Courts need to be alive not just to impecunious lay litigants (for whom a costs order is not a deterrent) but also serial litigants with significant financial resources </w:t>
      </w:r>
      <w:r w:rsidR="00DC1F05" w:rsidRPr="00DC1F05">
        <w:rPr>
          <w:rFonts w:cs="Times New Roman"/>
          <w:i/>
          <w:szCs w:val="24"/>
        </w:rPr>
        <w:t xml:space="preserve">(who pursue private </w:t>
      </w:r>
      <w:r w:rsidR="00DC1F05" w:rsidRPr="00DC1F05">
        <w:rPr>
          <w:rFonts w:cs="Times New Roman"/>
          <w:i/>
          <w:szCs w:val="24"/>
        </w:rPr>
        <w:lastRenderedPageBreak/>
        <w:t>disputes or private agenda</w:t>
      </w:r>
      <w:r w:rsidR="009A0672">
        <w:rPr>
          <w:rFonts w:cs="Times New Roman"/>
          <w:i/>
          <w:szCs w:val="24"/>
        </w:rPr>
        <w:t>s</w:t>
      </w:r>
      <w:r w:rsidR="00DC1F05" w:rsidRPr="00DC1F05">
        <w:rPr>
          <w:rFonts w:cs="Times New Roman"/>
          <w:i/>
          <w:szCs w:val="24"/>
        </w:rPr>
        <w:t xml:space="preserve"> and for whom a costs order is also not a deterrent)” </w:t>
      </w:r>
      <w:r w:rsidR="00DC1F05">
        <w:rPr>
          <w:rFonts w:cs="Times New Roman"/>
          <w:szCs w:val="24"/>
        </w:rPr>
        <w:t>(para 10).</w:t>
      </w:r>
    </w:p>
    <w:p w14:paraId="64F9DE19" w14:textId="77777777" w:rsidR="00DC1F05" w:rsidRDefault="00DC1F05" w:rsidP="00DC1F05">
      <w:pPr>
        <w:pStyle w:val="ListParagraph"/>
        <w:autoSpaceDE w:val="0"/>
        <w:autoSpaceDN w:val="0"/>
        <w:adjustRightInd w:val="0"/>
        <w:rPr>
          <w:rFonts w:cs="Times New Roman"/>
          <w:szCs w:val="24"/>
        </w:rPr>
      </w:pPr>
    </w:p>
    <w:p w14:paraId="60CA571F" w14:textId="72619B6C" w:rsidR="00DC1F05" w:rsidRPr="003330DA" w:rsidRDefault="00DC1F05" w:rsidP="00797374">
      <w:pPr>
        <w:pStyle w:val="ListParagraph"/>
        <w:numPr>
          <w:ilvl w:val="0"/>
          <w:numId w:val="1"/>
        </w:numPr>
        <w:autoSpaceDE w:val="0"/>
        <w:autoSpaceDN w:val="0"/>
        <w:adjustRightInd w:val="0"/>
        <w:ind w:hanging="720"/>
        <w:rPr>
          <w:rFonts w:cs="Times New Roman"/>
          <w:szCs w:val="24"/>
        </w:rPr>
      </w:pPr>
      <w:r>
        <w:rPr>
          <w:rFonts w:cs="Times New Roman"/>
          <w:szCs w:val="24"/>
        </w:rPr>
        <w:t xml:space="preserve">The Judge returns to this theme, at </w:t>
      </w:r>
      <w:r w:rsidR="00E718EF">
        <w:rPr>
          <w:rFonts w:cs="Times New Roman"/>
          <w:szCs w:val="24"/>
        </w:rPr>
        <w:t>considerably</w:t>
      </w:r>
      <w:r>
        <w:rPr>
          <w:rFonts w:cs="Times New Roman"/>
          <w:szCs w:val="24"/>
        </w:rPr>
        <w:t xml:space="preserve"> greater length, </w:t>
      </w:r>
      <w:r w:rsidR="00577AA2">
        <w:rPr>
          <w:rFonts w:cs="Times New Roman"/>
          <w:szCs w:val="24"/>
        </w:rPr>
        <w:t xml:space="preserve">at the conclusion of his Judgment, </w:t>
      </w:r>
      <w:r>
        <w:rPr>
          <w:rFonts w:cs="Times New Roman"/>
          <w:szCs w:val="24"/>
        </w:rPr>
        <w:t xml:space="preserve">in a section headed </w:t>
      </w:r>
      <w:r w:rsidRPr="00DC1F05">
        <w:rPr>
          <w:rFonts w:cs="Times New Roman"/>
          <w:i/>
          <w:szCs w:val="24"/>
        </w:rPr>
        <w:t>“Dr Sheehan’s ‘Outrageous’ Litigation to Date”</w:t>
      </w:r>
      <w:r w:rsidR="00577AA2">
        <w:rPr>
          <w:rFonts w:cs="Times New Roman"/>
          <w:i/>
          <w:szCs w:val="24"/>
        </w:rPr>
        <w:t>.</w:t>
      </w:r>
      <w:r w:rsidRPr="00DC1F05">
        <w:rPr>
          <w:rFonts w:cs="Times New Roman"/>
          <w:i/>
          <w:szCs w:val="24"/>
        </w:rPr>
        <w:t xml:space="preserve"> </w:t>
      </w:r>
      <w:r>
        <w:rPr>
          <w:rFonts w:cs="Times New Roman"/>
          <w:szCs w:val="24"/>
        </w:rPr>
        <w:t xml:space="preserve">He there discusses the New York and English litigation already referenced above, refers to certain evidence given by Mr Wallace </w:t>
      </w:r>
      <w:r w:rsidRPr="00DC1F05">
        <w:rPr>
          <w:rFonts w:cs="Times New Roman"/>
          <w:i/>
          <w:szCs w:val="24"/>
        </w:rPr>
        <w:t xml:space="preserve">“in relation to the very litigious nature of Dr Sheehan and other parties connected to him”  </w:t>
      </w:r>
      <w:r>
        <w:rPr>
          <w:rFonts w:cs="Times New Roman"/>
          <w:szCs w:val="24"/>
        </w:rPr>
        <w:t>and then (under the sub-heading “</w:t>
      </w:r>
      <w:r w:rsidRPr="00DC1F05">
        <w:rPr>
          <w:rFonts w:cs="Times New Roman"/>
          <w:i/>
          <w:szCs w:val="24"/>
        </w:rPr>
        <w:t>Half-year of court time already involving Dr Sheehan’s Blackrock Hospital dispute”)</w:t>
      </w:r>
      <w:r>
        <w:rPr>
          <w:rFonts w:cs="Times New Roman"/>
          <w:szCs w:val="24"/>
        </w:rPr>
        <w:t xml:space="preserve"> </w:t>
      </w:r>
      <w:r w:rsidR="008C0E4C">
        <w:rPr>
          <w:rFonts w:cs="Times New Roman"/>
          <w:szCs w:val="24"/>
        </w:rPr>
        <w:t>refers to his own previous comments on the amount of litigation involving Dr Sheehan and others “</w:t>
      </w:r>
      <w:r w:rsidR="008C0E4C" w:rsidRPr="008C0E4C">
        <w:rPr>
          <w:rFonts w:cs="Times New Roman"/>
          <w:i/>
          <w:szCs w:val="24"/>
        </w:rPr>
        <w:t>in relation to other aspects of what is essentially a private dispu</w:t>
      </w:r>
      <w:r w:rsidR="008C0E4C">
        <w:rPr>
          <w:rFonts w:cs="Times New Roman"/>
          <w:i/>
          <w:szCs w:val="24"/>
        </w:rPr>
        <w:t>t</w:t>
      </w:r>
      <w:r w:rsidR="008C0E4C" w:rsidRPr="008C0E4C">
        <w:rPr>
          <w:rFonts w:cs="Times New Roman"/>
          <w:i/>
          <w:szCs w:val="24"/>
        </w:rPr>
        <w:t>e over the ownership of Blackrock Hospital”</w:t>
      </w:r>
      <w:r w:rsidR="008C0E4C">
        <w:rPr>
          <w:rFonts w:cs="Times New Roman"/>
          <w:szCs w:val="24"/>
        </w:rPr>
        <w:t xml:space="preserve"> (para 156) adding that it was clear to the Court that a stage had been reached “</w:t>
      </w:r>
      <w:r w:rsidR="008C0E4C" w:rsidRPr="008C0E4C">
        <w:rPr>
          <w:rFonts w:cs="Times New Roman"/>
          <w:i/>
          <w:szCs w:val="24"/>
        </w:rPr>
        <w:t>where Dr Sheehan and the parties he is in dispute with regarding Blackrock Hospital are monopolising large periods of the time of the High Court and the Court of Appeal</w:t>
      </w:r>
      <w:r w:rsidR="008C0E4C">
        <w:rPr>
          <w:rFonts w:cs="Times New Roman"/>
          <w:szCs w:val="24"/>
        </w:rPr>
        <w:t xml:space="preserve">” while other litigants were having their right of access to the courts delayed. </w:t>
      </w:r>
      <w:r w:rsidR="003F7878">
        <w:rPr>
          <w:rFonts w:cs="Times New Roman"/>
          <w:szCs w:val="24"/>
        </w:rPr>
        <w:t xml:space="preserve">This part of the Judgment (and the Judgment itself) concludes </w:t>
      </w:r>
      <w:r w:rsidR="003F7878" w:rsidRPr="003330DA">
        <w:rPr>
          <w:rFonts w:cs="Times New Roman"/>
          <w:szCs w:val="24"/>
        </w:rPr>
        <w:t>with the following:</w:t>
      </w:r>
    </w:p>
    <w:p w14:paraId="4D7D2BA2" w14:textId="77777777" w:rsidR="003F7878" w:rsidRPr="003330DA" w:rsidRDefault="003F7878" w:rsidP="003F7878">
      <w:pPr>
        <w:pStyle w:val="ListParagraph"/>
        <w:autoSpaceDE w:val="0"/>
        <w:autoSpaceDN w:val="0"/>
        <w:adjustRightInd w:val="0"/>
        <w:rPr>
          <w:rFonts w:cs="Times New Roman"/>
          <w:i/>
          <w:szCs w:val="24"/>
        </w:rPr>
      </w:pPr>
    </w:p>
    <w:p w14:paraId="55FFCADB" w14:textId="77777777" w:rsidR="003F7878" w:rsidRPr="003330DA" w:rsidRDefault="003F7878" w:rsidP="003F7878">
      <w:pPr>
        <w:autoSpaceDE w:val="0"/>
        <w:autoSpaceDN w:val="0"/>
        <w:adjustRightInd w:val="0"/>
        <w:ind w:left="1418"/>
        <w:rPr>
          <w:rFonts w:cs="Times New Roman"/>
          <w:i/>
          <w:szCs w:val="24"/>
          <w:shd w:val="clear" w:color="auto" w:fill="FFFFFF"/>
        </w:rPr>
      </w:pPr>
      <w:r w:rsidRPr="003330DA">
        <w:rPr>
          <w:rFonts w:cs="Times New Roman"/>
          <w:i/>
          <w:szCs w:val="24"/>
          <w:shd w:val="clear" w:color="auto" w:fill="FFFFFF"/>
        </w:rPr>
        <w:t>“173 However, no application has been made by any party for an Isaac Wunder order in this case and this Court does not propose at this stage, and of its own motion, to impose an </w:t>
      </w:r>
      <w:r w:rsidRPr="003330DA">
        <w:rPr>
          <w:rStyle w:val="Emphasis"/>
          <w:rFonts w:cs="Times New Roman"/>
          <w:szCs w:val="24"/>
          <w:shd w:val="clear" w:color="auto" w:fill="FFFFFF"/>
        </w:rPr>
        <w:t>Isaac Wunder</w:t>
      </w:r>
      <w:r w:rsidRPr="003330DA">
        <w:rPr>
          <w:rFonts w:cs="Times New Roman"/>
          <w:szCs w:val="24"/>
          <w:shd w:val="clear" w:color="auto" w:fill="FFFFFF"/>
        </w:rPr>
        <w:t> </w:t>
      </w:r>
      <w:r w:rsidRPr="003330DA">
        <w:rPr>
          <w:rFonts w:cs="Times New Roman"/>
          <w:i/>
          <w:szCs w:val="24"/>
          <w:shd w:val="clear" w:color="auto" w:fill="FFFFFF"/>
        </w:rPr>
        <w:t xml:space="preserve">order in this instance. However, if such an application were made in the future, this Court would be required to consider whether there is sufficient evidence to justify such an order, in light of the submissions of the parties at that stage. It is of course the case that any </w:t>
      </w:r>
      <w:r w:rsidRPr="003330DA">
        <w:rPr>
          <w:rFonts w:cs="Times New Roman"/>
          <w:i/>
          <w:szCs w:val="24"/>
          <w:shd w:val="clear" w:color="auto" w:fill="FFFFFF"/>
        </w:rPr>
        <w:lastRenderedPageBreak/>
        <w:t>such </w:t>
      </w:r>
      <w:r w:rsidRPr="003330DA">
        <w:rPr>
          <w:rStyle w:val="Emphasis"/>
          <w:rFonts w:cs="Times New Roman"/>
          <w:szCs w:val="24"/>
          <w:shd w:val="clear" w:color="auto" w:fill="FFFFFF"/>
        </w:rPr>
        <w:t>Isaac Wunder</w:t>
      </w:r>
      <w:r w:rsidRPr="003330DA">
        <w:rPr>
          <w:rFonts w:cs="Times New Roman"/>
          <w:i/>
          <w:szCs w:val="24"/>
          <w:shd w:val="clear" w:color="auto" w:fill="FFFFFF"/>
        </w:rPr>
        <w:t> order, if granted, would only apply to future proceedings proposed to be issued and not to existing proceedings.”</w:t>
      </w:r>
    </w:p>
    <w:p w14:paraId="511607B4" w14:textId="77777777" w:rsidR="00373D18" w:rsidRDefault="00373D18" w:rsidP="003F7878">
      <w:pPr>
        <w:autoSpaceDE w:val="0"/>
        <w:autoSpaceDN w:val="0"/>
        <w:adjustRightInd w:val="0"/>
        <w:ind w:left="709"/>
        <w:rPr>
          <w:rFonts w:cs="Times New Roman"/>
          <w:szCs w:val="24"/>
        </w:rPr>
      </w:pPr>
    </w:p>
    <w:p w14:paraId="55325D8E" w14:textId="53595DFF" w:rsidR="00373D18" w:rsidRDefault="00373D18" w:rsidP="00373D18">
      <w:pPr>
        <w:pStyle w:val="ListParagraph"/>
        <w:numPr>
          <w:ilvl w:val="0"/>
          <w:numId w:val="1"/>
        </w:numPr>
        <w:autoSpaceDE w:val="0"/>
        <w:autoSpaceDN w:val="0"/>
        <w:adjustRightInd w:val="0"/>
        <w:ind w:hanging="720"/>
        <w:rPr>
          <w:rFonts w:cs="Times New Roman"/>
          <w:szCs w:val="24"/>
        </w:rPr>
      </w:pPr>
      <w:r>
        <w:rPr>
          <w:rFonts w:cs="Times New Roman"/>
          <w:szCs w:val="24"/>
        </w:rPr>
        <w:t xml:space="preserve">Dr Sheehan also </w:t>
      </w:r>
      <w:r w:rsidR="002F7E64">
        <w:rPr>
          <w:rFonts w:cs="Times New Roman"/>
          <w:szCs w:val="24"/>
        </w:rPr>
        <w:t>takes objection</w:t>
      </w:r>
      <w:r>
        <w:rPr>
          <w:rFonts w:cs="Times New Roman"/>
          <w:szCs w:val="24"/>
        </w:rPr>
        <w:t xml:space="preserve"> to the fact that, in the course of setting out the factual background, the Judge referred to evidence which, in his view, established that Dr Sheehan had been aware that the Duffy loans had been redeemed and had misrepresented the position to Talos in April 2014. It was, the Judge observed, “</w:t>
      </w:r>
      <w:r w:rsidRPr="00373D18">
        <w:rPr>
          <w:rFonts w:cs="Times New Roman"/>
          <w:i/>
          <w:szCs w:val="24"/>
        </w:rPr>
        <w:t>ironic</w:t>
      </w:r>
      <w:r>
        <w:rPr>
          <w:rFonts w:cs="Times New Roman"/>
          <w:szCs w:val="24"/>
        </w:rPr>
        <w:t>”, in light of the misrepresentation claim being made by him, that the reason that the Loan Sale Deed did not proceed in the first place “</w:t>
      </w:r>
      <w:r w:rsidRPr="00373D18">
        <w:rPr>
          <w:rFonts w:cs="Times New Roman"/>
          <w:i/>
          <w:szCs w:val="24"/>
        </w:rPr>
        <w:t xml:space="preserve">was because Dr Sheehan had </w:t>
      </w:r>
      <w:r w:rsidRPr="00373D18">
        <w:rPr>
          <w:rFonts w:cs="Times New Roman"/>
          <w:i/>
          <w:szCs w:val="24"/>
          <w:u w:val="single"/>
        </w:rPr>
        <w:t>actually</w:t>
      </w:r>
      <w:r w:rsidRPr="00373D18">
        <w:rPr>
          <w:rFonts w:cs="Times New Roman"/>
          <w:i/>
          <w:szCs w:val="24"/>
        </w:rPr>
        <w:t xml:space="preserve"> mispresented to the Talos Group that the Duffy Loan</w:t>
      </w:r>
      <w:r>
        <w:rPr>
          <w:rFonts w:cs="Times New Roman"/>
          <w:i/>
          <w:szCs w:val="24"/>
        </w:rPr>
        <w:t>s</w:t>
      </w:r>
      <w:r w:rsidRPr="00373D18">
        <w:rPr>
          <w:rFonts w:cs="Times New Roman"/>
          <w:i/>
          <w:szCs w:val="24"/>
        </w:rPr>
        <w:t xml:space="preserve"> had not been redeemed.”</w:t>
      </w:r>
      <w:r>
        <w:rPr>
          <w:rFonts w:cs="Times New Roman"/>
          <w:i/>
          <w:szCs w:val="24"/>
        </w:rPr>
        <w:t xml:space="preserve"> </w:t>
      </w:r>
      <w:r>
        <w:rPr>
          <w:rFonts w:cs="Times New Roman"/>
          <w:szCs w:val="24"/>
        </w:rPr>
        <w:t>(original emphasis).</w:t>
      </w:r>
    </w:p>
    <w:p w14:paraId="083BF046" w14:textId="39AAEC8B" w:rsidR="00D351B4" w:rsidRDefault="00D351B4">
      <w:pPr>
        <w:spacing w:after="160" w:line="259" w:lineRule="auto"/>
        <w:jc w:val="left"/>
        <w:rPr>
          <w:rFonts w:cs="Times New Roman"/>
          <w:szCs w:val="24"/>
        </w:rPr>
      </w:pPr>
      <w:r>
        <w:rPr>
          <w:rFonts w:cs="Times New Roman"/>
          <w:szCs w:val="24"/>
        </w:rPr>
        <w:br w:type="page"/>
      </w:r>
    </w:p>
    <w:p w14:paraId="6D41647D" w14:textId="77777777" w:rsidR="009353B6" w:rsidRDefault="009353B6" w:rsidP="009353B6">
      <w:pPr>
        <w:pStyle w:val="ListParagraph"/>
        <w:autoSpaceDE w:val="0"/>
        <w:autoSpaceDN w:val="0"/>
        <w:adjustRightInd w:val="0"/>
        <w:rPr>
          <w:rFonts w:cs="Times New Roman"/>
          <w:szCs w:val="24"/>
        </w:rPr>
      </w:pPr>
    </w:p>
    <w:p w14:paraId="7E7D5F2E" w14:textId="77777777" w:rsidR="009353B6" w:rsidRPr="009353B6" w:rsidRDefault="009353B6" w:rsidP="00F76171">
      <w:pPr>
        <w:pStyle w:val="ListParagraph"/>
        <w:autoSpaceDE w:val="0"/>
        <w:autoSpaceDN w:val="0"/>
        <w:adjustRightInd w:val="0"/>
        <w:ind w:left="0"/>
        <w:jc w:val="center"/>
        <w:rPr>
          <w:rFonts w:cs="Times New Roman"/>
          <w:b/>
          <w:szCs w:val="24"/>
        </w:rPr>
      </w:pPr>
      <w:r w:rsidRPr="009353B6">
        <w:rPr>
          <w:rFonts w:cs="Times New Roman"/>
          <w:b/>
          <w:szCs w:val="24"/>
        </w:rPr>
        <w:t xml:space="preserve">APPEAL </w:t>
      </w:r>
    </w:p>
    <w:p w14:paraId="2AB958EE" w14:textId="77777777" w:rsidR="009353B6" w:rsidRDefault="009353B6" w:rsidP="009353B6">
      <w:pPr>
        <w:pStyle w:val="ListParagraph"/>
        <w:autoSpaceDE w:val="0"/>
        <w:autoSpaceDN w:val="0"/>
        <w:adjustRightInd w:val="0"/>
        <w:rPr>
          <w:rFonts w:cs="Times New Roman"/>
          <w:szCs w:val="24"/>
        </w:rPr>
      </w:pPr>
    </w:p>
    <w:p w14:paraId="2395679F" w14:textId="5E54C6FA" w:rsidR="00512988" w:rsidRDefault="009353B6"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Dr Sheehan lodged </w:t>
      </w:r>
      <w:r w:rsidR="00474BEF">
        <w:rPr>
          <w:rFonts w:cs="Times New Roman"/>
          <w:szCs w:val="24"/>
        </w:rPr>
        <w:t>his</w:t>
      </w:r>
      <w:r>
        <w:rPr>
          <w:rFonts w:cs="Times New Roman"/>
          <w:szCs w:val="24"/>
        </w:rPr>
        <w:t xml:space="preserve"> appeal on 3 April 2019.  </w:t>
      </w:r>
      <w:r w:rsidR="00512988">
        <w:rPr>
          <w:rFonts w:cs="Times New Roman"/>
          <w:szCs w:val="24"/>
        </w:rPr>
        <w:t>Detailed written submissions</w:t>
      </w:r>
      <w:r w:rsidR="00E718EF">
        <w:rPr>
          <w:rFonts w:cs="Times New Roman"/>
          <w:szCs w:val="24"/>
        </w:rPr>
        <w:t xml:space="preserve"> </w:t>
      </w:r>
      <w:r w:rsidR="00512988">
        <w:rPr>
          <w:rFonts w:cs="Times New Roman"/>
          <w:szCs w:val="24"/>
        </w:rPr>
        <w:t xml:space="preserve">were </w:t>
      </w:r>
      <w:r w:rsidR="00E718EF">
        <w:rPr>
          <w:rFonts w:cs="Times New Roman"/>
          <w:szCs w:val="24"/>
        </w:rPr>
        <w:t>lodged</w:t>
      </w:r>
      <w:r w:rsidR="00512988">
        <w:rPr>
          <w:rFonts w:cs="Times New Roman"/>
          <w:szCs w:val="24"/>
        </w:rPr>
        <w:t xml:space="preserve"> on his behalf </w:t>
      </w:r>
      <w:r w:rsidR="00E718EF">
        <w:rPr>
          <w:rFonts w:cs="Times New Roman"/>
          <w:szCs w:val="24"/>
        </w:rPr>
        <w:t xml:space="preserve">which were prepared by solicitor and counsel, </w:t>
      </w:r>
      <w:r w:rsidR="00512988">
        <w:rPr>
          <w:rFonts w:cs="Times New Roman"/>
          <w:szCs w:val="24"/>
        </w:rPr>
        <w:t xml:space="preserve">which </w:t>
      </w:r>
      <w:r w:rsidR="00E718EF">
        <w:rPr>
          <w:rFonts w:cs="Times New Roman"/>
          <w:szCs w:val="24"/>
        </w:rPr>
        <w:t>in due course Talos re</w:t>
      </w:r>
      <w:r w:rsidR="002F7E64">
        <w:rPr>
          <w:rFonts w:cs="Times New Roman"/>
          <w:szCs w:val="24"/>
        </w:rPr>
        <w:t>sponded to</w:t>
      </w:r>
      <w:r w:rsidR="00E718EF">
        <w:rPr>
          <w:rFonts w:cs="Times New Roman"/>
          <w:szCs w:val="24"/>
        </w:rPr>
        <w:t xml:space="preserve">. </w:t>
      </w:r>
    </w:p>
    <w:p w14:paraId="35B50B57" w14:textId="77777777" w:rsidR="00512988" w:rsidRDefault="00512988" w:rsidP="00512988">
      <w:pPr>
        <w:pStyle w:val="ListParagraph"/>
        <w:autoSpaceDE w:val="0"/>
        <w:autoSpaceDN w:val="0"/>
        <w:adjustRightInd w:val="0"/>
        <w:rPr>
          <w:rFonts w:cs="Times New Roman"/>
          <w:szCs w:val="24"/>
        </w:rPr>
      </w:pPr>
    </w:p>
    <w:p w14:paraId="0BFC1902" w14:textId="31EE0892" w:rsidR="00AC05C4" w:rsidRDefault="00512988"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When the appeal came on for hearing, </w:t>
      </w:r>
      <w:r w:rsidR="00474BEF">
        <w:rPr>
          <w:rFonts w:cs="Times New Roman"/>
          <w:szCs w:val="24"/>
        </w:rPr>
        <w:t>Dr Sheehan was no longer legal</w:t>
      </w:r>
      <w:r w:rsidR="006A0126">
        <w:rPr>
          <w:rFonts w:cs="Times New Roman"/>
          <w:szCs w:val="24"/>
        </w:rPr>
        <w:t>ly</w:t>
      </w:r>
      <w:r w:rsidR="00474BEF">
        <w:rPr>
          <w:rFonts w:cs="Times New Roman"/>
          <w:szCs w:val="24"/>
        </w:rPr>
        <w:t xml:space="preserve"> represented and </w:t>
      </w:r>
      <w:r w:rsidR="00AD503B">
        <w:rPr>
          <w:rFonts w:cs="Times New Roman"/>
          <w:szCs w:val="24"/>
        </w:rPr>
        <w:t xml:space="preserve">he </w:t>
      </w:r>
      <w:r w:rsidR="00474BEF">
        <w:rPr>
          <w:rFonts w:cs="Times New Roman"/>
          <w:szCs w:val="24"/>
        </w:rPr>
        <w:t xml:space="preserve">presented his appeal himself. </w:t>
      </w:r>
      <w:r w:rsidR="00AD503B">
        <w:rPr>
          <w:rFonts w:cs="Times New Roman"/>
          <w:szCs w:val="24"/>
        </w:rPr>
        <w:t xml:space="preserve">He </w:t>
      </w:r>
      <w:r w:rsidR="00474BEF">
        <w:rPr>
          <w:rFonts w:cs="Times New Roman"/>
          <w:szCs w:val="24"/>
        </w:rPr>
        <w:t xml:space="preserve">did so succinctly and courteously but I do not mean to be unfair to him when I </w:t>
      </w:r>
      <w:r w:rsidR="00D351B4">
        <w:rPr>
          <w:rFonts w:cs="Times New Roman"/>
          <w:szCs w:val="24"/>
        </w:rPr>
        <w:t>say</w:t>
      </w:r>
      <w:r w:rsidR="00474BEF">
        <w:rPr>
          <w:rFonts w:cs="Times New Roman"/>
          <w:szCs w:val="24"/>
        </w:rPr>
        <w:t xml:space="preserve"> that his oral submissions </w:t>
      </w:r>
      <w:r w:rsidR="00AD503B">
        <w:rPr>
          <w:rFonts w:cs="Times New Roman"/>
          <w:szCs w:val="24"/>
        </w:rPr>
        <w:t xml:space="preserve">(which reflected a speaking note which </w:t>
      </w:r>
      <w:r w:rsidR="009C157F">
        <w:rPr>
          <w:rFonts w:cs="Times New Roman"/>
          <w:szCs w:val="24"/>
        </w:rPr>
        <w:t>he</w:t>
      </w:r>
      <w:r w:rsidR="00AD503B">
        <w:rPr>
          <w:rFonts w:cs="Times New Roman"/>
          <w:szCs w:val="24"/>
        </w:rPr>
        <w:t xml:space="preserve"> helpfully provided to the Court) </w:t>
      </w:r>
      <w:r w:rsidR="00474BEF">
        <w:rPr>
          <w:rFonts w:cs="Times New Roman"/>
          <w:szCs w:val="24"/>
        </w:rPr>
        <w:t xml:space="preserve">largely focussed on </w:t>
      </w:r>
      <w:r w:rsidR="006A0126">
        <w:rPr>
          <w:rFonts w:cs="Times New Roman"/>
          <w:szCs w:val="24"/>
        </w:rPr>
        <w:t>i</w:t>
      </w:r>
      <w:r w:rsidR="00474BEF">
        <w:rPr>
          <w:rFonts w:cs="Times New Roman"/>
          <w:szCs w:val="24"/>
        </w:rPr>
        <w:t xml:space="preserve">ssues relating to the Guarantee which did not really bear on the issues in the appeal (and which in any event were </w:t>
      </w:r>
      <w:r w:rsidR="00474BEF" w:rsidRPr="00474BEF">
        <w:rPr>
          <w:rFonts w:cs="Times New Roman"/>
          <w:i/>
          <w:szCs w:val="24"/>
        </w:rPr>
        <w:t>res judicata</w:t>
      </w:r>
      <w:r w:rsidR="00474BEF">
        <w:rPr>
          <w:rFonts w:cs="Times New Roman"/>
          <w:szCs w:val="24"/>
        </w:rPr>
        <w:t xml:space="preserve">). </w:t>
      </w:r>
      <w:r w:rsidR="006A0126">
        <w:rPr>
          <w:rFonts w:cs="Times New Roman"/>
          <w:szCs w:val="24"/>
        </w:rPr>
        <w:t>Dr Sheehan also spent a considerable time addressing the circumstances in which JCS had been substituted as borrower in</w:t>
      </w:r>
      <w:r w:rsidR="009C157F">
        <w:rPr>
          <w:rFonts w:cs="Times New Roman"/>
          <w:szCs w:val="24"/>
        </w:rPr>
        <w:t xml:space="preserve"> place</w:t>
      </w:r>
      <w:r w:rsidR="006A0126">
        <w:rPr>
          <w:rFonts w:cs="Times New Roman"/>
          <w:szCs w:val="24"/>
        </w:rPr>
        <w:t xml:space="preserve"> of Medfund  (suggesting that this had been insisted on by the Special Liquidators) and the adverse consequences that flowed from that substitution from his perspective</w:t>
      </w:r>
      <w:r w:rsidR="00CD001B">
        <w:rPr>
          <w:rFonts w:cs="Times New Roman"/>
          <w:szCs w:val="24"/>
        </w:rPr>
        <w:t xml:space="preserve"> (</w:t>
      </w:r>
      <w:r w:rsidR="006A0126">
        <w:rPr>
          <w:rFonts w:cs="Times New Roman"/>
          <w:szCs w:val="24"/>
        </w:rPr>
        <w:t xml:space="preserve">not least because of </w:t>
      </w:r>
      <w:r w:rsidR="00CD001B">
        <w:rPr>
          <w:rFonts w:cs="Times New Roman"/>
          <w:szCs w:val="24"/>
        </w:rPr>
        <w:t>what he said had been the</w:t>
      </w:r>
      <w:r w:rsidR="006A0126">
        <w:rPr>
          <w:rFonts w:cs="Times New Roman"/>
          <w:szCs w:val="24"/>
        </w:rPr>
        <w:t xml:space="preserve"> effect of section 31 of the Companies Act 1990</w:t>
      </w:r>
      <w:r w:rsidR="00CD001B">
        <w:rPr>
          <w:rFonts w:cs="Times New Roman"/>
          <w:szCs w:val="24"/>
        </w:rPr>
        <w:t>)</w:t>
      </w:r>
      <w:r w:rsidR="00FC1FEB">
        <w:rPr>
          <w:rFonts w:cs="Times New Roman"/>
          <w:szCs w:val="24"/>
        </w:rPr>
        <w:t>,</w:t>
      </w:r>
      <w:r w:rsidR="006A0126">
        <w:rPr>
          <w:rFonts w:cs="Times New Roman"/>
          <w:szCs w:val="24"/>
        </w:rPr>
        <w:t xml:space="preserve"> as well </w:t>
      </w:r>
      <w:r w:rsidR="00CD001B">
        <w:rPr>
          <w:rFonts w:cs="Times New Roman"/>
          <w:szCs w:val="24"/>
        </w:rPr>
        <w:t>as seeking to demonstrate that IBRC had not been in a position to complete the Loan Sale</w:t>
      </w:r>
      <w:r w:rsidR="006A0126">
        <w:rPr>
          <w:rFonts w:cs="Times New Roman"/>
          <w:szCs w:val="24"/>
        </w:rPr>
        <w:t xml:space="preserve">.  </w:t>
      </w:r>
      <w:r w:rsidR="00CD001B">
        <w:rPr>
          <w:rFonts w:cs="Times New Roman"/>
          <w:szCs w:val="24"/>
        </w:rPr>
        <w:t>None of</w:t>
      </w:r>
      <w:r w:rsidR="006A0126">
        <w:rPr>
          <w:rFonts w:cs="Times New Roman"/>
          <w:szCs w:val="24"/>
        </w:rPr>
        <w:t xml:space="preserve"> th</w:t>
      </w:r>
      <w:r w:rsidR="00CD001B">
        <w:rPr>
          <w:rFonts w:cs="Times New Roman"/>
          <w:szCs w:val="24"/>
        </w:rPr>
        <w:t xml:space="preserve">ese issues </w:t>
      </w:r>
      <w:r w:rsidR="00D351B4">
        <w:rPr>
          <w:rFonts w:cs="Times New Roman"/>
          <w:szCs w:val="24"/>
        </w:rPr>
        <w:t>is</w:t>
      </w:r>
      <w:r w:rsidR="00CD001B">
        <w:rPr>
          <w:rFonts w:cs="Times New Roman"/>
          <w:szCs w:val="24"/>
        </w:rPr>
        <w:t xml:space="preserve"> </w:t>
      </w:r>
      <w:r w:rsidR="006A0126">
        <w:rPr>
          <w:rFonts w:cs="Times New Roman"/>
          <w:szCs w:val="24"/>
        </w:rPr>
        <w:t xml:space="preserve">relevant to any issue in the appeal. </w:t>
      </w:r>
      <w:r w:rsidR="00474BEF">
        <w:rPr>
          <w:rFonts w:cs="Times New Roman"/>
          <w:szCs w:val="24"/>
        </w:rPr>
        <w:t xml:space="preserve">However, Dr Sheehan </w:t>
      </w:r>
      <w:r w:rsidR="00D351B4">
        <w:rPr>
          <w:rFonts w:cs="Times New Roman"/>
          <w:szCs w:val="24"/>
        </w:rPr>
        <w:t>did</w:t>
      </w:r>
      <w:r w:rsidR="00C51203">
        <w:rPr>
          <w:rFonts w:cs="Times New Roman"/>
          <w:szCs w:val="24"/>
        </w:rPr>
        <w:t xml:space="preserve"> effectively convey his </w:t>
      </w:r>
      <w:r w:rsidR="00474BEF">
        <w:rPr>
          <w:rFonts w:cs="Times New Roman"/>
          <w:szCs w:val="24"/>
        </w:rPr>
        <w:t xml:space="preserve">real sense of grievance </w:t>
      </w:r>
      <w:r w:rsidR="00C51203">
        <w:rPr>
          <w:rFonts w:cs="Times New Roman"/>
          <w:szCs w:val="24"/>
        </w:rPr>
        <w:t>at having been labelled a “</w:t>
      </w:r>
      <w:r w:rsidR="00C51203" w:rsidRPr="00C51203">
        <w:rPr>
          <w:rFonts w:cs="Times New Roman"/>
          <w:i/>
          <w:szCs w:val="24"/>
        </w:rPr>
        <w:t>serial litigant”</w:t>
      </w:r>
      <w:r w:rsidR="00C51203">
        <w:rPr>
          <w:rFonts w:cs="Times New Roman"/>
          <w:szCs w:val="24"/>
        </w:rPr>
        <w:t xml:space="preserve"> by the Judge. Such a label was, </w:t>
      </w:r>
      <w:r w:rsidR="00D351B4">
        <w:rPr>
          <w:rFonts w:cs="Times New Roman"/>
          <w:szCs w:val="24"/>
        </w:rPr>
        <w:t>he said,</w:t>
      </w:r>
      <w:r w:rsidR="00C51203">
        <w:rPr>
          <w:rFonts w:cs="Times New Roman"/>
          <w:szCs w:val="24"/>
        </w:rPr>
        <w:t xml:space="preserve"> unnecessary and inaccurate and, as a result, the threat of an </w:t>
      </w:r>
      <w:r w:rsidR="00C51203" w:rsidRPr="00C51203">
        <w:rPr>
          <w:rFonts w:cs="Times New Roman"/>
          <w:i/>
          <w:szCs w:val="24"/>
        </w:rPr>
        <w:t>Isaac Wunder</w:t>
      </w:r>
      <w:r w:rsidR="00C51203">
        <w:rPr>
          <w:rFonts w:cs="Times New Roman"/>
          <w:szCs w:val="24"/>
        </w:rPr>
        <w:t xml:space="preserve"> order had been used against him in subsequent proceedings</w:t>
      </w:r>
      <w:r w:rsidR="00CD001B">
        <w:rPr>
          <w:rFonts w:cs="Times New Roman"/>
          <w:szCs w:val="24"/>
        </w:rPr>
        <w:t xml:space="preserve"> and he had been subjected to “</w:t>
      </w:r>
      <w:r w:rsidR="00CD001B" w:rsidRPr="00CD001B">
        <w:rPr>
          <w:rFonts w:cs="Times New Roman"/>
          <w:i/>
          <w:szCs w:val="24"/>
        </w:rPr>
        <w:t>character assassination”</w:t>
      </w:r>
      <w:r w:rsidR="00CD001B">
        <w:rPr>
          <w:rFonts w:cs="Times New Roman"/>
          <w:szCs w:val="24"/>
        </w:rPr>
        <w:t>.</w:t>
      </w:r>
      <w:r w:rsidR="00B841BD">
        <w:rPr>
          <w:rFonts w:cs="Times New Roman"/>
          <w:szCs w:val="24"/>
        </w:rPr>
        <w:t xml:space="preserve"> He suggested that there had been a conflict of interest, referr</w:t>
      </w:r>
      <w:r w:rsidR="00D351B4">
        <w:rPr>
          <w:rFonts w:cs="Times New Roman"/>
          <w:szCs w:val="24"/>
        </w:rPr>
        <w:t xml:space="preserve">ing </w:t>
      </w:r>
      <w:r w:rsidR="00B841BD">
        <w:rPr>
          <w:rFonts w:cs="Times New Roman"/>
          <w:szCs w:val="24"/>
        </w:rPr>
        <w:t xml:space="preserve">to a disclosure made </w:t>
      </w:r>
      <w:r w:rsidR="00B841BD">
        <w:rPr>
          <w:rFonts w:cs="Times New Roman"/>
          <w:szCs w:val="24"/>
        </w:rPr>
        <w:lastRenderedPageBreak/>
        <w:t xml:space="preserve">by the Judge on Day 3 of the hearing that, while in private practice, he had given partnership advice to AMOSS, the solicitors acting for Talos, of which Mr Simons was a partner. </w:t>
      </w:r>
      <w:r w:rsidR="00CE74C5">
        <w:rPr>
          <w:rFonts w:cs="Times New Roman"/>
          <w:szCs w:val="24"/>
        </w:rPr>
        <w:t>I will refer in more detail to this disclosure below.</w:t>
      </w:r>
    </w:p>
    <w:p w14:paraId="0D31E68C" w14:textId="77777777" w:rsidR="00AC05C4" w:rsidRDefault="00AC05C4" w:rsidP="00AC05C4">
      <w:pPr>
        <w:pStyle w:val="ListParagraph"/>
        <w:autoSpaceDE w:val="0"/>
        <w:autoSpaceDN w:val="0"/>
        <w:adjustRightInd w:val="0"/>
        <w:rPr>
          <w:rFonts w:cs="Times New Roman"/>
          <w:szCs w:val="24"/>
        </w:rPr>
      </w:pPr>
    </w:p>
    <w:p w14:paraId="7D80D481" w14:textId="320525DC" w:rsidR="00512988" w:rsidRDefault="00AD503B"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In the course of his submissions, Dr Sheehan </w:t>
      </w:r>
      <w:r w:rsidR="006A0126">
        <w:rPr>
          <w:rFonts w:cs="Times New Roman"/>
          <w:szCs w:val="24"/>
        </w:rPr>
        <w:t xml:space="preserve">also </w:t>
      </w:r>
      <w:r>
        <w:rPr>
          <w:rFonts w:cs="Times New Roman"/>
          <w:szCs w:val="24"/>
        </w:rPr>
        <w:t>made a number of statements concerning his state of mind and understanding in November 2015 to which I shall refer further below.</w:t>
      </w:r>
    </w:p>
    <w:p w14:paraId="0A8A3594" w14:textId="77777777" w:rsidR="009C157F" w:rsidRDefault="009C157F" w:rsidP="009C157F">
      <w:pPr>
        <w:pStyle w:val="ListParagraph"/>
        <w:autoSpaceDE w:val="0"/>
        <w:autoSpaceDN w:val="0"/>
        <w:adjustRightInd w:val="0"/>
        <w:rPr>
          <w:rFonts w:cs="Times New Roman"/>
          <w:szCs w:val="24"/>
        </w:rPr>
      </w:pPr>
    </w:p>
    <w:p w14:paraId="6D82124E" w14:textId="79A87C9C" w:rsidR="009C157F" w:rsidRDefault="009C157F" w:rsidP="009353B6">
      <w:pPr>
        <w:pStyle w:val="ListParagraph"/>
        <w:numPr>
          <w:ilvl w:val="0"/>
          <w:numId w:val="1"/>
        </w:numPr>
        <w:autoSpaceDE w:val="0"/>
        <w:autoSpaceDN w:val="0"/>
        <w:adjustRightInd w:val="0"/>
        <w:ind w:hanging="720"/>
        <w:rPr>
          <w:rFonts w:cs="Times New Roman"/>
          <w:szCs w:val="24"/>
        </w:rPr>
      </w:pPr>
      <w:r>
        <w:rPr>
          <w:rFonts w:cs="Times New Roman"/>
          <w:szCs w:val="24"/>
        </w:rPr>
        <w:t>While a book of transcript extracts had been furnished to the Court in the ordinary way, Dr Sheehan invited the Court to review the complete transcripts of the opening and closing submissions of his counsel and of the evidence of the witnesses who gave evidence on his behalf.  I have reviewed those transcripts (</w:t>
      </w:r>
      <w:r w:rsidRPr="009C157F">
        <w:rPr>
          <w:rFonts w:cs="Times New Roman"/>
          <w:i/>
          <w:szCs w:val="24"/>
        </w:rPr>
        <w:t>inter alia</w:t>
      </w:r>
      <w:r>
        <w:rPr>
          <w:rFonts w:cs="Times New Roman"/>
          <w:szCs w:val="24"/>
        </w:rPr>
        <w:t>) for the purpose of preparing this judgment.</w:t>
      </w:r>
    </w:p>
    <w:p w14:paraId="52655924" w14:textId="77777777" w:rsidR="00C51203" w:rsidRDefault="00C51203" w:rsidP="00C51203">
      <w:pPr>
        <w:pStyle w:val="ListParagraph"/>
        <w:autoSpaceDE w:val="0"/>
        <w:autoSpaceDN w:val="0"/>
        <w:adjustRightInd w:val="0"/>
        <w:rPr>
          <w:rFonts w:cs="Times New Roman"/>
          <w:szCs w:val="24"/>
        </w:rPr>
      </w:pPr>
    </w:p>
    <w:p w14:paraId="151992B9" w14:textId="44460290" w:rsidR="00C51203" w:rsidRDefault="00C51203" w:rsidP="009353B6">
      <w:pPr>
        <w:pStyle w:val="ListParagraph"/>
        <w:numPr>
          <w:ilvl w:val="0"/>
          <w:numId w:val="1"/>
        </w:numPr>
        <w:autoSpaceDE w:val="0"/>
        <w:autoSpaceDN w:val="0"/>
        <w:adjustRightInd w:val="0"/>
        <w:ind w:hanging="720"/>
        <w:rPr>
          <w:rFonts w:cs="Times New Roman"/>
          <w:szCs w:val="24"/>
        </w:rPr>
      </w:pPr>
      <w:r>
        <w:rPr>
          <w:rFonts w:cs="Times New Roman"/>
          <w:szCs w:val="24"/>
        </w:rPr>
        <w:t>Mr Dunleavy SC made detailed submissions on behalf of Talos in support of the Judge’s substantive conclusions. I will refer to these submissions as appropriate when addressing the substantive arguments on the appeal. I would note immediately, however, that Mr Dunleavy did not seek to stand over the criticisms made of Dr Sheehan by the Judge or the suggestion that he was a serial litigant and/or someone who was misusing the court process.</w:t>
      </w:r>
      <w:r w:rsidR="009C157F">
        <w:rPr>
          <w:rFonts w:cs="Times New Roman"/>
          <w:szCs w:val="24"/>
        </w:rPr>
        <w:t xml:space="preserve"> Mr Dunleavy explained </w:t>
      </w:r>
      <w:r>
        <w:rPr>
          <w:rFonts w:cs="Times New Roman"/>
          <w:szCs w:val="24"/>
        </w:rPr>
        <w:t xml:space="preserve">that Talos had not at any stage suggested that an </w:t>
      </w:r>
      <w:r w:rsidRPr="00C51203">
        <w:rPr>
          <w:rFonts w:cs="Times New Roman"/>
          <w:i/>
          <w:szCs w:val="24"/>
        </w:rPr>
        <w:t>Isaac W</w:t>
      </w:r>
      <w:r>
        <w:rPr>
          <w:rFonts w:cs="Times New Roman"/>
          <w:i/>
          <w:szCs w:val="24"/>
        </w:rPr>
        <w:t>u</w:t>
      </w:r>
      <w:r w:rsidRPr="00C51203">
        <w:rPr>
          <w:rFonts w:cs="Times New Roman"/>
          <w:i/>
          <w:szCs w:val="24"/>
        </w:rPr>
        <w:t>nder</w:t>
      </w:r>
      <w:r>
        <w:rPr>
          <w:rFonts w:cs="Times New Roman"/>
          <w:szCs w:val="24"/>
        </w:rPr>
        <w:t xml:space="preserve"> order should be made against Dr Sheehan. It had been invited </w:t>
      </w:r>
      <w:r w:rsidR="001C08A6">
        <w:rPr>
          <w:rFonts w:cs="Times New Roman"/>
          <w:szCs w:val="24"/>
        </w:rPr>
        <w:t xml:space="preserve">by the Judge </w:t>
      </w:r>
      <w:r>
        <w:rPr>
          <w:rFonts w:cs="Times New Roman"/>
          <w:szCs w:val="24"/>
        </w:rPr>
        <w:t xml:space="preserve">to </w:t>
      </w:r>
      <w:r w:rsidR="00AC05C4">
        <w:rPr>
          <w:rFonts w:cs="Times New Roman"/>
          <w:szCs w:val="24"/>
        </w:rPr>
        <w:t xml:space="preserve">apply for the making of such an order </w:t>
      </w:r>
      <w:r w:rsidR="001C08A6">
        <w:rPr>
          <w:rFonts w:cs="Times New Roman"/>
          <w:szCs w:val="24"/>
        </w:rPr>
        <w:t>following the giving of his</w:t>
      </w:r>
      <w:r>
        <w:rPr>
          <w:rFonts w:cs="Times New Roman"/>
          <w:szCs w:val="24"/>
        </w:rPr>
        <w:t xml:space="preserve"> Judgment</w:t>
      </w:r>
      <w:r w:rsidR="001C08A6">
        <w:rPr>
          <w:rFonts w:cs="Times New Roman"/>
          <w:szCs w:val="24"/>
        </w:rPr>
        <w:t xml:space="preserve"> </w:t>
      </w:r>
      <w:r>
        <w:rPr>
          <w:rFonts w:cs="Times New Roman"/>
          <w:szCs w:val="24"/>
        </w:rPr>
        <w:t>but had declined to do so.</w:t>
      </w:r>
      <w:r w:rsidR="006C3430">
        <w:rPr>
          <w:rFonts w:cs="Times New Roman"/>
          <w:szCs w:val="24"/>
        </w:rPr>
        <w:t xml:space="preserve"> I would also note at this point that Mr </w:t>
      </w:r>
      <w:r w:rsidR="006C3430">
        <w:rPr>
          <w:rFonts w:cs="Times New Roman"/>
          <w:szCs w:val="24"/>
        </w:rPr>
        <w:lastRenderedPageBreak/>
        <w:t xml:space="preserve">Dunleavy also made it clear that the Judge’s reference to </w:t>
      </w:r>
      <w:r w:rsidR="006C3430" w:rsidRPr="006C3430">
        <w:rPr>
          <w:rFonts w:cs="Times New Roman"/>
          <w:i/>
          <w:szCs w:val="24"/>
        </w:rPr>
        <w:t xml:space="preserve">Cooke v </w:t>
      </w:r>
      <w:r w:rsidR="009A0672">
        <w:rPr>
          <w:rFonts w:cs="Times New Roman"/>
          <w:i/>
          <w:szCs w:val="24"/>
        </w:rPr>
        <w:t>Cronin</w:t>
      </w:r>
      <w:r w:rsidR="006C3430">
        <w:rPr>
          <w:rFonts w:cs="Times New Roman"/>
          <w:szCs w:val="24"/>
        </w:rPr>
        <w:t xml:space="preserve"> had not arisen from any submissions made on behalf of his client</w:t>
      </w:r>
    </w:p>
    <w:p w14:paraId="111E721E" w14:textId="02F2AF6F" w:rsidR="001C08A6" w:rsidRDefault="001C08A6">
      <w:pPr>
        <w:spacing w:after="160" w:line="259" w:lineRule="auto"/>
        <w:jc w:val="left"/>
        <w:rPr>
          <w:rFonts w:cs="Times New Roman"/>
          <w:szCs w:val="24"/>
        </w:rPr>
      </w:pPr>
      <w:r>
        <w:rPr>
          <w:rFonts w:cs="Times New Roman"/>
          <w:szCs w:val="24"/>
        </w:rPr>
        <w:br w:type="page"/>
      </w:r>
    </w:p>
    <w:p w14:paraId="580C9122" w14:textId="7D4746EE" w:rsidR="009353B6" w:rsidRDefault="00733469" w:rsidP="00C51203">
      <w:pPr>
        <w:pStyle w:val="ListParagraph"/>
        <w:autoSpaceDE w:val="0"/>
        <w:autoSpaceDN w:val="0"/>
        <w:adjustRightInd w:val="0"/>
        <w:ind w:left="0"/>
        <w:jc w:val="center"/>
        <w:rPr>
          <w:rFonts w:cs="Times New Roman"/>
          <w:b/>
          <w:szCs w:val="24"/>
        </w:rPr>
      </w:pPr>
      <w:r>
        <w:rPr>
          <w:rFonts w:cs="Times New Roman"/>
          <w:b/>
          <w:szCs w:val="24"/>
        </w:rPr>
        <w:lastRenderedPageBreak/>
        <w:t>ASSESSMENT</w:t>
      </w:r>
    </w:p>
    <w:p w14:paraId="7528B3F1" w14:textId="77777777" w:rsidR="00C51203" w:rsidRDefault="00C51203" w:rsidP="00C51203">
      <w:pPr>
        <w:pStyle w:val="ListParagraph"/>
        <w:autoSpaceDE w:val="0"/>
        <w:autoSpaceDN w:val="0"/>
        <w:adjustRightInd w:val="0"/>
        <w:ind w:left="0"/>
        <w:jc w:val="center"/>
        <w:rPr>
          <w:rFonts w:cs="Times New Roman"/>
          <w:b/>
          <w:szCs w:val="24"/>
        </w:rPr>
      </w:pPr>
    </w:p>
    <w:p w14:paraId="358C28A6" w14:textId="77777777" w:rsidR="00C51203" w:rsidRPr="001C1102" w:rsidRDefault="00C51203" w:rsidP="00C51203">
      <w:pPr>
        <w:pStyle w:val="ListParagraph"/>
        <w:autoSpaceDE w:val="0"/>
        <w:autoSpaceDN w:val="0"/>
        <w:adjustRightInd w:val="0"/>
        <w:ind w:left="0"/>
        <w:jc w:val="left"/>
        <w:rPr>
          <w:rFonts w:cs="Times New Roman"/>
          <w:b/>
          <w:i/>
          <w:szCs w:val="24"/>
        </w:rPr>
      </w:pPr>
      <w:r w:rsidRPr="001C1102">
        <w:rPr>
          <w:rFonts w:cs="Times New Roman"/>
          <w:b/>
          <w:i/>
          <w:szCs w:val="24"/>
        </w:rPr>
        <w:tab/>
        <w:t>The Misrepresentation Appeal</w:t>
      </w:r>
    </w:p>
    <w:p w14:paraId="5D004B22" w14:textId="77777777" w:rsidR="00C51203" w:rsidRDefault="00C51203" w:rsidP="009353B6">
      <w:pPr>
        <w:pStyle w:val="ListParagraph"/>
        <w:autoSpaceDE w:val="0"/>
        <w:autoSpaceDN w:val="0"/>
        <w:adjustRightInd w:val="0"/>
        <w:rPr>
          <w:rFonts w:cs="Times New Roman"/>
          <w:szCs w:val="24"/>
        </w:rPr>
      </w:pPr>
    </w:p>
    <w:p w14:paraId="6F4F4797" w14:textId="77777777" w:rsidR="001C1102" w:rsidRPr="001C1102" w:rsidRDefault="001C1102" w:rsidP="009353B6">
      <w:pPr>
        <w:pStyle w:val="ListParagraph"/>
        <w:autoSpaceDE w:val="0"/>
        <w:autoSpaceDN w:val="0"/>
        <w:adjustRightInd w:val="0"/>
        <w:rPr>
          <w:rFonts w:cs="Times New Roman"/>
          <w:i/>
          <w:szCs w:val="24"/>
        </w:rPr>
      </w:pPr>
      <w:r>
        <w:rPr>
          <w:rFonts w:cs="Times New Roman"/>
          <w:i/>
          <w:szCs w:val="24"/>
        </w:rPr>
        <w:tab/>
      </w:r>
      <w:r w:rsidRPr="001C1102">
        <w:rPr>
          <w:rFonts w:cs="Times New Roman"/>
          <w:i/>
          <w:szCs w:val="24"/>
        </w:rPr>
        <w:t>Argument</w:t>
      </w:r>
    </w:p>
    <w:p w14:paraId="4F7A6FCE" w14:textId="77777777" w:rsidR="001C1102" w:rsidRDefault="001C1102" w:rsidP="009353B6">
      <w:pPr>
        <w:pStyle w:val="ListParagraph"/>
        <w:autoSpaceDE w:val="0"/>
        <w:autoSpaceDN w:val="0"/>
        <w:adjustRightInd w:val="0"/>
        <w:rPr>
          <w:rFonts w:cs="Times New Roman"/>
          <w:szCs w:val="24"/>
        </w:rPr>
      </w:pPr>
    </w:p>
    <w:p w14:paraId="272006BB" w14:textId="77777777" w:rsidR="00512988" w:rsidRDefault="00512988"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 </w:t>
      </w:r>
      <w:r w:rsidR="00B47F61">
        <w:rPr>
          <w:rFonts w:cs="Times New Roman"/>
          <w:szCs w:val="24"/>
        </w:rPr>
        <w:t>A</w:t>
      </w:r>
      <w:r w:rsidR="00121E21">
        <w:rPr>
          <w:rFonts w:cs="Times New Roman"/>
          <w:szCs w:val="24"/>
        </w:rPr>
        <w:t xml:space="preserve">s regards the misrepresentation appeal, a </w:t>
      </w:r>
      <w:r w:rsidR="00B47F61">
        <w:rPr>
          <w:rFonts w:cs="Times New Roman"/>
          <w:szCs w:val="24"/>
        </w:rPr>
        <w:t xml:space="preserve">number of </w:t>
      </w:r>
      <w:r w:rsidR="00121E21">
        <w:rPr>
          <w:rFonts w:cs="Times New Roman"/>
          <w:szCs w:val="24"/>
        </w:rPr>
        <w:t xml:space="preserve">arguments are made by Dr Sheehan, which I will </w:t>
      </w:r>
      <w:r w:rsidR="00227DC1">
        <w:rPr>
          <w:rFonts w:cs="Times New Roman"/>
          <w:szCs w:val="24"/>
        </w:rPr>
        <w:t xml:space="preserve">now </w:t>
      </w:r>
      <w:r w:rsidR="00121E21">
        <w:rPr>
          <w:rFonts w:cs="Times New Roman"/>
          <w:szCs w:val="24"/>
        </w:rPr>
        <w:t>summarise:</w:t>
      </w:r>
    </w:p>
    <w:p w14:paraId="12AF060F" w14:textId="77777777" w:rsidR="00121E21" w:rsidRDefault="00121E21" w:rsidP="00121E21">
      <w:pPr>
        <w:pStyle w:val="ListParagraph"/>
        <w:autoSpaceDE w:val="0"/>
        <w:autoSpaceDN w:val="0"/>
        <w:adjustRightInd w:val="0"/>
        <w:rPr>
          <w:rFonts w:cs="Times New Roman"/>
          <w:szCs w:val="24"/>
        </w:rPr>
      </w:pPr>
    </w:p>
    <w:p w14:paraId="5F8823EC" w14:textId="0B1618E9" w:rsidR="00121E21" w:rsidRDefault="00121E21" w:rsidP="00121E21">
      <w:pPr>
        <w:pStyle w:val="ListParagraph"/>
        <w:numPr>
          <w:ilvl w:val="0"/>
          <w:numId w:val="7"/>
        </w:numPr>
        <w:autoSpaceDE w:val="0"/>
        <w:autoSpaceDN w:val="0"/>
        <w:adjustRightInd w:val="0"/>
        <w:rPr>
          <w:rFonts w:cs="Times New Roman"/>
          <w:szCs w:val="24"/>
        </w:rPr>
      </w:pPr>
      <w:bookmarkStart w:id="5" w:name="_Hlk85549326"/>
      <w:r>
        <w:rPr>
          <w:rFonts w:cs="Times New Roman"/>
          <w:szCs w:val="24"/>
        </w:rPr>
        <w:t>There was no dispute that Talos “</w:t>
      </w:r>
      <w:r w:rsidRPr="00121E21">
        <w:rPr>
          <w:rFonts w:cs="Times New Roman"/>
          <w:i/>
          <w:szCs w:val="24"/>
        </w:rPr>
        <w:t>remained silent and did not disclose the IBRC settlement”</w:t>
      </w:r>
      <w:r>
        <w:rPr>
          <w:rFonts w:cs="Times New Roman"/>
          <w:i/>
          <w:szCs w:val="24"/>
        </w:rPr>
        <w:t xml:space="preserve">. </w:t>
      </w:r>
      <w:r>
        <w:rPr>
          <w:rFonts w:cs="Times New Roman"/>
          <w:szCs w:val="24"/>
        </w:rPr>
        <w:t>On the facts, however, an obligation to notify</w:t>
      </w:r>
      <w:r w:rsidR="004F7F97">
        <w:rPr>
          <w:rFonts w:cs="Times New Roman"/>
          <w:szCs w:val="24"/>
        </w:rPr>
        <w:t xml:space="preserve"> </w:t>
      </w:r>
      <w:r w:rsidR="00916D33">
        <w:rPr>
          <w:rFonts w:cs="Times New Roman"/>
          <w:szCs w:val="24"/>
        </w:rPr>
        <w:t xml:space="preserve">Dr Sheehan </w:t>
      </w:r>
      <w:r w:rsidR="004F7F97">
        <w:rPr>
          <w:rFonts w:cs="Times New Roman"/>
          <w:szCs w:val="24"/>
        </w:rPr>
        <w:t>of the settlement</w:t>
      </w:r>
      <w:r>
        <w:rPr>
          <w:rFonts w:cs="Times New Roman"/>
          <w:szCs w:val="24"/>
        </w:rPr>
        <w:t xml:space="preserve"> arose because Talos was expressly on notice of</w:t>
      </w:r>
      <w:r w:rsidR="00916D33">
        <w:rPr>
          <w:rFonts w:cs="Times New Roman"/>
          <w:szCs w:val="24"/>
        </w:rPr>
        <w:t xml:space="preserve"> his</w:t>
      </w:r>
      <w:r>
        <w:rPr>
          <w:rFonts w:cs="Times New Roman"/>
          <w:szCs w:val="24"/>
        </w:rPr>
        <w:t xml:space="preserve"> desire to regain control of JCS so </w:t>
      </w:r>
      <w:r w:rsidR="009A0672">
        <w:rPr>
          <w:rFonts w:cs="Times New Roman"/>
          <w:szCs w:val="24"/>
        </w:rPr>
        <w:t>a</w:t>
      </w:r>
      <w:r>
        <w:rPr>
          <w:rFonts w:cs="Times New Roman"/>
          <w:szCs w:val="24"/>
        </w:rPr>
        <w:t xml:space="preserve">s to pursue a claim against IBRC for the return of the </w:t>
      </w:r>
      <w:r w:rsidR="008D4D9E">
        <w:rPr>
          <w:rFonts w:cs="Times New Roman"/>
          <w:szCs w:val="24"/>
        </w:rPr>
        <w:t>Deposit</w:t>
      </w:r>
      <w:r>
        <w:rPr>
          <w:rFonts w:cs="Times New Roman"/>
          <w:szCs w:val="24"/>
        </w:rPr>
        <w:t>. This arose from the letter of 25 March 2015 from Mr Brennan to Talos (to which I have already referred). The Judge had held that this “</w:t>
      </w:r>
      <w:r w:rsidRPr="00121E21">
        <w:rPr>
          <w:rFonts w:cs="Times New Roman"/>
          <w:i/>
          <w:szCs w:val="24"/>
        </w:rPr>
        <w:t>clear and unequivocal statement</w:t>
      </w:r>
      <w:r>
        <w:rPr>
          <w:rFonts w:cs="Times New Roman"/>
          <w:szCs w:val="24"/>
        </w:rPr>
        <w:t xml:space="preserve">”  was diluted by </w:t>
      </w:r>
      <w:r w:rsidR="00F22A76">
        <w:rPr>
          <w:rFonts w:cs="Times New Roman"/>
          <w:szCs w:val="24"/>
        </w:rPr>
        <w:t xml:space="preserve">a </w:t>
      </w:r>
      <w:r>
        <w:rPr>
          <w:rFonts w:cs="Times New Roman"/>
          <w:szCs w:val="24"/>
        </w:rPr>
        <w:t xml:space="preserve">series of subsequent events </w:t>
      </w:r>
      <w:r w:rsidR="00626AEA">
        <w:rPr>
          <w:rFonts w:cs="Times New Roman"/>
          <w:szCs w:val="24"/>
        </w:rPr>
        <w:t xml:space="preserve">but </w:t>
      </w:r>
      <w:r w:rsidR="00F7482F">
        <w:rPr>
          <w:rFonts w:cs="Times New Roman"/>
          <w:szCs w:val="24"/>
        </w:rPr>
        <w:t xml:space="preserve">he </w:t>
      </w:r>
      <w:r w:rsidR="004F7F97">
        <w:rPr>
          <w:rFonts w:cs="Times New Roman"/>
          <w:szCs w:val="24"/>
        </w:rPr>
        <w:t>was</w:t>
      </w:r>
      <w:r w:rsidR="00626AEA">
        <w:rPr>
          <w:rFonts w:cs="Times New Roman"/>
          <w:szCs w:val="24"/>
        </w:rPr>
        <w:t xml:space="preserve"> wrong to do so.</w:t>
      </w:r>
    </w:p>
    <w:bookmarkEnd w:id="5"/>
    <w:p w14:paraId="04D6F09A" w14:textId="77777777" w:rsidR="00626AEA" w:rsidRDefault="00626AEA" w:rsidP="00626AEA">
      <w:pPr>
        <w:pStyle w:val="ListParagraph"/>
        <w:autoSpaceDE w:val="0"/>
        <w:autoSpaceDN w:val="0"/>
        <w:adjustRightInd w:val="0"/>
        <w:ind w:left="1440"/>
        <w:rPr>
          <w:rFonts w:cs="Times New Roman"/>
          <w:szCs w:val="24"/>
        </w:rPr>
      </w:pPr>
    </w:p>
    <w:p w14:paraId="44D8EB95" w14:textId="0D7F3F74" w:rsidR="00626AEA" w:rsidRDefault="00626AEA" w:rsidP="00121E21">
      <w:pPr>
        <w:pStyle w:val="ListParagraph"/>
        <w:numPr>
          <w:ilvl w:val="0"/>
          <w:numId w:val="7"/>
        </w:numPr>
        <w:autoSpaceDE w:val="0"/>
        <w:autoSpaceDN w:val="0"/>
        <w:adjustRightInd w:val="0"/>
        <w:rPr>
          <w:rFonts w:cs="Times New Roman"/>
          <w:szCs w:val="24"/>
        </w:rPr>
      </w:pPr>
      <w:r>
        <w:rPr>
          <w:rFonts w:cs="Times New Roman"/>
          <w:szCs w:val="24"/>
        </w:rPr>
        <w:t xml:space="preserve">The Judge </w:t>
      </w:r>
      <w:r w:rsidR="009C5439">
        <w:rPr>
          <w:rFonts w:cs="Times New Roman"/>
          <w:szCs w:val="24"/>
        </w:rPr>
        <w:t>failed to engage with “</w:t>
      </w:r>
      <w:r w:rsidR="009C5439" w:rsidRPr="009C5439">
        <w:rPr>
          <w:rFonts w:cs="Times New Roman"/>
          <w:i/>
          <w:szCs w:val="24"/>
        </w:rPr>
        <w:t>one of the pivotal aspects of the case”,</w:t>
      </w:r>
      <w:r w:rsidR="009C5439">
        <w:rPr>
          <w:rFonts w:cs="Times New Roman"/>
          <w:szCs w:val="24"/>
        </w:rPr>
        <w:t xml:space="preserve"> namely that Dr Sheehan had no personal liability for JCS’s costs other than that portion of those costs</w:t>
      </w:r>
      <w:r w:rsidR="004F7F97">
        <w:rPr>
          <w:rFonts w:cs="Times New Roman"/>
          <w:szCs w:val="24"/>
        </w:rPr>
        <w:t xml:space="preserve"> </w:t>
      </w:r>
      <w:r w:rsidR="009C5439">
        <w:rPr>
          <w:rFonts w:cs="Times New Roman"/>
          <w:szCs w:val="24"/>
        </w:rPr>
        <w:t>which were reflected in the Costs Certificates. Dr Sheehan’s desire to regain control of JCS was “</w:t>
      </w:r>
      <w:r w:rsidR="009C5439" w:rsidRPr="009C5439">
        <w:rPr>
          <w:rFonts w:cs="Times New Roman"/>
          <w:i/>
          <w:szCs w:val="24"/>
        </w:rPr>
        <w:t>entirely dependent upon his intention to pursue IB</w:t>
      </w:r>
      <w:r w:rsidR="00C96CC7">
        <w:rPr>
          <w:rFonts w:cs="Times New Roman"/>
          <w:i/>
          <w:szCs w:val="24"/>
        </w:rPr>
        <w:t>R</w:t>
      </w:r>
      <w:r w:rsidR="009C5439" w:rsidRPr="009C5439">
        <w:rPr>
          <w:rFonts w:cs="Times New Roman"/>
          <w:i/>
          <w:szCs w:val="24"/>
        </w:rPr>
        <w:t>C</w:t>
      </w:r>
      <w:r w:rsidR="009C5439">
        <w:rPr>
          <w:rFonts w:cs="Times New Roman"/>
          <w:szCs w:val="24"/>
        </w:rPr>
        <w:t xml:space="preserve">” which was also confirmed by the evidence of Mr Shannon. The </w:t>
      </w:r>
      <w:r w:rsidR="009C5439">
        <w:rPr>
          <w:rFonts w:cs="Times New Roman"/>
          <w:szCs w:val="24"/>
        </w:rPr>
        <w:lastRenderedPageBreak/>
        <w:t xml:space="preserve">Judge’s finding that Mr Simons (and therefore Talos) were not aware of Dr Sheehan’s intentions was not consistent with the evidence. </w:t>
      </w:r>
    </w:p>
    <w:p w14:paraId="50D29057" w14:textId="77777777" w:rsidR="009C5439" w:rsidRDefault="009C5439" w:rsidP="009C5439">
      <w:pPr>
        <w:pStyle w:val="ListParagraph"/>
        <w:autoSpaceDE w:val="0"/>
        <w:autoSpaceDN w:val="0"/>
        <w:adjustRightInd w:val="0"/>
        <w:ind w:left="1440"/>
        <w:rPr>
          <w:rFonts w:cs="Times New Roman"/>
          <w:szCs w:val="24"/>
        </w:rPr>
      </w:pPr>
    </w:p>
    <w:p w14:paraId="38F831F2" w14:textId="394B8D5E" w:rsidR="009C5439" w:rsidRDefault="009C5439" w:rsidP="00121E21">
      <w:pPr>
        <w:pStyle w:val="ListParagraph"/>
        <w:numPr>
          <w:ilvl w:val="0"/>
          <w:numId w:val="7"/>
        </w:numPr>
        <w:autoSpaceDE w:val="0"/>
        <w:autoSpaceDN w:val="0"/>
        <w:adjustRightInd w:val="0"/>
        <w:rPr>
          <w:rFonts w:cs="Times New Roman"/>
          <w:szCs w:val="24"/>
        </w:rPr>
      </w:pPr>
      <w:r>
        <w:rPr>
          <w:rFonts w:cs="Times New Roman"/>
          <w:szCs w:val="24"/>
        </w:rPr>
        <w:t xml:space="preserve">The Judge failed to apply the test </w:t>
      </w:r>
      <w:r w:rsidR="00797374">
        <w:rPr>
          <w:rFonts w:cs="Times New Roman"/>
          <w:szCs w:val="24"/>
        </w:rPr>
        <w:t>for misrepresentation by silence/implied misrepresentation set</w:t>
      </w:r>
      <w:r>
        <w:rPr>
          <w:rFonts w:cs="Times New Roman"/>
          <w:szCs w:val="24"/>
        </w:rPr>
        <w:t xml:space="preserve"> </w:t>
      </w:r>
      <w:r w:rsidR="006862CA">
        <w:rPr>
          <w:rFonts w:cs="Times New Roman"/>
          <w:szCs w:val="24"/>
        </w:rPr>
        <w:t xml:space="preserve">out </w:t>
      </w:r>
      <w:r>
        <w:rPr>
          <w:rFonts w:cs="Times New Roman"/>
          <w:szCs w:val="24"/>
        </w:rPr>
        <w:t xml:space="preserve">by Mr </w:t>
      </w:r>
      <w:r w:rsidR="00F45271">
        <w:rPr>
          <w:rFonts w:cs="Times New Roman"/>
          <w:szCs w:val="24"/>
        </w:rPr>
        <w:t>Salter</w:t>
      </w:r>
      <w:r>
        <w:rPr>
          <w:rFonts w:cs="Times New Roman"/>
          <w:szCs w:val="24"/>
        </w:rPr>
        <w:t xml:space="preserve"> in his evidence.</w:t>
      </w:r>
      <w:r w:rsidR="00797374">
        <w:rPr>
          <w:rFonts w:cs="Times New Roman"/>
          <w:szCs w:val="24"/>
        </w:rPr>
        <w:t xml:space="preserve"> In particular, the Judge had failed to ask himself “</w:t>
      </w:r>
      <w:r w:rsidR="00797374" w:rsidRPr="00797374">
        <w:rPr>
          <w:rFonts w:cs="Times New Roman"/>
          <w:i/>
          <w:szCs w:val="24"/>
        </w:rPr>
        <w:t>whether, in all the circumstances, a reasonable person in Dr Sheehan’s position would naturally have assumed that the Settlement Waiver Agreement did not exist and that, had it existed, he would in all the circumstances have been informed of it.”</w:t>
      </w:r>
      <w:r w:rsidR="00797374">
        <w:rPr>
          <w:rFonts w:cs="Times New Roman"/>
          <w:i/>
          <w:szCs w:val="24"/>
        </w:rPr>
        <w:t xml:space="preserve"> </w:t>
      </w:r>
      <w:r w:rsidR="00797374">
        <w:rPr>
          <w:rFonts w:cs="Times New Roman"/>
          <w:szCs w:val="24"/>
        </w:rPr>
        <w:t>Instead the Judge had wrongly embarked on an analysis of Irish law relating to claims against solicitors.</w:t>
      </w:r>
    </w:p>
    <w:p w14:paraId="24A0F0AD" w14:textId="77777777" w:rsidR="00797374" w:rsidRDefault="00797374" w:rsidP="00797374">
      <w:pPr>
        <w:pStyle w:val="ListParagraph"/>
        <w:autoSpaceDE w:val="0"/>
        <w:autoSpaceDN w:val="0"/>
        <w:adjustRightInd w:val="0"/>
        <w:ind w:left="1440"/>
        <w:rPr>
          <w:rFonts w:cs="Times New Roman"/>
          <w:szCs w:val="24"/>
        </w:rPr>
      </w:pPr>
    </w:p>
    <w:p w14:paraId="4D3DD591" w14:textId="067B05B4" w:rsidR="00797374" w:rsidRDefault="00797374" w:rsidP="00121E21">
      <w:pPr>
        <w:pStyle w:val="ListParagraph"/>
        <w:numPr>
          <w:ilvl w:val="0"/>
          <w:numId w:val="7"/>
        </w:numPr>
        <w:autoSpaceDE w:val="0"/>
        <w:autoSpaceDN w:val="0"/>
        <w:adjustRightInd w:val="0"/>
        <w:rPr>
          <w:rFonts w:cs="Times New Roman"/>
          <w:szCs w:val="24"/>
        </w:rPr>
      </w:pPr>
      <w:r>
        <w:rPr>
          <w:rFonts w:cs="Times New Roman"/>
          <w:szCs w:val="24"/>
        </w:rPr>
        <w:t>The Judge had failed to engage with the evidence of Mr Livingstone who had stated that the emails of 16 November 201</w:t>
      </w:r>
      <w:r w:rsidR="009E56E4">
        <w:rPr>
          <w:rFonts w:cs="Times New Roman"/>
          <w:szCs w:val="24"/>
        </w:rPr>
        <w:t>5</w:t>
      </w:r>
      <w:r>
        <w:rPr>
          <w:rFonts w:cs="Times New Roman"/>
          <w:szCs w:val="24"/>
        </w:rPr>
        <w:t xml:space="preserve"> indeed represented that the entirety of the UK Costs Certificates remained outstanding and that such representation was true. The Judge had referred only to the evidence of Mr Simons on this point. </w:t>
      </w:r>
    </w:p>
    <w:p w14:paraId="583708C5" w14:textId="77777777" w:rsidR="00797374" w:rsidRDefault="00797374" w:rsidP="00797374">
      <w:pPr>
        <w:pStyle w:val="ListParagraph"/>
        <w:autoSpaceDE w:val="0"/>
        <w:autoSpaceDN w:val="0"/>
        <w:adjustRightInd w:val="0"/>
        <w:ind w:left="1440"/>
        <w:rPr>
          <w:rFonts w:cs="Times New Roman"/>
          <w:szCs w:val="24"/>
        </w:rPr>
      </w:pPr>
    </w:p>
    <w:p w14:paraId="52585963" w14:textId="77777777" w:rsidR="00797374" w:rsidRDefault="00797374" w:rsidP="00121E21">
      <w:pPr>
        <w:pStyle w:val="ListParagraph"/>
        <w:numPr>
          <w:ilvl w:val="0"/>
          <w:numId w:val="7"/>
        </w:numPr>
        <w:autoSpaceDE w:val="0"/>
        <w:autoSpaceDN w:val="0"/>
        <w:adjustRightInd w:val="0"/>
        <w:rPr>
          <w:rFonts w:cs="Times New Roman"/>
          <w:szCs w:val="24"/>
        </w:rPr>
      </w:pPr>
      <w:r>
        <w:rPr>
          <w:rFonts w:cs="Times New Roman"/>
          <w:szCs w:val="24"/>
        </w:rPr>
        <w:t xml:space="preserve"> The “</w:t>
      </w:r>
      <w:r w:rsidRPr="00797374">
        <w:rPr>
          <w:rFonts w:cs="Times New Roman"/>
          <w:i/>
          <w:szCs w:val="24"/>
        </w:rPr>
        <w:t>only rational interpretation”</w:t>
      </w:r>
      <w:r>
        <w:rPr>
          <w:rFonts w:cs="Times New Roman"/>
          <w:szCs w:val="24"/>
        </w:rPr>
        <w:t xml:space="preserve"> of the emails of 16 November (and it was submitted that the Judge had largely disregarded the second email of that date) was that the full amount of the UK Costs Certificates remained outstanding. That was also how Mr Shannon had understood the emails.</w:t>
      </w:r>
      <w:r w:rsidR="00227DC1">
        <w:rPr>
          <w:rFonts w:cs="Times New Roman"/>
          <w:szCs w:val="24"/>
        </w:rPr>
        <w:t xml:space="preserve"> The Judge had embarked on a “</w:t>
      </w:r>
      <w:r w:rsidR="00227DC1" w:rsidRPr="00227DC1">
        <w:rPr>
          <w:rFonts w:cs="Times New Roman"/>
          <w:i/>
          <w:szCs w:val="24"/>
        </w:rPr>
        <w:t>detailed exercise”</w:t>
      </w:r>
      <w:r w:rsidR="00227DC1">
        <w:rPr>
          <w:rFonts w:cs="Times New Roman"/>
          <w:szCs w:val="24"/>
        </w:rPr>
        <w:t xml:space="preserve"> as to why the emails should not be so interpreted, in the course of which he had been extremely critical of Mr Shannon for failing to review the email correspondence. A number of points were made </w:t>
      </w:r>
      <w:r w:rsidR="00227DC1">
        <w:rPr>
          <w:rFonts w:cs="Times New Roman"/>
          <w:szCs w:val="24"/>
        </w:rPr>
        <w:lastRenderedPageBreak/>
        <w:t xml:space="preserve">about that email correspondence, essentially to the effect that they did not clearly disclose the application of any credit against the liabilities of JCS. </w:t>
      </w:r>
    </w:p>
    <w:p w14:paraId="226A136B" w14:textId="77777777" w:rsidR="00227DC1" w:rsidRDefault="00227DC1" w:rsidP="00227DC1">
      <w:pPr>
        <w:pStyle w:val="ListParagraph"/>
        <w:autoSpaceDE w:val="0"/>
        <w:autoSpaceDN w:val="0"/>
        <w:adjustRightInd w:val="0"/>
        <w:ind w:left="1440"/>
        <w:rPr>
          <w:rFonts w:cs="Times New Roman"/>
          <w:szCs w:val="24"/>
        </w:rPr>
      </w:pPr>
    </w:p>
    <w:p w14:paraId="5A77AB4A" w14:textId="76BEFC11" w:rsidR="00227DC1" w:rsidRDefault="00227DC1" w:rsidP="00121E21">
      <w:pPr>
        <w:pStyle w:val="ListParagraph"/>
        <w:numPr>
          <w:ilvl w:val="0"/>
          <w:numId w:val="7"/>
        </w:numPr>
        <w:autoSpaceDE w:val="0"/>
        <w:autoSpaceDN w:val="0"/>
        <w:adjustRightInd w:val="0"/>
        <w:rPr>
          <w:rFonts w:cs="Times New Roman"/>
          <w:szCs w:val="24"/>
        </w:rPr>
      </w:pPr>
      <w:r>
        <w:rPr>
          <w:rFonts w:cs="Times New Roman"/>
          <w:szCs w:val="24"/>
        </w:rPr>
        <w:t>As regards the implications arising from the misrepresentations in the emails, Mr Shannon’s evidence (</w:t>
      </w:r>
      <w:r w:rsidR="00665641">
        <w:rPr>
          <w:rFonts w:cs="Times New Roman"/>
          <w:szCs w:val="24"/>
        </w:rPr>
        <w:t>said</w:t>
      </w:r>
      <w:r>
        <w:rPr>
          <w:rFonts w:cs="Times New Roman"/>
          <w:szCs w:val="24"/>
        </w:rPr>
        <w:t xml:space="preserve"> to represent the position of Dr Sheehan) demonstrated that Dr Sheehan had been misled as to the extent of the remaining liability under the Costs Certificates. </w:t>
      </w:r>
    </w:p>
    <w:p w14:paraId="3BF3114C" w14:textId="77777777" w:rsidR="00227DC1" w:rsidRDefault="00227DC1" w:rsidP="00227DC1">
      <w:pPr>
        <w:pStyle w:val="ListParagraph"/>
        <w:autoSpaceDE w:val="0"/>
        <w:autoSpaceDN w:val="0"/>
        <w:adjustRightInd w:val="0"/>
        <w:ind w:left="1440"/>
        <w:rPr>
          <w:rFonts w:cs="Times New Roman"/>
          <w:szCs w:val="24"/>
        </w:rPr>
      </w:pPr>
    </w:p>
    <w:p w14:paraId="76EB5B29" w14:textId="7ACED247" w:rsidR="00121E21" w:rsidRDefault="00DC2044" w:rsidP="009353B6">
      <w:pPr>
        <w:pStyle w:val="ListParagraph"/>
        <w:numPr>
          <w:ilvl w:val="0"/>
          <w:numId w:val="1"/>
        </w:numPr>
        <w:autoSpaceDE w:val="0"/>
        <w:autoSpaceDN w:val="0"/>
        <w:adjustRightInd w:val="0"/>
        <w:ind w:hanging="720"/>
        <w:rPr>
          <w:rFonts w:cs="Times New Roman"/>
          <w:szCs w:val="24"/>
        </w:rPr>
      </w:pPr>
      <w:r>
        <w:rPr>
          <w:rFonts w:cs="Times New Roman"/>
          <w:szCs w:val="24"/>
        </w:rPr>
        <w:t>In its written and oral submissions</w:t>
      </w:r>
      <w:r w:rsidR="000A3509">
        <w:rPr>
          <w:rFonts w:cs="Times New Roman"/>
          <w:szCs w:val="24"/>
        </w:rPr>
        <w:t>, Talos</w:t>
      </w:r>
      <w:r w:rsidR="00EA7D6D">
        <w:rPr>
          <w:rFonts w:cs="Times New Roman"/>
          <w:szCs w:val="24"/>
        </w:rPr>
        <w:t xml:space="preserve"> emphasises what it refers to as “</w:t>
      </w:r>
      <w:r w:rsidR="00EA7D6D" w:rsidRPr="00EA7D6D">
        <w:rPr>
          <w:rFonts w:cs="Times New Roman"/>
          <w:i/>
          <w:szCs w:val="24"/>
        </w:rPr>
        <w:t>the most singular feature of the High Court trial”</w:t>
      </w:r>
      <w:r w:rsidR="00AD503B">
        <w:rPr>
          <w:rFonts w:cs="Times New Roman"/>
          <w:szCs w:val="24"/>
        </w:rPr>
        <w:t xml:space="preserve"> which was the fact that Dr Sheehan had elected not to give evidence. </w:t>
      </w:r>
      <w:r w:rsidR="009C085C">
        <w:rPr>
          <w:rFonts w:cs="Times New Roman"/>
          <w:szCs w:val="24"/>
        </w:rPr>
        <w:t>That was, it was said, a “</w:t>
      </w:r>
      <w:r w:rsidR="009C085C" w:rsidRPr="009C085C">
        <w:rPr>
          <w:rFonts w:cs="Times New Roman"/>
          <w:i/>
          <w:szCs w:val="24"/>
        </w:rPr>
        <w:t>fatal infirmity</w:t>
      </w:r>
      <w:r w:rsidR="009C085C">
        <w:rPr>
          <w:rFonts w:cs="Times New Roman"/>
          <w:szCs w:val="24"/>
        </w:rPr>
        <w:t xml:space="preserve">” in the case. Leaving that point aside, the Judge had made certain findings of fact which were open to him on the evidence and which could be reviewed only within the parameters of </w:t>
      </w:r>
      <w:r w:rsidR="009C085C" w:rsidRPr="009C085C">
        <w:rPr>
          <w:rFonts w:cs="Times New Roman"/>
          <w:i/>
          <w:szCs w:val="24"/>
        </w:rPr>
        <w:t>Hay v O’ Grady</w:t>
      </w:r>
      <w:r w:rsidR="009C085C">
        <w:rPr>
          <w:rFonts w:cs="Times New Roman"/>
          <w:szCs w:val="24"/>
        </w:rPr>
        <w:t xml:space="preserve"> [1992] 1 IR 210 and subsequent jurisprudence such as </w:t>
      </w:r>
      <w:r w:rsidR="009C085C" w:rsidRPr="009C085C">
        <w:rPr>
          <w:rFonts w:cs="Times New Roman"/>
          <w:i/>
          <w:szCs w:val="24"/>
        </w:rPr>
        <w:t>McCaughey v Irish Bank Resolution Corporation</w:t>
      </w:r>
      <w:r w:rsidR="009C085C">
        <w:rPr>
          <w:rFonts w:cs="Times New Roman"/>
          <w:szCs w:val="24"/>
        </w:rPr>
        <w:t xml:space="preserve"> [2013] IESC 17 and </w:t>
      </w:r>
      <w:r w:rsidR="009C085C" w:rsidRPr="009C085C">
        <w:rPr>
          <w:rFonts w:cs="Times New Roman"/>
          <w:i/>
          <w:szCs w:val="24"/>
        </w:rPr>
        <w:t xml:space="preserve">Leopardstown Club Ltd v Templeville Developments Ltd </w:t>
      </w:r>
      <w:r w:rsidR="009C085C">
        <w:rPr>
          <w:rFonts w:cs="Times New Roman"/>
          <w:szCs w:val="24"/>
        </w:rPr>
        <w:t xml:space="preserve">[2017] IESC 50; [2017] 3 IR 707. </w:t>
      </w:r>
      <w:r w:rsidR="00675691">
        <w:rPr>
          <w:rFonts w:cs="Times New Roman"/>
          <w:szCs w:val="24"/>
        </w:rPr>
        <w:t>It was said that t</w:t>
      </w:r>
      <w:r w:rsidR="00AD5604">
        <w:rPr>
          <w:rFonts w:cs="Times New Roman"/>
          <w:szCs w:val="24"/>
        </w:rPr>
        <w:t>he finding that the emails of 16 November 2015 did not contain any misrepresentatio</w:t>
      </w:r>
      <w:r w:rsidR="00675691">
        <w:rPr>
          <w:rFonts w:cs="Times New Roman"/>
          <w:szCs w:val="24"/>
        </w:rPr>
        <w:t xml:space="preserve">n, </w:t>
      </w:r>
      <w:r w:rsidR="00AD5604">
        <w:rPr>
          <w:rFonts w:cs="Times New Roman"/>
          <w:szCs w:val="24"/>
        </w:rPr>
        <w:t xml:space="preserve">as </w:t>
      </w:r>
      <w:r w:rsidR="00675691">
        <w:rPr>
          <w:rFonts w:cs="Times New Roman"/>
          <w:szCs w:val="24"/>
        </w:rPr>
        <w:t>well as</w:t>
      </w:r>
      <w:r w:rsidR="00AD5604">
        <w:rPr>
          <w:rFonts w:cs="Times New Roman"/>
          <w:szCs w:val="24"/>
        </w:rPr>
        <w:t xml:space="preserve"> the Judge’s finding that, as of November 2015, Mr Simons was not aware that Dr Sheehan wanted to secure the return of JCS in order to pursue a claim against IBRC</w:t>
      </w:r>
      <w:r w:rsidR="00675691">
        <w:rPr>
          <w:rFonts w:cs="Times New Roman"/>
          <w:szCs w:val="24"/>
        </w:rPr>
        <w:t>, were findings of that kind</w:t>
      </w:r>
      <w:r w:rsidR="00AD5604">
        <w:rPr>
          <w:rFonts w:cs="Times New Roman"/>
          <w:szCs w:val="24"/>
        </w:rPr>
        <w:t xml:space="preserve">. </w:t>
      </w:r>
      <w:r w:rsidR="00385816">
        <w:rPr>
          <w:rFonts w:cs="Times New Roman"/>
          <w:szCs w:val="24"/>
        </w:rPr>
        <w:t>As regards the latter, Talos relie</w:t>
      </w:r>
      <w:r w:rsidR="00F7482F">
        <w:rPr>
          <w:rFonts w:cs="Times New Roman"/>
          <w:szCs w:val="24"/>
        </w:rPr>
        <w:t>d</w:t>
      </w:r>
      <w:r w:rsidR="00385816">
        <w:rPr>
          <w:rFonts w:cs="Times New Roman"/>
          <w:szCs w:val="24"/>
        </w:rPr>
        <w:t xml:space="preserve"> on the evidence to the effect that, subsequent to Mr Brennan’s letter of 25 March 2015</w:t>
      </w:r>
      <w:r w:rsidR="00F7482F">
        <w:rPr>
          <w:rFonts w:cs="Times New Roman"/>
          <w:szCs w:val="24"/>
        </w:rPr>
        <w:t>,</w:t>
      </w:r>
      <w:r w:rsidR="00385816">
        <w:rPr>
          <w:rFonts w:cs="Times New Roman"/>
          <w:szCs w:val="24"/>
        </w:rPr>
        <w:t xml:space="preserve"> no reference was made by</w:t>
      </w:r>
      <w:r w:rsidR="00F7482F">
        <w:rPr>
          <w:rFonts w:cs="Times New Roman"/>
          <w:szCs w:val="24"/>
        </w:rPr>
        <w:t xml:space="preserve"> </w:t>
      </w:r>
      <w:r w:rsidR="00385816">
        <w:rPr>
          <w:rFonts w:cs="Times New Roman"/>
          <w:szCs w:val="24"/>
        </w:rPr>
        <w:t xml:space="preserve">Mr Brennan, Mr Hickey or Mr Shannon to Dr Sheehan’s intention and motivation in seeking the return of JCS and no form of due diligence was carried out, or even the </w:t>
      </w:r>
      <w:r w:rsidR="00385816">
        <w:rPr>
          <w:rFonts w:cs="Times New Roman"/>
          <w:szCs w:val="24"/>
        </w:rPr>
        <w:lastRenderedPageBreak/>
        <w:t>most basic inquiry made, as to whether the “</w:t>
      </w:r>
      <w:r w:rsidR="00385816" w:rsidRPr="00385816">
        <w:rPr>
          <w:rFonts w:cs="Times New Roman"/>
          <w:i/>
          <w:szCs w:val="24"/>
        </w:rPr>
        <w:t>asset</w:t>
      </w:r>
      <w:r w:rsidR="00385816">
        <w:rPr>
          <w:rFonts w:cs="Times New Roman"/>
          <w:szCs w:val="24"/>
        </w:rPr>
        <w:t>” of the potential claim against IBRC was still held by JCS.</w:t>
      </w:r>
    </w:p>
    <w:p w14:paraId="3E1529D5" w14:textId="77777777" w:rsidR="00AD5604" w:rsidRDefault="00AD5604" w:rsidP="00AD5604">
      <w:pPr>
        <w:pStyle w:val="ListParagraph"/>
        <w:autoSpaceDE w:val="0"/>
        <w:autoSpaceDN w:val="0"/>
        <w:adjustRightInd w:val="0"/>
        <w:rPr>
          <w:rFonts w:cs="Times New Roman"/>
          <w:szCs w:val="24"/>
        </w:rPr>
      </w:pPr>
    </w:p>
    <w:p w14:paraId="4CF2A69F" w14:textId="43F94BA0" w:rsidR="00385816" w:rsidRDefault="00AD5604" w:rsidP="00385816">
      <w:pPr>
        <w:pStyle w:val="ListParagraph"/>
        <w:numPr>
          <w:ilvl w:val="0"/>
          <w:numId w:val="1"/>
        </w:numPr>
        <w:autoSpaceDE w:val="0"/>
        <w:autoSpaceDN w:val="0"/>
        <w:adjustRightInd w:val="0"/>
        <w:ind w:hanging="720"/>
        <w:rPr>
          <w:rFonts w:cs="Times New Roman"/>
          <w:szCs w:val="24"/>
        </w:rPr>
      </w:pPr>
      <w:r>
        <w:rPr>
          <w:rFonts w:cs="Times New Roman"/>
          <w:szCs w:val="24"/>
        </w:rPr>
        <w:t xml:space="preserve">According to Talos, the Judge correctly identified and applied the relevant English law principles, which he had derived primarily from Dr Sheehan’s expert, Mr </w:t>
      </w:r>
      <w:r w:rsidR="00F45271">
        <w:rPr>
          <w:rFonts w:cs="Times New Roman"/>
          <w:szCs w:val="24"/>
        </w:rPr>
        <w:t>Salter</w:t>
      </w:r>
      <w:r>
        <w:rPr>
          <w:rFonts w:cs="Times New Roman"/>
          <w:szCs w:val="24"/>
        </w:rPr>
        <w:t xml:space="preserve"> QC. On the facts, there was no basis for finding that the (admitted) non-disclosure of the IBRC Settlement Agreement amounted to an actionable misrepresentation. The experts were agreed that the case did not come within any of the exceptions to the general principle that silence cannot amount to a misrepresentation</w:t>
      </w:r>
      <w:r w:rsidR="00385816">
        <w:rPr>
          <w:rFonts w:cs="Times New Roman"/>
          <w:szCs w:val="24"/>
        </w:rPr>
        <w:t>. There had not been any concealment of the settlement. No inquiry had been made and no term or warranty had been sought regarding the continued existence of any cause of action against IBRC.</w:t>
      </w:r>
    </w:p>
    <w:p w14:paraId="13EEFE3A" w14:textId="77777777" w:rsidR="00385816" w:rsidRPr="00385816" w:rsidRDefault="00385816" w:rsidP="00385816">
      <w:pPr>
        <w:pStyle w:val="ListParagraph"/>
        <w:autoSpaceDE w:val="0"/>
        <w:autoSpaceDN w:val="0"/>
        <w:adjustRightInd w:val="0"/>
        <w:rPr>
          <w:rFonts w:cs="Times New Roman"/>
          <w:szCs w:val="24"/>
        </w:rPr>
      </w:pPr>
    </w:p>
    <w:p w14:paraId="529BB017" w14:textId="77777777" w:rsidR="00385816" w:rsidRPr="001C1102" w:rsidRDefault="00385816" w:rsidP="009353B6">
      <w:pPr>
        <w:pStyle w:val="ListParagraph"/>
        <w:numPr>
          <w:ilvl w:val="0"/>
          <w:numId w:val="1"/>
        </w:numPr>
        <w:autoSpaceDE w:val="0"/>
        <w:autoSpaceDN w:val="0"/>
        <w:adjustRightInd w:val="0"/>
        <w:ind w:hanging="720"/>
        <w:rPr>
          <w:rFonts w:cs="Times New Roman"/>
          <w:szCs w:val="24"/>
        </w:rPr>
      </w:pPr>
      <w:r>
        <w:rPr>
          <w:rFonts w:cs="Times New Roman"/>
          <w:szCs w:val="24"/>
        </w:rPr>
        <w:t>Talos stood over the Judge’s approach to the emails</w:t>
      </w:r>
      <w:r w:rsidR="002451E3">
        <w:rPr>
          <w:rFonts w:cs="Times New Roman"/>
          <w:szCs w:val="24"/>
        </w:rPr>
        <w:t xml:space="preserve"> and his criticisms of Mr Shannon’s failure to review with due care and attention the emails which preceded the emails of 16 November. While the principal email of that date was “</w:t>
      </w:r>
      <w:r w:rsidR="002451E3" w:rsidRPr="002451E3">
        <w:rPr>
          <w:rFonts w:cs="Times New Roman"/>
          <w:i/>
          <w:szCs w:val="24"/>
        </w:rPr>
        <w:t>definitely deficient</w:t>
      </w:r>
      <w:r w:rsidR="002451E3">
        <w:rPr>
          <w:rFonts w:cs="Times New Roman"/>
          <w:szCs w:val="24"/>
        </w:rPr>
        <w:t>” in terms of its clarity, and while the “</w:t>
      </w:r>
      <w:r w:rsidR="002451E3" w:rsidRPr="002451E3">
        <w:rPr>
          <w:rFonts w:cs="Times New Roman"/>
          <w:i/>
          <w:szCs w:val="24"/>
        </w:rPr>
        <w:t>plain words”</w:t>
      </w:r>
      <w:r w:rsidR="002451E3">
        <w:rPr>
          <w:rFonts w:cs="Times New Roman"/>
          <w:szCs w:val="24"/>
        </w:rPr>
        <w:t xml:space="preserve"> of the two emails of that date, if read in isolation, would convey that €878,262 was due on foot of the Costs Certificates (the correct position being that some €517,000 remained outstanding at that point), they could not properly be read in isolation and, when read in their proper context, they were not misleading or inaccurate and the Judge had correctly concluded that, when all of the emails and attachments were viewed in the round, the fact “</w:t>
      </w:r>
      <w:r w:rsidR="002451E3" w:rsidRPr="001C1102">
        <w:rPr>
          <w:rFonts w:cs="Times New Roman"/>
          <w:i/>
          <w:szCs w:val="24"/>
        </w:rPr>
        <w:t xml:space="preserve">that some of the Cost Certificates and/or some of JCS’s costs and expenses had been paid, would have been obvious </w:t>
      </w:r>
      <w:r w:rsidR="001C1102" w:rsidRPr="001C1102">
        <w:rPr>
          <w:rFonts w:cs="Times New Roman"/>
          <w:i/>
          <w:szCs w:val="24"/>
        </w:rPr>
        <w:t>to [Mr Shannon].”</w:t>
      </w:r>
    </w:p>
    <w:p w14:paraId="39BF44F6" w14:textId="3FD5F0BD" w:rsidR="001C1102" w:rsidRDefault="001C1102" w:rsidP="001C1102">
      <w:pPr>
        <w:pStyle w:val="ListParagraph"/>
        <w:autoSpaceDE w:val="0"/>
        <w:autoSpaceDN w:val="0"/>
        <w:adjustRightInd w:val="0"/>
        <w:rPr>
          <w:rFonts w:cs="Times New Roman"/>
          <w:szCs w:val="24"/>
        </w:rPr>
      </w:pPr>
    </w:p>
    <w:p w14:paraId="0D815C21" w14:textId="36B80CD2" w:rsidR="00534866" w:rsidRDefault="00534866" w:rsidP="001C1102">
      <w:pPr>
        <w:pStyle w:val="ListParagraph"/>
        <w:autoSpaceDE w:val="0"/>
        <w:autoSpaceDN w:val="0"/>
        <w:adjustRightInd w:val="0"/>
        <w:rPr>
          <w:rFonts w:cs="Times New Roman"/>
          <w:szCs w:val="24"/>
        </w:rPr>
      </w:pPr>
    </w:p>
    <w:p w14:paraId="4DD09BEC" w14:textId="77777777" w:rsidR="00534866" w:rsidRDefault="00534866" w:rsidP="001C1102">
      <w:pPr>
        <w:pStyle w:val="ListParagraph"/>
        <w:autoSpaceDE w:val="0"/>
        <w:autoSpaceDN w:val="0"/>
        <w:adjustRightInd w:val="0"/>
        <w:rPr>
          <w:rFonts w:cs="Times New Roman"/>
          <w:szCs w:val="24"/>
        </w:rPr>
      </w:pPr>
    </w:p>
    <w:p w14:paraId="79C56CB4" w14:textId="77777777" w:rsidR="001C1102" w:rsidRPr="001C1102" w:rsidRDefault="001C1102" w:rsidP="001C1102">
      <w:pPr>
        <w:pStyle w:val="ListParagraph"/>
        <w:autoSpaceDE w:val="0"/>
        <w:autoSpaceDN w:val="0"/>
        <w:adjustRightInd w:val="0"/>
        <w:rPr>
          <w:rFonts w:cs="Times New Roman"/>
          <w:i/>
          <w:szCs w:val="24"/>
        </w:rPr>
      </w:pPr>
      <w:r>
        <w:rPr>
          <w:rFonts w:cs="Times New Roman"/>
          <w:i/>
          <w:szCs w:val="24"/>
        </w:rPr>
        <w:tab/>
      </w:r>
      <w:r w:rsidRPr="001C1102">
        <w:rPr>
          <w:rFonts w:cs="Times New Roman"/>
          <w:i/>
          <w:szCs w:val="24"/>
        </w:rPr>
        <w:t>Discussion and Conclusions</w:t>
      </w:r>
    </w:p>
    <w:p w14:paraId="25E81F57" w14:textId="77777777" w:rsidR="001C1102" w:rsidRPr="001C1102" w:rsidRDefault="001C1102" w:rsidP="001C1102">
      <w:pPr>
        <w:pStyle w:val="ListParagraph"/>
        <w:autoSpaceDE w:val="0"/>
        <w:autoSpaceDN w:val="0"/>
        <w:adjustRightInd w:val="0"/>
        <w:rPr>
          <w:rFonts w:cs="Times New Roman"/>
          <w:szCs w:val="24"/>
        </w:rPr>
      </w:pPr>
    </w:p>
    <w:p w14:paraId="55072073" w14:textId="382ADDAE" w:rsidR="001C1102" w:rsidRDefault="001C1102"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The misrepresentation claim here was governed by English law. As already noted, there was a </w:t>
      </w:r>
      <w:r w:rsidR="00DF59B1">
        <w:rPr>
          <w:rFonts w:cs="Times New Roman"/>
          <w:szCs w:val="24"/>
        </w:rPr>
        <w:t>large</w:t>
      </w:r>
      <w:r>
        <w:rPr>
          <w:rFonts w:cs="Times New Roman"/>
          <w:szCs w:val="24"/>
        </w:rPr>
        <w:t xml:space="preserve"> degree of consensus between the parties’ respective experts such that it was agreed that their witness statements could be admitted as their evidence without the need for them to </w:t>
      </w:r>
      <w:r w:rsidR="00161EA5">
        <w:rPr>
          <w:rFonts w:cs="Times New Roman"/>
          <w:szCs w:val="24"/>
        </w:rPr>
        <w:t xml:space="preserve">be </w:t>
      </w:r>
      <w:r>
        <w:rPr>
          <w:rFonts w:cs="Times New Roman"/>
          <w:szCs w:val="24"/>
        </w:rPr>
        <w:t>called at the trial.</w:t>
      </w:r>
    </w:p>
    <w:p w14:paraId="0D74BF6F" w14:textId="77777777" w:rsidR="001C1102" w:rsidRDefault="001C1102" w:rsidP="001C1102">
      <w:pPr>
        <w:pStyle w:val="ListParagraph"/>
        <w:autoSpaceDE w:val="0"/>
        <w:autoSpaceDN w:val="0"/>
        <w:adjustRightInd w:val="0"/>
        <w:rPr>
          <w:rFonts w:cs="Times New Roman"/>
          <w:szCs w:val="24"/>
        </w:rPr>
      </w:pPr>
    </w:p>
    <w:p w14:paraId="52E0CF21" w14:textId="4B909F50" w:rsidR="001C1102" w:rsidRDefault="001C1102" w:rsidP="009353B6">
      <w:pPr>
        <w:pStyle w:val="ListParagraph"/>
        <w:numPr>
          <w:ilvl w:val="0"/>
          <w:numId w:val="1"/>
        </w:numPr>
        <w:autoSpaceDE w:val="0"/>
        <w:autoSpaceDN w:val="0"/>
        <w:adjustRightInd w:val="0"/>
        <w:ind w:hanging="720"/>
        <w:rPr>
          <w:rFonts w:cs="Times New Roman"/>
          <w:szCs w:val="24"/>
        </w:rPr>
      </w:pPr>
      <w:r>
        <w:rPr>
          <w:rFonts w:cs="Times New Roman"/>
          <w:szCs w:val="24"/>
        </w:rPr>
        <w:t xml:space="preserve">Mr </w:t>
      </w:r>
      <w:r w:rsidR="00182916">
        <w:rPr>
          <w:rFonts w:cs="Times New Roman"/>
          <w:szCs w:val="24"/>
        </w:rPr>
        <w:t xml:space="preserve">Lawrence QC’s witness statement identifies three issues which he had been asked to address. Two of these issues - the nature of JCS’s liabilities to Talos under the Facility Agreement and the </w:t>
      </w:r>
      <w:r w:rsidR="00DF59B1">
        <w:rPr>
          <w:rFonts w:cs="Times New Roman"/>
          <w:szCs w:val="24"/>
        </w:rPr>
        <w:t xml:space="preserve">allocation of the </w:t>
      </w:r>
      <w:r w:rsidR="00182916">
        <w:rPr>
          <w:rFonts w:cs="Times New Roman"/>
          <w:szCs w:val="24"/>
        </w:rPr>
        <w:t xml:space="preserve">monies paid by JCS to Talos in part-satisfaction of its liabilities under that Agreement - </w:t>
      </w:r>
      <w:r>
        <w:rPr>
          <w:rFonts w:cs="Times New Roman"/>
          <w:szCs w:val="24"/>
        </w:rPr>
        <w:t xml:space="preserve"> </w:t>
      </w:r>
      <w:r w:rsidR="00DF59B1">
        <w:rPr>
          <w:rFonts w:cs="Times New Roman"/>
          <w:szCs w:val="24"/>
        </w:rPr>
        <w:t>are</w:t>
      </w:r>
      <w:r w:rsidR="006211C4">
        <w:rPr>
          <w:rFonts w:cs="Times New Roman"/>
          <w:szCs w:val="24"/>
        </w:rPr>
        <w:t xml:space="preserve">  not issues in the </w:t>
      </w:r>
      <w:r w:rsidR="00182916">
        <w:rPr>
          <w:rFonts w:cs="Times New Roman"/>
          <w:szCs w:val="24"/>
        </w:rPr>
        <w:t xml:space="preserve">appeal and need not be discussed further. The other issue addressed by Mr Lawrence QC (and </w:t>
      </w:r>
      <w:r w:rsidR="00534866">
        <w:rPr>
          <w:rFonts w:cs="Times New Roman"/>
          <w:szCs w:val="24"/>
        </w:rPr>
        <w:t xml:space="preserve">then </w:t>
      </w:r>
      <w:r w:rsidR="00182916">
        <w:rPr>
          <w:rFonts w:cs="Times New Roman"/>
          <w:szCs w:val="24"/>
        </w:rPr>
        <w:t>in turn addressed by Mr Salter QC) was:</w:t>
      </w:r>
    </w:p>
    <w:p w14:paraId="1576FB9C" w14:textId="77777777" w:rsidR="00182916" w:rsidRDefault="00182916" w:rsidP="00182916">
      <w:pPr>
        <w:pStyle w:val="ListParagraph"/>
        <w:autoSpaceDE w:val="0"/>
        <w:autoSpaceDN w:val="0"/>
        <w:adjustRightInd w:val="0"/>
        <w:rPr>
          <w:rFonts w:cs="Times New Roman"/>
          <w:szCs w:val="24"/>
        </w:rPr>
      </w:pPr>
    </w:p>
    <w:p w14:paraId="109F4240" w14:textId="77777777" w:rsidR="00182916" w:rsidRPr="00182916" w:rsidRDefault="00182916" w:rsidP="00182916">
      <w:pPr>
        <w:pStyle w:val="ListParagraph"/>
        <w:autoSpaceDE w:val="0"/>
        <w:autoSpaceDN w:val="0"/>
        <w:adjustRightInd w:val="0"/>
        <w:ind w:left="1418"/>
        <w:rPr>
          <w:rFonts w:cs="Times New Roman"/>
          <w:i/>
          <w:szCs w:val="24"/>
        </w:rPr>
      </w:pPr>
      <w:r w:rsidRPr="00182916">
        <w:rPr>
          <w:rFonts w:cs="Times New Roman"/>
          <w:i/>
          <w:szCs w:val="24"/>
        </w:rPr>
        <w:t>“Whether Talos was under any obligation to disclose to Dr Sheehan the JCS/IBRC settlement, prior to the making of the Talos/Sheehan settlement.”</w:t>
      </w:r>
    </w:p>
    <w:p w14:paraId="48BD5C07" w14:textId="77777777" w:rsidR="00182916" w:rsidRDefault="00182916" w:rsidP="00182916">
      <w:pPr>
        <w:pStyle w:val="ListParagraph"/>
        <w:autoSpaceDE w:val="0"/>
        <w:autoSpaceDN w:val="0"/>
        <w:adjustRightInd w:val="0"/>
        <w:rPr>
          <w:rFonts w:cs="Times New Roman"/>
          <w:szCs w:val="24"/>
        </w:rPr>
      </w:pPr>
    </w:p>
    <w:p w14:paraId="23805D06" w14:textId="6B65D9D6" w:rsidR="00182916" w:rsidRDefault="00AA766B" w:rsidP="009353B6">
      <w:pPr>
        <w:pStyle w:val="ListParagraph"/>
        <w:numPr>
          <w:ilvl w:val="0"/>
          <w:numId w:val="1"/>
        </w:numPr>
        <w:autoSpaceDE w:val="0"/>
        <w:autoSpaceDN w:val="0"/>
        <w:adjustRightInd w:val="0"/>
        <w:ind w:hanging="720"/>
        <w:rPr>
          <w:rFonts w:cs="Times New Roman"/>
          <w:szCs w:val="24"/>
        </w:rPr>
      </w:pPr>
      <w:r>
        <w:rPr>
          <w:rFonts w:cs="Times New Roman"/>
          <w:szCs w:val="24"/>
        </w:rPr>
        <w:t>In his witness statement, Mr Lawrence QC concluded that it was “</w:t>
      </w:r>
      <w:r w:rsidRPr="00AA766B">
        <w:rPr>
          <w:rFonts w:cs="Times New Roman"/>
          <w:i/>
          <w:szCs w:val="24"/>
        </w:rPr>
        <w:t>clear as a matter of English law that Talos was not under an obligation to disclose to Dr Sheehan the JCS/IBRC Settlement, merely because it was known to be relevant”</w:t>
      </w:r>
      <w:r>
        <w:rPr>
          <w:rFonts w:cs="Times New Roman"/>
          <w:szCs w:val="24"/>
        </w:rPr>
        <w:t xml:space="preserve"> (he had earlier made clear that he was, for the purpose of addressing th</w:t>
      </w:r>
      <w:r w:rsidR="00F7482F">
        <w:rPr>
          <w:rFonts w:cs="Times New Roman"/>
          <w:szCs w:val="24"/>
        </w:rPr>
        <w:t>is</w:t>
      </w:r>
      <w:r>
        <w:rPr>
          <w:rFonts w:cs="Times New Roman"/>
          <w:szCs w:val="24"/>
        </w:rPr>
        <w:t xml:space="preserve"> question, proceeding on the assumption that Talos knew that  the IBRC Settlement would have been regarded by </w:t>
      </w:r>
      <w:r>
        <w:rPr>
          <w:rFonts w:cs="Times New Roman"/>
          <w:szCs w:val="24"/>
        </w:rPr>
        <w:lastRenderedPageBreak/>
        <w:t>Dr Sheehan as relevant to his negotiations with Talos). The IBRC Settlement</w:t>
      </w:r>
      <w:r w:rsidR="0097288F">
        <w:rPr>
          <w:rFonts w:cs="Times New Roman"/>
          <w:szCs w:val="24"/>
        </w:rPr>
        <w:t xml:space="preserve"> Agreement </w:t>
      </w:r>
      <w:r>
        <w:rPr>
          <w:rFonts w:cs="Times New Roman"/>
          <w:szCs w:val="24"/>
        </w:rPr>
        <w:t xml:space="preserve">was not a contract of utmost good faith. There were, he said, other </w:t>
      </w:r>
      <w:r w:rsidRPr="00AA766B">
        <w:rPr>
          <w:rFonts w:cs="Times New Roman"/>
          <w:i/>
          <w:szCs w:val="24"/>
        </w:rPr>
        <w:t>“well-established qualifications</w:t>
      </w:r>
      <w:r>
        <w:rPr>
          <w:rFonts w:cs="Times New Roman"/>
          <w:szCs w:val="24"/>
        </w:rPr>
        <w:t>” to “</w:t>
      </w:r>
      <w:r w:rsidRPr="00AA766B">
        <w:rPr>
          <w:rFonts w:cs="Times New Roman"/>
          <w:i/>
          <w:szCs w:val="24"/>
        </w:rPr>
        <w:t>the rule that there is generally no obligation to disclose relevant facts in the course of contractual negotiations”</w:t>
      </w:r>
      <w:r>
        <w:rPr>
          <w:rFonts w:cs="Times New Roman"/>
          <w:szCs w:val="24"/>
        </w:rPr>
        <w:t xml:space="preserve"> but none had been said to apply in the present case.</w:t>
      </w:r>
    </w:p>
    <w:p w14:paraId="0E7D78EA" w14:textId="77777777" w:rsidR="00AA766B" w:rsidRDefault="00AA766B" w:rsidP="00AA766B">
      <w:pPr>
        <w:pStyle w:val="ListParagraph"/>
        <w:autoSpaceDE w:val="0"/>
        <w:autoSpaceDN w:val="0"/>
        <w:adjustRightInd w:val="0"/>
        <w:rPr>
          <w:rFonts w:cs="Times New Roman"/>
          <w:szCs w:val="24"/>
        </w:rPr>
      </w:pPr>
    </w:p>
    <w:p w14:paraId="7E94524A" w14:textId="150650E1" w:rsidR="00AA766B" w:rsidRDefault="00F36603" w:rsidP="009353B6">
      <w:pPr>
        <w:pStyle w:val="ListParagraph"/>
        <w:numPr>
          <w:ilvl w:val="0"/>
          <w:numId w:val="1"/>
        </w:numPr>
        <w:autoSpaceDE w:val="0"/>
        <w:autoSpaceDN w:val="0"/>
        <w:adjustRightInd w:val="0"/>
        <w:ind w:hanging="720"/>
        <w:rPr>
          <w:rFonts w:cs="Times New Roman"/>
          <w:szCs w:val="24"/>
        </w:rPr>
      </w:pPr>
      <w:r>
        <w:rPr>
          <w:rFonts w:cs="Times New Roman"/>
          <w:szCs w:val="24"/>
        </w:rPr>
        <w:t>In his witness statement, Mr Salter QC agreed that, as a broad statement of principle, it was undoubtedly correct that, in negotiating a commercial contract, neither party is under a general obligation to disclose facts or matters to the other party merely because the first party knows or believes that those facts or matters would be considered relevant to the negotiation by the other. He also agreed that this general rule applies to agreements of settlement or compromise.</w:t>
      </w:r>
      <w:r w:rsidR="005F19F6">
        <w:rPr>
          <w:rFonts w:cs="Times New Roman"/>
          <w:szCs w:val="24"/>
        </w:rPr>
        <w:t xml:space="preserve"> However, </w:t>
      </w:r>
      <w:r w:rsidR="00534866">
        <w:rPr>
          <w:rFonts w:cs="Times New Roman"/>
          <w:szCs w:val="24"/>
        </w:rPr>
        <w:t>Mr Salter</w:t>
      </w:r>
      <w:r w:rsidR="005F19F6">
        <w:rPr>
          <w:rFonts w:cs="Times New Roman"/>
          <w:szCs w:val="24"/>
        </w:rPr>
        <w:t xml:space="preserve"> went on to observe that English law recognises a variety of situations </w:t>
      </w:r>
      <w:r w:rsidR="005F19F6" w:rsidRPr="004F71E9">
        <w:rPr>
          <w:rFonts w:cs="Times New Roman"/>
          <w:i/>
          <w:szCs w:val="24"/>
        </w:rPr>
        <w:t xml:space="preserve">“in which (depending on the facts) an actionable misrepresentation </w:t>
      </w:r>
      <w:r w:rsidR="004F71E9" w:rsidRPr="004F71E9">
        <w:rPr>
          <w:rFonts w:cs="Times New Roman"/>
          <w:i/>
          <w:szCs w:val="24"/>
        </w:rPr>
        <w:t>can be made, even though nothing is said that is, in itself, untrue</w:t>
      </w:r>
      <w:r w:rsidR="004F71E9">
        <w:rPr>
          <w:rFonts w:cs="Times New Roman"/>
          <w:i/>
          <w:szCs w:val="24"/>
        </w:rPr>
        <w:t xml:space="preserve">” </w:t>
      </w:r>
      <w:r w:rsidR="004F71E9">
        <w:rPr>
          <w:rFonts w:cs="Times New Roman"/>
          <w:szCs w:val="24"/>
        </w:rPr>
        <w:t xml:space="preserve">mentioning in that context the recognition in English law of implied representation and representation by conduct. </w:t>
      </w:r>
      <w:r w:rsidR="004856C6">
        <w:rPr>
          <w:rFonts w:cs="Times New Roman"/>
          <w:szCs w:val="24"/>
        </w:rPr>
        <w:t xml:space="preserve">He emphasised the fact-sensitive nature of the inquiry to be undertaken in this context. </w:t>
      </w:r>
      <w:r w:rsidR="004F71E9">
        <w:rPr>
          <w:rFonts w:cs="Times New Roman"/>
          <w:szCs w:val="24"/>
        </w:rPr>
        <w:t xml:space="preserve">Having referred to a number of textbooks and authorities, Mr </w:t>
      </w:r>
      <w:r w:rsidR="00F45271">
        <w:rPr>
          <w:rFonts w:cs="Times New Roman"/>
          <w:szCs w:val="24"/>
        </w:rPr>
        <w:t>Salter</w:t>
      </w:r>
      <w:r w:rsidR="004F71E9">
        <w:rPr>
          <w:rFonts w:cs="Times New Roman"/>
          <w:szCs w:val="24"/>
        </w:rPr>
        <w:t xml:space="preserve"> expressed his conclusions as follows:</w:t>
      </w:r>
    </w:p>
    <w:p w14:paraId="1B25E44F" w14:textId="77777777" w:rsidR="004F71E9" w:rsidRDefault="004F71E9" w:rsidP="004F71E9">
      <w:pPr>
        <w:pStyle w:val="ListParagraph"/>
        <w:autoSpaceDE w:val="0"/>
        <w:autoSpaceDN w:val="0"/>
        <w:adjustRightInd w:val="0"/>
        <w:rPr>
          <w:rFonts w:cs="Times New Roman"/>
          <w:szCs w:val="24"/>
        </w:rPr>
      </w:pPr>
    </w:p>
    <w:p w14:paraId="17B47541" w14:textId="77777777" w:rsidR="004F71E9" w:rsidRDefault="004F71E9" w:rsidP="004F71E9">
      <w:pPr>
        <w:pStyle w:val="ListParagraph"/>
        <w:autoSpaceDE w:val="0"/>
        <w:autoSpaceDN w:val="0"/>
        <w:adjustRightInd w:val="0"/>
        <w:ind w:left="1418"/>
        <w:rPr>
          <w:rFonts w:cs="Times New Roman"/>
          <w:i/>
          <w:szCs w:val="24"/>
        </w:rPr>
      </w:pPr>
      <w:r>
        <w:rPr>
          <w:rFonts w:cs="Times New Roman"/>
          <w:szCs w:val="24"/>
        </w:rPr>
        <w:t xml:space="preserve">“29. </w:t>
      </w:r>
      <w:r w:rsidRPr="004F71E9">
        <w:rPr>
          <w:rFonts w:cs="Times New Roman"/>
          <w:i/>
          <w:szCs w:val="24"/>
        </w:rPr>
        <w:t>Applying those principles to the present case, it seems to me that, depending on the</w:t>
      </w:r>
      <w:r>
        <w:rPr>
          <w:rFonts w:cs="Times New Roman"/>
          <w:i/>
          <w:szCs w:val="24"/>
        </w:rPr>
        <w:t xml:space="preserve"> </w:t>
      </w:r>
      <w:r w:rsidRPr="004F71E9">
        <w:rPr>
          <w:rFonts w:cs="Times New Roman"/>
          <w:i/>
          <w:szCs w:val="24"/>
        </w:rPr>
        <w:t xml:space="preserve">facts, a court applying English law </w:t>
      </w:r>
      <w:r w:rsidRPr="004F71E9">
        <w:rPr>
          <w:rFonts w:cs="Times New Roman"/>
          <w:i/>
          <w:iCs/>
          <w:szCs w:val="24"/>
        </w:rPr>
        <w:t xml:space="preserve">could </w:t>
      </w:r>
      <w:r w:rsidRPr="004F71E9">
        <w:rPr>
          <w:rFonts w:cs="Times New Roman"/>
          <w:i/>
          <w:szCs w:val="24"/>
        </w:rPr>
        <w:t xml:space="preserve">properly hold that Talos had </w:t>
      </w:r>
      <w:bookmarkStart w:id="6" w:name="_Hlk82072744"/>
      <w:r w:rsidRPr="004F71E9">
        <w:rPr>
          <w:rFonts w:cs="Times New Roman"/>
          <w:i/>
          <w:szCs w:val="24"/>
        </w:rPr>
        <w:t>(as alleged by</w:t>
      </w:r>
      <w:r>
        <w:rPr>
          <w:rFonts w:cs="Times New Roman"/>
          <w:i/>
          <w:szCs w:val="24"/>
        </w:rPr>
        <w:t xml:space="preserve"> </w:t>
      </w:r>
      <w:r w:rsidRPr="004F71E9">
        <w:rPr>
          <w:rFonts w:cs="Times New Roman"/>
          <w:i/>
          <w:szCs w:val="24"/>
        </w:rPr>
        <w:t>Dr Sheehan) made an implied representation that JCS retained its entitlement to</w:t>
      </w:r>
      <w:r>
        <w:rPr>
          <w:rFonts w:cs="Times New Roman"/>
          <w:i/>
          <w:szCs w:val="24"/>
        </w:rPr>
        <w:t xml:space="preserve"> </w:t>
      </w:r>
      <w:r w:rsidRPr="004F71E9">
        <w:rPr>
          <w:rFonts w:cs="Times New Roman"/>
          <w:i/>
          <w:szCs w:val="24"/>
        </w:rPr>
        <w:t>litigate against IBRC in respect of the forfeited deposit, despite the absence of any</w:t>
      </w:r>
      <w:r>
        <w:rPr>
          <w:rFonts w:cs="Times New Roman"/>
          <w:i/>
          <w:szCs w:val="24"/>
        </w:rPr>
        <w:t xml:space="preserve"> </w:t>
      </w:r>
      <w:r w:rsidRPr="004F71E9">
        <w:rPr>
          <w:rFonts w:cs="Times New Roman"/>
          <w:i/>
          <w:szCs w:val="24"/>
        </w:rPr>
        <w:t>general duty of disclosure</w:t>
      </w:r>
      <w:r>
        <w:rPr>
          <w:rFonts w:cs="Times New Roman"/>
          <w:i/>
          <w:szCs w:val="24"/>
        </w:rPr>
        <w:t>.</w:t>
      </w:r>
    </w:p>
    <w:p w14:paraId="01030E31" w14:textId="77777777" w:rsidR="004F71E9" w:rsidRPr="004F71E9" w:rsidRDefault="004F71E9" w:rsidP="004F71E9">
      <w:pPr>
        <w:pStyle w:val="ListParagraph"/>
        <w:autoSpaceDE w:val="0"/>
        <w:autoSpaceDN w:val="0"/>
        <w:adjustRightInd w:val="0"/>
        <w:ind w:left="1418"/>
        <w:rPr>
          <w:rFonts w:cs="Times New Roman"/>
          <w:i/>
          <w:szCs w:val="24"/>
        </w:rPr>
      </w:pPr>
    </w:p>
    <w:p w14:paraId="6D441D87" w14:textId="77777777" w:rsidR="004F71E9" w:rsidRDefault="004F71E9" w:rsidP="004856C6">
      <w:pPr>
        <w:autoSpaceDE w:val="0"/>
        <w:autoSpaceDN w:val="0"/>
        <w:adjustRightInd w:val="0"/>
        <w:ind w:left="1418"/>
        <w:rPr>
          <w:rFonts w:cs="Times New Roman"/>
          <w:i/>
          <w:szCs w:val="24"/>
        </w:rPr>
      </w:pPr>
      <w:r w:rsidRPr="004F71E9">
        <w:rPr>
          <w:rFonts w:cs="Times New Roman"/>
          <w:i/>
          <w:szCs w:val="24"/>
        </w:rPr>
        <w:t xml:space="preserve">30. Whether it </w:t>
      </w:r>
      <w:r w:rsidRPr="004F71E9">
        <w:rPr>
          <w:rFonts w:cs="Times New Roman"/>
          <w:i/>
          <w:iCs/>
          <w:szCs w:val="24"/>
        </w:rPr>
        <w:t xml:space="preserve">should </w:t>
      </w:r>
      <w:r w:rsidRPr="004F71E9">
        <w:rPr>
          <w:rFonts w:cs="Times New Roman"/>
          <w:i/>
          <w:szCs w:val="24"/>
        </w:rPr>
        <w:t>do so must depend upon whether that court is satisfied on the facts</w:t>
      </w:r>
      <w:r>
        <w:rPr>
          <w:rFonts w:cs="Times New Roman"/>
          <w:i/>
          <w:szCs w:val="24"/>
        </w:rPr>
        <w:t xml:space="preserve"> </w:t>
      </w:r>
      <w:r w:rsidRPr="004F71E9">
        <w:rPr>
          <w:rFonts w:cs="Times New Roman"/>
          <w:i/>
          <w:szCs w:val="24"/>
        </w:rPr>
        <w:t>that that is what a reasonable person in Dr Sheehan’s position would have inferred was</w:t>
      </w:r>
      <w:r>
        <w:rPr>
          <w:rFonts w:cs="Times New Roman"/>
          <w:i/>
          <w:szCs w:val="24"/>
        </w:rPr>
        <w:t xml:space="preserve"> </w:t>
      </w:r>
      <w:r w:rsidRPr="004F71E9">
        <w:rPr>
          <w:rFonts w:cs="Times New Roman"/>
          <w:i/>
          <w:szCs w:val="24"/>
        </w:rPr>
        <w:t xml:space="preserve">being implicitly represented by Talos’ relevant words and conduct, in their context. </w:t>
      </w:r>
      <w:bookmarkEnd w:id="6"/>
      <w:r w:rsidRPr="004F71E9">
        <w:rPr>
          <w:rFonts w:cs="Times New Roman"/>
          <w:i/>
          <w:szCs w:val="24"/>
        </w:rPr>
        <w:t>In</w:t>
      </w:r>
      <w:r>
        <w:rPr>
          <w:rFonts w:cs="Times New Roman"/>
          <w:i/>
          <w:szCs w:val="24"/>
        </w:rPr>
        <w:t xml:space="preserve"> </w:t>
      </w:r>
      <w:r w:rsidRPr="004F71E9">
        <w:rPr>
          <w:rFonts w:cs="Times New Roman"/>
          <w:i/>
          <w:szCs w:val="24"/>
        </w:rPr>
        <w:t>order to come to its conclusion on that issue, that court would be likely to find it</w:t>
      </w:r>
      <w:r>
        <w:rPr>
          <w:rFonts w:cs="Times New Roman"/>
          <w:i/>
          <w:szCs w:val="24"/>
        </w:rPr>
        <w:t xml:space="preserve"> </w:t>
      </w:r>
      <w:r w:rsidRPr="004F71E9">
        <w:rPr>
          <w:rFonts w:cs="Times New Roman"/>
          <w:i/>
          <w:szCs w:val="24"/>
        </w:rPr>
        <w:t>helpful to consider whether, in all the circumstances, a reasonable person in Dr</w:t>
      </w:r>
      <w:r>
        <w:rPr>
          <w:rFonts w:cs="Times New Roman"/>
          <w:i/>
          <w:szCs w:val="24"/>
        </w:rPr>
        <w:t xml:space="preserve"> </w:t>
      </w:r>
      <w:r w:rsidRPr="004F71E9">
        <w:rPr>
          <w:rFonts w:cs="Times New Roman"/>
          <w:i/>
          <w:szCs w:val="24"/>
        </w:rPr>
        <w:t>Sheehan’s position would naturally have assumed that the Settlement Waiver</w:t>
      </w:r>
      <w:r>
        <w:rPr>
          <w:rFonts w:cs="Times New Roman"/>
          <w:i/>
          <w:szCs w:val="24"/>
        </w:rPr>
        <w:t xml:space="preserve"> </w:t>
      </w:r>
      <w:r w:rsidRPr="004F71E9">
        <w:rPr>
          <w:rFonts w:cs="Times New Roman"/>
          <w:i/>
          <w:szCs w:val="24"/>
        </w:rPr>
        <w:t>Agreement did not exist and that, had it existed, he would in all the circumstances</w:t>
      </w:r>
      <w:r>
        <w:rPr>
          <w:rFonts w:cs="Times New Roman"/>
          <w:i/>
          <w:szCs w:val="24"/>
        </w:rPr>
        <w:t xml:space="preserve"> </w:t>
      </w:r>
      <w:r w:rsidRPr="004F71E9">
        <w:rPr>
          <w:rFonts w:cs="Times New Roman"/>
          <w:i/>
          <w:szCs w:val="24"/>
        </w:rPr>
        <w:t>necessarily have been informed of it</w:t>
      </w:r>
      <w:r>
        <w:rPr>
          <w:rFonts w:cs="Times New Roman"/>
          <w:i/>
          <w:szCs w:val="24"/>
        </w:rPr>
        <w:t>.</w:t>
      </w:r>
    </w:p>
    <w:p w14:paraId="692DB8EE" w14:textId="77777777" w:rsidR="004F71E9" w:rsidRPr="004F71E9" w:rsidRDefault="004F71E9" w:rsidP="004F71E9">
      <w:pPr>
        <w:autoSpaceDE w:val="0"/>
        <w:autoSpaceDN w:val="0"/>
        <w:adjustRightInd w:val="0"/>
        <w:ind w:left="1418"/>
        <w:jc w:val="left"/>
        <w:rPr>
          <w:rFonts w:cs="Times New Roman"/>
          <w:i/>
          <w:szCs w:val="24"/>
        </w:rPr>
      </w:pPr>
    </w:p>
    <w:p w14:paraId="1A1C75A1" w14:textId="574335AB" w:rsidR="004F71E9" w:rsidRDefault="004F71E9" w:rsidP="004856C6">
      <w:pPr>
        <w:autoSpaceDE w:val="0"/>
        <w:autoSpaceDN w:val="0"/>
        <w:adjustRightInd w:val="0"/>
        <w:ind w:left="1418"/>
        <w:rPr>
          <w:rFonts w:cs="Times New Roman"/>
          <w:i/>
          <w:szCs w:val="24"/>
        </w:rPr>
      </w:pPr>
      <w:r w:rsidRPr="004F71E9">
        <w:rPr>
          <w:rFonts w:cs="Times New Roman"/>
          <w:i/>
          <w:szCs w:val="24"/>
        </w:rPr>
        <w:t>31. Those are largely factual issues, about which I cannot properly or usefully comment.</w:t>
      </w:r>
      <w:r>
        <w:rPr>
          <w:rFonts w:cs="Times New Roman"/>
          <w:i/>
          <w:szCs w:val="24"/>
        </w:rPr>
        <w:t xml:space="preserve"> </w:t>
      </w:r>
      <w:r w:rsidRPr="004F71E9">
        <w:rPr>
          <w:rFonts w:cs="Times New Roman"/>
          <w:i/>
          <w:szCs w:val="24"/>
        </w:rPr>
        <w:t>To do so would be to usurp the function of the Court, and to go beyond what an</w:t>
      </w:r>
      <w:r>
        <w:rPr>
          <w:rFonts w:cs="Times New Roman"/>
          <w:i/>
          <w:szCs w:val="24"/>
        </w:rPr>
        <w:t xml:space="preserve"> </w:t>
      </w:r>
      <w:r w:rsidRPr="004F71E9">
        <w:rPr>
          <w:rFonts w:cs="Times New Roman"/>
          <w:i/>
          <w:szCs w:val="24"/>
        </w:rPr>
        <w:t>English court would consider to be the proper role of an expert witness on foreign</w:t>
      </w:r>
      <w:r>
        <w:rPr>
          <w:rFonts w:cs="Times New Roman"/>
          <w:i/>
          <w:szCs w:val="24"/>
        </w:rPr>
        <w:t xml:space="preserve"> </w:t>
      </w:r>
      <w:r w:rsidR="00213B94">
        <w:rPr>
          <w:rFonts w:cs="Times New Roman"/>
          <w:i/>
          <w:szCs w:val="24"/>
        </w:rPr>
        <w:t>l</w:t>
      </w:r>
      <w:r w:rsidRPr="004F71E9">
        <w:rPr>
          <w:rFonts w:cs="Times New Roman"/>
          <w:i/>
          <w:szCs w:val="24"/>
        </w:rPr>
        <w:t xml:space="preserve">aw.” </w:t>
      </w:r>
      <w:r w:rsidRPr="00534866">
        <w:rPr>
          <w:rFonts w:cs="Times New Roman"/>
          <w:szCs w:val="24"/>
        </w:rPr>
        <w:t>(footnotes omitted)</w:t>
      </w:r>
    </w:p>
    <w:p w14:paraId="20F2190D" w14:textId="77777777" w:rsidR="006211C4" w:rsidRPr="004F71E9" w:rsidRDefault="006211C4" w:rsidP="004856C6">
      <w:pPr>
        <w:autoSpaceDE w:val="0"/>
        <w:autoSpaceDN w:val="0"/>
        <w:adjustRightInd w:val="0"/>
        <w:ind w:left="1418"/>
        <w:rPr>
          <w:rFonts w:cs="Times New Roman"/>
          <w:i/>
          <w:szCs w:val="24"/>
        </w:rPr>
      </w:pPr>
    </w:p>
    <w:p w14:paraId="50D95BEF" w14:textId="356D63A9" w:rsidR="004F71E9" w:rsidRDefault="006211C4" w:rsidP="00F7482F">
      <w:pPr>
        <w:pStyle w:val="ListParagraph"/>
        <w:numPr>
          <w:ilvl w:val="0"/>
          <w:numId w:val="1"/>
        </w:numPr>
        <w:autoSpaceDE w:val="0"/>
        <w:autoSpaceDN w:val="0"/>
        <w:adjustRightInd w:val="0"/>
        <w:ind w:hanging="720"/>
        <w:rPr>
          <w:rFonts w:cs="Times New Roman"/>
          <w:szCs w:val="24"/>
        </w:rPr>
      </w:pPr>
      <w:r>
        <w:rPr>
          <w:rFonts w:cs="Times New Roman"/>
          <w:szCs w:val="24"/>
        </w:rPr>
        <w:t xml:space="preserve">The Judge accepted Mr Salter’s evidence (which, as noted, did not differ materially from the evidence of Mr Lawrence). </w:t>
      </w:r>
      <w:r w:rsidR="00A10FE2">
        <w:rPr>
          <w:rFonts w:cs="Times New Roman"/>
          <w:szCs w:val="24"/>
        </w:rPr>
        <w:t xml:space="preserve">It has not been suggested that he was wrong to do so. </w:t>
      </w:r>
      <w:r>
        <w:rPr>
          <w:rFonts w:cs="Times New Roman"/>
          <w:szCs w:val="24"/>
        </w:rPr>
        <w:t xml:space="preserve">Accordingly, as regards the </w:t>
      </w:r>
      <w:r w:rsidR="00A10FE2">
        <w:rPr>
          <w:rFonts w:cs="Times New Roman"/>
          <w:szCs w:val="24"/>
        </w:rPr>
        <w:t>issue</w:t>
      </w:r>
      <w:r>
        <w:rPr>
          <w:rFonts w:cs="Times New Roman"/>
          <w:szCs w:val="24"/>
        </w:rPr>
        <w:t xml:space="preserve"> of whether a (mis)representation had </w:t>
      </w:r>
      <w:r w:rsidR="00A10FE2">
        <w:rPr>
          <w:rFonts w:cs="Times New Roman"/>
          <w:szCs w:val="24"/>
        </w:rPr>
        <w:t xml:space="preserve">been </w:t>
      </w:r>
      <w:r>
        <w:rPr>
          <w:rFonts w:cs="Times New Roman"/>
          <w:szCs w:val="24"/>
        </w:rPr>
        <w:t>made by Talos in the terms alleged by Dr Sheehan</w:t>
      </w:r>
      <w:r w:rsidR="00A10FE2">
        <w:rPr>
          <w:rFonts w:cs="Times New Roman"/>
          <w:szCs w:val="24"/>
        </w:rPr>
        <w:t>, the key issue was whether the relevant  words and conduct of Talos, in their context, would have led “</w:t>
      </w:r>
      <w:r w:rsidR="00A10FE2" w:rsidRPr="004F71E9">
        <w:rPr>
          <w:rFonts w:cs="Times New Roman"/>
          <w:i/>
          <w:szCs w:val="24"/>
        </w:rPr>
        <w:t>a reasonable person in Dr Sheehan’s position</w:t>
      </w:r>
      <w:r w:rsidR="00A10FE2">
        <w:rPr>
          <w:rFonts w:cs="Times New Roman"/>
          <w:i/>
          <w:szCs w:val="24"/>
        </w:rPr>
        <w:t xml:space="preserve">” </w:t>
      </w:r>
      <w:r w:rsidR="00A10FE2">
        <w:rPr>
          <w:rFonts w:cs="Times New Roman"/>
          <w:szCs w:val="24"/>
        </w:rPr>
        <w:t xml:space="preserve">to infer that </w:t>
      </w:r>
      <w:r w:rsidR="00A10FE2" w:rsidRPr="004F71E9">
        <w:rPr>
          <w:rFonts w:cs="Times New Roman"/>
          <w:i/>
          <w:szCs w:val="24"/>
        </w:rPr>
        <w:t xml:space="preserve"> </w:t>
      </w:r>
      <w:r w:rsidR="00A10FE2" w:rsidRPr="00A10FE2">
        <w:rPr>
          <w:rFonts w:cs="Times New Roman"/>
          <w:szCs w:val="24"/>
        </w:rPr>
        <w:t xml:space="preserve">JCS retained its entitlement to litigate against IBRC in respect of the </w:t>
      </w:r>
      <w:r w:rsidR="00A10FE2">
        <w:rPr>
          <w:rFonts w:cs="Times New Roman"/>
          <w:szCs w:val="24"/>
        </w:rPr>
        <w:t>D</w:t>
      </w:r>
      <w:r w:rsidR="00A10FE2" w:rsidRPr="00A10FE2">
        <w:rPr>
          <w:rFonts w:cs="Times New Roman"/>
          <w:szCs w:val="24"/>
        </w:rPr>
        <w:t xml:space="preserve">eposit </w:t>
      </w:r>
      <w:r w:rsidR="00A10FE2">
        <w:rPr>
          <w:rFonts w:cs="Times New Roman"/>
          <w:szCs w:val="24"/>
        </w:rPr>
        <w:t xml:space="preserve">that IBRC had previously </w:t>
      </w:r>
      <w:r w:rsidR="00A10FE2" w:rsidRPr="00A10FE2">
        <w:rPr>
          <w:rFonts w:cs="Times New Roman"/>
          <w:szCs w:val="24"/>
        </w:rPr>
        <w:t>forfeited</w:t>
      </w:r>
      <w:r w:rsidR="00A10FE2">
        <w:rPr>
          <w:rFonts w:cs="Times New Roman"/>
          <w:szCs w:val="24"/>
        </w:rPr>
        <w:t>.</w:t>
      </w:r>
      <w:r w:rsidR="00862D7D">
        <w:rPr>
          <w:rFonts w:cs="Times New Roman"/>
          <w:szCs w:val="24"/>
        </w:rPr>
        <w:t xml:space="preserve"> The onus of </w:t>
      </w:r>
      <w:r w:rsidR="00862D7D">
        <w:rPr>
          <w:rFonts w:cs="Times New Roman"/>
          <w:szCs w:val="24"/>
        </w:rPr>
        <w:lastRenderedPageBreak/>
        <w:t>establishing that Talos’ words and conduct properly gave rise to such an inference was, of course, on Dr Sheehan.</w:t>
      </w:r>
    </w:p>
    <w:p w14:paraId="7EC14453" w14:textId="77777777" w:rsidR="00A10FE2" w:rsidRDefault="00A10FE2" w:rsidP="00A10FE2">
      <w:pPr>
        <w:pStyle w:val="ListParagraph"/>
        <w:autoSpaceDE w:val="0"/>
        <w:autoSpaceDN w:val="0"/>
        <w:adjustRightInd w:val="0"/>
        <w:rPr>
          <w:rFonts w:cs="Times New Roman"/>
          <w:szCs w:val="24"/>
        </w:rPr>
      </w:pPr>
    </w:p>
    <w:p w14:paraId="0B1015A5" w14:textId="7CCFB410" w:rsidR="00AD1312" w:rsidRDefault="00C56489" w:rsidP="00E56878">
      <w:pPr>
        <w:pStyle w:val="ListParagraph"/>
        <w:numPr>
          <w:ilvl w:val="0"/>
          <w:numId w:val="1"/>
        </w:numPr>
        <w:autoSpaceDE w:val="0"/>
        <w:autoSpaceDN w:val="0"/>
        <w:adjustRightInd w:val="0"/>
        <w:ind w:hanging="720"/>
        <w:rPr>
          <w:rFonts w:cs="Times New Roman"/>
          <w:szCs w:val="24"/>
        </w:rPr>
      </w:pPr>
      <w:r w:rsidRPr="00862D7D">
        <w:rPr>
          <w:rFonts w:cs="Times New Roman"/>
          <w:szCs w:val="24"/>
        </w:rPr>
        <w:t xml:space="preserve">As the Judge correctly emphasised (at para  95 and following), it is important to bear in mind that the misrepresentation claim made by Dr Sheehan was founded on an </w:t>
      </w:r>
      <w:r w:rsidRPr="00901419">
        <w:rPr>
          <w:rFonts w:cs="Times New Roman"/>
          <w:i/>
          <w:szCs w:val="24"/>
        </w:rPr>
        <w:t>implied</w:t>
      </w:r>
      <w:r w:rsidRPr="00862D7D">
        <w:rPr>
          <w:rFonts w:cs="Times New Roman"/>
          <w:szCs w:val="24"/>
        </w:rPr>
        <w:t xml:space="preserve"> representation, rather than any </w:t>
      </w:r>
      <w:r w:rsidRPr="00901419">
        <w:rPr>
          <w:rFonts w:cs="Times New Roman"/>
          <w:i/>
          <w:szCs w:val="24"/>
        </w:rPr>
        <w:t>express</w:t>
      </w:r>
      <w:r w:rsidRPr="00862D7D">
        <w:rPr>
          <w:rFonts w:cs="Times New Roman"/>
          <w:szCs w:val="24"/>
        </w:rPr>
        <w:t xml:space="preserve"> statement said to have been made by Talos. It is also important to bear in mind that the claim advanced was primarily </w:t>
      </w:r>
      <w:r w:rsidR="00553C42" w:rsidRPr="00862D7D">
        <w:rPr>
          <w:rFonts w:cs="Times New Roman"/>
          <w:szCs w:val="24"/>
        </w:rPr>
        <w:t>based on alleged fraud</w:t>
      </w:r>
      <w:r w:rsidR="007468C5" w:rsidRPr="00862D7D">
        <w:rPr>
          <w:rFonts w:cs="Times New Roman"/>
          <w:szCs w:val="24"/>
        </w:rPr>
        <w:t xml:space="preserve">/deceit on the part of Talos. While the pleadings referred to </w:t>
      </w:r>
      <w:r w:rsidR="007468C5" w:rsidRPr="00620E38">
        <w:rPr>
          <w:rFonts w:cs="Times New Roman"/>
          <w:szCs w:val="24"/>
        </w:rPr>
        <w:t>misrepresentation</w:t>
      </w:r>
      <w:r w:rsidR="00620E38">
        <w:rPr>
          <w:rFonts w:cs="Times New Roman"/>
          <w:szCs w:val="24"/>
        </w:rPr>
        <w:t xml:space="preserve"> </w:t>
      </w:r>
      <w:r w:rsidR="00620E38" w:rsidRPr="00620E38">
        <w:rPr>
          <w:rFonts w:cs="Times New Roman"/>
          <w:i/>
          <w:szCs w:val="24"/>
        </w:rPr>
        <w:t>simpliciter</w:t>
      </w:r>
      <w:r w:rsidR="00620E38">
        <w:rPr>
          <w:rFonts w:cs="Times New Roman"/>
          <w:szCs w:val="24"/>
        </w:rPr>
        <w:t xml:space="preserve"> as well as to </w:t>
      </w:r>
      <w:r w:rsidR="007468C5" w:rsidRPr="00620E38">
        <w:rPr>
          <w:rFonts w:cs="Times New Roman"/>
          <w:szCs w:val="24"/>
        </w:rPr>
        <w:t>fraudulent</w:t>
      </w:r>
      <w:r w:rsidR="00553C42" w:rsidRPr="00620E38">
        <w:rPr>
          <w:rFonts w:cs="Times New Roman"/>
          <w:szCs w:val="24"/>
        </w:rPr>
        <w:t xml:space="preserve"> misrepresentation</w:t>
      </w:r>
      <w:r w:rsidR="00620E38">
        <w:rPr>
          <w:rFonts w:cs="Times New Roman"/>
          <w:szCs w:val="24"/>
        </w:rPr>
        <w:t xml:space="preserve"> specifically</w:t>
      </w:r>
      <w:r w:rsidR="007468C5" w:rsidRPr="00862D7D">
        <w:rPr>
          <w:rFonts w:cs="Times New Roman"/>
          <w:i/>
          <w:szCs w:val="24"/>
        </w:rPr>
        <w:t xml:space="preserve">, </w:t>
      </w:r>
      <w:r w:rsidR="007468C5" w:rsidRPr="00862D7D">
        <w:rPr>
          <w:rFonts w:cs="Times New Roman"/>
          <w:szCs w:val="24"/>
        </w:rPr>
        <w:t xml:space="preserve">it is </w:t>
      </w:r>
      <w:r w:rsidR="00862D7D" w:rsidRPr="00862D7D">
        <w:rPr>
          <w:rFonts w:cs="Times New Roman"/>
          <w:szCs w:val="24"/>
        </w:rPr>
        <w:t>evident</w:t>
      </w:r>
      <w:r w:rsidR="007468C5" w:rsidRPr="00862D7D">
        <w:rPr>
          <w:rFonts w:cs="Times New Roman"/>
          <w:szCs w:val="24"/>
        </w:rPr>
        <w:t xml:space="preserve"> from those pleadings (and in particular paragraph 35 of the Statement of Claim/Amended </w:t>
      </w:r>
      <w:r w:rsidR="00335167" w:rsidRPr="00862D7D">
        <w:rPr>
          <w:rFonts w:cs="Times New Roman"/>
          <w:szCs w:val="24"/>
        </w:rPr>
        <w:t>Statement of Claim)</w:t>
      </w:r>
      <w:r w:rsidR="00862D7D" w:rsidRPr="00862D7D">
        <w:rPr>
          <w:rFonts w:cs="Times New Roman"/>
          <w:szCs w:val="24"/>
        </w:rPr>
        <w:t xml:space="preserve">, </w:t>
      </w:r>
      <w:r w:rsidR="00901419">
        <w:rPr>
          <w:rFonts w:cs="Times New Roman"/>
          <w:szCs w:val="24"/>
        </w:rPr>
        <w:t xml:space="preserve">from </w:t>
      </w:r>
      <w:r w:rsidR="00862D7D" w:rsidRPr="00862D7D">
        <w:rPr>
          <w:rFonts w:cs="Times New Roman"/>
          <w:szCs w:val="24"/>
        </w:rPr>
        <w:t>the submissions of counsel for Dr Sheehan before the High Court and</w:t>
      </w:r>
      <w:r w:rsidR="00901419">
        <w:rPr>
          <w:rFonts w:cs="Times New Roman"/>
          <w:szCs w:val="24"/>
        </w:rPr>
        <w:t xml:space="preserve"> from</w:t>
      </w:r>
      <w:r w:rsidR="00862D7D" w:rsidRPr="00862D7D">
        <w:rPr>
          <w:rFonts w:cs="Times New Roman"/>
          <w:szCs w:val="24"/>
        </w:rPr>
        <w:t xml:space="preserve"> the terms of Dr Sheehan’s written submissions to this Court on appeal that the misrepresentation claim being made by Dr Sheehan </w:t>
      </w:r>
      <w:r w:rsidR="00901419">
        <w:rPr>
          <w:rFonts w:cs="Times New Roman"/>
          <w:szCs w:val="24"/>
        </w:rPr>
        <w:t>was</w:t>
      </w:r>
      <w:r w:rsidR="00862D7D" w:rsidRPr="00862D7D">
        <w:rPr>
          <w:rFonts w:cs="Times New Roman"/>
          <w:szCs w:val="24"/>
        </w:rPr>
        <w:t xml:space="preserve"> largely if not </w:t>
      </w:r>
      <w:r w:rsidR="00CC315E">
        <w:rPr>
          <w:rFonts w:cs="Times New Roman"/>
          <w:szCs w:val="24"/>
        </w:rPr>
        <w:t>entirely</w:t>
      </w:r>
      <w:r w:rsidR="00862D7D" w:rsidRPr="00862D7D">
        <w:rPr>
          <w:rFonts w:cs="Times New Roman"/>
          <w:szCs w:val="24"/>
        </w:rPr>
        <w:t xml:space="preserve"> </w:t>
      </w:r>
      <w:r w:rsidR="000D1F59">
        <w:rPr>
          <w:rFonts w:cs="Times New Roman"/>
          <w:szCs w:val="24"/>
        </w:rPr>
        <w:t xml:space="preserve">one </w:t>
      </w:r>
      <w:r w:rsidR="00862D7D" w:rsidRPr="00862D7D">
        <w:rPr>
          <w:rFonts w:cs="Times New Roman"/>
          <w:szCs w:val="24"/>
        </w:rPr>
        <w:t xml:space="preserve">based on fraud. </w:t>
      </w:r>
      <w:r w:rsidR="00CC315E">
        <w:rPr>
          <w:rFonts w:cs="Times New Roman"/>
          <w:szCs w:val="24"/>
        </w:rPr>
        <w:t xml:space="preserve">Establishing fraud requires proof that a false representation has been made knowingly, without belief in its truth or recklessly as to whether it is true or false: </w:t>
      </w:r>
      <w:r w:rsidR="00CC315E" w:rsidRPr="00CC315E">
        <w:rPr>
          <w:rFonts w:cs="Times New Roman"/>
          <w:i/>
          <w:szCs w:val="24"/>
        </w:rPr>
        <w:t xml:space="preserve">Derry v Peek </w:t>
      </w:r>
      <w:r w:rsidR="00CC315E">
        <w:rPr>
          <w:rFonts w:cs="Times New Roman"/>
          <w:szCs w:val="24"/>
        </w:rPr>
        <w:t>(1889) 14 App Cas 337.</w:t>
      </w:r>
      <w:r w:rsidR="00620E38">
        <w:rPr>
          <w:rFonts w:cs="Times New Roman"/>
          <w:szCs w:val="24"/>
        </w:rPr>
        <w:t xml:space="preserve"> </w:t>
      </w:r>
      <w:r w:rsidR="00263A03">
        <w:rPr>
          <w:rStyle w:val="FootnoteReference"/>
          <w:rFonts w:cs="Times New Roman"/>
          <w:szCs w:val="24"/>
        </w:rPr>
        <w:footnoteReference w:id="5"/>
      </w:r>
      <w:r w:rsidR="00412E0A">
        <w:rPr>
          <w:rFonts w:cs="Times New Roman"/>
          <w:szCs w:val="24"/>
        </w:rPr>
        <w:t xml:space="preserve"> </w:t>
      </w:r>
      <w:r w:rsidR="00620E38">
        <w:rPr>
          <w:rFonts w:cs="Times New Roman"/>
          <w:szCs w:val="24"/>
        </w:rPr>
        <w:t xml:space="preserve">I will come back to this point </w:t>
      </w:r>
      <w:r w:rsidR="002814E4">
        <w:rPr>
          <w:rFonts w:cs="Times New Roman"/>
          <w:szCs w:val="24"/>
        </w:rPr>
        <w:t xml:space="preserve">in light of the findings made by the Judge regarding the </w:t>
      </w:r>
      <w:r w:rsidR="00A73A36">
        <w:rPr>
          <w:rFonts w:cs="Times New Roman"/>
          <w:szCs w:val="24"/>
        </w:rPr>
        <w:t>state of mind</w:t>
      </w:r>
      <w:r w:rsidR="002814E4">
        <w:rPr>
          <w:rFonts w:cs="Times New Roman"/>
          <w:szCs w:val="24"/>
        </w:rPr>
        <w:t xml:space="preserve"> of Mr Simons.</w:t>
      </w:r>
    </w:p>
    <w:p w14:paraId="3433164D" w14:textId="77777777" w:rsidR="00CC315E" w:rsidRDefault="00CC315E" w:rsidP="00CC315E">
      <w:pPr>
        <w:pStyle w:val="ListParagraph"/>
        <w:autoSpaceDE w:val="0"/>
        <w:autoSpaceDN w:val="0"/>
        <w:adjustRightInd w:val="0"/>
        <w:rPr>
          <w:rFonts w:cs="Times New Roman"/>
          <w:szCs w:val="24"/>
        </w:rPr>
      </w:pPr>
    </w:p>
    <w:p w14:paraId="27FAF7AD" w14:textId="66A06574" w:rsidR="00DC7245" w:rsidRDefault="002814E4" w:rsidP="00DC322F">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 xml:space="preserve">Dr Sheehan </w:t>
      </w:r>
      <w:r w:rsidR="00A73A36">
        <w:rPr>
          <w:rFonts w:cs="Times New Roman"/>
          <w:szCs w:val="24"/>
        </w:rPr>
        <w:t xml:space="preserve">did not give evidence. </w:t>
      </w:r>
      <w:r w:rsidR="001D1451">
        <w:rPr>
          <w:rFonts w:cs="Times New Roman"/>
          <w:szCs w:val="24"/>
        </w:rPr>
        <w:t xml:space="preserve">That is said </w:t>
      </w:r>
      <w:r w:rsidR="0072384A">
        <w:rPr>
          <w:rFonts w:cs="Times New Roman"/>
          <w:szCs w:val="24"/>
        </w:rPr>
        <w:t xml:space="preserve">by Talos </w:t>
      </w:r>
      <w:r w:rsidR="001D1451">
        <w:rPr>
          <w:rFonts w:cs="Times New Roman"/>
          <w:szCs w:val="24"/>
        </w:rPr>
        <w:t>to be a “</w:t>
      </w:r>
      <w:r w:rsidR="001D1451" w:rsidRPr="009C085C">
        <w:rPr>
          <w:rFonts w:cs="Times New Roman"/>
          <w:i/>
          <w:szCs w:val="24"/>
        </w:rPr>
        <w:t>fatal infirmity</w:t>
      </w:r>
      <w:r w:rsidR="001D1451">
        <w:rPr>
          <w:rFonts w:cs="Times New Roman"/>
          <w:szCs w:val="24"/>
        </w:rPr>
        <w:t xml:space="preserve">” in his claim. </w:t>
      </w:r>
      <w:r w:rsidR="000D1F59">
        <w:rPr>
          <w:rFonts w:cs="Times New Roman"/>
          <w:szCs w:val="24"/>
        </w:rPr>
        <w:t xml:space="preserve">It will be necessary to </w:t>
      </w:r>
      <w:r w:rsidR="001D1451">
        <w:rPr>
          <w:rFonts w:cs="Times New Roman"/>
          <w:szCs w:val="24"/>
        </w:rPr>
        <w:t>come back to th</w:t>
      </w:r>
      <w:r w:rsidR="000D1F59">
        <w:rPr>
          <w:rFonts w:cs="Times New Roman"/>
          <w:szCs w:val="24"/>
        </w:rPr>
        <w:t xml:space="preserve">is </w:t>
      </w:r>
      <w:r w:rsidR="001D1451">
        <w:rPr>
          <w:rFonts w:cs="Times New Roman"/>
          <w:szCs w:val="24"/>
        </w:rPr>
        <w:t xml:space="preserve">point also. </w:t>
      </w:r>
      <w:r w:rsidR="00A73A36">
        <w:rPr>
          <w:rFonts w:cs="Times New Roman"/>
          <w:szCs w:val="24"/>
        </w:rPr>
        <w:t>Instead, evidence was given by the various solicitors who had acted on his behalf and who, in their professional capacity</w:t>
      </w:r>
      <w:r w:rsidR="00554A74">
        <w:rPr>
          <w:rFonts w:cs="Times New Roman"/>
          <w:szCs w:val="24"/>
        </w:rPr>
        <w:t>, had had dealing</w:t>
      </w:r>
      <w:r w:rsidR="00290747">
        <w:rPr>
          <w:rFonts w:cs="Times New Roman"/>
          <w:szCs w:val="24"/>
        </w:rPr>
        <w:t>s</w:t>
      </w:r>
      <w:r w:rsidR="00554A74">
        <w:rPr>
          <w:rFonts w:cs="Times New Roman"/>
          <w:szCs w:val="24"/>
        </w:rPr>
        <w:t xml:space="preserve"> with Talos</w:t>
      </w:r>
      <w:r w:rsidR="000B64CC">
        <w:rPr>
          <w:rFonts w:cs="Times New Roman"/>
          <w:szCs w:val="24"/>
        </w:rPr>
        <w:t xml:space="preserve"> on behalf of Dr She</w:t>
      </w:r>
      <w:r w:rsidR="00BA5EC0">
        <w:rPr>
          <w:rFonts w:cs="Times New Roman"/>
          <w:szCs w:val="24"/>
        </w:rPr>
        <w:t>e</w:t>
      </w:r>
      <w:r w:rsidR="000B64CC">
        <w:rPr>
          <w:rFonts w:cs="Times New Roman"/>
          <w:szCs w:val="24"/>
        </w:rPr>
        <w:t>han</w:t>
      </w:r>
      <w:r w:rsidR="00554A74">
        <w:rPr>
          <w:rFonts w:cs="Times New Roman"/>
          <w:szCs w:val="24"/>
        </w:rPr>
        <w:t>. Th</w:t>
      </w:r>
      <w:r w:rsidR="00DC7245">
        <w:rPr>
          <w:rFonts w:cs="Times New Roman"/>
          <w:szCs w:val="24"/>
        </w:rPr>
        <w:t>e</w:t>
      </w:r>
      <w:r w:rsidR="00554A74">
        <w:rPr>
          <w:rFonts w:cs="Times New Roman"/>
          <w:szCs w:val="24"/>
        </w:rPr>
        <w:t xml:space="preserve"> evidence </w:t>
      </w:r>
      <w:r w:rsidR="0072384A">
        <w:rPr>
          <w:rFonts w:cs="Times New Roman"/>
          <w:szCs w:val="24"/>
        </w:rPr>
        <w:t>established</w:t>
      </w:r>
      <w:r w:rsidR="00554A74">
        <w:rPr>
          <w:rFonts w:cs="Times New Roman"/>
          <w:szCs w:val="24"/>
        </w:rPr>
        <w:t xml:space="preserve"> that Mr Brennan had written to Mr Simons on 25 March 2015</w:t>
      </w:r>
      <w:r w:rsidR="001D1451">
        <w:rPr>
          <w:rFonts w:cs="Times New Roman"/>
          <w:szCs w:val="24"/>
        </w:rPr>
        <w:t xml:space="preserve"> inquiring whether Talos</w:t>
      </w:r>
      <w:r w:rsidR="001D1451" w:rsidRPr="001D1451">
        <w:rPr>
          <w:rFonts w:cs="Times New Roman"/>
          <w:szCs w:val="24"/>
        </w:rPr>
        <w:t xml:space="preserve"> would be willing to </w:t>
      </w:r>
      <w:r w:rsidR="001D1451">
        <w:rPr>
          <w:rFonts w:cs="Times New Roman"/>
          <w:szCs w:val="24"/>
        </w:rPr>
        <w:t>allow Dr Sheehan to regain control of JCS for the purpose of JCS pursuing a claim against IBRC and/or the Special Liquidators for the return of the forfeited Deposit</w:t>
      </w:r>
      <w:r w:rsidR="00E56878">
        <w:rPr>
          <w:rFonts w:cs="Times New Roman"/>
          <w:szCs w:val="24"/>
        </w:rPr>
        <w:t xml:space="preserve">. </w:t>
      </w:r>
      <w:r w:rsidR="001D1451">
        <w:rPr>
          <w:rFonts w:cs="Times New Roman"/>
          <w:szCs w:val="24"/>
        </w:rPr>
        <w:t>Much weight was placed on that letter in the High Court and before this Court on appeal.</w:t>
      </w:r>
      <w:r w:rsidR="00DC7245">
        <w:rPr>
          <w:rFonts w:cs="Times New Roman"/>
          <w:szCs w:val="24"/>
        </w:rPr>
        <w:t xml:space="preserve"> It is set out in full at paragraph 37 of the High Court Judgment. Given the weight placed on it, </w:t>
      </w:r>
      <w:r w:rsidR="001D1451">
        <w:rPr>
          <w:rFonts w:cs="Times New Roman"/>
          <w:szCs w:val="24"/>
        </w:rPr>
        <w:t xml:space="preserve">it </w:t>
      </w:r>
      <w:r w:rsidR="00901419">
        <w:rPr>
          <w:rFonts w:cs="Times New Roman"/>
          <w:szCs w:val="24"/>
        </w:rPr>
        <w:t>is</w:t>
      </w:r>
      <w:r w:rsidR="001D1451">
        <w:rPr>
          <w:rFonts w:cs="Times New Roman"/>
          <w:szCs w:val="24"/>
        </w:rPr>
        <w:t xml:space="preserve"> </w:t>
      </w:r>
      <w:r w:rsidR="00DC7245">
        <w:rPr>
          <w:rFonts w:cs="Times New Roman"/>
          <w:szCs w:val="24"/>
        </w:rPr>
        <w:t>perhaps surprising</w:t>
      </w:r>
      <w:r w:rsidR="001D1451">
        <w:rPr>
          <w:rFonts w:cs="Times New Roman"/>
          <w:szCs w:val="24"/>
        </w:rPr>
        <w:t xml:space="preserve"> that Dr Sheehan himself appears to have</w:t>
      </w:r>
      <w:r w:rsidR="0072384A">
        <w:rPr>
          <w:rFonts w:cs="Times New Roman"/>
          <w:szCs w:val="24"/>
        </w:rPr>
        <w:t xml:space="preserve"> overlooked it when proceedings were being drafted. </w:t>
      </w:r>
      <w:r w:rsidR="00BB4724">
        <w:rPr>
          <w:rFonts w:cs="Times New Roman"/>
          <w:szCs w:val="24"/>
        </w:rPr>
        <w:t xml:space="preserve">It is also </w:t>
      </w:r>
      <w:r w:rsidR="00DC7245">
        <w:rPr>
          <w:rFonts w:cs="Times New Roman"/>
          <w:szCs w:val="24"/>
        </w:rPr>
        <w:t>su</w:t>
      </w:r>
      <w:r w:rsidR="00443D4A">
        <w:rPr>
          <w:rFonts w:cs="Times New Roman"/>
          <w:szCs w:val="24"/>
        </w:rPr>
        <w:t>r</w:t>
      </w:r>
      <w:r w:rsidR="00DC7245">
        <w:rPr>
          <w:rFonts w:cs="Times New Roman"/>
          <w:szCs w:val="24"/>
        </w:rPr>
        <w:t>prising</w:t>
      </w:r>
      <w:r w:rsidR="00BB4724">
        <w:rPr>
          <w:rFonts w:cs="Times New Roman"/>
          <w:szCs w:val="24"/>
        </w:rPr>
        <w:t xml:space="preserve"> that Mr Shannon – the principal witness on behalf of Dr Sheehan and who in essence purported to speak on his behalf – was at all material times unaware of </w:t>
      </w:r>
      <w:r w:rsidR="009C3BE4">
        <w:rPr>
          <w:rFonts w:cs="Times New Roman"/>
          <w:szCs w:val="24"/>
        </w:rPr>
        <w:t>that letter</w:t>
      </w:r>
      <w:r w:rsidR="00901419">
        <w:rPr>
          <w:rFonts w:cs="Times New Roman"/>
          <w:szCs w:val="24"/>
        </w:rPr>
        <w:t>.</w:t>
      </w:r>
      <w:r w:rsidR="009C3BE4">
        <w:rPr>
          <w:rStyle w:val="FootnoteReference"/>
          <w:rFonts w:cs="Times New Roman"/>
          <w:szCs w:val="24"/>
        </w:rPr>
        <w:footnoteReference w:id="6"/>
      </w:r>
      <w:r w:rsidR="009C3BE4">
        <w:rPr>
          <w:rFonts w:cs="Times New Roman"/>
          <w:szCs w:val="24"/>
        </w:rPr>
        <w:t xml:space="preserve"> </w:t>
      </w:r>
    </w:p>
    <w:p w14:paraId="2B92B671" w14:textId="77777777" w:rsidR="00DC7245" w:rsidRDefault="00DC7245" w:rsidP="00DC7245">
      <w:pPr>
        <w:pStyle w:val="ListParagraph"/>
        <w:autoSpaceDE w:val="0"/>
        <w:autoSpaceDN w:val="0"/>
        <w:adjustRightInd w:val="0"/>
        <w:rPr>
          <w:rFonts w:cs="Times New Roman"/>
          <w:szCs w:val="24"/>
        </w:rPr>
      </w:pPr>
    </w:p>
    <w:p w14:paraId="694B73E9" w14:textId="76636DCB" w:rsidR="001D675B" w:rsidRDefault="0072384A" w:rsidP="00DC322F">
      <w:pPr>
        <w:pStyle w:val="ListParagraph"/>
        <w:numPr>
          <w:ilvl w:val="0"/>
          <w:numId w:val="1"/>
        </w:numPr>
        <w:autoSpaceDE w:val="0"/>
        <w:autoSpaceDN w:val="0"/>
        <w:adjustRightInd w:val="0"/>
        <w:ind w:hanging="720"/>
        <w:rPr>
          <w:rFonts w:cs="Times New Roman"/>
          <w:szCs w:val="24"/>
        </w:rPr>
      </w:pPr>
      <w:r>
        <w:rPr>
          <w:rFonts w:cs="Times New Roman"/>
          <w:szCs w:val="24"/>
        </w:rPr>
        <w:t>More curious still, perhaps, is that the evidence of Dr Sheehan’s witnesses disclosed that</w:t>
      </w:r>
      <w:r w:rsidR="00E56878">
        <w:rPr>
          <w:rFonts w:cs="Times New Roman"/>
          <w:szCs w:val="24"/>
        </w:rPr>
        <w:t xml:space="preserve"> in the period </w:t>
      </w:r>
      <w:r w:rsidR="00901419">
        <w:rPr>
          <w:rFonts w:cs="Times New Roman"/>
          <w:szCs w:val="24"/>
        </w:rPr>
        <w:t>from</w:t>
      </w:r>
      <w:r w:rsidR="00E56878">
        <w:rPr>
          <w:rFonts w:cs="Times New Roman"/>
          <w:szCs w:val="24"/>
        </w:rPr>
        <w:t xml:space="preserve"> 27 March 2015 (by which time Talos had made it clear that it had no interest in the proposal that had been made by Mr Brennan, a position affirmed by Mr Simons in telephone conversations that appear to have taken place on 26 and 27 March</w:t>
      </w:r>
      <w:r w:rsidR="00DC7245">
        <w:rPr>
          <w:rFonts w:cs="Times New Roman"/>
          <w:szCs w:val="24"/>
        </w:rPr>
        <w:t xml:space="preserve"> 2015</w:t>
      </w:r>
      <w:r w:rsidR="00E56878">
        <w:rPr>
          <w:rFonts w:cs="Times New Roman"/>
          <w:szCs w:val="24"/>
        </w:rPr>
        <w:t>) up to the execution of the Settlement Agreement on 19 November</w:t>
      </w:r>
      <w:r>
        <w:rPr>
          <w:rFonts w:cs="Times New Roman"/>
          <w:szCs w:val="24"/>
        </w:rPr>
        <w:t xml:space="preserve"> </w:t>
      </w:r>
      <w:r w:rsidR="00E56878">
        <w:rPr>
          <w:rFonts w:cs="Times New Roman"/>
          <w:szCs w:val="24"/>
        </w:rPr>
        <w:t xml:space="preserve">2015,  </w:t>
      </w:r>
      <w:r w:rsidR="00DC7245">
        <w:rPr>
          <w:rFonts w:cs="Times New Roman"/>
          <w:szCs w:val="24"/>
        </w:rPr>
        <w:t xml:space="preserve">the issue of </w:t>
      </w:r>
      <w:r w:rsidR="00321FDF">
        <w:rPr>
          <w:rFonts w:cs="Times New Roman"/>
          <w:szCs w:val="24"/>
        </w:rPr>
        <w:t xml:space="preserve">JCS’s potential claim against IBRC and/or </w:t>
      </w:r>
      <w:r>
        <w:rPr>
          <w:rFonts w:cs="Times New Roman"/>
          <w:szCs w:val="24"/>
        </w:rPr>
        <w:t xml:space="preserve"> </w:t>
      </w:r>
      <w:r w:rsidR="00321FDF">
        <w:rPr>
          <w:rFonts w:cs="Times New Roman"/>
          <w:szCs w:val="24"/>
        </w:rPr>
        <w:t xml:space="preserve">Dr Sheehan’s </w:t>
      </w:r>
      <w:r w:rsidR="00A369B3">
        <w:rPr>
          <w:rFonts w:cs="Times New Roman"/>
          <w:szCs w:val="24"/>
        </w:rPr>
        <w:t xml:space="preserve">evident </w:t>
      </w:r>
      <w:r w:rsidR="00321FDF">
        <w:rPr>
          <w:rFonts w:cs="Times New Roman"/>
          <w:szCs w:val="24"/>
        </w:rPr>
        <w:t xml:space="preserve">desire to regain control over JCS </w:t>
      </w:r>
      <w:r w:rsidR="00A369B3">
        <w:rPr>
          <w:rFonts w:cs="Times New Roman"/>
          <w:szCs w:val="24"/>
        </w:rPr>
        <w:t xml:space="preserve">so as </w:t>
      </w:r>
      <w:r w:rsidR="00321FDF">
        <w:rPr>
          <w:rFonts w:cs="Times New Roman"/>
          <w:szCs w:val="24"/>
        </w:rPr>
        <w:t xml:space="preserve">to pursue such a claim </w:t>
      </w:r>
      <w:r w:rsidR="00DC7245">
        <w:rPr>
          <w:rFonts w:cs="Times New Roman"/>
          <w:szCs w:val="24"/>
        </w:rPr>
        <w:t xml:space="preserve">appears not to have </w:t>
      </w:r>
      <w:r w:rsidR="00A369B3">
        <w:rPr>
          <w:rFonts w:cs="Times New Roman"/>
          <w:szCs w:val="24"/>
        </w:rPr>
        <w:t xml:space="preserve">been </w:t>
      </w:r>
      <w:r w:rsidR="00DC7245">
        <w:rPr>
          <w:rFonts w:cs="Times New Roman"/>
          <w:szCs w:val="24"/>
        </w:rPr>
        <w:t xml:space="preserve">raised </w:t>
      </w:r>
      <w:r w:rsidR="000B64CC">
        <w:rPr>
          <w:rFonts w:cs="Times New Roman"/>
          <w:szCs w:val="24"/>
        </w:rPr>
        <w:lastRenderedPageBreak/>
        <w:t>again</w:t>
      </w:r>
      <w:r w:rsidR="00DC7245">
        <w:rPr>
          <w:rFonts w:cs="Times New Roman"/>
          <w:szCs w:val="24"/>
        </w:rPr>
        <w:t xml:space="preserve">. Mr Brennan’s letter of 25 March 2015 referred to a deadline of 31 March 2015 for the submission of claims by unsecured creditors </w:t>
      </w:r>
      <w:r w:rsidR="001D675B">
        <w:rPr>
          <w:rFonts w:cs="Times New Roman"/>
          <w:szCs w:val="24"/>
        </w:rPr>
        <w:t>in the liquidation of IBRC</w:t>
      </w:r>
      <w:r w:rsidR="007659E3">
        <w:rPr>
          <w:rFonts w:cs="Times New Roman"/>
          <w:szCs w:val="24"/>
        </w:rPr>
        <w:t xml:space="preserve"> and, in th</w:t>
      </w:r>
      <w:r w:rsidR="00E92812">
        <w:rPr>
          <w:rFonts w:cs="Times New Roman"/>
          <w:szCs w:val="24"/>
        </w:rPr>
        <w:t>at</w:t>
      </w:r>
      <w:r w:rsidR="00FA7958">
        <w:rPr>
          <w:rFonts w:cs="Times New Roman"/>
          <w:szCs w:val="24"/>
        </w:rPr>
        <w:t xml:space="preserve"> </w:t>
      </w:r>
      <w:r w:rsidR="007659E3">
        <w:rPr>
          <w:rFonts w:cs="Times New Roman"/>
          <w:szCs w:val="24"/>
        </w:rPr>
        <w:t>context, had indicated that there was “</w:t>
      </w:r>
      <w:r w:rsidR="007659E3" w:rsidRPr="007659E3">
        <w:rPr>
          <w:rFonts w:cs="Times New Roman"/>
          <w:i/>
          <w:szCs w:val="24"/>
        </w:rPr>
        <w:t>an urgency to this issue</w:t>
      </w:r>
      <w:r w:rsidR="007659E3">
        <w:rPr>
          <w:rFonts w:cs="Times New Roman"/>
          <w:szCs w:val="24"/>
        </w:rPr>
        <w:t>” and had sought an immediate response</w:t>
      </w:r>
      <w:r w:rsidR="001D675B">
        <w:rPr>
          <w:rFonts w:cs="Times New Roman"/>
          <w:szCs w:val="24"/>
        </w:rPr>
        <w:t>. On one reading, th</w:t>
      </w:r>
      <w:r w:rsidR="007659E3">
        <w:rPr>
          <w:rFonts w:cs="Times New Roman"/>
          <w:szCs w:val="24"/>
        </w:rPr>
        <w:t xml:space="preserve">e </w:t>
      </w:r>
      <w:r w:rsidR="001D675B">
        <w:rPr>
          <w:rFonts w:cs="Times New Roman"/>
          <w:szCs w:val="24"/>
        </w:rPr>
        <w:t xml:space="preserve">deadline </w:t>
      </w:r>
      <w:r w:rsidR="007659E3">
        <w:rPr>
          <w:rFonts w:cs="Times New Roman"/>
          <w:szCs w:val="24"/>
        </w:rPr>
        <w:t>of 31 March 2015 might</w:t>
      </w:r>
      <w:r w:rsidR="001D675B">
        <w:rPr>
          <w:rFonts w:cs="Times New Roman"/>
          <w:szCs w:val="24"/>
        </w:rPr>
        <w:t xml:space="preserve"> be </w:t>
      </w:r>
      <w:r w:rsidR="00A369B3">
        <w:rPr>
          <w:rFonts w:cs="Times New Roman"/>
          <w:szCs w:val="24"/>
        </w:rPr>
        <w:t>seen</w:t>
      </w:r>
      <w:r w:rsidR="001D675B">
        <w:rPr>
          <w:rFonts w:cs="Times New Roman"/>
          <w:szCs w:val="24"/>
        </w:rPr>
        <w:t xml:space="preserve"> as (to </w:t>
      </w:r>
      <w:r w:rsidR="000B64CC">
        <w:rPr>
          <w:rFonts w:cs="Times New Roman"/>
          <w:szCs w:val="24"/>
        </w:rPr>
        <w:t>adopt</w:t>
      </w:r>
      <w:r w:rsidR="001D675B">
        <w:rPr>
          <w:rFonts w:cs="Times New Roman"/>
          <w:szCs w:val="24"/>
        </w:rPr>
        <w:t xml:space="preserve"> a phrase used by Mr Brennan in his evidence) </w:t>
      </w:r>
      <w:r w:rsidR="001D675B" w:rsidRPr="001D675B">
        <w:rPr>
          <w:rFonts w:cs="Times New Roman"/>
          <w:i/>
          <w:szCs w:val="24"/>
        </w:rPr>
        <w:t>“a guillotine for [Dr Sheehan’s interest]</w:t>
      </w:r>
      <w:r w:rsidR="00A369B3">
        <w:rPr>
          <w:rFonts w:cs="Times New Roman"/>
          <w:i/>
          <w:szCs w:val="24"/>
        </w:rPr>
        <w:t>.</w:t>
      </w:r>
      <w:r w:rsidR="001D675B" w:rsidRPr="001D675B">
        <w:rPr>
          <w:rFonts w:cs="Times New Roman"/>
          <w:i/>
          <w:szCs w:val="24"/>
        </w:rPr>
        <w:t>”</w:t>
      </w:r>
      <w:r w:rsidR="001D675B">
        <w:rPr>
          <w:rFonts w:cs="Times New Roman"/>
          <w:szCs w:val="24"/>
        </w:rPr>
        <w:t xml:space="preserve">  Dr Sheehan’s witnesses, including Mr Brennan himself, disputed such a characterisation of the letter and insisted that Dr Sheehan’s interest in regaining control of JCS for the purpose of bringing a claim for the recovery of the Deposit continued after 31 March 2015. Notably, however, nothing to that effect appears to have been said to Talos or to Mr Simons and no reference to any </w:t>
      </w:r>
      <w:r w:rsidR="007659E3">
        <w:rPr>
          <w:rFonts w:cs="Times New Roman"/>
          <w:szCs w:val="24"/>
        </w:rPr>
        <w:t>potential claim against IBRC appears to have been made between the end of March 2015 and the execution of the Settlement Agreement on 19 November 2015.</w:t>
      </w:r>
      <w:r w:rsidR="00A369B3">
        <w:rPr>
          <w:rFonts w:cs="Times New Roman"/>
          <w:szCs w:val="24"/>
        </w:rPr>
        <w:t xml:space="preserve"> </w:t>
      </w:r>
    </w:p>
    <w:p w14:paraId="42DE7598" w14:textId="77777777" w:rsidR="007659E3" w:rsidRDefault="007659E3" w:rsidP="007659E3">
      <w:pPr>
        <w:pStyle w:val="ListParagraph"/>
        <w:autoSpaceDE w:val="0"/>
        <w:autoSpaceDN w:val="0"/>
        <w:adjustRightInd w:val="0"/>
        <w:rPr>
          <w:rFonts w:cs="Times New Roman"/>
          <w:szCs w:val="24"/>
        </w:rPr>
      </w:pPr>
    </w:p>
    <w:p w14:paraId="3E0893FC" w14:textId="15DB2852" w:rsidR="001D675B" w:rsidRDefault="007659E3" w:rsidP="00DC322F">
      <w:pPr>
        <w:pStyle w:val="ListParagraph"/>
        <w:numPr>
          <w:ilvl w:val="0"/>
          <w:numId w:val="1"/>
        </w:numPr>
        <w:autoSpaceDE w:val="0"/>
        <w:autoSpaceDN w:val="0"/>
        <w:adjustRightInd w:val="0"/>
        <w:ind w:hanging="720"/>
        <w:rPr>
          <w:rFonts w:cs="Times New Roman"/>
          <w:szCs w:val="24"/>
        </w:rPr>
      </w:pPr>
      <w:r>
        <w:rPr>
          <w:rFonts w:cs="Times New Roman"/>
          <w:szCs w:val="24"/>
        </w:rPr>
        <w:t xml:space="preserve">Thus, Mr Brennan accepted that </w:t>
      </w:r>
      <w:r w:rsidRPr="007659E3">
        <w:rPr>
          <w:rFonts w:cs="Times New Roman"/>
          <w:i/>
          <w:szCs w:val="24"/>
        </w:rPr>
        <w:t>“one way or another [he] never indicated to Mr Simons that when the 31</w:t>
      </w:r>
      <w:r w:rsidRPr="007659E3">
        <w:rPr>
          <w:rFonts w:cs="Times New Roman"/>
          <w:i/>
          <w:szCs w:val="24"/>
          <w:vertAlign w:val="superscript"/>
        </w:rPr>
        <w:t>st</w:t>
      </w:r>
      <w:r w:rsidRPr="007659E3">
        <w:rPr>
          <w:rFonts w:cs="Times New Roman"/>
          <w:i/>
          <w:szCs w:val="24"/>
        </w:rPr>
        <w:t xml:space="preserve"> came and went that Dr Sheehan’s interest persisted.” </w:t>
      </w:r>
      <w:r w:rsidRPr="00A369B3">
        <w:rPr>
          <w:rStyle w:val="FootnoteReference"/>
          <w:rFonts w:cs="Times New Roman"/>
          <w:szCs w:val="24"/>
        </w:rPr>
        <w:footnoteReference w:id="7"/>
      </w:r>
      <w:r w:rsidR="00990AA5">
        <w:rPr>
          <w:rFonts w:cs="Times New Roman"/>
          <w:i/>
          <w:szCs w:val="24"/>
        </w:rPr>
        <w:t xml:space="preserve"> </w:t>
      </w:r>
      <w:r w:rsidR="00990AA5">
        <w:rPr>
          <w:rFonts w:cs="Times New Roman"/>
          <w:szCs w:val="24"/>
        </w:rPr>
        <w:t xml:space="preserve">In fact, he could not recall having </w:t>
      </w:r>
      <w:r w:rsidR="00990AA5" w:rsidRPr="00A951B7">
        <w:rPr>
          <w:rFonts w:cs="Times New Roman"/>
          <w:i/>
          <w:szCs w:val="24"/>
        </w:rPr>
        <w:t>any</w:t>
      </w:r>
      <w:r w:rsidR="00990AA5">
        <w:rPr>
          <w:rFonts w:cs="Times New Roman"/>
          <w:szCs w:val="24"/>
        </w:rPr>
        <w:t xml:space="preserve"> conversation with </w:t>
      </w:r>
      <w:r w:rsidR="00A951B7">
        <w:rPr>
          <w:rFonts w:cs="Times New Roman"/>
          <w:szCs w:val="24"/>
        </w:rPr>
        <w:t xml:space="preserve">Mr Simons </w:t>
      </w:r>
      <w:r w:rsidR="007E014E">
        <w:rPr>
          <w:rFonts w:cs="Times New Roman"/>
          <w:szCs w:val="24"/>
        </w:rPr>
        <w:t xml:space="preserve">after 27 March 2015. Mr Hickey gave evidence that he had seen Mr Brennan’s letter of 25 March 2015 and had been told by Mr Brennan that Mr Simons’ response </w:t>
      </w:r>
      <w:r w:rsidR="00A369B3">
        <w:rPr>
          <w:rFonts w:cs="Times New Roman"/>
          <w:szCs w:val="24"/>
        </w:rPr>
        <w:t xml:space="preserve">on behalf of Talos </w:t>
      </w:r>
      <w:r w:rsidR="009446E6">
        <w:rPr>
          <w:rFonts w:cs="Times New Roman"/>
          <w:szCs w:val="24"/>
        </w:rPr>
        <w:t xml:space="preserve">was </w:t>
      </w:r>
      <w:r w:rsidR="007E014E">
        <w:rPr>
          <w:rFonts w:cs="Times New Roman"/>
          <w:szCs w:val="24"/>
        </w:rPr>
        <w:t>“</w:t>
      </w:r>
      <w:r w:rsidR="007E014E" w:rsidRPr="007E014E">
        <w:rPr>
          <w:rFonts w:cs="Times New Roman"/>
          <w:i/>
          <w:szCs w:val="24"/>
        </w:rPr>
        <w:t>in short .. a no</w:t>
      </w:r>
      <w:r w:rsidR="007E014E">
        <w:rPr>
          <w:rFonts w:cs="Times New Roman"/>
          <w:szCs w:val="24"/>
        </w:rPr>
        <w:t>”.</w:t>
      </w:r>
      <w:r w:rsidR="007E014E">
        <w:rPr>
          <w:rStyle w:val="FootnoteReference"/>
          <w:rFonts w:cs="Times New Roman"/>
          <w:szCs w:val="24"/>
        </w:rPr>
        <w:footnoteReference w:id="8"/>
      </w:r>
      <w:r w:rsidR="007E014E">
        <w:rPr>
          <w:rFonts w:cs="Times New Roman"/>
          <w:szCs w:val="24"/>
        </w:rPr>
        <w:t xml:space="preserve"> </w:t>
      </w:r>
      <w:r w:rsidR="00443D4A">
        <w:rPr>
          <w:rFonts w:cs="Times New Roman"/>
          <w:szCs w:val="24"/>
        </w:rPr>
        <w:t>Mr Hickey</w:t>
      </w:r>
      <w:r w:rsidR="007E014E">
        <w:rPr>
          <w:rFonts w:cs="Times New Roman"/>
          <w:szCs w:val="24"/>
        </w:rPr>
        <w:t xml:space="preserve"> did not regard 31 March as a deadline but he never said to Mr Simons that Dr Sheehan still wanted to pursue a claim against IBRC.</w:t>
      </w:r>
      <w:r w:rsidR="007E014E">
        <w:rPr>
          <w:rStyle w:val="FootnoteReference"/>
          <w:rFonts w:cs="Times New Roman"/>
          <w:szCs w:val="24"/>
        </w:rPr>
        <w:footnoteReference w:id="9"/>
      </w:r>
      <w:r w:rsidR="0096102A">
        <w:rPr>
          <w:rFonts w:cs="Times New Roman"/>
          <w:szCs w:val="24"/>
        </w:rPr>
        <w:t xml:space="preserve"> His evidence </w:t>
      </w:r>
      <w:r w:rsidR="0096102A">
        <w:rPr>
          <w:rFonts w:cs="Times New Roman"/>
          <w:szCs w:val="24"/>
        </w:rPr>
        <w:lastRenderedPageBreak/>
        <w:t xml:space="preserve">was, in effect, that Dr Sheehan’s purpose was so obvious that it went without saying. </w:t>
      </w:r>
      <w:r w:rsidR="0096102A">
        <w:rPr>
          <w:rStyle w:val="FootnoteReference"/>
          <w:rFonts w:cs="Times New Roman"/>
          <w:szCs w:val="24"/>
        </w:rPr>
        <w:footnoteReference w:id="10"/>
      </w:r>
      <w:r w:rsidR="0096102A">
        <w:rPr>
          <w:rFonts w:cs="Times New Roman"/>
          <w:szCs w:val="24"/>
        </w:rPr>
        <w:t xml:space="preserve"> Mr Shannon’s evidence was to the same effect. As already noted, </w:t>
      </w:r>
      <w:r w:rsidR="00A369B3">
        <w:rPr>
          <w:rFonts w:cs="Times New Roman"/>
          <w:szCs w:val="24"/>
        </w:rPr>
        <w:t>Mr Shannon</w:t>
      </w:r>
      <w:r w:rsidR="0096102A">
        <w:rPr>
          <w:rFonts w:cs="Times New Roman"/>
          <w:szCs w:val="24"/>
        </w:rPr>
        <w:t xml:space="preserve"> was not </w:t>
      </w:r>
      <w:r w:rsidR="000B64CC">
        <w:rPr>
          <w:rFonts w:cs="Times New Roman"/>
          <w:szCs w:val="24"/>
        </w:rPr>
        <w:t xml:space="preserve">even </w:t>
      </w:r>
      <w:r w:rsidR="0096102A">
        <w:rPr>
          <w:rFonts w:cs="Times New Roman"/>
          <w:szCs w:val="24"/>
        </w:rPr>
        <w:t xml:space="preserve">aware of Mr Brennan’s letter of 25 March 2015. Before engaging with Mr Simons, no-one had told him </w:t>
      </w:r>
      <w:r w:rsidR="009446E6">
        <w:rPr>
          <w:rFonts w:cs="Times New Roman"/>
          <w:szCs w:val="24"/>
        </w:rPr>
        <w:t>that Mr Simons had been made aware of Dr Sheehan’s purpose in seeking to regain control of JCS.</w:t>
      </w:r>
      <w:r w:rsidR="009446E6">
        <w:rPr>
          <w:rStyle w:val="FootnoteReference"/>
          <w:rFonts w:cs="Times New Roman"/>
          <w:szCs w:val="24"/>
        </w:rPr>
        <w:footnoteReference w:id="11"/>
      </w:r>
      <w:r w:rsidR="009446E6">
        <w:rPr>
          <w:rFonts w:cs="Times New Roman"/>
          <w:szCs w:val="24"/>
        </w:rPr>
        <w:t xml:space="preserve"> </w:t>
      </w:r>
      <w:r w:rsidR="0096102A">
        <w:rPr>
          <w:rFonts w:cs="Times New Roman"/>
          <w:szCs w:val="24"/>
        </w:rPr>
        <w:t xml:space="preserve">He therefore had no basis for </w:t>
      </w:r>
      <w:r w:rsidR="00A369B3">
        <w:rPr>
          <w:rFonts w:cs="Times New Roman"/>
          <w:szCs w:val="24"/>
        </w:rPr>
        <w:t>believing</w:t>
      </w:r>
      <w:r w:rsidR="0096102A">
        <w:rPr>
          <w:rFonts w:cs="Times New Roman"/>
          <w:szCs w:val="24"/>
        </w:rPr>
        <w:t xml:space="preserve"> that Talos </w:t>
      </w:r>
      <w:r w:rsidR="00A369B3">
        <w:rPr>
          <w:rFonts w:cs="Times New Roman"/>
          <w:szCs w:val="24"/>
        </w:rPr>
        <w:t>was o</w:t>
      </w:r>
      <w:r w:rsidR="0096102A">
        <w:rPr>
          <w:rFonts w:cs="Times New Roman"/>
          <w:szCs w:val="24"/>
        </w:rPr>
        <w:t xml:space="preserve">n notice of </w:t>
      </w:r>
      <w:r w:rsidR="00834B4F">
        <w:rPr>
          <w:rFonts w:cs="Times New Roman"/>
          <w:szCs w:val="24"/>
        </w:rPr>
        <w:t xml:space="preserve">that </w:t>
      </w:r>
      <w:r w:rsidR="0096102A">
        <w:rPr>
          <w:rFonts w:cs="Times New Roman"/>
          <w:szCs w:val="24"/>
        </w:rPr>
        <w:t>purpose</w:t>
      </w:r>
      <w:r w:rsidR="00834B4F">
        <w:rPr>
          <w:rFonts w:cs="Times New Roman"/>
          <w:szCs w:val="24"/>
        </w:rPr>
        <w:t>. Even so,</w:t>
      </w:r>
      <w:r w:rsidR="009446E6">
        <w:rPr>
          <w:rFonts w:cs="Times New Roman"/>
          <w:szCs w:val="24"/>
        </w:rPr>
        <w:t xml:space="preserve"> he did</w:t>
      </w:r>
      <w:r w:rsidR="00834B4F">
        <w:rPr>
          <w:rFonts w:cs="Times New Roman"/>
          <w:szCs w:val="24"/>
        </w:rPr>
        <w:t xml:space="preserve"> not </w:t>
      </w:r>
      <w:r w:rsidR="009446E6">
        <w:rPr>
          <w:rFonts w:cs="Times New Roman"/>
          <w:szCs w:val="24"/>
        </w:rPr>
        <w:t>feel the need to say anything to Mr Simons no</w:t>
      </w:r>
      <w:r w:rsidR="00C96CC7">
        <w:rPr>
          <w:rFonts w:cs="Times New Roman"/>
          <w:szCs w:val="24"/>
        </w:rPr>
        <w:t>r</w:t>
      </w:r>
      <w:r w:rsidR="009446E6">
        <w:rPr>
          <w:rFonts w:cs="Times New Roman"/>
          <w:szCs w:val="24"/>
        </w:rPr>
        <w:t xml:space="preserve"> did it occur to him to ask whether the claim against the</w:t>
      </w:r>
      <w:r w:rsidR="00FA7958">
        <w:rPr>
          <w:rFonts w:cs="Times New Roman"/>
          <w:szCs w:val="24"/>
        </w:rPr>
        <w:t xml:space="preserve"> </w:t>
      </w:r>
      <w:r w:rsidR="009446E6">
        <w:rPr>
          <w:rFonts w:cs="Times New Roman"/>
          <w:szCs w:val="24"/>
        </w:rPr>
        <w:t>IBRC continued to subsist.</w:t>
      </w:r>
      <w:r w:rsidR="009446E6">
        <w:rPr>
          <w:rStyle w:val="FootnoteReference"/>
          <w:rFonts w:cs="Times New Roman"/>
          <w:szCs w:val="24"/>
        </w:rPr>
        <w:footnoteReference w:id="12"/>
      </w:r>
      <w:r w:rsidR="009446E6">
        <w:rPr>
          <w:rFonts w:cs="Times New Roman"/>
          <w:szCs w:val="24"/>
        </w:rPr>
        <w:t xml:space="preserve">  </w:t>
      </w:r>
    </w:p>
    <w:p w14:paraId="793F442F" w14:textId="77777777" w:rsidR="00C96CC7" w:rsidRDefault="00C96CC7" w:rsidP="00C96CC7">
      <w:pPr>
        <w:pStyle w:val="ListParagraph"/>
        <w:autoSpaceDE w:val="0"/>
        <w:autoSpaceDN w:val="0"/>
        <w:adjustRightInd w:val="0"/>
        <w:rPr>
          <w:rFonts w:cs="Times New Roman"/>
          <w:szCs w:val="24"/>
        </w:rPr>
      </w:pPr>
    </w:p>
    <w:p w14:paraId="2D122FAF" w14:textId="29AD90DA" w:rsidR="00981A8A" w:rsidRPr="00981A8A" w:rsidRDefault="002F133F" w:rsidP="00981A8A">
      <w:pPr>
        <w:pStyle w:val="ListParagraph"/>
        <w:numPr>
          <w:ilvl w:val="0"/>
          <w:numId w:val="1"/>
        </w:numPr>
        <w:autoSpaceDE w:val="0"/>
        <w:autoSpaceDN w:val="0"/>
        <w:adjustRightInd w:val="0"/>
        <w:ind w:hanging="720"/>
        <w:rPr>
          <w:rFonts w:cs="Times New Roman"/>
          <w:szCs w:val="24"/>
        </w:rPr>
      </w:pPr>
      <w:r w:rsidRPr="00DC322F">
        <w:rPr>
          <w:rFonts w:cs="Times New Roman"/>
          <w:szCs w:val="24"/>
        </w:rPr>
        <w:t xml:space="preserve">The Judge understandably found this silence puzzling. The fundamental premise of Dr Sheehan’s misrepresentation claim was that his </w:t>
      </w:r>
      <w:r w:rsidRPr="00164E79">
        <w:rPr>
          <w:rFonts w:cs="Times New Roman"/>
          <w:i/>
          <w:szCs w:val="24"/>
          <w:u w:val="single"/>
        </w:rPr>
        <w:t>sole</w:t>
      </w:r>
      <w:r w:rsidRPr="00DC322F">
        <w:rPr>
          <w:rFonts w:cs="Times New Roman"/>
          <w:szCs w:val="24"/>
        </w:rPr>
        <w:t xml:space="preserve"> reason for entering into the Settlement Agreement was to regain control of JCS </w:t>
      </w:r>
      <w:r>
        <w:rPr>
          <w:rFonts w:cs="Times New Roman"/>
          <w:szCs w:val="24"/>
        </w:rPr>
        <w:t xml:space="preserve">so as </w:t>
      </w:r>
      <w:r w:rsidRPr="00DC322F">
        <w:rPr>
          <w:rFonts w:cs="Times New Roman"/>
          <w:szCs w:val="24"/>
        </w:rPr>
        <w:t>to pursue a claim against IBRC</w:t>
      </w:r>
      <w:r w:rsidR="00BA5EC0">
        <w:rPr>
          <w:rFonts w:cs="Times New Roman"/>
          <w:szCs w:val="24"/>
        </w:rPr>
        <w:t xml:space="preserve"> in respect of the Deposit</w:t>
      </w:r>
      <w:r w:rsidRPr="00DC322F">
        <w:rPr>
          <w:rFonts w:cs="Times New Roman"/>
          <w:szCs w:val="24"/>
        </w:rPr>
        <w:t xml:space="preserve">. </w:t>
      </w:r>
      <w:r>
        <w:rPr>
          <w:rFonts w:cs="Times New Roman"/>
          <w:szCs w:val="24"/>
        </w:rPr>
        <w:t xml:space="preserve">Dr Sheehan’s case </w:t>
      </w:r>
      <w:r w:rsidR="00834B4F">
        <w:rPr>
          <w:rFonts w:cs="Times New Roman"/>
          <w:szCs w:val="24"/>
        </w:rPr>
        <w:t>was</w:t>
      </w:r>
      <w:r>
        <w:rPr>
          <w:rFonts w:cs="Times New Roman"/>
          <w:szCs w:val="24"/>
        </w:rPr>
        <w:t xml:space="preserve"> that th</w:t>
      </w:r>
      <w:r w:rsidR="00834B4F">
        <w:rPr>
          <w:rFonts w:cs="Times New Roman"/>
          <w:szCs w:val="24"/>
        </w:rPr>
        <w:t>e claim against IBRC</w:t>
      </w:r>
      <w:r>
        <w:rPr>
          <w:rFonts w:cs="Times New Roman"/>
          <w:szCs w:val="24"/>
        </w:rPr>
        <w:t xml:space="preserve"> was the</w:t>
      </w:r>
      <w:r w:rsidRPr="00DC322F">
        <w:rPr>
          <w:rFonts w:cs="Times New Roman"/>
          <w:szCs w:val="24"/>
        </w:rPr>
        <w:t xml:space="preserve"> </w:t>
      </w:r>
      <w:r w:rsidRPr="00A71F17">
        <w:rPr>
          <w:rFonts w:cs="Times New Roman"/>
          <w:i/>
          <w:szCs w:val="24"/>
          <w:u w:val="single"/>
        </w:rPr>
        <w:t>only</w:t>
      </w:r>
      <w:r w:rsidRPr="00DC322F">
        <w:rPr>
          <w:rFonts w:cs="Times New Roman"/>
          <w:szCs w:val="24"/>
        </w:rPr>
        <w:t xml:space="preserve"> asset that </w:t>
      </w:r>
      <w:r>
        <w:rPr>
          <w:rFonts w:cs="Times New Roman"/>
          <w:szCs w:val="24"/>
        </w:rPr>
        <w:t>he</w:t>
      </w:r>
      <w:r w:rsidRPr="00DC322F">
        <w:rPr>
          <w:rFonts w:cs="Times New Roman"/>
          <w:szCs w:val="24"/>
        </w:rPr>
        <w:t xml:space="preserve"> stood to obtain in return for agreeing to discharge JCS’s </w:t>
      </w:r>
      <w:r w:rsidR="00A71F17">
        <w:rPr>
          <w:rFonts w:cs="Times New Roman"/>
          <w:szCs w:val="24"/>
        </w:rPr>
        <w:t xml:space="preserve">substantial </w:t>
      </w:r>
      <w:r w:rsidRPr="00DC322F">
        <w:rPr>
          <w:rFonts w:cs="Times New Roman"/>
          <w:szCs w:val="24"/>
        </w:rPr>
        <w:t>liabilities to Talos</w:t>
      </w:r>
      <w:r>
        <w:rPr>
          <w:rFonts w:cs="Times New Roman"/>
          <w:szCs w:val="24"/>
        </w:rPr>
        <w:t xml:space="preserve"> (liabilities which, he emphasise</w:t>
      </w:r>
      <w:r w:rsidR="00834B4F">
        <w:rPr>
          <w:rFonts w:cs="Times New Roman"/>
          <w:szCs w:val="24"/>
        </w:rPr>
        <w:t>d</w:t>
      </w:r>
      <w:r>
        <w:rPr>
          <w:rFonts w:cs="Times New Roman"/>
          <w:szCs w:val="24"/>
        </w:rPr>
        <w:t>, he was not otherwise liable for</w:t>
      </w:r>
      <w:r w:rsidR="00405354">
        <w:rPr>
          <w:rFonts w:cs="Times New Roman"/>
          <w:szCs w:val="24"/>
        </w:rPr>
        <w:t>, though that is rather an oversimplification of the actual position</w:t>
      </w:r>
      <w:r>
        <w:rPr>
          <w:rFonts w:cs="Times New Roman"/>
          <w:szCs w:val="24"/>
        </w:rPr>
        <w:t xml:space="preserve">). </w:t>
      </w:r>
      <w:r w:rsidRPr="00DC322F">
        <w:rPr>
          <w:rFonts w:cs="Times New Roman"/>
          <w:szCs w:val="24"/>
        </w:rPr>
        <w:t xml:space="preserve"> Yet, </w:t>
      </w:r>
      <w:r>
        <w:rPr>
          <w:rFonts w:cs="Times New Roman"/>
          <w:szCs w:val="24"/>
        </w:rPr>
        <w:t xml:space="preserve">it </w:t>
      </w:r>
      <w:r w:rsidR="00BA5EC0">
        <w:rPr>
          <w:rFonts w:cs="Times New Roman"/>
          <w:szCs w:val="24"/>
        </w:rPr>
        <w:t xml:space="preserve">appears from the evidence, </w:t>
      </w:r>
      <w:r w:rsidRPr="00DC322F">
        <w:rPr>
          <w:rFonts w:cs="Times New Roman"/>
          <w:szCs w:val="24"/>
        </w:rPr>
        <w:t xml:space="preserve">at no stage during the discussions </w:t>
      </w:r>
      <w:r w:rsidR="000F233D">
        <w:rPr>
          <w:rFonts w:cs="Times New Roman"/>
          <w:szCs w:val="24"/>
        </w:rPr>
        <w:t xml:space="preserve">leading to </w:t>
      </w:r>
      <w:r w:rsidRPr="00DC322F">
        <w:rPr>
          <w:rFonts w:cs="Times New Roman"/>
          <w:szCs w:val="24"/>
        </w:rPr>
        <w:t xml:space="preserve">the Settlement Agreement did Dr Sheehan or his advisors seek any reassurance or comfort that that asset remained with JCS. Even if it did not </w:t>
      </w:r>
      <w:r w:rsidR="003717D6">
        <w:rPr>
          <w:rFonts w:cs="Times New Roman"/>
          <w:szCs w:val="24"/>
        </w:rPr>
        <w:t>seem</w:t>
      </w:r>
      <w:r w:rsidRPr="00DC322F">
        <w:rPr>
          <w:rFonts w:cs="Times New Roman"/>
          <w:szCs w:val="24"/>
        </w:rPr>
        <w:t xml:space="preserve"> practical to </w:t>
      </w:r>
      <w:r>
        <w:rPr>
          <w:rFonts w:cs="Times New Roman"/>
          <w:szCs w:val="24"/>
        </w:rPr>
        <w:t>carry out</w:t>
      </w:r>
      <w:r w:rsidRPr="00DC322F">
        <w:rPr>
          <w:rFonts w:cs="Times New Roman"/>
          <w:szCs w:val="24"/>
        </w:rPr>
        <w:t xml:space="preserve"> any formal due diligence or seek formal warranties or indemnities from Talos – as Mr Shannon </w:t>
      </w:r>
      <w:r>
        <w:rPr>
          <w:rFonts w:cs="Times New Roman"/>
          <w:szCs w:val="24"/>
        </w:rPr>
        <w:t>suggested</w:t>
      </w:r>
      <w:r w:rsidRPr="00DC322F">
        <w:rPr>
          <w:rFonts w:cs="Times New Roman"/>
          <w:szCs w:val="24"/>
        </w:rPr>
        <w:t xml:space="preserve"> in his evidence</w:t>
      </w:r>
      <w:r w:rsidR="008145B1">
        <w:rPr>
          <w:rFonts w:cs="Times New Roman"/>
          <w:szCs w:val="24"/>
        </w:rPr>
        <w:t xml:space="preserve">, though that evidence must, I think, be treated with some reserve given that </w:t>
      </w:r>
      <w:r w:rsidR="008145B1">
        <w:rPr>
          <w:rFonts w:cs="Times New Roman"/>
          <w:szCs w:val="24"/>
        </w:rPr>
        <w:lastRenderedPageBreak/>
        <w:t xml:space="preserve">the </w:t>
      </w:r>
      <w:r w:rsidR="00ED10BC">
        <w:rPr>
          <w:rFonts w:cs="Times New Roman"/>
          <w:szCs w:val="24"/>
        </w:rPr>
        <w:t xml:space="preserve">issue was never raised with </w:t>
      </w:r>
      <w:proofErr w:type="spellStart"/>
      <w:r w:rsidR="00ED10BC">
        <w:rPr>
          <w:rFonts w:cs="Times New Roman"/>
          <w:szCs w:val="24"/>
        </w:rPr>
        <w:t>Talos</w:t>
      </w:r>
      <w:proofErr w:type="spellEnd"/>
      <w:r w:rsidR="00ED10BC">
        <w:rPr>
          <w:rFonts w:cs="Times New Roman"/>
          <w:szCs w:val="24"/>
        </w:rPr>
        <w:t xml:space="preserve"> </w:t>
      </w:r>
      <w:r w:rsidRPr="00DC322F">
        <w:rPr>
          <w:rFonts w:cs="Times New Roman"/>
          <w:szCs w:val="24"/>
        </w:rPr>
        <w:t xml:space="preserve">– that </w:t>
      </w:r>
      <w:r w:rsidR="00A71F17">
        <w:rPr>
          <w:rFonts w:cs="Times New Roman"/>
          <w:szCs w:val="24"/>
        </w:rPr>
        <w:t>would</w:t>
      </w:r>
      <w:r w:rsidRPr="00DC322F">
        <w:rPr>
          <w:rFonts w:cs="Times New Roman"/>
          <w:szCs w:val="24"/>
        </w:rPr>
        <w:t xml:space="preserve"> not explain Dr Sheehan’s </w:t>
      </w:r>
      <w:r w:rsidR="003717D6">
        <w:rPr>
          <w:rFonts w:cs="Times New Roman"/>
          <w:szCs w:val="24"/>
        </w:rPr>
        <w:t xml:space="preserve">absolute </w:t>
      </w:r>
      <w:r w:rsidRPr="00DC322F">
        <w:rPr>
          <w:rFonts w:cs="Times New Roman"/>
          <w:szCs w:val="24"/>
        </w:rPr>
        <w:t>silence on this point or the failure of his advisors to seek a simple confirmation that JCS’s potential claim against IBRC remained intact</w:t>
      </w:r>
      <w:r>
        <w:t>. Notably, Mr Brennan accepted in cross-examination that, if he had been paying money for an asset on behalf of a client, he “</w:t>
      </w:r>
      <w:r w:rsidRPr="008C36B9">
        <w:rPr>
          <w:i/>
        </w:rPr>
        <w:t>would have asked questions.”</w:t>
      </w:r>
      <w:r>
        <w:t xml:space="preserve"> </w:t>
      </w:r>
      <w:r>
        <w:rPr>
          <w:rStyle w:val="FootnoteReference"/>
        </w:rPr>
        <w:footnoteReference w:id="13"/>
      </w:r>
      <w:r>
        <w:t xml:space="preserve"> That appears to be no more than a statement of basic common sense. In contrast, Mr Shannon’s evidence was that it “</w:t>
      </w:r>
      <w:r w:rsidRPr="002F133F">
        <w:rPr>
          <w:i/>
        </w:rPr>
        <w:t>never occurred</w:t>
      </w:r>
      <w:r>
        <w:t xml:space="preserve">” to him to ask any questions. </w:t>
      </w:r>
      <w:r w:rsidR="00981A8A">
        <w:t xml:space="preserve">That is, frankly, very difficult to understand. </w:t>
      </w:r>
      <w:r w:rsidR="005B361E">
        <w:t xml:space="preserve">Even if it is accepted that Mr Simons’ emails of 16 November 2015 impliedly represented that any claim that JCS might have against IBRC remained alive – and that is, of course, a matter of acute dispute – it begs the question why the issue </w:t>
      </w:r>
      <w:r w:rsidR="001C7AF2">
        <w:t>had</w:t>
      </w:r>
      <w:r w:rsidR="005B361E">
        <w:t xml:space="preserve"> not</w:t>
      </w:r>
      <w:r w:rsidR="00C84EC0">
        <w:t xml:space="preserve"> been</w:t>
      </w:r>
      <w:r w:rsidR="005B361E">
        <w:t xml:space="preserve"> raised </w:t>
      </w:r>
      <w:r w:rsidR="001C7AF2">
        <w:t xml:space="preserve">in the period </w:t>
      </w:r>
      <w:r w:rsidR="001C7AF2" w:rsidRPr="001C7AF2">
        <w:rPr>
          <w:i/>
        </w:rPr>
        <w:t>prior</w:t>
      </w:r>
      <w:r w:rsidR="001C7AF2">
        <w:t xml:space="preserve"> to 16 November 2015.</w:t>
      </w:r>
    </w:p>
    <w:p w14:paraId="0A9898E0" w14:textId="77777777" w:rsidR="002F133F" w:rsidRPr="00DC322F" w:rsidRDefault="002F133F" w:rsidP="002F133F">
      <w:pPr>
        <w:pStyle w:val="ListParagraph"/>
        <w:autoSpaceDE w:val="0"/>
        <w:autoSpaceDN w:val="0"/>
        <w:adjustRightInd w:val="0"/>
        <w:rPr>
          <w:rFonts w:cs="Times New Roman"/>
          <w:szCs w:val="24"/>
        </w:rPr>
      </w:pPr>
    </w:p>
    <w:p w14:paraId="48025835" w14:textId="40EBAF3E" w:rsidR="00BB2EFF" w:rsidRDefault="00A71F17" w:rsidP="00DC322F">
      <w:pPr>
        <w:pStyle w:val="ListParagraph"/>
        <w:numPr>
          <w:ilvl w:val="0"/>
          <w:numId w:val="1"/>
        </w:numPr>
        <w:autoSpaceDE w:val="0"/>
        <w:autoSpaceDN w:val="0"/>
        <w:adjustRightInd w:val="0"/>
        <w:ind w:hanging="720"/>
        <w:rPr>
          <w:rFonts w:cs="Times New Roman"/>
          <w:szCs w:val="24"/>
        </w:rPr>
      </w:pPr>
      <w:r>
        <w:rPr>
          <w:rFonts w:cs="Times New Roman"/>
          <w:szCs w:val="24"/>
        </w:rPr>
        <w:t xml:space="preserve">In any event, </w:t>
      </w:r>
      <w:r w:rsidR="009446E6">
        <w:rPr>
          <w:rFonts w:cs="Times New Roman"/>
          <w:szCs w:val="24"/>
        </w:rPr>
        <w:t xml:space="preserve">Mr Simons gave evidence that he had read </w:t>
      </w:r>
      <w:r w:rsidR="00BB584F">
        <w:rPr>
          <w:rFonts w:cs="Times New Roman"/>
          <w:szCs w:val="24"/>
        </w:rPr>
        <w:t>Mr Brennan’s letter as indicating that the date of 31 March was a “</w:t>
      </w:r>
      <w:r w:rsidR="00BB584F" w:rsidRPr="00BB584F">
        <w:rPr>
          <w:rFonts w:cs="Times New Roman"/>
          <w:i/>
          <w:szCs w:val="24"/>
        </w:rPr>
        <w:t>cut-off”.</w:t>
      </w:r>
      <w:r w:rsidR="00BB584F" w:rsidRPr="00BB584F">
        <w:rPr>
          <w:rStyle w:val="FootnoteReference"/>
          <w:rFonts w:cs="Times New Roman"/>
          <w:szCs w:val="24"/>
        </w:rPr>
        <w:footnoteReference w:id="14"/>
      </w:r>
      <w:r w:rsidR="00BB584F">
        <w:rPr>
          <w:rFonts w:cs="Times New Roman"/>
          <w:szCs w:val="24"/>
        </w:rPr>
        <w:t xml:space="preserve"> Thereafter, he said, it had never been suggested to him or to Talos by any party that Dr Sheehan wanted to regain control of JCS in order to sue IBRC. </w:t>
      </w:r>
      <w:r w:rsidR="00BB584F">
        <w:rPr>
          <w:rStyle w:val="FootnoteReference"/>
          <w:rFonts w:cs="Times New Roman"/>
          <w:szCs w:val="24"/>
        </w:rPr>
        <w:footnoteReference w:id="15"/>
      </w:r>
      <w:r w:rsidR="00BB584F">
        <w:rPr>
          <w:rFonts w:cs="Times New Roman"/>
          <w:szCs w:val="24"/>
        </w:rPr>
        <w:t xml:space="preserve"> Nor had he ever been asked whether IBRC had repaid any portion of the Deposit or whether any claim against IBRC in relation to it had been “</w:t>
      </w:r>
      <w:r w:rsidR="00BB584F" w:rsidRPr="00BB584F">
        <w:rPr>
          <w:rFonts w:cs="Times New Roman"/>
          <w:i/>
          <w:szCs w:val="24"/>
        </w:rPr>
        <w:t>preserved</w:t>
      </w:r>
      <w:r w:rsidR="00BB584F">
        <w:rPr>
          <w:rFonts w:cs="Times New Roman"/>
          <w:szCs w:val="24"/>
        </w:rPr>
        <w:t xml:space="preserve">. </w:t>
      </w:r>
      <w:r w:rsidR="00BB584F">
        <w:rPr>
          <w:rStyle w:val="FootnoteReference"/>
          <w:rFonts w:cs="Times New Roman"/>
          <w:szCs w:val="24"/>
        </w:rPr>
        <w:footnoteReference w:id="16"/>
      </w:r>
      <w:r w:rsidR="00BB584F">
        <w:rPr>
          <w:rFonts w:cs="Times New Roman"/>
          <w:szCs w:val="24"/>
        </w:rPr>
        <w:t xml:space="preserve"> This evidence was, of course, consistent with the evidence that had been given by Mr Brennan, Mr Hickey and Mr Shannon. </w:t>
      </w:r>
      <w:r w:rsidR="001E6080">
        <w:rPr>
          <w:rFonts w:cs="Times New Roman"/>
          <w:szCs w:val="24"/>
        </w:rPr>
        <w:t xml:space="preserve">Mr Simons’ evidence was that Mr Brennan’s letter had faded from his memory and </w:t>
      </w:r>
      <w:r w:rsidR="00764601">
        <w:rPr>
          <w:rFonts w:cs="Times New Roman"/>
          <w:szCs w:val="24"/>
        </w:rPr>
        <w:t>had been</w:t>
      </w:r>
      <w:r w:rsidR="001E6080">
        <w:rPr>
          <w:rFonts w:cs="Times New Roman"/>
          <w:szCs w:val="24"/>
        </w:rPr>
        <w:t xml:space="preserve"> forgotten</w:t>
      </w:r>
      <w:r w:rsidR="001E6080">
        <w:rPr>
          <w:rStyle w:val="FootnoteReference"/>
          <w:rFonts w:cs="Times New Roman"/>
          <w:szCs w:val="24"/>
        </w:rPr>
        <w:footnoteReference w:id="17"/>
      </w:r>
      <w:r w:rsidR="001E6080">
        <w:rPr>
          <w:rFonts w:cs="Times New Roman"/>
          <w:szCs w:val="24"/>
        </w:rPr>
        <w:t xml:space="preserve"> </w:t>
      </w:r>
      <w:r w:rsidR="00BB2EFF">
        <w:rPr>
          <w:rFonts w:cs="Times New Roman"/>
          <w:szCs w:val="24"/>
        </w:rPr>
        <w:t xml:space="preserve">and that, </w:t>
      </w:r>
      <w:r w:rsidR="001E6080">
        <w:rPr>
          <w:rFonts w:cs="Times New Roman"/>
          <w:szCs w:val="24"/>
        </w:rPr>
        <w:t xml:space="preserve">as a </w:t>
      </w:r>
      <w:r w:rsidR="001E6080">
        <w:rPr>
          <w:rFonts w:cs="Times New Roman"/>
          <w:szCs w:val="24"/>
        </w:rPr>
        <w:lastRenderedPageBreak/>
        <w:t xml:space="preserve">matter of fact, he was not aware that Dr Sheehan’s purpose in seeking to regain control of JCS was to sue IBRC and indeed </w:t>
      </w:r>
      <w:r w:rsidR="00BB2EFF">
        <w:rPr>
          <w:rFonts w:cs="Times New Roman"/>
          <w:szCs w:val="24"/>
        </w:rPr>
        <w:t xml:space="preserve">Mr Simons </w:t>
      </w:r>
      <w:r w:rsidR="001E6080">
        <w:rPr>
          <w:rFonts w:cs="Times New Roman"/>
          <w:szCs w:val="24"/>
        </w:rPr>
        <w:t>expressed the view that</w:t>
      </w:r>
      <w:r w:rsidR="00C84EC0">
        <w:rPr>
          <w:rFonts w:cs="Times New Roman"/>
          <w:szCs w:val="24"/>
        </w:rPr>
        <w:t xml:space="preserve"> that</w:t>
      </w:r>
      <w:r w:rsidR="001E6080">
        <w:rPr>
          <w:rFonts w:cs="Times New Roman"/>
          <w:szCs w:val="24"/>
        </w:rPr>
        <w:t xml:space="preserve"> </w:t>
      </w:r>
      <w:r w:rsidR="00BB2EFF">
        <w:rPr>
          <w:rFonts w:cs="Times New Roman"/>
          <w:szCs w:val="24"/>
        </w:rPr>
        <w:t>had not been Dr Sheehan’s purpose or, if it was, “</w:t>
      </w:r>
      <w:r w:rsidR="00BB2EFF" w:rsidRPr="00BB2EFF">
        <w:rPr>
          <w:rFonts w:cs="Times New Roman"/>
          <w:i/>
          <w:szCs w:val="24"/>
        </w:rPr>
        <w:t>he had wanted to hide that from Talos</w:t>
      </w:r>
      <w:r w:rsidR="00BB2EFF">
        <w:rPr>
          <w:rFonts w:cs="Times New Roman"/>
          <w:szCs w:val="24"/>
        </w:rPr>
        <w:t>”.</w:t>
      </w:r>
      <w:r w:rsidR="00BB2EFF">
        <w:rPr>
          <w:rStyle w:val="FootnoteReference"/>
          <w:rFonts w:cs="Times New Roman"/>
          <w:szCs w:val="24"/>
        </w:rPr>
        <w:footnoteReference w:id="18"/>
      </w:r>
      <w:r w:rsidR="00BB2EFF">
        <w:rPr>
          <w:rFonts w:cs="Times New Roman"/>
          <w:szCs w:val="24"/>
        </w:rPr>
        <w:t xml:space="preserve"> </w:t>
      </w:r>
    </w:p>
    <w:p w14:paraId="76B168D1" w14:textId="77777777" w:rsidR="00BB2EFF" w:rsidRDefault="00BB2EFF" w:rsidP="00BB2EFF">
      <w:pPr>
        <w:pStyle w:val="ListParagraph"/>
        <w:autoSpaceDE w:val="0"/>
        <w:autoSpaceDN w:val="0"/>
        <w:adjustRightInd w:val="0"/>
        <w:rPr>
          <w:rFonts w:cs="Times New Roman"/>
          <w:szCs w:val="24"/>
        </w:rPr>
      </w:pPr>
    </w:p>
    <w:p w14:paraId="03A0DF3B" w14:textId="5C0B3A83" w:rsidR="002738F3" w:rsidRDefault="00BB2EFF" w:rsidP="00DC322F">
      <w:pPr>
        <w:pStyle w:val="ListParagraph"/>
        <w:numPr>
          <w:ilvl w:val="0"/>
          <w:numId w:val="1"/>
        </w:numPr>
        <w:autoSpaceDE w:val="0"/>
        <w:autoSpaceDN w:val="0"/>
        <w:adjustRightInd w:val="0"/>
        <w:ind w:hanging="720"/>
        <w:rPr>
          <w:rFonts w:cs="Times New Roman"/>
          <w:szCs w:val="24"/>
        </w:rPr>
      </w:pPr>
      <w:r>
        <w:rPr>
          <w:rFonts w:cs="Times New Roman"/>
          <w:szCs w:val="24"/>
        </w:rPr>
        <w:t>While Mr Simon</w:t>
      </w:r>
      <w:r w:rsidR="005F5989">
        <w:rPr>
          <w:rFonts w:cs="Times New Roman"/>
          <w:szCs w:val="24"/>
        </w:rPr>
        <w:t>s</w:t>
      </w:r>
      <w:r w:rsidR="00C84EC0">
        <w:rPr>
          <w:rFonts w:cs="Times New Roman"/>
          <w:szCs w:val="24"/>
        </w:rPr>
        <w:t>’</w:t>
      </w:r>
      <w:r w:rsidR="005F5989">
        <w:rPr>
          <w:rFonts w:cs="Times New Roman"/>
          <w:szCs w:val="24"/>
        </w:rPr>
        <w:t xml:space="preserve"> evidence in this respect</w:t>
      </w:r>
      <w:r w:rsidR="00342D86">
        <w:rPr>
          <w:rFonts w:cs="Times New Roman"/>
          <w:szCs w:val="24"/>
        </w:rPr>
        <w:t xml:space="preserve"> was </w:t>
      </w:r>
      <w:r>
        <w:rPr>
          <w:rFonts w:cs="Times New Roman"/>
          <w:szCs w:val="24"/>
        </w:rPr>
        <w:t xml:space="preserve">challenged on cross-examination, it was </w:t>
      </w:r>
      <w:r w:rsidR="001C7AF2">
        <w:rPr>
          <w:rFonts w:cs="Times New Roman"/>
          <w:szCs w:val="24"/>
        </w:rPr>
        <w:t xml:space="preserve">clearly </w:t>
      </w:r>
      <w:r>
        <w:rPr>
          <w:rFonts w:cs="Times New Roman"/>
          <w:szCs w:val="24"/>
        </w:rPr>
        <w:t xml:space="preserve">accepted by the Judge. </w:t>
      </w:r>
      <w:r w:rsidR="002738F3">
        <w:rPr>
          <w:rFonts w:cs="Times New Roman"/>
          <w:szCs w:val="24"/>
        </w:rPr>
        <w:t xml:space="preserve">He accepted that, as of November 2015, Mr Simons </w:t>
      </w:r>
      <w:r w:rsidR="002F133F">
        <w:rPr>
          <w:rFonts w:cs="Times New Roman"/>
          <w:szCs w:val="24"/>
        </w:rPr>
        <w:t xml:space="preserve">no longer recalled </w:t>
      </w:r>
      <w:r w:rsidR="002738F3">
        <w:rPr>
          <w:rFonts w:cs="Times New Roman"/>
          <w:szCs w:val="24"/>
        </w:rPr>
        <w:t>Mr Brennan’s letter of 25 March 2015: Judgment, para 52. He also accepted</w:t>
      </w:r>
      <w:r w:rsidR="00013B46">
        <w:rPr>
          <w:rFonts w:cs="Times New Roman"/>
          <w:szCs w:val="24"/>
        </w:rPr>
        <w:t xml:space="preserve"> (</w:t>
      </w:r>
      <w:r w:rsidR="00473591">
        <w:rPr>
          <w:rFonts w:cs="Times New Roman"/>
          <w:szCs w:val="24"/>
        </w:rPr>
        <w:t>at para 54</w:t>
      </w:r>
      <w:r w:rsidR="00013B46">
        <w:rPr>
          <w:rFonts w:cs="Times New Roman"/>
          <w:szCs w:val="24"/>
        </w:rPr>
        <w:t>)</w:t>
      </w:r>
      <w:r w:rsidR="002738F3">
        <w:rPr>
          <w:rFonts w:cs="Times New Roman"/>
          <w:szCs w:val="24"/>
        </w:rPr>
        <w:t xml:space="preserve"> that, </w:t>
      </w:r>
      <w:r w:rsidR="005F5989">
        <w:rPr>
          <w:rFonts w:cs="Times New Roman"/>
          <w:szCs w:val="24"/>
        </w:rPr>
        <w:t>notwithstanding</w:t>
      </w:r>
      <w:r w:rsidR="002738F3">
        <w:rPr>
          <w:rFonts w:cs="Times New Roman"/>
          <w:szCs w:val="24"/>
        </w:rPr>
        <w:t xml:space="preserve"> that letter, “</w:t>
      </w:r>
      <w:r w:rsidR="002738F3" w:rsidRPr="002738F3">
        <w:rPr>
          <w:rFonts w:cs="Times New Roman"/>
          <w:i/>
          <w:szCs w:val="24"/>
        </w:rPr>
        <w:t>Mr Simons was not aware, and could not be expected to have been aware, when he wrote the 16</w:t>
      </w:r>
      <w:r w:rsidR="002738F3" w:rsidRPr="002738F3">
        <w:rPr>
          <w:rFonts w:cs="Times New Roman"/>
          <w:i/>
          <w:szCs w:val="24"/>
          <w:vertAlign w:val="superscript"/>
        </w:rPr>
        <w:t>th</w:t>
      </w:r>
      <w:r w:rsidR="002738F3" w:rsidRPr="002738F3">
        <w:rPr>
          <w:rFonts w:cs="Times New Roman"/>
          <w:i/>
          <w:szCs w:val="24"/>
        </w:rPr>
        <w:t xml:space="preserve"> November Email that Dr Sheehan’s alleged purpose at that time in November 2015 in acquiring JCS, was to pursue</w:t>
      </w:r>
      <w:r w:rsidR="00C84EC0">
        <w:rPr>
          <w:rFonts w:cs="Times New Roman"/>
          <w:i/>
          <w:szCs w:val="24"/>
        </w:rPr>
        <w:t xml:space="preserve"> the</w:t>
      </w:r>
      <w:r w:rsidR="002738F3" w:rsidRPr="002738F3">
        <w:rPr>
          <w:rFonts w:cs="Times New Roman"/>
          <w:i/>
          <w:szCs w:val="24"/>
        </w:rPr>
        <w:t xml:space="preserve"> IBRC Claim”</w:t>
      </w:r>
      <w:r w:rsidR="002F133F">
        <w:rPr>
          <w:rFonts w:cs="Times New Roman"/>
          <w:i/>
          <w:szCs w:val="24"/>
        </w:rPr>
        <w:t>.</w:t>
      </w:r>
      <w:r w:rsidR="002738F3">
        <w:rPr>
          <w:rFonts w:cs="Times New Roman"/>
          <w:szCs w:val="24"/>
        </w:rPr>
        <w:t xml:space="preserve"> </w:t>
      </w:r>
      <w:r w:rsidR="003A5F00">
        <w:rPr>
          <w:rFonts w:cs="Times New Roman"/>
          <w:szCs w:val="24"/>
        </w:rPr>
        <w:t xml:space="preserve">That is a significant finding, encompassing both what Mr Simons actually knew and what he </w:t>
      </w:r>
      <w:r w:rsidR="00B24B15">
        <w:rPr>
          <w:rFonts w:cs="Times New Roman"/>
          <w:szCs w:val="24"/>
        </w:rPr>
        <w:t xml:space="preserve">ought </w:t>
      </w:r>
      <w:r w:rsidR="003A5F00">
        <w:rPr>
          <w:rFonts w:cs="Times New Roman"/>
          <w:szCs w:val="24"/>
        </w:rPr>
        <w:t xml:space="preserve">reasonably to have known as of November 2105. </w:t>
      </w:r>
      <w:r w:rsidR="002F133F">
        <w:rPr>
          <w:rFonts w:cs="Times New Roman"/>
          <w:szCs w:val="24"/>
        </w:rPr>
        <w:t xml:space="preserve">It is said </w:t>
      </w:r>
      <w:r w:rsidR="0009244F">
        <w:rPr>
          <w:rFonts w:cs="Times New Roman"/>
          <w:szCs w:val="24"/>
        </w:rPr>
        <w:t xml:space="preserve">by Dr Sheehan </w:t>
      </w:r>
      <w:r w:rsidR="002F133F">
        <w:rPr>
          <w:rFonts w:cs="Times New Roman"/>
          <w:szCs w:val="24"/>
        </w:rPr>
        <w:t>that these are inferences from the evidence that are not consistent with it. I do not agree. In my opinion, t</w:t>
      </w:r>
      <w:r w:rsidR="002738F3">
        <w:rPr>
          <w:rFonts w:cs="Times New Roman"/>
          <w:szCs w:val="24"/>
        </w:rPr>
        <w:t xml:space="preserve">hese are findings of primary fact based </w:t>
      </w:r>
      <w:r w:rsidR="002F133F" w:rsidRPr="002F133F">
        <w:rPr>
          <w:rFonts w:cs="Times New Roman"/>
          <w:i/>
          <w:szCs w:val="24"/>
        </w:rPr>
        <w:t>(inter alia)</w:t>
      </w:r>
      <w:r w:rsidR="002F133F">
        <w:rPr>
          <w:rFonts w:cs="Times New Roman"/>
          <w:szCs w:val="24"/>
        </w:rPr>
        <w:t xml:space="preserve"> </w:t>
      </w:r>
      <w:r w:rsidR="002738F3">
        <w:rPr>
          <w:rFonts w:cs="Times New Roman"/>
          <w:szCs w:val="24"/>
        </w:rPr>
        <w:t>on the Judge’s assessment of Mr Simons</w:t>
      </w:r>
      <w:r w:rsidR="00473591">
        <w:rPr>
          <w:rFonts w:cs="Times New Roman"/>
          <w:szCs w:val="24"/>
        </w:rPr>
        <w:t>’</w:t>
      </w:r>
      <w:r w:rsidR="002738F3">
        <w:rPr>
          <w:rFonts w:cs="Times New Roman"/>
          <w:szCs w:val="24"/>
        </w:rPr>
        <w:t xml:space="preserve"> oral evidence, including his</w:t>
      </w:r>
      <w:r w:rsidR="002230AC">
        <w:rPr>
          <w:rFonts w:cs="Times New Roman"/>
          <w:szCs w:val="24"/>
        </w:rPr>
        <w:t xml:space="preserve"> evidence in</w:t>
      </w:r>
      <w:r w:rsidR="002738F3">
        <w:rPr>
          <w:rFonts w:cs="Times New Roman"/>
          <w:szCs w:val="24"/>
        </w:rPr>
        <w:t xml:space="preserve"> cross-examination. No basis has been identified on which this Court might properly interfere with such findings and accordingly the Court is bound by them.</w:t>
      </w:r>
      <w:r w:rsidR="006D6C2F">
        <w:rPr>
          <w:rFonts w:cs="Times New Roman"/>
          <w:szCs w:val="24"/>
        </w:rPr>
        <w:t xml:space="preserve"> </w:t>
      </w:r>
    </w:p>
    <w:p w14:paraId="3A4338C2" w14:textId="77777777" w:rsidR="00F21FC3" w:rsidRDefault="00F21FC3" w:rsidP="00F21FC3">
      <w:pPr>
        <w:pStyle w:val="ListParagraph"/>
        <w:autoSpaceDE w:val="0"/>
        <w:autoSpaceDN w:val="0"/>
        <w:adjustRightInd w:val="0"/>
        <w:rPr>
          <w:rFonts w:cs="Times New Roman"/>
          <w:szCs w:val="24"/>
        </w:rPr>
      </w:pPr>
    </w:p>
    <w:p w14:paraId="049E846B" w14:textId="09797B35" w:rsidR="00F21FC3" w:rsidRPr="0053119A" w:rsidRDefault="002230AC" w:rsidP="00E339FF">
      <w:pPr>
        <w:pStyle w:val="ListParagraph"/>
        <w:numPr>
          <w:ilvl w:val="0"/>
          <w:numId w:val="1"/>
        </w:numPr>
        <w:autoSpaceDE w:val="0"/>
        <w:autoSpaceDN w:val="0"/>
        <w:adjustRightInd w:val="0"/>
        <w:ind w:hanging="720"/>
        <w:rPr>
          <w:rFonts w:cs="Times New Roman"/>
          <w:szCs w:val="24"/>
        </w:rPr>
      </w:pPr>
      <w:r w:rsidRPr="0053119A">
        <w:rPr>
          <w:rFonts w:cs="Times New Roman"/>
          <w:szCs w:val="24"/>
        </w:rPr>
        <w:t xml:space="preserve">As appears from paragraph 62 above, one of the arguments advanced by Dr Sheehan in this appeal is that Talos had </w:t>
      </w:r>
      <w:r w:rsidR="002F133F" w:rsidRPr="0053119A">
        <w:rPr>
          <w:rFonts w:cs="Times New Roman"/>
          <w:szCs w:val="24"/>
        </w:rPr>
        <w:t xml:space="preserve">an </w:t>
      </w:r>
      <w:r w:rsidRPr="0053119A">
        <w:rPr>
          <w:rFonts w:cs="Times New Roman"/>
          <w:szCs w:val="24"/>
        </w:rPr>
        <w:t xml:space="preserve">obligation to disclose the IBRC Settlement to Dr Sheehan </w:t>
      </w:r>
      <w:r w:rsidR="00F21FC3" w:rsidRPr="0053119A">
        <w:rPr>
          <w:rFonts w:cs="Times New Roman"/>
          <w:szCs w:val="24"/>
        </w:rPr>
        <w:t xml:space="preserve">because </w:t>
      </w:r>
      <w:r w:rsidRPr="0053119A">
        <w:rPr>
          <w:rFonts w:cs="Times New Roman"/>
          <w:szCs w:val="24"/>
        </w:rPr>
        <w:t xml:space="preserve">Mr Brennan’s letter of 25 March 2015 had put it on </w:t>
      </w:r>
      <w:r w:rsidR="00F21FC3" w:rsidRPr="0053119A">
        <w:rPr>
          <w:rFonts w:cs="Times New Roman"/>
          <w:szCs w:val="24"/>
        </w:rPr>
        <w:t xml:space="preserve">notice of Dr Sheehan’s desire to regain control of JCS so </w:t>
      </w:r>
      <w:r w:rsidR="0053119A">
        <w:rPr>
          <w:rFonts w:cs="Times New Roman"/>
          <w:szCs w:val="24"/>
        </w:rPr>
        <w:t>a</w:t>
      </w:r>
      <w:r w:rsidR="00F21FC3" w:rsidRPr="0053119A">
        <w:rPr>
          <w:rFonts w:cs="Times New Roman"/>
          <w:szCs w:val="24"/>
        </w:rPr>
        <w:t xml:space="preserve">s to pursue a claim against IBRC for the </w:t>
      </w:r>
      <w:r w:rsidR="00F21FC3" w:rsidRPr="0053119A">
        <w:rPr>
          <w:rFonts w:cs="Times New Roman"/>
          <w:szCs w:val="24"/>
        </w:rPr>
        <w:lastRenderedPageBreak/>
        <w:t xml:space="preserve">return of the Deposit. </w:t>
      </w:r>
      <w:r w:rsidR="0053119A">
        <w:rPr>
          <w:rFonts w:cs="Times New Roman"/>
          <w:szCs w:val="24"/>
        </w:rPr>
        <w:t xml:space="preserve">In light of what is stated by Mr Salter QC at paragraphs 15-19 of his report, it </w:t>
      </w:r>
      <w:r w:rsidR="00A71F17">
        <w:rPr>
          <w:rFonts w:cs="Times New Roman"/>
          <w:szCs w:val="24"/>
        </w:rPr>
        <w:t>does</w:t>
      </w:r>
      <w:r w:rsidR="0053119A">
        <w:rPr>
          <w:rFonts w:cs="Times New Roman"/>
          <w:szCs w:val="24"/>
        </w:rPr>
        <w:t xml:space="preserve"> not appear to </w:t>
      </w:r>
      <w:r w:rsidR="00FE63FC">
        <w:rPr>
          <w:rFonts w:cs="Times New Roman"/>
          <w:szCs w:val="24"/>
        </w:rPr>
        <w:t xml:space="preserve">me </w:t>
      </w:r>
      <w:r w:rsidR="0053119A">
        <w:rPr>
          <w:rFonts w:cs="Times New Roman"/>
          <w:szCs w:val="24"/>
        </w:rPr>
        <w:t xml:space="preserve">that </w:t>
      </w:r>
      <w:r w:rsidR="001C7AF2">
        <w:rPr>
          <w:rFonts w:cs="Times New Roman"/>
          <w:szCs w:val="24"/>
        </w:rPr>
        <w:t>the fact that one party to a transaction is on notice of the other party’s</w:t>
      </w:r>
      <w:r w:rsidR="0053119A">
        <w:rPr>
          <w:rFonts w:cs="Times New Roman"/>
          <w:szCs w:val="24"/>
        </w:rPr>
        <w:t xml:space="preserve"> purpose in entering into a transaction is sufficient </w:t>
      </w:r>
      <w:r w:rsidR="00A71F17">
        <w:rPr>
          <w:rFonts w:cs="Times New Roman"/>
          <w:szCs w:val="24"/>
        </w:rPr>
        <w:t>in</w:t>
      </w:r>
      <w:r w:rsidR="0053119A">
        <w:rPr>
          <w:rFonts w:cs="Times New Roman"/>
          <w:szCs w:val="24"/>
        </w:rPr>
        <w:t xml:space="preserve"> itself to</w:t>
      </w:r>
      <w:r w:rsidR="00A71F17">
        <w:rPr>
          <w:rFonts w:cs="Times New Roman"/>
          <w:szCs w:val="24"/>
        </w:rPr>
        <w:t xml:space="preserve"> impose a duty of disclosure on </w:t>
      </w:r>
      <w:r w:rsidR="001C7AF2">
        <w:rPr>
          <w:rFonts w:cs="Times New Roman"/>
          <w:szCs w:val="24"/>
        </w:rPr>
        <w:t xml:space="preserve">that </w:t>
      </w:r>
      <w:r w:rsidR="00A71F17">
        <w:rPr>
          <w:rFonts w:cs="Times New Roman"/>
          <w:szCs w:val="24"/>
        </w:rPr>
        <w:t>party (</w:t>
      </w:r>
      <w:r w:rsidR="001C7AF2">
        <w:rPr>
          <w:rFonts w:cs="Times New Roman"/>
          <w:szCs w:val="24"/>
        </w:rPr>
        <w:t>at least where</w:t>
      </w:r>
      <w:r w:rsidR="00A71F17">
        <w:rPr>
          <w:rFonts w:cs="Times New Roman"/>
          <w:szCs w:val="24"/>
        </w:rPr>
        <w:t xml:space="preserve"> the contract is </w:t>
      </w:r>
      <w:r w:rsidR="001C7AF2">
        <w:rPr>
          <w:rFonts w:cs="Times New Roman"/>
          <w:szCs w:val="24"/>
        </w:rPr>
        <w:t xml:space="preserve">not </w:t>
      </w:r>
      <w:r w:rsidR="00A71F17">
        <w:rPr>
          <w:rFonts w:cs="Times New Roman"/>
          <w:szCs w:val="24"/>
        </w:rPr>
        <w:t>one of utmost good faith</w:t>
      </w:r>
      <w:r w:rsidR="005F5989">
        <w:rPr>
          <w:rFonts w:cs="Times New Roman"/>
          <w:szCs w:val="24"/>
        </w:rPr>
        <w:t xml:space="preserve"> </w:t>
      </w:r>
      <w:r w:rsidR="001C7AF2">
        <w:rPr>
          <w:rFonts w:cs="Times New Roman"/>
          <w:szCs w:val="24"/>
        </w:rPr>
        <w:t xml:space="preserve">or </w:t>
      </w:r>
      <w:r w:rsidR="009E7258">
        <w:rPr>
          <w:rFonts w:cs="Times New Roman"/>
          <w:szCs w:val="24"/>
        </w:rPr>
        <w:t>one of the other categories of contract where a duty of disclosure is recognised</w:t>
      </w:r>
      <w:r w:rsidR="001321EE">
        <w:rPr>
          <w:rFonts w:cs="Times New Roman"/>
          <w:szCs w:val="24"/>
        </w:rPr>
        <w:t xml:space="preserve"> and</w:t>
      </w:r>
      <w:r w:rsidR="009E7258">
        <w:rPr>
          <w:rFonts w:cs="Times New Roman"/>
          <w:szCs w:val="24"/>
        </w:rPr>
        <w:t xml:space="preserve"> </w:t>
      </w:r>
      <w:r w:rsidR="005F5989">
        <w:rPr>
          <w:rFonts w:cs="Times New Roman"/>
          <w:szCs w:val="24"/>
        </w:rPr>
        <w:t>there is no dispute that the contract here was not such</w:t>
      </w:r>
      <w:r w:rsidR="009E7258">
        <w:rPr>
          <w:rFonts w:cs="Times New Roman"/>
          <w:szCs w:val="24"/>
        </w:rPr>
        <w:t xml:space="preserve"> a contract</w:t>
      </w:r>
      <w:r w:rsidR="00A71F17">
        <w:rPr>
          <w:rFonts w:cs="Times New Roman"/>
          <w:szCs w:val="24"/>
        </w:rPr>
        <w:t>). In any event, it appears to me that it foll</w:t>
      </w:r>
      <w:r w:rsidRPr="0053119A">
        <w:rPr>
          <w:rFonts w:cs="Times New Roman"/>
          <w:szCs w:val="24"/>
        </w:rPr>
        <w:t>ows from the express findings made</w:t>
      </w:r>
      <w:r w:rsidR="009A0672">
        <w:rPr>
          <w:rFonts w:cs="Times New Roman"/>
          <w:szCs w:val="24"/>
        </w:rPr>
        <w:t xml:space="preserve"> by </w:t>
      </w:r>
      <w:r w:rsidRPr="0053119A">
        <w:rPr>
          <w:rFonts w:cs="Times New Roman"/>
          <w:szCs w:val="24"/>
        </w:rPr>
        <w:t xml:space="preserve"> the Judge that this argument fail</w:t>
      </w:r>
      <w:r w:rsidR="009E7258">
        <w:rPr>
          <w:rFonts w:cs="Times New Roman"/>
          <w:szCs w:val="24"/>
        </w:rPr>
        <w:t>s on the evidence</w:t>
      </w:r>
      <w:r w:rsidRPr="0053119A">
        <w:rPr>
          <w:rFonts w:cs="Times New Roman"/>
          <w:szCs w:val="24"/>
        </w:rPr>
        <w:t xml:space="preserve">. </w:t>
      </w:r>
    </w:p>
    <w:p w14:paraId="04475F70" w14:textId="77777777" w:rsidR="00BB4724" w:rsidRDefault="00BB4724" w:rsidP="00BB4724">
      <w:pPr>
        <w:pStyle w:val="ListParagraph"/>
        <w:autoSpaceDE w:val="0"/>
        <w:autoSpaceDN w:val="0"/>
        <w:adjustRightInd w:val="0"/>
        <w:rPr>
          <w:rFonts w:cs="Times New Roman"/>
          <w:szCs w:val="24"/>
        </w:rPr>
      </w:pPr>
    </w:p>
    <w:p w14:paraId="5F715525" w14:textId="6C793AB5" w:rsidR="00CC315E" w:rsidRDefault="00A71F17" w:rsidP="00E56878">
      <w:pPr>
        <w:pStyle w:val="ListParagraph"/>
        <w:numPr>
          <w:ilvl w:val="0"/>
          <w:numId w:val="1"/>
        </w:numPr>
        <w:autoSpaceDE w:val="0"/>
        <w:autoSpaceDN w:val="0"/>
        <w:adjustRightInd w:val="0"/>
        <w:ind w:hanging="720"/>
        <w:rPr>
          <w:rFonts w:cs="Times New Roman"/>
          <w:szCs w:val="24"/>
        </w:rPr>
      </w:pPr>
      <w:r>
        <w:rPr>
          <w:rFonts w:cs="Times New Roman"/>
          <w:szCs w:val="24"/>
        </w:rPr>
        <w:t>The Judge made other findings arising from the evidence of Mr Simons which are also significant for the resolution of this appeal</w:t>
      </w:r>
      <w:r w:rsidR="00336F4A">
        <w:rPr>
          <w:rFonts w:cs="Times New Roman"/>
          <w:szCs w:val="24"/>
        </w:rPr>
        <w:t xml:space="preserve">. At paragraph 127 of his Judgment, </w:t>
      </w:r>
      <w:r w:rsidR="007372F6">
        <w:rPr>
          <w:rFonts w:cs="Times New Roman"/>
          <w:szCs w:val="24"/>
        </w:rPr>
        <w:t xml:space="preserve">he </w:t>
      </w:r>
      <w:r w:rsidR="00336F4A">
        <w:rPr>
          <w:rFonts w:cs="Times New Roman"/>
          <w:szCs w:val="24"/>
        </w:rPr>
        <w:t>noted that Dr Sheehan had made “</w:t>
      </w:r>
      <w:r w:rsidR="00336F4A" w:rsidRPr="00336F4A">
        <w:rPr>
          <w:rFonts w:cs="Times New Roman"/>
          <w:i/>
          <w:szCs w:val="24"/>
        </w:rPr>
        <w:t>very serious allegations of deceit and fraudulent misrepresentation against Talos, which was acting through its agent, Mr Simons.”</w:t>
      </w:r>
      <w:r w:rsidR="007372F6">
        <w:rPr>
          <w:rFonts w:cs="Times New Roman"/>
          <w:szCs w:val="24"/>
        </w:rPr>
        <w:t xml:space="preserve"> He went</w:t>
      </w:r>
      <w:r w:rsidR="00A9359F">
        <w:rPr>
          <w:rFonts w:cs="Times New Roman"/>
          <w:szCs w:val="24"/>
        </w:rPr>
        <w:t xml:space="preserve"> on</w:t>
      </w:r>
      <w:r w:rsidR="007372F6">
        <w:rPr>
          <w:rFonts w:cs="Times New Roman"/>
          <w:szCs w:val="24"/>
        </w:rPr>
        <w:t xml:space="preserve"> to </w:t>
      </w:r>
      <w:r w:rsidR="005F5989">
        <w:rPr>
          <w:rFonts w:cs="Times New Roman"/>
          <w:szCs w:val="24"/>
        </w:rPr>
        <w:t xml:space="preserve">reject </w:t>
      </w:r>
      <w:r w:rsidR="007372F6">
        <w:rPr>
          <w:rFonts w:cs="Times New Roman"/>
          <w:szCs w:val="24"/>
        </w:rPr>
        <w:t>emphatically the suggestion that Mr Simons had deliberately sought to mislead Mr Shannon (Judgment, paragraph 129), going on to state that there were “</w:t>
      </w:r>
      <w:r w:rsidR="007372F6" w:rsidRPr="007372F6">
        <w:rPr>
          <w:rFonts w:cs="Times New Roman"/>
          <w:i/>
          <w:szCs w:val="24"/>
        </w:rPr>
        <w:t>no ground</w:t>
      </w:r>
      <w:r w:rsidR="007372F6" w:rsidRPr="00FE63FC">
        <w:rPr>
          <w:rFonts w:cs="Times New Roman"/>
          <w:i/>
          <w:szCs w:val="24"/>
        </w:rPr>
        <w:t>s</w:t>
      </w:r>
      <w:r w:rsidR="007372F6">
        <w:rPr>
          <w:rFonts w:cs="Times New Roman"/>
          <w:szCs w:val="24"/>
        </w:rPr>
        <w:t xml:space="preserve">” for the </w:t>
      </w:r>
      <w:r w:rsidR="007372F6" w:rsidRPr="007372F6">
        <w:rPr>
          <w:rFonts w:cs="Times New Roman"/>
          <w:i/>
          <w:szCs w:val="24"/>
        </w:rPr>
        <w:t xml:space="preserve">“unfounded allegations” </w:t>
      </w:r>
      <w:r w:rsidR="007372F6">
        <w:rPr>
          <w:rFonts w:cs="Times New Roman"/>
          <w:szCs w:val="24"/>
        </w:rPr>
        <w:t xml:space="preserve">against Mr Simons (paragraph 134). It </w:t>
      </w:r>
      <w:r w:rsidR="00FE63FC">
        <w:rPr>
          <w:rFonts w:cs="Times New Roman"/>
          <w:szCs w:val="24"/>
        </w:rPr>
        <w:t>appears</w:t>
      </w:r>
      <w:r w:rsidR="007372F6">
        <w:rPr>
          <w:rFonts w:cs="Times New Roman"/>
          <w:szCs w:val="24"/>
        </w:rPr>
        <w:t xml:space="preserve"> to follow </w:t>
      </w:r>
      <w:r w:rsidR="005F5989">
        <w:rPr>
          <w:rFonts w:cs="Times New Roman"/>
          <w:szCs w:val="24"/>
        </w:rPr>
        <w:t xml:space="preserve">inevitably </w:t>
      </w:r>
      <w:r w:rsidR="007372F6">
        <w:rPr>
          <w:rFonts w:cs="Times New Roman"/>
          <w:szCs w:val="24"/>
        </w:rPr>
        <w:t>from these findings (</w:t>
      </w:r>
      <w:r w:rsidR="00DB771E">
        <w:rPr>
          <w:rFonts w:cs="Times New Roman"/>
          <w:szCs w:val="24"/>
        </w:rPr>
        <w:t>again</w:t>
      </w:r>
      <w:r w:rsidR="007372F6">
        <w:rPr>
          <w:rFonts w:cs="Times New Roman"/>
          <w:szCs w:val="24"/>
        </w:rPr>
        <w:t>, findings of primary fact reached on the basis of the Judge’s assessment of the oral evidence given by Mr Simons) that Dr Sheehan’s claim for fraudulent misrepresentation/deceit must fail.</w:t>
      </w:r>
    </w:p>
    <w:p w14:paraId="2E8DB3DB" w14:textId="77777777" w:rsidR="007372F6" w:rsidRDefault="007372F6" w:rsidP="007372F6">
      <w:pPr>
        <w:pStyle w:val="ListParagraph"/>
        <w:autoSpaceDE w:val="0"/>
        <w:autoSpaceDN w:val="0"/>
        <w:adjustRightInd w:val="0"/>
        <w:rPr>
          <w:rFonts w:cs="Times New Roman"/>
          <w:szCs w:val="24"/>
        </w:rPr>
      </w:pPr>
    </w:p>
    <w:p w14:paraId="118E5445" w14:textId="33806EB8" w:rsidR="007372F6" w:rsidRDefault="005F5989" w:rsidP="00E56878">
      <w:pPr>
        <w:pStyle w:val="ListParagraph"/>
        <w:numPr>
          <w:ilvl w:val="0"/>
          <w:numId w:val="1"/>
        </w:numPr>
        <w:autoSpaceDE w:val="0"/>
        <w:autoSpaceDN w:val="0"/>
        <w:adjustRightInd w:val="0"/>
        <w:ind w:hanging="720"/>
        <w:rPr>
          <w:rFonts w:cs="Times New Roman"/>
          <w:szCs w:val="24"/>
        </w:rPr>
      </w:pPr>
      <w:r>
        <w:rPr>
          <w:rFonts w:cs="Times New Roman"/>
          <w:szCs w:val="24"/>
        </w:rPr>
        <w:t>That does not, of course, resolve this appeal. Dr Sheehan’s contention that Mr Simons’ emails of 16 November 2015 amounted to an implied misrepresentation that JCS</w:t>
      </w:r>
      <w:r w:rsidR="002D45F8">
        <w:rPr>
          <w:rFonts w:cs="Times New Roman"/>
          <w:szCs w:val="24"/>
        </w:rPr>
        <w:t xml:space="preserve"> retained its </w:t>
      </w:r>
      <w:r>
        <w:rPr>
          <w:rFonts w:cs="Times New Roman"/>
          <w:szCs w:val="24"/>
        </w:rPr>
        <w:t>right of action against IBRC for recovery of the deposit</w:t>
      </w:r>
      <w:r w:rsidR="00DF2CE3">
        <w:rPr>
          <w:rFonts w:cs="Times New Roman"/>
          <w:szCs w:val="24"/>
        </w:rPr>
        <w:t xml:space="preserve"> remains to be </w:t>
      </w:r>
      <w:r w:rsidR="00DF2CE3">
        <w:rPr>
          <w:rFonts w:cs="Times New Roman"/>
          <w:szCs w:val="24"/>
        </w:rPr>
        <w:lastRenderedPageBreak/>
        <w:t xml:space="preserve">considered. If such a misrepresentation was made, even if innocently, </w:t>
      </w:r>
      <w:r w:rsidR="00FE01BB">
        <w:rPr>
          <w:rFonts w:cs="Times New Roman"/>
          <w:szCs w:val="24"/>
        </w:rPr>
        <w:t xml:space="preserve">Dr Sheehan may be entitled to succeed on this appeal. </w:t>
      </w:r>
    </w:p>
    <w:p w14:paraId="57961B6E" w14:textId="77777777" w:rsidR="002D45F8" w:rsidRDefault="002D45F8" w:rsidP="002D45F8">
      <w:pPr>
        <w:pStyle w:val="ListParagraph"/>
        <w:autoSpaceDE w:val="0"/>
        <w:autoSpaceDN w:val="0"/>
        <w:adjustRightInd w:val="0"/>
        <w:rPr>
          <w:rFonts w:cs="Times New Roman"/>
          <w:szCs w:val="24"/>
        </w:rPr>
      </w:pPr>
    </w:p>
    <w:p w14:paraId="1CC41CEA" w14:textId="0D866F9E" w:rsidR="002D45F8" w:rsidRDefault="002D45F8" w:rsidP="00FE01BB">
      <w:pPr>
        <w:pStyle w:val="ListParagraph"/>
        <w:numPr>
          <w:ilvl w:val="0"/>
          <w:numId w:val="1"/>
        </w:numPr>
        <w:autoSpaceDE w:val="0"/>
        <w:autoSpaceDN w:val="0"/>
        <w:adjustRightInd w:val="0"/>
        <w:ind w:hanging="720"/>
        <w:rPr>
          <w:rFonts w:cs="Times New Roman"/>
          <w:szCs w:val="24"/>
        </w:rPr>
      </w:pPr>
      <w:r>
        <w:rPr>
          <w:rFonts w:cs="Times New Roman"/>
          <w:szCs w:val="24"/>
        </w:rPr>
        <w:t xml:space="preserve">The Judge took the view that those emails could not be read in isolation and had to be considered </w:t>
      </w:r>
      <w:r w:rsidRPr="002D45F8">
        <w:rPr>
          <w:rFonts w:cs="Times New Roman"/>
          <w:i/>
          <w:szCs w:val="24"/>
        </w:rPr>
        <w:t>“in context”</w:t>
      </w:r>
      <w:r>
        <w:rPr>
          <w:rFonts w:cs="Times New Roman"/>
          <w:i/>
          <w:szCs w:val="24"/>
        </w:rPr>
        <w:t xml:space="preserve"> </w:t>
      </w:r>
      <w:r>
        <w:rPr>
          <w:rFonts w:cs="Times New Roman"/>
          <w:szCs w:val="24"/>
        </w:rPr>
        <w:t>and having regard to “</w:t>
      </w:r>
      <w:r w:rsidRPr="002D45F8">
        <w:rPr>
          <w:rFonts w:cs="Times New Roman"/>
          <w:i/>
          <w:szCs w:val="24"/>
        </w:rPr>
        <w:t>all the circumstances.”</w:t>
      </w:r>
      <w:r>
        <w:rPr>
          <w:rFonts w:cs="Times New Roman"/>
          <w:szCs w:val="24"/>
        </w:rPr>
        <w:t xml:space="preserve"> In doing so, he relied on </w:t>
      </w:r>
      <w:r w:rsidR="00FE01BB">
        <w:rPr>
          <w:rFonts w:cs="Times New Roman"/>
          <w:szCs w:val="24"/>
        </w:rPr>
        <w:t xml:space="preserve">statements made by </w:t>
      </w:r>
      <w:r>
        <w:rPr>
          <w:rFonts w:cs="Times New Roman"/>
          <w:szCs w:val="24"/>
        </w:rPr>
        <w:t xml:space="preserve">Mr Salter’s report, para 30. </w:t>
      </w:r>
      <w:r w:rsidR="00FE01BB">
        <w:rPr>
          <w:rFonts w:cs="Times New Roman"/>
          <w:szCs w:val="24"/>
        </w:rPr>
        <w:t xml:space="preserve">I did not understand Dr Sheehan to take issue, at the level of principle, with the Judge’s approach. It is, in any event, </w:t>
      </w:r>
      <w:r w:rsidR="00A11238">
        <w:rPr>
          <w:rFonts w:cs="Times New Roman"/>
          <w:szCs w:val="24"/>
        </w:rPr>
        <w:t>consistent with</w:t>
      </w:r>
      <w:r w:rsidR="00FE01BB">
        <w:rPr>
          <w:rFonts w:cs="Times New Roman"/>
          <w:szCs w:val="24"/>
        </w:rPr>
        <w:t xml:space="preserve"> authority: see, for instance, Cartwright, </w:t>
      </w:r>
      <w:r w:rsidR="00FE01BB" w:rsidRPr="00FE01BB">
        <w:rPr>
          <w:rFonts w:cs="Times New Roman"/>
          <w:i/>
          <w:szCs w:val="24"/>
        </w:rPr>
        <w:t xml:space="preserve">Misrepresentation, Mistake and Non-Disclosure </w:t>
      </w:r>
      <w:r w:rsidR="00FE01BB">
        <w:rPr>
          <w:rFonts w:cs="Times New Roman"/>
          <w:szCs w:val="24"/>
        </w:rPr>
        <w:t>(5</w:t>
      </w:r>
      <w:r w:rsidR="00FE01BB" w:rsidRPr="00FE01BB">
        <w:rPr>
          <w:rFonts w:cs="Times New Roman"/>
          <w:szCs w:val="24"/>
          <w:vertAlign w:val="superscript"/>
        </w:rPr>
        <w:t>th</w:t>
      </w:r>
      <w:r w:rsidR="00FE01BB">
        <w:rPr>
          <w:rFonts w:cs="Times New Roman"/>
          <w:szCs w:val="24"/>
        </w:rPr>
        <w:t xml:space="preserve"> ed; 2015) (“</w:t>
      </w:r>
      <w:r w:rsidR="00FE01BB" w:rsidRPr="00FE01BB">
        <w:rPr>
          <w:rFonts w:cs="Times New Roman"/>
          <w:i/>
          <w:szCs w:val="24"/>
        </w:rPr>
        <w:t>Cartwright</w:t>
      </w:r>
      <w:r w:rsidR="00FE01BB">
        <w:rPr>
          <w:rFonts w:cs="Times New Roman"/>
          <w:szCs w:val="24"/>
        </w:rPr>
        <w:t xml:space="preserve">”) at para 3-07 and </w:t>
      </w:r>
      <w:r w:rsidR="00A11238" w:rsidRPr="00FA7958">
        <w:rPr>
          <w:rFonts w:cs="Times New Roman"/>
          <w:i/>
          <w:szCs w:val="24"/>
        </w:rPr>
        <w:t>Spencer Bower &amp; Handley</w:t>
      </w:r>
      <w:r w:rsidR="00A11238" w:rsidRPr="00A11238">
        <w:rPr>
          <w:rFonts w:cs="Times New Roman"/>
          <w:i/>
          <w:szCs w:val="24"/>
        </w:rPr>
        <w:t xml:space="preserve">, Actionable Misrepresentation </w:t>
      </w:r>
      <w:r w:rsidR="00A11238">
        <w:rPr>
          <w:rFonts w:cs="Times New Roman"/>
          <w:szCs w:val="24"/>
        </w:rPr>
        <w:t>(5</w:t>
      </w:r>
      <w:r w:rsidR="00A11238" w:rsidRPr="00A11238">
        <w:rPr>
          <w:rFonts w:cs="Times New Roman"/>
          <w:szCs w:val="24"/>
          <w:vertAlign w:val="superscript"/>
        </w:rPr>
        <w:t>th</w:t>
      </w:r>
      <w:r w:rsidR="00A11238">
        <w:rPr>
          <w:rFonts w:cs="Times New Roman"/>
          <w:szCs w:val="24"/>
        </w:rPr>
        <w:t xml:space="preserve"> ed; 2014) </w:t>
      </w:r>
      <w:r w:rsidR="0047282E">
        <w:rPr>
          <w:rFonts w:cs="Times New Roman"/>
          <w:szCs w:val="24"/>
        </w:rPr>
        <w:t>(</w:t>
      </w:r>
      <w:r w:rsidR="0047282E" w:rsidRPr="0047282E">
        <w:rPr>
          <w:rFonts w:cs="Times New Roman"/>
          <w:i/>
          <w:szCs w:val="24"/>
        </w:rPr>
        <w:t>“Spencer Bower &amp; Handley</w:t>
      </w:r>
      <w:r w:rsidR="0047282E">
        <w:rPr>
          <w:rFonts w:cs="Times New Roman"/>
          <w:szCs w:val="24"/>
        </w:rPr>
        <w:t xml:space="preserve">”) </w:t>
      </w:r>
      <w:r w:rsidR="00A11238">
        <w:rPr>
          <w:rFonts w:cs="Times New Roman"/>
          <w:szCs w:val="24"/>
        </w:rPr>
        <w:t xml:space="preserve">at paras 4.24-4.25.  </w:t>
      </w:r>
      <w:r w:rsidR="00FE01BB" w:rsidRPr="00FE01BB">
        <w:rPr>
          <w:rFonts w:cs="Times New Roman"/>
          <w:szCs w:val="24"/>
        </w:rPr>
        <w:t xml:space="preserve">Where it is said that a misrepresentation arises by implication, </w:t>
      </w:r>
      <w:r w:rsidR="00A11238">
        <w:rPr>
          <w:rFonts w:cs="Times New Roman"/>
          <w:szCs w:val="24"/>
        </w:rPr>
        <w:t xml:space="preserve">rather than any express statement, consideration of the </w:t>
      </w:r>
      <w:r w:rsidR="00FE01BB" w:rsidRPr="00FE01BB">
        <w:rPr>
          <w:rFonts w:cs="Times New Roman"/>
          <w:szCs w:val="24"/>
        </w:rPr>
        <w:t xml:space="preserve">context </w:t>
      </w:r>
      <w:r w:rsidR="00A11238">
        <w:rPr>
          <w:rFonts w:cs="Times New Roman"/>
          <w:szCs w:val="24"/>
        </w:rPr>
        <w:t xml:space="preserve">is likely to </w:t>
      </w:r>
      <w:r w:rsidR="00FE01BB" w:rsidRPr="00FE01BB">
        <w:rPr>
          <w:rFonts w:cs="Times New Roman"/>
          <w:szCs w:val="24"/>
        </w:rPr>
        <w:t xml:space="preserve">be particularly </w:t>
      </w:r>
      <w:r w:rsidR="00905632">
        <w:rPr>
          <w:rFonts w:cs="Times New Roman"/>
          <w:szCs w:val="24"/>
        </w:rPr>
        <w:t xml:space="preserve">important. </w:t>
      </w:r>
    </w:p>
    <w:p w14:paraId="4B50CD86" w14:textId="77777777" w:rsidR="00A11238" w:rsidRDefault="00A11238" w:rsidP="00A11238">
      <w:pPr>
        <w:pStyle w:val="ListParagraph"/>
        <w:autoSpaceDE w:val="0"/>
        <w:autoSpaceDN w:val="0"/>
        <w:adjustRightInd w:val="0"/>
        <w:rPr>
          <w:rFonts w:cs="Times New Roman"/>
          <w:szCs w:val="24"/>
        </w:rPr>
      </w:pPr>
    </w:p>
    <w:p w14:paraId="4CF60B6D" w14:textId="6381F6E5" w:rsidR="00A11238" w:rsidRDefault="00A11238" w:rsidP="00FE01BB">
      <w:pPr>
        <w:pStyle w:val="ListParagraph"/>
        <w:numPr>
          <w:ilvl w:val="0"/>
          <w:numId w:val="1"/>
        </w:numPr>
        <w:autoSpaceDE w:val="0"/>
        <w:autoSpaceDN w:val="0"/>
        <w:adjustRightInd w:val="0"/>
        <w:ind w:hanging="720"/>
        <w:rPr>
          <w:rFonts w:cs="Times New Roman"/>
          <w:szCs w:val="24"/>
        </w:rPr>
      </w:pPr>
      <w:r>
        <w:rPr>
          <w:rFonts w:cs="Times New Roman"/>
          <w:szCs w:val="24"/>
        </w:rPr>
        <w:t xml:space="preserve">On 4 August 2015 Mr Hickey emailed Mr Simons asking whether Talos would </w:t>
      </w:r>
      <w:r w:rsidR="00E339FF">
        <w:rPr>
          <w:rFonts w:cs="Times New Roman"/>
          <w:szCs w:val="24"/>
        </w:rPr>
        <w:t>transfer control of JCS on receipt of funds in the amount of the Guarantee judgment.</w:t>
      </w:r>
      <w:r w:rsidR="00C00C91">
        <w:rPr>
          <w:rStyle w:val="FootnoteReference"/>
          <w:rFonts w:cs="Times New Roman"/>
          <w:szCs w:val="24"/>
        </w:rPr>
        <w:footnoteReference w:id="19"/>
      </w:r>
      <w:r w:rsidR="00CB0A51">
        <w:rPr>
          <w:rFonts w:cs="Times New Roman"/>
          <w:szCs w:val="24"/>
        </w:rPr>
        <w:t xml:space="preserve"> </w:t>
      </w:r>
      <w:r w:rsidR="00E339FF">
        <w:rPr>
          <w:rFonts w:cs="Times New Roman"/>
          <w:szCs w:val="24"/>
        </w:rPr>
        <w:t>In response (by way of email of 6 August), a solicitor in Mr Simons’ office made it clear that “</w:t>
      </w:r>
      <w:r w:rsidR="00E339FF" w:rsidRPr="00E339FF">
        <w:rPr>
          <w:rFonts w:cs="Times New Roman"/>
          <w:i/>
          <w:szCs w:val="24"/>
        </w:rPr>
        <w:t>the original sponsors</w:t>
      </w:r>
      <w:r w:rsidR="00E339FF">
        <w:rPr>
          <w:rFonts w:cs="Times New Roman"/>
          <w:szCs w:val="24"/>
        </w:rPr>
        <w:t>” (which included Dr Sheehan</w:t>
      </w:r>
      <w:r w:rsidR="001947DC">
        <w:rPr>
          <w:rFonts w:cs="Times New Roman"/>
          <w:szCs w:val="24"/>
        </w:rPr>
        <w:t>)</w:t>
      </w:r>
      <w:r w:rsidR="00E339FF">
        <w:rPr>
          <w:rFonts w:cs="Times New Roman"/>
          <w:szCs w:val="24"/>
        </w:rPr>
        <w:t xml:space="preserve"> could only be entitled to a transfer back of JCS once all secured obligations under the Talos loan had been paid, not simply the judgment amount. The email indicated that Talos was in the process of </w:t>
      </w:r>
      <w:r w:rsidR="00E339FF">
        <w:rPr>
          <w:rFonts w:cs="Times New Roman"/>
          <w:szCs w:val="24"/>
        </w:rPr>
        <w:lastRenderedPageBreak/>
        <w:t>compiling a spreadsheet summarising what those secured obligations were which would be furnished when finalised.</w:t>
      </w:r>
    </w:p>
    <w:p w14:paraId="68092D9F" w14:textId="77777777" w:rsidR="001947DC" w:rsidRDefault="001947DC" w:rsidP="001947DC">
      <w:pPr>
        <w:pStyle w:val="ListParagraph"/>
        <w:autoSpaceDE w:val="0"/>
        <w:autoSpaceDN w:val="0"/>
        <w:adjustRightInd w:val="0"/>
        <w:rPr>
          <w:rFonts w:cs="Times New Roman"/>
          <w:szCs w:val="24"/>
        </w:rPr>
      </w:pPr>
    </w:p>
    <w:p w14:paraId="4B1DC0A9" w14:textId="0BE98FA1" w:rsidR="00E339FF" w:rsidRDefault="00E339FF" w:rsidP="00E339FF">
      <w:pPr>
        <w:pStyle w:val="ListParagraph"/>
        <w:numPr>
          <w:ilvl w:val="0"/>
          <w:numId w:val="1"/>
        </w:numPr>
        <w:autoSpaceDE w:val="0"/>
        <w:autoSpaceDN w:val="0"/>
        <w:adjustRightInd w:val="0"/>
        <w:ind w:hanging="720"/>
        <w:rPr>
          <w:rFonts w:cs="Times New Roman"/>
          <w:szCs w:val="24"/>
        </w:rPr>
      </w:pPr>
      <w:r>
        <w:rPr>
          <w:rFonts w:cs="Times New Roman"/>
          <w:szCs w:val="24"/>
        </w:rPr>
        <w:t>On 22 September 20</w:t>
      </w:r>
      <w:r w:rsidR="0029088E">
        <w:rPr>
          <w:rFonts w:cs="Times New Roman"/>
          <w:szCs w:val="24"/>
        </w:rPr>
        <w:t>15</w:t>
      </w:r>
      <w:r>
        <w:rPr>
          <w:rFonts w:cs="Times New Roman"/>
          <w:szCs w:val="24"/>
        </w:rPr>
        <w:t xml:space="preserve"> Mr Simons sent an email to Mr Hickey referring to clause 17.3 of the Facility Agreement (which made JCS liable for the costs incurred by Talos </w:t>
      </w:r>
      <w:r w:rsidR="0063401F">
        <w:rPr>
          <w:rFonts w:cs="Times New Roman"/>
          <w:szCs w:val="24"/>
        </w:rPr>
        <w:t>in enforcing/preserving its rights under the Agreement) and</w:t>
      </w:r>
      <w:r>
        <w:rPr>
          <w:rFonts w:cs="Times New Roman"/>
          <w:szCs w:val="24"/>
        </w:rPr>
        <w:t xml:space="preserve"> attaching a spreadsheet </w:t>
      </w:r>
      <w:r w:rsidRPr="0063401F">
        <w:rPr>
          <w:rFonts w:cs="Times New Roman"/>
          <w:i/>
          <w:szCs w:val="24"/>
        </w:rPr>
        <w:t>“setting out the current schedule of outstanding costs</w:t>
      </w:r>
      <w:r w:rsidR="0063401F">
        <w:rPr>
          <w:rFonts w:cs="Times New Roman"/>
          <w:i/>
          <w:szCs w:val="24"/>
        </w:rPr>
        <w:t>.</w:t>
      </w:r>
      <w:r w:rsidRPr="0063401F">
        <w:rPr>
          <w:rFonts w:cs="Times New Roman"/>
          <w:i/>
          <w:szCs w:val="24"/>
        </w:rPr>
        <w:t>”</w:t>
      </w:r>
      <w:r w:rsidR="0063401F">
        <w:rPr>
          <w:rFonts w:cs="Times New Roman"/>
          <w:szCs w:val="24"/>
        </w:rPr>
        <w:t xml:space="preserve"> The spreadsheet listed a large number of invoices (45 in total</w:t>
      </w:r>
      <w:r w:rsidR="00CB0A51">
        <w:rPr>
          <w:rFonts w:cs="Times New Roman"/>
          <w:szCs w:val="24"/>
        </w:rPr>
        <w:t>,</w:t>
      </w:r>
      <w:r w:rsidR="0063401F">
        <w:rPr>
          <w:rFonts w:cs="Times New Roman"/>
          <w:szCs w:val="24"/>
        </w:rPr>
        <w:t xml:space="preserve"> though </w:t>
      </w:r>
      <w:r w:rsidR="00751E42">
        <w:rPr>
          <w:rFonts w:cs="Times New Roman"/>
          <w:szCs w:val="24"/>
        </w:rPr>
        <w:t xml:space="preserve">2 </w:t>
      </w:r>
      <w:r w:rsidR="0063401F">
        <w:rPr>
          <w:rFonts w:cs="Times New Roman"/>
          <w:szCs w:val="24"/>
        </w:rPr>
        <w:t>are marked “</w:t>
      </w:r>
      <w:r w:rsidR="0063401F" w:rsidRPr="0063401F">
        <w:rPr>
          <w:rFonts w:cs="Times New Roman"/>
          <w:i/>
          <w:szCs w:val="24"/>
        </w:rPr>
        <w:t>not issued</w:t>
      </w:r>
      <w:r w:rsidR="0063401F">
        <w:rPr>
          <w:rFonts w:cs="Times New Roman"/>
          <w:szCs w:val="24"/>
        </w:rPr>
        <w:t xml:space="preserve">”), relating to legal and professional fees, in varying amounts and totalling €2,180,295.31. All but 6 of the invoices were marked as paid. The 6 unpaid invoices had different payees. Two </w:t>
      </w:r>
      <w:r w:rsidR="001C12FB">
        <w:rPr>
          <w:rFonts w:cs="Times New Roman"/>
          <w:szCs w:val="24"/>
        </w:rPr>
        <w:t xml:space="preserve">of them </w:t>
      </w:r>
      <w:r w:rsidR="0063401F">
        <w:rPr>
          <w:rFonts w:cs="Times New Roman"/>
          <w:szCs w:val="24"/>
        </w:rPr>
        <w:t>related to Clifford Chance, in amounts of €747,412.07 and €120,384.46</w:t>
      </w:r>
      <w:r w:rsidR="00751E42">
        <w:rPr>
          <w:rFonts w:cs="Times New Roman"/>
          <w:szCs w:val="24"/>
        </w:rPr>
        <w:t xml:space="preserve"> (the latter was stated to be a draft which had not issued)</w:t>
      </w:r>
      <w:r w:rsidR="001C12FB">
        <w:rPr>
          <w:rFonts w:cs="Times New Roman"/>
          <w:szCs w:val="24"/>
        </w:rPr>
        <w:t>.</w:t>
      </w:r>
    </w:p>
    <w:p w14:paraId="670D6976" w14:textId="77777777" w:rsidR="0063401F" w:rsidRDefault="0063401F" w:rsidP="0063401F">
      <w:pPr>
        <w:pStyle w:val="ListParagraph"/>
        <w:autoSpaceDE w:val="0"/>
        <w:autoSpaceDN w:val="0"/>
        <w:adjustRightInd w:val="0"/>
        <w:rPr>
          <w:rFonts w:cs="Times New Roman"/>
          <w:szCs w:val="24"/>
        </w:rPr>
      </w:pPr>
    </w:p>
    <w:p w14:paraId="68910862" w14:textId="35D0AB8D" w:rsidR="0063401F" w:rsidRDefault="00161C1D" w:rsidP="00E339FF">
      <w:pPr>
        <w:pStyle w:val="ListParagraph"/>
        <w:numPr>
          <w:ilvl w:val="0"/>
          <w:numId w:val="1"/>
        </w:numPr>
        <w:autoSpaceDE w:val="0"/>
        <w:autoSpaceDN w:val="0"/>
        <w:adjustRightInd w:val="0"/>
        <w:ind w:hanging="720"/>
        <w:rPr>
          <w:rFonts w:cs="Times New Roman"/>
          <w:szCs w:val="24"/>
        </w:rPr>
      </w:pPr>
      <w:r>
        <w:rPr>
          <w:rFonts w:cs="Times New Roman"/>
          <w:szCs w:val="24"/>
        </w:rPr>
        <w:t xml:space="preserve">As the Judge observed, the </w:t>
      </w:r>
      <w:r w:rsidR="00CB0A51">
        <w:rPr>
          <w:rFonts w:cs="Times New Roman"/>
          <w:szCs w:val="24"/>
        </w:rPr>
        <w:t>clear import</w:t>
      </w:r>
      <w:r>
        <w:rPr>
          <w:rFonts w:cs="Times New Roman"/>
          <w:szCs w:val="24"/>
        </w:rPr>
        <w:t xml:space="preserve"> of this email was that the amount required to clear the indebtedness of Dr Sheehan and JSC to Talos was in excess of €5 million. The Judge calculated that amount at €5,262,602.52 but that calculation</w:t>
      </w:r>
      <w:r w:rsidR="00CB0A51">
        <w:rPr>
          <w:rFonts w:cs="Times New Roman"/>
          <w:szCs w:val="24"/>
        </w:rPr>
        <w:t xml:space="preserve"> appears to</w:t>
      </w:r>
      <w:r>
        <w:rPr>
          <w:rFonts w:cs="Times New Roman"/>
          <w:szCs w:val="24"/>
        </w:rPr>
        <w:t xml:space="preserve"> overlook the fact that the costs figure of €150,000 set out in the email is said to be an estimate and also that the email indicates that there was some overlap between that figure and the costs included in the schedule set out in the spreadsheet. </w:t>
      </w:r>
      <w:r w:rsidR="00CB0A51">
        <w:rPr>
          <w:rFonts w:cs="Times New Roman"/>
          <w:szCs w:val="24"/>
        </w:rPr>
        <w:t>However</w:t>
      </w:r>
      <w:r w:rsidR="00B24B15">
        <w:rPr>
          <w:rFonts w:cs="Times New Roman"/>
          <w:szCs w:val="24"/>
        </w:rPr>
        <w:t>,</w:t>
      </w:r>
      <w:r w:rsidR="00CB0A51">
        <w:rPr>
          <w:rFonts w:cs="Times New Roman"/>
          <w:szCs w:val="24"/>
        </w:rPr>
        <w:t xml:space="preserve"> n</w:t>
      </w:r>
      <w:r>
        <w:rPr>
          <w:rFonts w:cs="Times New Roman"/>
          <w:szCs w:val="24"/>
        </w:rPr>
        <w:t>othing turns on those points in my view and the essential point made by the Judge was correct.</w:t>
      </w:r>
    </w:p>
    <w:p w14:paraId="7597FD90" w14:textId="77777777" w:rsidR="00161C1D" w:rsidRDefault="00161C1D" w:rsidP="00161C1D">
      <w:pPr>
        <w:pStyle w:val="ListParagraph"/>
        <w:autoSpaceDE w:val="0"/>
        <w:autoSpaceDN w:val="0"/>
        <w:adjustRightInd w:val="0"/>
        <w:rPr>
          <w:rFonts w:cs="Times New Roman"/>
          <w:szCs w:val="24"/>
        </w:rPr>
      </w:pPr>
    </w:p>
    <w:p w14:paraId="2C98B136" w14:textId="26C68A82" w:rsidR="0063401F" w:rsidRDefault="00161C1D" w:rsidP="00E339FF">
      <w:pPr>
        <w:pStyle w:val="ListParagraph"/>
        <w:numPr>
          <w:ilvl w:val="0"/>
          <w:numId w:val="1"/>
        </w:numPr>
        <w:autoSpaceDE w:val="0"/>
        <w:autoSpaceDN w:val="0"/>
        <w:adjustRightInd w:val="0"/>
        <w:ind w:hanging="720"/>
        <w:rPr>
          <w:rFonts w:cs="Times New Roman"/>
          <w:szCs w:val="24"/>
        </w:rPr>
      </w:pPr>
      <w:r>
        <w:rPr>
          <w:rFonts w:cs="Times New Roman"/>
          <w:szCs w:val="24"/>
        </w:rPr>
        <w:t xml:space="preserve">The emails </w:t>
      </w:r>
      <w:r w:rsidR="001F0277">
        <w:rPr>
          <w:rFonts w:cs="Times New Roman"/>
          <w:szCs w:val="24"/>
        </w:rPr>
        <w:t>of 6 August and 22 September were addressed to Mr Hickey, who at this stage was dealing with Talos on Dr Sheehan’s behalf.  In his evidence, Mr Hickey agreed that he</w:t>
      </w:r>
      <w:r w:rsidR="001257DB">
        <w:rPr>
          <w:rFonts w:cs="Times New Roman"/>
          <w:szCs w:val="24"/>
        </w:rPr>
        <w:t xml:space="preserve"> had</w:t>
      </w:r>
      <w:r w:rsidR="001F0277">
        <w:rPr>
          <w:rFonts w:cs="Times New Roman"/>
          <w:szCs w:val="24"/>
        </w:rPr>
        <w:t xml:space="preserve"> read the email of 22 September and the schedule attached to it. He </w:t>
      </w:r>
      <w:r w:rsidR="001F0277">
        <w:rPr>
          <w:rFonts w:cs="Times New Roman"/>
          <w:szCs w:val="24"/>
        </w:rPr>
        <w:lastRenderedPageBreak/>
        <w:t xml:space="preserve">had been on vacation </w:t>
      </w:r>
      <w:r w:rsidR="00BA3C60">
        <w:rPr>
          <w:rFonts w:cs="Times New Roman"/>
          <w:szCs w:val="24"/>
        </w:rPr>
        <w:t xml:space="preserve">at the time and had read it on his phone. When it was put to him that, as of 22 September 2015, he knew that it was going to cost Dr Sheehan </w:t>
      </w:r>
      <w:r w:rsidR="00BA3C60" w:rsidRPr="00BA3C60">
        <w:rPr>
          <w:rFonts w:cs="Times New Roman"/>
          <w:i/>
          <w:szCs w:val="24"/>
        </w:rPr>
        <w:t>“somewhere north of €5 million</w:t>
      </w:r>
      <w:r w:rsidR="00BA3C60">
        <w:rPr>
          <w:rFonts w:cs="Times New Roman"/>
          <w:szCs w:val="24"/>
        </w:rPr>
        <w:t xml:space="preserve">” to recover control of JCS, he agreed that that </w:t>
      </w:r>
      <w:r w:rsidR="00BA3C60" w:rsidRPr="00BA3C60">
        <w:rPr>
          <w:rFonts w:cs="Times New Roman"/>
          <w:i/>
          <w:szCs w:val="24"/>
        </w:rPr>
        <w:t>“seem[ed] to be the case</w:t>
      </w:r>
      <w:r w:rsidR="00BA3C60">
        <w:rPr>
          <w:rFonts w:cs="Times New Roman"/>
          <w:szCs w:val="24"/>
        </w:rPr>
        <w:t>”,</w:t>
      </w:r>
      <w:r w:rsidR="00BA3C60">
        <w:rPr>
          <w:rStyle w:val="FootnoteReference"/>
          <w:rFonts w:cs="Times New Roman"/>
          <w:szCs w:val="24"/>
        </w:rPr>
        <w:footnoteReference w:id="20"/>
      </w:r>
      <w:r w:rsidR="00BA3C60">
        <w:rPr>
          <w:rFonts w:cs="Times New Roman"/>
          <w:szCs w:val="24"/>
        </w:rPr>
        <w:t xml:space="preserve"> though he later said that he did not recall taking note of “</w:t>
      </w:r>
      <w:r w:rsidR="00BA3C60" w:rsidRPr="00BA3C60">
        <w:rPr>
          <w:rFonts w:cs="Times New Roman"/>
          <w:i/>
          <w:szCs w:val="24"/>
        </w:rPr>
        <w:t>the overall figure</w:t>
      </w:r>
      <w:r w:rsidR="00BA3C60">
        <w:rPr>
          <w:rFonts w:cs="Times New Roman"/>
          <w:i/>
          <w:szCs w:val="24"/>
        </w:rPr>
        <w:t>.</w:t>
      </w:r>
      <w:r w:rsidR="00BA3C60" w:rsidRPr="00BA3C60">
        <w:rPr>
          <w:rFonts w:cs="Times New Roman"/>
          <w:i/>
          <w:szCs w:val="24"/>
        </w:rPr>
        <w:t>”</w:t>
      </w:r>
      <w:r w:rsidR="00BA3C60">
        <w:rPr>
          <w:rFonts w:cs="Times New Roman"/>
          <w:szCs w:val="24"/>
        </w:rPr>
        <w:t xml:space="preserve"> </w:t>
      </w:r>
      <w:r w:rsidR="00BA3C60">
        <w:rPr>
          <w:rStyle w:val="FootnoteReference"/>
          <w:rFonts w:cs="Times New Roman"/>
          <w:szCs w:val="24"/>
        </w:rPr>
        <w:footnoteReference w:id="21"/>
      </w:r>
      <w:r w:rsidR="00BA3C60">
        <w:rPr>
          <w:rFonts w:cs="Times New Roman"/>
          <w:szCs w:val="24"/>
        </w:rPr>
        <w:t xml:space="preserve"> On 5 October 2015, </w:t>
      </w:r>
      <w:r w:rsidR="001257DB">
        <w:rPr>
          <w:rFonts w:cs="Times New Roman"/>
          <w:szCs w:val="24"/>
        </w:rPr>
        <w:t>after</w:t>
      </w:r>
      <w:r w:rsidR="00BA3C60">
        <w:rPr>
          <w:rFonts w:cs="Times New Roman"/>
          <w:szCs w:val="24"/>
        </w:rPr>
        <w:t xml:space="preserve"> his return from vacation, </w:t>
      </w:r>
      <w:r w:rsidR="007F651A">
        <w:rPr>
          <w:rFonts w:cs="Times New Roman"/>
          <w:szCs w:val="24"/>
        </w:rPr>
        <w:t>Mr Hickey</w:t>
      </w:r>
      <w:r w:rsidR="00BA3C60">
        <w:rPr>
          <w:rFonts w:cs="Times New Roman"/>
          <w:szCs w:val="24"/>
        </w:rPr>
        <w:t xml:space="preserve"> forwarded the email to Mr Shannon (who was acting for Dr Sheehan in relation to the refinancing of his debts by HIG) but </w:t>
      </w:r>
      <w:r w:rsidR="00C9519B">
        <w:rPr>
          <w:rFonts w:cs="Times New Roman"/>
          <w:szCs w:val="24"/>
        </w:rPr>
        <w:t xml:space="preserve">he </w:t>
      </w:r>
      <w:r w:rsidR="00BA3C60">
        <w:rPr>
          <w:rFonts w:cs="Times New Roman"/>
          <w:szCs w:val="24"/>
        </w:rPr>
        <w:t xml:space="preserve">did not discuss it with him. </w:t>
      </w:r>
      <w:r w:rsidR="00D312F5">
        <w:rPr>
          <w:rFonts w:cs="Times New Roman"/>
          <w:szCs w:val="24"/>
        </w:rPr>
        <w:t>For his part, Mr Shannon agreed that the email had been sent to him. He “</w:t>
      </w:r>
      <w:r w:rsidR="00D312F5" w:rsidRPr="00D312F5">
        <w:rPr>
          <w:rFonts w:cs="Times New Roman"/>
          <w:i/>
          <w:szCs w:val="24"/>
        </w:rPr>
        <w:t>may have opened the attachment”</w:t>
      </w:r>
      <w:r w:rsidR="00D312F5">
        <w:rPr>
          <w:rFonts w:cs="Times New Roman"/>
          <w:i/>
          <w:szCs w:val="24"/>
        </w:rPr>
        <w:t xml:space="preserve"> </w:t>
      </w:r>
      <w:r w:rsidR="00D312F5">
        <w:rPr>
          <w:rFonts w:cs="Times New Roman"/>
          <w:szCs w:val="24"/>
        </w:rPr>
        <w:t xml:space="preserve">and thought that he </w:t>
      </w:r>
      <w:r w:rsidR="00C9519B">
        <w:rPr>
          <w:rFonts w:cs="Times New Roman"/>
          <w:szCs w:val="24"/>
        </w:rPr>
        <w:t xml:space="preserve">might have </w:t>
      </w:r>
      <w:r w:rsidR="00D312F5">
        <w:rPr>
          <w:rFonts w:cs="Times New Roman"/>
          <w:szCs w:val="24"/>
        </w:rPr>
        <w:t>“</w:t>
      </w:r>
      <w:r w:rsidR="00D312F5" w:rsidRPr="00D312F5">
        <w:rPr>
          <w:rFonts w:cs="Times New Roman"/>
          <w:i/>
          <w:szCs w:val="24"/>
        </w:rPr>
        <w:t>scanned</w:t>
      </w:r>
      <w:r w:rsidR="00D312F5">
        <w:rPr>
          <w:rFonts w:cs="Times New Roman"/>
          <w:szCs w:val="24"/>
        </w:rPr>
        <w:t>” it but could not say that he had “</w:t>
      </w:r>
      <w:r w:rsidR="00D312F5" w:rsidRPr="00D312F5">
        <w:rPr>
          <w:rFonts w:cs="Times New Roman"/>
          <w:i/>
          <w:szCs w:val="24"/>
        </w:rPr>
        <w:t>definitely opened it</w:t>
      </w:r>
      <w:r w:rsidR="00D312F5">
        <w:rPr>
          <w:rFonts w:cs="Times New Roman"/>
          <w:szCs w:val="24"/>
        </w:rPr>
        <w:t>.”  In any event, he did not “</w:t>
      </w:r>
      <w:r w:rsidR="00D312F5" w:rsidRPr="00D312F5">
        <w:rPr>
          <w:rFonts w:cs="Times New Roman"/>
          <w:i/>
          <w:szCs w:val="24"/>
        </w:rPr>
        <w:t>analyse</w:t>
      </w:r>
      <w:r w:rsidR="00D312F5">
        <w:rPr>
          <w:rFonts w:cs="Times New Roman"/>
          <w:szCs w:val="24"/>
        </w:rPr>
        <w:t>” it and did not recall seeing the “</w:t>
      </w:r>
      <w:r w:rsidR="00D312F5" w:rsidRPr="00D312F5">
        <w:rPr>
          <w:rFonts w:cs="Times New Roman"/>
          <w:i/>
          <w:szCs w:val="24"/>
        </w:rPr>
        <w:t>bottom line figure”</w:t>
      </w:r>
      <w:r w:rsidR="00D312F5">
        <w:rPr>
          <w:rFonts w:cs="Times New Roman"/>
          <w:szCs w:val="24"/>
        </w:rPr>
        <w:t xml:space="preserve"> of €2,180,295.31. </w:t>
      </w:r>
      <w:r w:rsidR="00D312F5">
        <w:rPr>
          <w:rStyle w:val="FootnoteReference"/>
          <w:rFonts w:cs="Times New Roman"/>
          <w:szCs w:val="24"/>
        </w:rPr>
        <w:footnoteReference w:id="22"/>
      </w:r>
    </w:p>
    <w:p w14:paraId="3B6F85E2" w14:textId="77777777" w:rsidR="00BA3C60" w:rsidRDefault="00BA3C60" w:rsidP="00BA3C60">
      <w:pPr>
        <w:pStyle w:val="ListParagraph"/>
        <w:autoSpaceDE w:val="0"/>
        <w:autoSpaceDN w:val="0"/>
        <w:adjustRightInd w:val="0"/>
        <w:rPr>
          <w:rFonts w:cs="Times New Roman"/>
          <w:szCs w:val="24"/>
        </w:rPr>
      </w:pPr>
    </w:p>
    <w:p w14:paraId="67BA085F" w14:textId="7BCDFBA6" w:rsidR="00BA3C60" w:rsidRDefault="00026883" w:rsidP="00E339FF">
      <w:pPr>
        <w:pStyle w:val="ListParagraph"/>
        <w:numPr>
          <w:ilvl w:val="0"/>
          <w:numId w:val="1"/>
        </w:numPr>
        <w:autoSpaceDE w:val="0"/>
        <w:autoSpaceDN w:val="0"/>
        <w:adjustRightInd w:val="0"/>
        <w:ind w:hanging="720"/>
        <w:rPr>
          <w:rFonts w:cs="Times New Roman"/>
          <w:szCs w:val="24"/>
        </w:rPr>
      </w:pPr>
      <w:r>
        <w:rPr>
          <w:rFonts w:cs="Times New Roman"/>
          <w:szCs w:val="24"/>
        </w:rPr>
        <w:t xml:space="preserve">The next relevant email is that of 11 November 2015 from Mr Simons to Mr Hickey. It set </w:t>
      </w:r>
      <w:r w:rsidR="00C9519B">
        <w:rPr>
          <w:rFonts w:cs="Times New Roman"/>
          <w:szCs w:val="24"/>
        </w:rPr>
        <w:t xml:space="preserve">out </w:t>
      </w:r>
      <w:r>
        <w:rPr>
          <w:rFonts w:cs="Times New Roman"/>
          <w:szCs w:val="24"/>
        </w:rPr>
        <w:t>“</w:t>
      </w:r>
      <w:r w:rsidRPr="00026883">
        <w:rPr>
          <w:rFonts w:cs="Times New Roman"/>
          <w:i/>
          <w:szCs w:val="24"/>
        </w:rPr>
        <w:t>the amounts required to be paid in discharge of the Judgment and JCS’s liabilities in order to return JCS to your client’s control</w:t>
      </w:r>
      <w:r>
        <w:rPr>
          <w:rFonts w:cs="Times New Roman"/>
          <w:i/>
          <w:szCs w:val="24"/>
        </w:rPr>
        <w:t xml:space="preserve">”. </w:t>
      </w:r>
      <w:r>
        <w:rPr>
          <w:rFonts w:cs="Times New Roman"/>
          <w:szCs w:val="24"/>
        </w:rPr>
        <w:t xml:space="preserve">The amounts set out included the amounts for the judgment, Courts Act interest and costs (estimated) that had been set out in the email of 22 September, as well </w:t>
      </w:r>
      <w:r w:rsidR="00643955">
        <w:rPr>
          <w:rFonts w:cs="Times New Roman"/>
          <w:szCs w:val="24"/>
        </w:rPr>
        <w:t>as a</w:t>
      </w:r>
      <w:r w:rsidR="00B531CF">
        <w:rPr>
          <w:rFonts w:cs="Times New Roman"/>
          <w:szCs w:val="24"/>
        </w:rPr>
        <w:t xml:space="preserve"> substantial</w:t>
      </w:r>
      <w:r w:rsidR="00643955">
        <w:rPr>
          <w:rFonts w:cs="Times New Roman"/>
          <w:szCs w:val="24"/>
        </w:rPr>
        <w:t xml:space="preserve"> </w:t>
      </w:r>
      <w:r w:rsidR="00B531CF">
        <w:rPr>
          <w:rFonts w:cs="Times New Roman"/>
          <w:szCs w:val="24"/>
        </w:rPr>
        <w:t>figure for contractual interest in addition to the claim for Courts Act interest. The</w:t>
      </w:r>
      <w:r w:rsidR="00EF41CB">
        <w:rPr>
          <w:rFonts w:cs="Times New Roman"/>
          <w:szCs w:val="24"/>
        </w:rPr>
        <w:t xml:space="preserve"> email then set out </w:t>
      </w:r>
      <w:r>
        <w:rPr>
          <w:rFonts w:cs="Times New Roman"/>
          <w:szCs w:val="24"/>
        </w:rPr>
        <w:t>the following additional amounts:</w:t>
      </w:r>
    </w:p>
    <w:p w14:paraId="67614AF7" w14:textId="1A85D9F2" w:rsidR="00026883" w:rsidRDefault="00026883" w:rsidP="00026883">
      <w:pPr>
        <w:pStyle w:val="ListParagraph"/>
        <w:autoSpaceDE w:val="0"/>
        <w:autoSpaceDN w:val="0"/>
        <w:adjustRightInd w:val="0"/>
        <w:rPr>
          <w:rFonts w:cs="Times New Roman"/>
          <w:szCs w:val="24"/>
        </w:rPr>
      </w:pPr>
    </w:p>
    <w:p w14:paraId="3478630F" w14:textId="0FBC9778" w:rsidR="00026883" w:rsidRPr="00026883" w:rsidRDefault="00026883" w:rsidP="00026883">
      <w:pPr>
        <w:pStyle w:val="ListParagraph"/>
        <w:autoSpaceDE w:val="0"/>
        <w:autoSpaceDN w:val="0"/>
        <w:adjustRightInd w:val="0"/>
        <w:ind w:left="993"/>
        <w:rPr>
          <w:rFonts w:cs="Times New Roman"/>
          <w:i/>
          <w:szCs w:val="24"/>
        </w:rPr>
      </w:pPr>
      <w:r w:rsidRPr="00026883">
        <w:rPr>
          <w:rFonts w:cs="Times New Roman"/>
          <w:i/>
          <w:szCs w:val="24"/>
        </w:rPr>
        <w:t>“</w:t>
      </w:r>
      <w:bookmarkStart w:id="7" w:name="_Hlk85629637"/>
      <w:r w:rsidRPr="00026883">
        <w:rPr>
          <w:rFonts w:cs="Times New Roman"/>
          <w:i/>
          <w:szCs w:val="24"/>
        </w:rPr>
        <w:t xml:space="preserve">Additional costs and expenses of JCS </w:t>
      </w:r>
      <w:bookmarkEnd w:id="7"/>
      <w:r w:rsidRPr="00026883">
        <w:rPr>
          <w:rFonts w:cs="Times New Roman"/>
          <w:i/>
          <w:szCs w:val="24"/>
        </w:rPr>
        <w:t xml:space="preserve">(net of 150k above)  </w:t>
      </w:r>
      <w:r w:rsidRPr="00026883">
        <w:rPr>
          <w:rFonts w:cs="Times New Roman"/>
          <w:i/>
          <w:szCs w:val="24"/>
        </w:rPr>
        <w:tab/>
        <w:t xml:space="preserve">€516,505.42 </w:t>
      </w:r>
    </w:p>
    <w:p w14:paraId="1C06E831" w14:textId="00E7C519" w:rsidR="00026883" w:rsidRPr="00E339FF" w:rsidRDefault="00026883" w:rsidP="00026883">
      <w:pPr>
        <w:pStyle w:val="ListParagraph"/>
        <w:autoSpaceDE w:val="0"/>
        <w:autoSpaceDN w:val="0"/>
        <w:adjustRightInd w:val="0"/>
        <w:ind w:left="993"/>
        <w:rPr>
          <w:rFonts w:cs="Times New Roman"/>
          <w:szCs w:val="24"/>
        </w:rPr>
      </w:pPr>
      <w:r w:rsidRPr="00026883">
        <w:rPr>
          <w:rFonts w:cs="Times New Roman"/>
          <w:i/>
          <w:szCs w:val="24"/>
        </w:rPr>
        <w:lastRenderedPageBreak/>
        <w:t>Additional costs to be incurred up to date of full redemption</w:t>
      </w:r>
      <w:r w:rsidRPr="00026883">
        <w:rPr>
          <w:rFonts w:cs="Times New Roman"/>
          <w:i/>
          <w:szCs w:val="24"/>
        </w:rPr>
        <w:tab/>
        <w:t>To be determined”</w:t>
      </w:r>
      <w:r>
        <w:rPr>
          <w:rFonts w:cs="Times New Roman"/>
          <w:szCs w:val="24"/>
        </w:rPr>
        <w:tab/>
      </w:r>
    </w:p>
    <w:p w14:paraId="79C499D5" w14:textId="11C6D24C" w:rsidR="00395EAD" w:rsidRDefault="00026883" w:rsidP="004F71E9">
      <w:pPr>
        <w:pStyle w:val="ListParagraph"/>
        <w:autoSpaceDE w:val="0"/>
        <w:autoSpaceDN w:val="0"/>
        <w:adjustRightInd w:val="0"/>
        <w:rPr>
          <w:rFonts w:cs="Times New Roman"/>
          <w:szCs w:val="24"/>
        </w:rPr>
      </w:pPr>
      <w:r>
        <w:rPr>
          <w:rFonts w:cs="Times New Roman"/>
          <w:szCs w:val="24"/>
        </w:rPr>
        <w:t xml:space="preserve">A breakdown of </w:t>
      </w:r>
      <w:r w:rsidR="00751E42">
        <w:rPr>
          <w:rFonts w:cs="Times New Roman"/>
          <w:szCs w:val="24"/>
        </w:rPr>
        <w:t>the “</w:t>
      </w:r>
      <w:r w:rsidR="00751E42" w:rsidRPr="00751E42">
        <w:rPr>
          <w:rFonts w:cs="Times New Roman"/>
          <w:i/>
          <w:szCs w:val="24"/>
        </w:rPr>
        <w:t>a</w:t>
      </w:r>
      <w:r w:rsidR="00751E42" w:rsidRPr="00026883">
        <w:rPr>
          <w:rFonts w:cs="Times New Roman"/>
          <w:i/>
          <w:szCs w:val="24"/>
        </w:rPr>
        <w:t>dditional costs and expenses of JCS</w:t>
      </w:r>
      <w:r w:rsidR="00751E42">
        <w:rPr>
          <w:rFonts w:cs="Times New Roman"/>
          <w:i/>
          <w:szCs w:val="24"/>
        </w:rPr>
        <w:t xml:space="preserve">” </w:t>
      </w:r>
      <w:r w:rsidR="00751E42">
        <w:rPr>
          <w:rFonts w:cs="Times New Roman"/>
          <w:szCs w:val="24"/>
        </w:rPr>
        <w:t>was attached to the email (an attachment called “</w:t>
      </w:r>
      <w:r w:rsidR="00751E42" w:rsidRPr="00751E42">
        <w:rPr>
          <w:rFonts w:cs="Times New Roman"/>
          <w:i/>
          <w:szCs w:val="24"/>
        </w:rPr>
        <w:t>Blackrock – outstanding invoices as at 10 Nov 2015</w:t>
      </w:r>
      <w:r w:rsidR="00751E42">
        <w:rPr>
          <w:rFonts w:cs="Times New Roman"/>
          <w:szCs w:val="24"/>
        </w:rPr>
        <w:t>”). That attachment listed 5 unpaid and part</w:t>
      </w:r>
      <w:r w:rsidR="00B531CF">
        <w:rPr>
          <w:rFonts w:cs="Times New Roman"/>
          <w:szCs w:val="24"/>
        </w:rPr>
        <w:t>-p</w:t>
      </w:r>
      <w:r w:rsidR="00751E42">
        <w:rPr>
          <w:rFonts w:cs="Times New Roman"/>
          <w:szCs w:val="24"/>
        </w:rPr>
        <w:t xml:space="preserve">aid invoices due by Talos, amounting to €666,505.42 which, less the costs payable under the guarantee judgment, left an unpaid balance of €516,505.42. Two of the invoices listed on the attachment related to Clifford Chance. One had the same date and invoice number as the larger of the two unpaid Clifford Chance invoices that had been listed as unpaid in the spreadsheet attached to the email of 22 September 2015. However, </w:t>
      </w:r>
      <w:r w:rsidR="00985AD8">
        <w:rPr>
          <w:rFonts w:cs="Times New Roman"/>
          <w:szCs w:val="24"/>
        </w:rPr>
        <w:t>it is listed as “</w:t>
      </w:r>
      <w:r w:rsidR="00985AD8" w:rsidRPr="00985AD8">
        <w:rPr>
          <w:rFonts w:cs="Times New Roman"/>
          <w:i/>
          <w:szCs w:val="24"/>
        </w:rPr>
        <w:t>part paid</w:t>
      </w:r>
      <w:r w:rsidR="00985AD8">
        <w:rPr>
          <w:rFonts w:cs="Times New Roman"/>
          <w:szCs w:val="24"/>
        </w:rPr>
        <w:t xml:space="preserve">” in the attachment  to the </w:t>
      </w:r>
      <w:r w:rsidR="00EF41CB">
        <w:rPr>
          <w:rFonts w:cs="Times New Roman"/>
          <w:szCs w:val="24"/>
        </w:rPr>
        <w:t xml:space="preserve">11 November </w:t>
      </w:r>
      <w:r w:rsidR="00985AD8">
        <w:rPr>
          <w:rFonts w:cs="Times New Roman"/>
          <w:szCs w:val="24"/>
        </w:rPr>
        <w:t xml:space="preserve">email and the amount </w:t>
      </w:r>
      <w:r w:rsidR="00EF41CB">
        <w:rPr>
          <w:rFonts w:cs="Times New Roman"/>
          <w:szCs w:val="24"/>
        </w:rPr>
        <w:t xml:space="preserve">shown as </w:t>
      </w:r>
      <w:r w:rsidR="00985AD8">
        <w:rPr>
          <w:rFonts w:cs="Times New Roman"/>
          <w:szCs w:val="24"/>
        </w:rPr>
        <w:t>due is significantly lower than the amount set out against that invoice in the earlier spreadsheet.</w:t>
      </w:r>
    </w:p>
    <w:p w14:paraId="6B68FFFF" w14:textId="77777777" w:rsidR="00985AD8" w:rsidRDefault="00985AD8" w:rsidP="004F71E9">
      <w:pPr>
        <w:pStyle w:val="ListParagraph"/>
        <w:autoSpaceDE w:val="0"/>
        <w:autoSpaceDN w:val="0"/>
        <w:adjustRightInd w:val="0"/>
        <w:rPr>
          <w:rFonts w:cs="Times New Roman"/>
          <w:szCs w:val="24"/>
        </w:rPr>
      </w:pPr>
    </w:p>
    <w:p w14:paraId="1DC76F15" w14:textId="7D1733BC" w:rsidR="00751E42" w:rsidRDefault="00985AD8" w:rsidP="00985AD8">
      <w:pPr>
        <w:pStyle w:val="ListParagraph"/>
        <w:numPr>
          <w:ilvl w:val="0"/>
          <w:numId w:val="1"/>
        </w:numPr>
        <w:autoSpaceDE w:val="0"/>
        <w:autoSpaceDN w:val="0"/>
        <w:adjustRightInd w:val="0"/>
        <w:ind w:hanging="720"/>
        <w:rPr>
          <w:rFonts w:cs="Times New Roman"/>
          <w:szCs w:val="24"/>
        </w:rPr>
      </w:pPr>
      <w:r>
        <w:rPr>
          <w:rFonts w:cs="Times New Roman"/>
          <w:szCs w:val="24"/>
        </w:rPr>
        <w:t>As the Judge observed (</w:t>
      </w:r>
      <w:r w:rsidR="00B531CF">
        <w:rPr>
          <w:rFonts w:cs="Times New Roman"/>
          <w:szCs w:val="24"/>
        </w:rPr>
        <w:t xml:space="preserve">Judgment, </w:t>
      </w:r>
      <w:r>
        <w:rPr>
          <w:rFonts w:cs="Times New Roman"/>
          <w:szCs w:val="24"/>
        </w:rPr>
        <w:t xml:space="preserve">para 66), this email indicated that </w:t>
      </w:r>
      <w:r w:rsidRPr="00013B46">
        <w:rPr>
          <w:rFonts w:cs="Times New Roman"/>
          <w:szCs w:val="24"/>
        </w:rPr>
        <w:t>the</w:t>
      </w:r>
      <w:r w:rsidRPr="00985AD8">
        <w:rPr>
          <w:rFonts w:cs="Times New Roman"/>
          <w:i/>
          <w:szCs w:val="24"/>
        </w:rPr>
        <w:t xml:space="preserve"> “overall ‘price’”</w:t>
      </w:r>
      <w:r>
        <w:rPr>
          <w:rFonts w:cs="Times New Roman"/>
          <w:i/>
          <w:szCs w:val="24"/>
        </w:rPr>
        <w:t xml:space="preserve"> </w:t>
      </w:r>
      <w:r>
        <w:rPr>
          <w:rFonts w:cs="Times New Roman"/>
          <w:szCs w:val="24"/>
        </w:rPr>
        <w:t xml:space="preserve">to clear the indebtedness of Dr Sheehan and </w:t>
      </w:r>
      <w:r w:rsidR="000A6E63">
        <w:rPr>
          <w:rFonts w:cs="Times New Roman"/>
          <w:szCs w:val="24"/>
        </w:rPr>
        <w:t xml:space="preserve">JCS </w:t>
      </w:r>
      <w:r>
        <w:rPr>
          <w:rFonts w:cs="Times New Roman"/>
          <w:szCs w:val="24"/>
        </w:rPr>
        <w:t xml:space="preserve">had reduced </w:t>
      </w:r>
      <w:r w:rsidR="00B531CF">
        <w:rPr>
          <w:rFonts w:cs="Times New Roman"/>
          <w:szCs w:val="24"/>
        </w:rPr>
        <w:t xml:space="preserve">very </w:t>
      </w:r>
      <w:r>
        <w:rPr>
          <w:rFonts w:cs="Times New Roman"/>
          <w:szCs w:val="24"/>
        </w:rPr>
        <w:t xml:space="preserve">significantly. The source of that reduction was </w:t>
      </w:r>
      <w:r w:rsidR="00B531CF">
        <w:rPr>
          <w:rFonts w:cs="Times New Roman"/>
          <w:szCs w:val="24"/>
        </w:rPr>
        <w:t>a</w:t>
      </w:r>
      <w:r>
        <w:rPr>
          <w:rFonts w:cs="Times New Roman"/>
          <w:szCs w:val="24"/>
        </w:rPr>
        <w:t xml:space="preserve"> reduction in the total claimed for the costs and expenses of JCS (i.e. the costs and expenses for which JCS was liable under Article 17 of the Facility Agreement) from €2,180,295.31 on 22 September 2015 to €516,505.23, the effect of which had been partially off-set by the inclusion of </w:t>
      </w:r>
      <w:r w:rsidR="00496664">
        <w:rPr>
          <w:rFonts w:cs="Times New Roman"/>
          <w:szCs w:val="24"/>
        </w:rPr>
        <w:t>the amount for contractual interest.</w:t>
      </w:r>
    </w:p>
    <w:p w14:paraId="4B889C8D" w14:textId="77777777" w:rsidR="00496664" w:rsidRDefault="00496664" w:rsidP="00496664">
      <w:pPr>
        <w:pStyle w:val="ListParagraph"/>
        <w:autoSpaceDE w:val="0"/>
        <w:autoSpaceDN w:val="0"/>
        <w:adjustRightInd w:val="0"/>
        <w:rPr>
          <w:rFonts w:cs="Times New Roman"/>
          <w:szCs w:val="24"/>
        </w:rPr>
      </w:pPr>
    </w:p>
    <w:p w14:paraId="5466F4CE" w14:textId="7E28AA6E" w:rsidR="00496664" w:rsidRDefault="00496664" w:rsidP="00985AD8">
      <w:pPr>
        <w:pStyle w:val="ListParagraph"/>
        <w:numPr>
          <w:ilvl w:val="0"/>
          <w:numId w:val="1"/>
        </w:numPr>
        <w:autoSpaceDE w:val="0"/>
        <w:autoSpaceDN w:val="0"/>
        <w:adjustRightInd w:val="0"/>
        <w:ind w:hanging="720"/>
        <w:rPr>
          <w:rFonts w:cs="Times New Roman"/>
          <w:szCs w:val="24"/>
        </w:rPr>
      </w:pPr>
      <w:r>
        <w:rPr>
          <w:rFonts w:cs="Times New Roman"/>
          <w:szCs w:val="24"/>
        </w:rPr>
        <w:t>Mr Hickey was asked about this email. It was put to him that the overall cost to return the control of JC</w:t>
      </w:r>
      <w:r w:rsidR="000A6E63">
        <w:rPr>
          <w:rFonts w:cs="Times New Roman"/>
          <w:szCs w:val="24"/>
        </w:rPr>
        <w:t>S</w:t>
      </w:r>
      <w:r>
        <w:rPr>
          <w:rFonts w:cs="Times New Roman"/>
          <w:szCs w:val="24"/>
        </w:rPr>
        <w:t xml:space="preserve"> to Dr Sheehan had reduced by some €1.1/€1.2 million. While accepting that that was the case, Mr Hickey said that he did not note </w:t>
      </w:r>
      <w:r w:rsidR="00311C19">
        <w:rPr>
          <w:rFonts w:cs="Times New Roman"/>
          <w:szCs w:val="24"/>
        </w:rPr>
        <w:t>it</w:t>
      </w:r>
      <w:r>
        <w:rPr>
          <w:rFonts w:cs="Times New Roman"/>
          <w:szCs w:val="24"/>
        </w:rPr>
        <w:t xml:space="preserve"> at the time and </w:t>
      </w:r>
      <w:r w:rsidR="00A3650C">
        <w:rPr>
          <w:rFonts w:cs="Times New Roman"/>
          <w:szCs w:val="24"/>
        </w:rPr>
        <w:lastRenderedPageBreak/>
        <w:t>had</w:t>
      </w:r>
      <w:r>
        <w:rPr>
          <w:rFonts w:cs="Times New Roman"/>
          <w:szCs w:val="24"/>
        </w:rPr>
        <w:t xml:space="preserve"> not review</w:t>
      </w:r>
      <w:r w:rsidR="00A3650C">
        <w:rPr>
          <w:rFonts w:cs="Times New Roman"/>
          <w:szCs w:val="24"/>
        </w:rPr>
        <w:t>ed</w:t>
      </w:r>
      <w:r>
        <w:rPr>
          <w:rFonts w:cs="Times New Roman"/>
          <w:szCs w:val="24"/>
        </w:rPr>
        <w:t xml:space="preserve"> the 22 September email. </w:t>
      </w:r>
      <w:r>
        <w:rPr>
          <w:rStyle w:val="FootnoteReference"/>
          <w:rFonts w:cs="Times New Roman"/>
          <w:szCs w:val="24"/>
        </w:rPr>
        <w:footnoteReference w:id="23"/>
      </w:r>
      <w:r>
        <w:rPr>
          <w:rFonts w:cs="Times New Roman"/>
          <w:szCs w:val="24"/>
        </w:rPr>
        <w:t xml:space="preserve"> Again, he had forwarded it to Mr Shannon. </w:t>
      </w:r>
      <w:r w:rsidR="000A065F">
        <w:rPr>
          <w:rFonts w:cs="Times New Roman"/>
          <w:szCs w:val="24"/>
        </w:rPr>
        <w:t>In his witness statement, Mr Shannon had stated that he did not conduct any “</w:t>
      </w:r>
      <w:r w:rsidR="000A065F" w:rsidRPr="000A065F">
        <w:rPr>
          <w:rFonts w:cs="Times New Roman"/>
          <w:i/>
          <w:szCs w:val="24"/>
        </w:rPr>
        <w:t>substantial analytical exercise</w:t>
      </w:r>
      <w:r w:rsidR="000A065F">
        <w:rPr>
          <w:rFonts w:cs="Times New Roman"/>
          <w:szCs w:val="24"/>
        </w:rPr>
        <w:t xml:space="preserve">” of the schedules attached to that email or any </w:t>
      </w:r>
      <w:r w:rsidR="000A065F" w:rsidRPr="000A065F">
        <w:rPr>
          <w:rFonts w:cs="Times New Roman"/>
          <w:i/>
          <w:szCs w:val="24"/>
        </w:rPr>
        <w:t>“substantial exercise of comparison</w:t>
      </w:r>
      <w:r w:rsidR="000A065F">
        <w:rPr>
          <w:rFonts w:cs="Times New Roman"/>
          <w:szCs w:val="24"/>
        </w:rPr>
        <w:t>” between the schedules attached to the emails of 22 September and 11 November. He had not, his statement said, note</w:t>
      </w:r>
      <w:r w:rsidR="00F325B0">
        <w:rPr>
          <w:rFonts w:cs="Times New Roman"/>
          <w:szCs w:val="24"/>
        </w:rPr>
        <w:t>d</w:t>
      </w:r>
      <w:r w:rsidR="000A065F">
        <w:rPr>
          <w:rFonts w:cs="Times New Roman"/>
          <w:szCs w:val="24"/>
        </w:rPr>
        <w:t xml:space="preserve"> that one of the Clifford Chance invoices had been noted as “</w:t>
      </w:r>
      <w:r w:rsidR="000A065F" w:rsidRPr="000A065F">
        <w:rPr>
          <w:rFonts w:cs="Times New Roman"/>
          <w:i/>
          <w:szCs w:val="24"/>
        </w:rPr>
        <w:t>part paid</w:t>
      </w:r>
      <w:r w:rsidR="000A065F">
        <w:rPr>
          <w:rFonts w:cs="Times New Roman"/>
          <w:szCs w:val="24"/>
        </w:rPr>
        <w:t xml:space="preserve">.” In cross-examination, </w:t>
      </w:r>
      <w:r w:rsidR="00CC5251">
        <w:rPr>
          <w:rFonts w:cs="Times New Roman"/>
          <w:szCs w:val="24"/>
        </w:rPr>
        <w:t xml:space="preserve">Mr Shannon </w:t>
      </w:r>
      <w:r w:rsidR="00F325B0">
        <w:rPr>
          <w:rFonts w:cs="Times New Roman"/>
          <w:szCs w:val="24"/>
        </w:rPr>
        <w:t>said</w:t>
      </w:r>
      <w:r w:rsidR="00CC5251">
        <w:rPr>
          <w:rFonts w:cs="Times New Roman"/>
          <w:szCs w:val="24"/>
        </w:rPr>
        <w:t xml:space="preserve"> that he did not know whether he had even opened the attachment at the time.</w:t>
      </w:r>
      <w:r w:rsidR="00CC5251">
        <w:rPr>
          <w:rStyle w:val="FootnoteReference"/>
          <w:rFonts w:cs="Times New Roman"/>
          <w:szCs w:val="24"/>
        </w:rPr>
        <w:footnoteReference w:id="24"/>
      </w:r>
      <w:r w:rsidR="00CC5251">
        <w:rPr>
          <w:rFonts w:cs="Times New Roman"/>
          <w:szCs w:val="24"/>
        </w:rPr>
        <w:t xml:space="preserve"> If he had, he was certain that he had not conducted any </w:t>
      </w:r>
      <w:r w:rsidR="00CC5251" w:rsidRPr="00CC5251">
        <w:rPr>
          <w:rFonts w:cs="Times New Roman"/>
          <w:i/>
          <w:szCs w:val="24"/>
        </w:rPr>
        <w:t>“detailed analysis”</w:t>
      </w:r>
      <w:r w:rsidR="00CC5251">
        <w:rPr>
          <w:rFonts w:cs="Times New Roman"/>
          <w:szCs w:val="24"/>
        </w:rPr>
        <w:t xml:space="preserve"> of it. He did not note the difference between the two schedules.</w:t>
      </w:r>
      <w:r w:rsidR="00CC5251">
        <w:rPr>
          <w:rStyle w:val="FootnoteReference"/>
          <w:rFonts w:cs="Times New Roman"/>
          <w:szCs w:val="24"/>
        </w:rPr>
        <w:footnoteReference w:id="25"/>
      </w:r>
    </w:p>
    <w:p w14:paraId="7323ABBC" w14:textId="77777777" w:rsidR="00335107" w:rsidRDefault="00335107" w:rsidP="00335107">
      <w:pPr>
        <w:pStyle w:val="ListParagraph"/>
        <w:autoSpaceDE w:val="0"/>
        <w:autoSpaceDN w:val="0"/>
        <w:adjustRightInd w:val="0"/>
        <w:rPr>
          <w:rFonts w:cs="Times New Roman"/>
          <w:szCs w:val="24"/>
        </w:rPr>
      </w:pPr>
    </w:p>
    <w:p w14:paraId="12A110B9" w14:textId="63176765" w:rsidR="00335107" w:rsidRDefault="00335107" w:rsidP="00985AD8">
      <w:pPr>
        <w:pStyle w:val="ListParagraph"/>
        <w:numPr>
          <w:ilvl w:val="0"/>
          <w:numId w:val="1"/>
        </w:numPr>
        <w:autoSpaceDE w:val="0"/>
        <w:autoSpaceDN w:val="0"/>
        <w:adjustRightInd w:val="0"/>
        <w:ind w:hanging="720"/>
        <w:rPr>
          <w:rFonts w:cs="Times New Roman"/>
          <w:szCs w:val="24"/>
        </w:rPr>
      </w:pPr>
      <w:r>
        <w:rPr>
          <w:rFonts w:cs="Times New Roman"/>
          <w:szCs w:val="24"/>
        </w:rPr>
        <w:t xml:space="preserve">I would observe here that </w:t>
      </w:r>
      <w:r w:rsidR="00390217">
        <w:rPr>
          <w:rFonts w:cs="Times New Roman"/>
          <w:szCs w:val="24"/>
        </w:rPr>
        <w:t xml:space="preserve">the emails of 23 September and 11 November are not lengthy. The schedules attached to them were not lengthy either. They did not require any </w:t>
      </w:r>
      <w:r w:rsidR="00390217" w:rsidRPr="00390217">
        <w:rPr>
          <w:rFonts w:cs="Times New Roman"/>
          <w:i/>
          <w:szCs w:val="24"/>
        </w:rPr>
        <w:t>“detailed analysis</w:t>
      </w:r>
      <w:r w:rsidR="00390217">
        <w:rPr>
          <w:rFonts w:cs="Times New Roman"/>
          <w:szCs w:val="24"/>
        </w:rPr>
        <w:t>”</w:t>
      </w:r>
      <w:r w:rsidR="001321EE">
        <w:rPr>
          <w:rFonts w:cs="Times New Roman"/>
          <w:szCs w:val="24"/>
        </w:rPr>
        <w:t xml:space="preserve"> by Dr Sheehan or his advisors in order</w:t>
      </w:r>
      <w:r w:rsidR="00390217">
        <w:rPr>
          <w:rFonts w:cs="Times New Roman"/>
          <w:szCs w:val="24"/>
        </w:rPr>
        <w:t xml:space="preserve"> to be </w:t>
      </w:r>
      <w:r w:rsidR="004A2622">
        <w:rPr>
          <w:rFonts w:cs="Times New Roman"/>
          <w:szCs w:val="24"/>
        </w:rPr>
        <w:t xml:space="preserve">absorbed and </w:t>
      </w:r>
      <w:r w:rsidR="00390217">
        <w:rPr>
          <w:rFonts w:cs="Times New Roman"/>
          <w:szCs w:val="24"/>
        </w:rPr>
        <w:t>understood.</w:t>
      </w:r>
    </w:p>
    <w:p w14:paraId="7A51C6A9" w14:textId="77777777" w:rsidR="00CC5251" w:rsidRDefault="00CC5251" w:rsidP="00CC5251">
      <w:pPr>
        <w:pStyle w:val="ListParagraph"/>
        <w:autoSpaceDE w:val="0"/>
        <w:autoSpaceDN w:val="0"/>
        <w:adjustRightInd w:val="0"/>
        <w:rPr>
          <w:rFonts w:cs="Times New Roman"/>
          <w:szCs w:val="24"/>
        </w:rPr>
      </w:pPr>
    </w:p>
    <w:p w14:paraId="646C87F0" w14:textId="215212A5" w:rsidR="00D52905" w:rsidRDefault="00A3650C" w:rsidP="004F4016">
      <w:pPr>
        <w:pStyle w:val="ListParagraph"/>
        <w:numPr>
          <w:ilvl w:val="0"/>
          <w:numId w:val="1"/>
        </w:numPr>
        <w:autoSpaceDE w:val="0"/>
        <w:autoSpaceDN w:val="0"/>
        <w:adjustRightInd w:val="0"/>
        <w:ind w:hanging="720"/>
        <w:rPr>
          <w:rFonts w:cs="Times New Roman"/>
          <w:szCs w:val="24"/>
        </w:rPr>
      </w:pPr>
      <w:r w:rsidRPr="00D52905">
        <w:rPr>
          <w:rFonts w:cs="Times New Roman"/>
          <w:szCs w:val="24"/>
        </w:rPr>
        <w:t xml:space="preserve">Pausing here, the clear evidence of Mr Hickey and Mr Shannon was that neither </w:t>
      </w:r>
      <w:r w:rsidR="00863CD9" w:rsidRPr="00D52905">
        <w:rPr>
          <w:rFonts w:cs="Times New Roman"/>
          <w:szCs w:val="24"/>
        </w:rPr>
        <w:t xml:space="preserve">had </w:t>
      </w:r>
      <w:r w:rsidRPr="00D52905">
        <w:rPr>
          <w:rFonts w:cs="Times New Roman"/>
          <w:szCs w:val="24"/>
        </w:rPr>
        <w:t>noticed the reduction in JCS</w:t>
      </w:r>
      <w:r w:rsidR="00140CD3">
        <w:rPr>
          <w:rFonts w:cs="Times New Roman"/>
          <w:szCs w:val="24"/>
        </w:rPr>
        <w:t>’</w:t>
      </w:r>
      <w:r w:rsidR="005C57CB">
        <w:rPr>
          <w:rFonts w:cs="Times New Roman"/>
          <w:szCs w:val="24"/>
        </w:rPr>
        <w:t>s</w:t>
      </w:r>
      <w:r w:rsidRPr="00D52905">
        <w:rPr>
          <w:rFonts w:cs="Times New Roman"/>
          <w:szCs w:val="24"/>
        </w:rPr>
        <w:t xml:space="preserve"> costs and expenses disclosed by the schedules to the emails of 22 September 2015 and 11 November 2015. </w:t>
      </w:r>
      <w:r w:rsidR="00D52905" w:rsidRPr="00D52905">
        <w:rPr>
          <w:rFonts w:cs="Times New Roman"/>
          <w:szCs w:val="24"/>
        </w:rPr>
        <w:t xml:space="preserve">That was a significant </w:t>
      </w:r>
      <w:r w:rsidR="00ED10BC">
        <w:rPr>
          <w:rFonts w:cs="Times New Roman"/>
          <w:szCs w:val="24"/>
        </w:rPr>
        <w:t xml:space="preserve">(and striking) </w:t>
      </w:r>
      <w:r w:rsidR="00D52905" w:rsidRPr="00D52905">
        <w:rPr>
          <w:rFonts w:cs="Times New Roman"/>
          <w:szCs w:val="24"/>
        </w:rPr>
        <w:t xml:space="preserve">part of their evidence and they were closely cross-examined on </w:t>
      </w:r>
      <w:r w:rsidR="001321EE">
        <w:rPr>
          <w:rFonts w:cs="Times New Roman"/>
          <w:szCs w:val="24"/>
        </w:rPr>
        <w:t>it</w:t>
      </w:r>
      <w:r w:rsidR="00D52905" w:rsidRPr="00D52905">
        <w:rPr>
          <w:rFonts w:cs="Times New Roman"/>
          <w:szCs w:val="24"/>
        </w:rPr>
        <w:t xml:space="preserve">. </w:t>
      </w:r>
      <w:r w:rsidR="00ED10BC">
        <w:rPr>
          <w:rFonts w:cs="Times New Roman"/>
          <w:szCs w:val="24"/>
        </w:rPr>
        <w:t>In any event, h</w:t>
      </w:r>
      <w:r w:rsidR="00863CD9" w:rsidRPr="00D52905">
        <w:rPr>
          <w:rFonts w:cs="Times New Roman"/>
          <w:szCs w:val="24"/>
        </w:rPr>
        <w:t>owever</w:t>
      </w:r>
      <w:r w:rsidRPr="00D52905">
        <w:rPr>
          <w:rFonts w:cs="Times New Roman"/>
          <w:szCs w:val="24"/>
        </w:rPr>
        <w:t>, Dr Sheeha</w:t>
      </w:r>
      <w:r w:rsidR="00311C19" w:rsidRPr="00D52905">
        <w:rPr>
          <w:rFonts w:cs="Times New Roman"/>
          <w:szCs w:val="24"/>
        </w:rPr>
        <w:t xml:space="preserve">n himself </w:t>
      </w:r>
      <w:r w:rsidR="00311C19" w:rsidRPr="00D52905">
        <w:rPr>
          <w:rFonts w:cs="Times New Roman"/>
          <w:i/>
          <w:szCs w:val="24"/>
        </w:rPr>
        <w:t>had</w:t>
      </w:r>
      <w:r w:rsidR="00203FAA">
        <w:rPr>
          <w:rFonts w:cs="Times New Roman"/>
          <w:szCs w:val="24"/>
        </w:rPr>
        <w:t xml:space="preserve"> </w:t>
      </w:r>
      <w:r w:rsidRPr="00D52905">
        <w:rPr>
          <w:rFonts w:cs="Times New Roman"/>
          <w:szCs w:val="24"/>
        </w:rPr>
        <w:t xml:space="preserve">noted that reduction. Paragraph 8 of </w:t>
      </w:r>
      <w:r w:rsidR="00863CD9" w:rsidRPr="00D52905">
        <w:rPr>
          <w:rFonts w:cs="Times New Roman"/>
          <w:szCs w:val="24"/>
        </w:rPr>
        <w:t>the</w:t>
      </w:r>
      <w:r w:rsidRPr="00D52905">
        <w:rPr>
          <w:rFonts w:cs="Times New Roman"/>
          <w:szCs w:val="24"/>
        </w:rPr>
        <w:t xml:space="preserve"> Reply and Defence to Counterclaim expressly acknowledges that </w:t>
      </w:r>
      <w:r w:rsidRPr="00D52905">
        <w:rPr>
          <w:rFonts w:cs="Times New Roman"/>
          <w:i/>
          <w:szCs w:val="24"/>
        </w:rPr>
        <w:t>“t</w:t>
      </w:r>
      <w:r w:rsidR="00863CD9" w:rsidRPr="00D52905">
        <w:rPr>
          <w:rFonts w:cs="Times New Roman"/>
          <w:i/>
          <w:szCs w:val="24"/>
        </w:rPr>
        <w:t>he Plaintiff noted”</w:t>
      </w:r>
      <w:r w:rsidR="00863CD9" w:rsidRPr="00D52905">
        <w:rPr>
          <w:rFonts w:cs="Times New Roman"/>
          <w:szCs w:val="24"/>
        </w:rPr>
        <w:t xml:space="preserve"> that “</w:t>
      </w:r>
      <w:r w:rsidR="00863CD9" w:rsidRPr="00D52905">
        <w:rPr>
          <w:rFonts w:cs="Times New Roman"/>
          <w:i/>
          <w:szCs w:val="24"/>
        </w:rPr>
        <w:t xml:space="preserve">the </w:t>
      </w:r>
      <w:r w:rsidR="00863CD9" w:rsidRPr="00D52905">
        <w:rPr>
          <w:rFonts w:cs="Times New Roman"/>
          <w:i/>
          <w:szCs w:val="24"/>
        </w:rPr>
        <w:lastRenderedPageBreak/>
        <w:t>liability claimed in the schedule of the 11</w:t>
      </w:r>
      <w:r w:rsidR="00863CD9" w:rsidRPr="00D52905">
        <w:rPr>
          <w:rFonts w:cs="Times New Roman"/>
          <w:i/>
          <w:szCs w:val="24"/>
          <w:vertAlign w:val="superscript"/>
        </w:rPr>
        <w:t>th</w:t>
      </w:r>
      <w:r w:rsidR="00863CD9" w:rsidRPr="00D52905">
        <w:rPr>
          <w:rFonts w:cs="Times New Roman"/>
          <w:i/>
          <w:szCs w:val="24"/>
        </w:rPr>
        <w:t xml:space="preserve"> November 2015 was considerably lower than that claimed in the schedule of the 22</w:t>
      </w:r>
      <w:r w:rsidR="00863CD9" w:rsidRPr="00D52905">
        <w:rPr>
          <w:rFonts w:cs="Times New Roman"/>
          <w:i/>
          <w:szCs w:val="24"/>
          <w:vertAlign w:val="superscript"/>
        </w:rPr>
        <w:t>nd</w:t>
      </w:r>
      <w:r w:rsidR="00863CD9" w:rsidRPr="00D52905">
        <w:rPr>
          <w:rFonts w:cs="Times New Roman"/>
          <w:i/>
          <w:szCs w:val="24"/>
        </w:rPr>
        <w:t xml:space="preserve"> September 2015</w:t>
      </w:r>
      <w:r w:rsidR="00863CD9" w:rsidRPr="00D52905">
        <w:rPr>
          <w:rFonts w:cs="Times New Roman"/>
          <w:szCs w:val="24"/>
        </w:rPr>
        <w:t xml:space="preserve">”. </w:t>
      </w:r>
      <w:r w:rsidR="00D52905" w:rsidRPr="00D52905">
        <w:rPr>
          <w:rFonts w:cs="Times New Roman"/>
          <w:szCs w:val="24"/>
        </w:rPr>
        <w:t xml:space="preserve"> </w:t>
      </w:r>
      <w:r w:rsidR="00863CD9" w:rsidRPr="00D52905">
        <w:rPr>
          <w:rFonts w:cs="Times New Roman"/>
          <w:szCs w:val="24"/>
        </w:rPr>
        <w:t>In the course of argument before this Court, Dr Sheehan accepted that the reduction in the “</w:t>
      </w:r>
      <w:r w:rsidR="00863CD9" w:rsidRPr="00D52905">
        <w:rPr>
          <w:rFonts w:cs="Times New Roman"/>
          <w:i/>
          <w:szCs w:val="24"/>
        </w:rPr>
        <w:t>bottom line</w:t>
      </w:r>
      <w:r w:rsidR="00863CD9" w:rsidRPr="00D52905">
        <w:rPr>
          <w:rFonts w:cs="Times New Roman"/>
          <w:szCs w:val="24"/>
        </w:rPr>
        <w:t>” had come</w:t>
      </w:r>
      <w:r w:rsidR="00203FAA">
        <w:rPr>
          <w:rFonts w:cs="Times New Roman"/>
          <w:szCs w:val="24"/>
        </w:rPr>
        <w:t xml:space="preserve"> to</w:t>
      </w:r>
      <w:r w:rsidR="00863CD9" w:rsidRPr="00D52905">
        <w:rPr>
          <w:rFonts w:cs="Times New Roman"/>
          <w:szCs w:val="24"/>
        </w:rPr>
        <w:t xml:space="preserve"> his attention</w:t>
      </w:r>
      <w:r w:rsidR="003809BF" w:rsidRPr="00D52905">
        <w:rPr>
          <w:rFonts w:cs="Times New Roman"/>
          <w:szCs w:val="24"/>
        </w:rPr>
        <w:t>.</w:t>
      </w:r>
      <w:r w:rsidR="003809BF">
        <w:rPr>
          <w:rStyle w:val="FootnoteReference"/>
          <w:rFonts w:cs="Times New Roman"/>
          <w:szCs w:val="24"/>
        </w:rPr>
        <w:footnoteReference w:id="26"/>
      </w:r>
      <w:r w:rsidR="003809BF" w:rsidRPr="00D52905">
        <w:rPr>
          <w:rFonts w:cs="Times New Roman"/>
          <w:szCs w:val="24"/>
        </w:rPr>
        <w:t xml:space="preserve"> </w:t>
      </w:r>
      <w:r w:rsidR="003E40FA">
        <w:rPr>
          <w:rFonts w:cs="Times New Roman"/>
          <w:szCs w:val="24"/>
        </w:rPr>
        <w:t>Unlike</w:t>
      </w:r>
      <w:r w:rsidR="003809BF" w:rsidRPr="00D52905">
        <w:rPr>
          <w:rFonts w:cs="Times New Roman"/>
          <w:szCs w:val="24"/>
        </w:rPr>
        <w:t xml:space="preserve"> Mr Hickey and Mr Shannon, he had seen the notation “</w:t>
      </w:r>
      <w:r w:rsidR="003809BF" w:rsidRPr="00D52905">
        <w:rPr>
          <w:rFonts w:cs="Times New Roman"/>
          <w:i/>
          <w:szCs w:val="24"/>
        </w:rPr>
        <w:t>part paid”</w:t>
      </w:r>
      <w:r w:rsidR="003809BF" w:rsidRPr="00D52905">
        <w:rPr>
          <w:rFonts w:cs="Times New Roman"/>
          <w:szCs w:val="24"/>
        </w:rPr>
        <w:t xml:space="preserve"> beside</w:t>
      </w:r>
      <w:r w:rsidR="00FA7958">
        <w:rPr>
          <w:rFonts w:cs="Times New Roman"/>
          <w:szCs w:val="24"/>
        </w:rPr>
        <w:t xml:space="preserve"> </w:t>
      </w:r>
      <w:r w:rsidR="003809BF" w:rsidRPr="00D52905">
        <w:rPr>
          <w:rFonts w:cs="Times New Roman"/>
          <w:szCs w:val="24"/>
        </w:rPr>
        <w:t>one of the Clifford Chance invoices at the time.</w:t>
      </w:r>
      <w:r w:rsidR="003809BF">
        <w:rPr>
          <w:rStyle w:val="FootnoteReference"/>
          <w:rFonts w:cs="Times New Roman"/>
          <w:szCs w:val="24"/>
        </w:rPr>
        <w:footnoteReference w:id="27"/>
      </w:r>
      <w:r w:rsidR="003809BF" w:rsidRPr="00D52905">
        <w:rPr>
          <w:rFonts w:cs="Times New Roman"/>
          <w:szCs w:val="24"/>
        </w:rPr>
        <w:t xml:space="preserve"> </w:t>
      </w:r>
    </w:p>
    <w:p w14:paraId="712E967B" w14:textId="77777777" w:rsidR="00D52905" w:rsidRDefault="00D52905" w:rsidP="00D52905">
      <w:pPr>
        <w:pStyle w:val="ListParagraph"/>
        <w:autoSpaceDE w:val="0"/>
        <w:autoSpaceDN w:val="0"/>
        <w:adjustRightInd w:val="0"/>
        <w:rPr>
          <w:rFonts w:cs="Times New Roman"/>
          <w:szCs w:val="24"/>
        </w:rPr>
      </w:pPr>
    </w:p>
    <w:p w14:paraId="0A98D6BA" w14:textId="762BDEBD" w:rsidR="005C3F6B" w:rsidRPr="005C3F6B" w:rsidRDefault="00B24B15" w:rsidP="005C3F6B">
      <w:pPr>
        <w:pStyle w:val="ListParagraph"/>
        <w:numPr>
          <w:ilvl w:val="0"/>
          <w:numId w:val="1"/>
        </w:numPr>
        <w:autoSpaceDE w:val="0"/>
        <w:autoSpaceDN w:val="0"/>
        <w:adjustRightInd w:val="0"/>
        <w:ind w:hanging="720"/>
        <w:rPr>
          <w:rFonts w:cs="Times New Roman"/>
          <w:szCs w:val="24"/>
        </w:rPr>
      </w:pPr>
      <w:r>
        <w:rPr>
          <w:rFonts w:cs="Times New Roman"/>
          <w:szCs w:val="24"/>
        </w:rPr>
        <w:t>During</w:t>
      </w:r>
      <w:r w:rsidR="00D52905" w:rsidRPr="0047282E">
        <w:rPr>
          <w:rFonts w:cs="Times New Roman"/>
          <w:szCs w:val="24"/>
        </w:rPr>
        <w:t xml:space="preserve"> his cross-examination, Mr Shannon was asked about the plea in paragraph 8 of the Reply but said that he did</w:t>
      </w:r>
      <w:r w:rsidR="003E40FA">
        <w:rPr>
          <w:rFonts w:cs="Times New Roman"/>
          <w:szCs w:val="24"/>
        </w:rPr>
        <w:t xml:space="preserve"> not</w:t>
      </w:r>
      <w:r w:rsidR="00D52905" w:rsidRPr="0047282E">
        <w:rPr>
          <w:rFonts w:cs="Times New Roman"/>
          <w:szCs w:val="24"/>
        </w:rPr>
        <w:t xml:space="preserve"> know what the specific reference was to. That is rather surprising. Mr Shannon’s firm, Shannon &amp; O’Connor, had filed the Reply and Defence to Counterclaim on Dr Sheehan’s behalf and one would have expected that </w:t>
      </w:r>
      <w:r w:rsidR="003E40FA">
        <w:rPr>
          <w:rFonts w:cs="Times New Roman"/>
          <w:szCs w:val="24"/>
        </w:rPr>
        <w:t xml:space="preserve">Mr </w:t>
      </w:r>
      <w:r w:rsidR="00140CD3">
        <w:rPr>
          <w:rFonts w:cs="Times New Roman"/>
          <w:szCs w:val="24"/>
        </w:rPr>
        <w:t>Shannon</w:t>
      </w:r>
      <w:r w:rsidR="00D52905" w:rsidRPr="0047282E">
        <w:rPr>
          <w:rFonts w:cs="Times New Roman"/>
          <w:szCs w:val="24"/>
        </w:rPr>
        <w:t xml:space="preserve"> </w:t>
      </w:r>
      <w:r w:rsidR="007A529E">
        <w:rPr>
          <w:rFonts w:cs="Times New Roman"/>
          <w:szCs w:val="24"/>
        </w:rPr>
        <w:t>would have been familiar</w:t>
      </w:r>
      <w:r w:rsidR="001E3BF3">
        <w:rPr>
          <w:rFonts w:cs="Times New Roman"/>
          <w:szCs w:val="24"/>
        </w:rPr>
        <w:t xml:space="preserve"> with </w:t>
      </w:r>
      <w:r w:rsidR="00D52905" w:rsidRPr="0047282E">
        <w:rPr>
          <w:rFonts w:cs="Times New Roman"/>
          <w:szCs w:val="24"/>
        </w:rPr>
        <w:t xml:space="preserve">the </w:t>
      </w:r>
      <w:r w:rsidR="001E3BF3">
        <w:rPr>
          <w:rFonts w:cs="Times New Roman"/>
          <w:szCs w:val="24"/>
        </w:rPr>
        <w:t xml:space="preserve">basis for </w:t>
      </w:r>
      <w:r w:rsidR="00D52905" w:rsidRPr="0047282E">
        <w:rPr>
          <w:rFonts w:cs="Times New Roman"/>
          <w:szCs w:val="24"/>
        </w:rPr>
        <w:t xml:space="preserve">the pleading in paragraph 8. </w:t>
      </w:r>
      <w:r w:rsidR="006000DC">
        <w:rPr>
          <w:rFonts w:cs="Times New Roman"/>
          <w:szCs w:val="24"/>
        </w:rPr>
        <w:t>Furthermore, i</w:t>
      </w:r>
      <w:r w:rsidR="00D52905" w:rsidRPr="0047282E">
        <w:rPr>
          <w:rFonts w:cs="Times New Roman"/>
          <w:szCs w:val="24"/>
        </w:rPr>
        <w:t xml:space="preserve">t seems reasonable to </w:t>
      </w:r>
      <w:r w:rsidR="003F1F50">
        <w:rPr>
          <w:rFonts w:cs="Times New Roman"/>
          <w:szCs w:val="24"/>
        </w:rPr>
        <w:t>expect</w:t>
      </w:r>
      <w:r w:rsidR="00D52905" w:rsidRPr="0047282E">
        <w:rPr>
          <w:rFonts w:cs="Times New Roman"/>
          <w:szCs w:val="24"/>
        </w:rPr>
        <w:t xml:space="preserve"> that Mr Shannon had discussed the emails with Dr Sheehan at the time. In any event, it is </w:t>
      </w:r>
      <w:r w:rsidR="005C3F6B">
        <w:rPr>
          <w:rFonts w:cs="Times New Roman"/>
          <w:szCs w:val="24"/>
        </w:rPr>
        <w:t>far from</w:t>
      </w:r>
      <w:r w:rsidR="00D52905" w:rsidRPr="0047282E">
        <w:rPr>
          <w:rFonts w:cs="Times New Roman"/>
          <w:szCs w:val="24"/>
        </w:rPr>
        <w:t xml:space="preserve"> satisfactory that the Court should have been asked to proceed on the basis of a potentially misleading evidential picture</w:t>
      </w:r>
      <w:r w:rsidR="0047282E" w:rsidRPr="0047282E">
        <w:rPr>
          <w:rFonts w:cs="Times New Roman"/>
          <w:szCs w:val="24"/>
        </w:rPr>
        <w:t xml:space="preserve">, namely that Mr Shannon’s state of knowledge (or, perhaps more </w:t>
      </w:r>
      <w:r w:rsidR="00ED10BC">
        <w:rPr>
          <w:rFonts w:cs="Times New Roman"/>
          <w:szCs w:val="24"/>
        </w:rPr>
        <w:t>accurately</w:t>
      </w:r>
      <w:r w:rsidR="0047282E" w:rsidRPr="0047282E">
        <w:rPr>
          <w:rFonts w:cs="Times New Roman"/>
          <w:szCs w:val="24"/>
        </w:rPr>
        <w:t>, his state of self-induced ignorance) was to be imputed to Dr Sheehan</w:t>
      </w:r>
      <w:r w:rsidR="005C3F6B">
        <w:rPr>
          <w:rFonts w:cs="Times New Roman"/>
          <w:szCs w:val="24"/>
        </w:rPr>
        <w:t xml:space="preserve"> and the court </w:t>
      </w:r>
      <w:r w:rsidR="003F1F50">
        <w:rPr>
          <w:rFonts w:cs="Times New Roman"/>
          <w:szCs w:val="24"/>
        </w:rPr>
        <w:t xml:space="preserve">ought </w:t>
      </w:r>
      <w:r w:rsidR="005C3F6B">
        <w:rPr>
          <w:rFonts w:cs="Times New Roman"/>
          <w:szCs w:val="24"/>
        </w:rPr>
        <w:t>to proceed as if Dr Sheehan’s state of knowledge was the mirror-image of Mr Shannon’s.</w:t>
      </w:r>
    </w:p>
    <w:p w14:paraId="018A37D1" w14:textId="77777777" w:rsidR="0047282E" w:rsidRPr="0047282E" w:rsidRDefault="0047282E" w:rsidP="0047282E">
      <w:pPr>
        <w:pStyle w:val="ListParagraph"/>
        <w:autoSpaceDE w:val="0"/>
        <w:autoSpaceDN w:val="0"/>
        <w:adjustRightInd w:val="0"/>
        <w:rPr>
          <w:rFonts w:cs="Times New Roman"/>
          <w:szCs w:val="24"/>
        </w:rPr>
      </w:pPr>
    </w:p>
    <w:p w14:paraId="797FBF56" w14:textId="545AEBA8" w:rsidR="00D52905" w:rsidRDefault="003809BF" w:rsidP="00D52905">
      <w:pPr>
        <w:pStyle w:val="ListParagraph"/>
        <w:numPr>
          <w:ilvl w:val="0"/>
          <w:numId w:val="1"/>
        </w:numPr>
        <w:autoSpaceDE w:val="0"/>
        <w:autoSpaceDN w:val="0"/>
        <w:adjustRightInd w:val="0"/>
        <w:ind w:hanging="720"/>
        <w:rPr>
          <w:rFonts w:cs="Times New Roman"/>
          <w:szCs w:val="24"/>
        </w:rPr>
      </w:pPr>
      <w:r w:rsidRPr="00D52905">
        <w:rPr>
          <w:rFonts w:cs="Times New Roman"/>
          <w:szCs w:val="24"/>
        </w:rPr>
        <w:t>The Judge did</w:t>
      </w:r>
      <w:r w:rsidR="005F3504" w:rsidRPr="00D52905">
        <w:rPr>
          <w:rFonts w:cs="Times New Roman"/>
          <w:szCs w:val="24"/>
        </w:rPr>
        <w:t xml:space="preserve"> not</w:t>
      </w:r>
      <w:r w:rsidRPr="00D52905">
        <w:rPr>
          <w:rFonts w:cs="Times New Roman"/>
          <w:szCs w:val="24"/>
        </w:rPr>
        <w:t xml:space="preserve"> have evidence from Dr Sheehan. If </w:t>
      </w:r>
      <w:r w:rsidR="0047282E">
        <w:rPr>
          <w:rFonts w:cs="Times New Roman"/>
          <w:szCs w:val="24"/>
        </w:rPr>
        <w:t>Dr Sheehan</w:t>
      </w:r>
      <w:r w:rsidRPr="00D52905">
        <w:rPr>
          <w:rFonts w:cs="Times New Roman"/>
          <w:szCs w:val="24"/>
        </w:rPr>
        <w:t xml:space="preserve"> had given evidence, this issue would no doubt have been the subject of discussio</w:t>
      </w:r>
      <w:r w:rsidR="005F3504" w:rsidRPr="00D52905">
        <w:rPr>
          <w:rFonts w:cs="Times New Roman"/>
          <w:szCs w:val="24"/>
        </w:rPr>
        <w:t xml:space="preserve">n, not least </w:t>
      </w:r>
      <w:r w:rsidR="006000DC">
        <w:rPr>
          <w:rFonts w:cs="Times New Roman"/>
          <w:szCs w:val="24"/>
        </w:rPr>
        <w:t>as to w</w:t>
      </w:r>
      <w:r w:rsidR="005F3504" w:rsidRPr="00D52905">
        <w:rPr>
          <w:rFonts w:cs="Times New Roman"/>
          <w:szCs w:val="24"/>
        </w:rPr>
        <w:t xml:space="preserve">hy, having identified the </w:t>
      </w:r>
      <w:r w:rsidR="006000DC">
        <w:rPr>
          <w:rFonts w:cs="Times New Roman"/>
          <w:szCs w:val="24"/>
        </w:rPr>
        <w:t xml:space="preserve">significant </w:t>
      </w:r>
      <w:r w:rsidR="005F3504" w:rsidRPr="00D52905">
        <w:rPr>
          <w:rFonts w:cs="Times New Roman"/>
          <w:szCs w:val="24"/>
        </w:rPr>
        <w:t xml:space="preserve">reduction between </w:t>
      </w:r>
      <w:r w:rsidR="006000DC">
        <w:rPr>
          <w:rFonts w:cs="Times New Roman"/>
          <w:szCs w:val="24"/>
        </w:rPr>
        <w:t>the figures set out in t</w:t>
      </w:r>
      <w:r w:rsidR="005F3504" w:rsidRPr="00D52905">
        <w:rPr>
          <w:rFonts w:cs="Times New Roman"/>
          <w:szCs w:val="24"/>
        </w:rPr>
        <w:t xml:space="preserve">he two schedules, Dr Sheehan did not </w:t>
      </w:r>
      <w:r w:rsidR="005C3F6B">
        <w:rPr>
          <w:rFonts w:cs="Times New Roman"/>
          <w:szCs w:val="24"/>
        </w:rPr>
        <w:t xml:space="preserve">instruct his advisors to seek </w:t>
      </w:r>
      <w:r w:rsidR="005F3504" w:rsidRPr="00D52905">
        <w:rPr>
          <w:rFonts w:cs="Times New Roman"/>
          <w:szCs w:val="24"/>
        </w:rPr>
        <w:t xml:space="preserve">any further explanation or </w:t>
      </w:r>
      <w:r w:rsidR="005F3504" w:rsidRPr="00D52905">
        <w:rPr>
          <w:rFonts w:cs="Times New Roman"/>
          <w:szCs w:val="24"/>
        </w:rPr>
        <w:lastRenderedPageBreak/>
        <w:t xml:space="preserve">clarification from Talos or Mr Simons. In any event, </w:t>
      </w:r>
      <w:r w:rsidR="006000DC">
        <w:rPr>
          <w:rFonts w:cs="Times New Roman"/>
          <w:szCs w:val="24"/>
        </w:rPr>
        <w:t xml:space="preserve">whatever </w:t>
      </w:r>
      <w:r w:rsidR="005F3504" w:rsidRPr="00D52905">
        <w:rPr>
          <w:rFonts w:cs="Times New Roman"/>
          <w:szCs w:val="24"/>
        </w:rPr>
        <w:t xml:space="preserve">the state of knowledge of Mr Hickey and Mr Shannon, the case made by Dr Sheehan </w:t>
      </w:r>
      <w:r w:rsidR="005C3F6B">
        <w:rPr>
          <w:rFonts w:cs="Times New Roman"/>
          <w:szCs w:val="24"/>
        </w:rPr>
        <w:t>falls</w:t>
      </w:r>
      <w:r w:rsidR="005F3504" w:rsidRPr="00D52905">
        <w:rPr>
          <w:rFonts w:cs="Times New Roman"/>
          <w:szCs w:val="24"/>
        </w:rPr>
        <w:t xml:space="preserve"> to be assessed on the basis that he was aware of the differences between the schedules.</w:t>
      </w:r>
    </w:p>
    <w:p w14:paraId="610C033A" w14:textId="77777777" w:rsidR="005F3504" w:rsidRPr="003809BF" w:rsidRDefault="005F3504" w:rsidP="005F3504">
      <w:pPr>
        <w:pStyle w:val="ListParagraph"/>
        <w:autoSpaceDE w:val="0"/>
        <w:autoSpaceDN w:val="0"/>
        <w:adjustRightInd w:val="0"/>
        <w:rPr>
          <w:rFonts w:cs="Times New Roman"/>
          <w:szCs w:val="24"/>
        </w:rPr>
      </w:pPr>
    </w:p>
    <w:p w14:paraId="55B04B6C" w14:textId="70697593" w:rsidR="003809BF" w:rsidRDefault="005F3504" w:rsidP="00985AD8">
      <w:pPr>
        <w:pStyle w:val="ListParagraph"/>
        <w:numPr>
          <w:ilvl w:val="0"/>
          <w:numId w:val="1"/>
        </w:numPr>
        <w:autoSpaceDE w:val="0"/>
        <w:autoSpaceDN w:val="0"/>
        <w:adjustRightInd w:val="0"/>
        <w:ind w:hanging="720"/>
        <w:rPr>
          <w:rFonts w:cs="Times New Roman"/>
          <w:szCs w:val="24"/>
        </w:rPr>
      </w:pPr>
      <w:r>
        <w:rPr>
          <w:rFonts w:cs="Times New Roman"/>
          <w:szCs w:val="24"/>
        </w:rPr>
        <w:t>At para 106 of his Judgment, the Judge observed that Dr Sheehan could not benefit from the fact that Mr Shannon failed to carefully read the correspondence sent by Mr Simons.</w:t>
      </w:r>
      <w:r w:rsidR="000124DB">
        <w:rPr>
          <w:rFonts w:cs="Times New Roman"/>
          <w:szCs w:val="24"/>
        </w:rPr>
        <w:t xml:space="preserve"> It is impossible to gainsay the Judge’s view that Mr Shannon did not read the correspondence carefully</w:t>
      </w:r>
      <w:r w:rsidR="006000DC">
        <w:rPr>
          <w:rFonts w:cs="Times New Roman"/>
          <w:szCs w:val="24"/>
        </w:rPr>
        <w:t xml:space="preserve">. In light of the evidence given by him, </w:t>
      </w:r>
      <w:r w:rsidR="00687102">
        <w:rPr>
          <w:rFonts w:cs="Times New Roman"/>
          <w:szCs w:val="24"/>
        </w:rPr>
        <w:t xml:space="preserve"> any other view would be perverse</w:t>
      </w:r>
      <w:r w:rsidR="006000DC">
        <w:rPr>
          <w:rFonts w:cs="Times New Roman"/>
          <w:szCs w:val="24"/>
        </w:rPr>
        <w:t xml:space="preserve">. </w:t>
      </w:r>
      <w:r w:rsidR="00687102">
        <w:rPr>
          <w:rFonts w:cs="Times New Roman"/>
          <w:szCs w:val="24"/>
        </w:rPr>
        <w:t xml:space="preserve"> </w:t>
      </w:r>
      <w:r w:rsidR="006000DC">
        <w:rPr>
          <w:rFonts w:cs="Times New Roman"/>
          <w:szCs w:val="24"/>
        </w:rPr>
        <w:t>T</w:t>
      </w:r>
      <w:r w:rsidR="000124DB">
        <w:rPr>
          <w:rFonts w:cs="Times New Roman"/>
          <w:szCs w:val="24"/>
        </w:rPr>
        <w:t>h</w:t>
      </w:r>
      <w:r w:rsidR="006000DC">
        <w:rPr>
          <w:rFonts w:cs="Times New Roman"/>
          <w:szCs w:val="24"/>
        </w:rPr>
        <w:t>e proposition that</w:t>
      </w:r>
      <w:r w:rsidR="000124DB">
        <w:rPr>
          <w:rFonts w:cs="Times New Roman"/>
          <w:szCs w:val="24"/>
        </w:rPr>
        <w:t xml:space="preserve"> Dr Sheehan ought not to benefit from </w:t>
      </w:r>
      <w:r w:rsidR="006000DC">
        <w:rPr>
          <w:rFonts w:cs="Times New Roman"/>
          <w:szCs w:val="24"/>
        </w:rPr>
        <w:t xml:space="preserve">Mr Shannon’s </w:t>
      </w:r>
      <w:r w:rsidR="000124DB">
        <w:rPr>
          <w:rFonts w:cs="Times New Roman"/>
          <w:szCs w:val="24"/>
        </w:rPr>
        <w:t xml:space="preserve"> failure appears entirely unremarkable. </w:t>
      </w:r>
      <w:r w:rsidR="003F1F50">
        <w:rPr>
          <w:rFonts w:cs="Times New Roman"/>
          <w:szCs w:val="24"/>
        </w:rPr>
        <w:t xml:space="preserve">The same point applies to </w:t>
      </w:r>
      <w:r w:rsidR="00B24B15">
        <w:rPr>
          <w:rFonts w:cs="Times New Roman"/>
          <w:szCs w:val="24"/>
        </w:rPr>
        <w:t xml:space="preserve">the period of </w:t>
      </w:r>
      <w:r w:rsidR="003F1F50">
        <w:rPr>
          <w:rFonts w:cs="Times New Roman"/>
          <w:szCs w:val="24"/>
        </w:rPr>
        <w:t xml:space="preserve">Mr Hickey’s involvement. </w:t>
      </w:r>
      <w:r w:rsidR="006000DC">
        <w:rPr>
          <w:rFonts w:cs="Times New Roman"/>
          <w:szCs w:val="24"/>
        </w:rPr>
        <w:t>However,</w:t>
      </w:r>
      <w:r w:rsidR="00EB68C1">
        <w:rPr>
          <w:rFonts w:cs="Times New Roman"/>
          <w:szCs w:val="24"/>
        </w:rPr>
        <w:t xml:space="preserve"> there is a</w:t>
      </w:r>
      <w:r w:rsidR="00C748B9">
        <w:rPr>
          <w:rFonts w:cs="Times New Roman"/>
          <w:szCs w:val="24"/>
        </w:rPr>
        <w:t>nother and perhaps</w:t>
      </w:r>
      <w:r w:rsidR="00EB68C1">
        <w:rPr>
          <w:rFonts w:cs="Times New Roman"/>
          <w:szCs w:val="24"/>
        </w:rPr>
        <w:t xml:space="preserve"> more fundamental point. The </w:t>
      </w:r>
      <w:r w:rsidR="00B24B15">
        <w:rPr>
          <w:rFonts w:cs="Times New Roman"/>
          <w:szCs w:val="24"/>
        </w:rPr>
        <w:t xml:space="preserve">real </w:t>
      </w:r>
      <w:r w:rsidR="00EB68C1">
        <w:rPr>
          <w:rFonts w:cs="Times New Roman"/>
          <w:szCs w:val="24"/>
        </w:rPr>
        <w:t xml:space="preserve">representee here was not Mr Shannon </w:t>
      </w:r>
      <w:r w:rsidR="00B718DD">
        <w:rPr>
          <w:rFonts w:cs="Times New Roman"/>
          <w:szCs w:val="24"/>
        </w:rPr>
        <w:t xml:space="preserve">but </w:t>
      </w:r>
      <w:r w:rsidR="00C748B9">
        <w:rPr>
          <w:rFonts w:cs="Times New Roman"/>
          <w:szCs w:val="24"/>
        </w:rPr>
        <w:t xml:space="preserve">his client </w:t>
      </w:r>
      <w:r w:rsidR="00B718DD">
        <w:rPr>
          <w:rFonts w:cs="Times New Roman"/>
          <w:szCs w:val="24"/>
        </w:rPr>
        <w:t>Dr Sheehan</w:t>
      </w:r>
      <w:r w:rsidR="00C748B9">
        <w:rPr>
          <w:rFonts w:cs="Times New Roman"/>
          <w:szCs w:val="24"/>
        </w:rPr>
        <w:t xml:space="preserve">. </w:t>
      </w:r>
      <w:r w:rsidR="00B718DD">
        <w:rPr>
          <w:rFonts w:cs="Times New Roman"/>
          <w:szCs w:val="24"/>
        </w:rPr>
        <w:t xml:space="preserve">Mr Shannon </w:t>
      </w:r>
      <w:r w:rsidR="00561C86">
        <w:rPr>
          <w:rFonts w:cs="Times New Roman"/>
          <w:szCs w:val="24"/>
        </w:rPr>
        <w:t xml:space="preserve">(and before him Mr Hickey) </w:t>
      </w:r>
      <w:r w:rsidR="00C748B9">
        <w:rPr>
          <w:rFonts w:cs="Times New Roman"/>
          <w:szCs w:val="24"/>
        </w:rPr>
        <w:t xml:space="preserve">was simply acting </w:t>
      </w:r>
      <w:r w:rsidR="00B718DD">
        <w:rPr>
          <w:rFonts w:cs="Times New Roman"/>
          <w:szCs w:val="24"/>
        </w:rPr>
        <w:t xml:space="preserve">as Dr Sheehan’s agent. </w:t>
      </w:r>
      <w:r w:rsidR="00EB68C1">
        <w:rPr>
          <w:rFonts w:cs="Times New Roman"/>
          <w:szCs w:val="24"/>
        </w:rPr>
        <w:t xml:space="preserve"> </w:t>
      </w:r>
      <w:r w:rsidR="000124DB">
        <w:rPr>
          <w:rFonts w:cs="Times New Roman"/>
          <w:szCs w:val="24"/>
        </w:rPr>
        <w:t>I</w:t>
      </w:r>
      <w:r w:rsidR="00C748B9">
        <w:rPr>
          <w:rFonts w:cs="Times New Roman"/>
          <w:szCs w:val="24"/>
        </w:rPr>
        <w:t xml:space="preserve">nformation available to </w:t>
      </w:r>
      <w:r w:rsidR="00561C86">
        <w:rPr>
          <w:rFonts w:cs="Times New Roman"/>
          <w:szCs w:val="24"/>
        </w:rPr>
        <w:t xml:space="preserve">Mr Shannon </w:t>
      </w:r>
      <w:r w:rsidR="003F1F50">
        <w:rPr>
          <w:rFonts w:cs="Times New Roman"/>
          <w:szCs w:val="24"/>
        </w:rPr>
        <w:t xml:space="preserve">(and/or Mr Hickey) </w:t>
      </w:r>
      <w:r w:rsidR="006000DC">
        <w:rPr>
          <w:rFonts w:cs="Times New Roman"/>
          <w:szCs w:val="24"/>
        </w:rPr>
        <w:t>ought</w:t>
      </w:r>
      <w:r w:rsidR="00561C86">
        <w:rPr>
          <w:rFonts w:cs="Times New Roman"/>
          <w:szCs w:val="24"/>
        </w:rPr>
        <w:t xml:space="preserve">, in principle, </w:t>
      </w:r>
      <w:r w:rsidR="000124DB">
        <w:rPr>
          <w:rFonts w:cs="Times New Roman"/>
          <w:szCs w:val="24"/>
        </w:rPr>
        <w:t xml:space="preserve">to </w:t>
      </w:r>
      <w:r w:rsidR="00561C86">
        <w:rPr>
          <w:rFonts w:cs="Times New Roman"/>
          <w:szCs w:val="24"/>
        </w:rPr>
        <w:t xml:space="preserve">be imputed to Dr Sheehan: </w:t>
      </w:r>
      <w:r w:rsidR="00561C86" w:rsidRPr="00561C86">
        <w:rPr>
          <w:rFonts w:cs="Times New Roman"/>
          <w:i/>
          <w:szCs w:val="24"/>
        </w:rPr>
        <w:t>St</w:t>
      </w:r>
      <w:r w:rsidR="00140CD3">
        <w:rPr>
          <w:rFonts w:cs="Times New Roman"/>
          <w:i/>
          <w:szCs w:val="24"/>
        </w:rPr>
        <w:t>r</w:t>
      </w:r>
      <w:r w:rsidR="00561C86" w:rsidRPr="00561C86">
        <w:rPr>
          <w:rFonts w:cs="Times New Roman"/>
          <w:i/>
          <w:szCs w:val="24"/>
        </w:rPr>
        <w:t>over v Harrington</w:t>
      </w:r>
      <w:r w:rsidR="00561C86">
        <w:rPr>
          <w:rFonts w:cs="Times New Roman"/>
          <w:szCs w:val="24"/>
        </w:rPr>
        <w:t xml:space="preserve"> [1988] Ch 390.</w:t>
      </w:r>
      <w:r w:rsidR="00C748B9">
        <w:rPr>
          <w:rFonts w:cs="Times New Roman"/>
          <w:szCs w:val="24"/>
        </w:rPr>
        <w:t xml:space="preserve">  But no real issue of imputation arises here. </w:t>
      </w:r>
      <w:r w:rsidR="007131FA">
        <w:rPr>
          <w:rFonts w:cs="Times New Roman"/>
          <w:szCs w:val="24"/>
        </w:rPr>
        <w:t xml:space="preserve">The Reply and Defence to Counterclaim makes it </w:t>
      </w:r>
      <w:r w:rsidR="00C748B9">
        <w:rPr>
          <w:rFonts w:cs="Times New Roman"/>
          <w:szCs w:val="24"/>
        </w:rPr>
        <w:t>clear that the emails of 22 September and 11 November were in fact reviewed by Dr Sheehan</w:t>
      </w:r>
      <w:r w:rsidR="000124DB">
        <w:rPr>
          <w:rFonts w:cs="Times New Roman"/>
          <w:szCs w:val="24"/>
        </w:rPr>
        <w:t xml:space="preserve"> and that</w:t>
      </w:r>
      <w:r w:rsidR="00C748B9">
        <w:rPr>
          <w:rFonts w:cs="Times New Roman"/>
          <w:szCs w:val="24"/>
        </w:rPr>
        <w:t xml:space="preserve"> </w:t>
      </w:r>
      <w:r w:rsidR="000124DB">
        <w:rPr>
          <w:rFonts w:cs="Times New Roman"/>
          <w:szCs w:val="24"/>
        </w:rPr>
        <w:t>he noted the reduction in the amounts for JCS</w:t>
      </w:r>
      <w:r w:rsidR="00140CD3">
        <w:rPr>
          <w:rFonts w:cs="Times New Roman"/>
          <w:szCs w:val="24"/>
        </w:rPr>
        <w:t>’</w:t>
      </w:r>
      <w:r w:rsidR="005C57CB">
        <w:rPr>
          <w:rFonts w:cs="Times New Roman"/>
          <w:szCs w:val="24"/>
        </w:rPr>
        <w:t>s</w:t>
      </w:r>
      <w:r w:rsidR="000124DB">
        <w:rPr>
          <w:rFonts w:cs="Times New Roman"/>
          <w:szCs w:val="24"/>
        </w:rPr>
        <w:t xml:space="preserve"> costs and expenses </w:t>
      </w:r>
      <w:r w:rsidR="0047282E">
        <w:rPr>
          <w:rFonts w:cs="Times New Roman"/>
          <w:szCs w:val="24"/>
        </w:rPr>
        <w:t>(</w:t>
      </w:r>
      <w:r w:rsidR="000124DB">
        <w:rPr>
          <w:rFonts w:cs="Times New Roman"/>
          <w:szCs w:val="24"/>
        </w:rPr>
        <w:t xml:space="preserve">and </w:t>
      </w:r>
      <w:r w:rsidR="007131FA">
        <w:rPr>
          <w:rFonts w:cs="Times New Roman"/>
          <w:szCs w:val="24"/>
        </w:rPr>
        <w:t xml:space="preserve">he </w:t>
      </w:r>
      <w:r w:rsidR="000124DB">
        <w:rPr>
          <w:rFonts w:cs="Times New Roman"/>
          <w:szCs w:val="24"/>
        </w:rPr>
        <w:t xml:space="preserve">also noted that one of the Clifford Chance </w:t>
      </w:r>
      <w:r w:rsidR="00140CD3">
        <w:rPr>
          <w:rFonts w:cs="Times New Roman"/>
          <w:szCs w:val="24"/>
        </w:rPr>
        <w:t xml:space="preserve">invoices </w:t>
      </w:r>
      <w:r w:rsidR="000124DB">
        <w:rPr>
          <w:rFonts w:cs="Times New Roman"/>
          <w:szCs w:val="24"/>
        </w:rPr>
        <w:t>was noted as “</w:t>
      </w:r>
      <w:r w:rsidR="000124DB" w:rsidRPr="000124DB">
        <w:rPr>
          <w:rFonts w:cs="Times New Roman"/>
          <w:i/>
          <w:szCs w:val="24"/>
        </w:rPr>
        <w:t>part-paid</w:t>
      </w:r>
      <w:r w:rsidR="000124DB">
        <w:rPr>
          <w:rFonts w:cs="Times New Roman"/>
          <w:szCs w:val="24"/>
        </w:rPr>
        <w:t>” in the later schedule</w:t>
      </w:r>
      <w:r w:rsidR="007131FA">
        <w:rPr>
          <w:rFonts w:cs="Times New Roman"/>
          <w:szCs w:val="24"/>
        </w:rPr>
        <w:t>, as he acknowledged before this Court</w:t>
      </w:r>
      <w:r w:rsidR="0047282E">
        <w:rPr>
          <w:rFonts w:cs="Times New Roman"/>
          <w:szCs w:val="24"/>
        </w:rPr>
        <w:t>)</w:t>
      </w:r>
      <w:r w:rsidR="000124DB">
        <w:rPr>
          <w:rFonts w:cs="Times New Roman"/>
          <w:szCs w:val="24"/>
        </w:rPr>
        <w:t xml:space="preserve">. Insofar as knowledge of such matters is relevant, it is clear that Dr Sheehan had such knowledge and Mr Shannon’s failure to </w:t>
      </w:r>
      <w:r w:rsidR="005859A5">
        <w:rPr>
          <w:rFonts w:cs="Times New Roman"/>
          <w:szCs w:val="24"/>
        </w:rPr>
        <w:t>appreciate</w:t>
      </w:r>
      <w:r w:rsidR="000124DB">
        <w:rPr>
          <w:rFonts w:cs="Times New Roman"/>
          <w:szCs w:val="24"/>
        </w:rPr>
        <w:t xml:space="preserve"> those matters</w:t>
      </w:r>
      <w:r w:rsidR="008A062E">
        <w:rPr>
          <w:rFonts w:cs="Times New Roman"/>
          <w:szCs w:val="24"/>
        </w:rPr>
        <w:t xml:space="preserve">, and his </w:t>
      </w:r>
      <w:r w:rsidR="005859A5">
        <w:rPr>
          <w:rFonts w:cs="Times New Roman"/>
          <w:szCs w:val="24"/>
        </w:rPr>
        <w:t>stated</w:t>
      </w:r>
      <w:r w:rsidR="008A062E">
        <w:rPr>
          <w:rFonts w:cs="Times New Roman"/>
          <w:szCs w:val="24"/>
        </w:rPr>
        <w:t xml:space="preserve"> ignorance of them as of November 2015,</w:t>
      </w:r>
      <w:r w:rsidR="000124DB">
        <w:rPr>
          <w:rFonts w:cs="Times New Roman"/>
          <w:szCs w:val="24"/>
        </w:rPr>
        <w:t xml:space="preserve"> is </w:t>
      </w:r>
      <w:r w:rsidR="000124DB" w:rsidRPr="000124DB">
        <w:rPr>
          <w:rFonts w:cs="Times New Roman"/>
          <w:i/>
          <w:szCs w:val="24"/>
        </w:rPr>
        <w:t>nihil ad rem</w:t>
      </w:r>
      <w:r w:rsidR="000124DB">
        <w:rPr>
          <w:rFonts w:cs="Times New Roman"/>
          <w:szCs w:val="24"/>
        </w:rPr>
        <w:t xml:space="preserve">. </w:t>
      </w:r>
    </w:p>
    <w:p w14:paraId="2EA86DD0" w14:textId="77777777" w:rsidR="000124DB" w:rsidRDefault="000124DB" w:rsidP="000124DB">
      <w:pPr>
        <w:pStyle w:val="ListParagraph"/>
        <w:autoSpaceDE w:val="0"/>
        <w:autoSpaceDN w:val="0"/>
        <w:adjustRightInd w:val="0"/>
        <w:rPr>
          <w:rFonts w:cs="Times New Roman"/>
          <w:szCs w:val="24"/>
        </w:rPr>
      </w:pPr>
    </w:p>
    <w:p w14:paraId="5CB08435" w14:textId="17E44CC9" w:rsidR="003D5C9B" w:rsidRDefault="000124DB" w:rsidP="00985AD8">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This serve</w:t>
      </w:r>
      <w:r w:rsidR="001947DC">
        <w:rPr>
          <w:rFonts w:cs="Times New Roman"/>
          <w:szCs w:val="24"/>
        </w:rPr>
        <w:t>s</w:t>
      </w:r>
      <w:r>
        <w:rPr>
          <w:rFonts w:cs="Times New Roman"/>
          <w:szCs w:val="24"/>
        </w:rPr>
        <w:t xml:space="preserve"> to highlight the </w:t>
      </w:r>
      <w:r w:rsidR="005859A5">
        <w:rPr>
          <w:rFonts w:cs="Times New Roman"/>
          <w:szCs w:val="24"/>
        </w:rPr>
        <w:t xml:space="preserve">fact that </w:t>
      </w:r>
      <w:r>
        <w:rPr>
          <w:rFonts w:cs="Times New Roman"/>
          <w:szCs w:val="24"/>
        </w:rPr>
        <w:t xml:space="preserve">Dr Sheehan </w:t>
      </w:r>
      <w:r w:rsidR="005859A5">
        <w:rPr>
          <w:rFonts w:cs="Times New Roman"/>
          <w:szCs w:val="24"/>
        </w:rPr>
        <w:t>did not give evidence</w:t>
      </w:r>
      <w:r>
        <w:rPr>
          <w:rFonts w:cs="Times New Roman"/>
          <w:szCs w:val="24"/>
        </w:rPr>
        <w:t xml:space="preserve"> and </w:t>
      </w:r>
      <w:r w:rsidR="003D5C9B">
        <w:rPr>
          <w:rFonts w:cs="Times New Roman"/>
          <w:szCs w:val="24"/>
        </w:rPr>
        <w:t>it illustrates some of the difficulties that arose from th</w:t>
      </w:r>
      <w:r w:rsidR="001947DC">
        <w:rPr>
          <w:rFonts w:cs="Times New Roman"/>
          <w:szCs w:val="24"/>
        </w:rPr>
        <w:t>at fact and from the</w:t>
      </w:r>
      <w:r w:rsidR="003D5C9B">
        <w:rPr>
          <w:rFonts w:cs="Times New Roman"/>
          <w:szCs w:val="24"/>
        </w:rPr>
        <w:t xml:space="preserve"> fact that</w:t>
      </w:r>
      <w:r>
        <w:rPr>
          <w:rFonts w:cs="Times New Roman"/>
          <w:szCs w:val="24"/>
        </w:rPr>
        <w:t xml:space="preserve"> </w:t>
      </w:r>
      <w:r w:rsidR="003D5C9B">
        <w:rPr>
          <w:rFonts w:cs="Times New Roman"/>
          <w:szCs w:val="24"/>
        </w:rPr>
        <w:t xml:space="preserve">Mr Shannon effectively purported to stand in </w:t>
      </w:r>
      <w:r w:rsidR="001947DC">
        <w:rPr>
          <w:rFonts w:cs="Times New Roman"/>
          <w:szCs w:val="24"/>
        </w:rPr>
        <w:t>Dr Sheehan’s</w:t>
      </w:r>
      <w:r w:rsidR="003D5C9B">
        <w:rPr>
          <w:rFonts w:cs="Times New Roman"/>
          <w:szCs w:val="24"/>
        </w:rPr>
        <w:t xml:space="preserve"> shoes in his evidence to the High Court. That is a point to which I will return below.</w:t>
      </w:r>
    </w:p>
    <w:p w14:paraId="75CDC2DC" w14:textId="77777777" w:rsidR="001947DC" w:rsidRDefault="001947DC" w:rsidP="001947DC">
      <w:pPr>
        <w:pStyle w:val="ListParagraph"/>
        <w:autoSpaceDE w:val="0"/>
        <w:autoSpaceDN w:val="0"/>
        <w:adjustRightInd w:val="0"/>
        <w:rPr>
          <w:rFonts w:cs="Times New Roman"/>
          <w:szCs w:val="24"/>
        </w:rPr>
      </w:pPr>
    </w:p>
    <w:p w14:paraId="621B9F92" w14:textId="3338035F" w:rsidR="000124DB" w:rsidRDefault="003D5C9B" w:rsidP="00985AD8">
      <w:pPr>
        <w:pStyle w:val="ListParagraph"/>
        <w:numPr>
          <w:ilvl w:val="0"/>
          <w:numId w:val="1"/>
        </w:numPr>
        <w:autoSpaceDE w:val="0"/>
        <w:autoSpaceDN w:val="0"/>
        <w:adjustRightInd w:val="0"/>
        <w:ind w:hanging="720"/>
        <w:rPr>
          <w:rFonts w:cs="Times New Roman"/>
          <w:szCs w:val="24"/>
        </w:rPr>
      </w:pPr>
      <w:r>
        <w:rPr>
          <w:rFonts w:cs="Times New Roman"/>
          <w:szCs w:val="24"/>
        </w:rPr>
        <w:t xml:space="preserve">Returning to the dealings between the parties leading up to the Settlement Agreement, </w:t>
      </w:r>
      <w:r w:rsidR="00E7136A">
        <w:rPr>
          <w:rFonts w:cs="Times New Roman"/>
          <w:szCs w:val="24"/>
        </w:rPr>
        <w:t>there were further exchanges on 11 and 12 November in which Mr Hickey sought to explore the option of Dr Sheehan discharging only his liabilities arising from the guarantee judgment (which Mr Hickey calculated at €3,124,481). Ultimately, Mr Simons indicated that he was instructed that Talos was “</w:t>
      </w:r>
      <w:r w:rsidR="00E7136A" w:rsidRPr="00E7136A">
        <w:rPr>
          <w:rFonts w:cs="Times New Roman"/>
          <w:i/>
          <w:szCs w:val="24"/>
        </w:rPr>
        <w:t>not willing to sign anything unless the JCS liability is also dealt with</w:t>
      </w:r>
      <w:r w:rsidR="000A7B53">
        <w:rPr>
          <w:rFonts w:cs="Times New Roman"/>
          <w:i/>
          <w:szCs w:val="24"/>
        </w:rPr>
        <w:t xml:space="preserve">” </w:t>
      </w:r>
      <w:r w:rsidR="000A7B53">
        <w:rPr>
          <w:rFonts w:cs="Times New Roman"/>
          <w:szCs w:val="24"/>
        </w:rPr>
        <w:t>(email of 12 November 2015). In adopting that approach, Talos was influenced by contact that it had received from HIG</w:t>
      </w:r>
      <w:r w:rsidR="00293D63">
        <w:rPr>
          <w:rFonts w:cs="Times New Roman"/>
          <w:szCs w:val="24"/>
        </w:rPr>
        <w:t xml:space="preserve"> (also on 12 November)</w:t>
      </w:r>
      <w:r w:rsidR="000A7B53">
        <w:rPr>
          <w:rFonts w:cs="Times New Roman"/>
          <w:szCs w:val="24"/>
        </w:rPr>
        <w:t xml:space="preserve"> which indicated that it was trying to arrange funding so that Talos “</w:t>
      </w:r>
      <w:r w:rsidR="000A7B53" w:rsidRPr="000A7B53">
        <w:rPr>
          <w:rFonts w:cs="Times New Roman"/>
          <w:i/>
          <w:szCs w:val="24"/>
        </w:rPr>
        <w:t>can get its money back</w:t>
      </w:r>
      <w:r w:rsidR="000A7B53">
        <w:rPr>
          <w:rFonts w:cs="Times New Roman"/>
          <w:szCs w:val="24"/>
        </w:rPr>
        <w:t xml:space="preserve">” (Judgment, paras 71-73). </w:t>
      </w:r>
    </w:p>
    <w:p w14:paraId="0157FC57" w14:textId="77777777" w:rsidR="00293D63" w:rsidRDefault="00293D63" w:rsidP="00293D63">
      <w:pPr>
        <w:pStyle w:val="ListParagraph"/>
        <w:autoSpaceDE w:val="0"/>
        <w:autoSpaceDN w:val="0"/>
        <w:adjustRightInd w:val="0"/>
        <w:rPr>
          <w:rFonts w:cs="Times New Roman"/>
          <w:szCs w:val="24"/>
        </w:rPr>
      </w:pPr>
    </w:p>
    <w:p w14:paraId="1BAD9D71" w14:textId="5DBBDF97" w:rsidR="00293D63" w:rsidRDefault="003B2FD8" w:rsidP="00985AD8">
      <w:pPr>
        <w:pStyle w:val="ListParagraph"/>
        <w:numPr>
          <w:ilvl w:val="0"/>
          <w:numId w:val="1"/>
        </w:numPr>
        <w:autoSpaceDE w:val="0"/>
        <w:autoSpaceDN w:val="0"/>
        <w:adjustRightInd w:val="0"/>
        <w:ind w:hanging="720"/>
        <w:rPr>
          <w:rFonts w:cs="Times New Roman"/>
          <w:szCs w:val="24"/>
        </w:rPr>
      </w:pPr>
      <w:r>
        <w:rPr>
          <w:rFonts w:cs="Times New Roman"/>
          <w:szCs w:val="24"/>
        </w:rPr>
        <w:t>HIG’s role was of some significance in this context. According to Mr Shannon, HIG’s “</w:t>
      </w:r>
      <w:r w:rsidRPr="00293D63">
        <w:rPr>
          <w:rFonts w:cs="Times New Roman"/>
          <w:i/>
          <w:szCs w:val="24"/>
        </w:rPr>
        <w:t>strong preference”</w:t>
      </w:r>
      <w:r>
        <w:rPr>
          <w:rFonts w:cs="Times New Roman"/>
          <w:szCs w:val="24"/>
        </w:rPr>
        <w:t xml:space="preserve"> was for a resolution that would involve Talos entering into a deed of release in favour of Dr Sheehan.</w:t>
      </w:r>
      <w:r>
        <w:rPr>
          <w:rStyle w:val="FootnoteReference"/>
          <w:rFonts w:cs="Times New Roman"/>
          <w:szCs w:val="24"/>
        </w:rPr>
        <w:footnoteReference w:id="28"/>
      </w:r>
      <w:r>
        <w:rPr>
          <w:rFonts w:cs="Times New Roman"/>
          <w:szCs w:val="24"/>
        </w:rPr>
        <w:t xml:space="preserve"> HIG’s intervention on 12 November was seen by the Judge as strengthening Talos’ position </w:t>
      </w:r>
      <w:r w:rsidRPr="003B2FD8">
        <w:rPr>
          <w:rFonts w:cs="Times New Roman"/>
          <w:i/>
          <w:szCs w:val="24"/>
        </w:rPr>
        <w:t>vis a vis</w:t>
      </w:r>
      <w:r>
        <w:rPr>
          <w:rFonts w:cs="Times New Roman"/>
          <w:szCs w:val="24"/>
        </w:rPr>
        <w:t xml:space="preserve"> Dr Sheehan and that appears to be reflected in the terms of an email sent by Mr Shannon to Mr Simons on 13 November 2015 where he indicated that he was acting for Dr Sheehan</w:t>
      </w:r>
      <w:r w:rsidRPr="003B2FD8">
        <w:rPr>
          <w:rFonts w:cs="Times New Roman"/>
          <w:i/>
          <w:szCs w:val="24"/>
        </w:rPr>
        <w:t xml:space="preserve"> “in relation to his current refinancing transaction”</w:t>
      </w:r>
      <w:r>
        <w:rPr>
          <w:rFonts w:cs="Times New Roman"/>
          <w:i/>
          <w:szCs w:val="24"/>
        </w:rPr>
        <w:t xml:space="preserve">, </w:t>
      </w:r>
      <w:r>
        <w:rPr>
          <w:rFonts w:cs="Times New Roman"/>
          <w:szCs w:val="24"/>
        </w:rPr>
        <w:t xml:space="preserve">noted Talos’ unwillingness </w:t>
      </w:r>
      <w:r w:rsidR="00C00C91">
        <w:rPr>
          <w:rFonts w:cs="Times New Roman"/>
          <w:szCs w:val="24"/>
        </w:rPr>
        <w:t xml:space="preserve">to sign the requested form of </w:t>
      </w:r>
      <w:r w:rsidR="00C00C91">
        <w:rPr>
          <w:rFonts w:cs="Times New Roman"/>
          <w:szCs w:val="24"/>
        </w:rPr>
        <w:lastRenderedPageBreak/>
        <w:t>release until all of the costs incurred by it against Dr Sheehan and JCS were addressed and asked for the “</w:t>
      </w:r>
      <w:r w:rsidR="00C00C91" w:rsidRPr="00C00C91">
        <w:rPr>
          <w:rFonts w:cs="Times New Roman"/>
          <w:i/>
          <w:szCs w:val="24"/>
        </w:rPr>
        <w:t>exact amount</w:t>
      </w:r>
      <w:r w:rsidR="00C00C91">
        <w:rPr>
          <w:rFonts w:cs="Times New Roman"/>
          <w:szCs w:val="24"/>
        </w:rPr>
        <w:t xml:space="preserve">” being sought by Talos in order for Dr Sheehan to seek </w:t>
      </w:r>
      <w:r w:rsidR="00C00C91" w:rsidRPr="00C00C91">
        <w:rPr>
          <w:rFonts w:cs="Times New Roman"/>
          <w:i/>
          <w:szCs w:val="24"/>
        </w:rPr>
        <w:t>“additional funding from his lenders”.</w:t>
      </w:r>
      <w:r w:rsidR="00C00C91">
        <w:rPr>
          <w:rFonts w:cs="Times New Roman"/>
          <w:szCs w:val="24"/>
        </w:rPr>
        <w:t xml:space="preserve">  </w:t>
      </w:r>
    </w:p>
    <w:p w14:paraId="63A7FEB4" w14:textId="77777777" w:rsidR="00C00C91" w:rsidRDefault="00C00C91" w:rsidP="00C00C91">
      <w:pPr>
        <w:pStyle w:val="ListParagraph"/>
        <w:autoSpaceDE w:val="0"/>
        <w:autoSpaceDN w:val="0"/>
        <w:adjustRightInd w:val="0"/>
        <w:rPr>
          <w:rFonts w:cs="Times New Roman"/>
          <w:szCs w:val="24"/>
        </w:rPr>
      </w:pPr>
    </w:p>
    <w:p w14:paraId="7B68B5BF" w14:textId="57C52361" w:rsidR="00C00C91" w:rsidRDefault="00C00C91" w:rsidP="00985AD8">
      <w:pPr>
        <w:pStyle w:val="ListParagraph"/>
        <w:numPr>
          <w:ilvl w:val="0"/>
          <w:numId w:val="1"/>
        </w:numPr>
        <w:autoSpaceDE w:val="0"/>
        <w:autoSpaceDN w:val="0"/>
        <w:adjustRightInd w:val="0"/>
        <w:ind w:hanging="720"/>
        <w:rPr>
          <w:rFonts w:cs="Times New Roman"/>
          <w:szCs w:val="24"/>
        </w:rPr>
      </w:pPr>
      <w:r>
        <w:rPr>
          <w:rFonts w:cs="Times New Roman"/>
          <w:szCs w:val="24"/>
        </w:rPr>
        <w:t xml:space="preserve">Mr Simons responded to </w:t>
      </w:r>
      <w:r w:rsidR="007131FA">
        <w:rPr>
          <w:rFonts w:cs="Times New Roman"/>
          <w:szCs w:val="24"/>
        </w:rPr>
        <w:t>Mr Shannon’s</w:t>
      </w:r>
      <w:r>
        <w:rPr>
          <w:rFonts w:cs="Times New Roman"/>
          <w:szCs w:val="24"/>
        </w:rPr>
        <w:t xml:space="preserve"> request on the same day. </w:t>
      </w:r>
      <w:r w:rsidR="001947DC">
        <w:rPr>
          <w:rFonts w:cs="Times New Roman"/>
          <w:szCs w:val="24"/>
        </w:rPr>
        <w:t>Apart from the fact that a figure of €10,000 was now given for “</w:t>
      </w:r>
      <w:r w:rsidR="001947DC" w:rsidRPr="00B343CC">
        <w:rPr>
          <w:rFonts w:cs="Times New Roman"/>
          <w:i/>
          <w:szCs w:val="24"/>
        </w:rPr>
        <w:t>additional costs to be incurred up to the date of full redemption</w:t>
      </w:r>
      <w:r w:rsidR="00B343CC">
        <w:rPr>
          <w:rFonts w:cs="Times New Roman"/>
          <w:szCs w:val="24"/>
        </w:rPr>
        <w:t xml:space="preserve">” and that the costs figure of €150,000 was no longer described as an estimate, </w:t>
      </w:r>
      <w:r w:rsidR="002F5A3A">
        <w:rPr>
          <w:rFonts w:cs="Times New Roman"/>
          <w:szCs w:val="24"/>
        </w:rPr>
        <w:t>Mr Simons’</w:t>
      </w:r>
      <w:r>
        <w:rPr>
          <w:rFonts w:cs="Times New Roman"/>
          <w:szCs w:val="24"/>
        </w:rPr>
        <w:t xml:space="preserve"> email </w:t>
      </w:r>
      <w:r w:rsidR="001947DC">
        <w:rPr>
          <w:rFonts w:cs="Times New Roman"/>
          <w:szCs w:val="24"/>
        </w:rPr>
        <w:t xml:space="preserve">was </w:t>
      </w:r>
      <w:r w:rsidR="00B343CC">
        <w:rPr>
          <w:rFonts w:cs="Times New Roman"/>
          <w:szCs w:val="24"/>
        </w:rPr>
        <w:t xml:space="preserve">materially identical to that sent by him on </w:t>
      </w:r>
      <w:r w:rsidR="001947DC">
        <w:rPr>
          <w:rFonts w:cs="Times New Roman"/>
          <w:szCs w:val="24"/>
        </w:rPr>
        <w:t xml:space="preserve">11 </w:t>
      </w:r>
      <w:r w:rsidR="00B343CC">
        <w:rPr>
          <w:rFonts w:cs="Times New Roman"/>
          <w:szCs w:val="24"/>
        </w:rPr>
        <w:t xml:space="preserve">November and the attachments to it were </w:t>
      </w:r>
      <w:r w:rsidR="00954D8E">
        <w:rPr>
          <w:rFonts w:cs="Times New Roman"/>
          <w:szCs w:val="24"/>
        </w:rPr>
        <w:t>the same</w:t>
      </w:r>
      <w:r w:rsidR="00B343CC">
        <w:rPr>
          <w:rFonts w:cs="Times New Roman"/>
          <w:szCs w:val="24"/>
        </w:rPr>
        <w:t xml:space="preserve">. </w:t>
      </w:r>
      <w:r w:rsidR="008C78BC">
        <w:rPr>
          <w:rFonts w:cs="Times New Roman"/>
          <w:szCs w:val="24"/>
        </w:rPr>
        <w:t xml:space="preserve">No total was given for the </w:t>
      </w:r>
      <w:r w:rsidR="00B343CC">
        <w:rPr>
          <w:rFonts w:cs="Times New Roman"/>
          <w:szCs w:val="24"/>
        </w:rPr>
        <w:t xml:space="preserve">amounts set out in the email </w:t>
      </w:r>
      <w:r w:rsidR="008C78BC">
        <w:rPr>
          <w:rFonts w:cs="Times New Roman"/>
          <w:szCs w:val="24"/>
        </w:rPr>
        <w:t>but they in fact total</w:t>
      </w:r>
      <w:r w:rsidR="00B343CC">
        <w:rPr>
          <w:rFonts w:cs="Times New Roman"/>
          <w:szCs w:val="24"/>
        </w:rPr>
        <w:t xml:space="preserve"> €3,976,868.59</w:t>
      </w:r>
      <w:r w:rsidR="008C78BC">
        <w:rPr>
          <w:rFonts w:cs="Times New Roman"/>
          <w:szCs w:val="24"/>
        </w:rPr>
        <w:t>.</w:t>
      </w:r>
    </w:p>
    <w:p w14:paraId="7A382810" w14:textId="77777777" w:rsidR="00954D8E" w:rsidRDefault="00954D8E" w:rsidP="00954D8E">
      <w:pPr>
        <w:pStyle w:val="ListParagraph"/>
        <w:autoSpaceDE w:val="0"/>
        <w:autoSpaceDN w:val="0"/>
        <w:adjustRightInd w:val="0"/>
        <w:rPr>
          <w:rFonts w:cs="Times New Roman"/>
          <w:szCs w:val="24"/>
        </w:rPr>
      </w:pPr>
    </w:p>
    <w:p w14:paraId="2510978C" w14:textId="0B7D89C3" w:rsidR="00954D8E" w:rsidRDefault="00954D8E" w:rsidP="00985AD8">
      <w:pPr>
        <w:pStyle w:val="ListParagraph"/>
        <w:numPr>
          <w:ilvl w:val="0"/>
          <w:numId w:val="1"/>
        </w:numPr>
        <w:autoSpaceDE w:val="0"/>
        <w:autoSpaceDN w:val="0"/>
        <w:adjustRightInd w:val="0"/>
        <w:ind w:hanging="720"/>
        <w:rPr>
          <w:rFonts w:cs="Times New Roman"/>
          <w:szCs w:val="24"/>
        </w:rPr>
      </w:pPr>
      <w:r>
        <w:rPr>
          <w:rFonts w:cs="Times New Roman"/>
          <w:szCs w:val="24"/>
        </w:rPr>
        <w:t>Mr Hickey was out of the picture at this stage</w:t>
      </w:r>
      <w:r w:rsidR="00CF678D">
        <w:rPr>
          <w:rFonts w:cs="Times New Roman"/>
          <w:szCs w:val="24"/>
        </w:rPr>
        <w:t xml:space="preserve">, Mr Shannon having taken over </w:t>
      </w:r>
      <w:r w:rsidR="00F70F8F">
        <w:rPr>
          <w:rFonts w:cs="Times New Roman"/>
          <w:szCs w:val="24"/>
        </w:rPr>
        <w:t>responsibility for dealing with Talos/Mr Simons. He did not review the earlier email correspondence at this point. He did</w:t>
      </w:r>
      <w:r>
        <w:rPr>
          <w:rFonts w:cs="Times New Roman"/>
          <w:szCs w:val="24"/>
        </w:rPr>
        <w:t xml:space="preserve"> read the email of 13 November and read the amount </w:t>
      </w:r>
      <w:r w:rsidR="00F70F8F">
        <w:rPr>
          <w:rFonts w:cs="Times New Roman"/>
          <w:szCs w:val="24"/>
        </w:rPr>
        <w:t xml:space="preserve">of €516,505 </w:t>
      </w:r>
      <w:r>
        <w:rPr>
          <w:rFonts w:cs="Times New Roman"/>
          <w:szCs w:val="24"/>
        </w:rPr>
        <w:t>for the JCS costs.</w:t>
      </w:r>
      <w:r>
        <w:rPr>
          <w:rStyle w:val="FootnoteReference"/>
          <w:rFonts w:cs="Times New Roman"/>
          <w:szCs w:val="24"/>
        </w:rPr>
        <w:footnoteReference w:id="29"/>
      </w:r>
      <w:r w:rsidR="00687102">
        <w:rPr>
          <w:rFonts w:cs="Times New Roman"/>
          <w:szCs w:val="24"/>
        </w:rPr>
        <w:t xml:space="preserve"> Once again, however, Mr Shannon could not be sure that he had opened t</w:t>
      </w:r>
      <w:r w:rsidR="005C57CB">
        <w:rPr>
          <w:rFonts w:cs="Times New Roman"/>
          <w:szCs w:val="24"/>
        </w:rPr>
        <w:t>he</w:t>
      </w:r>
      <w:r w:rsidR="00687102">
        <w:rPr>
          <w:rFonts w:cs="Times New Roman"/>
          <w:szCs w:val="24"/>
        </w:rPr>
        <w:t xml:space="preserve"> attachment </w:t>
      </w:r>
      <w:r w:rsidR="00E66A1D">
        <w:rPr>
          <w:rFonts w:cs="Times New Roman"/>
          <w:szCs w:val="24"/>
        </w:rPr>
        <w:t>or</w:t>
      </w:r>
      <w:r w:rsidR="00687102">
        <w:rPr>
          <w:rFonts w:cs="Times New Roman"/>
          <w:szCs w:val="24"/>
        </w:rPr>
        <w:t xml:space="preserve"> read the schedule.</w:t>
      </w:r>
      <w:r w:rsidR="00687102">
        <w:rPr>
          <w:rStyle w:val="FootnoteReference"/>
          <w:rFonts w:cs="Times New Roman"/>
          <w:szCs w:val="24"/>
        </w:rPr>
        <w:footnoteReference w:id="30"/>
      </w:r>
    </w:p>
    <w:p w14:paraId="474CC0F5" w14:textId="77777777" w:rsidR="0064117C" w:rsidRDefault="0064117C" w:rsidP="0064117C">
      <w:pPr>
        <w:pStyle w:val="ListParagraph"/>
        <w:autoSpaceDE w:val="0"/>
        <w:autoSpaceDN w:val="0"/>
        <w:adjustRightInd w:val="0"/>
        <w:rPr>
          <w:rFonts w:cs="Times New Roman"/>
          <w:szCs w:val="24"/>
        </w:rPr>
      </w:pPr>
    </w:p>
    <w:p w14:paraId="5B74B84A" w14:textId="2E13AE2B" w:rsidR="0064117C" w:rsidRDefault="0064117C" w:rsidP="00985AD8">
      <w:pPr>
        <w:pStyle w:val="ListParagraph"/>
        <w:numPr>
          <w:ilvl w:val="0"/>
          <w:numId w:val="1"/>
        </w:numPr>
        <w:autoSpaceDE w:val="0"/>
        <w:autoSpaceDN w:val="0"/>
        <w:adjustRightInd w:val="0"/>
        <w:ind w:hanging="720"/>
        <w:rPr>
          <w:rFonts w:cs="Times New Roman"/>
          <w:szCs w:val="24"/>
        </w:rPr>
      </w:pPr>
      <w:r>
        <w:rPr>
          <w:rFonts w:cs="Times New Roman"/>
          <w:szCs w:val="24"/>
        </w:rPr>
        <w:t xml:space="preserve">We </w:t>
      </w:r>
      <w:r w:rsidR="004B5B45">
        <w:rPr>
          <w:rFonts w:cs="Times New Roman"/>
          <w:szCs w:val="24"/>
        </w:rPr>
        <w:t>next</w:t>
      </w:r>
      <w:r>
        <w:rPr>
          <w:rFonts w:cs="Times New Roman"/>
          <w:szCs w:val="24"/>
        </w:rPr>
        <w:t xml:space="preserve"> come to the two emails of 16 November 2015 </w:t>
      </w:r>
      <w:r w:rsidR="00206452">
        <w:rPr>
          <w:rFonts w:cs="Times New Roman"/>
          <w:szCs w:val="24"/>
        </w:rPr>
        <w:t xml:space="preserve">from Mr Simons to Mr Shannon </w:t>
      </w:r>
      <w:r>
        <w:rPr>
          <w:rFonts w:cs="Times New Roman"/>
          <w:szCs w:val="24"/>
        </w:rPr>
        <w:t xml:space="preserve">on which the Plaintiff’s case effectively rests. In the first (sent at 14.08) Mr Simons refers to having taken instructions and confirmed that Talos had obtained costs certificates against Dr Sheehan, JCS and others on a joint and several basis in the amounts of £436,285.74 and £184,722 (I have already referred to these costs </w:t>
      </w:r>
      <w:r>
        <w:rPr>
          <w:rFonts w:cs="Times New Roman"/>
          <w:szCs w:val="24"/>
        </w:rPr>
        <w:lastRenderedPageBreak/>
        <w:t xml:space="preserve">certificates). </w:t>
      </w:r>
      <w:r w:rsidR="00D02BAF">
        <w:rPr>
          <w:rFonts w:cs="Times New Roman"/>
          <w:szCs w:val="24"/>
        </w:rPr>
        <w:t xml:space="preserve">This email was, it seems, prompted by an earlier telephone conversation between Mr Shannon and Mr Simons in which reference had been made to the Costs Certificates. </w:t>
      </w:r>
      <w:r>
        <w:rPr>
          <w:rFonts w:cs="Times New Roman"/>
          <w:szCs w:val="24"/>
        </w:rPr>
        <w:t xml:space="preserve">The Euro equivalent of those amounts, Mr Simons continued, </w:t>
      </w:r>
      <w:r w:rsidRPr="0064117C">
        <w:rPr>
          <w:rFonts w:cs="Times New Roman"/>
          <w:i/>
          <w:szCs w:val="24"/>
        </w:rPr>
        <w:t>“is €878,262.89 (based on today’s spot-rate as per www.xe.com)”</w:t>
      </w:r>
      <w:r>
        <w:rPr>
          <w:rFonts w:cs="Times New Roman"/>
          <w:i/>
          <w:szCs w:val="24"/>
        </w:rPr>
        <w:t xml:space="preserve">.  </w:t>
      </w:r>
      <w:r w:rsidR="00206452">
        <w:rPr>
          <w:rFonts w:cs="Times New Roman"/>
          <w:szCs w:val="24"/>
        </w:rPr>
        <w:t>Mr Simons</w:t>
      </w:r>
      <w:r>
        <w:rPr>
          <w:rFonts w:cs="Times New Roman"/>
          <w:szCs w:val="24"/>
        </w:rPr>
        <w:t xml:space="preserve"> then stated:</w:t>
      </w:r>
    </w:p>
    <w:p w14:paraId="4679AD0A" w14:textId="44F04474" w:rsidR="0064117C" w:rsidRDefault="0064117C" w:rsidP="0064117C">
      <w:pPr>
        <w:pStyle w:val="ListParagraph"/>
        <w:autoSpaceDE w:val="0"/>
        <w:autoSpaceDN w:val="0"/>
        <w:adjustRightInd w:val="0"/>
        <w:rPr>
          <w:rFonts w:cs="Times New Roman"/>
          <w:szCs w:val="24"/>
        </w:rPr>
      </w:pPr>
    </w:p>
    <w:p w14:paraId="507EFE97" w14:textId="0B4CC687" w:rsidR="0064117C" w:rsidRPr="00206452" w:rsidRDefault="0064117C" w:rsidP="00206452">
      <w:pPr>
        <w:pStyle w:val="ListParagraph"/>
        <w:autoSpaceDE w:val="0"/>
        <w:autoSpaceDN w:val="0"/>
        <w:adjustRightInd w:val="0"/>
        <w:ind w:left="1418"/>
        <w:rPr>
          <w:rFonts w:cs="Times New Roman"/>
          <w:i/>
          <w:szCs w:val="24"/>
        </w:rPr>
      </w:pPr>
      <w:r w:rsidRPr="00206452">
        <w:rPr>
          <w:rFonts w:cs="Times New Roman"/>
          <w:i/>
          <w:szCs w:val="24"/>
        </w:rPr>
        <w:t xml:space="preserve">“My client’s intention is, for so long as the amounts due thereunder are outstanding, to enforce these costs certificates in this jurisdiction before releasing the existing charging orders. My client will accept payment of </w:t>
      </w:r>
      <w:r w:rsidR="00206452" w:rsidRPr="00206452">
        <w:rPr>
          <w:rFonts w:cs="Times New Roman"/>
          <w:i/>
          <w:szCs w:val="24"/>
        </w:rPr>
        <w:t xml:space="preserve">€842,387.49 in full and final settlement, subject to entering into a mutual settlement agreement. However, this would need to be dealt with at the same time as payment of the €3.1 m approx. judgment amount.” </w:t>
      </w:r>
    </w:p>
    <w:p w14:paraId="1B68D780" w14:textId="1463F017" w:rsidR="00206452" w:rsidRDefault="00206452" w:rsidP="0064117C">
      <w:pPr>
        <w:pStyle w:val="ListParagraph"/>
        <w:autoSpaceDE w:val="0"/>
        <w:autoSpaceDN w:val="0"/>
        <w:adjustRightInd w:val="0"/>
        <w:rPr>
          <w:rFonts w:cs="Times New Roman"/>
          <w:szCs w:val="24"/>
        </w:rPr>
      </w:pPr>
    </w:p>
    <w:p w14:paraId="58FE4E0A" w14:textId="6A1AB283" w:rsidR="008C78BC" w:rsidRDefault="008C78BC" w:rsidP="0064117C">
      <w:pPr>
        <w:pStyle w:val="ListParagraph"/>
        <w:autoSpaceDE w:val="0"/>
        <w:autoSpaceDN w:val="0"/>
        <w:adjustRightInd w:val="0"/>
        <w:rPr>
          <w:rFonts w:cs="Times New Roman"/>
          <w:szCs w:val="24"/>
        </w:rPr>
      </w:pPr>
      <w:r>
        <w:rPr>
          <w:rFonts w:cs="Times New Roman"/>
          <w:szCs w:val="24"/>
        </w:rPr>
        <w:t>This email was sent as part of a longer chain of emails and immediately below it was Mr Simons’ email of 13 November.</w:t>
      </w:r>
    </w:p>
    <w:p w14:paraId="45B84668" w14:textId="77777777" w:rsidR="008C78BC" w:rsidRDefault="008C78BC" w:rsidP="0064117C">
      <w:pPr>
        <w:pStyle w:val="ListParagraph"/>
        <w:autoSpaceDE w:val="0"/>
        <w:autoSpaceDN w:val="0"/>
        <w:adjustRightInd w:val="0"/>
        <w:rPr>
          <w:rFonts w:cs="Times New Roman"/>
          <w:szCs w:val="24"/>
        </w:rPr>
      </w:pPr>
    </w:p>
    <w:p w14:paraId="0392314A" w14:textId="634364BB" w:rsidR="0064117C" w:rsidRDefault="00206452" w:rsidP="00985AD8">
      <w:pPr>
        <w:pStyle w:val="ListParagraph"/>
        <w:numPr>
          <w:ilvl w:val="0"/>
          <w:numId w:val="1"/>
        </w:numPr>
        <w:autoSpaceDE w:val="0"/>
        <w:autoSpaceDN w:val="0"/>
        <w:adjustRightInd w:val="0"/>
        <w:ind w:hanging="720"/>
        <w:rPr>
          <w:rFonts w:cs="Times New Roman"/>
          <w:szCs w:val="24"/>
        </w:rPr>
      </w:pPr>
      <w:r>
        <w:rPr>
          <w:rFonts w:cs="Times New Roman"/>
          <w:szCs w:val="24"/>
        </w:rPr>
        <w:t>The other email is shorter:</w:t>
      </w:r>
    </w:p>
    <w:p w14:paraId="5D0B2109" w14:textId="0EFF3103" w:rsidR="00206452" w:rsidRDefault="00206452" w:rsidP="00206452">
      <w:pPr>
        <w:pStyle w:val="ListParagraph"/>
        <w:autoSpaceDE w:val="0"/>
        <w:autoSpaceDN w:val="0"/>
        <w:adjustRightInd w:val="0"/>
        <w:rPr>
          <w:rFonts w:cs="Times New Roman"/>
          <w:szCs w:val="24"/>
        </w:rPr>
      </w:pPr>
    </w:p>
    <w:p w14:paraId="6F07F24A" w14:textId="5C9BFDA0" w:rsidR="00206452" w:rsidRPr="00206452" w:rsidRDefault="00206452" w:rsidP="00206452">
      <w:pPr>
        <w:pStyle w:val="ListParagraph"/>
        <w:autoSpaceDE w:val="0"/>
        <w:autoSpaceDN w:val="0"/>
        <w:adjustRightInd w:val="0"/>
        <w:ind w:left="1418"/>
        <w:rPr>
          <w:rFonts w:cs="Times New Roman"/>
          <w:i/>
          <w:szCs w:val="24"/>
        </w:rPr>
      </w:pPr>
      <w:r w:rsidRPr="00206452">
        <w:rPr>
          <w:rFonts w:cs="Times New Roman"/>
          <w:i/>
          <w:szCs w:val="24"/>
        </w:rPr>
        <w:t>“Given that my client has Judgment for the €878,262.89 it is not prepared to discount by €150,000 but would be prepared to discount to €842,000.”</w:t>
      </w:r>
    </w:p>
    <w:p w14:paraId="397AE604" w14:textId="4971E839" w:rsidR="00751E42" w:rsidRDefault="00751E42" w:rsidP="004F71E9">
      <w:pPr>
        <w:pStyle w:val="ListParagraph"/>
        <w:autoSpaceDE w:val="0"/>
        <w:autoSpaceDN w:val="0"/>
        <w:adjustRightInd w:val="0"/>
        <w:rPr>
          <w:rFonts w:cs="Times New Roman"/>
          <w:szCs w:val="24"/>
        </w:rPr>
      </w:pPr>
    </w:p>
    <w:p w14:paraId="1E9899AF" w14:textId="1D3F4008" w:rsidR="008C78BC" w:rsidRDefault="008C78BC" w:rsidP="004F71E9">
      <w:pPr>
        <w:pStyle w:val="ListParagraph"/>
        <w:autoSpaceDE w:val="0"/>
        <w:autoSpaceDN w:val="0"/>
        <w:adjustRightInd w:val="0"/>
        <w:rPr>
          <w:rFonts w:cs="Times New Roman"/>
          <w:szCs w:val="24"/>
        </w:rPr>
      </w:pPr>
      <w:r>
        <w:rPr>
          <w:rFonts w:cs="Times New Roman"/>
          <w:szCs w:val="24"/>
        </w:rPr>
        <w:t>This email was also sent as part of a longer chain and immediately below it was Mr Simons</w:t>
      </w:r>
      <w:r w:rsidR="00735151">
        <w:rPr>
          <w:rFonts w:cs="Times New Roman"/>
          <w:szCs w:val="24"/>
        </w:rPr>
        <w:t>’</w:t>
      </w:r>
      <w:r>
        <w:rPr>
          <w:rFonts w:cs="Times New Roman"/>
          <w:szCs w:val="24"/>
        </w:rPr>
        <w:t xml:space="preserve"> earlier email of 16 November and, beneath that, a further copy of his email of 13 November.</w:t>
      </w:r>
    </w:p>
    <w:p w14:paraId="7130CE09" w14:textId="77777777" w:rsidR="008C78BC" w:rsidRDefault="008C78BC" w:rsidP="004F71E9">
      <w:pPr>
        <w:pStyle w:val="ListParagraph"/>
        <w:autoSpaceDE w:val="0"/>
        <w:autoSpaceDN w:val="0"/>
        <w:adjustRightInd w:val="0"/>
        <w:rPr>
          <w:rFonts w:cs="Times New Roman"/>
          <w:szCs w:val="24"/>
        </w:rPr>
      </w:pPr>
    </w:p>
    <w:p w14:paraId="7A7C45D0" w14:textId="6279AF5C" w:rsidR="00206452" w:rsidRPr="00687102" w:rsidRDefault="00206452" w:rsidP="00206452">
      <w:pPr>
        <w:pStyle w:val="ListParagraph"/>
        <w:numPr>
          <w:ilvl w:val="0"/>
          <w:numId w:val="1"/>
        </w:numPr>
        <w:autoSpaceDE w:val="0"/>
        <w:autoSpaceDN w:val="0"/>
        <w:adjustRightInd w:val="0"/>
        <w:ind w:hanging="720"/>
        <w:rPr>
          <w:rFonts w:cs="Times New Roman"/>
          <w:szCs w:val="24"/>
        </w:rPr>
      </w:pPr>
      <w:r w:rsidRPr="00687102">
        <w:rPr>
          <w:rFonts w:cs="Times New Roman"/>
          <w:szCs w:val="24"/>
        </w:rPr>
        <w:lastRenderedPageBreak/>
        <w:t xml:space="preserve">Also on 16 November 2015, Mr Shannon emailed Mr Simons setting out his understanding that Talos was agreeable to a full and final settlement of all on payment of </w:t>
      </w:r>
      <w:r w:rsidRPr="00687102">
        <w:rPr>
          <w:rFonts w:cs="Times New Roman"/>
          <w:i/>
          <w:szCs w:val="24"/>
        </w:rPr>
        <w:t xml:space="preserve">“the sum of €3,958,536 (inclusive of €842,000 together with payment of the €3.1m approximate judgment amount)” </w:t>
      </w:r>
      <w:r w:rsidRPr="00013B46">
        <w:rPr>
          <w:rFonts w:cs="Times New Roman"/>
          <w:szCs w:val="24"/>
        </w:rPr>
        <w:t>and that, in consideration of such payment, Talos</w:t>
      </w:r>
      <w:r w:rsidRPr="00687102">
        <w:rPr>
          <w:rFonts w:cs="Times New Roman"/>
          <w:i/>
          <w:szCs w:val="24"/>
        </w:rPr>
        <w:t xml:space="preserve"> “will return ownership and control of JCS to our client.”.</w:t>
      </w:r>
      <w:r w:rsidRPr="00687102">
        <w:rPr>
          <w:rFonts w:cs="Times New Roman"/>
          <w:szCs w:val="24"/>
        </w:rPr>
        <w:t xml:space="preserve"> </w:t>
      </w:r>
      <w:r w:rsidR="008C78BC" w:rsidRPr="00687102">
        <w:rPr>
          <w:rFonts w:cs="Times New Roman"/>
          <w:szCs w:val="24"/>
        </w:rPr>
        <w:t xml:space="preserve">Neither of Mr Simons’ emails of 16 November referenced a sum of €3,958,536 or gave </w:t>
      </w:r>
      <w:r w:rsidR="00D02BAF">
        <w:rPr>
          <w:rFonts w:cs="Times New Roman"/>
          <w:szCs w:val="24"/>
        </w:rPr>
        <w:t>sufficient information to allow th</w:t>
      </w:r>
      <w:r w:rsidR="00687102">
        <w:rPr>
          <w:rFonts w:cs="Times New Roman"/>
          <w:szCs w:val="24"/>
        </w:rPr>
        <w:t xml:space="preserve">at </w:t>
      </w:r>
      <w:r w:rsidR="00D02BAF">
        <w:rPr>
          <w:rFonts w:cs="Times New Roman"/>
          <w:szCs w:val="24"/>
        </w:rPr>
        <w:t>amount</w:t>
      </w:r>
      <w:r w:rsidR="008C78BC" w:rsidRPr="00687102">
        <w:rPr>
          <w:rFonts w:cs="Times New Roman"/>
          <w:szCs w:val="24"/>
        </w:rPr>
        <w:t xml:space="preserve"> to be calculated. It could readily be calculated by reference to Mr Simons</w:t>
      </w:r>
      <w:r w:rsidR="00735151">
        <w:rPr>
          <w:rFonts w:cs="Times New Roman"/>
          <w:szCs w:val="24"/>
        </w:rPr>
        <w:t>’</w:t>
      </w:r>
      <w:r w:rsidR="008C78BC" w:rsidRPr="00687102">
        <w:rPr>
          <w:rFonts w:cs="Times New Roman"/>
          <w:szCs w:val="24"/>
        </w:rPr>
        <w:t xml:space="preserve"> email of 13 November</w:t>
      </w:r>
      <w:r w:rsidR="00735151">
        <w:rPr>
          <w:rFonts w:cs="Times New Roman"/>
          <w:szCs w:val="24"/>
        </w:rPr>
        <w:t>,</w:t>
      </w:r>
      <w:r w:rsidR="008C78BC" w:rsidRPr="00687102">
        <w:rPr>
          <w:rFonts w:cs="Times New Roman"/>
          <w:szCs w:val="24"/>
        </w:rPr>
        <w:t xml:space="preserve"> however.</w:t>
      </w:r>
      <w:r w:rsidR="00101462" w:rsidRPr="00687102">
        <w:rPr>
          <w:rFonts w:cs="Times New Roman"/>
          <w:szCs w:val="24"/>
        </w:rPr>
        <w:t xml:space="preserve"> €3,958,536 was the settlement amount provided for in the Settlement Agreement and that amount was duly paid by Dr Sheehan, presumably from funds provided by HIG.</w:t>
      </w:r>
    </w:p>
    <w:p w14:paraId="710A275D" w14:textId="77777777" w:rsidR="00101462" w:rsidRPr="00206452" w:rsidRDefault="00101462" w:rsidP="00101462">
      <w:pPr>
        <w:pStyle w:val="ListParagraph"/>
        <w:autoSpaceDE w:val="0"/>
        <w:autoSpaceDN w:val="0"/>
        <w:adjustRightInd w:val="0"/>
        <w:rPr>
          <w:rFonts w:cs="Times New Roman"/>
          <w:i/>
          <w:szCs w:val="24"/>
        </w:rPr>
      </w:pPr>
    </w:p>
    <w:p w14:paraId="394835F7" w14:textId="69C1FD6D" w:rsidR="00206452" w:rsidRDefault="002E6E91" w:rsidP="00206452">
      <w:pPr>
        <w:pStyle w:val="ListParagraph"/>
        <w:numPr>
          <w:ilvl w:val="0"/>
          <w:numId w:val="1"/>
        </w:numPr>
        <w:autoSpaceDE w:val="0"/>
        <w:autoSpaceDN w:val="0"/>
        <w:adjustRightInd w:val="0"/>
        <w:ind w:hanging="720"/>
        <w:rPr>
          <w:rFonts w:cs="Times New Roman"/>
          <w:szCs w:val="24"/>
        </w:rPr>
      </w:pPr>
      <w:r>
        <w:rPr>
          <w:rFonts w:cs="Times New Roman"/>
          <w:szCs w:val="24"/>
        </w:rPr>
        <w:t xml:space="preserve">I have already set out paragraphs 122 – 126 of the Judgment which express the Judge’s conclusions on the misrepresentation claim. Earlier in his Judgment, the Judge had </w:t>
      </w:r>
      <w:r w:rsidR="00632F12">
        <w:rPr>
          <w:rFonts w:cs="Times New Roman"/>
          <w:szCs w:val="24"/>
        </w:rPr>
        <w:t>suggested that the claim would “</w:t>
      </w:r>
      <w:r w:rsidR="00632F12" w:rsidRPr="00632F12">
        <w:rPr>
          <w:rFonts w:cs="Times New Roman"/>
          <w:i/>
          <w:szCs w:val="24"/>
        </w:rPr>
        <w:t>stand or fall”</w:t>
      </w:r>
      <w:r w:rsidR="00632F12">
        <w:rPr>
          <w:rFonts w:cs="Times New Roman"/>
          <w:szCs w:val="24"/>
        </w:rPr>
        <w:t xml:space="preserve"> on the basis of whether the Court </w:t>
      </w:r>
      <w:bookmarkStart w:id="8" w:name="_Hlk85702171"/>
      <w:r w:rsidR="00632F12">
        <w:rPr>
          <w:rFonts w:cs="Times New Roman"/>
          <w:szCs w:val="24"/>
        </w:rPr>
        <w:t xml:space="preserve">concluded that the 16 November email (referring here to the earlier email of that date) </w:t>
      </w:r>
      <w:r w:rsidR="00632F12" w:rsidRPr="00632F12">
        <w:rPr>
          <w:rFonts w:cs="Times New Roman"/>
          <w:i/>
          <w:szCs w:val="24"/>
        </w:rPr>
        <w:t>“amounted to a misrepresentation by [Mr Simons] to Mr Shannon that all the UK Costs Certificates … were outstanding</w:t>
      </w:r>
      <w:r w:rsidR="00632F12">
        <w:rPr>
          <w:rFonts w:cs="Times New Roman"/>
          <w:szCs w:val="24"/>
        </w:rPr>
        <w:t xml:space="preserve">.” </w:t>
      </w:r>
      <w:bookmarkEnd w:id="8"/>
      <w:r w:rsidR="00632F12">
        <w:rPr>
          <w:rFonts w:cs="Times New Roman"/>
          <w:szCs w:val="24"/>
        </w:rPr>
        <w:t xml:space="preserve">For the reasons set out in paragraphs 122-126, the Judge determined that issue against Dr Sheehan and his claim failed accordingly. </w:t>
      </w:r>
    </w:p>
    <w:p w14:paraId="03EB0561" w14:textId="77777777" w:rsidR="00632F12" w:rsidRDefault="00632F12" w:rsidP="00632F12">
      <w:pPr>
        <w:pStyle w:val="ListParagraph"/>
        <w:autoSpaceDE w:val="0"/>
        <w:autoSpaceDN w:val="0"/>
        <w:adjustRightInd w:val="0"/>
        <w:rPr>
          <w:rFonts w:cs="Times New Roman"/>
          <w:szCs w:val="24"/>
        </w:rPr>
      </w:pPr>
    </w:p>
    <w:p w14:paraId="6A5761F4" w14:textId="1E259A49" w:rsidR="00736A8E" w:rsidRDefault="003642C9" w:rsidP="00A64DD8">
      <w:pPr>
        <w:pStyle w:val="ListParagraph"/>
        <w:numPr>
          <w:ilvl w:val="0"/>
          <w:numId w:val="1"/>
        </w:numPr>
        <w:autoSpaceDE w:val="0"/>
        <w:autoSpaceDN w:val="0"/>
        <w:adjustRightInd w:val="0"/>
        <w:ind w:hanging="720"/>
        <w:rPr>
          <w:rFonts w:cs="Times New Roman"/>
          <w:szCs w:val="24"/>
        </w:rPr>
      </w:pPr>
      <w:r>
        <w:rPr>
          <w:rFonts w:cs="Times New Roman"/>
          <w:szCs w:val="24"/>
        </w:rPr>
        <w:t>T</w:t>
      </w:r>
      <w:r w:rsidR="00A32EEB">
        <w:rPr>
          <w:rFonts w:cs="Times New Roman"/>
          <w:szCs w:val="24"/>
        </w:rPr>
        <w:t xml:space="preserve">hat conclusion was one which </w:t>
      </w:r>
      <w:r w:rsidR="00632F12">
        <w:rPr>
          <w:rFonts w:cs="Times New Roman"/>
          <w:szCs w:val="24"/>
        </w:rPr>
        <w:t>the Judge was entitled to reach</w:t>
      </w:r>
      <w:r>
        <w:rPr>
          <w:rFonts w:cs="Times New Roman"/>
          <w:szCs w:val="24"/>
        </w:rPr>
        <w:t xml:space="preserve"> in my view. </w:t>
      </w:r>
      <w:r w:rsidR="00736A8E">
        <w:rPr>
          <w:rFonts w:cs="Times New Roman"/>
          <w:szCs w:val="24"/>
        </w:rPr>
        <w:t xml:space="preserve"> I do not propose to repeat his analysis</w:t>
      </w:r>
      <w:r w:rsidR="00B24B15">
        <w:rPr>
          <w:rFonts w:cs="Times New Roman"/>
          <w:szCs w:val="24"/>
        </w:rPr>
        <w:t xml:space="preserve">. However, </w:t>
      </w:r>
      <w:r w:rsidR="00736A8E">
        <w:rPr>
          <w:rFonts w:cs="Times New Roman"/>
          <w:szCs w:val="24"/>
        </w:rPr>
        <w:t xml:space="preserve">a number of </w:t>
      </w:r>
      <w:r w:rsidR="004F4016">
        <w:rPr>
          <w:rFonts w:cs="Times New Roman"/>
          <w:szCs w:val="24"/>
        </w:rPr>
        <w:t xml:space="preserve">the </w:t>
      </w:r>
      <w:r w:rsidR="00736A8E">
        <w:rPr>
          <w:rFonts w:cs="Times New Roman"/>
          <w:szCs w:val="24"/>
        </w:rPr>
        <w:t xml:space="preserve">points made by the Judge appear to me to be worthy of particular </w:t>
      </w:r>
      <w:r w:rsidR="004F4016">
        <w:rPr>
          <w:rFonts w:cs="Times New Roman"/>
          <w:szCs w:val="24"/>
        </w:rPr>
        <w:t>emphasis</w:t>
      </w:r>
      <w:r w:rsidR="00736A8E">
        <w:rPr>
          <w:rFonts w:cs="Times New Roman"/>
          <w:szCs w:val="24"/>
        </w:rPr>
        <w:t>:</w:t>
      </w:r>
    </w:p>
    <w:p w14:paraId="4BD8185B" w14:textId="3C2B3413" w:rsidR="00736A8E" w:rsidRDefault="00736A8E" w:rsidP="00736A8E">
      <w:pPr>
        <w:pStyle w:val="ListParagraph"/>
        <w:autoSpaceDE w:val="0"/>
        <w:autoSpaceDN w:val="0"/>
        <w:adjustRightInd w:val="0"/>
        <w:rPr>
          <w:rFonts w:cs="Times New Roman"/>
          <w:szCs w:val="24"/>
        </w:rPr>
      </w:pPr>
    </w:p>
    <w:p w14:paraId="60798EA6" w14:textId="6E3515C4" w:rsidR="00736A8E" w:rsidRPr="00957349" w:rsidRDefault="00BB06A1" w:rsidP="00957349">
      <w:pPr>
        <w:pStyle w:val="ListParagraph"/>
        <w:numPr>
          <w:ilvl w:val="0"/>
          <w:numId w:val="13"/>
        </w:numPr>
        <w:autoSpaceDE w:val="0"/>
        <w:autoSpaceDN w:val="0"/>
        <w:adjustRightInd w:val="0"/>
        <w:rPr>
          <w:rFonts w:cs="Times New Roman"/>
          <w:szCs w:val="24"/>
        </w:rPr>
      </w:pPr>
      <w:r>
        <w:rPr>
          <w:rFonts w:cs="Times New Roman"/>
          <w:szCs w:val="24"/>
        </w:rPr>
        <w:lastRenderedPageBreak/>
        <w:t>C</w:t>
      </w:r>
      <w:r w:rsidR="00736A8E">
        <w:rPr>
          <w:rFonts w:cs="Times New Roman"/>
          <w:szCs w:val="24"/>
        </w:rPr>
        <w:t>omparison of the schedule attached to the 22 September email on the one hand and that attached to the 11 November and 13 November emails on the other disclose</w:t>
      </w:r>
      <w:r w:rsidR="004A5A2C">
        <w:rPr>
          <w:rFonts w:cs="Times New Roman"/>
          <w:szCs w:val="24"/>
        </w:rPr>
        <w:t>d</w:t>
      </w:r>
      <w:r w:rsidR="00736A8E">
        <w:rPr>
          <w:rFonts w:cs="Times New Roman"/>
          <w:szCs w:val="24"/>
        </w:rPr>
        <w:t xml:space="preserve"> a </w:t>
      </w:r>
      <w:r w:rsidR="00D36D94">
        <w:rPr>
          <w:rFonts w:cs="Times New Roman"/>
          <w:szCs w:val="24"/>
        </w:rPr>
        <w:t xml:space="preserve">very significant reduction in the relevant costs and expenses of JCS – </w:t>
      </w:r>
      <w:r w:rsidR="004A5A2C">
        <w:rPr>
          <w:rFonts w:cs="Times New Roman"/>
          <w:szCs w:val="24"/>
        </w:rPr>
        <w:t xml:space="preserve">a reduction well </w:t>
      </w:r>
      <w:r w:rsidR="00D36D94">
        <w:rPr>
          <w:rFonts w:cs="Times New Roman"/>
          <w:szCs w:val="24"/>
        </w:rPr>
        <w:t xml:space="preserve">in excess of </w:t>
      </w:r>
      <w:r w:rsidR="004A5A2C">
        <w:rPr>
          <w:rFonts w:cs="Times New Roman"/>
          <w:szCs w:val="24"/>
        </w:rPr>
        <w:t>€</w:t>
      </w:r>
      <w:r w:rsidR="00D36D94">
        <w:rPr>
          <w:rFonts w:cs="Times New Roman"/>
          <w:szCs w:val="24"/>
        </w:rPr>
        <w:t>1.5 million.</w:t>
      </w:r>
      <w:r>
        <w:rPr>
          <w:rFonts w:cs="Times New Roman"/>
          <w:szCs w:val="24"/>
        </w:rPr>
        <w:t xml:space="preserve"> </w:t>
      </w:r>
      <w:r w:rsidR="004A5A2C">
        <w:rPr>
          <w:rFonts w:cs="Times New Roman"/>
          <w:szCs w:val="24"/>
        </w:rPr>
        <w:t>The obvious explanation for such</w:t>
      </w:r>
      <w:r>
        <w:rPr>
          <w:rFonts w:cs="Times New Roman"/>
          <w:szCs w:val="24"/>
        </w:rPr>
        <w:t xml:space="preserve"> a significant reduction in the costs and expenses being claimed by Talos under Article 17 of the Facility Agreement </w:t>
      </w:r>
      <w:r w:rsidR="004A5A2C">
        <w:rPr>
          <w:rFonts w:cs="Times New Roman"/>
          <w:szCs w:val="24"/>
        </w:rPr>
        <w:t xml:space="preserve">was that funds had been recovered by Talos which it </w:t>
      </w:r>
      <w:r w:rsidR="00957349">
        <w:rPr>
          <w:rFonts w:cs="Times New Roman"/>
          <w:szCs w:val="24"/>
        </w:rPr>
        <w:t>credited</w:t>
      </w:r>
      <w:r w:rsidR="004A5A2C">
        <w:rPr>
          <w:rFonts w:cs="Times New Roman"/>
          <w:szCs w:val="24"/>
        </w:rPr>
        <w:t xml:space="preserve"> against those costs and expenses.</w:t>
      </w:r>
      <w:r w:rsidR="00957349">
        <w:rPr>
          <w:rFonts w:cs="Times New Roman"/>
          <w:szCs w:val="24"/>
        </w:rPr>
        <w:t xml:space="preserve"> While no </w:t>
      </w:r>
      <w:r w:rsidR="003F1F50">
        <w:rPr>
          <w:rFonts w:cs="Times New Roman"/>
          <w:szCs w:val="24"/>
        </w:rPr>
        <w:t xml:space="preserve">express </w:t>
      </w:r>
      <w:r w:rsidR="00957349">
        <w:rPr>
          <w:rFonts w:cs="Times New Roman"/>
          <w:szCs w:val="24"/>
        </w:rPr>
        <w:t>reference is made to any such credit – a point emphasised on Dr Sheehan’s behalf in this appeal - n</w:t>
      </w:r>
      <w:r w:rsidR="004A5A2C" w:rsidRPr="00957349">
        <w:rPr>
          <w:rFonts w:cs="Times New Roman"/>
          <w:szCs w:val="24"/>
        </w:rPr>
        <w:t>o plausible alternative explanation was ever offered on Dr Sheehan’s behalf.</w:t>
      </w:r>
    </w:p>
    <w:p w14:paraId="588F7252" w14:textId="77777777" w:rsidR="00D36D94" w:rsidRDefault="00D36D94" w:rsidP="00D36D94">
      <w:pPr>
        <w:pStyle w:val="ListParagraph"/>
        <w:autoSpaceDE w:val="0"/>
        <w:autoSpaceDN w:val="0"/>
        <w:adjustRightInd w:val="0"/>
        <w:ind w:left="1440"/>
        <w:rPr>
          <w:rFonts w:cs="Times New Roman"/>
          <w:szCs w:val="24"/>
        </w:rPr>
      </w:pPr>
    </w:p>
    <w:p w14:paraId="5A355D54" w14:textId="618F5A30" w:rsidR="00D36D94" w:rsidRPr="00E11D53" w:rsidRDefault="00D36D94" w:rsidP="00E11D53">
      <w:pPr>
        <w:pStyle w:val="ListParagraph"/>
        <w:numPr>
          <w:ilvl w:val="0"/>
          <w:numId w:val="13"/>
        </w:numPr>
        <w:autoSpaceDE w:val="0"/>
        <w:autoSpaceDN w:val="0"/>
        <w:adjustRightInd w:val="0"/>
        <w:rPr>
          <w:rFonts w:cs="Times New Roman"/>
          <w:szCs w:val="24"/>
        </w:rPr>
      </w:pPr>
      <w:r w:rsidRPr="002527F4">
        <w:rPr>
          <w:rFonts w:cs="Times New Roman"/>
          <w:szCs w:val="24"/>
        </w:rPr>
        <w:t xml:space="preserve">A comparison of the two schedules also indicated a significant reduction in the </w:t>
      </w:r>
      <w:r w:rsidR="004A5A2C" w:rsidRPr="002527F4">
        <w:rPr>
          <w:rFonts w:cs="Times New Roman"/>
          <w:szCs w:val="24"/>
        </w:rPr>
        <w:t xml:space="preserve">amounts being claimed in respect of fees paid or payable to </w:t>
      </w:r>
      <w:r w:rsidRPr="002527F4">
        <w:rPr>
          <w:rFonts w:cs="Times New Roman"/>
          <w:szCs w:val="24"/>
        </w:rPr>
        <w:t xml:space="preserve">Clifford Chance. </w:t>
      </w:r>
      <w:r w:rsidR="004A5A2C" w:rsidRPr="00E11D53">
        <w:rPr>
          <w:rFonts w:cs="Times New Roman"/>
          <w:szCs w:val="24"/>
        </w:rPr>
        <w:t xml:space="preserve">The unpaid fees due to Clifford Chance also reduced significantly. </w:t>
      </w:r>
      <w:r w:rsidRPr="00E11D53">
        <w:rPr>
          <w:rFonts w:cs="Times New Roman"/>
          <w:szCs w:val="24"/>
        </w:rPr>
        <w:t xml:space="preserve">The amount due against the larger of two invoices </w:t>
      </w:r>
      <w:r w:rsidR="004A5A2C" w:rsidRPr="00E11D53">
        <w:rPr>
          <w:rFonts w:cs="Times New Roman"/>
          <w:szCs w:val="24"/>
        </w:rPr>
        <w:t xml:space="preserve">marked unpaid on the earlier schedule </w:t>
      </w:r>
      <w:r w:rsidRPr="00E11D53">
        <w:rPr>
          <w:rFonts w:cs="Times New Roman"/>
          <w:szCs w:val="24"/>
        </w:rPr>
        <w:t>had reduced from €747,412.07 to €517,659.67 and in the later schedule th</w:t>
      </w:r>
      <w:r w:rsidR="004A5A2C" w:rsidRPr="00E11D53">
        <w:rPr>
          <w:rFonts w:cs="Times New Roman"/>
          <w:szCs w:val="24"/>
        </w:rPr>
        <w:t>at</w:t>
      </w:r>
      <w:r w:rsidRPr="00E11D53">
        <w:rPr>
          <w:rFonts w:cs="Times New Roman"/>
          <w:szCs w:val="24"/>
        </w:rPr>
        <w:t xml:space="preserve"> invoice was marked “</w:t>
      </w:r>
      <w:r w:rsidRPr="00E11D53">
        <w:rPr>
          <w:rFonts w:cs="Times New Roman"/>
          <w:i/>
          <w:szCs w:val="24"/>
        </w:rPr>
        <w:t>part paid</w:t>
      </w:r>
      <w:r w:rsidRPr="00E11D53">
        <w:rPr>
          <w:rFonts w:cs="Times New Roman"/>
          <w:szCs w:val="24"/>
        </w:rPr>
        <w:t>”.</w:t>
      </w:r>
      <w:r w:rsidR="004A5A2C" w:rsidRPr="00E11D53">
        <w:rPr>
          <w:rFonts w:cs="Times New Roman"/>
          <w:szCs w:val="24"/>
        </w:rPr>
        <w:t xml:space="preserve"> A significant part-payment had clearly been made.</w:t>
      </w:r>
    </w:p>
    <w:p w14:paraId="6B1DE918" w14:textId="77777777" w:rsidR="00D36D94" w:rsidRDefault="00D36D94" w:rsidP="00D36D94">
      <w:pPr>
        <w:pStyle w:val="ListParagraph"/>
        <w:autoSpaceDE w:val="0"/>
        <w:autoSpaceDN w:val="0"/>
        <w:adjustRightInd w:val="0"/>
        <w:ind w:left="1440"/>
        <w:rPr>
          <w:rFonts w:cs="Times New Roman"/>
          <w:szCs w:val="24"/>
        </w:rPr>
      </w:pPr>
    </w:p>
    <w:p w14:paraId="4008F8FC" w14:textId="1AB78D20" w:rsidR="00D36D94" w:rsidRDefault="00D36D94" w:rsidP="00736A8E">
      <w:pPr>
        <w:pStyle w:val="ListParagraph"/>
        <w:numPr>
          <w:ilvl w:val="0"/>
          <w:numId w:val="13"/>
        </w:numPr>
        <w:autoSpaceDE w:val="0"/>
        <w:autoSpaceDN w:val="0"/>
        <w:adjustRightInd w:val="0"/>
        <w:rPr>
          <w:rFonts w:cs="Times New Roman"/>
          <w:szCs w:val="24"/>
        </w:rPr>
      </w:pPr>
      <w:r>
        <w:rPr>
          <w:rFonts w:cs="Times New Roman"/>
          <w:szCs w:val="24"/>
        </w:rPr>
        <w:t>The amount shown in the later schedule (sent with the emails of 11 and 13 November) as being due to Clifford Chance was significantly less than the total of the amounts in the Costs Cert</w:t>
      </w:r>
      <w:r w:rsidR="00BB06A1">
        <w:rPr>
          <w:rFonts w:cs="Times New Roman"/>
          <w:szCs w:val="24"/>
        </w:rPr>
        <w:t>ificates.</w:t>
      </w:r>
    </w:p>
    <w:p w14:paraId="1FF3DCE6" w14:textId="77777777" w:rsidR="00D36D94" w:rsidRDefault="00D36D94" w:rsidP="00D36D94">
      <w:pPr>
        <w:pStyle w:val="ListParagraph"/>
        <w:autoSpaceDE w:val="0"/>
        <w:autoSpaceDN w:val="0"/>
        <w:adjustRightInd w:val="0"/>
        <w:ind w:left="1440"/>
        <w:rPr>
          <w:rFonts w:cs="Times New Roman"/>
          <w:szCs w:val="24"/>
        </w:rPr>
      </w:pPr>
    </w:p>
    <w:p w14:paraId="0A2F4382" w14:textId="0EADD567" w:rsidR="00D36D94" w:rsidRDefault="00BB06A1" w:rsidP="00736A8E">
      <w:pPr>
        <w:pStyle w:val="ListParagraph"/>
        <w:numPr>
          <w:ilvl w:val="0"/>
          <w:numId w:val="13"/>
        </w:numPr>
        <w:autoSpaceDE w:val="0"/>
        <w:autoSpaceDN w:val="0"/>
        <w:adjustRightInd w:val="0"/>
        <w:rPr>
          <w:rFonts w:cs="Times New Roman"/>
          <w:szCs w:val="24"/>
        </w:rPr>
      </w:pPr>
      <w:r>
        <w:rPr>
          <w:rFonts w:cs="Times New Roman"/>
          <w:szCs w:val="24"/>
        </w:rPr>
        <w:t xml:space="preserve">The total of the amounts in the Costs Certificates significantly exceeded the amounts </w:t>
      </w:r>
      <w:r w:rsidR="004F4016">
        <w:rPr>
          <w:rFonts w:cs="Times New Roman"/>
          <w:szCs w:val="24"/>
        </w:rPr>
        <w:t xml:space="preserve">that had been specifically and unambiguously </w:t>
      </w:r>
      <w:r>
        <w:rPr>
          <w:rFonts w:cs="Times New Roman"/>
          <w:szCs w:val="24"/>
        </w:rPr>
        <w:t xml:space="preserve">identified in the emails </w:t>
      </w:r>
      <w:r>
        <w:rPr>
          <w:rFonts w:cs="Times New Roman"/>
          <w:szCs w:val="24"/>
        </w:rPr>
        <w:lastRenderedPageBreak/>
        <w:t xml:space="preserve">of 11 and 13 November 2015 </w:t>
      </w:r>
      <w:r w:rsidR="004F4016">
        <w:rPr>
          <w:rFonts w:cs="Times New Roman"/>
          <w:szCs w:val="24"/>
        </w:rPr>
        <w:t xml:space="preserve">(in response to specific requests on Dr Sheehan’s behalf) </w:t>
      </w:r>
      <w:r>
        <w:rPr>
          <w:rFonts w:cs="Times New Roman"/>
          <w:szCs w:val="24"/>
        </w:rPr>
        <w:t>as being the amounts that Talos required to be paid to return control of JCS</w:t>
      </w:r>
      <w:r w:rsidR="004F4016">
        <w:rPr>
          <w:rFonts w:cs="Times New Roman"/>
          <w:szCs w:val="24"/>
        </w:rPr>
        <w:t xml:space="preserve"> (which included not just amounts due to Clifford Chance but other legal and professional fees).</w:t>
      </w:r>
    </w:p>
    <w:p w14:paraId="0FDE6FAD" w14:textId="77777777" w:rsidR="003E0AE4" w:rsidRDefault="003E0AE4" w:rsidP="003E0AE4">
      <w:pPr>
        <w:pStyle w:val="ListParagraph"/>
        <w:autoSpaceDE w:val="0"/>
        <w:autoSpaceDN w:val="0"/>
        <w:adjustRightInd w:val="0"/>
        <w:ind w:left="1440"/>
        <w:rPr>
          <w:rFonts w:cs="Times New Roman"/>
          <w:szCs w:val="24"/>
        </w:rPr>
      </w:pPr>
    </w:p>
    <w:p w14:paraId="0D8E60FD" w14:textId="60AAC7E1" w:rsidR="00EA57C4" w:rsidRDefault="003E0AE4" w:rsidP="003E0AE4">
      <w:pPr>
        <w:pStyle w:val="ListParagraph"/>
        <w:autoSpaceDE w:val="0"/>
        <w:autoSpaceDN w:val="0"/>
        <w:adjustRightInd w:val="0"/>
        <w:ind w:left="709"/>
        <w:rPr>
          <w:rFonts w:cs="Times New Roman"/>
          <w:szCs w:val="24"/>
        </w:rPr>
      </w:pPr>
      <w:r>
        <w:rPr>
          <w:rFonts w:cs="Times New Roman"/>
          <w:szCs w:val="24"/>
        </w:rPr>
        <w:t xml:space="preserve">In light of these considerations, the Judge was entitled to conclude that a reasonable person would not have understood the 16 November emails as meaning that the </w:t>
      </w:r>
      <w:r w:rsidR="00EA57C4">
        <w:rPr>
          <w:rFonts w:cs="Times New Roman"/>
          <w:szCs w:val="24"/>
        </w:rPr>
        <w:t xml:space="preserve">full amount payable under the </w:t>
      </w:r>
      <w:r>
        <w:rPr>
          <w:rFonts w:cs="Times New Roman"/>
          <w:szCs w:val="24"/>
        </w:rPr>
        <w:t xml:space="preserve">Costs Certificates remained undischarged.  </w:t>
      </w:r>
      <w:r w:rsidR="00EA57C4">
        <w:rPr>
          <w:rFonts w:cs="Times New Roman"/>
          <w:szCs w:val="24"/>
        </w:rPr>
        <w:t>Far from that being “</w:t>
      </w:r>
      <w:r w:rsidR="00EA57C4" w:rsidRPr="00EA57C4">
        <w:rPr>
          <w:rFonts w:cs="Times New Roman"/>
          <w:i/>
          <w:szCs w:val="24"/>
        </w:rPr>
        <w:t>the only rational interpretation</w:t>
      </w:r>
      <w:r w:rsidR="00EA57C4">
        <w:rPr>
          <w:rFonts w:cs="Times New Roman"/>
          <w:szCs w:val="24"/>
        </w:rPr>
        <w:t>” of those emails, such an interpretation made</w:t>
      </w:r>
      <w:r w:rsidR="00D02BAF">
        <w:rPr>
          <w:rFonts w:cs="Times New Roman"/>
          <w:szCs w:val="24"/>
        </w:rPr>
        <w:t xml:space="preserve"> little or</w:t>
      </w:r>
      <w:r w:rsidR="00EA57C4">
        <w:rPr>
          <w:rFonts w:cs="Times New Roman"/>
          <w:szCs w:val="24"/>
        </w:rPr>
        <w:t xml:space="preserve"> no sense in light of the contents of the emails of 11 and 13 November and the schedules attached to them</w:t>
      </w:r>
      <w:r w:rsidR="00C96CC7">
        <w:rPr>
          <w:rFonts w:cs="Times New Roman"/>
          <w:szCs w:val="24"/>
        </w:rPr>
        <w:t>.</w:t>
      </w:r>
    </w:p>
    <w:p w14:paraId="57C4EDC7" w14:textId="77777777" w:rsidR="00BB06A1" w:rsidRDefault="00BB06A1" w:rsidP="00BB06A1">
      <w:pPr>
        <w:pStyle w:val="ListParagraph"/>
        <w:autoSpaceDE w:val="0"/>
        <w:autoSpaceDN w:val="0"/>
        <w:adjustRightInd w:val="0"/>
        <w:ind w:left="1440"/>
        <w:rPr>
          <w:rFonts w:cs="Times New Roman"/>
          <w:szCs w:val="24"/>
        </w:rPr>
      </w:pPr>
    </w:p>
    <w:p w14:paraId="53187FFB" w14:textId="4460D27A" w:rsidR="00CE5971" w:rsidRPr="00A64DD8" w:rsidRDefault="003642C9" w:rsidP="00A64DD8">
      <w:pPr>
        <w:pStyle w:val="ListParagraph"/>
        <w:numPr>
          <w:ilvl w:val="0"/>
          <w:numId w:val="1"/>
        </w:numPr>
        <w:autoSpaceDE w:val="0"/>
        <w:autoSpaceDN w:val="0"/>
        <w:adjustRightInd w:val="0"/>
        <w:ind w:hanging="720"/>
        <w:rPr>
          <w:rFonts w:cs="Times New Roman"/>
          <w:szCs w:val="24"/>
        </w:rPr>
      </w:pPr>
      <w:r>
        <w:rPr>
          <w:rFonts w:cs="Times New Roman"/>
          <w:szCs w:val="24"/>
        </w:rPr>
        <w:t xml:space="preserve">It is said that </w:t>
      </w:r>
      <w:r w:rsidR="003E0AE4">
        <w:rPr>
          <w:rFonts w:cs="Times New Roman"/>
          <w:szCs w:val="24"/>
        </w:rPr>
        <w:t>the Jud</w:t>
      </w:r>
      <w:r w:rsidR="00EA57C4">
        <w:rPr>
          <w:rFonts w:cs="Times New Roman"/>
          <w:szCs w:val="24"/>
        </w:rPr>
        <w:t>ge</w:t>
      </w:r>
      <w:r>
        <w:rPr>
          <w:rFonts w:cs="Times New Roman"/>
          <w:szCs w:val="24"/>
        </w:rPr>
        <w:t xml:space="preserve"> wrongly disregarded the evidence of Mr Shannon as to how he understood the emails of 16 November 2015. But the test was not </w:t>
      </w:r>
      <w:r w:rsidR="00A64DD8">
        <w:rPr>
          <w:rFonts w:cs="Times New Roman"/>
          <w:szCs w:val="24"/>
        </w:rPr>
        <w:t xml:space="preserve">what was </w:t>
      </w:r>
      <w:r w:rsidRPr="00A64DD8">
        <w:rPr>
          <w:rFonts w:cs="Times New Roman"/>
          <w:szCs w:val="24"/>
        </w:rPr>
        <w:t xml:space="preserve">Mr Shannon’s subjective understanding of the emails. As a matter of general principle (and I shall refer in a moment to important </w:t>
      </w:r>
      <w:r w:rsidR="00A64DD8">
        <w:rPr>
          <w:rFonts w:cs="Times New Roman"/>
          <w:szCs w:val="24"/>
        </w:rPr>
        <w:t xml:space="preserve">qualifications of </w:t>
      </w:r>
      <w:r w:rsidRPr="00A64DD8">
        <w:rPr>
          <w:rFonts w:cs="Times New Roman"/>
          <w:szCs w:val="24"/>
        </w:rPr>
        <w:t xml:space="preserve">that general principle), the test is an objective one. </w:t>
      </w:r>
      <w:r w:rsidR="00CE5971" w:rsidRPr="00A64DD8">
        <w:rPr>
          <w:rFonts w:cs="Times New Roman"/>
          <w:szCs w:val="24"/>
        </w:rPr>
        <w:t xml:space="preserve">It is expressed thus in </w:t>
      </w:r>
      <w:r w:rsidR="00CE5971" w:rsidRPr="00A64DD8">
        <w:rPr>
          <w:rFonts w:cs="Times New Roman"/>
          <w:i/>
          <w:szCs w:val="24"/>
        </w:rPr>
        <w:t>Chitty on Contracts</w:t>
      </w:r>
      <w:r w:rsidR="00CE5971" w:rsidRPr="00A64DD8">
        <w:rPr>
          <w:rFonts w:cs="Times New Roman"/>
          <w:szCs w:val="24"/>
        </w:rPr>
        <w:t xml:space="preserve"> (33</w:t>
      </w:r>
      <w:r w:rsidR="00CE5971" w:rsidRPr="00A64DD8">
        <w:rPr>
          <w:rFonts w:cs="Times New Roman"/>
          <w:szCs w:val="24"/>
          <w:vertAlign w:val="superscript"/>
        </w:rPr>
        <w:t>rd</w:t>
      </w:r>
      <w:r w:rsidR="00CE5971" w:rsidRPr="00A64DD8">
        <w:rPr>
          <w:rFonts w:cs="Times New Roman"/>
          <w:szCs w:val="24"/>
        </w:rPr>
        <w:t xml:space="preserve"> ed; 2018) (“</w:t>
      </w:r>
      <w:r w:rsidR="00CE5971" w:rsidRPr="00A64DD8">
        <w:rPr>
          <w:rFonts w:cs="Times New Roman"/>
          <w:i/>
          <w:szCs w:val="24"/>
        </w:rPr>
        <w:t>Chitty</w:t>
      </w:r>
      <w:r w:rsidR="00CE5971" w:rsidRPr="00A64DD8">
        <w:rPr>
          <w:rFonts w:cs="Times New Roman"/>
          <w:szCs w:val="24"/>
        </w:rPr>
        <w:t>”).</w:t>
      </w:r>
    </w:p>
    <w:p w14:paraId="16467AC5" w14:textId="28E09A67" w:rsidR="00CE5971" w:rsidRPr="00CE5971" w:rsidRDefault="00CE5971" w:rsidP="00CE5971">
      <w:pPr>
        <w:pStyle w:val="ListParagraph"/>
        <w:autoSpaceDE w:val="0"/>
        <w:autoSpaceDN w:val="0"/>
        <w:adjustRightInd w:val="0"/>
        <w:rPr>
          <w:rFonts w:cs="Times New Roman"/>
          <w:i/>
          <w:szCs w:val="24"/>
        </w:rPr>
      </w:pPr>
    </w:p>
    <w:p w14:paraId="4B903C28" w14:textId="42FDCF76" w:rsidR="00CE5971" w:rsidRDefault="00CE5971" w:rsidP="00CE5971">
      <w:pPr>
        <w:pStyle w:val="ListParagraph"/>
        <w:autoSpaceDE w:val="0"/>
        <w:autoSpaceDN w:val="0"/>
        <w:adjustRightInd w:val="0"/>
        <w:ind w:left="1418"/>
        <w:rPr>
          <w:rFonts w:cs="Times New Roman"/>
          <w:szCs w:val="24"/>
        </w:rPr>
      </w:pPr>
      <w:r w:rsidRPr="00CE5971">
        <w:rPr>
          <w:rFonts w:cs="Times New Roman"/>
          <w:i/>
          <w:szCs w:val="24"/>
        </w:rPr>
        <w:t>“The question is not solely one of looking at the words used: the question is how the words would be understood by a reasonable person in the factual context.”</w:t>
      </w:r>
      <w:r>
        <w:rPr>
          <w:rFonts w:cs="Times New Roman"/>
          <w:szCs w:val="24"/>
        </w:rPr>
        <w:t xml:space="preserve"> (at para 7-006)</w:t>
      </w:r>
    </w:p>
    <w:p w14:paraId="41BC0320" w14:textId="45362476" w:rsidR="00632F12" w:rsidRDefault="00632F12" w:rsidP="00632F12">
      <w:pPr>
        <w:pStyle w:val="ListParagraph"/>
        <w:autoSpaceDE w:val="0"/>
        <w:autoSpaceDN w:val="0"/>
        <w:adjustRightInd w:val="0"/>
        <w:rPr>
          <w:rFonts w:cs="Times New Roman"/>
          <w:szCs w:val="24"/>
        </w:rPr>
      </w:pPr>
    </w:p>
    <w:p w14:paraId="5AD58622" w14:textId="13499909" w:rsidR="008D085F" w:rsidRDefault="008D085F" w:rsidP="00632F12">
      <w:pPr>
        <w:pStyle w:val="ListParagraph"/>
        <w:autoSpaceDE w:val="0"/>
        <w:autoSpaceDN w:val="0"/>
        <w:adjustRightInd w:val="0"/>
        <w:rPr>
          <w:rFonts w:cs="Times New Roman"/>
          <w:szCs w:val="24"/>
        </w:rPr>
      </w:pPr>
      <w:r>
        <w:rPr>
          <w:rFonts w:cs="Times New Roman"/>
          <w:szCs w:val="24"/>
        </w:rPr>
        <w:t>The same point is made in the following passage from</w:t>
      </w:r>
      <w:r w:rsidRPr="008D085F">
        <w:rPr>
          <w:rFonts w:cs="Times New Roman"/>
          <w:i/>
          <w:szCs w:val="24"/>
        </w:rPr>
        <w:t xml:space="preserve"> Cartwright</w:t>
      </w:r>
      <w:r>
        <w:rPr>
          <w:rFonts w:cs="Times New Roman"/>
          <w:szCs w:val="24"/>
        </w:rPr>
        <w:t xml:space="preserve"> which is useful in that </w:t>
      </w:r>
      <w:r w:rsidR="005F3583">
        <w:rPr>
          <w:rFonts w:cs="Times New Roman"/>
          <w:szCs w:val="24"/>
        </w:rPr>
        <w:t xml:space="preserve">it </w:t>
      </w:r>
      <w:r>
        <w:rPr>
          <w:rFonts w:cs="Times New Roman"/>
          <w:szCs w:val="24"/>
        </w:rPr>
        <w:t>refers specifically to express and implied representations:</w:t>
      </w:r>
    </w:p>
    <w:p w14:paraId="42ED379A" w14:textId="217AF526" w:rsidR="008D085F" w:rsidRDefault="008D085F" w:rsidP="00632F12">
      <w:pPr>
        <w:pStyle w:val="ListParagraph"/>
        <w:autoSpaceDE w:val="0"/>
        <w:autoSpaceDN w:val="0"/>
        <w:adjustRightInd w:val="0"/>
        <w:rPr>
          <w:rFonts w:cs="Times New Roman"/>
          <w:szCs w:val="24"/>
        </w:rPr>
      </w:pPr>
    </w:p>
    <w:p w14:paraId="051B835B" w14:textId="641C2A1F" w:rsidR="008D085F" w:rsidRDefault="008D085F" w:rsidP="008D085F">
      <w:pPr>
        <w:pStyle w:val="ListParagraph"/>
        <w:autoSpaceDE w:val="0"/>
        <w:autoSpaceDN w:val="0"/>
        <w:adjustRightInd w:val="0"/>
        <w:ind w:left="1418"/>
        <w:rPr>
          <w:rFonts w:cs="Times New Roman"/>
          <w:szCs w:val="24"/>
        </w:rPr>
      </w:pPr>
      <w:r w:rsidRPr="008D085F">
        <w:rPr>
          <w:rFonts w:cs="Times New Roman"/>
          <w:i/>
          <w:szCs w:val="24"/>
        </w:rPr>
        <w:t>“Where the alleged misrepresentation was express, the question is how a reasonable person in the claimant’s position would have understood the words used. Where it is alleged that there was an implied representation, the question is what a reasonable person would have inferred was being impliedly represented by the representor’s words and conduct in their context.”</w:t>
      </w:r>
      <w:r>
        <w:rPr>
          <w:rFonts w:cs="Times New Roman"/>
          <w:szCs w:val="24"/>
        </w:rPr>
        <w:t xml:space="preserve"> (para 3-06)</w:t>
      </w:r>
    </w:p>
    <w:p w14:paraId="2788C659" w14:textId="77777777" w:rsidR="008D085F" w:rsidRDefault="008D085F" w:rsidP="008D085F">
      <w:pPr>
        <w:pStyle w:val="ListParagraph"/>
        <w:autoSpaceDE w:val="0"/>
        <w:autoSpaceDN w:val="0"/>
        <w:adjustRightInd w:val="0"/>
        <w:ind w:left="1418"/>
        <w:rPr>
          <w:rFonts w:cs="Times New Roman"/>
          <w:szCs w:val="24"/>
        </w:rPr>
      </w:pPr>
    </w:p>
    <w:p w14:paraId="2BB8C1F7" w14:textId="64397243" w:rsidR="00A64DD8" w:rsidRDefault="00632F12" w:rsidP="00206452">
      <w:pPr>
        <w:pStyle w:val="ListParagraph"/>
        <w:numPr>
          <w:ilvl w:val="0"/>
          <w:numId w:val="1"/>
        </w:numPr>
        <w:autoSpaceDE w:val="0"/>
        <w:autoSpaceDN w:val="0"/>
        <w:adjustRightInd w:val="0"/>
        <w:ind w:hanging="720"/>
        <w:rPr>
          <w:rFonts w:cs="Times New Roman"/>
          <w:szCs w:val="24"/>
        </w:rPr>
      </w:pPr>
      <w:r>
        <w:rPr>
          <w:rFonts w:cs="Times New Roman"/>
          <w:szCs w:val="24"/>
        </w:rPr>
        <w:t>Th</w:t>
      </w:r>
      <w:r w:rsidR="008D085F">
        <w:rPr>
          <w:rFonts w:cs="Times New Roman"/>
          <w:szCs w:val="24"/>
        </w:rPr>
        <w:t>is</w:t>
      </w:r>
      <w:r w:rsidR="00CE5971">
        <w:rPr>
          <w:rFonts w:cs="Times New Roman"/>
          <w:szCs w:val="24"/>
        </w:rPr>
        <w:t xml:space="preserve"> is, in essence, how the Judge approached the question of whether the 16 November emails misrepresented</w:t>
      </w:r>
      <w:r w:rsidR="00CE5971" w:rsidRPr="00CE5971">
        <w:rPr>
          <w:rFonts w:cs="Times New Roman"/>
          <w:szCs w:val="24"/>
        </w:rPr>
        <w:t xml:space="preserve"> that the </w:t>
      </w:r>
      <w:r w:rsidR="00A64DD8">
        <w:rPr>
          <w:rFonts w:cs="Times New Roman"/>
          <w:szCs w:val="24"/>
        </w:rPr>
        <w:t xml:space="preserve">entire amounts of the </w:t>
      </w:r>
      <w:r w:rsidR="00CE5971" w:rsidRPr="00CE5971">
        <w:rPr>
          <w:rFonts w:cs="Times New Roman"/>
          <w:szCs w:val="24"/>
        </w:rPr>
        <w:t>UK Costs Certificates</w:t>
      </w:r>
      <w:r w:rsidR="00CE5971">
        <w:rPr>
          <w:rFonts w:cs="Times New Roman"/>
          <w:szCs w:val="24"/>
        </w:rPr>
        <w:t xml:space="preserve"> </w:t>
      </w:r>
      <w:r w:rsidR="00A64DD8">
        <w:rPr>
          <w:rFonts w:cs="Times New Roman"/>
          <w:szCs w:val="24"/>
        </w:rPr>
        <w:t>remained</w:t>
      </w:r>
      <w:r w:rsidR="00CE5971" w:rsidRPr="00CE5971">
        <w:rPr>
          <w:rFonts w:cs="Times New Roman"/>
          <w:szCs w:val="24"/>
        </w:rPr>
        <w:t xml:space="preserve"> outstanding.</w:t>
      </w:r>
      <w:r w:rsidR="00CE5971">
        <w:rPr>
          <w:rFonts w:cs="Times New Roman"/>
          <w:szCs w:val="24"/>
        </w:rPr>
        <w:t xml:space="preserve"> He looked at those emails in their factual context and</w:t>
      </w:r>
      <w:r w:rsidR="008D085F">
        <w:rPr>
          <w:rFonts w:cs="Times New Roman"/>
          <w:szCs w:val="24"/>
        </w:rPr>
        <w:t xml:space="preserve"> asked how a reasonable person would have interpreted them. </w:t>
      </w:r>
      <w:r w:rsidR="00A64DD8">
        <w:rPr>
          <w:rFonts w:cs="Times New Roman"/>
          <w:szCs w:val="24"/>
        </w:rPr>
        <w:t>In his view, a</w:t>
      </w:r>
      <w:r w:rsidR="008D085F">
        <w:rPr>
          <w:rFonts w:cs="Times New Roman"/>
          <w:szCs w:val="24"/>
        </w:rPr>
        <w:t xml:space="preserve"> reasonable person would have </w:t>
      </w:r>
      <w:r w:rsidR="00A64DD8">
        <w:rPr>
          <w:rFonts w:cs="Times New Roman"/>
          <w:szCs w:val="24"/>
        </w:rPr>
        <w:t xml:space="preserve">carefully </w:t>
      </w:r>
      <w:r w:rsidR="008D085F">
        <w:rPr>
          <w:rFonts w:cs="Times New Roman"/>
          <w:szCs w:val="24"/>
        </w:rPr>
        <w:t xml:space="preserve">reviewed </w:t>
      </w:r>
      <w:r w:rsidR="00A64DD8">
        <w:rPr>
          <w:rFonts w:cs="Times New Roman"/>
          <w:szCs w:val="24"/>
        </w:rPr>
        <w:t xml:space="preserve">the earlier emails </w:t>
      </w:r>
      <w:r w:rsidR="00ED10BC">
        <w:rPr>
          <w:rFonts w:cs="Times New Roman"/>
          <w:szCs w:val="24"/>
        </w:rPr>
        <w:t xml:space="preserve">that formed part of a single chain of emails </w:t>
      </w:r>
      <w:r w:rsidR="00A64DD8">
        <w:rPr>
          <w:rFonts w:cs="Times New Roman"/>
          <w:szCs w:val="24"/>
        </w:rPr>
        <w:t>and the attachments to them and, reading t</w:t>
      </w:r>
      <w:r w:rsidR="008D085F">
        <w:rPr>
          <w:rFonts w:cs="Times New Roman"/>
          <w:szCs w:val="24"/>
        </w:rPr>
        <w:t xml:space="preserve">he 16 November emails </w:t>
      </w:r>
      <w:r w:rsidR="00A64DD8">
        <w:rPr>
          <w:rFonts w:cs="Times New Roman"/>
          <w:szCs w:val="24"/>
        </w:rPr>
        <w:t xml:space="preserve">against that background, would not have understood them as stating that the entire amounts of the </w:t>
      </w:r>
      <w:r w:rsidR="00A64DD8" w:rsidRPr="00CE5971">
        <w:rPr>
          <w:rFonts w:cs="Times New Roman"/>
          <w:szCs w:val="24"/>
        </w:rPr>
        <w:t>UK Costs Certificates</w:t>
      </w:r>
      <w:r w:rsidR="00A64DD8">
        <w:rPr>
          <w:rFonts w:cs="Times New Roman"/>
          <w:szCs w:val="24"/>
        </w:rPr>
        <w:t xml:space="preserve"> remained</w:t>
      </w:r>
      <w:r w:rsidR="00A64DD8" w:rsidRPr="00CE5971">
        <w:rPr>
          <w:rFonts w:cs="Times New Roman"/>
          <w:szCs w:val="24"/>
        </w:rPr>
        <w:t xml:space="preserve"> outstanding.</w:t>
      </w:r>
      <w:r w:rsidR="00A64DD8">
        <w:rPr>
          <w:rFonts w:cs="Times New Roman"/>
          <w:szCs w:val="24"/>
        </w:rPr>
        <w:t xml:space="preserve"> </w:t>
      </w:r>
      <w:r w:rsidR="00A21419">
        <w:rPr>
          <w:rFonts w:cs="Times New Roman"/>
          <w:szCs w:val="24"/>
        </w:rPr>
        <w:t>On the contrary, when all of the emails were “</w:t>
      </w:r>
      <w:r w:rsidR="00A21419" w:rsidRPr="00A21419">
        <w:rPr>
          <w:rFonts w:cs="Times New Roman"/>
          <w:i/>
          <w:szCs w:val="24"/>
        </w:rPr>
        <w:t xml:space="preserve">viewed in </w:t>
      </w:r>
      <w:r w:rsidR="00DB378C">
        <w:rPr>
          <w:rFonts w:cs="Times New Roman"/>
          <w:i/>
          <w:szCs w:val="24"/>
        </w:rPr>
        <w:t xml:space="preserve">the </w:t>
      </w:r>
      <w:r w:rsidR="00A21419" w:rsidRPr="00A21419">
        <w:rPr>
          <w:rFonts w:cs="Times New Roman"/>
          <w:i/>
          <w:szCs w:val="24"/>
        </w:rPr>
        <w:t>round</w:t>
      </w:r>
      <w:r w:rsidR="00A21419">
        <w:rPr>
          <w:rFonts w:cs="Times New Roman"/>
          <w:szCs w:val="24"/>
        </w:rPr>
        <w:t>”, it was “</w:t>
      </w:r>
      <w:r w:rsidR="00A21419" w:rsidRPr="00A21419">
        <w:rPr>
          <w:rFonts w:cs="Times New Roman"/>
          <w:i/>
          <w:szCs w:val="24"/>
        </w:rPr>
        <w:t>obvious</w:t>
      </w:r>
      <w:r w:rsidR="00A21419">
        <w:rPr>
          <w:rFonts w:cs="Times New Roman"/>
          <w:szCs w:val="24"/>
        </w:rPr>
        <w:t>” that some of those Costs Certificates and/or some of the costs and expenses for which JCS was liable had</w:t>
      </w:r>
      <w:r w:rsidR="00E66A1D">
        <w:rPr>
          <w:rFonts w:cs="Times New Roman"/>
          <w:szCs w:val="24"/>
        </w:rPr>
        <w:t xml:space="preserve"> in fact</w:t>
      </w:r>
      <w:r w:rsidR="00A21419">
        <w:rPr>
          <w:rFonts w:cs="Times New Roman"/>
          <w:szCs w:val="24"/>
        </w:rPr>
        <w:t xml:space="preserve"> been paid (Judgment, at para 123). </w:t>
      </w:r>
    </w:p>
    <w:p w14:paraId="0BCD5C94" w14:textId="69EAE958" w:rsidR="00A64DD8" w:rsidRPr="00A21419" w:rsidRDefault="00A64DD8" w:rsidP="00A21419">
      <w:pPr>
        <w:pStyle w:val="ListParagraph"/>
        <w:autoSpaceDE w:val="0"/>
        <w:autoSpaceDN w:val="0"/>
        <w:adjustRightInd w:val="0"/>
        <w:rPr>
          <w:rFonts w:cs="Times New Roman"/>
          <w:szCs w:val="24"/>
        </w:rPr>
      </w:pPr>
    </w:p>
    <w:p w14:paraId="04F0FEF3" w14:textId="41C8CCAF" w:rsidR="00A64DD8" w:rsidRDefault="00A64DD8" w:rsidP="004F4016">
      <w:pPr>
        <w:pStyle w:val="ListParagraph"/>
        <w:numPr>
          <w:ilvl w:val="0"/>
          <w:numId w:val="1"/>
        </w:numPr>
        <w:autoSpaceDE w:val="0"/>
        <w:autoSpaceDN w:val="0"/>
        <w:adjustRightInd w:val="0"/>
        <w:ind w:hanging="720"/>
        <w:rPr>
          <w:rFonts w:cs="Times New Roman"/>
          <w:szCs w:val="24"/>
        </w:rPr>
      </w:pPr>
      <w:r w:rsidRPr="00C14F0C">
        <w:rPr>
          <w:rFonts w:cs="Times New Roman"/>
          <w:szCs w:val="24"/>
        </w:rPr>
        <w:t>The Judge was</w:t>
      </w:r>
      <w:r w:rsidR="00C05771" w:rsidRPr="00C14F0C">
        <w:rPr>
          <w:rFonts w:cs="Times New Roman"/>
          <w:szCs w:val="24"/>
        </w:rPr>
        <w:t>, in my view,</w:t>
      </w:r>
      <w:r w:rsidRPr="00C14F0C">
        <w:rPr>
          <w:rFonts w:cs="Times New Roman"/>
          <w:szCs w:val="24"/>
        </w:rPr>
        <w:t xml:space="preserve"> entirely justified in disregarding Mr Shannon’s evidence in this context. </w:t>
      </w:r>
      <w:r w:rsidR="00C14F0C" w:rsidRPr="00C14F0C">
        <w:rPr>
          <w:rFonts w:cs="Times New Roman"/>
          <w:szCs w:val="24"/>
        </w:rPr>
        <w:t>He was entitled to take the view that the notional “</w:t>
      </w:r>
      <w:r w:rsidR="00C14F0C" w:rsidRPr="00C14F0C">
        <w:rPr>
          <w:rFonts w:cs="Times New Roman"/>
          <w:i/>
          <w:szCs w:val="24"/>
        </w:rPr>
        <w:t>reasonable person</w:t>
      </w:r>
      <w:r w:rsidR="00C14F0C" w:rsidRPr="00C14F0C">
        <w:rPr>
          <w:rFonts w:cs="Times New Roman"/>
          <w:szCs w:val="24"/>
        </w:rPr>
        <w:t xml:space="preserve">” would have reviewed and understood the earlier correspondence. Mr Shannon had </w:t>
      </w:r>
      <w:r w:rsidR="00C14F0C" w:rsidRPr="00C14F0C">
        <w:rPr>
          <w:rFonts w:cs="Times New Roman"/>
          <w:szCs w:val="24"/>
        </w:rPr>
        <w:lastRenderedPageBreak/>
        <w:t>signally failed to do so and, in light of that failure, he could not be regarded as a reliable proxy for such “</w:t>
      </w:r>
      <w:r w:rsidR="00C14F0C" w:rsidRPr="00C14F0C">
        <w:rPr>
          <w:rFonts w:cs="Times New Roman"/>
          <w:i/>
          <w:szCs w:val="24"/>
        </w:rPr>
        <w:t>reasonable person</w:t>
      </w:r>
      <w:r w:rsidR="00C14F0C" w:rsidRPr="00C14F0C">
        <w:rPr>
          <w:rFonts w:cs="Times New Roman"/>
          <w:szCs w:val="24"/>
        </w:rPr>
        <w:t xml:space="preserve">.”  </w:t>
      </w:r>
    </w:p>
    <w:p w14:paraId="4F613FF9" w14:textId="77777777" w:rsidR="004F4016" w:rsidRDefault="004F4016" w:rsidP="004F4016">
      <w:pPr>
        <w:pStyle w:val="ListParagraph"/>
        <w:autoSpaceDE w:val="0"/>
        <w:autoSpaceDN w:val="0"/>
        <w:adjustRightInd w:val="0"/>
        <w:rPr>
          <w:rFonts w:cs="Times New Roman"/>
          <w:szCs w:val="24"/>
        </w:rPr>
      </w:pPr>
    </w:p>
    <w:p w14:paraId="1E6C74C8" w14:textId="254C535B" w:rsidR="004F4016" w:rsidRDefault="004F4016" w:rsidP="004F4016">
      <w:pPr>
        <w:pStyle w:val="ListParagraph"/>
        <w:numPr>
          <w:ilvl w:val="0"/>
          <w:numId w:val="1"/>
        </w:numPr>
        <w:autoSpaceDE w:val="0"/>
        <w:autoSpaceDN w:val="0"/>
        <w:adjustRightInd w:val="0"/>
        <w:ind w:hanging="720"/>
        <w:rPr>
          <w:rFonts w:cs="Times New Roman"/>
          <w:szCs w:val="24"/>
        </w:rPr>
      </w:pPr>
      <w:r>
        <w:rPr>
          <w:rFonts w:cs="Times New Roman"/>
          <w:szCs w:val="24"/>
        </w:rPr>
        <w:t xml:space="preserve">Criticism is </w:t>
      </w:r>
      <w:r w:rsidR="003E0AE4">
        <w:rPr>
          <w:rFonts w:cs="Times New Roman"/>
          <w:szCs w:val="24"/>
        </w:rPr>
        <w:t xml:space="preserve">also </w:t>
      </w:r>
      <w:r>
        <w:rPr>
          <w:rFonts w:cs="Times New Roman"/>
          <w:szCs w:val="24"/>
        </w:rPr>
        <w:t xml:space="preserve">made of the Judge for failing to address the evidence given by Mr Livingstone and the differences between his evidence and the evidence given by Mr Simons as to </w:t>
      </w:r>
      <w:r w:rsidR="00B3137B">
        <w:rPr>
          <w:rFonts w:cs="Times New Roman"/>
          <w:szCs w:val="24"/>
        </w:rPr>
        <w:t>the meaning of</w:t>
      </w:r>
      <w:r>
        <w:rPr>
          <w:rFonts w:cs="Times New Roman"/>
          <w:szCs w:val="24"/>
        </w:rPr>
        <w:t xml:space="preserve"> the emails of 16 November 201</w:t>
      </w:r>
      <w:r w:rsidR="00B3137B">
        <w:rPr>
          <w:rFonts w:cs="Times New Roman"/>
          <w:szCs w:val="24"/>
        </w:rPr>
        <w:t xml:space="preserve">5. Mr Livingstone gave evidence </w:t>
      </w:r>
      <w:r w:rsidR="003E0AE4">
        <w:rPr>
          <w:rFonts w:cs="Times New Roman"/>
          <w:szCs w:val="24"/>
        </w:rPr>
        <w:t xml:space="preserve">to the effect that in his view </w:t>
      </w:r>
      <w:r w:rsidR="00B3137B">
        <w:rPr>
          <w:rFonts w:cs="Times New Roman"/>
          <w:szCs w:val="24"/>
        </w:rPr>
        <w:t xml:space="preserve">the emails </w:t>
      </w:r>
      <w:r w:rsidR="00B3137B" w:rsidRPr="0025544D">
        <w:rPr>
          <w:rFonts w:cs="Times New Roman"/>
          <w:i/>
          <w:szCs w:val="24"/>
        </w:rPr>
        <w:t>did</w:t>
      </w:r>
      <w:r w:rsidR="00B3137B">
        <w:rPr>
          <w:rFonts w:cs="Times New Roman"/>
          <w:szCs w:val="24"/>
        </w:rPr>
        <w:t xml:space="preserve"> say that the UK Costs Certificates were unpaid and that they were correct in saying so because, in essence,</w:t>
      </w:r>
      <w:r w:rsidR="00957349">
        <w:rPr>
          <w:rFonts w:cs="Times New Roman"/>
          <w:szCs w:val="24"/>
        </w:rPr>
        <w:t xml:space="preserve"> no final decision had been made as of 16 November 2015 regarding the allocation of</w:t>
      </w:r>
      <w:r w:rsidR="00B3137B">
        <w:rPr>
          <w:rFonts w:cs="Times New Roman"/>
          <w:szCs w:val="24"/>
        </w:rPr>
        <w:t xml:space="preserve"> the monies </w:t>
      </w:r>
      <w:r w:rsidR="00957349">
        <w:rPr>
          <w:rFonts w:cs="Times New Roman"/>
          <w:szCs w:val="24"/>
        </w:rPr>
        <w:t xml:space="preserve">that Talos had recovered from JCS. Mr Livingstone was not the author of the emails. Even if </w:t>
      </w:r>
      <w:r w:rsidR="006C5E61">
        <w:rPr>
          <w:rFonts w:cs="Times New Roman"/>
          <w:szCs w:val="24"/>
        </w:rPr>
        <w:t xml:space="preserve">he </w:t>
      </w:r>
      <w:r w:rsidR="00957349">
        <w:rPr>
          <w:rFonts w:cs="Times New Roman"/>
          <w:szCs w:val="24"/>
        </w:rPr>
        <w:t>had been</w:t>
      </w:r>
      <w:r w:rsidR="00FE63FC">
        <w:rPr>
          <w:rFonts w:cs="Times New Roman"/>
          <w:szCs w:val="24"/>
        </w:rPr>
        <w:t xml:space="preserve"> the author</w:t>
      </w:r>
      <w:r w:rsidR="00957349">
        <w:rPr>
          <w:rFonts w:cs="Times New Roman"/>
          <w:szCs w:val="24"/>
        </w:rPr>
        <w:t xml:space="preserve">, </w:t>
      </w:r>
      <w:r w:rsidR="003E0AE4">
        <w:rPr>
          <w:rFonts w:cs="Times New Roman"/>
          <w:szCs w:val="24"/>
        </w:rPr>
        <w:t xml:space="preserve">for the reasons </w:t>
      </w:r>
      <w:r w:rsidR="00FE63FC">
        <w:rPr>
          <w:rFonts w:cs="Times New Roman"/>
          <w:szCs w:val="24"/>
        </w:rPr>
        <w:t xml:space="preserve">already </w:t>
      </w:r>
      <w:r w:rsidR="003E0AE4">
        <w:rPr>
          <w:rFonts w:cs="Times New Roman"/>
          <w:szCs w:val="24"/>
        </w:rPr>
        <w:t>set out</w:t>
      </w:r>
      <w:r w:rsidR="00DB378C">
        <w:rPr>
          <w:rFonts w:cs="Times New Roman"/>
          <w:szCs w:val="24"/>
        </w:rPr>
        <w:t>,</w:t>
      </w:r>
      <w:r w:rsidR="003E0AE4">
        <w:rPr>
          <w:rFonts w:cs="Times New Roman"/>
          <w:szCs w:val="24"/>
        </w:rPr>
        <w:t xml:space="preserve"> </w:t>
      </w:r>
      <w:r w:rsidR="00957349">
        <w:rPr>
          <w:rFonts w:cs="Times New Roman"/>
          <w:szCs w:val="24"/>
        </w:rPr>
        <w:t xml:space="preserve">his </w:t>
      </w:r>
      <w:r w:rsidR="00FE63FC">
        <w:rPr>
          <w:rFonts w:cs="Times New Roman"/>
          <w:szCs w:val="24"/>
        </w:rPr>
        <w:t>opinion</w:t>
      </w:r>
      <w:r w:rsidR="00957349">
        <w:rPr>
          <w:rFonts w:cs="Times New Roman"/>
          <w:szCs w:val="24"/>
        </w:rPr>
        <w:t xml:space="preserve"> as to their proper interpretation was not relevant </w:t>
      </w:r>
      <w:r w:rsidR="006C5E61">
        <w:rPr>
          <w:rFonts w:cs="Times New Roman"/>
          <w:szCs w:val="24"/>
        </w:rPr>
        <w:t>or admissible</w:t>
      </w:r>
      <w:r w:rsidR="003E0AE4">
        <w:rPr>
          <w:rFonts w:cs="Times New Roman"/>
          <w:szCs w:val="24"/>
        </w:rPr>
        <w:t xml:space="preserve"> </w:t>
      </w:r>
      <w:r w:rsidR="0025544D">
        <w:rPr>
          <w:rFonts w:cs="Times New Roman"/>
          <w:szCs w:val="24"/>
        </w:rPr>
        <w:t xml:space="preserve">(save to the extent that his state of mind might be relevant to the issue of fraud) </w:t>
      </w:r>
      <w:r w:rsidR="003E0AE4">
        <w:rPr>
          <w:rFonts w:cs="Times New Roman"/>
          <w:szCs w:val="24"/>
        </w:rPr>
        <w:t>and the Judge made no error in not having regard to it</w:t>
      </w:r>
      <w:r w:rsidR="00FE63FC">
        <w:rPr>
          <w:rFonts w:cs="Times New Roman"/>
          <w:szCs w:val="24"/>
        </w:rPr>
        <w:t xml:space="preserve"> in this context. </w:t>
      </w:r>
    </w:p>
    <w:p w14:paraId="34C84ED0" w14:textId="77777777" w:rsidR="00FE63FC" w:rsidRDefault="00FE63FC" w:rsidP="00FE63FC">
      <w:pPr>
        <w:pStyle w:val="ListParagraph"/>
        <w:autoSpaceDE w:val="0"/>
        <w:autoSpaceDN w:val="0"/>
        <w:adjustRightInd w:val="0"/>
        <w:rPr>
          <w:rFonts w:cs="Times New Roman"/>
          <w:szCs w:val="24"/>
        </w:rPr>
      </w:pPr>
    </w:p>
    <w:p w14:paraId="3D42F5E1" w14:textId="46E57E4B" w:rsidR="00FE63FC" w:rsidRDefault="00FE63FC" w:rsidP="004F4016">
      <w:pPr>
        <w:pStyle w:val="ListParagraph"/>
        <w:numPr>
          <w:ilvl w:val="0"/>
          <w:numId w:val="1"/>
        </w:numPr>
        <w:autoSpaceDE w:val="0"/>
        <w:autoSpaceDN w:val="0"/>
        <w:adjustRightInd w:val="0"/>
        <w:ind w:hanging="720"/>
        <w:rPr>
          <w:rFonts w:cs="Times New Roman"/>
          <w:szCs w:val="24"/>
        </w:rPr>
      </w:pPr>
      <w:r>
        <w:rPr>
          <w:rFonts w:cs="Times New Roman"/>
          <w:szCs w:val="24"/>
        </w:rPr>
        <w:t>Next it is said that the Judge failed to apply the test for misrepresentation by silence/implied misrepresentation identified by Mr S</w:t>
      </w:r>
      <w:r w:rsidR="00DB378C">
        <w:rPr>
          <w:rFonts w:cs="Times New Roman"/>
          <w:szCs w:val="24"/>
        </w:rPr>
        <w:t>al</w:t>
      </w:r>
      <w:r>
        <w:rPr>
          <w:rFonts w:cs="Times New Roman"/>
          <w:szCs w:val="24"/>
        </w:rPr>
        <w:t>ter in his evidence and, in partic</w:t>
      </w:r>
      <w:r w:rsidR="001E7AEB">
        <w:rPr>
          <w:rFonts w:cs="Times New Roman"/>
          <w:szCs w:val="24"/>
        </w:rPr>
        <w:t xml:space="preserve">ular, that he failed to ask himself whether, in all the circumstances, a reasonable person in Dr Sheehan’s position would </w:t>
      </w:r>
      <w:bookmarkStart w:id="9" w:name="_Hlk85780964"/>
      <w:r w:rsidR="001E7AEB" w:rsidRPr="001E7AEB">
        <w:rPr>
          <w:rFonts w:cs="Times New Roman"/>
          <w:i/>
          <w:szCs w:val="24"/>
        </w:rPr>
        <w:t xml:space="preserve">“naturally have assumed that the Settlement Waiver Agreement did not exist and that, had it existed, he would in all the circumstances have been informed of it.” </w:t>
      </w:r>
      <w:bookmarkEnd w:id="9"/>
      <w:r w:rsidR="001E7AEB">
        <w:rPr>
          <w:rFonts w:cs="Times New Roman"/>
          <w:szCs w:val="24"/>
        </w:rPr>
        <w:t>. That formulation derives from the decision of the Court of Appeal of England and Wales in</w:t>
      </w:r>
      <w:bookmarkStart w:id="10" w:name="_Hlk85779440"/>
      <w:r w:rsidR="001E7AEB">
        <w:rPr>
          <w:rFonts w:cs="Times New Roman"/>
          <w:szCs w:val="24"/>
        </w:rPr>
        <w:t xml:space="preserve"> </w:t>
      </w:r>
      <w:r w:rsidR="001E7AEB" w:rsidRPr="005F3583">
        <w:rPr>
          <w:rFonts w:cs="Times New Roman"/>
          <w:i/>
          <w:szCs w:val="24"/>
        </w:rPr>
        <w:t>Property Alliance Group L</w:t>
      </w:r>
      <w:r w:rsidR="005F3583" w:rsidRPr="005F3583">
        <w:rPr>
          <w:rFonts w:cs="Times New Roman"/>
          <w:i/>
          <w:szCs w:val="24"/>
        </w:rPr>
        <w:t>td v Royal Bank of Scotland plc</w:t>
      </w:r>
      <w:r w:rsidR="005F3583">
        <w:rPr>
          <w:rFonts w:cs="Times New Roman"/>
          <w:szCs w:val="24"/>
        </w:rPr>
        <w:t xml:space="preserve"> </w:t>
      </w:r>
      <w:bookmarkEnd w:id="10"/>
      <w:r w:rsidR="005F3583">
        <w:rPr>
          <w:rFonts w:cs="Times New Roman"/>
          <w:szCs w:val="24"/>
        </w:rPr>
        <w:t xml:space="preserve">[2018] EWCA </w:t>
      </w:r>
      <w:r w:rsidR="00DB378C">
        <w:rPr>
          <w:rFonts w:cs="Times New Roman"/>
          <w:szCs w:val="24"/>
        </w:rPr>
        <w:t xml:space="preserve">Civ </w:t>
      </w:r>
      <w:r w:rsidR="005F3583">
        <w:rPr>
          <w:rFonts w:cs="Times New Roman"/>
          <w:szCs w:val="24"/>
        </w:rPr>
        <w:t>355, [2018] 1 WLR 3529</w:t>
      </w:r>
      <w:r w:rsidR="00945D74">
        <w:rPr>
          <w:rFonts w:cs="Times New Roman"/>
          <w:szCs w:val="24"/>
        </w:rPr>
        <w:t xml:space="preserve"> and that Court’s consideration of the earlier decision of the Commercial Court in </w:t>
      </w:r>
      <w:proofErr w:type="spellStart"/>
      <w:r w:rsidR="00945D74" w:rsidRPr="00F56AEC">
        <w:rPr>
          <w:rFonts w:cs="Times New Roman"/>
          <w:i/>
          <w:szCs w:val="24"/>
        </w:rPr>
        <w:t>Geest</w:t>
      </w:r>
      <w:proofErr w:type="spellEnd"/>
      <w:r w:rsidR="00945D74" w:rsidRPr="00F56AEC">
        <w:rPr>
          <w:rFonts w:cs="Times New Roman"/>
          <w:i/>
          <w:szCs w:val="24"/>
        </w:rPr>
        <w:t xml:space="preserve"> plc v Fy</w:t>
      </w:r>
      <w:r w:rsidR="00D17BE6">
        <w:rPr>
          <w:rFonts w:cs="Times New Roman"/>
          <w:i/>
          <w:szCs w:val="24"/>
        </w:rPr>
        <w:t>f</w:t>
      </w:r>
      <w:r w:rsidR="00945D74" w:rsidRPr="00F56AEC">
        <w:rPr>
          <w:rFonts w:cs="Times New Roman"/>
          <w:i/>
          <w:szCs w:val="24"/>
        </w:rPr>
        <w:t>fes plc</w:t>
      </w:r>
      <w:r w:rsidR="00945D74">
        <w:rPr>
          <w:rFonts w:cs="Times New Roman"/>
          <w:szCs w:val="24"/>
        </w:rPr>
        <w:t xml:space="preserve"> </w:t>
      </w:r>
      <w:r w:rsidR="00945D74">
        <w:rPr>
          <w:rFonts w:cs="Times New Roman"/>
          <w:szCs w:val="24"/>
        </w:rPr>
        <w:lastRenderedPageBreak/>
        <w:t xml:space="preserve">[1999] 1 All ER (Comm) </w:t>
      </w:r>
      <w:r w:rsidR="00F56AEC">
        <w:rPr>
          <w:rFonts w:cs="Times New Roman"/>
          <w:szCs w:val="24"/>
        </w:rPr>
        <w:t>672. Both of these decisions are referred to in the Judge’s Judgment.</w:t>
      </w:r>
    </w:p>
    <w:p w14:paraId="13D7DFFB" w14:textId="77777777" w:rsidR="00F56AEC" w:rsidRDefault="00F56AEC" w:rsidP="00F56AEC">
      <w:pPr>
        <w:pStyle w:val="ListParagraph"/>
        <w:autoSpaceDE w:val="0"/>
        <w:autoSpaceDN w:val="0"/>
        <w:adjustRightInd w:val="0"/>
        <w:rPr>
          <w:rFonts w:cs="Times New Roman"/>
          <w:szCs w:val="24"/>
        </w:rPr>
      </w:pPr>
    </w:p>
    <w:p w14:paraId="234249CE" w14:textId="48D72D72" w:rsidR="009D00BC" w:rsidRDefault="00F56AEC" w:rsidP="004F4016">
      <w:pPr>
        <w:pStyle w:val="ListParagraph"/>
        <w:numPr>
          <w:ilvl w:val="0"/>
          <w:numId w:val="1"/>
        </w:numPr>
        <w:autoSpaceDE w:val="0"/>
        <w:autoSpaceDN w:val="0"/>
        <w:adjustRightInd w:val="0"/>
        <w:ind w:hanging="720"/>
        <w:rPr>
          <w:rFonts w:cs="Times New Roman"/>
          <w:szCs w:val="24"/>
        </w:rPr>
      </w:pPr>
      <w:r>
        <w:rPr>
          <w:rFonts w:cs="Times New Roman"/>
          <w:szCs w:val="24"/>
        </w:rPr>
        <w:t xml:space="preserve">The Judge did not express his conclusions in the precise terms of the test articulated in </w:t>
      </w:r>
      <w:r w:rsidRPr="005F3583">
        <w:rPr>
          <w:rFonts w:cs="Times New Roman"/>
          <w:i/>
          <w:szCs w:val="24"/>
        </w:rPr>
        <w:t>Property Alliance Group Ltd v Royal Bank of Scotland plc</w:t>
      </w:r>
      <w:r>
        <w:rPr>
          <w:rFonts w:cs="Times New Roman"/>
          <w:i/>
          <w:szCs w:val="24"/>
        </w:rPr>
        <w:t xml:space="preserve">. </w:t>
      </w:r>
      <w:r>
        <w:rPr>
          <w:rFonts w:cs="Times New Roman"/>
          <w:szCs w:val="24"/>
        </w:rPr>
        <w:t>That is, I think, explained by the manner in which the Plaintiff advanced his misrepresentation claim. The Plaintiff’s argument was that</w:t>
      </w:r>
      <w:r w:rsidR="003F1F50">
        <w:rPr>
          <w:rFonts w:cs="Times New Roman"/>
          <w:szCs w:val="24"/>
        </w:rPr>
        <w:t>, firstly,</w:t>
      </w:r>
      <w:r>
        <w:rPr>
          <w:rFonts w:cs="Times New Roman"/>
          <w:szCs w:val="24"/>
        </w:rPr>
        <w:t xml:space="preserve"> the emails of 16 November 2015 </w:t>
      </w:r>
      <w:r w:rsidR="003F1F50">
        <w:rPr>
          <w:rFonts w:cs="Times New Roman"/>
          <w:szCs w:val="24"/>
        </w:rPr>
        <w:t>(</w:t>
      </w:r>
      <w:r>
        <w:rPr>
          <w:rFonts w:cs="Times New Roman"/>
          <w:szCs w:val="24"/>
        </w:rPr>
        <w:t>mis</w:t>
      </w:r>
      <w:r w:rsidR="003F1F50">
        <w:rPr>
          <w:rFonts w:cs="Times New Roman"/>
          <w:szCs w:val="24"/>
        </w:rPr>
        <w:t>)</w:t>
      </w:r>
      <w:r>
        <w:rPr>
          <w:rFonts w:cs="Times New Roman"/>
          <w:szCs w:val="24"/>
        </w:rPr>
        <w:t>represented – in express terms – that the Costs Certificates were still outstanding</w:t>
      </w:r>
      <w:r w:rsidR="009D00BC">
        <w:rPr>
          <w:rFonts w:cs="Times New Roman"/>
          <w:szCs w:val="24"/>
        </w:rPr>
        <w:t xml:space="preserve"> in full</w:t>
      </w:r>
      <w:r>
        <w:rPr>
          <w:rFonts w:cs="Times New Roman"/>
          <w:szCs w:val="24"/>
        </w:rPr>
        <w:t xml:space="preserve"> and</w:t>
      </w:r>
      <w:r w:rsidR="003F1F50">
        <w:rPr>
          <w:rFonts w:cs="Times New Roman"/>
          <w:szCs w:val="24"/>
        </w:rPr>
        <w:t xml:space="preserve"> secondly, that this</w:t>
      </w:r>
      <w:r w:rsidR="00B24B15">
        <w:rPr>
          <w:rFonts w:cs="Times New Roman"/>
          <w:szCs w:val="24"/>
        </w:rPr>
        <w:t xml:space="preserve"> </w:t>
      </w:r>
      <w:r w:rsidR="003F1F50">
        <w:rPr>
          <w:rFonts w:cs="Times New Roman"/>
          <w:szCs w:val="24"/>
        </w:rPr>
        <w:t>(</w:t>
      </w:r>
      <w:r>
        <w:rPr>
          <w:rFonts w:cs="Times New Roman"/>
          <w:szCs w:val="24"/>
        </w:rPr>
        <w:t>mis</w:t>
      </w:r>
      <w:r w:rsidR="003F1F50">
        <w:rPr>
          <w:rFonts w:cs="Times New Roman"/>
          <w:szCs w:val="24"/>
        </w:rPr>
        <w:t>)</w:t>
      </w:r>
      <w:r>
        <w:rPr>
          <w:rFonts w:cs="Times New Roman"/>
          <w:szCs w:val="24"/>
        </w:rPr>
        <w:t xml:space="preserve">representation implied that nothing had been received by Talos from any source that reduced JCS’s liability which in turn led to the implication that JCS’s claim against IBRC for the return of the Deposit remained intact: </w:t>
      </w:r>
      <w:r w:rsidR="009D00BC">
        <w:rPr>
          <w:rFonts w:cs="Times New Roman"/>
          <w:szCs w:val="24"/>
        </w:rPr>
        <w:t xml:space="preserve">Judgment, para 95. Having concluded that Dr Sheehan had failed to establish the fundamental premise of this argument – that the 16 November emails misrepresented that the Costs Certificates remained outstanding in full – the Judge took the view that it followed that Dr Sheehan’s misrepresentation claim was not made out: Judgment, para 124. The Judge addressed the claim as it was advanced </w:t>
      </w:r>
      <w:r w:rsidR="00002ABD">
        <w:rPr>
          <w:rFonts w:cs="Times New Roman"/>
          <w:szCs w:val="24"/>
        </w:rPr>
        <w:t>before him and Dr Sheehan</w:t>
      </w:r>
      <w:r w:rsidR="009D00BC">
        <w:rPr>
          <w:rFonts w:cs="Times New Roman"/>
          <w:szCs w:val="24"/>
        </w:rPr>
        <w:t xml:space="preserve"> cannot </w:t>
      </w:r>
      <w:r w:rsidR="00002ABD">
        <w:rPr>
          <w:rFonts w:cs="Times New Roman"/>
          <w:szCs w:val="24"/>
        </w:rPr>
        <w:t xml:space="preserve">now </w:t>
      </w:r>
      <w:r w:rsidR="009D00BC">
        <w:rPr>
          <w:rFonts w:cs="Times New Roman"/>
          <w:szCs w:val="24"/>
        </w:rPr>
        <w:t>be heard to complain abou</w:t>
      </w:r>
      <w:r w:rsidR="00002ABD">
        <w:rPr>
          <w:rFonts w:cs="Times New Roman"/>
          <w:szCs w:val="24"/>
        </w:rPr>
        <w:t>t</w:t>
      </w:r>
      <w:r w:rsidR="009D00BC">
        <w:rPr>
          <w:rFonts w:cs="Times New Roman"/>
          <w:szCs w:val="24"/>
        </w:rPr>
        <w:t xml:space="preserve"> </w:t>
      </w:r>
      <w:r w:rsidR="00002ABD">
        <w:rPr>
          <w:rFonts w:cs="Times New Roman"/>
          <w:szCs w:val="24"/>
        </w:rPr>
        <w:t>the Judge’s a</w:t>
      </w:r>
      <w:r w:rsidR="009D00BC">
        <w:rPr>
          <w:rFonts w:cs="Times New Roman"/>
          <w:szCs w:val="24"/>
        </w:rPr>
        <w:t>pproach</w:t>
      </w:r>
      <w:r w:rsidR="00002ABD">
        <w:rPr>
          <w:rFonts w:cs="Times New Roman"/>
          <w:szCs w:val="24"/>
        </w:rPr>
        <w:t xml:space="preserve">. </w:t>
      </w:r>
      <w:r w:rsidR="009D00BC">
        <w:rPr>
          <w:rFonts w:cs="Times New Roman"/>
          <w:szCs w:val="24"/>
        </w:rPr>
        <w:t xml:space="preserve"> </w:t>
      </w:r>
    </w:p>
    <w:p w14:paraId="093B3636" w14:textId="77777777" w:rsidR="009D00BC" w:rsidRDefault="009D00BC" w:rsidP="009D00BC">
      <w:pPr>
        <w:pStyle w:val="ListParagraph"/>
        <w:autoSpaceDE w:val="0"/>
        <w:autoSpaceDN w:val="0"/>
        <w:adjustRightInd w:val="0"/>
        <w:rPr>
          <w:rFonts w:cs="Times New Roman"/>
          <w:szCs w:val="24"/>
        </w:rPr>
      </w:pPr>
    </w:p>
    <w:p w14:paraId="651DA9AB" w14:textId="40AD6FD9" w:rsidR="009D00BC" w:rsidRDefault="00002ABD" w:rsidP="009A0672">
      <w:pPr>
        <w:pStyle w:val="ListParagraph"/>
        <w:numPr>
          <w:ilvl w:val="0"/>
          <w:numId w:val="1"/>
        </w:numPr>
        <w:autoSpaceDE w:val="0"/>
        <w:autoSpaceDN w:val="0"/>
        <w:adjustRightInd w:val="0"/>
        <w:ind w:hanging="720"/>
        <w:rPr>
          <w:rFonts w:cs="Times New Roman"/>
          <w:szCs w:val="24"/>
        </w:rPr>
      </w:pPr>
      <w:r w:rsidRPr="00596EA4">
        <w:rPr>
          <w:rFonts w:cs="Times New Roman"/>
          <w:szCs w:val="24"/>
        </w:rPr>
        <w:t xml:space="preserve">In my view, there is no substance in this criticism in any event. As the Judge noted </w:t>
      </w:r>
      <w:r w:rsidR="00596EA4" w:rsidRPr="00596EA4">
        <w:rPr>
          <w:rFonts w:cs="Times New Roman"/>
          <w:szCs w:val="24"/>
        </w:rPr>
        <w:t>at</w:t>
      </w:r>
      <w:r w:rsidRPr="00596EA4">
        <w:rPr>
          <w:rFonts w:cs="Times New Roman"/>
          <w:szCs w:val="24"/>
        </w:rPr>
        <w:t xml:space="preserve"> para 96 of his Judgment, the Court of Appeal in </w:t>
      </w:r>
      <w:r w:rsidRPr="00596EA4">
        <w:rPr>
          <w:rFonts w:cs="Times New Roman"/>
          <w:i/>
          <w:szCs w:val="24"/>
        </w:rPr>
        <w:t xml:space="preserve">Property Alliance Group Ltd v Royal Bank of Scotland plc </w:t>
      </w:r>
      <w:r w:rsidRPr="00596EA4">
        <w:rPr>
          <w:rFonts w:cs="Times New Roman"/>
          <w:szCs w:val="24"/>
        </w:rPr>
        <w:t>emphasised that “</w:t>
      </w:r>
      <w:r w:rsidRPr="00596EA4">
        <w:rPr>
          <w:rFonts w:cs="Times New Roman"/>
          <w:i/>
          <w:szCs w:val="24"/>
        </w:rPr>
        <w:t xml:space="preserve">there must be clear words or clear conduct of the representor from which the relevant representation can be implied” </w:t>
      </w:r>
      <w:r w:rsidR="00596EA4" w:rsidRPr="00596EA4">
        <w:rPr>
          <w:rFonts w:cs="Times New Roman"/>
          <w:szCs w:val="24"/>
        </w:rPr>
        <w:t>and that the court should not “</w:t>
      </w:r>
      <w:r w:rsidR="00596EA4" w:rsidRPr="00596EA4">
        <w:rPr>
          <w:rFonts w:cs="Times New Roman"/>
          <w:i/>
          <w:szCs w:val="24"/>
        </w:rPr>
        <w:t>be too ready to find an implied representation</w:t>
      </w:r>
      <w:r w:rsidR="00596EA4" w:rsidRPr="00596EA4">
        <w:rPr>
          <w:rFonts w:cs="Times New Roman"/>
          <w:szCs w:val="24"/>
        </w:rPr>
        <w:t xml:space="preserve">”. With these warnings in mind, </w:t>
      </w:r>
      <w:r w:rsidR="007C021A">
        <w:rPr>
          <w:rFonts w:cs="Times New Roman"/>
          <w:szCs w:val="24"/>
        </w:rPr>
        <w:t>can</w:t>
      </w:r>
      <w:r w:rsidR="00596EA4" w:rsidRPr="00596EA4">
        <w:rPr>
          <w:rFonts w:cs="Times New Roman"/>
          <w:szCs w:val="24"/>
        </w:rPr>
        <w:t xml:space="preserve"> it plausibly be suggested that Dr Sheehan had </w:t>
      </w:r>
      <w:r w:rsidR="00596EA4">
        <w:rPr>
          <w:rFonts w:cs="Times New Roman"/>
          <w:szCs w:val="24"/>
        </w:rPr>
        <w:t xml:space="preserve">succeeded in demonstrating </w:t>
      </w:r>
      <w:r w:rsidR="00596EA4">
        <w:rPr>
          <w:rFonts w:cs="Times New Roman"/>
          <w:szCs w:val="24"/>
        </w:rPr>
        <w:lastRenderedPageBreak/>
        <w:t xml:space="preserve">that </w:t>
      </w:r>
      <w:r w:rsidR="00596EA4" w:rsidRPr="00596EA4">
        <w:rPr>
          <w:rFonts w:cs="Times New Roman"/>
          <w:szCs w:val="24"/>
        </w:rPr>
        <w:t>a re</w:t>
      </w:r>
      <w:r w:rsidR="00596EA4">
        <w:rPr>
          <w:rFonts w:cs="Times New Roman"/>
          <w:szCs w:val="24"/>
        </w:rPr>
        <w:t>as</w:t>
      </w:r>
      <w:r w:rsidR="00596EA4" w:rsidRPr="00596EA4">
        <w:rPr>
          <w:rFonts w:cs="Times New Roman"/>
          <w:szCs w:val="24"/>
        </w:rPr>
        <w:t xml:space="preserve">onable person in his position would </w:t>
      </w:r>
      <w:r w:rsidR="00596EA4" w:rsidRPr="00596EA4">
        <w:rPr>
          <w:rFonts w:cs="Times New Roman"/>
          <w:i/>
          <w:szCs w:val="24"/>
        </w:rPr>
        <w:t>“naturally have assumed that the Settlement Waiver Agreement did not exist and that, had it existed, he would in all the circumstances have been informed of it</w:t>
      </w:r>
      <w:r w:rsidR="00596EA4">
        <w:rPr>
          <w:rFonts w:cs="Times New Roman"/>
          <w:i/>
          <w:szCs w:val="24"/>
        </w:rPr>
        <w:t>”</w:t>
      </w:r>
      <w:r w:rsidR="00596EA4" w:rsidRPr="00596EA4">
        <w:rPr>
          <w:rFonts w:cs="Times New Roman"/>
          <w:szCs w:val="24"/>
        </w:rPr>
        <w:t xml:space="preserve">? </w:t>
      </w:r>
      <w:r w:rsidR="007C021A">
        <w:rPr>
          <w:rFonts w:cs="Times New Roman"/>
          <w:szCs w:val="24"/>
        </w:rPr>
        <w:t xml:space="preserve">As Mr Salter noted in his report, that question is fact-sensitive. In my view, the evidence here fell far short of establishing what was required if Dr Sheehan was to succeed. It may be, as matter of fact, that Mr Shannon assumed that the </w:t>
      </w:r>
      <w:r w:rsidR="008F1BC4">
        <w:rPr>
          <w:rFonts w:cs="Times New Roman"/>
          <w:szCs w:val="24"/>
        </w:rPr>
        <w:t xml:space="preserve">IBRC </w:t>
      </w:r>
      <w:r w:rsidR="007C021A">
        <w:rPr>
          <w:rFonts w:cs="Times New Roman"/>
          <w:szCs w:val="24"/>
        </w:rPr>
        <w:t>Settlement Agreement did not exist and that if it did he would have been informed of it</w:t>
      </w:r>
      <w:r w:rsidR="00593749">
        <w:rPr>
          <w:rFonts w:cs="Times New Roman"/>
          <w:szCs w:val="24"/>
        </w:rPr>
        <w:t xml:space="preserve">. </w:t>
      </w:r>
      <w:r w:rsidR="00DB2A85">
        <w:rPr>
          <w:rFonts w:cs="Times New Roman"/>
          <w:szCs w:val="24"/>
        </w:rPr>
        <w:t>It may be that Dr Sheehan assumed that also –he said as much in the course of his submissions to this Court</w:t>
      </w:r>
      <w:r w:rsidR="009034A4">
        <w:rPr>
          <w:rFonts w:cs="Times New Roman"/>
          <w:szCs w:val="24"/>
        </w:rPr>
        <w:t xml:space="preserve">, though </w:t>
      </w:r>
      <w:r w:rsidR="00712A07">
        <w:rPr>
          <w:rFonts w:cs="Times New Roman"/>
          <w:szCs w:val="24"/>
        </w:rPr>
        <w:t xml:space="preserve">of course he did not give evidence to that effect and </w:t>
      </w:r>
      <w:proofErr w:type="spellStart"/>
      <w:r w:rsidR="00712A07">
        <w:rPr>
          <w:rFonts w:cs="Times New Roman"/>
          <w:szCs w:val="24"/>
        </w:rPr>
        <w:t>Talos</w:t>
      </w:r>
      <w:proofErr w:type="spellEnd"/>
      <w:r w:rsidR="00712A07">
        <w:rPr>
          <w:rFonts w:cs="Times New Roman"/>
          <w:szCs w:val="24"/>
        </w:rPr>
        <w:t xml:space="preserve"> had no opportunity to cross-examine him on this (or any other) issue</w:t>
      </w:r>
      <w:r w:rsidR="00DB2A85">
        <w:rPr>
          <w:rFonts w:cs="Times New Roman"/>
          <w:szCs w:val="24"/>
        </w:rPr>
        <w:t xml:space="preserve">. But, in my view, there was no basis on which a </w:t>
      </w:r>
      <w:r w:rsidR="00DB2A85" w:rsidRPr="00CA174E">
        <w:rPr>
          <w:rFonts w:cs="Times New Roman"/>
          <w:i/>
          <w:szCs w:val="24"/>
        </w:rPr>
        <w:t>reasonable person</w:t>
      </w:r>
      <w:r w:rsidR="00DB2A85">
        <w:rPr>
          <w:rFonts w:cs="Times New Roman"/>
          <w:szCs w:val="24"/>
        </w:rPr>
        <w:t xml:space="preserve"> could properly have made any such assumption</w:t>
      </w:r>
      <w:r w:rsidR="0025544D">
        <w:rPr>
          <w:rFonts w:cs="Times New Roman"/>
          <w:szCs w:val="24"/>
        </w:rPr>
        <w:t xml:space="preserve"> on the basis of the email</w:t>
      </w:r>
      <w:r w:rsidR="00ED10BC">
        <w:rPr>
          <w:rFonts w:cs="Times New Roman"/>
          <w:szCs w:val="24"/>
        </w:rPr>
        <w:t xml:space="preserve"> correspondence</w:t>
      </w:r>
      <w:r w:rsidR="0025544D">
        <w:rPr>
          <w:rFonts w:cs="Times New Roman"/>
          <w:szCs w:val="24"/>
        </w:rPr>
        <w:t xml:space="preserve"> discussed above</w:t>
      </w:r>
      <w:r w:rsidR="00DB2A85">
        <w:rPr>
          <w:rFonts w:cs="Times New Roman"/>
          <w:szCs w:val="24"/>
        </w:rPr>
        <w:t xml:space="preserve">. </w:t>
      </w:r>
      <w:r w:rsidR="008145B1">
        <w:rPr>
          <w:rFonts w:cs="Times New Roman"/>
          <w:szCs w:val="24"/>
        </w:rPr>
        <w:t xml:space="preserve">The wider context is also relevant. Dr Sheehan was at all times legally represented. It was open to him to seek confirmation of the position regarding any claim against IBRC. So far from doing so, no reference of any kind to the possible pursuit of such a claim was  made </w:t>
      </w:r>
      <w:r w:rsidR="00ED10BC">
        <w:rPr>
          <w:rFonts w:cs="Times New Roman"/>
          <w:szCs w:val="24"/>
        </w:rPr>
        <w:t xml:space="preserve"> </w:t>
      </w:r>
      <w:r w:rsidR="008145B1">
        <w:rPr>
          <w:rFonts w:cs="Times New Roman"/>
          <w:szCs w:val="24"/>
        </w:rPr>
        <w:t xml:space="preserve">by or behalf of </w:t>
      </w:r>
      <w:r w:rsidR="00ED10BC">
        <w:rPr>
          <w:rFonts w:cs="Times New Roman"/>
          <w:szCs w:val="24"/>
        </w:rPr>
        <w:t>Dr Sheehan in the period between 27 March 2015 up to the execution of the Settlement Agreement on 19 November 2015. Against this background</w:t>
      </w:r>
      <w:r w:rsidR="000B253D">
        <w:rPr>
          <w:rFonts w:cs="Times New Roman"/>
          <w:szCs w:val="24"/>
        </w:rPr>
        <w:t xml:space="preserve">, </w:t>
      </w:r>
      <w:r w:rsidR="00712A07">
        <w:rPr>
          <w:rFonts w:cs="Times New Roman"/>
          <w:szCs w:val="24"/>
        </w:rPr>
        <w:t xml:space="preserve">the </w:t>
      </w:r>
      <w:r w:rsidR="000B253D">
        <w:rPr>
          <w:rFonts w:cs="Times New Roman"/>
          <w:szCs w:val="24"/>
        </w:rPr>
        <w:t>need</w:t>
      </w:r>
      <w:r w:rsidR="00712A07">
        <w:rPr>
          <w:rFonts w:cs="Times New Roman"/>
          <w:szCs w:val="24"/>
        </w:rPr>
        <w:t xml:space="preserve"> for</w:t>
      </w:r>
      <w:r w:rsidR="000B253D">
        <w:rPr>
          <w:rFonts w:cs="Times New Roman"/>
          <w:szCs w:val="24"/>
        </w:rPr>
        <w:t xml:space="preserve"> there to be</w:t>
      </w:r>
      <w:r w:rsidR="00712A07">
        <w:rPr>
          <w:rFonts w:cs="Times New Roman"/>
          <w:szCs w:val="24"/>
        </w:rPr>
        <w:t xml:space="preserve"> “</w:t>
      </w:r>
      <w:r w:rsidR="00712A07" w:rsidRPr="00712A07">
        <w:rPr>
          <w:rFonts w:cs="Times New Roman"/>
          <w:i/>
          <w:szCs w:val="24"/>
        </w:rPr>
        <w:t>clear words or clear conduct</w:t>
      </w:r>
      <w:r w:rsidR="00712A07">
        <w:rPr>
          <w:rFonts w:cs="Times New Roman"/>
          <w:szCs w:val="24"/>
        </w:rPr>
        <w:t>”</w:t>
      </w:r>
      <w:r w:rsidR="000B253D">
        <w:rPr>
          <w:rFonts w:cs="Times New Roman"/>
          <w:szCs w:val="24"/>
        </w:rPr>
        <w:t xml:space="preserve"> before a representation is to be implied appears particularly important and one which ought not to be diluted. There were no such “</w:t>
      </w:r>
      <w:r w:rsidR="000B253D" w:rsidRPr="000B253D">
        <w:rPr>
          <w:rFonts w:cs="Times New Roman"/>
          <w:i/>
          <w:szCs w:val="24"/>
        </w:rPr>
        <w:t>clear words or clear conduct</w:t>
      </w:r>
      <w:r w:rsidR="000B253D">
        <w:rPr>
          <w:rFonts w:cs="Times New Roman"/>
          <w:szCs w:val="24"/>
        </w:rPr>
        <w:t>” here.</w:t>
      </w:r>
    </w:p>
    <w:p w14:paraId="795BB455" w14:textId="77777777" w:rsidR="00596EA4" w:rsidRPr="00596EA4" w:rsidRDefault="00596EA4" w:rsidP="00596EA4">
      <w:pPr>
        <w:pStyle w:val="ListParagraph"/>
        <w:autoSpaceDE w:val="0"/>
        <w:autoSpaceDN w:val="0"/>
        <w:adjustRightInd w:val="0"/>
        <w:rPr>
          <w:rFonts w:cs="Times New Roman"/>
          <w:szCs w:val="24"/>
        </w:rPr>
      </w:pPr>
    </w:p>
    <w:p w14:paraId="5908D23B" w14:textId="50F00A50" w:rsidR="0044324D" w:rsidRDefault="0044324D" w:rsidP="004F4016">
      <w:pPr>
        <w:pStyle w:val="ListParagraph"/>
        <w:numPr>
          <w:ilvl w:val="0"/>
          <w:numId w:val="1"/>
        </w:numPr>
        <w:autoSpaceDE w:val="0"/>
        <w:autoSpaceDN w:val="0"/>
        <w:adjustRightInd w:val="0"/>
        <w:ind w:hanging="720"/>
        <w:rPr>
          <w:rFonts w:cs="Times New Roman"/>
          <w:szCs w:val="24"/>
        </w:rPr>
      </w:pPr>
      <w:r>
        <w:rPr>
          <w:rFonts w:cs="Times New Roman"/>
          <w:szCs w:val="24"/>
        </w:rPr>
        <w:t>While these</w:t>
      </w:r>
      <w:r w:rsidR="00DB2A85">
        <w:rPr>
          <w:rFonts w:cs="Times New Roman"/>
          <w:szCs w:val="24"/>
        </w:rPr>
        <w:t xml:space="preserve"> conclusions are sufficient to </w:t>
      </w:r>
      <w:r>
        <w:rPr>
          <w:rFonts w:cs="Times New Roman"/>
          <w:szCs w:val="24"/>
        </w:rPr>
        <w:t xml:space="preserve">dispose of Dr Sheehan’s appeal, I </w:t>
      </w:r>
      <w:r w:rsidR="00956B61">
        <w:rPr>
          <w:rFonts w:cs="Times New Roman"/>
          <w:szCs w:val="24"/>
        </w:rPr>
        <w:t>wish</w:t>
      </w:r>
      <w:r>
        <w:rPr>
          <w:rFonts w:cs="Times New Roman"/>
          <w:szCs w:val="24"/>
        </w:rPr>
        <w:t xml:space="preserve"> to </w:t>
      </w:r>
      <w:r w:rsidR="00F0204D">
        <w:rPr>
          <w:rFonts w:cs="Times New Roman"/>
          <w:szCs w:val="24"/>
        </w:rPr>
        <w:t>add some observations on</w:t>
      </w:r>
      <w:r>
        <w:rPr>
          <w:rFonts w:cs="Times New Roman"/>
          <w:szCs w:val="24"/>
        </w:rPr>
        <w:t xml:space="preserve"> the </w:t>
      </w:r>
      <w:r w:rsidR="00F0204D">
        <w:rPr>
          <w:rFonts w:cs="Times New Roman"/>
          <w:szCs w:val="24"/>
        </w:rPr>
        <w:t>implications of</w:t>
      </w:r>
      <w:r>
        <w:rPr>
          <w:rFonts w:cs="Times New Roman"/>
          <w:szCs w:val="24"/>
        </w:rPr>
        <w:t xml:space="preserve"> Dr Sheehan </w:t>
      </w:r>
      <w:r w:rsidR="00F0204D">
        <w:rPr>
          <w:rFonts w:cs="Times New Roman"/>
          <w:szCs w:val="24"/>
        </w:rPr>
        <w:t xml:space="preserve">not being called </w:t>
      </w:r>
      <w:r w:rsidR="00956B61">
        <w:rPr>
          <w:rFonts w:cs="Times New Roman"/>
          <w:szCs w:val="24"/>
        </w:rPr>
        <w:t xml:space="preserve">to </w:t>
      </w:r>
      <w:r>
        <w:rPr>
          <w:rFonts w:cs="Times New Roman"/>
          <w:szCs w:val="24"/>
        </w:rPr>
        <w:t xml:space="preserve">give evidence. </w:t>
      </w:r>
    </w:p>
    <w:p w14:paraId="43D676DC" w14:textId="77777777" w:rsidR="0044324D" w:rsidRDefault="0044324D" w:rsidP="0044324D">
      <w:pPr>
        <w:pStyle w:val="ListParagraph"/>
        <w:autoSpaceDE w:val="0"/>
        <w:autoSpaceDN w:val="0"/>
        <w:adjustRightInd w:val="0"/>
        <w:rPr>
          <w:rFonts w:cs="Times New Roman"/>
          <w:szCs w:val="24"/>
        </w:rPr>
      </w:pPr>
    </w:p>
    <w:p w14:paraId="7D68D532" w14:textId="6E754749" w:rsidR="0044324D" w:rsidRDefault="0044324D" w:rsidP="004F4016">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 xml:space="preserve">It is clear from the authorities </w:t>
      </w:r>
      <w:r w:rsidR="0047282E">
        <w:rPr>
          <w:rFonts w:cs="Times New Roman"/>
          <w:szCs w:val="24"/>
        </w:rPr>
        <w:t>that</w:t>
      </w:r>
      <w:r w:rsidR="00E66A1D">
        <w:rPr>
          <w:rFonts w:cs="Times New Roman"/>
          <w:szCs w:val="24"/>
        </w:rPr>
        <w:t xml:space="preserve"> the</w:t>
      </w:r>
      <w:r>
        <w:rPr>
          <w:rFonts w:cs="Times New Roman"/>
          <w:szCs w:val="24"/>
        </w:rPr>
        <w:t xml:space="preserve"> principle that the</w:t>
      </w:r>
      <w:r w:rsidR="00E66A1D">
        <w:rPr>
          <w:rFonts w:cs="Times New Roman"/>
          <w:szCs w:val="24"/>
        </w:rPr>
        <w:t xml:space="preserve"> meaning of a</w:t>
      </w:r>
      <w:r w:rsidR="0047282E">
        <w:rPr>
          <w:rFonts w:cs="Times New Roman"/>
          <w:szCs w:val="24"/>
        </w:rPr>
        <w:t xml:space="preserve"> representation</w:t>
      </w:r>
      <w:r w:rsidR="00E66A1D">
        <w:rPr>
          <w:rFonts w:cs="Times New Roman"/>
          <w:szCs w:val="24"/>
        </w:rPr>
        <w:t xml:space="preserve"> is</w:t>
      </w:r>
      <w:r w:rsidR="0047282E">
        <w:rPr>
          <w:rFonts w:cs="Times New Roman"/>
          <w:szCs w:val="24"/>
        </w:rPr>
        <w:t xml:space="preserve"> </w:t>
      </w:r>
      <w:r w:rsidR="00142DA8">
        <w:rPr>
          <w:rFonts w:cs="Times New Roman"/>
          <w:szCs w:val="24"/>
        </w:rPr>
        <w:t xml:space="preserve">a matter for objective determination </w:t>
      </w:r>
      <w:r w:rsidR="0047282E">
        <w:rPr>
          <w:rFonts w:cs="Times New Roman"/>
          <w:szCs w:val="24"/>
        </w:rPr>
        <w:t xml:space="preserve">is not </w:t>
      </w:r>
      <w:r w:rsidR="00E66A1D">
        <w:rPr>
          <w:rFonts w:cs="Times New Roman"/>
          <w:szCs w:val="24"/>
        </w:rPr>
        <w:t>unqualified</w:t>
      </w:r>
      <w:r w:rsidR="0047282E">
        <w:rPr>
          <w:rFonts w:cs="Times New Roman"/>
          <w:szCs w:val="24"/>
        </w:rPr>
        <w:t xml:space="preserve">. According to </w:t>
      </w:r>
      <w:r w:rsidR="00E66A1D">
        <w:rPr>
          <w:rFonts w:cs="Times New Roman"/>
          <w:szCs w:val="24"/>
        </w:rPr>
        <w:t xml:space="preserve">Spencer Bower and Handley, </w:t>
      </w:r>
      <w:r w:rsidR="00E66A1D" w:rsidRPr="00E66A1D">
        <w:rPr>
          <w:rFonts w:cs="Times New Roman"/>
          <w:i/>
          <w:szCs w:val="24"/>
        </w:rPr>
        <w:t xml:space="preserve">“where the representation is reasonably capable of more than one meaning, the </w:t>
      </w:r>
      <w:proofErr w:type="spellStart"/>
      <w:r w:rsidR="00E66A1D" w:rsidRPr="00E66A1D">
        <w:rPr>
          <w:rFonts w:cs="Times New Roman"/>
          <w:i/>
          <w:szCs w:val="24"/>
        </w:rPr>
        <w:t>representee</w:t>
      </w:r>
      <w:proofErr w:type="spellEnd"/>
      <w:r w:rsidR="00E66A1D" w:rsidRPr="00E66A1D">
        <w:rPr>
          <w:rFonts w:cs="Times New Roman"/>
          <w:i/>
          <w:szCs w:val="24"/>
        </w:rPr>
        <w:t xml:space="preserve"> must prove how he understood it and that, so understood, it was false” </w:t>
      </w:r>
      <w:r w:rsidR="00E66A1D">
        <w:rPr>
          <w:rFonts w:cs="Times New Roman"/>
          <w:szCs w:val="24"/>
        </w:rPr>
        <w:t xml:space="preserve">(at para 4.14; see also at para 6.13). </w:t>
      </w:r>
    </w:p>
    <w:p w14:paraId="42B73792" w14:textId="77777777" w:rsidR="0044324D" w:rsidRDefault="0044324D" w:rsidP="0044324D">
      <w:pPr>
        <w:pStyle w:val="ListParagraph"/>
        <w:autoSpaceDE w:val="0"/>
        <w:autoSpaceDN w:val="0"/>
        <w:adjustRightInd w:val="0"/>
        <w:rPr>
          <w:rFonts w:cs="Times New Roman"/>
          <w:szCs w:val="24"/>
        </w:rPr>
      </w:pPr>
    </w:p>
    <w:p w14:paraId="13F3AFD5" w14:textId="4CAF5551" w:rsidR="002E6E91" w:rsidRDefault="00142DA8" w:rsidP="004F4016">
      <w:pPr>
        <w:pStyle w:val="ListParagraph"/>
        <w:numPr>
          <w:ilvl w:val="0"/>
          <w:numId w:val="1"/>
        </w:numPr>
        <w:autoSpaceDE w:val="0"/>
        <w:autoSpaceDN w:val="0"/>
        <w:adjustRightInd w:val="0"/>
        <w:ind w:hanging="720"/>
        <w:rPr>
          <w:rFonts w:cs="Times New Roman"/>
          <w:szCs w:val="24"/>
        </w:rPr>
      </w:pPr>
      <w:r w:rsidRPr="00142DA8">
        <w:rPr>
          <w:rFonts w:cs="Times New Roman"/>
          <w:i/>
          <w:szCs w:val="24"/>
        </w:rPr>
        <w:t>Cartwright</w:t>
      </w:r>
      <w:r>
        <w:rPr>
          <w:rFonts w:cs="Times New Roman"/>
          <w:szCs w:val="24"/>
        </w:rPr>
        <w:t xml:space="preserve"> makes the same point, in the following terms:</w:t>
      </w:r>
    </w:p>
    <w:p w14:paraId="49A9C513" w14:textId="10FA4219" w:rsidR="00142DA8" w:rsidRDefault="00142DA8" w:rsidP="00142DA8">
      <w:pPr>
        <w:pStyle w:val="ListParagraph"/>
        <w:autoSpaceDE w:val="0"/>
        <w:autoSpaceDN w:val="0"/>
        <w:adjustRightInd w:val="0"/>
        <w:rPr>
          <w:rFonts w:cs="Times New Roman"/>
          <w:szCs w:val="24"/>
        </w:rPr>
      </w:pPr>
    </w:p>
    <w:p w14:paraId="6BC6648A" w14:textId="7C313C74" w:rsidR="00142DA8" w:rsidRDefault="00142DA8" w:rsidP="00E77400">
      <w:pPr>
        <w:pStyle w:val="ListParagraph"/>
        <w:autoSpaceDE w:val="0"/>
        <w:autoSpaceDN w:val="0"/>
        <w:adjustRightInd w:val="0"/>
        <w:ind w:left="1418"/>
        <w:rPr>
          <w:rFonts w:cs="Times New Roman"/>
          <w:szCs w:val="24"/>
        </w:rPr>
      </w:pPr>
      <w:r w:rsidRPr="00E77400">
        <w:rPr>
          <w:rFonts w:cs="Times New Roman"/>
          <w:i/>
          <w:szCs w:val="24"/>
        </w:rPr>
        <w:t xml:space="preserve">“It is possible that, even when tested objectively, a statement could equally well be understood in different senses: it is simply ambiguous. It will then be for the </w:t>
      </w:r>
      <w:proofErr w:type="spellStart"/>
      <w:r w:rsidRPr="00E77400">
        <w:rPr>
          <w:rFonts w:cs="Times New Roman"/>
          <w:i/>
          <w:szCs w:val="24"/>
        </w:rPr>
        <w:t>representee</w:t>
      </w:r>
      <w:proofErr w:type="spellEnd"/>
      <w:r w:rsidRPr="00E77400">
        <w:rPr>
          <w:rFonts w:cs="Times New Roman"/>
          <w:i/>
          <w:szCs w:val="24"/>
        </w:rPr>
        <w:t xml:space="preserve"> to establish the meaning of the words which he actually understood; it is not enough for him simply to claim that one of the meanings was actionable, or to leave it to the court to decide the ‘ordinary’ meaning</w:t>
      </w:r>
      <w:r w:rsidR="00E77400" w:rsidRPr="00E77400">
        <w:rPr>
          <w:rFonts w:cs="Times New Roman"/>
          <w:i/>
          <w:szCs w:val="24"/>
        </w:rPr>
        <w:t>.”</w:t>
      </w:r>
      <w:r w:rsidR="00E77400">
        <w:rPr>
          <w:rFonts w:cs="Times New Roman"/>
          <w:i/>
          <w:szCs w:val="24"/>
        </w:rPr>
        <w:t xml:space="preserve"> </w:t>
      </w:r>
      <w:r w:rsidR="00E77400">
        <w:rPr>
          <w:rFonts w:cs="Times New Roman"/>
          <w:szCs w:val="24"/>
        </w:rPr>
        <w:t>(para 3-06)</w:t>
      </w:r>
      <w:r w:rsidR="00E11D53">
        <w:rPr>
          <w:rFonts w:cs="Times New Roman"/>
          <w:szCs w:val="24"/>
        </w:rPr>
        <w:t xml:space="preserve"> </w:t>
      </w:r>
    </w:p>
    <w:p w14:paraId="1EAC7956" w14:textId="77777777" w:rsidR="00FC592F" w:rsidRDefault="00FC592F" w:rsidP="00E77400">
      <w:pPr>
        <w:pStyle w:val="ListParagraph"/>
        <w:autoSpaceDE w:val="0"/>
        <w:autoSpaceDN w:val="0"/>
        <w:adjustRightInd w:val="0"/>
        <w:ind w:left="1418"/>
        <w:rPr>
          <w:rFonts w:cs="Times New Roman"/>
          <w:szCs w:val="24"/>
        </w:rPr>
      </w:pPr>
    </w:p>
    <w:p w14:paraId="11537E9B" w14:textId="5004A0E4" w:rsidR="00FC592F" w:rsidRPr="00FC592F" w:rsidRDefault="00FC592F" w:rsidP="00FC592F">
      <w:pPr>
        <w:pStyle w:val="ListParagraph"/>
        <w:numPr>
          <w:ilvl w:val="0"/>
          <w:numId w:val="1"/>
        </w:numPr>
        <w:autoSpaceDE w:val="0"/>
        <w:autoSpaceDN w:val="0"/>
        <w:adjustRightInd w:val="0"/>
        <w:ind w:hanging="720"/>
        <w:rPr>
          <w:rFonts w:cs="Times New Roman"/>
          <w:szCs w:val="24"/>
        </w:rPr>
      </w:pPr>
      <w:r w:rsidRPr="00B6491C">
        <w:rPr>
          <w:rFonts w:eastAsiaTheme="minorEastAsia" w:cs="Times New Roman"/>
          <w:i/>
          <w:szCs w:val="24"/>
          <w:lang w:eastAsia="en-IE"/>
        </w:rPr>
        <w:t>Halsbury's Laws of England</w:t>
      </w:r>
      <w:r w:rsidRPr="00B6491C">
        <w:rPr>
          <w:rFonts w:eastAsiaTheme="minorEastAsia" w:cs="Times New Roman"/>
          <w:szCs w:val="24"/>
          <w:lang w:eastAsia="en-IE"/>
        </w:rPr>
        <w:t xml:space="preserve">, </w:t>
      </w:r>
      <w:r w:rsidRPr="00B6491C">
        <w:rPr>
          <w:rFonts w:eastAsiaTheme="minorEastAsia" w:cs="Times New Roman"/>
          <w:i/>
          <w:szCs w:val="24"/>
          <w:lang w:eastAsia="en-IE"/>
        </w:rPr>
        <w:t>Misrepresentation</w:t>
      </w:r>
      <w:r w:rsidRPr="00B6491C">
        <w:rPr>
          <w:rFonts w:eastAsiaTheme="minorEastAsia" w:cs="Times New Roman"/>
          <w:szCs w:val="24"/>
          <w:lang w:eastAsia="en-IE"/>
        </w:rPr>
        <w:t xml:space="preserve"> (Volume 76 (2019))</w:t>
      </w:r>
      <w:r>
        <w:rPr>
          <w:rFonts w:eastAsiaTheme="minorEastAsia" w:cs="Times New Roman"/>
          <w:szCs w:val="24"/>
          <w:lang w:eastAsia="en-IE"/>
        </w:rPr>
        <w:t xml:space="preserve"> is to the same effect:</w:t>
      </w:r>
    </w:p>
    <w:p w14:paraId="54B563F6" w14:textId="22744F99" w:rsidR="00FC592F" w:rsidRPr="00FC592F" w:rsidRDefault="00FC592F" w:rsidP="00FC592F">
      <w:pPr>
        <w:autoSpaceDE w:val="0"/>
        <w:autoSpaceDN w:val="0"/>
        <w:adjustRightInd w:val="0"/>
        <w:spacing w:before="120"/>
        <w:ind w:left="1418"/>
        <w:rPr>
          <w:rFonts w:eastAsiaTheme="minorEastAsia" w:cs="Times New Roman"/>
          <w:i/>
          <w:szCs w:val="24"/>
          <w:lang w:eastAsia="en-IE"/>
        </w:rPr>
      </w:pPr>
      <w:r w:rsidRPr="00FC592F">
        <w:rPr>
          <w:rFonts w:eastAsiaTheme="minorEastAsia" w:cs="Times New Roman"/>
          <w:i/>
          <w:szCs w:val="24"/>
          <w:lang w:eastAsia="en-IE"/>
        </w:rPr>
        <w:t xml:space="preserve">“776. Where the representation is fairly capable of two or more constructions, in one of which it would be false and in the other or others true, it is for the </w:t>
      </w:r>
      <w:proofErr w:type="spellStart"/>
      <w:r w:rsidRPr="00FC592F">
        <w:rPr>
          <w:rFonts w:eastAsiaTheme="minorEastAsia" w:cs="Times New Roman"/>
          <w:i/>
          <w:szCs w:val="24"/>
          <w:lang w:eastAsia="en-IE"/>
        </w:rPr>
        <w:t>represente</w:t>
      </w:r>
      <w:r>
        <w:rPr>
          <w:rFonts w:eastAsiaTheme="minorEastAsia" w:cs="Times New Roman"/>
          <w:i/>
          <w:szCs w:val="24"/>
          <w:lang w:eastAsia="en-IE"/>
        </w:rPr>
        <w:t>e</w:t>
      </w:r>
      <w:proofErr w:type="spellEnd"/>
      <w:r w:rsidRPr="00FC592F">
        <w:rPr>
          <w:rFonts w:eastAsiaTheme="minorEastAsia" w:cs="Times New Roman"/>
          <w:i/>
          <w:szCs w:val="24"/>
          <w:lang w:eastAsia="en-IE"/>
        </w:rPr>
        <w:t xml:space="preserve"> to allege and prove in which of its possible meanings he understood it, and, so understanding, was induced by it to alter his position</w:t>
      </w:r>
      <w:r>
        <w:rPr>
          <w:rFonts w:eastAsiaTheme="minorEastAsia" w:cs="Times New Roman"/>
          <w:i/>
          <w:szCs w:val="24"/>
          <w:lang w:eastAsia="en-IE"/>
        </w:rPr>
        <w:t>.</w:t>
      </w:r>
      <w:r w:rsidRPr="00FC592F">
        <w:rPr>
          <w:rFonts w:eastAsiaTheme="minorEastAsia" w:cs="Times New Roman"/>
          <w:i/>
          <w:szCs w:val="24"/>
          <w:vertAlign w:val="superscript"/>
          <w:lang w:eastAsia="en-IE"/>
        </w:rPr>
        <w:t>”</w:t>
      </w:r>
    </w:p>
    <w:p w14:paraId="0EB1C3E8" w14:textId="77777777" w:rsidR="00FC592F" w:rsidRDefault="00FC592F" w:rsidP="00E77400">
      <w:pPr>
        <w:pStyle w:val="ListParagraph"/>
        <w:autoSpaceDE w:val="0"/>
        <w:autoSpaceDN w:val="0"/>
        <w:adjustRightInd w:val="0"/>
        <w:ind w:left="1418"/>
        <w:rPr>
          <w:rFonts w:cs="Times New Roman"/>
          <w:szCs w:val="24"/>
        </w:rPr>
      </w:pPr>
    </w:p>
    <w:p w14:paraId="5FD412A8" w14:textId="1A60E4EF" w:rsidR="00B6491C" w:rsidRPr="00B6491C" w:rsidRDefault="00B6491C" w:rsidP="00B6491C">
      <w:pPr>
        <w:pStyle w:val="ListParagraph"/>
        <w:numPr>
          <w:ilvl w:val="0"/>
          <w:numId w:val="1"/>
        </w:numPr>
        <w:autoSpaceDE w:val="0"/>
        <w:autoSpaceDN w:val="0"/>
        <w:adjustRightInd w:val="0"/>
        <w:ind w:hanging="720"/>
        <w:rPr>
          <w:rFonts w:cs="Times New Roman"/>
          <w:szCs w:val="24"/>
        </w:rPr>
      </w:pPr>
      <w:r>
        <w:rPr>
          <w:szCs w:val="24"/>
        </w:rPr>
        <w:t xml:space="preserve">As is evident from the discussion in these works, </w:t>
      </w:r>
      <w:r w:rsidR="00FC592F">
        <w:rPr>
          <w:szCs w:val="24"/>
        </w:rPr>
        <w:t xml:space="preserve">in this context issues of proof of meaning and proof of inducement </w:t>
      </w:r>
      <w:r>
        <w:rPr>
          <w:szCs w:val="24"/>
        </w:rPr>
        <w:t xml:space="preserve">are closely related. </w:t>
      </w:r>
      <w:r w:rsidRPr="00B6491C">
        <w:rPr>
          <w:rFonts w:eastAsiaTheme="minorEastAsia" w:cs="Times New Roman"/>
          <w:szCs w:val="24"/>
          <w:lang w:eastAsia="en-IE"/>
        </w:rPr>
        <w:t xml:space="preserve">The discussion in </w:t>
      </w:r>
      <w:r w:rsidRPr="00B6491C">
        <w:rPr>
          <w:rFonts w:eastAsiaTheme="minorEastAsia" w:cs="Times New Roman"/>
          <w:i/>
          <w:szCs w:val="24"/>
          <w:lang w:eastAsia="en-IE"/>
        </w:rPr>
        <w:t>Halsbury</w:t>
      </w:r>
      <w:r w:rsidRPr="00B6491C">
        <w:rPr>
          <w:rFonts w:eastAsiaTheme="minorEastAsia" w:cs="Times New Roman"/>
          <w:szCs w:val="24"/>
          <w:lang w:eastAsia="en-IE"/>
        </w:rPr>
        <w:t xml:space="preserve"> occurs in the course of considering inducement. </w:t>
      </w:r>
      <w:r w:rsidR="00FC592F" w:rsidRPr="00FC592F">
        <w:rPr>
          <w:rFonts w:eastAsiaTheme="minorEastAsia" w:cs="Times New Roman"/>
          <w:i/>
          <w:szCs w:val="24"/>
          <w:lang w:eastAsia="en-IE"/>
        </w:rPr>
        <w:t>Spencer Bower and Handley</w:t>
      </w:r>
      <w:r w:rsidR="00FC592F">
        <w:rPr>
          <w:rFonts w:eastAsiaTheme="minorEastAsia" w:cs="Times New Roman"/>
          <w:szCs w:val="24"/>
          <w:lang w:eastAsia="en-IE"/>
        </w:rPr>
        <w:t xml:space="preserve"> discuss </w:t>
      </w:r>
      <w:r w:rsidR="00FC592F">
        <w:rPr>
          <w:rFonts w:eastAsiaTheme="minorEastAsia" w:cs="Times New Roman"/>
          <w:szCs w:val="24"/>
          <w:lang w:eastAsia="en-IE"/>
        </w:rPr>
        <w:lastRenderedPageBreak/>
        <w:t xml:space="preserve">the requirement for evidence from the </w:t>
      </w:r>
      <w:proofErr w:type="spellStart"/>
      <w:r w:rsidR="00FC592F">
        <w:rPr>
          <w:rFonts w:eastAsiaTheme="minorEastAsia" w:cs="Times New Roman"/>
          <w:szCs w:val="24"/>
          <w:lang w:eastAsia="en-IE"/>
        </w:rPr>
        <w:t>representee</w:t>
      </w:r>
      <w:proofErr w:type="spellEnd"/>
      <w:r w:rsidR="00FC592F">
        <w:rPr>
          <w:rFonts w:eastAsiaTheme="minorEastAsia" w:cs="Times New Roman"/>
          <w:szCs w:val="24"/>
          <w:lang w:eastAsia="en-IE"/>
        </w:rPr>
        <w:t xml:space="preserve"> in both contexts. Here we are concerned </w:t>
      </w:r>
      <w:r w:rsidR="00114A4E">
        <w:rPr>
          <w:rFonts w:eastAsiaTheme="minorEastAsia" w:cs="Times New Roman"/>
          <w:szCs w:val="24"/>
          <w:lang w:eastAsia="en-IE"/>
        </w:rPr>
        <w:t xml:space="preserve">solely with the issue of </w:t>
      </w:r>
      <w:r w:rsidR="00FC592F">
        <w:rPr>
          <w:rFonts w:eastAsiaTheme="minorEastAsia" w:cs="Times New Roman"/>
          <w:szCs w:val="24"/>
          <w:lang w:eastAsia="en-IE"/>
        </w:rPr>
        <w:t xml:space="preserve">meaning, not inducement. Issues of inducement/reliance/causation were not reached by the Judge and were not debated before this Court. </w:t>
      </w:r>
    </w:p>
    <w:p w14:paraId="763871DE" w14:textId="77777777" w:rsidR="00B6491C" w:rsidRDefault="00B6491C" w:rsidP="00E77400">
      <w:pPr>
        <w:pStyle w:val="ListParagraph"/>
        <w:autoSpaceDE w:val="0"/>
        <w:autoSpaceDN w:val="0"/>
        <w:adjustRightInd w:val="0"/>
        <w:rPr>
          <w:rFonts w:cs="Times New Roman"/>
          <w:szCs w:val="24"/>
        </w:rPr>
      </w:pPr>
    </w:p>
    <w:p w14:paraId="395351D6" w14:textId="557BCD76" w:rsidR="00E77400" w:rsidRPr="004B4CB7" w:rsidRDefault="00FC592F" w:rsidP="004F4016">
      <w:pPr>
        <w:pStyle w:val="ListParagraph"/>
        <w:numPr>
          <w:ilvl w:val="0"/>
          <w:numId w:val="1"/>
        </w:numPr>
        <w:autoSpaceDE w:val="0"/>
        <w:autoSpaceDN w:val="0"/>
        <w:adjustRightInd w:val="0"/>
        <w:ind w:hanging="720"/>
        <w:rPr>
          <w:rFonts w:cs="Times New Roman"/>
          <w:szCs w:val="24"/>
        </w:rPr>
      </w:pPr>
      <w:r>
        <w:rPr>
          <w:rFonts w:cs="Times New Roman"/>
          <w:szCs w:val="24"/>
        </w:rPr>
        <w:t xml:space="preserve">In </w:t>
      </w:r>
      <w:r w:rsidR="00884812" w:rsidRPr="00263A03">
        <w:rPr>
          <w:i/>
        </w:rPr>
        <w:t xml:space="preserve">Raiffeisen </w:t>
      </w:r>
      <w:proofErr w:type="spellStart"/>
      <w:r w:rsidR="00884812" w:rsidRPr="00263A03">
        <w:rPr>
          <w:i/>
        </w:rPr>
        <w:t>Zentralbank</w:t>
      </w:r>
      <w:proofErr w:type="spellEnd"/>
      <w:r w:rsidR="00884812" w:rsidRPr="00263A03">
        <w:rPr>
          <w:i/>
        </w:rPr>
        <w:t xml:space="preserve"> </w:t>
      </w:r>
      <w:proofErr w:type="spellStart"/>
      <w:r w:rsidR="00884812" w:rsidRPr="00263A03">
        <w:rPr>
          <w:i/>
        </w:rPr>
        <w:t>Osterr</w:t>
      </w:r>
      <w:r w:rsidR="00B24B15">
        <w:rPr>
          <w:i/>
        </w:rPr>
        <w:t>e</w:t>
      </w:r>
      <w:r w:rsidR="00884812" w:rsidRPr="00263A03">
        <w:rPr>
          <w:i/>
        </w:rPr>
        <w:t>ich</w:t>
      </w:r>
      <w:proofErr w:type="spellEnd"/>
      <w:r w:rsidR="00884812" w:rsidRPr="00263A03">
        <w:rPr>
          <w:i/>
        </w:rPr>
        <w:t xml:space="preserve"> v Royal Bank of Scotland</w:t>
      </w:r>
      <w:r w:rsidR="00884812">
        <w:t>, to which I have already referred, Clarke J stated (at para 87) that</w:t>
      </w:r>
      <w:r w:rsidR="00884812" w:rsidRPr="00884812">
        <w:rPr>
          <w:i/>
        </w:rPr>
        <w:t xml:space="preserve"> “the claimant must show that he understood in the sense (so far as material) which the court ascribes to it … and that, having that understanding, he relied on it. </w:t>
      </w:r>
      <w:r w:rsidR="00884812" w:rsidRPr="00815A48">
        <w:rPr>
          <w:i/>
          <w:u w:val="single"/>
        </w:rPr>
        <w:t>This may be of particular significance in the case of implied statements</w:t>
      </w:r>
      <w:r w:rsidR="00884812">
        <w:t>”</w:t>
      </w:r>
      <w:r w:rsidR="00956B61">
        <w:t xml:space="preserve"> </w:t>
      </w:r>
      <w:r w:rsidR="00815A48">
        <w:t xml:space="preserve">(emphasis added). </w:t>
      </w:r>
      <w:r w:rsidR="00956B61">
        <w:t>Although not so qualified on its face, I think it is clear that Clarke J was referring to cases where the alleged representation was ambiguous or uncertain, given that he had already set out the general principle that meaning was to be established by reference to what a reasonable person would have understood the representation to mean (paras 81 – 83).</w:t>
      </w:r>
    </w:p>
    <w:p w14:paraId="49AA7EFB" w14:textId="77777777" w:rsidR="004B4CB7" w:rsidRPr="004B4CB7" w:rsidRDefault="004B4CB7" w:rsidP="004B4CB7">
      <w:pPr>
        <w:pStyle w:val="ListParagraph"/>
        <w:autoSpaceDE w:val="0"/>
        <w:autoSpaceDN w:val="0"/>
        <w:adjustRightInd w:val="0"/>
        <w:rPr>
          <w:rFonts w:cs="Times New Roman"/>
          <w:szCs w:val="24"/>
        </w:rPr>
      </w:pPr>
    </w:p>
    <w:p w14:paraId="474A4EF3" w14:textId="0DC70049" w:rsidR="00F0204D" w:rsidRPr="00B24B15" w:rsidRDefault="004B4CB7" w:rsidP="00F0204D">
      <w:pPr>
        <w:pStyle w:val="ListParagraph"/>
        <w:numPr>
          <w:ilvl w:val="0"/>
          <w:numId w:val="1"/>
        </w:numPr>
        <w:autoSpaceDE w:val="0"/>
        <w:autoSpaceDN w:val="0"/>
        <w:adjustRightInd w:val="0"/>
        <w:ind w:hanging="720"/>
        <w:rPr>
          <w:rFonts w:cs="Times New Roman"/>
          <w:szCs w:val="24"/>
        </w:rPr>
      </w:pPr>
      <w:r>
        <w:rPr>
          <w:rFonts w:cs="Times New Roman"/>
          <w:szCs w:val="24"/>
        </w:rPr>
        <w:t>While these statements are statements of English law, there appears to be no reason to suppose that Irish law might adopt any different approach.</w:t>
      </w:r>
    </w:p>
    <w:p w14:paraId="47452230" w14:textId="77777777" w:rsidR="00956B61" w:rsidRPr="00956B61" w:rsidRDefault="00956B61" w:rsidP="00956B61">
      <w:pPr>
        <w:pStyle w:val="ListParagraph"/>
        <w:autoSpaceDE w:val="0"/>
        <w:autoSpaceDN w:val="0"/>
        <w:adjustRightInd w:val="0"/>
        <w:rPr>
          <w:rFonts w:cs="Times New Roman"/>
          <w:szCs w:val="24"/>
        </w:rPr>
      </w:pPr>
    </w:p>
    <w:p w14:paraId="249CE910" w14:textId="7F228548" w:rsidR="00956B61" w:rsidRDefault="00037722" w:rsidP="004F4016">
      <w:pPr>
        <w:pStyle w:val="ListParagraph"/>
        <w:numPr>
          <w:ilvl w:val="0"/>
          <w:numId w:val="1"/>
        </w:numPr>
        <w:autoSpaceDE w:val="0"/>
        <w:autoSpaceDN w:val="0"/>
        <w:adjustRightInd w:val="0"/>
        <w:ind w:hanging="720"/>
        <w:rPr>
          <w:rFonts w:cs="Times New Roman"/>
          <w:szCs w:val="24"/>
        </w:rPr>
      </w:pPr>
      <w:r>
        <w:rPr>
          <w:rFonts w:cs="Times New Roman"/>
          <w:szCs w:val="24"/>
        </w:rPr>
        <w:t xml:space="preserve">None of this material was referred to by Mr Lawrence or Mr Salter. That is not surprising. It </w:t>
      </w:r>
      <w:r w:rsidR="00114A4E">
        <w:rPr>
          <w:rFonts w:cs="Times New Roman"/>
          <w:szCs w:val="24"/>
        </w:rPr>
        <w:t>seems</w:t>
      </w:r>
      <w:r>
        <w:rPr>
          <w:rFonts w:cs="Times New Roman"/>
          <w:szCs w:val="24"/>
        </w:rPr>
        <w:t xml:space="preserve"> reasonable to assume that </w:t>
      </w:r>
      <w:r w:rsidR="00114A4E">
        <w:rPr>
          <w:rFonts w:cs="Times New Roman"/>
          <w:szCs w:val="24"/>
        </w:rPr>
        <w:t xml:space="preserve">each </w:t>
      </w:r>
      <w:r>
        <w:rPr>
          <w:rFonts w:cs="Times New Roman"/>
          <w:szCs w:val="24"/>
        </w:rPr>
        <w:t xml:space="preserve">anticipated that Dr Sheehan would give evidence in support of his claim. </w:t>
      </w:r>
      <w:r w:rsidR="00F0204D">
        <w:rPr>
          <w:rFonts w:cs="Times New Roman"/>
          <w:szCs w:val="24"/>
        </w:rPr>
        <w:t xml:space="preserve">It was not referred to by counsel </w:t>
      </w:r>
      <w:r w:rsidR="000B253D">
        <w:rPr>
          <w:rFonts w:cs="Times New Roman"/>
          <w:szCs w:val="24"/>
        </w:rPr>
        <w:t xml:space="preserve">in the High Court </w:t>
      </w:r>
      <w:r>
        <w:rPr>
          <w:rFonts w:cs="Times New Roman"/>
          <w:szCs w:val="24"/>
        </w:rPr>
        <w:t xml:space="preserve">presumably because they </w:t>
      </w:r>
      <w:r w:rsidR="00AF3189">
        <w:rPr>
          <w:rFonts w:cs="Times New Roman"/>
          <w:szCs w:val="24"/>
        </w:rPr>
        <w:t xml:space="preserve">considered that they were precluded from relying on any material that had been not been referred to by the experts. </w:t>
      </w:r>
      <w:r w:rsidR="00114A4E">
        <w:rPr>
          <w:rFonts w:cs="Times New Roman"/>
          <w:szCs w:val="24"/>
        </w:rPr>
        <w:t>I have already expressed the view that this was incorrect.</w:t>
      </w:r>
      <w:r w:rsidR="00F0204D">
        <w:rPr>
          <w:rFonts w:cs="Times New Roman"/>
          <w:szCs w:val="24"/>
        </w:rPr>
        <w:t xml:space="preserve">  </w:t>
      </w:r>
    </w:p>
    <w:p w14:paraId="59815585" w14:textId="77777777" w:rsidR="00AF3189" w:rsidRDefault="00AF3189" w:rsidP="00AF3189">
      <w:pPr>
        <w:pStyle w:val="ListParagraph"/>
        <w:autoSpaceDE w:val="0"/>
        <w:autoSpaceDN w:val="0"/>
        <w:adjustRightInd w:val="0"/>
        <w:rPr>
          <w:rFonts w:cs="Times New Roman"/>
          <w:szCs w:val="24"/>
        </w:rPr>
      </w:pPr>
    </w:p>
    <w:p w14:paraId="24AB8AE4" w14:textId="67BC133D" w:rsidR="00AF3189" w:rsidRDefault="00F0204D" w:rsidP="004F4016">
      <w:pPr>
        <w:pStyle w:val="ListParagraph"/>
        <w:numPr>
          <w:ilvl w:val="0"/>
          <w:numId w:val="1"/>
        </w:numPr>
        <w:autoSpaceDE w:val="0"/>
        <w:autoSpaceDN w:val="0"/>
        <w:adjustRightInd w:val="0"/>
        <w:ind w:hanging="720"/>
        <w:rPr>
          <w:rFonts w:cs="Times New Roman"/>
          <w:szCs w:val="24"/>
        </w:rPr>
      </w:pPr>
      <w:r w:rsidRPr="00F0204D">
        <w:rPr>
          <w:rFonts w:cs="Times New Roman"/>
          <w:i/>
          <w:szCs w:val="24"/>
        </w:rPr>
        <w:t>Prima facie,</w:t>
      </w:r>
      <w:r>
        <w:rPr>
          <w:rFonts w:cs="Times New Roman"/>
          <w:szCs w:val="24"/>
        </w:rPr>
        <w:t xml:space="preserve"> this case would appear to be one where, h</w:t>
      </w:r>
      <w:r w:rsidR="00114A4E">
        <w:rPr>
          <w:rFonts w:cs="Times New Roman"/>
          <w:szCs w:val="24"/>
        </w:rPr>
        <w:t>aving regard to the nature of the representation</w:t>
      </w:r>
      <w:r w:rsidRPr="00F0204D">
        <w:rPr>
          <w:rFonts w:cs="Times New Roman"/>
          <w:szCs w:val="24"/>
        </w:rPr>
        <w:t xml:space="preserve"> </w:t>
      </w:r>
      <w:r>
        <w:rPr>
          <w:rFonts w:cs="Times New Roman"/>
          <w:szCs w:val="24"/>
        </w:rPr>
        <w:t>alleged</w:t>
      </w:r>
      <w:r w:rsidR="00114A4E">
        <w:rPr>
          <w:rFonts w:cs="Times New Roman"/>
          <w:szCs w:val="24"/>
        </w:rPr>
        <w:t>, Dr Sheehan</w:t>
      </w:r>
      <w:r>
        <w:rPr>
          <w:rFonts w:cs="Times New Roman"/>
          <w:szCs w:val="24"/>
        </w:rPr>
        <w:t xml:space="preserve"> had to give evidence “</w:t>
      </w:r>
      <w:r w:rsidRPr="00E77400">
        <w:rPr>
          <w:rFonts w:cs="Times New Roman"/>
          <w:i/>
          <w:szCs w:val="24"/>
        </w:rPr>
        <w:t>to establish the meaning of the words which he actually understood</w:t>
      </w:r>
      <w:r>
        <w:rPr>
          <w:rFonts w:cs="Times New Roman"/>
          <w:i/>
          <w:szCs w:val="24"/>
        </w:rPr>
        <w:t>”.</w:t>
      </w:r>
      <w:r w:rsidR="004B4CB7">
        <w:rPr>
          <w:rFonts w:cs="Times New Roman"/>
          <w:i/>
          <w:szCs w:val="24"/>
        </w:rPr>
        <w:t xml:space="preserve"> </w:t>
      </w:r>
      <w:r w:rsidR="004B4CB7">
        <w:rPr>
          <w:rFonts w:cs="Times New Roman"/>
          <w:szCs w:val="24"/>
        </w:rPr>
        <w:t xml:space="preserve">On that analysis, Dr Sheehan’s failure to give evidence would indeed </w:t>
      </w:r>
      <w:r w:rsidR="00815A48">
        <w:rPr>
          <w:rFonts w:cs="Times New Roman"/>
          <w:szCs w:val="24"/>
        </w:rPr>
        <w:t xml:space="preserve">constitute </w:t>
      </w:r>
      <w:r w:rsidR="004B4CB7">
        <w:rPr>
          <w:rFonts w:cs="Times New Roman"/>
          <w:szCs w:val="24"/>
        </w:rPr>
        <w:t>a “</w:t>
      </w:r>
      <w:r w:rsidR="004B4CB7" w:rsidRPr="004B4CB7">
        <w:rPr>
          <w:rFonts w:cs="Times New Roman"/>
          <w:i/>
          <w:szCs w:val="24"/>
        </w:rPr>
        <w:t>fatal infirmity</w:t>
      </w:r>
      <w:r w:rsidR="004B4CB7">
        <w:rPr>
          <w:rFonts w:cs="Times New Roman"/>
          <w:szCs w:val="24"/>
        </w:rPr>
        <w:t xml:space="preserve">”. However, in light of the conclusions reached above, it is not necessary to express any concluded view on that question nor would it be appropriate to do so in the absence of detailed argument on the point. </w:t>
      </w:r>
      <w:r w:rsidRPr="00E77400">
        <w:rPr>
          <w:rFonts w:cs="Times New Roman"/>
          <w:i/>
          <w:szCs w:val="24"/>
        </w:rPr>
        <w:t xml:space="preserve"> </w:t>
      </w:r>
      <w:r w:rsidR="00114A4E">
        <w:rPr>
          <w:rFonts w:cs="Times New Roman"/>
          <w:szCs w:val="24"/>
        </w:rPr>
        <w:t xml:space="preserve"> </w:t>
      </w:r>
    </w:p>
    <w:p w14:paraId="1DA69DC2" w14:textId="77777777" w:rsidR="004B4CB7" w:rsidRDefault="004B4CB7" w:rsidP="004B4CB7">
      <w:pPr>
        <w:pStyle w:val="ListParagraph"/>
        <w:autoSpaceDE w:val="0"/>
        <w:autoSpaceDN w:val="0"/>
        <w:adjustRightInd w:val="0"/>
        <w:rPr>
          <w:rFonts w:cs="Times New Roman"/>
          <w:szCs w:val="24"/>
        </w:rPr>
      </w:pPr>
    </w:p>
    <w:p w14:paraId="11F228CD" w14:textId="495D1189" w:rsidR="004B4CB7" w:rsidRPr="004B4CB7" w:rsidRDefault="004B4CB7" w:rsidP="004B4CB7">
      <w:pPr>
        <w:pStyle w:val="ListParagraph"/>
        <w:numPr>
          <w:ilvl w:val="0"/>
          <w:numId w:val="1"/>
        </w:numPr>
        <w:autoSpaceDE w:val="0"/>
        <w:autoSpaceDN w:val="0"/>
        <w:adjustRightInd w:val="0"/>
        <w:ind w:hanging="720"/>
        <w:rPr>
          <w:rFonts w:cs="Times New Roman"/>
          <w:szCs w:val="24"/>
        </w:rPr>
      </w:pPr>
      <w:r>
        <w:rPr>
          <w:rFonts w:cs="Times New Roman"/>
          <w:szCs w:val="24"/>
        </w:rPr>
        <w:t xml:space="preserve">Dr Sheehan’s appeal from the dismissal of his misrepresentation claim therefore fails. </w:t>
      </w:r>
    </w:p>
    <w:p w14:paraId="1D415F0E" w14:textId="77777777" w:rsidR="00037722" w:rsidRPr="00C14F0C" w:rsidRDefault="00037722" w:rsidP="00037722">
      <w:pPr>
        <w:pStyle w:val="ListParagraph"/>
        <w:autoSpaceDE w:val="0"/>
        <w:autoSpaceDN w:val="0"/>
        <w:adjustRightInd w:val="0"/>
        <w:rPr>
          <w:rFonts w:cs="Times New Roman"/>
          <w:szCs w:val="24"/>
        </w:rPr>
      </w:pPr>
    </w:p>
    <w:p w14:paraId="031AFF49" w14:textId="01C20F93" w:rsidR="004F71E9" w:rsidRPr="00552FCC" w:rsidRDefault="00552FCC" w:rsidP="004F71E9">
      <w:pPr>
        <w:pStyle w:val="ListParagraph"/>
        <w:autoSpaceDE w:val="0"/>
        <w:autoSpaceDN w:val="0"/>
        <w:adjustRightInd w:val="0"/>
        <w:rPr>
          <w:rFonts w:cs="Times New Roman"/>
          <w:b/>
          <w:i/>
          <w:szCs w:val="24"/>
        </w:rPr>
      </w:pPr>
      <w:r w:rsidRPr="00552FCC">
        <w:rPr>
          <w:rFonts w:cs="Times New Roman"/>
          <w:b/>
          <w:i/>
          <w:szCs w:val="24"/>
        </w:rPr>
        <w:t xml:space="preserve">The </w:t>
      </w:r>
      <w:r w:rsidR="00F76171">
        <w:rPr>
          <w:rFonts w:cs="Times New Roman"/>
          <w:b/>
          <w:i/>
          <w:szCs w:val="24"/>
        </w:rPr>
        <w:t xml:space="preserve">Section 17(2) </w:t>
      </w:r>
      <w:r w:rsidRPr="00552FCC">
        <w:rPr>
          <w:rFonts w:cs="Times New Roman"/>
          <w:b/>
          <w:i/>
          <w:szCs w:val="24"/>
        </w:rPr>
        <w:t>Appeal</w:t>
      </w:r>
    </w:p>
    <w:p w14:paraId="3DC04AAB" w14:textId="77777777" w:rsidR="00552FCC" w:rsidRDefault="00552FCC" w:rsidP="004F71E9">
      <w:pPr>
        <w:pStyle w:val="ListParagraph"/>
        <w:autoSpaceDE w:val="0"/>
        <w:autoSpaceDN w:val="0"/>
        <w:adjustRightInd w:val="0"/>
        <w:rPr>
          <w:rFonts w:cs="Times New Roman"/>
          <w:szCs w:val="24"/>
        </w:rPr>
      </w:pPr>
    </w:p>
    <w:p w14:paraId="14FD4FFA" w14:textId="77777777" w:rsidR="00552FCC" w:rsidRDefault="00552FCC" w:rsidP="004F71E9">
      <w:pPr>
        <w:pStyle w:val="ListParagraph"/>
        <w:autoSpaceDE w:val="0"/>
        <w:autoSpaceDN w:val="0"/>
        <w:adjustRightInd w:val="0"/>
        <w:rPr>
          <w:rFonts w:cs="Times New Roman"/>
          <w:i/>
          <w:szCs w:val="24"/>
        </w:rPr>
      </w:pPr>
      <w:r>
        <w:rPr>
          <w:rFonts w:cs="Times New Roman"/>
          <w:i/>
          <w:szCs w:val="24"/>
        </w:rPr>
        <w:tab/>
      </w:r>
      <w:r w:rsidRPr="00552FCC">
        <w:rPr>
          <w:rFonts w:cs="Times New Roman"/>
          <w:i/>
          <w:szCs w:val="24"/>
        </w:rPr>
        <w:t>Argument</w:t>
      </w:r>
    </w:p>
    <w:p w14:paraId="54F1E9BC" w14:textId="77777777" w:rsidR="00552FCC" w:rsidRPr="00552FCC" w:rsidRDefault="00552FCC" w:rsidP="004F71E9">
      <w:pPr>
        <w:pStyle w:val="ListParagraph"/>
        <w:autoSpaceDE w:val="0"/>
        <w:autoSpaceDN w:val="0"/>
        <w:adjustRightInd w:val="0"/>
        <w:rPr>
          <w:rFonts w:cs="Times New Roman"/>
          <w:i/>
          <w:szCs w:val="24"/>
        </w:rPr>
      </w:pPr>
    </w:p>
    <w:p w14:paraId="5FA0A8D0" w14:textId="33D96D0F" w:rsidR="007A0F8E" w:rsidRDefault="00552FCC" w:rsidP="007A0F8E">
      <w:pPr>
        <w:pStyle w:val="ListParagraph"/>
        <w:numPr>
          <w:ilvl w:val="0"/>
          <w:numId w:val="1"/>
        </w:numPr>
        <w:autoSpaceDE w:val="0"/>
        <w:autoSpaceDN w:val="0"/>
        <w:adjustRightInd w:val="0"/>
        <w:ind w:hanging="720"/>
        <w:rPr>
          <w:rFonts w:cs="Times New Roman"/>
          <w:szCs w:val="24"/>
        </w:rPr>
      </w:pPr>
      <w:r>
        <w:rPr>
          <w:rFonts w:cs="Times New Roman"/>
          <w:szCs w:val="24"/>
        </w:rPr>
        <w:t xml:space="preserve">The respective positions of the parties on Dr Sheehan’s claim pursuant to section 17(2) of the 1961 Act can be stated relatively briefly. According to Dr Sheehan, </w:t>
      </w:r>
      <w:r w:rsidR="001E227E">
        <w:rPr>
          <w:rFonts w:cs="Times New Roman"/>
          <w:szCs w:val="24"/>
        </w:rPr>
        <w:t xml:space="preserve">the IBRC Settlement Agreement expressly provided that the payment of €1.7 million by IBRC to JCS was made in settlement of Talos’ claim for the recovery of the </w:t>
      </w:r>
      <w:r w:rsidR="008D4D9E">
        <w:rPr>
          <w:rFonts w:cs="Times New Roman"/>
          <w:szCs w:val="24"/>
        </w:rPr>
        <w:t>D</w:t>
      </w:r>
      <w:r w:rsidR="001E227E">
        <w:rPr>
          <w:rFonts w:cs="Times New Roman"/>
          <w:szCs w:val="24"/>
        </w:rPr>
        <w:t>eposit. The Judge had wrongly “</w:t>
      </w:r>
      <w:r w:rsidR="001E227E" w:rsidRPr="001E227E">
        <w:rPr>
          <w:rFonts w:cs="Times New Roman"/>
          <w:i/>
          <w:szCs w:val="24"/>
        </w:rPr>
        <w:t>traduced</w:t>
      </w:r>
      <w:r w:rsidR="001E227E">
        <w:rPr>
          <w:rFonts w:cs="Times New Roman"/>
          <w:szCs w:val="24"/>
        </w:rPr>
        <w:t>” Talos’ claim</w:t>
      </w:r>
      <w:r w:rsidR="005B69AE" w:rsidRPr="001E227E">
        <w:rPr>
          <w:rFonts w:cs="Times New Roman"/>
          <w:szCs w:val="24"/>
        </w:rPr>
        <w:t xml:space="preserve"> </w:t>
      </w:r>
      <w:r w:rsidR="001E227E">
        <w:rPr>
          <w:rFonts w:cs="Times New Roman"/>
          <w:szCs w:val="24"/>
        </w:rPr>
        <w:t xml:space="preserve">and failed to recognise the connection between that claim and the compromise of the claim made in the IBRC Settlement Agreement. The suggestion that the claim for which the payment was made was the </w:t>
      </w:r>
      <w:r w:rsidR="001E227E" w:rsidRPr="001E227E">
        <w:rPr>
          <w:rFonts w:cs="Times New Roman"/>
          <w:szCs w:val="24"/>
        </w:rPr>
        <w:t xml:space="preserve">claim </w:t>
      </w:r>
      <w:r w:rsidR="001E227E">
        <w:rPr>
          <w:rFonts w:cs="Times New Roman"/>
          <w:szCs w:val="24"/>
        </w:rPr>
        <w:t xml:space="preserve">of JCS, rather than the claim of Talos, </w:t>
      </w:r>
      <w:r w:rsidR="001E227E" w:rsidRPr="001E227E">
        <w:rPr>
          <w:rFonts w:cs="Times New Roman"/>
          <w:szCs w:val="24"/>
        </w:rPr>
        <w:t>was</w:t>
      </w:r>
      <w:r w:rsidR="001E227E" w:rsidRPr="001E227E">
        <w:rPr>
          <w:rFonts w:cs="Times New Roman"/>
          <w:i/>
          <w:szCs w:val="24"/>
        </w:rPr>
        <w:t xml:space="preserve"> “merely an argument of convenience”</w:t>
      </w:r>
      <w:r w:rsidR="001E227E">
        <w:rPr>
          <w:rFonts w:cs="Times New Roman"/>
          <w:szCs w:val="24"/>
        </w:rPr>
        <w:t xml:space="preserve"> adopted by Mr Livingstone in his evidence. The Judge had failed to address the merits (or </w:t>
      </w:r>
      <w:r w:rsidR="001E227E">
        <w:rPr>
          <w:rFonts w:cs="Times New Roman"/>
          <w:szCs w:val="24"/>
        </w:rPr>
        <w:lastRenderedPageBreak/>
        <w:t>otherwise) of the JCS claim. The reality disclosed by the evidence was that Talos had asserted its entitlement to recover the</w:t>
      </w:r>
      <w:r w:rsidR="008D4D9E">
        <w:rPr>
          <w:rFonts w:cs="Times New Roman"/>
          <w:szCs w:val="24"/>
        </w:rPr>
        <w:t xml:space="preserve"> Deposit</w:t>
      </w:r>
      <w:r w:rsidR="001E227E">
        <w:rPr>
          <w:rFonts w:cs="Times New Roman"/>
          <w:szCs w:val="24"/>
        </w:rPr>
        <w:t xml:space="preserve"> from IBRC and had concurrently asserted its entitlement to recover the same </w:t>
      </w:r>
      <w:r w:rsidR="008D4D9E">
        <w:rPr>
          <w:rFonts w:cs="Times New Roman"/>
          <w:szCs w:val="24"/>
        </w:rPr>
        <w:t>Deposit</w:t>
      </w:r>
      <w:r w:rsidR="001E227E">
        <w:rPr>
          <w:rFonts w:cs="Times New Roman"/>
          <w:szCs w:val="24"/>
        </w:rPr>
        <w:t xml:space="preserve"> from Dr Sheehan (under the Guarantee) and </w:t>
      </w:r>
      <w:r w:rsidR="007A0F8E" w:rsidRPr="007A0F8E">
        <w:rPr>
          <w:rFonts w:cs="Times New Roman"/>
          <w:i/>
          <w:szCs w:val="24"/>
        </w:rPr>
        <w:t xml:space="preserve">“[a]ccordingly, IBRC and Dr Sheehan were </w:t>
      </w:r>
      <w:r w:rsidR="00300639">
        <w:rPr>
          <w:rFonts w:cs="Times New Roman"/>
          <w:i/>
          <w:szCs w:val="24"/>
        </w:rPr>
        <w:t>‘</w:t>
      </w:r>
      <w:r w:rsidR="007A0F8E" w:rsidRPr="007A0F8E">
        <w:rPr>
          <w:rFonts w:cs="Times New Roman"/>
          <w:i/>
          <w:szCs w:val="24"/>
        </w:rPr>
        <w:t>concurrent wrongdoers</w:t>
      </w:r>
      <w:r w:rsidR="00300639">
        <w:rPr>
          <w:rFonts w:cs="Times New Roman"/>
          <w:i/>
          <w:szCs w:val="24"/>
        </w:rPr>
        <w:t>’</w:t>
      </w:r>
      <w:r w:rsidR="007A0F8E">
        <w:rPr>
          <w:rFonts w:cs="Times New Roman"/>
          <w:szCs w:val="24"/>
        </w:rPr>
        <w:t>” within the meaning of Section 11(1) of the 1961 Act. It was not necessary that Talos’ claims against IBRC and Dr Sheehan should involve any  “</w:t>
      </w:r>
      <w:r w:rsidR="007A0F8E" w:rsidRPr="007A0F8E">
        <w:rPr>
          <w:rFonts w:cs="Times New Roman"/>
          <w:i/>
          <w:szCs w:val="24"/>
        </w:rPr>
        <w:t>common wrong</w:t>
      </w:r>
      <w:r w:rsidR="007A0F8E">
        <w:rPr>
          <w:rFonts w:cs="Times New Roman"/>
          <w:szCs w:val="24"/>
        </w:rPr>
        <w:t xml:space="preserve">” (the decision of the Supreme Court in </w:t>
      </w:r>
      <w:proofErr w:type="spellStart"/>
      <w:r w:rsidR="007A0F8E" w:rsidRPr="007A0F8E">
        <w:rPr>
          <w:rFonts w:cs="Times New Roman"/>
          <w:i/>
          <w:szCs w:val="24"/>
        </w:rPr>
        <w:t>Cafolla</w:t>
      </w:r>
      <w:proofErr w:type="spellEnd"/>
      <w:r w:rsidR="007A0F8E" w:rsidRPr="007A0F8E">
        <w:rPr>
          <w:rFonts w:cs="Times New Roman"/>
          <w:i/>
          <w:szCs w:val="24"/>
        </w:rPr>
        <w:t xml:space="preserve"> v O’ Reilly</w:t>
      </w:r>
      <w:r w:rsidR="007A0F8E">
        <w:rPr>
          <w:rFonts w:cs="Times New Roman"/>
          <w:szCs w:val="24"/>
        </w:rPr>
        <w:t xml:space="preserve"> [2017] IESC 17, [2017] 3 IR 209 being cited in support of that proposition); what was required was that IBRC and Dr Sheehan should have caused “</w:t>
      </w:r>
      <w:r w:rsidR="007A0F8E" w:rsidRPr="007A0F8E">
        <w:rPr>
          <w:rFonts w:cs="Times New Roman"/>
          <w:i/>
          <w:szCs w:val="24"/>
        </w:rPr>
        <w:t>the same damage</w:t>
      </w:r>
      <w:r w:rsidR="007A0F8E">
        <w:rPr>
          <w:rFonts w:cs="Times New Roman"/>
          <w:szCs w:val="24"/>
        </w:rPr>
        <w:t>”. Having regard to what was said by the High Court (</w:t>
      </w:r>
      <w:proofErr w:type="spellStart"/>
      <w:r w:rsidR="007A0F8E">
        <w:rPr>
          <w:rFonts w:cs="Times New Roman"/>
          <w:szCs w:val="24"/>
        </w:rPr>
        <w:t>Barn</w:t>
      </w:r>
      <w:r w:rsidR="00AD1312">
        <w:rPr>
          <w:rFonts w:cs="Times New Roman"/>
          <w:szCs w:val="24"/>
        </w:rPr>
        <w:t>i</w:t>
      </w:r>
      <w:r w:rsidR="007A0F8E">
        <w:rPr>
          <w:rFonts w:cs="Times New Roman"/>
          <w:szCs w:val="24"/>
        </w:rPr>
        <w:t>ville</w:t>
      </w:r>
      <w:proofErr w:type="spellEnd"/>
      <w:r w:rsidR="007A0F8E">
        <w:rPr>
          <w:rFonts w:cs="Times New Roman"/>
          <w:szCs w:val="24"/>
        </w:rPr>
        <w:t xml:space="preserve"> J) in </w:t>
      </w:r>
      <w:r w:rsidR="008A69F8">
        <w:rPr>
          <w:rFonts w:cs="Times New Roman"/>
          <w:i/>
          <w:szCs w:val="24"/>
        </w:rPr>
        <w:t>AIB</w:t>
      </w:r>
      <w:r w:rsidR="007A0F8E" w:rsidRPr="007A0F8E">
        <w:rPr>
          <w:rFonts w:cs="Times New Roman"/>
          <w:i/>
          <w:szCs w:val="24"/>
        </w:rPr>
        <w:t xml:space="preserve"> plc v O’Reilly</w:t>
      </w:r>
      <w:r w:rsidR="007A0F8E">
        <w:rPr>
          <w:rFonts w:cs="Times New Roman"/>
          <w:szCs w:val="24"/>
        </w:rPr>
        <w:t xml:space="preserve"> [2019] IEHC 151,</w:t>
      </w:r>
      <w:r w:rsidR="008A69F8" w:rsidRPr="008A69F8">
        <w:t xml:space="preserve"> </w:t>
      </w:r>
      <w:r w:rsidR="008A69F8" w:rsidRPr="008A69F8">
        <w:rPr>
          <w:rFonts w:cs="Times New Roman"/>
          <w:szCs w:val="24"/>
        </w:rPr>
        <w:t>[2019] 3 IR 722</w:t>
      </w:r>
      <w:r w:rsidR="008A69F8">
        <w:rPr>
          <w:rFonts w:cs="Times New Roman"/>
          <w:szCs w:val="24"/>
        </w:rPr>
        <w:t>,</w:t>
      </w:r>
      <w:r w:rsidR="007A0F8E">
        <w:rPr>
          <w:rFonts w:cs="Times New Roman"/>
          <w:szCs w:val="24"/>
        </w:rPr>
        <w:t xml:space="preserve"> the claims against IBRC and Dr Sheehan “</w:t>
      </w:r>
      <w:r w:rsidR="007A0F8E" w:rsidRPr="007A0F8E">
        <w:rPr>
          <w:rFonts w:cs="Times New Roman"/>
          <w:i/>
          <w:szCs w:val="24"/>
        </w:rPr>
        <w:t>related to precisely ‘the same damage’</w:t>
      </w:r>
      <w:r w:rsidR="007A0F8E">
        <w:rPr>
          <w:rFonts w:cs="Times New Roman"/>
          <w:szCs w:val="24"/>
        </w:rPr>
        <w:t>” and thus section 17 of the 1961 Act was applicable.</w:t>
      </w:r>
    </w:p>
    <w:p w14:paraId="31791366" w14:textId="77777777" w:rsidR="007A0F8E" w:rsidRDefault="007A0F8E" w:rsidP="007A0F8E">
      <w:pPr>
        <w:pStyle w:val="ListParagraph"/>
        <w:autoSpaceDE w:val="0"/>
        <w:autoSpaceDN w:val="0"/>
        <w:adjustRightInd w:val="0"/>
        <w:rPr>
          <w:rFonts w:cs="Times New Roman"/>
          <w:szCs w:val="24"/>
        </w:rPr>
      </w:pPr>
    </w:p>
    <w:p w14:paraId="0CE9EFBF" w14:textId="3739B9C8" w:rsidR="008638A9" w:rsidRDefault="007A0F8E" w:rsidP="008638A9">
      <w:pPr>
        <w:pStyle w:val="ListParagraph"/>
        <w:numPr>
          <w:ilvl w:val="0"/>
          <w:numId w:val="1"/>
        </w:numPr>
        <w:autoSpaceDE w:val="0"/>
        <w:autoSpaceDN w:val="0"/>
        <w:adjustRightInd w:val="0"/>
        <w:ind w:hanging="720"/>
        <w:rPr>
          <w:rFonts w:cs="Times New Roman"/>
          <w:szCs w:val="24"/>
        </w:rPr>
      </w:pPr>
      <w:r>
        <w:rPr>
          <w:rFonts w:cs="Times New Roman"/>
          <w:szCs w:val="24"/>
        </w:rPr>
        <w:t xml:space="preserve">In response, Talos contended that it was not the claimant or injured party </w:t>
      </w:r>
      <w:r w:rsidRPr="007A0F8E">
        <w:rPr>
          <w:rFonts w:cs="Times New Roman"/>
          <w:i/>
          <w:szCs w:val="24"/>
        </w:rPr>
        <w:t>vis a vis</w:t>
      </w:r>
      <w:r>
        <w:rPr>
          <w:rFonts w:cs="Times New Roman"/>
          <w:szCs w:val="24"/>
        </w:rPr>
        <w:t xml:space="preserve"> IBRC. </w:t>
      </w:r>
      <w:r w:rsidR="008638A9">
        <w:rPr>
          <w:rFonts w:cs="Times New Roman"/>
          <w:szCs w:val="24"/>
        </w:rPr>
        <w:t>It emphasised the following “</w:t>
      </w:r>
      <w:r w:rsidR="008638A9" w:rsidRPr="008638A9">
        <w:rPr>
          <w:rFonts w:cs="Times New Roman"/>
          <w:i/>
          <w:szCs w:val="24"/>
        </w:rPr>
        <w:t>key facts</w:t>
      </w:r>
      <w:r w:rsidR="008638A9">
        <w:rPr>
          <w:rFonts w:cs="Times New Roman"/>
          <w:szCs w:val="24"/>
        </w:rPr>
        <w:t>”: (</w:t>
      </w:r>
      <w:proofErr w:type="spellStart"/>
      <w:r w:rsidR="008638A9">
        <w:rPr>
          <w:rFonts w:cs="Times New Roman"/>
          <w:szCs w:val="24"/>
        </w:rPr>
        <w:t>i</w:t>
      </w:r>
      <w:proofErr w:type="spellEnd"/>
      <w:r w:rsidR="008638A9">
        <w:rPr>
          <w:rFonts w:cs="Times New Roman"/>
          <w:szCs w:val="24"/>
        </w:rPr>
        <w:t xml:space="preserve">) the </w:t>
      </w:r>
      <w:r w:rsidR="008D4D9E">
        <w:rPr>
          <w:rFonts w:cs="Times New Roman"/>
          <w:szCs w:val="24"/>
        </w:rPr>
        <w:t>Deposit</w:t>
      </w:r>
      <w:r w:rsidR="008638A9">
        <w:rPr>
          <w:rFonts w:cs="Times New Roman"/>
          <w:szCs w:val="24"/>
        </w:rPr>
        <w:t xml:space="preserve"> monies were paid to IBRC by JCS; (ii) as payer of the </w:t>
      </w:r>
      <w:r w:rsidR="008D4D9E">
        <w:rPr>
          <w:rFonts w:cs="Times New Roman"/>
          <w:szCs w:val="24"/>
        </w:rPr>
        <w:t>Deposit</w:t>
      </w:r>
      <w:r w:rsidR="00F7482F">
        <w:rPr>
          <w:rFonts w:cs="Times New Roman"/>
          <w:szCs w:val="24"/>
        </w:rPr>
        <w:t>,</w:t>
      </w:r>
      <w:r w:rsidR="008638A9">
        <w:rPr>
          <w:rFonts w:cs="Times New Roman"/>
          <w:szCs w:val="24"/>
        </w:rPr>
        <w:t xml:space="preserve"> JCS was </w:t>
      </w:r>
      <w:r w:rsidR="008A69F8">
        <w:rPr>
          <w:rFonts w:cs="Times New Roman"/>
          <w:szCs w:val="24"/>
        </w:rPr>
        <w:t xml:space="preserve">the </w:t>
      </w:r>
      <w:r w:rsidR="008638A9">
        <w:rPr>
          <w:rFonts w:cs="Times New Roman"/>
          <w:szCs w:val="24"/>
        </w:rPr>
        <w:t>only party entitled to recoup it; (iii) Dr Sheehan’s own legal advisors had accepted that any claim against IBRC, such as it was, lay with JCS and (iv) J</w:t>
      </w:r>
      <w:r w:rsidR="00F7482F">
        <w:rPr>
          <w:rFonts w:cs="Times New Roman"/>
          <w:szCs w:val="24"/>
        </w:rPr>
        <w:t>CS</w:t>
      </w:r>
      <w:r w:rsidR="008638A9">
        <w:rPr>
          <w:rFonts w:cs="Times New Roman"/>
          <w:szCs w:val="24"/>
        </w:rPr>
        <w:t xml:space="preserve"> had sought and obtained independent legal advice as to the merits of such a claim. Reliance was also placed on the evidence of Mr Wallace to the effect that the Special Liquidators</w:t>
      </w:r>
      <w:r w:rsidR="008638A9" w:rsidRPr="008638A9">
        <w:rPr>
          <w:rFonts w:cs="Times New Roman"/>
          <w:i/>
          <w:szCs w:val="24"/>
        </w:rPr>
        <w:t xml:space="preserve"> “were always very clear that the only party we could deal with, we could contract with, we could settle with was JCS</w:t>
      </w:r>
      <w:r w:rsidR="008638A9">
        <w:rPr>
          <w:rFonts w:cs="Times New Roman"/>
          <w:szCs w:val="24"/>
        </w:rPr>
        <w:t xml:space="preserve">” and that while a number of other parties had been included in the IBRC Settlement Agreement </w:t>
      </w:r>
      <w:r w:rsidR="008638A9" w:rsidRPr="00AC05C4">
        <w:rPr>
          <w:rFonts w:cs="Times New Roman"/>
          <w:i/>
          <w:szCs w:val="24"/>
        </w:rPr>
        <w:t>“on a waiver basis</w:t>
      </w:r>
      <w:r w:rsidR="008638A9">
        <w:rPr>
          <w:rFonts w:cs="Times New Roman"/>
          <w:szCs w:val="24"/>
        </w:rPr>
        <w:t>”, “</w:t>
      </w:r>
      <w:r w:rsidR="008638A9" w:rsidRPr="008638A9">
        <w:rPr>
          <w:rFonts w:cs="Times New Roman"/>
          <w:i/>
          <w:szCs w:val="24"/>
        </w:rPr>
        <w:t>payment had to go to JCS.”</w:t>
      </w:r>
      <w:r w:rsidR="008638A9">
        <w:rPr>
          <w:rFonts w:cs="Times New Roman"/>
          <w:i/>
          <w:szCs w:val="24"/>
        </w:rPr>
        <w:t xml:space="preserve"> </w:t>
      </w:r>
      <w:r w:rsidR="00AD1312">
        <w:rPr>
          <w:rFonts w:cs="Times New Roman"/>
          <w:szCs w:val="24"/>
        </w:rPr>
        <w:t>That evidence, Mr Dunleavy suggested, was “</w:t>
      </w:r>
      <w:r w:rsidR="00AD1312" w:rsidRPr="00AD1312">
        <w:rPr>
          <w:rFonts w:cs="Times New Roman"/>
          <w:i/>
          <w:szCs w:val="24"/>
        </w:rPr>
        <w:t>definitive</w:t>
      </w:r>
      <w:r w:rsidR="00AD1312">
        <w:rPr>
          <w:rFonts w:cs="Times New Roman"/>
          <w:szCs w:val="24"/>
        </w:rPr>
        <w:t>”</w:t>
      </w:r>
      <w:r w:rsidR="008A69F8">
        <w:rPr>
          <w:rFonts w:cs="Times New Roman"/>
          <w:szCs w:val="24"/>
        </w:rPr>
        <w:t>.</w:t>
      </w:r>
      <w:r w:rsidR="00AD1312">
        <w:rPr>
          <w:rFonts w:cs="Times New Roman"/>
          <w:szCs w:val="24"/>
        </w:rPr>
        <w:t xml:space="preserve"> </w:t>
      </w:r>
      <w:r w:rsidR="008638A9">
        <w:rPr>
          <w:rFonts w:cs="Times New Roman"/>
          <w:szCs w:val="24"/>
        </w:rPr>
        <w:t xml:space="preserve">The fact that the correspondence and engagement leading to the </w:t>
      </w:r>
      <w:r w:rsidR="008638A9">
        <w:rPr>
          <w:rFonts w:cs="Times New Roman"/>
          <w:szCs w:val="24"/>
        </w:rPr>
        <w:lastRenderedPageBreak/>
        <w:t>settlement was conducted by Talos and/or its legal advisors</w:t>
      </w:r>
      <w:r w:rsidR="008A69F8">
        <w:rPr>
          <w:rFonts w:cs="Times New Roman"/>
          <w:szCs w:val="24"/>
        </w:rPr>
        <w:t>,</w:t>
      </w:r>
      <w:r w:rsidR="008638A9">
        <w:rPr>
          <w:rFonts w:cs="Times New Roman"/>
          <w:szCs w:val="24"/>
        </w:rPr>
        <w:t xml:space="preserve"> Clifford Chance</w:t>
      </w:r>
      <w:r w:rsidR="008A69F8">
        <w:rPr>
          <w:rFonts w:cs="Times New Roman"/>
          <w:szCs w:val="24"/>
        </w:rPr>
        <w:t>,</w:t>
      </w:r>
      <w:r w:rsidR="008638A9">
        <w:rPr>
          <w:rFonts w:cs="Times New Roman"/>
          <w:szCs w:val="24"/>
        </w:rPr>
        <w:t xml:space="preserve"> did not </w:t>
      </w:r>
      <w:r w:rsidR="008F1BC4">
        <w:rPr>
          <w:rFonts w:cs="Times New Roman"/>
          <w:szCs w:val="24"/>
        </w:rPr>
        <w:t>al</w:t>
      </w:r>
      <w:r w:rsidR="008638A9">
        <w:rPr>
          <w:rFonts w:cs="Times New Roman"/>
          <w:szCs w:val="24"/>
        </w:rPr>
        <w:t>ter the legal position of JCS as the putative injured party.</w:t>
      </w:r>
      <w:r w:rsidR="00AD1312">
        <w:rPr>
          <w:rFonts w:cs="Times New Roman"/>
          <w:szCs w:val="24"/>
        </w:rPr>
        <w:t xml:space="preserve"> </w:t>
      </w:r>
    </w:p>
    <w:p w14:paraId="059F3500" w14:textId="77777777" w:rsidR="00AD1312" w:rsidRDefault="00AD1312" w:rsidP="00AD1312">
      <w:pPr>
        <w:pStyle w:val="ListParagraph"/>
        <w:autoSpaceDE w:val="0"/>
        <w:autoSpaceDN w:val="0"/>
        <w:adjustRightInd w:val="0"/>
        <w:rPr>
          <w:rFonts w:cs="Times New Roman"/>
          <w:szCs w:val="24"/>
        </w:rPr>
      </w:pPr>
    </w:p>
    <w:p w14:paraId="47C106D5" w14:textId="3AAD0AF7" w:rsidR="00AD1312" w:rsidRDefault="00AD1312" w:rsidP="008638A9">
      <w:pPr>
        <w:pStyle w:val="ListParagraph"/>
        <w:numPr>
          <w:ilvl w:val="0"/>
          <w:numId w:val="1"/>
        </w:numPr>
        <w:autoSpaceDE w:val="0"/>
        <w:autoSpaceDN w:val="0"/>
        <w:adjustRightInd w:val="0"/>
        <w:ind w:hanging="720"/>
        <w:rPr>
          <w:rFonts w:cs="Times New Roman"/>
          <w:szCs w:val="24"/>
        </w:rPr>
      </w:pPr>
      <w:r>
        <w:rPr>
          <w:rFonts w:cs="Times New Roman"/>
          <w:szCs w:val="24"/>
        </w:rPr>
        <w:t xml:space="preserve">That was, </w:t>
      </w:r>
      <w:r w:rsidR="005F6CC0">
        <w:rPr>
          <w:rFonts w:cs="Times New Roman"/>
          <w:szCs w:val="24"/>
        </w:rPr>
        <w:t xml:space="preserve">so </w:t>
      </w:r>
      <w:r>
        <w:rPr>
          <w:rFonts w:cs="Times New Roman"/>
          <w:szCs w:val="24"/>
        </w:rPr>
        <w:t>Mr Dunleavy submitted, “</w:t>
      </w:r>
      <w:r w:rsidRPr="00AD1312">
        <w:rPr>
          <w:rFonts w:cs="Times New Roman"/>
          <w:i/>
          <w:szCs w:val="24"/>
        </w:rPr>
        <w:t>the beginning and the end of the matter</w:t>
      </w:r>
      <w:r>
        <w:rPr>
          <w:rFonts w:cs="Times New Roman"/>
          <w:szCs w:val="24"/>
        </w:rPr>
        <w:t>”. Once the Judge was satisfied that there were two different injured parties, it was not necessary for him to go on to analyse whether it was “</w:t>
      </w:r>
      <w:r w:rsidRPr="00AD1312">
        <w:rPr>
          <w:rFonts w:cs="Times New Roman"/>
          <w:i/>
          <w:szCs w:val="24"/>
        </w:rPr>
        <w:t>the same damage”.</w:t>
      </w:r>
      <w:r>
        <w:rPr>
          <w:rFonts w:cs="Times New Roman"/>
          <w:szCs w:val="24"/>
        </w:rPr>
        <w:t xml:space="preserve"> While that issue was addressed in Talos’ written submissions – it being </w:t>
      </w:r>
      <w:r w:rsidR="005F6CC0">
        <w:rPr>
          <w:rFonts w:cs="Times New Roman"/>
          <w:szCs w:val="24"/>
        </w:rPr>
        <w:t>said there</w:t>
      </w:r>
      <w:r>
        <w:rPr>
          <w:rFonts w:cs="Times New Roman"/>
          <w:szCs w:val="24"/>
        </w:rPr>
        <w:t xml:space="preserve"> that the damage was </w:t>
      </w:r>
      <w:r w:rsidRPr="005F6CC0">
        <w:rPr>
          <w:rFonts w:cs="Times New Roman"/>
          <w:i/>
          <w:szCs w:val="24"/>
        </w:rPr>
        <w:t>not</w:t>
      </w:r>
      <w:r>
        <w:rPr>
          <w:rFonts w:cs="Times New Roman"/>
          <w:szCs w:val="24"/>
        </w:rPr>
        <w:t xml:space="preserve"> the same damage  - that point was not pressed at the hearing and, in any event, I note that the Respondent’s Notice filed by Talos did not invite the Court to affirm the Judgment on any additional grounds. The key issue on appea</w:t>
      </w:r>
      <w:r w:rsidR="006C3430">
        <w:rPr>
          <w:rFonts w:cs="Times New Roman"/>
          <w:szCs w:val="24"/>
        </w:rPr>
        <w:t>l, therefore,</w:t>
      </w:r>
      <w:r>
        <w:rPr>
          <w:rFonts w:cs="Times New Roman"/>
          <w:szCs w:val="24"/>
        </w:rPr>
        <w:t xml:space="preserve"> is whether the Judge was correct in the conclusion he reached that section 17(2) did not apply because </w:t>
      </w:r>
      <w:r w:rsidR="006C3430">
        <w:rPr>
          <w:rFonts w:cs="Times New Roman"/>
          <w:szCs w:val="24"/>
        </w:rPr>
        <w:t xml:space="preserve">for the purposes of the 1961 Act </w:t>
      </w:r>
      <w:r>
        <w:rPr>
          <w:rFonts w:cs="Times New Roman"/>
          <w:szCs w:val="24"/>
        </w:rPr>
        <w:t xml:space="preserve">the </w:t>
      </w:r>
      <w:r w:rsidR="00303B5A">
        <w:rPr>
          <w:rFonts w:cs="Times New Roman"/>
          <w:szCs w:val="24"/>
        </w:rPr>
        <w:t>injured parties were different.</w:t>
      </w:r>
      <w:r>
        <w:rPr>
          <w:rFonts w:cs="Times New Roman"/>
          <w:szCs w:val="24"/>
        </w:rPr>
        <w:t xml:space="preserve"> </w:t>
      </w:r>
    </w:p>
    <w:p w14:paraId="685E3555" w14:textId="0130DB65" w:rsidR="00733469" w:rsidRPr="00733469" w:rsidRDefault="00733469" w:rsidP="00733469">
      <w:pPr>
        <w:pStyle w:val="ListParagraph"/>
        <w:autoSpaceDE w:val="0"/>
        <w:autoSpaceDN w:val="0"/>
        <w:adjustRightInd w:val="0"/>
        <w:rPr>
          <w:rFonts w:cs="Times New Roman"/>
          <w:i/>
          <w:szCs w:val="24"/>
        </w:rPr>
      </w:pPr>
    </w:p>
    <w:p w14:paraId="4A5D592E" w14:textId="30020726" w:rsidR="00733469" w:rsidRDefault="00733469" w:rsidP="00733469">
      <w:pPr>
        <w:pStyle w:val="ListParagraph"/>
        <w:autoSpaceDE w:val="0"/>
        <w:autoSpaceDN w:val="0"/>
        <w:adjustRightInd w:val="0"/>
        <w:rPr>
          <w:rFonts w:cs="Times New Roman"/>
          <w:i/>
          <w:szCs w:val="24"/>
        </w:rPr>
      </w:pPr>
      <w:r>
        <w:rPr>
          <w:rFonts w:cs="Times New Roman"/>
          <w:i/>
          <w:szCs w:val="24"/>
        </w:rPr>
        <w:tab/>
      </w:r>
      <w:r w:rsidRPr="00733469">
        <w:rPr>
          <w:rFonts w:cs="Times New Roman"/>
          <w:i/>
          <w:szCs w:val="24"/>
        </w:rPr>
        <w:t>Discussion and Conclusions</w:t>
      </w:r>
    </w:p>
    <w:p w14:paraId="58D913DF" w14:textId="1ADC2E67" w:rsidR="00733469" w:rsidRDefault="00733469" w:rsidP="00733469">
      <w:pPr>
        <w:pStyle w:val="ListParagraph"/>
        <w:autoSpaceDE w:val="0"/>
        <w:autoSpaceDN w:val="0"/>
        <w:adjustRightInd w:val="0"/>
        <w:rPr>
          <w:rFonts w:cs="Times New Roman"/>
          <w:i/>
          <w:szCs w:val="24"/>
        </w:rPr>
      </w:pPr>
    </w:p>
    <w:p w14:paraId="0BECD779" w14:textId="3C99059F" w:rsidR="00733469" w:rsidRDefault="00733469" w:rsidP="00733469">
      <w:pPr>
        <w:pStyle w:val="ListParagraph"/>
        <w:numPr>
          <w:ilvl w:val="0"/>
          <w:numId w:val="1"/>
        </w:numPr>
        <w:autoSpaceDE w:val="0"/>
        <w:autoSpaceDN w:val="0"/>
        <w:adjustRightInd w:val="0"/>
        <w:ind w:hanging="720"/>
        <w:rPr>
          <w:rFonts w:cs="Times New Roman"/>
          <w:szCs w:val="24"/>
        </w:rPr>
      </w:pPr>
      <w:r>
        <w:rPr>
          <w:rFonts w:cs="Times New Roman"/>
          <w:szCs w:val="24"/>
        </w:rPr>
        <w:t xml:space="preserve">This aspect of the appeal presents a net question that does not permit of elaborate </w:t>
      </w:r>
      <w:r w:rsidR="00395EAD">
        <w:rPr>
          <w:rFonts w:cs="Times New Roman"/>
          <w:szCs w:val="24"/>
        </w:rPr>
        <w:t xml:space="preserve">or extended </w:t>
      </w:r>
      <w:r>
        <w:rPr>
          <w:rFonts w:cs="Times New Roman"/>
          <w:szCs w:val="24"/>
        </w:rPr>
        <w:t>analysis.</w:t>
      </w:r>
    </w:p>
    <w:p w14:paraId="0CF0DEBB" w14:textId="77777777" w:rsidR="00733469" w:rsidRDefault="00733469" w:rsidP="00733469">
      <w:pPr>
        <w:pStyle w:val="ListParagraph"/>
        <w:autoSpaceDE w:val="0"/>
        <w:autoSpaceDN w:val="0"/>
        <w:adjustRightInd w:val="0"/>
        <w:rPr>
          <w:rFonts w:cs="Times New Roman"/>
          <w:szCs w:val="24"/>
        </w:rPr>
      </w:pPr>
    </w:p>
    <w:p w14:paraId="03368B6A" w14:textId="5DF156D8" w:rsidR="00733469" w:rsidRPr="00733469" w:rsidRDefault="00733469" w:rsidP="00733469">
      <w:pPr>
        <w:pStyle w:val="ListParagraph"/>
        <w:numPr>
          <w:ilvl w:val="0"/>
          <w:numId w:val="1"/>
        </w:numPr>
        <w:autoSpaceDE w:val="0"/>
        <w:autoSpaceDN w:val="0"/>
        <w:adjustRightInd w:val="0"/>
        <w:ind w:hanging="720"/>
        <w:rPr>
          <w:rFonts w:cs="Times New Roman"/>
          <w:szCs w:val="24"/>
        </w:rPr>
      </w:pPr>
      <w:r>
        <w:t>Section 11 of the 1961 Act provides that:</w:t>
      </w:r>
    </w:p>
    <w:p w14:paraId="0E9D8718" w14:textId="77777777" w:rsidR="00733469" w:rsidRPr="00733469" w:rsidRDefault="00733469" w:rsidP="00733469">
      <w:pPr>
        <w:pStyle w:val="ListParagraph"/>
        <w:autoSpaceDE w:val="0"/>
        <w:autoSpaceDN w:val="0"/>
        <w:adjustRightInd w:val="0"/>
        <w:rPr>
          <w:rFonts w:cs="Times New Roman"/>
          <w:szCs w:val="24"/>
        </w:rPr>
      </w:pPr>
    </w:p>
    <w:p w14:paraId="39FC2E93" w14:textId="77777777" w:rsidR="00733469" w:rsidRDefault="00733469" w:rsidP="00733469">
      <w:pPr>
        <w:ind w:left="1418"/>
        <w:rPr>
          <w:i/>
        </w:rPr>
      </w:pPr>
      <w:r w:rsidRPr="00733469">
        <w:rPr>
          <w:i/>
        </w:rPr>
        <w:t xml:space="preserve">“(1) For the purpose of this Part, two or more persons are concurrent wrongdoers when both or all are wrongdoers and are responsible to a third person (in this Part called the injured person or the plaintiff) for the same </w:t>
      </w:r>
      <w:r w:rsidRPr="00733469">
        <w:rPr>
          <w:i/>
        </w:rPr>
        <w:lastRenderedPageBreak/>
        <w:t xml:space="preserve">damage, whether or not judgment has been recovered against some or all of them. </w:t>
      </w:r>
    </w:p>
    <w:p w14:paraId="2772017D" w14:textId="77777777" w:rsidR="00733469" w:rsidRDefault="00733469" w:rsidP="00733469">
      <w:pPr>
        <w:ind w:left="1418"/>
        <w:rPr>
          <w:i/>
        </w:rPr>
      </w:pPr>
    </w:p>
    <w:p w14:paraId="31AC1EA7" w14:textId="1A937EBE" w:rsidR="00733469" w:rsidRPr="00733469" w:rsidRDefault="00733469" w:rsidP="00733469">
      <w:pPr>
        <w:ind w:left="1418"/>
        <w:rPr>
          <w:i/>
        </w:rPr>
      </w:pPr>
      <w:r w:rsidRPr="00733469">
        <w:rPr>
          <w:i/>
        </w:rPr>
        <w:t>(2) Without prejudice to the generality of subsection (1) of this section  –</w:t>
      </w:r>
    </w:p>
    <w:p w14:paraId="3320CA54" w14:textId="580CBD7E" w:rsidR="00733469" w:rsidRPr="00733469" w:rsidRDefault="00733469" w:rsidP="00733469">
      <w:pPr>
        <w:ind w:left="1418"/>
        <w:rPr>
          <w:i/>
        </w:rPr>
      </w:pPr>
      <w:r w:rsidRPr="00733469">
        <w:rPr>
          <w:i/>
        </w:rPr>
        <w:t xml:space="preserve">(a) persons may become concurrent wrongdoers as a result of vicarious liability of one for another, breach of joint duty, conspiracy, concerted action to a common end or independent acts causing the same damage; </w:t>
      </w:r>
    </w:p>
    <w:p w14:paraId="0BFED44E" w14:textId="77777777" w:rsidR="00733469" w:rsidRPr="00733469" w:rsidRDefault="00733469" w:rsidP="00733469">
      <w:pPr>
        <w:ind w:left="1418"/>
        <w:rPr>
          <w:i/>
        </w:rPr>
      </w:pPr>
      <w:r w:rsidRPr="00733469">
        <w:rPr>
          <w:i/>
        </w:rPr>
        <w:t>(b) the wrong on the part of one or both may be a tort, breach of contract or breach of trust, or any combination of them;</w:t>
      </w:r>
    </w:p>
    <w:p w14:paraId="4A237B5E" w14:textId="1B30FBC1" w:rsidR="00733469" w:rsidRDefault="00733469" w:rsidP="00733469">
      <w:pPr>
        <w:ind w:left="1418"/>
        <w:rPr>
          <w:i/>
        </w:rPr>
      </w:pPr>
      <w:r w:rsidRPr="00733469">
        <w:rPr>
          <w:i/>
        </w:rPr>
        <w:t>(c) it is immaterial whether the acts constituting concurrent wrongs are contemporaneous or successive.”</w:t>
      </w:r>
    </w:p>
    <w:p w14:paraId="4136DACD" w14:textId="77777777" w:rsidR="00733469" w:rsidRDefault="00733469" w:rsidP="00733469">
      <w:pPr>
        <w:ind w:left="1418"/>
        <w:rPr>
          <w:i/>
        </w:rPr>
      </w:pPr>
    </w:p>
    <w:p w14:paraId="382D4A40" w14:textId="5579880A" w:rsidR="00733469" w:rsidRDefault="00733469" w:rsidP="00733469">
      <w:pPr>
        <w:pStyle w:val="ListParagraph"/>
        <w:numPr>
          <w:ilvl w:val="0"/>
          <w:numId w:val="1"/>
        </w:numPr>
        <w:ind w:hanging="720"/>
      </w:pPr>
      <w:r>
        <w:t>Section 17(1) and (2) provide:</w:t>
      </w:r>
    </w:p>
    <w:p w14:paraId="426368FD" w14:textId="77777777" w:rsidR="00733469" w:rsidRDefault="00733469" w:rsidP="00733469">
      <w:pPr>
        <w:pStyle w:val="ListParagraph"/>
      </w:pPr>
    </w:p>
    <w:p w14:paraId="213F94A7" w14:textId="3264DB53" w:rsidR="00733469" w:rsidRPr="00733469" w:rsidRDefault="00733469" w:rsidP="00733469">
      <w:pPr>
        <w:pStyle w:val="ListParagraph"/>
        <w:ind w:left="1418"/>
        <w:rPr>
          <w:i/>
        </w:rPr>
      </w:pPr>
      <w:r w:rsidRPr="00733469">
        <w:rPr>
          <w:i/>
        </w:rPr>
        <w:t>“(1) The release of</w:t>
      </w:r>
      <w:r w:rsidR="00A05817">
        <w:rPr>
          <w:i/>
        </w:rPr>
        <w:t>,</w:t>
      </w:r>
      <w:r w:rsidRPr="00733469">
        <w:rPr>
          <w:i/>
        </w:rPr>
        <w:t xml:space="preserve"> or accord with, one concurrent wrongdoer shall discharge the others if such release </w:t>
      </w:r>
      <w:r w:rsidR="00705EC8">
        <w:rPr>
          <w:i/>
        </w:rPr>
        <w:t>or accord</w:t>
      </w:r>
      <w:r w:rsidRPr="00733469">
        <w:rPr>
          <w:i/>
        </w:rPr>
        <w:t xml:space="preserve"> indicates an intention that the others are to be discharged.</w:t>
      </w:r>
    </w:p>
    <w:p w14:paraId="6E039AE5" w14:textId="77777777" w:rsidR="00733469" w:rsidRPr="00733469" w:rsidRDefault="00733469" w:rsidP="00733469">
      <w:pPr>
        <w:pStyle w:val="ListParagraph"/>
        <w:ind w:left="1418"/>
        <w:rPr>
          <w:i/>
        </w:rPr>
      </w:pPr>
    </w:p>
    <w:p w14:paraId="1F368796" w14:textId="59887944" w:rsidR="00733469" w:rsidRDefault="00733469" w:rsidP="00733469">
      <w:pPr>
        <w:pStyle w:val="ListParagraph"/>
        <w:ind w:left="1418"/>
        <w:rPr>
          <w:i/>
        </w:rPr>
      </w:pPr>
      <w:r w:rsidRPr="00733469">
        <w:rPr>
          <w:i/>
        </w:rPr>
        <w:t xml:space="preserve">(2) If no such intention </w:t>
      </w:r>
      <w:r w:rsidR="00705EC8">
        <w:rPr>
          <w:i/>
        </w:rPr>
        <w:t>i</w:t>
      </w:r>
      <w:r w:rsidRPr="00733469">
        <w:rPr>
          <w:i/>
        </w:rPr>
        <w:t>s indicated by such release or accord, the other wrongdoers shall not be discharged but the injured person shall be identified with the person with whom the release a record is made in any action against the other wrongdoers in accordance with paragraph (</w:t>
      </w:r>
      <w:r>
        <w:rPr>
          <w:i/>
        </w:rPr>
        <w:t>h</w:t>
      </w:r>
      <w:r w:rsidRPr="00733469">
        <w:rPr>
          <w:i/>
        </w:rPr>
        <w:t>) of subsection (1) of section 35</w:t>
      </w:r>
      <w:r w:rsidR="00A05817">
        <w:rPr>
          <w:i/>
        </w:rPr>
        <w:t>;</w:t>
      </w:r>
      <w:r w:rsidRPr="00733469">
        <w:rPr>
          <w:i/>
        </w:rPr>
        <w:t xml:space="preserve"> and in any such action</w:t>
      </w:r>
      <w:r>
        <w:rPr>
          <w:i/>
        </w:rPr>
        <w:t xml:space="preserve"> t</w:t>
      </w:r>
      <w:r w:rsidRPr="00733469">
        <w:rPr>
          <w:i/>
        </w:rPr>
        <w:t xml:space="preserve">he claim against the other wrongdoers shall be reduced in the amount of the consideration paid for the release or accord, or </w:t>
      </w:r>
      <w:r w:rsidRPr="00733469">
        <w:rPr>
          <w:i/>
        </w:rPr>
        <w:lastRenderedPageBreak/>
        <w:t xml:space="preserve">in any amount by which the release </w:t>
      </w:r>
      <w:r w:rsidR="00A05817">
        <w:rPr>
          <w:i/>
        </w:rPr>
        <w:t>or ac</w:t>
      </w:r>
      <w:r w:rsidRPr="00733469">
        <w:rPr>
          <w:i/>
        </w:rPr>
        <w:t>cord provides that the total claim sh</w:t>
      </w:r>
      <w:r w:rsidR="00A05817">
        <w:rPr>
          <w:i/>
        </w:rPr>
        <w:t>all</w:t>
      </w:r>
      <w:r w:rsidRPr="00733469">
        <w:rPr>
          <w:i/>
        </w:rPr>
        <w:t xml:space="preserve"> be reduced, or to the extent that the wrongdoer with whom the release or </w:t>
      </w:r>
      <w:r w:rsidR="00A05817">
        <w:rPr>
          <w:i/>
        </w:rPr>
        <w:t>ac</w:t>
      </w:r>
      <w:r w:rsidRPr="00733469">
        <w:rPr>
          <w:i/>
        </w:rPr>
        <w:t>cord was made would have been liable to contribute if the plaintiff’s total claim had been paid by the other wrongdoers, whichever of those three amount</w:t>
      </w:r>
      <w:r w:rsidR="00A05817">
        <w:rPr>
          <w:i/>
        </w:rPr>
        <w:t>s</w:t>
      </w:r>
      <w:r w:rsidRPr="00733469">
        <w:rPr>
          <w:i/>
        </w:rPr>
        <w:t xml:space="preserve"> is the greatest.”</w:t>
      </w:r>
    </w:p>
    <w:p w14:paraId="3A1FC993" w14:textId="77777777" w:rsidR="00786244" w:rsidRPr="00733469" w:rsidRDefault="00786244" w:rsidP="00733469">
      <w:pPr>
        <w:pStyle w:val="ListParagraph"/>
        <w:ind w:left="1418"/>
        <w:rPr>
          <w:i/>
        </w:rPr>
      </w:pPr>
    </w:p>
    <w:p w14:paraId="20832EA3" w14:textId="43E6E42C" w:rsidR="003421BF" w:rsidRDefault="003421BF" w:rsidP="008638A9">
      <w:pPr>
        <w:pStyle w:val="ListParagraph"/>
        <w:numPr>
          <w:ilvl w:val="0"/>
          <w:numId w:val="1"/>
        </w:numPr>
        <w:autoSpaceDE w:val="0"/>
        <w:autoSpaceDN w:val="0"/>
        <w:adjustRightInd w:val="0"/>
        <w:ind w:hanging="720"/>
        <w:rPr>
          <w:rFonts w:cs="Times New Roman"/>
          <w:szCs w:val="24"/>
        </w:rPr>
      </w:pPr>
      <w:r>
        <w:rPr>
          <w:rFonts w:cs="Times New Roman"/>
          <w:szCs w:val="24"/>
        </w:rPr>
        <w:t>Section 35(1)(h) provides that, for the purpose of determining contributory negligence, “</w:t>
      </w:r>
      <w:r w:rsidRPr="003421BF">
        <w:rPr>
          <w:rFonts w:cs="Times New Roman"/>
          <w:i/>
          <w:szCs w:val="24"/>
        </w:rPr>
        <w:t>where the plaintiff’s damage was caused by concurrent wrongdoers and after the occurrence of the damage the liability of one of such wrongdoers is discharged by release or accord made with him by the plaintiff</w:t>
      </w:r>
      <w:r w:rsidR="009E783B">
        <w:rPr>
          <w:rFonts w:cs="Times New Roman"/>
          <w:i/>
          <w:szCs w:val="24"/>
        </w:rPr>
        <w:t>,</w:t>
      </w:r>
      <w:r w:rsidR="00A05817">
        <w:rPr>
          <w:rFonts w:cs="Times New Roman"/>
          <w:i/>
          <w:szCs w:val="24"/>
        </w:rPr>
        <w:t xml:space="preserve"> </w:t>
      </w:r>
      <w:r w:rsidRPr="003421BF">
        <w:rPr>
          <w:rFonts w:cs="Times New Roman"/>
          <w:i/>
          <w:szCs w:val="24"/>
        </w:rPr>
        <w:t>while the liability of the other wrongdoers remains, the plaintiff shall be</w:t>
      </w:r>
      <w:r w:rsidR="009E783B">
        <w:rPr>
          <w:rFonts w:cs="Times New Roman"/>
          <w:i/>
          <w:szCs w:val="24"/>
        </w:rPr>
        <w:t xml:space="preserve"> deemed</w:t>
      </w:r>
      <w:r w:rsidRPr="003421BF">
        <w:rPr>
          <w:rFonts w:cs="Times New Roman"/>
          <w:i/>
          <w:szCs w:val="24"/>
        </w:rPr>
        <w:t xml:space="preserve"> to be responsible for the acts of</w:t>
      </w:r>
      <w:r w:rsidR="00E11D53">
        <w:rPr>
          <w:rFonts w:cs="Times New Roman"/>
          <w:i/>
          <w:szCs w:val="24"/>
        </w:rPr>
        <w:t xml:space="preserve"> </w:t>
      </w:r>
      <w:r w:rsidR="00E11D53" w:rsidRPr="00E11D53">
        <w:rPr>
          <w:i/>
        </w:rPr>
        <w:t xml:space="preserve">the wrongdoer whose liability is so discharged” </w:t>
      </w:r>
      <w:r w:rsidRPr="00E11D53">
        <w:rPr>
          <w:rFonts w:cs="Times New Roman"/>
          <w:i/>
          <w:szCs w:val="24"/>
        </w:rPr>
        <w:t xml:space="preserve"> </w:t>
      </w:r>
    </w:p>
    <w:p w14:paraId="1A493146" w14:textId="77777777" w:rsidR="003421BF" w:rsidRDefault="003421BF" w:rsidP="003421BF">
      <w:pPr>
        <w:pStyle w:val="ListParagraph"/>
        <w:autoSpaceDE w:val="0"/>
        <w:autoSpaceDN w:val="0"/>
        <w:adjustRightInd w:val="0"/>
        <w:rPr>
          <w:rFonts w:cs="Times New Roman"/>
          <w:szCs w:val="24"/>
        </w:rPr>
      </w:pPr>
    </w:p>
    <w:p w14:paraId="532FFE4E" w14:textId="61C07189" w:rsidR="00303B5A" w:rsidRDefault="00733469" w:rsidP="008638A9">
      <w:pPr>
        <w:pStyle w:val="ListParagraph"/>
        <w:numPr>
          <w:ilvl w:val="0"/>
          <w:numId w:val="1"/>
        </w:numPr>
        <w:autoSpaceDE w:val="0"/>
        <w:autoSpaceDN w:val="0"/>
        <w:adjustRightInd w:val="0"/>
        <w:ind w:hanging="720"/>
        <w:rPr>
          <w:rFonts w:cs="Times New Roman"/>
          <w:szCs w:val="24"/>
        </w:rPr>
      </w:pPr>
      <w:r>
        <w:rPr>
          <w:rFonts w:cs="Times New Roman"/>
          <w:szCs w:val="24"/>
        </w:rPr>
        <w:t>Reference should also be made to section 16 of the 1961 Act (</w:t>
      </w:r>
      <w:r w:rsidRPr="00733469">
        <w:rPr>
          <w:rFonts w:cs="Times New Roman"/>
          <w:i/>
          <w:szCs w:val="24"/>
        </w:rPr>
        <w:t>Discharge and estoppel by satisfaction</w:t>
      </w:r>
      <w:r>
        <w:rPr>
          <w:rFonts w:cs="Times New Roman"/>
          <w:szCs w:val="24"/>
        </w:rPr>
        <w:t xml:space="preserve">). </w:t>
      </w:r>
      <w:r w:rsidR="006F0AE1">
        <w:rPr>
          <w:rFonts w:cs="Times New Roman"/>
          <w:szCs w:val="24"/>
        </w:rPr>
        <w:t xml:space="preserve">Section 16(1) provides that </w:t>
      </w:r>
      <w:r w:rsidR="006F0AE1" w:rsidRPr="006F0AE1">
        <w:rPr>
          <w:rFonts w:cs="Times New Roman"/>
          <w:i/>
          <w:szCs w:val="24"/>
        </w:rPr>
        <w:t>“</w:t>
      </w:r>
      <w:r w:rsidR="00A05817">
        <w:rPr>
          <w:rFonts w:cs="Times New Roman"/>
          <w:i/>
          <w:szCs w:val="24"/>
        </w:rPr>
        <w:t>[</w:t>
      </w:r>
      <w:r w:rsidR="006F0AE1" w:rsidRPr="006F0AE1">
        <w:rPr>
          <w:rFonts w:cs="Times New Roman"/>
          <w:i/>
          <w:szCs w:val="24"/>
        </w:rPr>
        <w:t>w</w:t>
      </w:r>
      <w:r w:rsidR="00A05817">
        <w:rPr>
          <w:rFonts w:cs="Times New Roman"/>
          <w:i/>
          <w:szCs w:val="24"/>
        </w:rPr>
        <w:t>]</w:t>
      </w:r>
      <w:r w:rsidR="006F0AE1" w:rsidRPr="006F0AE1">
        <w:rPr>
          <w:rFonts w:cs="Times New Roman"/>
          <w:i/>
          <w:szCs w:val="24"/>
        </w:rPr>
        <w:t>here damage is suffered by any person as a result of concurrent wrongs, satisfaction by any wrongdoer shall discharge the others whether such others have been sued to judgment or not.”</w:t>
      </w:r>
      <w:r w:rsidR="006F0AE1">
        <w:rPr>
          <w:rFonts w:cs="Times New Roman"/>
          <w:szCs w:val="24"/>
        </w:rPr>
        <w:t xml:space="preserve"> Section 16(2) then provides that “</w:t>
      </w:r>
      <w:r w:rsidR="006F0AE1">
        <w:rPr>
          <w:rFonts w:cs="Times New Roman"/>
          <w:i/>
          <w:szCs w:val="24"/>
        </w:rPr>
        <w:t>[s]</w:t>
      </w:r>
      <w:proofErr w:type="spellStart"/>
      <w:r w:rsidR="006F0AE1" w:rsidRPr="006F0AE1">
        <w:rPr>
          <w:rFonts w:cs="Times New Roman"/>
          <w:i/>
          <w:szCs w:val="24"/>
        </w:rPr>
        <w:t>atisfaction</w:t>
      </w:r>
      <w:proofErr w:type="spellEnd"/>
      <w:r w:rsidR="006F0AE1" w:rsidRPr="006F0AE1">
        <w:rPr>
          <w:rFonts w:cs="Times New Roman"/>
          <w:i/>
          <w:szCs w:val="24"/>
        </w:rPr>
        <w:t xml:space="preserve"> means payment of damages, whether after judgment or by way of accord and satisfaction, or the rendering of any agreed substitution therefor.”</w:t>
      </w:r>
      <w:r w:rsidR="006F0AE1">
        <w:rPr>
          <w:rFonts w:cs="Times New Roman"/>
          <w:szCs w:val="24"/>
        </w:rPr>
        <w:t xml:space="preserve"> Section 16(3) provides that if the payment is of damages, it must be of the “</w:t>
      </w:r>
      <w:r w:rsidR="006F0AE1" w:rsidRPr="00F60ADC">
        <w:rPr>
          <w:rFonts w:cs="Times New Roman"/>
          <w:i/>
          <w:szCs w:val="24"/>
        </w:rPr>
        <w:t>full damages</w:t>
      </w:r>
      <w:r w:rsidR="006F0AE1">
        <w:rPr>
          <w:rFonts w:cs="Times New Roman"/>
          <w:szCs w:val="24"/>
        </w:rPr>
        <w:t>” agreed or adjudged to be due otherwise it operates as a partial satisfaction only.</w:t>
      </w:r>
    </w:p>
    <w:p w14:paraId="4F44F561" w14:textId="77777777" w:rsidR="006F0AE1" w:rsidRDefault="006F0AE1" w:rsidP="006F0AE1">
      <w:pPr>
        <w:pStyle w:val="ListParagraph"/>
        <w:autoSpaceDE w:val="0"/>
        <w:autoSpaceDN w:val="0"/>
        <w:adjustRightInd w:val="0"/>
        <w:rPr>
          <w:rFonts w:cs="Times New Roman"/>
          <w:szCs w:val="24"/>
        </w:rPr>
      </w:pPr>
    </w:p>
    <w:p w14:paraId="6B04262D" w14:textId="317573A5" w:rsidR="006F0AE1" w:rsidRDefault="006F0AE1" w:rsidP="008638A9">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 xml:space="preserve">In </w:t>
      </w:r>
      <w:proofErr w:type="spellStart"/>
      <w:r w:rsidRPr="006F0AE1">
        <w:rPr>
          <w:rFonts w:cs="Times New Roman"/>
          <w:i/>
          <w:szCs w:val="24"/>
        </w:rPr>
        <w:t>Cafolla</w:t>
      </w:r>
      <w:proofErr w:type="spellEnd"/>
      <w:r w:rsidRPr="006F0AE1">
        <w:rPr>
          <w:rFonts w:cs="Times New Roman"/>
          <w:i/>
          <w:szCs w:val="24"/>
        </w:rPr>
        <w:t xml:space="preserve"> v O’ Reilly</w:t>
      </w:r>
      <w:r>
        <w:rPr>
          <w:rFonts w:cs="Times New Roman"/>
          <w:szCs w:val="24"/>
        </w:rPr>
        <w:t xml:space="preserve"> [2017] IESC 17, [2017] 3 IR 209 O’Donnell J (</w:t>
      </w:r>
      <w:r w:rsidR="00A05817">
        <w:rPr>
          <w:rFonts w:cs="Times New Roman"/>
          <w:szCs w:val="24"/>
        </w:rPr>
        <w:t>as he then was</w:t>
      </w:r>
      <w:r w:rsidR="005F126A">
        <w:rPr>
          <w:rFonts w:cs="Times New Roman"/>
          <w:szCs w:val="24"/>
        </w:rPr>
        <w:t>)</w:t>
      </w:r>
      <w:r w:rsidR="00A05817">
        <w:rPr>
          <w:rFonts w:cs="Times New Roman"/>
          <w:szCs w:val="24"/>
        </w:rPr>
        <w:t xml:space="preserve">, </w:t>
      </w:r>
      <w:r>
        <w:rPr>
          <w:rFonts w:cs="Times New Roman"/>
          <w:szCs w:val="24"/>
        </w:rPr>
        <w:t>speaking for the Supreme Court</w:t>
      </w:r>
      <w:r w:rsidR="005F126A">
        <w:rPr>
          <w:rFonts w:cs="Times New Roman"/>
          <w:szCs w:val="24"/>
        </w:rPr>
        <w:t>,</w:t>
      </w:r>
      <w:r>
        <w:rPr>
          <w:rFonts w:cs="Times New Roman"/>
          <w:szCs w:val="24"/>
        </w:rPr>
        <w:t xml:space="preserve"> observed that the </w:t>
      </w:r>
      <w:r w:rsidRPr="006F0AE1">
        <w:rPr>
          <w:rFonts w:cs="Times New Roman"/>
          <w:i/>
          <w:szCs w:val="24"/>
        </w:rPr>
        <w:t>“provisions of the 1961 Act in relation to concurrent wrongdoers are a mystery whose secrets have been revealed only to a few, and ss 16 and 17 and the relationship between the two provisions is particularly Delphic”</w:t>
      </w:r>
      <w:r>
        <w:rPr>
          <w:rFonts w:cs="Times New Roman"/>
          <w:i/>
          <w:szCs w:val="24"/>
        </w:rPr>
        <w:t xml:space="preserve"> </w:t>
      </w:r>
      <w:r>
        <w:rPr>
          <w:rFonts w:cs="Times New Roman"/>
          <w:szCs w:val="24"/>
        </w:rPr>
        <w:t>(para 25)</w:t>
      </w:r>
      <w:r w:rsidR="003421BF">
        <w:rPr>
          <w:rFonts w:cs="Times New Roman"/>
          <w:szCs w:val="24"/>
        </w:rPr>
        <w:t xml:space="preserve">. The principal issue in </w:t>
      </w:r>
      <w:proofErr w:type="spellStart"/>
      <w:r w:rsidR="003421BF" w:rsidRPr="006F0AE1">
        <w:rPr>
          <w:rFonts w:cs="Times New Roman"/>
          <w:i/>
          <w:szCs w:val="24"/>
        </w:rPr>
        <w:t>Cafolla</w:t>
      </w:r>
      <w:proofErr w:type="spellEnd"/>
      <w:r w:rsidR="003421BF" w:rsidRPr="006F0AE1">
        <w:rPr>
          <w:rFonts w:cs="Times New Roman"/>
          <w:i/>
          <w:szCs w:val="24"/>
        </w:rPr>
        <w:t xml:space="preserve"> v O’ Reilly</w:t>
      </w:r>
      <w:r w:rsidR="003421BF">
        <w:rPr>
          <w:rFonts w:cs="Times New Roman"/>
          <w:szCs w:val="24"/>
        </w:rPr>
        <w:t xml:space="preserve"> was whether the proceedings </w:t>
      </w:r>
      <w:r w:rsidR="000A3BFF">
        <w:rPr>
          <w:rFonts w:cs="Times New Roman"/>
          <w:szCs w:val="24"/>
        </w:rPr>
        <w:t xml:space="preserve">against the first defendant </w:t>
      </w:r>
      <w:r w:rsidR="003421BF">
        <w:rPr>
          <w:rFonts w:cs="Times New Roman"/>
          <w:szCs w:val="24"/>
        </w:rPr>
        <w:t>were in respect of the “</w:t>
      </w:r>
      <w:r w:rsidR="003421BF" w:rsidRPr="003421BF">
        <w:rPr>
          <w:rFonts w:cs="Times New Roman"/>
          <w:i/>
          <w:szCs w:val="24"/>
        </w:rPr>
        <w:t>same damage</w:t>
      </w:r>
      <w:r w:rsidR="003421BF">
        <w:rPr>
          <w:rFonts w:cs="Times New Roman"/>
          <w:szCs w:val="24"/>
        </w:rPr>
        <w:t xml:space="preserve">” as earlier proceedings in Northern Ireland </w:t>
      </w:r>
      <w:r w:rsidR="00605ADA">
        <w:rPr>
          <w:rFonts w:cs="Times New Roman"/>
          <w:szCs w:val="24"/>
        </w:rPr>
        <w:t>that</w:t>
      </w:r>
      <w:r w:rsidR="003421BF">
        <w:rPr>
          <w:rFonts w:cs="Times New Roman"/>
          <w:szCs w:val="24"/>
        </w:rPr>
        <w:t xml:space="preserve"> had been compromised. The High Court decided against the plaintiffs on a preliminary issue, heard without oral evidence</w:t>
      </w:r>
      <w:r w:rsidR="000A3BFF">
        <w:rPr>
          <w:rFonts w:cs="Times New Roman"/>
          <w:szCs w:val="24"/>
        </w:rPr>
        <w:t xml:space="preserve">, and </w:t>
      </w:r>
      <w:r w:rsidR="00BE31A8">
        <w:rPr>
          <w:rFonts w:cs="Times New Roman"/>
          <w:szCs w:val="24"/>
        </w:rPr>
        <w:t xml:space="preserve">proceeded to </w:t>
      </w:r>
      <w:r w:rsidR="000A3BFF">
        <w:rPr>
          <w:rFonts w:cs="Times New Roman"/>
          <w:szCs w:val="24"/>
        </w:rPr>
        <w:t>str</w:t>
      </w:r>
      <w:r w:rsidR="00BE31A8">
        <w:rPr>
          <w:rFonts w:cs="Times New Roman"/>
          <w:szCs w:val="24"/>
        </w:rPr>
        <w:t>ike</w:t>
      </w:r>
      <w:r w:rsidR="000A3BFF">
        <w:rPr>
          <w:rFonts w:cs="Times New Roman"/>
          <w:szCs w:val="24"/>
        </w:rPr>
        <w:t xml:space="preserve"> out the claims against the first defendant.</w:t>
      </w:r>
      <w:r w:rsidR="003421BF">
        <w:rPr>
          <w:rFonts w:cs="Times New Roman"/>
          <w:szCs w:val="24"/>
        </w:rPr>
        <w:t xml:space="preserve"> While that decision was upheld by this Court on appeal, the Supreme Court </w:t>
      </w:r>
      <w:r w:rsidR="000A3BFF">
        <w:rPr>
          <w:rFonts w:cs="Times New Roman"/>
          <w:szCs w:val="24"/>
        </w:rPr>
        <w:t>allowed the plaintiffs’ further appeal and set aside that order. In O’Donnell J’s view, the issues were too complex to be dealt with satisfactorily or fairly by way of preliminary issue and ought to be addressed at a full hearing “</w:t>
      </w:r>
      <w:r w:rsidR="000A3BFF" w:rsidRPr="000A3BFF">
        <w:rPr>
          <w:rFonts w:cs="Times New Roman"/>
          <w:i/>
          <w:szCs w:val="24"/>
        </w:rPr>
        <w:t>in which all the evidence can be adduced</w:t>
      </w:r>
      <w:r w:rsidR="000A3BFF">
        <w:rPr>
          <w:rFonts w:cs="Times New Roman"/>
          <w:szCs w:val="24"/>
        </w:rPr>
        <w:t xml:space="preserve">” (para 30). </w:t>
      </w:r>
    </w:p>
    <w:p w14:paraId="7AE0CDE5" w14:textId="77777777" w:rsidR="003421BF" w:rsidRDefault="003421BF" w:rsidP="003421BF">
      <w:pPr>
        <w:pStyle w:val="ListParagraph"/>
        <w:autoSpaceDE w:val="0"/>
        <w:autoSpaceDN w:val="0"/>
        <w:adjustRightInd w:val="0"/>
        <w:rPr>
          <w:rFonts w:cs="Times New Roman"/>
          <w:szCs w:val="24"/>
        </w:rPr>
      </w:pPr>
    </w:p>
    <w:p w14:paraId="7D4A6C79" w14:textId="40234959" w:rsidR="003421BF" w:rsidRDefault="000A3BFF" w:rsidP="008638A9">
      <w:pPr>
        <w:pStyle w:val="ListParagraph"/>
        <w:numPr>
          <w:ilvl w:val="0"/>
          <w:numId w:val="1"/>
        </w:numPr>
        <w:autoSpaceDE w:val="0"/>
        <w:autoSpaceDN w:val="0"/>
        <w:adjustRightInd w:val="0"/>
        <w:ind w:hanging="720"/>
        <w:rPr>
          <w:rFonts w:cs="Times New Roman"/>
          <w:szCs w:val="24"/>
        </w:rPr>
      </w:pPr>
      <w:r>
        <w:rPr>
          <w:rFonts w:cs="Times New Roman"/>
          <w:szCs w:val="24"/>
        </w:rPr>
        <w:t>Here, of course, the section 17 issue was determined at trial and with the benefit of evidence, including the evidence of Mr Livingstone and Mr Wallace.</w:t>
      </w:r>
    </w:p>
    <w:p w14:paraId="24C1A54A" w14:textId="77777777" w:rsidR="000A3BFF" w:rsidRDefault="000A3BFF" w:rsidP="000A3BFF">
      <w:pPr>
        <w:pStyle w:val="ListParagraph"/>
        <w:autoSpaceDE w:val="0"/>
        <w:autoSpaceDN w:val="0"/>
        <w:adjustRightInd w:val="0"/>
        <w:rPr>
          <w:rFonts w:cs="Times New Roman"/>
          <w:szCs w:val="24"/>
        </w:rPr>
      </w:pPr>
    </w:p>
    <w:p w14:paraId="5E1E0143" w14:textId="69DD2C18" w:rsidR="000A3BFF" w:rsidRPr="009D14D3" w:rsidRDefault="009D14D3" w:rsidP="008638A9">
      <w:pPr>
        <w:pStyle w:val="ListParagraph"/>
        <w:numPr>
          <w:ilvl w:val="0"/>
          <w:numId w:val="1"/>
        </w:numPr>
        <w:autoSpaceDE w:val="0"/>
        <w:autoSpaceDN w:val="0"/>
        <w:adjustRightInd w:val="0"/>
        <w:ind w:hanging="720"/>
        <w:rPr>
          <w:rFonts w:cs="Times New Roman"/>
          <w:szCs w:val="24"/>
        </w:rPr>
      </w:pPr>
      <w:r>
        <w:t xml:space="preserve">For two (or more) </w:t>
      </w:r>
      <w:r w:rsidR="000A3BFF" w:rsidRPr="009D14D3">
        <w:t xml:space="preserve">persons </w:t>
      </w:r>
      <w:r>
        <w:t xml:space="preserve">to </w:t>
      </w:r>
      <w:r w:rsidRPr="009D14D3">
        <w:rPr>
          <w:i/>
        </w:rPr>
        <w:t>be “</w:t>
      </w:r>
      <w:r w:rsidR="000A3BFF" w:rsidRPr="009D14D3">
        <w:rPr>
          <w:i/>
        </w:rPr>
        <w:t>concurrent wrongdoers</w:t>
      </w:r>
      <w:r>
        <w:t>”</w:t>
      </w:r>
      <w:r w:rsidR="000A3BFF" w:rsidRPr="009D14D3">
        <w:t xml:space="preserve"> both or all </w:t>
      </w:r>
      <w:r>
        <w:t>must be (</w:t>
      </w:r>
      <w:proofErr w:type="spellStart"/>
      <w:r>
        <w:t>i</w:t>
      </w:r>
      <w:proofErr w:type="spellEnd"/>
      <w:r>
        <w:t>) “</w:t>
      </w:r>
      <w:r w:rsidR="000A3BFF" w:rsidRPr="009D14D3">
        <w:rPr>
          <w:i/>
        </w:rPr>
        <w:t>wrongdoers</w:t>
      </w:r>
      <w:r>
        <w:t>”</w:t>
      </w:r>
      <w:r w:rsidR="000A3BFF" w:rsidRPr="009D14D3">
        <w:t xml:space="preserve"> </w:t>
      </w:r>
      <w:r>
        <w:t>who are</w:t>
      </w:r>
      <w:r w:rsidR="000A3BFF" w:rsidRPr="009D14D3">
        <w:t xml:space="preserve"> </w:t>
      </w:r>
      <w:r>
        <w:t xml:space="preserve">(ii) </w:t>
      </w:r>
      <w:r w:rsidR="000A3BFF" w:rsidRPr="009D14D3">
        <w:t>responsible to a third person</w:t>
      </w:r>
      <w:r>
        <w:t xml:space="preserve"> (“</w:t>
      </w:r>
      <w:r w:rsidRPr="009D14D3">
        <w:rPr>
          <w:i/>
        </w:rPr>
        <w:t>the injured person or plaintiff”</w:t>
      </w:r>
      <w:r w:rsidR="000A3BFF" w:rsidRPr="009D14D3">
        <w:t xml:space="preserve"> </w:t>
      </w:r>
      <w:r>
        <w:t>(iii)</w:t>
      </w:r>
      <w:r w:rsidR="000A3BFF" w:rsidRPr="009D14D3">
        <w:t xml:space="preserve"> </w:t>
      </w:r>
      <w:r>
        <w:t>“</w:t>
      </w:r>
      <w:r w:rsidR="000A3BFF" w:rsidRPr="009D14D3">
        <w:rPr>
          <w:i/>
        </w:rPr>
        <w:t>for the same damage</w:t>
      </w:r>
      <w:r w:rsidRPr="009D14D3">
        <w:rPr>
          <w:i/>
        </w:rPr>
        <w:t>”.</w:t>
      </w:r>
      <w:r>
        <w:rPr>
          <w:i/>
        </w:rPr>
        <w:t xml:space="preserve"> </w:t>
      </w:r>
      <w:r w:rsidRPr="009D14D3">
        <w:t>What constitutes</w:t>
      </w:r>
      <w:r>
        <w:rPr>
          <w:i/>
        </w:rPr>
        <w:t xml:space="preserve"> “the same damage” </w:t>
      </w:r>
      <w:r>
        <w:t xml:space="preserve">in this context presents significant difficulty and has been the subject of analysis in  cases such as </w:t>
      </w:r>
      <w:r w:rsidRPr="009D14D3">
        <w:rPr>
          <w:i/>
        </w:rPr>
        <w:t>Moloney v Liddy</w:t>
      </w:r>
      <w:r>
        <w:t xml:space="preserve"> [2010] IEHC 218, [201</w:t>
      </w:r>
      <w:r w:rsidR="008A173E">
        <w:t>0</w:t>
      </w:r>
      <w:r>
        <w:t xml:space="preserve">] 4 IR 653 and </w:t>
      </w:r>
      <w:r w:rsidRPr="009D14D3">
        <w:rPr>
          <w:i/>
        </w:rPr>
        <w:t>ACC Bank pl</w:t>
      </w:r>
      <w:r>
        <w:rPr>
          <w:i/>
        </w:rPr>
        <w:t>c</w:t>
      </w:r>
      <w:r w:rsidRPr="009D14D3">
        <w:rPr>
          <w:i/>
        </w:rPr>
        <w:t xml:space="preserve"> v Johnston</w:t>
      </w:r>
      <w:r>
        <w:t xml:space="preserve"> [2011] IEHC 108, both decisions of Clarke J (as then he was) in the High Court.  </w:t>
      </w:r>
    </w:p>
    <w:p w14:paraId="04CB1CC8" w14:textId="77777777" w:rsidR="009D14D3" w:rsidRPr="009D14D3" w:rsidRDefault="009D14D3" w:rsidP="009D14D3">
      <w:pPr>
        <w:pStyle w:val="ListParagraph"/>
        <w:autoSpaceDE w:val="0"/>
        <w:autoSpaceDN w:val="0"/>
        <w:adjustRightInd w:val="0"/>
        <w:rPr>
          <w:rFonts w:cs="Times New Roman"/>
          <w:szCs w:val="24"/>
        </w:rPr>
      </w:pPr>
    </w:p>
    <w:p w14:paraId="0B2831BB" w14:textId="7332D574" w:rsidR="009D14D3" w:rsidRPr="00DE2649" w:rsidRDefault="007D2082" w:rsidP="008638A9">
      <w:pPr>
        <w:pStyle w:val="ListParagraph"/>
        <w:numPr>
          <w:ilvl w:val="0"/>
          <w:numId w:val="1"/>
        </w:numPr>
        <w:autoSpaceDE w:val="0"/>
        <w:autoSpaceDN w:val="0"/>
        <w:adjustRightInd w:val="0"/>
        <w:ind w:hanging="720"/>
        <w:rPr>
          <w:rFonts w:cs="Times New Roman"/>
          <w:szCs w:val="24"/>
        </w:rPr>
      </w:pPr>
      <w:r>
        <w:rPr>
          <w:rFonts w:cs="Times New Roman"/>
          <w:szCs w:val="24"/>
        </w:rPr>
        <w:lastRenderedPageBreak/>
        <w:t>However, before one reaches the issue of whether it is “</w:t>
      </w:r>
      <w:r w:rsidRPr="007D2082">
        <w:rPr>
          <w:rFonts w:cs="Times New Roman"/>
          <w:i/>
          <w:szCs w:val="24"/>
        </w:rPr>
        <w:t>the same damage”,</w:t>
      </w:r>
      <w:r>
        <w:rPr>
          <w:rFonts w:cs="Times New Roman"/>
          <w:szCs w:val="24"/>
        </w:rPr>
        <w:t xml:space="preserve"> the person who has suffered the damage </w:t>
      </w:r>
      <w:r w:rsidRPr="00DE2649">
        <w:rPr>
          <w:rFonts w:cs="Times New Roman"/>
          <w:i/>
          <w:szCs w:val="24"/>
        </w:rPr>
        <w:t>(“the injured person</w:t>
      </w:r>
      <w:r>
        <w:rPr>
          <w:rFonts w:cs="Times New Roman"/>
          <w:szCs w:val="24"/>
        </w:rPr>
        <w:t>”) must be identified and it is clear from section 11(1) that for wrongdoers to be “</w:t>
      </w:r>
      <w:r w:rsidRPr="007D2082">
        <w:rPr>
          <w:rFonts w:cs="Times New Roman"/>
          <w:i/>
          <w:szCs w:val="24"/>
        </w:rPr>
        <w:t>concurrent wrongdoers”</w:t>
      </w:r>
      <w:r>
        <w:rPr>
          <w:rFonts w:cs="Times New Roman"/>
          <w:szCs w:val="24"/>
        </w:rPr>
        <w:t xml:space="preserve"> they must all be responsible to the same </w:t>
      </w:r>
      <w:r w:rsidRPr="007D2082">
        <w:rPr>
          <w:rFonts w:cs="Times New Roman"/>
          <w:i/>
          <w:szCs w:val="24"/>
        </w:rPr>
        <w:t>“injured person</w:t>
      </w:r>
      <w:r>
        <w:rPr>
          <w:rFonts w:cs="Times New Roman"/>
          <w:i/>
          <w:szCs w:val="24"/>
        </w:rPr>
        <w:t>”</w:t>
      </w:r>
      <w:r w:rsidR="00DE2649">
        <w:rPr>
          <w:rFonts w:cs="Times New Roman"/>
          <w:i/>
          <w:szCs w:val="24"/>
        </w:rPr>
        <w:t xml:space="preserve">. </w:t>
      </w:r>
    </w:p>
    <w:p w14:paraId="0033C525" w14:textId="77777777" w:rsidR="00DE2649" w:rsidRPr="00DE2649" w:rsidRDefault="00DE2649" w:rsidP="00DE2649">
      <w:pPr>
        <w:pStyle w:val="ListParagraph"/>
        <w:autoSpaceDE w:val="0"/>
        <w:autoSpaceDN w:val="0"/>
        <w:adjustRightInd w:val="0"/>
        <w:rPr>
          <w:rFonts w:cs="Times New Roman"/>
          <w:szCs w:val="24"/>
        </w:rPr>
      </w:pPr>
    </w:p>
    <w:p w14:paraId="4B39605E" w14:textId="10BC42CD" w:rsidR="00DE2649" w:rsidRDefault="00DE2649" w:rsidP="008638A9">
      <w:pPr>
        <w:pStyle w:val="ListParagraph"/>
        <w:numPr>
          <w:ilvl w:val="0"/>
          <w:numId w:val="1"/>
        </w:numPr>
        <w:autoSpaceDE w:val="0"/>
        <w:autoSpaceDN w:val="0"/>
        <w:adjustRightInd w:val="0"/>
        <w:ind w:hanging="720"/>
        <w:rPr>
          <w:rFonts w:cs="Times New Roman"/>
          <w:szCs w:val="24"/>
        </w:rPr>
      </w:pPr>
      <w:r>
        <w:rPr>
          <w:rFonts w:cs="Times New Roman"/>
          <w:szCs w:val="24"/>
        </w:rPr>
        <w:t xml:space="preserve">Here, Dr Sheehan says that </w:t>
      </w:r>
      <w:r w:rsidR="00AC290B">
        <w:rPr>
          <w:rFonts w:cs="Times New Roman"/>
          <w:szCs w:val="24"/>
        </w:rPr>
        <w:t xml:space="preserve">he </w:t>
      </w:r>
      <w:r>
        <w:rPr>
          <w:rFonts w:cs="Times New Roman"/>
          <w:szCs w:val="24"/>
        </w:rPr>
        <w:t>was a “</w:t>
      </w:r>
      <w:r w:rsidRPr="00DE2649">
        <w:rPr>
          <w:rFonts w:cs="Times New Roman"/>
          <w:i/>
          <w:szCs w:val="24"/>
        </w:rPr>
        <w:t>wrongdoer</w:t>
      </w:r>
      <w:r>
        <w:rPr>
          <w:rFonts w:cs="Times New Roman"/>
          <w:szCs w:val="24"/>
        </w:rPr>
        <w:t xml:space="preserve">” </w:t>
      </w:r>
      <w:r w:rsidRPr="00DE2649">
        <w:rPr>
          <w:rFonts w:cs="Times New Roman"/>
          <w:i/>
          <w:szCs w:val="24"/>
        </w:rPr>
        <w:t>vis a vis</w:t>
      </w:r>
      <w:r>
        <w:rPr>
          <w:rFonts w:cs="Times New Roman"/>
          <w:szCs w:val="24"/>
        </w:rPr>
        <w:t xml:space="preserve"> Talos insofar as he was liable under the Guarantee and was sued to judgment on foot of it. </w:t>
      </w:r>
      <w:r w:rsidR="000F5BDF">
        <w:rPr>
          <w:rFonts w:cs="Times New Roman"/>
          <w:szCs w:val="24"/>
        </w:rPr>
        <w:t xml:space="preserve">Notwithstanding the decision of the High Court in </w:t>
      </w:r>
      <w:r w:rsidR="008A173E">
        <w:rPr>
          <w:rFonts w:cs="Times New Roman"/>
          <w:i/>
          <w:szCs w:val="24"/>
        </w:rPr>
        <w:t>AIB</w:t>
      </w:r>
      <w:r w:rsidR="000F5BDF" w:rsidRPr="007A0F8E">
        <w:rPr>
          <w:rFonts w:cs="Times New Roman"/>
          <w:i/>
          <w:szCs w:val="24"/>
        </w:rPr>
        <w:t xml:space="preserve"> plc v O’ Reilly</w:t>
      </w:r>
      <w:r w:rsidR="000F5BDF">
        <w:rPr>
          <w:rFonts w:cs="Times New Roman"/>
          <w:szCs w:val="24"/>
        </w:rPr>
        <w:t xml:space="preserve"> [2019] IEHC 151</w:t>
      </w:r>
      <w:r w:rsidR="008A173E">
        <w:rPr>
          <w:rFonts w:cs="Times New Roman"/>
          <w:szCs w:val="24"/>
        </w:rPr>
        <w:t xml:space="preserve">, </w:t>
      </w:r>
      <w:r w:rsidR="008A173E" w:rsidRPr="008A173E">
        <w:rPr>
          <w:rFonts w:cs="Times New Roman"/>
          <w:szCs w:val="24"/>
        </w:rPr>
        <w:t>[2019] 3 IR 722</w:t>
      </w:r>
      <w:r w:rsidR="000F5BDF">
        <w:rPr>
          <w:rFonts w:cs="Times New Roman"/>
          <w:szCs w:val="24"/>
        </w:rPr>
        <w:t xml:space="preserve"> – where </w:t>
      </w:r>
      <w:r w:rsidR="00C64A5D">
        <w:rPr>
          <w:rFonts w:cs="Times New Roman"/>
          <w:szCs w:val="24"/>
        </w:rPr>
        <w:t>th</w:t>
      </w:r>
      <w:r w:rsidR="007A3B50">
        <w:rPr>
          <w:rFonts w:cs="Times New Roman"/>
          <w:szCs w:val="24"/>
        </w:rPr>
        <w:t>is particular</w:t>
      </w:r>
      <w:r w:rsidR="00C64A5D">
        <w:rPr>
          <w:rFonts w:cs="Times New Roman"/>
          <w:szCs w:val="24"/>
        </w:rPr>
        <w:t xml:space="preserve"> issue does not appear to have </w:t>
      </w:r>
      <w:r w:rsidR="008A173E">
        <w:rPr>
          <w:rFonts w:cs="Times New Roman"/>
          <w:szCs w:val="24"/>
        </w:rPr>
        <w:t xml:space="preserve">been </w:t>
      </w:r>
      <w:r w:rsidR="00C64A5D">
        <w:rPr>
          <w:rFonts w:cs="Times New Roman"/>
          <w:szCs w:val="24"/>
        </w:rPr>
        <w:t xml:space="preserve">the subject of any real </w:t>
      </w:r>
      <w:r w:rsidR="007A3B50">
        <w:rPr>
          <w:rFonts w:cs="Times New Roman"/>
          <w:szCs w:val="24"/>
        </w:rPr>
        <w:t>debate</w:t>
      </w:r>
      <w:r w:rsidR="00C64A5D">
        <w:rPr>
          <w:rFonts w:cs="Times New Roman"/>
          <w:szCs w:val="24"/>
        </w:rPr>
        <w:t xml:space="preserve"> - t</w:t>
      </w:r>
      <w:r w:rsidR="000F5BDF">
        <w:rPr>
          <w:rFonts w:cs="Times New Roman"/>
          <w:szCs w:val="24"/>
        </w:rPr>
        <w:t xml:space="preserve">here may be </w:t>
      </w:r>
      <w:r w:rsidR="005F126A">
        <w:rPr>
          <w:rFonts w:cs="Times New Roman"/>
          <w:szCs w:val="24"/>
        </w:rPr>
        <w:t xml:space="preserve">scope </w:t>
      </w:r>
      <w:r>
        <w:rPr>
          <w:rFonts w:cs="Times New Roman"/>
          <w:szCs w:val="24"/>
        </w:rPr>
        <w:t xml:space="preserve">for argument as to whether a claim </w:t>
      </w:r>
      <w:r w:rsidR="007A3B50">
        <w:rPr>
          <w:rFonts w:cs="Times New Roman"/>
          <w:szCs w:val="24"/>
        </w:rPr>
        <w:t xml:space="preserve">for payment </w:t>
      </w:r>
      <w:r>
        <w:rPr>
          <w:rFonts w:cs="Times New Roman"/>
          <w:szCs w:val="24"/>
        </w:rPr>
        <w:t xml:space="preserve">on foot of a guarantee is properly characterised as a claim for breach of contract (and </w:t>
      </w:r>
      <w:r w:rsidR="00BE31A8">
        <w:rPr>
          <w:rFonts w:cs="Times New Roman"/>
          <w:szCs w:val="24"/>
        </w:rPr>
        <w:t xml:space="preserve">is </w:t>
      </w:r>
      <w:r>
        <w:rPr>
          <w:rFonts w:cs="Times New Roman"/>
          <w:szCs w:val="24"/>
        </w:rPr>
        <w:t>thus a “</w:t>
      </w:r>
      <w:r w:rsidRPr="00DE2649">
        <w:rPr>
          <w:rFonts w:cs="Times New Roman"/>
          <w:i/>
          <w:szCs w:val="24"/>
        </w:rPr>
        <w:t>wrong</w:t>
      </w:r>
      <w:r>
        <w:rPr>
          <w:rFonts w:cs="Times New Roman"/>
          <w:szCs w:val="24"/>
        </w:rPr>
        <w:t>” within the scope of section 2(1) of the 1961 Act)</w:t>
      </w:r>
      <w:r w:rsidR="00C64A5D">
        <w:rPr>
          <w:rFonts w:cs="Times New Roman"/>
          <w:szCs w:val="24"/>
        </w:rPr>
        <w:t>. In any event,</w:t>
      </w:r>
      <w:r w:rsidR="000F5BDF">
        <w:rPr>
          <w:rFonts w:cs="Times New Roman"/>
          <w:szCs w:val="24"/>
        </w:rPr>
        <w:t xml:space="preserve"> no such argument was made here and</w:t>
      </w:r>
      <w:r w:rsidR="007A3B50">
        <w:rPr>
          <w:rFonts w:cs="Times New Roman"/>
          <w:szCs w:val="24"/>
        </w:rPr>
        <w:t>, accordingly,</w:t>
      </w:r>
      <w:r w:rsidR="000F5BDF">
        <w:rPr>
          <w:rFonts w:cs="Times New Roman"/>
          <w:szCs w:val="24"/>
        </w:rPr>
        <w:t xml:space="preserve"> for the purposes of section 17(2) Dr Sheehan </w:t>
      </w:r>
      <w:r w:rsidR="00BE31A8">
        <w:rPr>
          <w:rFonts w:cs="Times New Roman"/>
          <w:szCs w:val="24"/>
        </w:rPr>
        <w:t>must be</w:t>
      </w:r>
      <w:r w:rsidR="000F5BDF">
        <w:rPr>
          <w:rFonts w:cs="Times New Roman"/>
          <w:szCs w:val="24"/>
        </w:rPr>
        <w:t xml:space="preserve"> taken to be a “</w:t>
      </w:r>
      <w:r w:rsidR="000F5BDF" w:rsidRPr="000F5BDF">
        <w:rPr>
          <w:rFonts w:cs="Times New Roman"/>
          <w:i/>
          <w:szCs w:val="24"/>
        </w:rPr>
        <w:t>wrongdoer</w:t>
      </w:r>
      <w:r w:rsidR="000F5BDF">
        <w:rPr>
          <w:rFonts w:cs="Times New Roman"/>
          <w:szCs w:val="24"/>
        </w:rPr>
        <w:t>” responsible to Talos (the “</w:t>
      </w:r>
      <w:r w:rsidR="000F5BDF" w:rsidRPr="000F5BDF">
        <w:rPr>
          <w:rFonts w:cs="Times New Roman"/>
          <w:i/>
          <w:szCs w:val="24"/>
        </w:rPr>
        <w:t>injured party</w:t>
      </w:r>
      <w:r w:rsidR="000F5BDF">
        <w:rPr>
          <w:rFonts w:cs="Times New Roman"/>
          <w:szCs w:val="24"/>
        </w:rPr>
        <w:t xml:space="preserve">”) </w:t>
      </w:r>
      <w:r w:rsidR="007A3B50">
        <w:rPr>
          <w:rFonts w:cs="Times New Roman"/>
          <w:szCs w:val="24"/>
        </w:rPr>
        <w:t>for</w:t>
      </w:r>
      <w:r w:rsidR="000F5BDF">
        <w:rPr>
          <w:rFonts w:cs="Times New Roman"/>
          <w:szCs w:val="24"/>
        </w:rPr>
        <w:t xml:space="preserve"> JCS’s failure to repay the </w:t>
      </w:r>
      <w:r w:rsidR="008D4D9E">
        <w:rPr>
          <w:rFonts w:cs="Times New Roman"/>
          <w:szCs w:val="24"/>
        </w:rPr>
        <w:t>Deposit</w:t>
      </w:r>
      <w:r w:rsidR="007A3B50">
        <w:rPr>
          <w:rFonts w:cs="Times New Roman"/>
          <w:szCs w:val="24"/>
        </w:rPr>
        <w:t xml:space="preserve"> Loan</w:t>
      </w:r>
      <w:r w:rsidR="000F5BDF">
        <w:rPr>
          <w:rFonts w:cs="Times New Roman"/>
          <w:szCs w:val="24"/>
        </w:rPr>
        <w:t xml:space="preserve"> to </w:t>
      </w:r>
      <w:r w:rsidR="00C64A5D">
        <w:rPr>
          <w:rFonts w:cs="Times New Roman"/>
          <w:szCs w:val="24"/>
        </w:rPr>
        <w:t>Talos</w:t>
      </w:r>
      <w:r w:rsidR="008D4D9E">
        <w:rPr>
          <w:rFonts w:cs="Times New Roman"/>
          <w:szCs w:val="24"/>
        </w:rPr>
        <w:t xml:space="preserve"> and</w:t>
      </w:r>
      <w:r w:rsidR="007A3B50">
        <w:rPr>
          <w:rFonts w:cs="Times New Roman"/>
          <w:szCs w:val="24"/>
        </w:rPr>
        <w:t>/or</w:t>
      </w:r>
      <w:r w:rsidR="008D4D9E">
        <w:rPr>
          <w:rFonts w:cs="Times New Roman"/>
          <w:szCs w:val="24"/>
        </w:rPr>
        <w:t xml:space="preserve"> </w:t>
      </w:r>
      <w:r w:rsidR="007A3B50">
        <w:rPr>
          <w:rFonts w:cs="Times New Roman"/>
          <w:szCs w:val="24"/>
        </w:rPr>
        <w:t>his own failure to perform his obligations as guarantor of that loan.</w:t>
      </w:r>
    </w:p>
    <w:p w14:paraId="7F5576C1" w14:textId="77777777" w:rsidR="000F5BDF" w:rsidRDefault="000F5BDF" w:rsidP="000F5BDF">
      <w:pPr>
        <w:pStyle w:val="ListParagraph"/>
        <w:autoSpaceDE w:val="0"/>
        <w:autoSpaceDN w:val="0"/>
        <w:adjustRightInd w:val="0"/>
        <w:rPr>
          <w:rFonts w:cs="Times New Roman"/>
          <w:szCs w:val="24"/>
        </w:rPr>
      </w:pPr>
    </w:p>
    <w:p w14:paraId="09A95576" w14:textId="51CA92D7" w:rsidR="000F5BDF" w:rsidRDefault="008D4D9E" w:rsidP="008638A9">
      <w:pPr>
        <w:pStyle w:val="ListParagraph"/>
        <w:numPr>
          <w:ilvl w:val="0"/>
          <w:numId w:val="1"/>
        </w:numPr>
        <w:autoSpaceDE w:val="0"/>
        <w:autoSpaceDN w:val="0"/>
        <w:adjustRightInd w:val="0"/>
        <w:ind w:hanging="720"/>
        <w:rPr>
          <w:rFonts w:cs="Times New Roman"/>
          <w:szCs w:val="24"/>
        </w:rPr>
      </w:pPr>
      <w:r>
        <w:rPr>
          <w:rFonts w:cs="Times New Roman"/>
          <w:szCs w:val="24"/>
        </w:rPr>
        <w:t>The crucial question, therefore, is whether the Judge was correct in holding that IBRC was not a “</w:t>
      </w:r>
      <w:r w:rsidRPr="008D4D9E">
        <w:rPr>
          <w:rFonts w:cs="Times New Roman"/>
          <w:i/>
          <w:szCs w:val="24"/>
        </w:rPr>
        <w:t>concurrent wrongdoer”</w:t>
      </w:r>
      <w:r>
        <w:rPr>
          <w:rFonts w:cs="Times New Roman"/>
          <w:szCs w:val="24"/>
        </w:rPr>
        <w:t xml:space="preserve"> for the purposes of section 1</w:t>
      </w:r>
      <w:r w:rsidR="00BE31A8">
        <w:rPr>
          <w:rFonts w:cs="Times New Roman"/>
          <w:szCs w:val="24"/>
        </w:rPr>
        <w:t xml:space="preserve">7 </w:t>
      </w:r>
      <w:r>
        <w:rPr>
          <w:rFonts w:cs="Times New Roman"/>
          <w:szCs w:val="24"/>
        </w:rPr>
        <w:t xml:space="preserve">(1), on the basis that any claim against </w:t>
      </w:r>
      <w:r w:rsidR="005F126A">
        <w:rPr>
          <w:rFonts w:cs="Times New Roman"/>
          <w:szCs w:val="24"/>
        </w:rPr>
        <w:t xml:space="preserve">IBRC </w:t>
      </w:r>
      <w:r>
        <w:rPr>
          <w:rFonts w:cs="Times New Roman"/>
          <w:szCs w:val="24"/>
        </w:rPr>
        <w:t>in respect of the forfeited Deposit was the claim of JCS rather than Talos</w:t>
      </w:r>
      <w:r w:rsidR="007A3B50">
        <w:rPr>
          <w:rFonts w:cs="Times New Roman"/>
          <w:szCs w:val="24"/>
        </w:rPr>
        <w:t xml:space="preserve"> and thus that IBRC was not a “</w:t>
      </w:r>
      <w:r w:rsidR="007A3B50" w:rsidRPr="007A3B50">
        <w:rPr>
          <w:rFonts w:cs="Times New Roman"/>
          <w:i/>
          <w:szCs w:val="24"/>
        </w:rPr>
        <w:t>wrongdoer</w:t>
      </w:r>
      <w:r w:rsidR="007A3B50">
        <w:rPr>
          <w:rFonts w:cs="Times New Roman"/>
          <w:szCs w:val="24"/>
        </w:rPr>
        <w:t xml:space="preserve">” </w:t>
      </w:r>
      <w:r w:rsidR="007A3B50" w:rsidRPr="007A3B50">
        <w:rPr>
          <w:rFonts w:cs="Times New Roman"/>
          <w:i/>
          <w:szCs w:val="24"/>
        </w:rPr>
        <w:t>vis a vis</w:t>
      </w:r>
      <w:r w:rsidR="007A3B50">
        <w:rPr>
          <w:rFonts w:cs="Times New Roman"/>
          <w:szCs w:val="24"/>
        </w:rPr>
        <w:t xml:space="preserve"> Talos.</w:t>
      </w:r>
    </w:p>
    <w:p w14:paraId="2BD6A146" w14:textId="77777777" w:rsidR="008D4D9E" w:rsidRDefault="008D4D9E" w:rsidP="008D4D9E">
      <w:pPr>
        <w:pStyle w:val="ListParagraph"/>
        <w:autoSpaceDE w:val="0"/>
        <w:autoSpaceDN w:val="0"/>
        <w:adjustRightInd w:val="0"/>
        <w:rPr>
          <w:rFonts w:cs="Times New Roman"/>
          <w:szCs w:val="24"/>
        </w:rPr>
      </w:pPr>
    </w:p>
    <w:p w14:paraId="3DB3C6AF" w14:textId="55E26E1B" w:rsidR="008D4D9E" w:rsidRPr="007A3B50" w:rsidRDefault="00EE045A" w:rsidP="007A3B50">
      <w:pPr>
        <w:pStyle w:val="ListParagraph"/>
        <w:numPr>
          <w:ilvl w:val="0"/>
          <w:numId w:val="1"/>
        </w:numPr>
        <w:autoSpaceDE w:val="0"/>
        <w:autoSpaceDN w:val="0"/>
        <w:adjustRightInd w:val="0"/>
        <w:ind w:hanging="720"/>
        <w:rPr>
          <w:rFonts w:cs="Times New Roman"/>
          <w:szCs w:val="24"/>
        </w:rPr>
      </w:pPr>
      <w:r>
        <w:rPr>
          <w:rFonts w:cs="Times New Roman"/>
          <w:szCs w:val="24"/>
        </w:rPr>
        <w:t>While claims were asserted in correspondence both by Talos and JCS</w:t>
      </w:r>
      <w:r w:rsidR="00F42729">
        <w:rPr>
          <w:rFonts w:cs="Times New Roman"/>
          <w:szCs w:val="24"/>
        </w:rPr>
        <w:t xml:space="preserve"> (and a claim appears also to have </w:t>
      </w:r>
      <w:r w:rsidR="0083270A">
        <w:rPr>
          <w:rFonts w:cs="Times New Roman"/>
          <w:szCs w:val="24"/>
        </w:rPr>
        <w:t>been</w:t>
      </w:r>
      <w:r w:rsidR="00F42729">
        <w:rPr>
          <w:rFonts w:cs="Times New Roman"/>
          <w:szCs w:val="24"/>
        </w:rPr>
        <w:t xml:space="preserve"> made on behalf of JCS in the IBRC liquidation)</w:t>
      </w:r>
      <w:r>
        <w:rPr>
          <w:rFonts w:cs="Times New Roman"/>
          <w:szCs w:val="24"/>
        </w:rPr>
        <w:t>, n</w:t>
      </w:r>
      <w:r w:rsidR="00F42729">
        <w:rPr>
          <w:rFonts w:cs="Times New Roman"/>
          <w:szCs w:val="24"/>
        </w:rPr>
        <w:t xml:space="preserve">either party </w:t>
      </w:r>
      <w:r w:rsidR="00BE31A8">
        <w:rPr>
          <w:rFonts w:cs="Times New Roman"/>
          <w:szCs w:val="24"/>
        </w:rPr>
        <w:lastRenderedPageBreak/>
        <w:t>ever brought</w:t>
      </w:r>
      <w:r w:rsidR="00F42729">
        <w:rPr>
          <w:rFonts w:cs="Times New Roman"/>
          <w:szCs w:val="24"/>
        </w:rPr>
        <w:t xml:space="preserve"> a formal claim </w:t>
      </w:r>
      <w:r w:rsidR="008D4D9E">
        <w:rPr>
          <w:rFonts w:cs="Times New Roman"/>
          <w:szCs w:val="24"/>
        </w:rPr>
        <w:t>against IBRC</w:t>
      </w:r>
      <w:r>
        <w:rPr>
          <w:rFonts w:cs="Times New Roman"/>
          <w:szCs w:val="24"/>
        </w:rPr>
        <w:t xml:space="preserve"> for the recovery</w:t>
      </w:r>
      <w:r w:rsidR="008D4D9E">
        <w:rPr>
          <w:rFonts w:cs="Times New Roman"/>
          <w:szCs w:val="24"/>
        </w:rPr>
        <w:t xml:space="preserve"> of the Deposit</w:t>
      </w:r>
      <w:r>
        <w:rPr>
          <w:rFonts w:cs="Times New Roman"/>
          <w:szCs w:val="24"/>
        </w:rPr>
        <w:t xml:space="preserve">. There appeared to be a </w:t>
      </w:r>
      <w:r w:rsidR="00443D4A">
        <w:rPr>
          <w:rFonts w:cs="Times New Roman"/>
          <w:szCs w:val="24"/>
        </w:rPr>
        <w:t>significant measure</w:t>
      </w:r>
      <w:r>
        <w:rPr>
          <w:rFonts w:cs="Times New Roman"/>
          <w:szCs w:val="24"/>
        </w:rPr>
        <w:t xml:space="preserve"> of consensus in the evidence that</w:t>
      </w:r>
      <w:r w:rsidR="0063667D">
        <w:rPr>
          <w:rFonts w:cs="Times New Roman"/>
          <w:szCs w:val="24"/>
        </w:rPr>
        <w:t xml:space="preserve">, </w:t>
      </w:r>
      <w:r w:rsidR="00597A5F">
        <w:rPr>
          <w:rFonts w:cs="Times New Roman"/>
          <w:szCs w:val="24"/>
        </w:rPr>
        <w:t>as a matter of law</w:t>
      </w:r>
      <w:r w:rsidR="00F42729">
        <w:rPr>
          <w:rFonts w:cs="Times New Roman"/>
          <w:szCs w:val="24"/>
        </w:rPr>
        <w:t xml:space="preserve">, </w:t>
      </w:r>
      <w:r>
        <w:rPr>
          <w:rFonts w:cs="Times New Roman"/>
          <w:szCs w:val="24"/>
        </w:rPr>
        <w:t xml:space="preserve">any such claim lay with JCS </w:t>
      </w:r>
      <w:r w:rsidR="00F42729">
        <w:rPr>
          <w:rFonts w:cs="Times New Roman"/>
          <w:szCs w:val="24"/>
        </w:rPr>
        <w:t>(Mr Brennan</w:t>
      </w:r>
      <w:r w:rsidR="007A3B50">
        <w:rPr>
          <w:rFonts w:cs="Times New Roman"/>
          <w:szCs w:val="24"/>
        </w:rPr>
        <w:t xml:space="preserve">, who it will be recalled gave </w:t>
      </w:r>
      <w:r w:rsidR="00BE31A8">
        <w:rPr>
          <w:rFonts w:cs="Times New Roman"/>
          <w:szCs w:val="24"/>
        </w:rPr>
        <w:t xml:space="preserve">evidence </w:t>
      </w:r>
      <w:r w:rsidR="007A3B50">
        <w:rPr>
          <w:rFonts w:cs="Times New Roman"/>
          <w:szCs w:val="24"/>
        </w:rPr>
        <w:t xml:space="preserve">for Dr Sheehan, </w:t>
      </w:r>
      <w:r w:rsidR="00F42729">
        <w:rPr>
          <w:rFonts w:cs="Times New Roman"/>
          <w:szCs w:val="24"/>
        </w:rPr>
        <w:t>said in this evidence that he</w:t>
      </w:r>
      <w:r w:rsidR="007A3B50">
        <w:rPr>
          <w:rFonts w:cs="Times New Roman"/>
          <w:szCs w:val="24"/>
        </w:rPr>
        <w:t xml:space="preserve"> had</w:t>
      </w:r>
      <w:r w:rsidR="00F42729">
        <w:rPr>
          <w:rFonts w:cs="Times New Roman"/>
          <w:szCs w:val="24"/>
        </w:rPr>
        <w:t xml:space="preserve"> come to the view that “</w:t>
      </w:r>
      <w:r w:rsidR="00F42729" w:rsidRPr="00F42729">
        <w:rPr>
          <w:rFonts w:cs="Times New Roman"/>
          <w:i/>
          <w:szCs w:val="24"/>
        </w:rPr>
        <w:t>the only realistic prospect for pursuing the return of the deposit was JCS</w:t>
      </w:r>
      <w:r w:rsidR="00F42729">
        <w:rPr>
          <w:rFonts w:cs="Times New Roman"/>
          <w:szCs w:val="24"/>
        </w:rPr>
        <w:t>”</w:t>
      </w:r>
      <w:r w:rsidR="00443D4A">
        <w:rPr>
          <w:rStyle w:val="FootnoteReference"/>
          <w:rFonts w:cs="Times New Roman"/>
          <w:szCs w:val="24"/>
        </w:rPr>
        <w:footnoteReference w:id="31"/>
      </w:r>
      <w:r w:rsidR="00443D4A">
        <w:rPr>
          <w:rFonts w:cs="Times New Roman"/>
          <w:szCs w:val="24"/>
        </w:rPr>
        <w:t xml:space="preserve"> and Mr Hickey gave evidence of having advised Dr Sheehan that “</w:t>
      </w:r>
      <w:r w:rsidR="00443D4A" w:rsidRPr="00443D4A">
        <w:rPr>
          <w:rFonts w:cs="Times New Roman"/>
          <w:i/>
          <w:szCs w:val="24"/>
        </w:rPr>
        <w:t>if there is any claim for recovery of these deposit monies that claim rests with JCS</w:t>
      </w:r>
      <w:r w:rsidR="00443D4A">
        <w:rPr>
          <w:rFonts w:cs="Times New Roman"/>
          <w:szCs w:val="24"/>
        </w:rPr>
        <w:t>”;</w:t>
      </w:r>
      <w:r w:rsidR="00443D4A">
        <w:rPr>
          <w:rStyle w:val="FootnoteReference"/>
          <w:rFonts w:cs="Times New Roman"/>
          <w:szCs w:val="24"/>
        </w:rPr>
        <w:footnoteReference w:id="32"/>
      </w:r>
      <w:r w:rsidR="00443D4A">
        <w:rPr>
          <w:rFonts w:cs="Times New Roman"/>
          <w:szCs w:val="24"/>
        </w:rPr>
        <w:t xml:space="preserve"> furthermore, </w:t>
      </w:r>
      <w:r w:rsidR="00F42729">
        <w:rPr>
          <w:rFonts w:cs="Times New Roman"/>
          <w:szCs w:val="24"/>
        </w:rPr>
        <w:t>Talos’</w:t>
      </w:r>
      <w:r w:rsidR="00F42729" w:rsidRPr="007A3B50">
        <w:rPr>
          <w:rFonts w:cs="Times New Roman"/>
          <w:szCs w:val="24"/>
        </w:rPr>
        <w:t xml:space="preserve"> own advice was that any claim brought by it had little prospect of success)</w:t>
      </w:r>
      <w:r w:rsidR="00F60ADC" w:rsidRPr="007A3B50">
        <w:rPr>
          <w:rFonts w:cs="Times New Roman"/>
          <w:szCs w:val="24"/>
        </w:rPr>
        <w:t xml:space="preserve">. </w:t>
      </w:r>
      <w:r w:rsidR="0068452D" w:rsidRPr="007A3B50">
        <w:rPr>
          <w:rFonts w:cs="Times New Roman"/>
          <w:szCs w:val="24"/>
        </w:rPr>
        <w:t xml:space="preserve">That </w:t>
      </w:r>
      <w:r w:rsidR="007A3B50">
        <w:rPr>
          <w:rFonts w:cs="Times New Roman"/>
          <w:szCs w:val="24"/>
        </w:rPr>
        <w:t>is</w:t>
      </w:r>
      <w:r w:rsidR="0068452D" w:rsidRPr="007A3B50">
        <w:rPr>
          <w:rFonts w:cs="Times New Roman"/>
          <w:szCs w:val="24"/>
        </w:rPr>
        <w:t xml:space="preserve"> hardly surprising. The Deposit had been paid by JCS</w:t>
      </w:r>
      <w:r w:rsidR="005F126A">
        <w:rPr>
          <w:rFonts w:cs="Times New Roman"/>
          <w:szCs w:val="24"/>
        </w:rPr>
        <w:t>. The fact</w:t>
      </w:r>
      <w:r w:rsidR="0068452D" w:rsidRPr="007A3B50">
        <w:rPr>
          <w:rFonts w:cs="Times New Roman"/>
          <w:szCs w:val="24"/>
        </w:rPr>
        <w:t xml:space="preserve"> the funds </w:t>
      </w:r>
      <w:r w:rsidR="007A3B50">
        <w:rPr>
          <w:rFonts w:cs="Times New Roman"/>
          <w:szCs w:val="24"/>
        </w:rPr>
        <w:t xml:space="preserve">for the Deposit </w:t>
      </w:r>
      <w:r w:rsidR="0068452D" w:rsidRPr="007A3B50">
        <w:rPr>
          <w:rFonts w:cs="Times New Roman"/>
          <w:szCs w:val="24"/>
        </w:rPr>
        <w:t xml:space="preserve">had been advanced by way of loan by Talos </w:t>
      </w:r>
      <w:r w:rsidR="007A3B50">
        <w:rPr>
          <w:rFonts w:cs="Times New Roman"/>
          <w:szCs w:val="24"/>
        </w:rPr>
        <w:t xml:space="preserve">and that payment of the Deposit was effected directly between Clifford Chance </w:t>
      </w:r>
      <w:r w:rsidR="00AC7969">
        <w:rPr>
          <w:rFonts w:cs="Times New Roman"/>
          <w:szCs w:val="24"/>
        </w:rPr>
        <w:t xml:space="preserve">and the Special Liquidators </w:t>
      </w:r>
      <w:r w:rsidR="0068452D" w:rsidRPr="007A3B50">
        <w:rPr>
          <w:rFonts w:cs="Times New Roman"/>
          <w:szCs w:val="24"/>
        </w:rPr>
        <w:t>does not alter the fact that the obligation to pay the Deposit was an obligation of JCS, not an obligation of Talos, nor does it alter the fact that</w:t>
      </w:r>
      <w:r w:rsidR="007A3B50">
        <w:rPr>
          <w:rFonts w:cs="Times New Roman"/>
          <w:szCs w:val="24"/>
        </w:rPr>
        <w:t xml:space="preserve"> </w:t>
      </w:r>
      <w:r w:rsidR="0068452D" w:rsidRPr="007A3B50">
        <w:rPr>
          <w:rFonts w:cs="Times New Roman"/>
          <w:szCs w:val="24"/>
        </w:rPr>
        <w:t xml:space="preserve">the </w:t>
      </w:r>
      <w:r w:rsidR="00BE31A8">
        <w:rPr>
          <w:rFonts w:cs="Times New Roman"/>
          <w:szCs w:val="24"/>
        </w:rPr>
        <w:t xml:space="preserve">funds </w:t>
      </w:r>
      <w:r w:rsidR="0068452D" w:rsidRPr="007A3B50">
        <w:rPr>
          <w:rFonts w:cs="Times New Roman"/>
          <w:szCs w:val="24"/>
        </w:rPr>
        <w:t xml:space="preserve">used to pay the Deposit were,  as a matter of law, the </w:t>
      </w:r>
      <w:r w:rsidR="00BE31A8">
        <w:rPr>
          <w:rFonts w:cs="Times New Roman"/>
          <w:szCs w:val="24"/>
        </w:rPr>
        <w:t>funds</w:t>
      </w:r>
      <w:r w:rsidR="0068452D" w:rsidRPr="007A3B50">
        <w:rPr>
          <w:rFonts w:cs="Times New Roman"/>
          <w:szCs w:val="24"/>
        </w:rPr>
        <w:t xml:space="preserve"> of JCS. </w:t>
      </w:r>
      <w:r w:rsidR="00F60ADC" w:rsidRPr="007A3B50">
        <w:rPr>
          <w:rFonts w:cs="Times New Roman"/>
          <w:szCs w:val="24"/>
        </w:rPr>
        <w:t xml:space="preserve">However, </w:t>
      </w:r>
      <w:r w:rsidRPr="007A3B50">
        <w:rPr>
          <w:rFonts w:cs="Times New Roman"/>
          <w:szCs w:val="24"/>
        </w:rPr>
        <w:t xml:space="preserve">the evidence </w:t>
      </w:r>
      <w:r w:rsidR="00F60ADC" w:rsidRPr="007A3B50">
        <w:rPr>
          <w:rFonts w:cs="Times New Roman"/>
          <w:szCs w:val="24"/>
        </w:rPr>
        <w:t>fe</w:t>
      </w:r>
      <w:r w:rsidR="00AC290B">
        <w:rPr>
          <w:rFonts w:cs="Times New Roman"/>
          <w:szCs w:val="24"/>
        </w:rPr>
        <w:t>l</w:t>
      </w:r>
      <w:r w:rsidR="00F60ADC" w:rsidRPr="007A3B50">
        <w:rPr>
          <w:rFonts w:cs="Times New Roman"/>
          <w:szCs w:val="24"/>
        </w:rPr>
        <w:t xml:space="preserve">l some way short of suggesting </w:t>
      </w:r>
      <w:r w:rsidRPr="007A3B50">
        <w:rPr>
          <w:rFonts w:cs="Times New Roman"/>
          <w:szCs w:val="24"/>
        </w:rPr>
        <w:t>that such a claim was likely to succeed</w:t>
      </w:r>
      <w:r w:rsidR="002D16E4" w:rsidRPr="007A3B50">
        <w:rPr>
          <w:rFonts w:cs="Times New Roman"/>
          <w:szCs w:val="24"/>
        </w:rPr>
        <w:t xml:space="preserve"> (and JCS’s own advisors</w:t>
      </w:r>
      <w:r w:rsidR="00F60ADC" w:rsidRPr="007A3B50">
        <w:rPr>
          <w:rFonts w:cs="Times New Roman"/>
          <w:szCs w:val="24"/>
        </w:rPr>
        <w:t>, Mason Hayes and Curran</w:t>
      </w:r>
      <w:r w:rsidR="00AC290B">
        <w:rPr>
          <w:rFonts w:cs="Times New Roman"/>
          <w:szCs w:val="24"/>
        </w:rPr>
        <w:t>,</w:t>
      </w:r>
      <w:r w:rsidR="002D16E4" w:rsidRPr="007A3B50">
        <w:rPr>
          <w:rFonts w:cs="Times New Roman"/>
          <w:szCs w:val="24"/>
        </w:rPr>
        <w:t xml:space="preserve"> were notably </w:t>
      </w:r>
      <w:r w:rsidR="00F60ADC" w:rsidRPr="007A3B50">
        <w:rPr>
          <w:rFonts w:cs="Times New Roman"/>
          <w:szCs w:val="24"/>
        </w:rPr>
        <w:t>downbe</w:t>
      </w:r>
      <w:r w:rsidR="0068452D" w:rsidRPr="007A3B50">
        <w:rPr>
          <w:rFonts w:cs="Times New Roman"/>
          <w:szCs w:val="24"/>
        </w:rPr>
        <w:t>a</w:t>
      </w:r>
      <w:r w:rsidR="00F60ADC" w:rsidRPr="007A3B50">
        <w:rPr>
          <w:rFonts w:cs="Times New Roman"/>
          <w:szCs w:val="24"/>
        </w:rPr>
        <w:t>t</w:t>
      </w:r>
      <w:r w:rsidR="002D16E4" w:rsidRPr="007A3B50">
        <w:rPr>
          <w:rFonts w:cs="Times New Roman"/>
          <w:szCs w:val="24"/>
        </w:rPr>
        <w:t xml:space="preserve"> in their assessment of any such claim when </w:t>
      </w:r>
      <w:r w:rsidR="00F60ADC" w:rsidRPr="007A3B50">
        <w:rPr>
          <w:rFonts w:cs="Times New Roman"/>
          <w:szCs w:val="24"/>
        </w:rPr>
        <w:t>advising the JCS board that it should accept the offer of a €1.7 million payment</w:t>
      </w:r>
      <w:r w:rsidR="002D16E4" w:rsidRPr="007A3B50">
        <w:rPr>
          <w:rFonts w:cs="Times New Roman"/>
          <w:szCs w:val="24"/>
        </w:rPr>
        <w:t>)</w:t>
      </w:r>
      <w:r w:rsidRPr="007A3B50">
        <w:rPr>
          <w:rFonts w:cs="Times New Roman"/>
          <w:szCs w:val="24"/>
        </w:rPr>
        <w:t>. Be that as it may, IBRC agreed to repay a significant proportion of the Deposit</w:t>
      </w:r>
      <w:r w:rsidR="00F60ADC" w:rsidRPr="007A3B50">
        <w:rPr>
          <w:rFonts w:cs="Times New Roman"/>
          <w:szCs w:val="24"/>
        </w:rPr>
        <w:t>, on the terms set out in the IBRC Settlement Agreement.</w:t>
      </w:r>
    </w:p>
    <w:p w14:paraId="6EFCDFEE" w14:textId="77777777" w:rsidR="00EE045A" w:rsidRDefault="00EE045A" w:rsidP="00EE045A">
      <w:pPr>
        <w:pStyle w:val="ListParagraph"/>
        <w:autoSpaceDE w:val="0"/>
        <w:autoSpaceDN w:val="0"/>
        <w:adjustRightInd w:val="0"/>
        <w:rPr>
          <w:rFonts w:cs="Times New Roman"/>
          <w:szCs w:val="24"/>
        </w:rPr>
      </w:pPr>
    </w:p>
    <w:p w14:paraId="7FC44DC3" w14:textId="074DAAAF" w:rsidR="00EE045A" w:rsidRDefault="000B7AEE" w:rsidP="003F16DD">
      <w:pPr>
        <w:pStyle w:val="ListParagraph"/>
        <w:numPr>
          <w:ilvl w:val="0"/>
          <w:numId w:val="1"/>
        </w:numPr>
        <w:autoSpaceDE w:val="0"/>
        <w:autoSpaceDN w:val="0"/>
        <w:adjustRightInd w:val="0"/>
        <w:ind w:hanging="720"/>
        <w:rPr>
          <w:rFonts w:cs="Times New Roman"/>
          <w:szCs w:val="24"/>
        </w:rPr>
      </w:pPr>
      <w:r>
        <w:rPr>
          <w:rFonts w:cs="Times New Roman"/>
          <w:szCs w:val="24"/>
        </w:rPr>
        <w:t>T</w:t>
      </w:r>
      <w:r w:rsidR="00EE045A" w:rsidRPr="000B7AEE">
        <w:rPr>
          <w:rFonts w:cs="Times New Roman"/>
          <w:szCs w:val="24"/>
        </w:rPr>
        <w:t xml:space="preserve">he IBRC Settlement Agreement contained mutual waivers </w:t>
      </w:r>
      <w:r w:rsidRPr="000B7AEE">
        <w:rPr>
          <w:rFonts w:cs="Times New Roman"/>
          <w:szCs w:val="24"/>
        </w:rPr>
        <w:t>and releases. Talos (</w:t>
      </w:r>
      <w:r w:rsidRPr="000B7AEE">
        <w:rPr>
          <w:rFonts w:cs="Times New Roman"/>
          <w:i/>
          <w:szCs w:val="24"/>
        </w:rPr>
        <w:t>inter alia</w:t>
      </w:r>
      <w:r w:rsidRPr="000B7AEE">
        <w:rPr>
          <w:rFonts w:cs="Times New Roman"/>
          <w:szCs w:val="24"/>
        </w:rPr>
        <w:t xml:space="preserve">) waived and released all claims it might have against IBRC and the Special </w:t>
      </w:r>
      <w:r w:rsidRPr="000B7AEE">
        <w:rPr>
          <w:rFonts w:cs="Times New Roman"/>
          <w:szCs w:val="24"/>
        </w:rPr>
        <w:lastRenderedPageBreak/>
        <w:t xml:space="preserve">Liquidators (and </w:t>
      </w:r>
      <w:r w:rsidRPr="000B7AEE">
        <w:rPr>
          <w:rFonts w:cs="Times New Roman"/>
          <w:i/>
          <w:szCs w:val="24"/>
        </w:rPr>
        <w:t>vice versa</w:t>
      </w:r>
      <w:r w:rsidRPr="000B7AEE">
        <w:rPr>
          <w:rFonts w:cs="Times New Roman"/>
          <w:szCs w:val="24"/>
        </w:rPr>
        <w:t>).</w:t>
      </w:r>
      <w:r w:rsidR="00A4103B">
        <w:rPr>
          <w:rFonts w:cs="Times New Roman"/>
          <w:szCs w:val="24"/>
        </w:rPr>
        <w:t xml:space="preserve"> But only JCS </w:t>
      </w:r>
      <w:r w:rsidR="003F16DD">
        <w:rPr>
          <w:rFonts w:cs="Times New Roman"/>
          <w:szCs w:val="24"/>
        </w:rPr>
        <w:t xml:space="preserve">had any entitlement to </w:t>
      </w:r>
      <w:r w:rsidR="00A4103B">
        <w:rPr>
          <w:rFonts w:cs="Times New Roman"/>
          <w:szCs w:val="24"/>
        </w:rPr>
        <w:t xml:space="preserve">receive any payment under the Agreement. </w:t>
      </w:r>
      <w:r w:rsidRPr="000B7AEE">
        <w:rPr>
          <w:rFonts w:cs="Times New Roman"/>
          <w:szCs w:val="24"/>
        </w:rPr>
        <w:t xml:space="preserve"> </w:t>
      </w:r>
      <w:r w:rsidR="003F16DD">
        <w:rPr>
          <w:rFonts w:cs="Times New Roman"/>
          <w:szCs w:val="24"/>
        </w:rPr>
        <w:t>Had the promised payment not been made, on</w:t>
      </w:r>
      <w:r w:rsidR="0068452D">
        <w:rPr>
          <w:rFonts w:cs="Times New Roman"/>
          <w:szCs w:val="24"/>
        </w:rPr>
        <w:t>l</w:t>
      </w:r>
      <w:r w:rsidR="003F16DD">
        <w:rPr>
          <w:rFonts w:cs="Times New Roman"/>
          <w:szCs w:val="24"/>
        </w:rPr>
        <w:t xml:space="preserve">y JCS would have had the right to take action to enforce </w:t>
      </w:r>
      <w:r w:rsidR="00AC05C4">
        <w:rPr>
          <w:rFonts w:cs="Times New Roman"/>
          <w:szCs w:val="24"/>
        </w:rPr>
        <w:t>its payment</w:t>
      </w:r>
      <w:r w:rsidR="003F16DD">
        <w:rPr>
          <w:rFonts w:cs="Times New Roman"/>
          <w:szCs w:val="24"/>
        </w:rPr>
        <w:t xml:space="preserve">. </w:t>
      </w:r>
      <w:r w:rsidR="0068452D">
        <w:rPr>
          <w:rFonts w:cs="Times New Roman"/>
          <w:szCs w:val="24"/>
        </w:rPr>
        <w:t xml:space="preserve">Talos would have had no standing to do so. </w:t>
      </w:r>
      <w:r w:rsidR="00A4103B">
        <w:rPr>
          <w:rFonts w:cs="Times New Roman"/>
          <w:szCs w:val="24"/>
        </w:rPr>
        <w:t>J</w:t>
      </w:r>
      <w:r>
        <w:rPr>
          <w:rFonts w:cs="Times New Roman"/>
          <w:szCs w:val="24"/>
        </w:rPr>
        <w:t xml:space="preserve">ust as it has been said that </w:t>
      </w:r>
      <w:r w:rsidRPr="000B7AEE">
        <w:rPr>
          <w:rFonts w:cs="Times New Roman"/>
          <w:color w:val="000000" w:themeColor="text1"/>
          <w:szCs w:val="24"/>
        </w:rPr>
        <w:t>“</w:t>
      </w:r>
      <w:r w:rsidRPr="000B7AEE">
        <w:rPr>
          <w:rFonts w:cs="Times New Roman"/>
          <w:i/>
          <w:color w:val="000000" w:themeColor="text1"/>
          <w:szCs w:val="24"/>
        </w:rPr>
        <w:t>t</w:t>
      </w:r>
      <w:r w:rsidRPr="000B7AEE">
        <w:rPr>
          <w:rFonts w:cs="Times New Roman"/>
          <w:i/>
          <w:color w:val="000000" w:themeColor="text1"/>
          <w:szCs w:val="24"/>
          <w:shd w:val="clear" w:color="auto" w:fill="FFFFFF"/>
        </w:rPr>
        <w:t xml:space="preserve">hose who are left in possession of the battlefield have won”, </w:t>
      </w:r>
      <w:r w:rsidR="00F60ADC">
        <w:rPr>
          <w:rFonts w:cs="Times New Roman"/>
          <w:color w:val="000000" w:themeColor="text1"/>
          <w:szCs w:val="24"/>
          <w:shd w:val="clear" w:color="auto" w:fill="FFFFFF"/>
        </w:rPr>
        <w:t>it appears to me that t</w:t>
      </w:r>
      <w:r w:rsidRPr="000B7AEE">
        <w:rPr>
          <w:rFonts w:cs="Times New Roman"/>
          <w:color w:val="000000" w:themeColor="text1"/>
          <w:szCs w:val="24"/>
          <w:shd w:val="clear" w:color="auto" w:fill="FFFFFF"/>
        </w:rPr>
        <w:t xml:space="preserve">he </w:t>
      </w:r>
      <w:r w:rsidR="00F12BEC">
        <w:rPr>
          <w:rFonts w:cs="Times New Roman"/>
          <w:color w:val="000000" w:themeColor="text1"/>
          <w:szCs w:val="24"/>
          <w:shd w:val="clear" w:color="auto" w:fill="FFFFFF"/>
        </w:rPr>
        <w:t>crucial</w:t>
      </w:r>
      <w:r w:rsidRPr="000B7AEE">
        <w:rPr>
          <w:rFonts w:cs="Times New Roman"/>
          <w:color w:val="000000" w:themeColor="text1"/>
          <w:szCs w:val="24"/>
          <w:shd w:val="clear" w:color="auto" w:fill="FFFFFF"/>
        </w:rPr>
        <w:t xml:space="preserve"> indicator of </w:t>
      </w:r>
      <w:r>
        <w:rPr>
          <w:rFonts w:cs="Times New Roman"/>
          <w:color w:val="000000" w:themeColor="text1"/>
          <w:szCs w:val="24"/>
          <w:shd w:val="clear" w:color="auto" w:fill="FFFFFF"/>
        </w:rPr>
        <w:t xml:space="preserve">what potential liability was being settled </w:t>
      </w:r>
      <w:r w:rsidR="00A4103B">
        <w:rPr>
          <w:rFonts w:cs="Times New Roman"/>
          <w:color w:val="000000" w:themeColor="text1"/>
          <w:szCs w:val="24"/>
          <w:shd w:val="clear" w:color="auto" w:fill="FFFFFF"/>
        </w:rPr>
        <w:t xml:space="preserve">here </w:t>
      </w:r>
      <w:r>
        <w:rPr>
          <w:rFonts w:cs="Times New Roman"/>
          <w:color w:val="000000" w:themeColor="text1"/>
          <w:szCs w:val="24"/>
          <w:shd w:val="clear" w:color="auto" w:fill="FFFFFF"/>
        </w:rPr>
        <w:t xml:space="preserve">is </w:t>
      </w:r>
      <w:r w:rsidR="00A4103B">
        <w:rPr>
          <w:rFonts w:cs="Times New Roman"/>
          <w:szCs w:val="24"/>
        </w:rPr>
        <w:t xml:space="preserve">the identity of the party who, on performance of the IBRC Settlement Agreement, </w:t>
      </w:r>
      <w:r w:rsidR="00F42729">
        <w:rPr>
          <w:rFonts w:cs="Times New Roman"/>
          <w:szCs w:val="24"/>
        </w:rPr>
        <w:t xml:space="preserve">was </w:t>
      </w:r>
      <w:r w:rsidR="00A4103B">
        <w:rPr>
          <w:rFonts w:cs="Times New Roman"/>
          <w:szCs w:val="24"/>
        </w:rPr>
        <w:t xml:space="preserve">left </w:t>
      </w:r>
      <w:r w:rsidR="0068452D">
        <w:rPr>
          <w:rFonts w:cs="Times New Roman"/>
          <w:szCs w:val="24"/>
        </w:rPr>
        <w:t>in possession of</w:t>
      </w:r>
      <w:r w:rsidR="00F60ADC">
        <w:rPr>
          <w:rFonts w:cs="Times New Roman"/>
          <w:szCs w:val="24"/>
        </w:rPr>
        <w:t xml:space="preserve"> </w:t>
      </w:r>
      <w:r w:rsidR="00A4103B">
        <w:rPr>
          <w:rFonts w:cs="Times New Roman"/>
          <w:szCs w:val="24"/>
        </w:rPr>
        <w:t xml:space="preserve">the </w:t>
      </w:r>
      <w:r w:rsidR="0068452D">
        <w:rPr>
          <w:rFonts w:cs="Times New Roman"/>
          <w:szCs w:val="24"/>
        </w:rPr>
        <w:t>sum</w:t>
      </w:r>
      <w:r w:rsidR="00A4103B">
        <w:rPr>
          <w:rFonts w:cs="Times New Roman"/>
          <w:szCs w:val="24"/>
        </w:rPr>
        <w:t xml:space="preserve"> paid by IBRC in order to obtain the release of any claims against it (and against the Special Liquidators). That </w:t>
      </w:r>
      <w:r w:rsidR="00AC290B">
        <w:rPr>
          <w:rFonts w:cs="Times New Roman"/>
          <w:szCs w:val="24"/>
        </w:rPr>
        <w:t xml:space="preserve">party </w:t>
      </w:r>
      <w:r w:rsidR="00A4103B">
        <w:rPr>
          <w:rFonts w:cs="Times New Roman"/>
          <w:szCs w:val="24"/>
        </w:rPr>
        <w:t>was JCS</w:t>
      </w:r>
      <w:r w:rsidR="00AC290B">
        <w:rPr>
          <w:rFonts w:cs="Times New Roman"/>
          <w:szCs w:val="24"/>
        </w:rPr>
        <w:t>, not Talo</w:t>
      </w:r>
      <w:r w:rsidR="00BE31A8">
        <w:rPr>
          <w:rFonts w:cs="Times New Roman"/>
          <w:szCs w:val="24"/>
        </w:rPr>
        <w:t>s</w:t>
      </w:r>
      <w:r w:rsidR="00174595">
        <w:rPr>
          <w:rFonts w:cs="Times New Roman"/>
          <w:szCs w:val="24"/>
        </w:rPr>
        <w:t xml:space="preserve">. </w:t>
      </w:r>
      <w:r w:rsidR="00AC05C4">
        <w:rPr>
          <w:rFonts w:cs="Times New Roman"/>
          <w:szCs w:val="24"/>
        </w:rPr>
        <w:t xml:space="preserve">Under the Agreement, </w:t>
      </w:r>
      <w:r w:rsidR="00174595">
        <w:rPr>
          <w:rFonts w:cs="Times New Roman"/>
          <w:szCs w:val="24"/>
        </w:rPr>
        <w:t xml:space="preserve">Talos </w:t>
      </w:r>
      <w:r w:rsidR="00AC05C4">
        <w:rPr>
          <w:rFonts w:cs="Times New Roman"/>
          <w:szCs w:val="24"/>
        </w:rPr>
        <w:t xml:space="preserve">did not have any </w:t>
      </w:r>
      <w:r w:rsidR="00174595">
        <w:rPr>
          <w:rFonts w:cs="Times New Roman"/>
          <w:szCs w:val="24"/>
        </w:rPr>
        <w:t xml:space="preserve">claim to </w:t>
      </w:r>
      <w:r w:rsidR="00AC05C4">
        <w:rPr>
          <w:rFonts w:cs="Times New Roman"/>
          <w:szCs w:val="24"/>
        </w:rPr>
        <w:t>any part of that sum</w:t>
      </w:r>
      <w:r w:rsidR="00174595">
        <w:rPr>
          <w:rFonts w:cs="Times New Roman"/>
          <w:szCs w:val="24"/>
        </w:rPr>
        <w:t xml:space="preserve">. </w:t>
      </w:r>
      <w:r w:rsidR="00A4103B">
        <w:rPr>
          <w:rFonts w:cs="Times New Roman"/>
          <w:szCs w:val="24"/>
        </w:rPr>
        <w:t>In the language of section 17(2) “</w:t>
      </w:r>
      <w:r w:rsidR="00A4103B" w:rsidRPr="00A4103B">
        <w:rPr>
          <w:rFonts w:cs="Times New Roman"/>
          <w:i/>
          <w:szCs w:val="24"/>
        </w:rPr>
        <w:t>the amount of the consideration paid for the release or accord”</w:t>
      </w:r>
      <w:r w:rsidR="00A4103B">
        <w:rPr>
          <w:rFonts w:cs="Times New Roman"/>
          <w:szCs w:val="24"/>
        </w:rPr>
        <w:t xml:space="preserve"> was paid by IBRC to JCS, not to Talos.</w:t>
      </w:r>
      <w:r w:rsidR="00174595">
        <w:rPr>
          <w:rFonts w:cs="Times New Roman"/>
          <w:szCs w:val="24"/>
        </w:rPr>
        <w:t xml:space="preserve"> </w:t>
      </w:r>
      <w:r w:rsidR="002D16E4">
        <w:rPr>
          <w:rFonts w:cs="Times New Roman"/>
          <w:szCs w:val="24"/>
        </w:rPr>
        <w:t xml:space="preserve"> </w:t>
      </w:r>
      <w:r w:rsidR="00A4103B">
        <w:rPr>
          <w:rFonts w:cs="Times New Roman"/>
          <w:szCs w:val="24"/>
        </w:rPr>
        <w:t xml:space="preserve">That, in my view, is the </w:t>
      </w:r>
      <w:r w:rsidR="003F16DD">
        <w:rPr>
          <w:rFonts w:cs="Times New Roman"/>
          <w:szCs w:val="24"/>
        </w:rPr>
        <w:t>only</w:t>
      </w:r>
      <w:r w:rsidR="00A4103B">
        <w:rPr>
          <w:rFonts w:cs="Times New Roman"/>
          <w:szCs w:val="24"/>
        </w:rPr>
        <w:t xml:space="preserve"> reliable guide to identifying</w:t>
      </w:r>
      <w:r w:rsidR="002D16E4">
        <w:rPr>
          <w:rFonts w:cs="Times New Roman"/>
          <w:szCs w:val="24"/>
        </w:rPr>
        <w:t xml:space="preserve"> for the purposes of the 1961 Act</w:t>
      </w:r>
      <w:r w:rsidR="00A4103B">
        <w:rPr>
          <w:rFonts w:cs="Times New Roman"/>
          <w:szCs w:val="24"/>
        </w:rPr>
        <w:t xml:space="preserve"> the “</w:t>
      </w:r>
      <w:r w:rsidR="00A4103B" w:rsidRPr="00A4103B">
        <w:rPr>
          <w:rFonts w:cs="Times New Roman"/>
          <w:i/>
          <w:szCs w:val="24"/>
        </w:rPr>
        <w:t>injured party</w:t>
      </w:r>
      <w:r w:rsidR="00A4103B">
        <w:rPr>
          <w:rFonts w:cs="Times New Roman"/>
          <w:szCs w:val="24"/>
        </w:rPr>
        <w:t>” to whom IBRC was responsible.</w:t>
      </w:r>
    </w:p>
    <w:p w14:paraId="296B61E9" w14:textId="77777777" w:rsidR="00A4103B" w:rsidRDefault="00A4103B" w:rsidP="00A4103B">
      <w:pPr>
        <w:pStyle w:val="ListParagraph"/>
        <w:autoSpaceDE w:val="0"/>
        <w:autoSpaceDN w:val="0"/>
        <w:adjustRightInd w:val="0"/>
        <w:rPr>
          <w:rFonts w:cs="Times New Roman"/>
          <w:szCs w:val="24"/>
        </w:rPr>
      </w:pPr>
    </w:p>
    <w:p w14:paraId="65FC19FF" w14:textId="1B91E93A" w:rsidR="00597A5F" w:rsidRPr="00CF360D" w:rsidRDefault="00A4103B" w:rsidP="0091024D">
      <w:pPr>
        <w:pStyle w:val="ListParagraph"/>
        <w:numPr>
          <w:ilvl w:val="0"/>
          <w:numId w:val="1"/>
        </w:numPr>
        <w:autoSpaceDE w:val="0"/>
        <w:autoSpaceDN w:val="0"/>
        <w:adjustRightInd w:val="0"/>
        <w:ind w:hanging="720"/>
        <w:rPr>
          <w:rFonts w:cs="Times New Roman"/>
          <w:szCs w:val="24"/>
        </w:rPr>
      </w:pPr>
      <w:r w:rsidRPr="00AC7969">
        <w:rPr>
          <w:rFonts w:cs="Times New Roman"/>
          <w:szCs w:val="24"/>
        </w:rPr>
        <w:t>Neither the fact that the engagement that led to the IBRC Settlement Agreement was initiated by Talos</w:t>
      </w:r>
      <w:r w:rsidR="002D16E4" w:rsidRPr="00AC7969">
        <w:rPr>
          <w:rFonts w:cs="Times New Roman"/>
          <w:szCs w:val="24"/>
        </w:rPr>
        <w:t xml:space="preserve"> </w:t>
      </w:r>
      <w:r w:rsidRPr="00AC7969">
        <w:rPr>
          <w:rFonts w:cs="Times New Roman"/>
          <w:szCs w:val="24"/>
        </w:rPr>
        <w:t xml:space="preserve">nor the fact that the </w:t>
      </w:r>
      <w:r w:rsidR="002D16E4" w:rsidRPr="00AC7969">
        <w:rPr>
          <w:rFonts w:cs="Times New Roman"/>
          <w:szCs w:val="24"/>
        </w:rPr>
        <w:t>settlement monies were ultimately paid over to Talos in partial discharge of JCS’s liabilities to it provides a</w:t>
      </w:r>
      <w:r w:rsidR="00AC290B">
        <w:rPr>
          <w:rFonts w:cs="Times New Roman"/>
          <w:szCs w:val="24"/>
        </w:rPr>
        <w:t>ny</w:t>
      </w:r>
      <w:r w:rsidR="002D16E4" w:rsidRPr="00AC7969">
        <w:rPr>
          <w:rFonts w:cs="Times New Roman"/>
          <w:szCs w:val="24"/>
        </w:rPr>
        <w:t xml:space="preserve"> basis on which </w:t>
      </w:r>
      <w:r w:rsidR="00F12BEC" w:rsidRPr="00AC7969">
        <w:rPr>
          <w:rFonts w:cs="Times New Roman"/>
          <w:szCs w:val="24"/>
        </w:rPr>
        <w:t>the</w:t>
      </w:r>
      <w:r w:rsidR="002D16E4" w:rsidRPr="00AC7969">
        <w:rPr>
          <w:rFonts w:cs="Times New Roman"/>
          <w:szCs w:val="24"/>
        </w:rPr>
        <w:t xml:space="preserve"> court could properly characterise the IBRC Settlement Agreement as settling a claim by Talos or </w:t>
      </w:r>
      <w:r w:rsidR="00F12BEC" w:rsidRPr="00AC7969">
        <w:rPr>
          <w:rFonts w:cs="Times New Roman"/>
          <w:szCs w:val="24"/>
        </w:rPr>
        <w:t>for regarding</w:t>
      </w:r>
      <w:r w:rsidR="002D16E4" w:rsidRPr="00AC7969">
        <w:rPr>
          <w:rFonts w:cs="Times New Roman"/>
          <w:szCs w:val="24"/>
        </w:rPr>
        <w:t xml:space="preserve"> Talos as the “</w:t>
      </w:r>
      <w:r w:rsidR="002D16E4" w:rsidRPr="00AC7969">
        <w:rPr>
          <w:rFonts w:cs="Times New Roman"/>
          <w:i/>
          <w:szCs w:val="24"/>
        </w:rPr>
        <w:t>injured party”</w:t>
      </w:r>
      <w:r w:rsidR="002D16E4" w:rsidRPr="00AC7969">
        <w:rPr>
          <w:rFonts w:cs="Times New Roman"/>
          <w:szCs w:val="24"/>
        </w:rPr>
        <w:t xml:space="preserve"> in this context. </w:t>
      </w:r>
      <w:r w:rsidR="0063667D" w:rsidRPr="00AC7969">
        <w:rPr>
          <w:rFonts w:cs="Times New Roman"/>
          <w:szCs w:val="24"/>
        </w:rPr>
        <w:t xml:space="preserve">The character of the payment must be assessed objectively, by reference to the terms of the IBRC Settlement Agreement, and not by reference to </w:t>
      </w:r>
      <w:r w:rsidR="00AC05C4">
        <w:rPr>
          <w:rFonts w:cs="Times New Roman"/>
          <w:szCs w:val="24"/>
        </w:rPr>
        <w:t>the</w:t>
      </w:r>
      <w:r w:rsidR="0063667D" w:rsidRPr="00AC7969">
        <w:rPr>
          <w:rFonts w:cs="Times New Roman"/>
          <w:szCs w:val="24"/>
        </w:rPr>
        <w:t xml:space="preserve"> discussions which preceded that Agreement. </w:t>
      </w:r>
      <w:r w:rsidR="00AC05C4">
        <w:rPr>
          <w:rFonts w:cs="Times New Roman"/>
          <w:szCs w:val="24"/>
        </w:rPr>
        <w:t xml:space="preserve">In any </w:t>
      </w:r>
      <w:r w:rsidR="00F60ADC" w:rsidRPr="00AC7969">
        <w:rPr>
          <w:rFonts w:cs="Times New Roman"/>
          <w:szCs w:val="24"/>
        </w:rPr>
        <w:t>event, the evidence of the negotiating parties – Mr Livingstone and Mr Wallace – was entirely consistent with the terms of the Agreement</w:t>
      </w:r>
      <w:r w:rsidR="00597A5F">
        <w:rPr>
          <w:rFonts w:cs="Times New Roman"/>
          <w:szCs w:val="24"/>
        </w:rPr>
        <w:t>. Their evidence was also entirely inconsistent with any suggestion that the</w:t>
      </w:r>
      <w:r w:rsidR="00CF360D">
        <w:rPr>
          <w:rFonts w:cs="Times New Roman"/>
          <w:szCs w:val="24"/>
        </w:rPr>
        <w:t xml:space="preserve"> </w:t>
      </w:r>
      <w:r w:rsidR="00597A5F">
        <w:rPr>
          <w:rFonts w:cs="Times New Roman"/>
          <w:szCs w:val="24"/>
        </w:rPr>
        <w:t xml:space="preserve">Agreement was </w:t>
      </w:r>
      <w:r w:rsidR="00CF360D">
        <w:rPr>
          <w:rFonts w:cs="Times New Roman"/>
          <w:szCs w:val="24"/>
        </w:rPr>
        <w:t>anything other than</w:t>
      </w:r>
      <w:r w:rsidR="00597A5F">
        <w:rPr>
          <w:rFonts w:cs="Times New Roman"/>
          <w:szCs w:val="24"/>
        </w:rPr>
        <w:t xml:space="preserve"> a </w:t>
      </w:r>
      <w:r w:rsidR="00597A5F">
        <w:rPr>
          <w:rFonts w:cs="Times New Roman"/>
          <w:szCs w:val="24"/>
        </w:rPr>
        <w:lastRenderedPageBreak/>
        <w:t xml:space="preserve">genuine agreement or </w:t>
      </w:r>
      <w:r w:rsidR="00CF360D">
        <w:rPr>
          <w:rFonts w:cs="Times New Roman"/>
          <w:szCs w:val="24"/>
        </w:rPr>
        <w:t>that it reflected some “</w:t>
      </w:r>
      <w:r w:rsidR="00CF360D" w:rsidRPr="00CF360D">
        <w:rPr>
          <w:rFonts w:cs="Times New Roman"/>
          <w:i/>
          <w:szCs w:val="24"/>
        </w:rPr>
        <w:t>arrangement of convenience</w:t>
      </w:r>
      <w:r w:rsidR="00CF360D">
        <w:rPr>
          <w:rFonts w:cs="Times New Roman"/>
          <w:i/>
          <w:szCs w:val="24"/>
        </w:rPr>
        <w:t xml:space="preserve">” </w:t>
      </w:r>
      <w:r w:rsidR="00CF360D">
        <w:rPr>
          <w:rFonts w:cs="Times New Roman"/>
          <w:szCs w:val="24"/>
        </w:rPr>
        <w:t>intended to disguise the “</w:t>
      </w:r>
      <w:r w:rsidR="00CF360D" w:rsidRPr="00CF360D">
        <w:rPr>
          <w:rFonts w:cs="Times New Roman"/>
          <w:i/>
          <w:szCs w:val="24"/>
        </w:rPr>
        <w:t>reality</w:t>
      </w:r>
      <w:r w:rsidR="00CF360D">
        <w:rPr>
          <w:rFonts w:cs="Times New Roman"/>
          <w:szCs w:val="24"/>
        </w:rPr>
        <w:t xml:space="preserve">” that IBRC was making a payment to Talos. </w:t>
      </w:r>
    </w:p>
    <w:p w14:paraId="4B6886B5" w14:textId="77777777" w:rsidR="00CF360D" w:rsidRDefault="00CF360D" w:rsidP="00CF360D">
      <w:pPr>
        <w:pStyle w:val="ListParagraph"/>
        <w:autoSpaceDE w:val="0"/>
        <w:autoSpaceDN w:val="0"/>
        <w:adjustRightInd w:val="0"/>
        <w:rPr>
          <w:rFonts w:cs="Times New Roman"/>
          <w:szCs w:val="24"/>
        </w:rPr>
      </w:pPr>
    </w:p>
    <w:p w14:paraId="04397880" w14:textId="6856A196" w:rsidR="0068452D" w:rsidRDefault="0063667D" w:rsidP="0091024D">
      <w:pPr>
        <w:pStyle w:val="ListParagraph"/>
        <w:numPr>
          <w:ilvl w:val="0"/>
          <w:numId w:val="1"/>
        </w:numPr>
        <w:autoSpaceDE w:val="0"/>
        <w:autoSpaceDN w:val="0"/>
        <w:adjustRightInd w:val="0"/>
        <w:ind w:hanging="720"/>
        <w:rPr>
          <w:rFonts w:cs="Times New Roman"/>
          <w:szCs w:val="24"/>
        </w:rPr>
      </w:pPr>
      <w:r w:rsidRPr="00AC7969">
        <w:rPr>
          <w:rFonts w:cs="Times New Roman"/>
          <w:szCs w:val="24"/>
        </w:rPr>
        <w:t xml:space="preserve">As </w:t>
      </w:r>
      <w:r w:rsidR="00BE31A8">
        <w:rPr>
          <w:rFonts w:cs="Times New Roman"/>
          <w:szCs w:val="24"/>
        </w:rPr>
        <w:t>for</w:t>
      </w:r>
      <w:r w:rsidRPr="00AC7969">
        <w:rPr>
          <w:rFonts w:cs="Times New Roman"/>
          <w:szCs w:val="24"/>
        </w:rPr>
        <w:t xml:space="preserve"> the fact that the settlement amount was </w:t>
      </w:r>
      <w:r w:rsidR="003F16DD" w:rsidRPr="00AC7969">
        <w:rPr>
          <w:rFonts w:cs="Times New Roman"/>
          <w:szCs w:val="24"/>
        </w:rPr>
        <w:t xml:space="preserve">subsequently </w:t>
      </w:r>
      <w:r w:rsidRPr="00AC7969">
        <w:rPr>
          <w:rFonts w:cs="Times New Roman"/>
          <w:szCs w:val="24"/>
        </w:rPr>
        <w:t xml:space="preserve">paid on to Talos, that payment was </w:t>
      </w:r>
      <w:r w:rsidR="00F42729" w:rsidRPr="00AC7969">
        <w:rPr>
          <w:rFonts w:cs="Times New Roman"/>
          <w:szCs w:val="24"/>
        </w:rPr>
        <w:t xml:space="preserve">not made </w:t>
      </w:r>
      <w:r w:rsidR="00F76171">
        <w:rPr>
          <w:rFonts w:cs="Times New Roman"/>
          <w:szCs w:val="24"/>
        </w:rPr>
        <w:t>pursuant to</w:t>
      </w:r>
      <w:r w:rsidR="00F42729" w:rsidRPr="00AC7969">
        <w:rPr>
          <w:rFonts w:cs="Times New Roman"/>
          <w:szCs w:val="24"/>
        </w:rPr>
        <w:t xml:space="preserve"> </w:t>
      </w:r>
      <w:r w:rsidRPr="00AC7969">
        <w:rPr>
          <w:rFonts w:cs="Times New Roman"/>
          <w:szCs w:val="24"/>
        </w:rPr>
        <w:t xml:space="preserve">the IBRC Settlement Agreement </w:t>
      </w:r>
      <w:r w:rsidR="00F42729" w:rsidRPr="00AC7969">
        <w:rPr>
          <w:rFonts w:cs="Times New Roman"/>
          <w:szCs w:val="24"/>
        </w:rPr>
        <w:t xml:space="preserve">but rather under the </w:t>
      </w:r>
      <w:r w:rsidR="00BE31A8">
        <w:rPr>
          <w:rFonts w:cs="Times New Roman"/>
          <w:szCs w:val="24"/>
        </w:rPr>
        <w:t xml:space="preserve">separate </w:t>
      </w:r>
      <w:r w:rsidR="00F42729" w:rsidRPr="00AC7969">
        <w:rPr>
          <w:rFonts w:cs="Times New Roman"/>
          <w:szCs w:val="24"/>
        </w:rPr>
        <w:t xml:space="preserve">Facility Agreement </w:t>
      </w:r>
      <w:r w:rsidR="003F16DD" w:rsidRPr="00AC7969">
        <w:rPr>
          <w:rFonts w:cs="Times New Roman"/>
          <w:szCs w:val="24"/>
        </w:rPr>
        <w:t xml:space="preserve">governing </w:t>
      </w:r>
      <w:r w:rsidR="00F42729" w:rsidRPr="00AC7969">
        <w:rPr>
          <w:rFonts w:cs="Times New Roman"/>
          <w:szCs w:val="24"/>
        </w:rPr>
        <w:t>the relationship of Talos and JCS as lender</w:t>
      </w:r>
      <w:r w:rsidR="00F60ADC" w:rsidRPr="00AC7969">
        <w:rPr>
          <w:rFonts w:cs="Times New Roman"/>
          <w:szCs w:val="24"/>
        </w:rPr>
        <w:t>/</w:t>
      </w:r>
      <w:r w:rsidR="00F42729" w:rsidRPr="00AC7969">
        <w:rPr>
          <w:rFonts w:cs="Times New Roman"/>
          <w:szCs w:val="24"/>
        </w:rPr>
        <w:t>borrower.</w:t>
      </w:r>
      <w:r w:rsidRPr="00AC7969">
        <w:rPr>
          <w:rFonts w:cs="Times New Roman"/>
          <w:szCs w:val="24"/>
        </w:rPr>
        <w:t xml:space="preserve"> </w:t>
      </w:r>
      <w:r w:rsidR="00AC7969" w:rsidRPr="00AC7969">
        <w:rPr>
          <w:rFonts w:cs="Times New Roman"/>
          <w:szCs w:val="24"/>
        </w:rPr>
        <w:t xml:space="preserve">Under the IBRC Settlement Agreement, the sum paid to JCS was its property absolutely. The Agreement did not purport to restrict how the monies were to be applied by JCS. Any such restrictions – </w:t>
      </w:r>
      <w:r w:rsidR="00AC7969" w:rsidRPr="00174595">
        <w:rPr>
          <w:rFonts w:cs="Times New Roman"/>
          <w:i/>
          <w:szCs w:val="24"/>
        </w:rPr>
        <w:t>de jure</w:t>
      </w:r>
      <w:r w:rsidR="00AC7969" w:rsidRPr="00AC7969">
        <w:rPr>
          <w:rFonts w:cs="Times New Roman"/>
          <w:szCs w:val="24"/>
        </w:rPr>
        <w:t xml:space="preserve"> or </w:t>
      </w:r>
      <w:r w:rsidR="00AC7969" w:rsidRPr="00174595">
        <w:rPr>
          <w:rFonts w:cs="Times New Roman"/>
          <w:i/>
          <w:szCs w:val="24"/>
        </w:rPr>
        <w:t>de facto</w:t>
      </w:r>
      <w:r w:rsidR="00AC7969">
        <w:rPr>
          <w:rFonts w:cs="Times New Roman"/>
          <w:szCs w:val="24"/>
        </w:rPr>
        <w:t xml:space="preserve"> – arose from the terms of the Facility Agreement and </w:t>
      </w:r>
      <w:r w:rsidR="00F76171">
        <w:rPr>
          <w:rFonts w:cs="Times New Roman"/>
          <w:szCs w:val="24"/>
        </w:rPr>
        <w:t>from t</w:t>
      </w:r>
      <w:r w:rsidR="00AC7969">
        <w:rPr>
          <w:rFonts w:cs="Times New Roman"/>
          <w:szCs w:val="24"/>
        </w:rPr>
        <w:t xml:space="preserve">he fact that JCS was significantly indebted to Talos </w:t>
      </w:r>
      <w:r w:rsidR="00174595">
        <w:rPr>
          <w:rFonts w:cs="Times New Roman"/>
          <w:szCs w:val="24"/>
        </w:rPr>
        <w:t>as of the end of October/start of November 2015.</w:t>
      </w:r>
    </w:p>
    <w:p w14:paraId="587B5D9B" w14:textId="77777777" w:rsidR="00AC7969" w:rsidRPr="00AC7969" w:rsidRDefault="00AC7969" w:rsidP="00AC7969">
      <w:pPr>
        <w:pStyle w:val="ListParagraph"/>
        <w:autoSpaceDE w:val="0"/>
        <w:autoSpaceDN w:val="0"/>
        <w:adjustRightInd w:val="0"/>
        <w:rPr>
          <w:rFonts w:cs="Times New Roman"/>
          <w:szCs w:val="24"/>
        </w:rPr>
      </w:pPr>
    </w:p>
    <w:p w14:paraId="57B1DBFD" w14:textId="396F70BE" w:rsidR="003F16DD" w:rsidRDefault="003F16DD" w:rsidP="003F16DD">
      <w:pPr>
        <w:pStyle w:val="ListParagraph"/>
        <w:numPr>
          <w:ilvl w:val="0"/>
          <w:numId w:val="1"/>
        </w:numPr>
        <w:autoSpaceDE w:val="0"/>
        <w:autoSpaceDN w:val="0"/>
        <w:adjustRightInd w:val="0"/>
        <w:ind w:hanging="720"/>
        <w:rPr>
          <w:rFonts w:cs="Times New Roman"/>
          <w:szCs w:val="24"/>
        </w:rPr>
      </w:pPr>
      <w:r>
        <w:rPr>
          <w:rFonts w:cs="Times New Roman"/>
          <w:szCs w:val="24"/>
        </w:rPr>
        <w:t xml:space="preserve">It follows that I would reject this aspect of Dr Sheehan’s appeal. </w:t>
      </w:r>
      <w:r w:rsidR="005E4C26">
        <w:rPr>
          <w:rFonts w:cs="Times New Roman"/>
          <w:szCs w:val="24"/>
        </w:rPr>
        <w:t>Dr Sheehan</w:t>
      </w:r>
      <w:r>
        <w:rPr>
          <w:rFonts w:cs="Times New Roman"/>
          <w:szCs w:val="24"/>
        </w:rPr>
        <w:t xml:space="preserve"> and IBRC were not </w:t>
      </w:r>
      <w:r w:rsidRPr="003F16DD">
        <w:rPr>
          <w:rFonts w:cs="Times New Roman"/>
          <w:i/>
          <w:szCs w:val="24"/>
        </w:rPr>
        <w:t>“concurrent wrongdoers”</w:t>
      </w:r>
      <w:r>
        <w:rPr>
          <w:rFonts w:cs="Times New Roman"/>
          <w:szCs w:val="24"/>
        </w:rPr>
        <w:t xml:space="preserve"> within the meaning of section 11(1) of the 1961 Act </w:t>
      </w:r>
      <w:r w:rsidR="0068452D">
        <w:rPr>
          <w:rFonts w:cs="Times New Roman"/>
          <w:szCs w:val="24"/>
        </w:rPr>
        <w:t xml:space="preserve">because to the extent that, for the purposes of the 1961 Act, IBRC is to be considered as a wrongdoer, it was a wrongdoer </w:t>
      </w:r>
      <w:r w:rsidR="0068452D" w:rsidRPr="0068452D">
        <w:rPr>
          <w:rFonts w:cs="Times New Roman"/>
          <w:i/>
          <w:szCs w:val="24"/>
        </w:rPr>
        <w:t>vis a vis</w:t>
      </w:r>
      <w:r w:rsidR="0068452D">
        <w:rPr>
          <w:rFonts w:cs="Times New Roman"/>
          <w:szCs w:val="24"/>
        </w:rPr>
        <w:t xml:space="preserve"> JCS, not Talos </w:t>
      </w:r>
      <w:r w:rsidR="005E4C26">
        <w:rPr>
          <w:rFonts w:cs="Times New Roman"/>
          <w:szCs w:val="24"/>
        </w:rPr>
        <w:t>and had no responsibility to Talos for any damage that it may have suffered arising from advancing the Deposit Loan to JCS. Section 17(2) therefore has no application in the circumstances here.</w:t>
      </w:r>
    </w:p>
    <w:p w14:paraId="0344EEDD" w14:textId="77777777" w:rsidR="005E4C26" w:rsidRDefault="005E4C26" w:rsidP="005E4C26">
      <w:pPr>
        <w:pStyle w:val="ListParagraph"/>
        <w:autoSpaceDE w:val="0"/>
        <w:autoSpaceDN w:val="0"/>
        <w:adjustRightInd w:val="0"/>
        <w:rPr>
          <w:rFonts w:cs="Times New Roman"/>
          <w:szCs w:val="24"/>
        </w:rPr>
      </w:pPr>
    </w:p>
    <w:p w14:paraId="02C42295" w14:textId="02EF7C7E" w:rsidR="005E4C26" w:rsidRDefault="005E4C26" w:rsidP="003F16DD">
      <w:pPr>
        <w:pStyle w:val="ListParagraph"/>
        <w:numPr>
          <w:ilvl w:val="0"/>
          <w:numId w:val="1"/>
        </w:numPr>
        <w:autoSpaceDE w:val="0"/>
        <w:autoSpaceDN w:val="0"/>
        <w:adjustRightInd w:val="0"/>
        <w:ind w:hanging="720"/>
        <w:rPr>
          <w:rFonts w:cs="Times New Roman"/>
          <w:szCs w:val="24"/>
        </w:rPr>
      </w:pPr>
      <w:r>
        <w:rPr>
          <w:rFonts w:cs="Times New Roman"/>
          <w:szCs w:val="24"/>
        </w:rPr>
        <w:t>In light of that finding, it is not necessary to consider any issue concerning the concept of “</w:t>
      </w:r>
      <w:r w:rsidRPr="005E4C26">
        <w:rPr>
          <w:rFonts w:cs="Times New Roman"/>
          <w:i/>
          <w:szCs w:val="24"/>
        </w:rPr>
        <w:t>the same damage”.</w:t>
      </w:r>
      <w:r>
        <w:rPr>
          <w:rFonts w:cs="Times New Roman"/>
          <w:szCs w:val="24"/>
        </w:rPr>
        <w:t xml:space="preserve"> </w:t>
      </w:r>
    </w:p>
    <w:p w14:paraId="3887AA2B" w14:textId="77777777" w:rsidR="000A7B53" w:rsidRDefault="000A7B53" w:rsidP="000A7B53">
      <w:pPr>
        <w:pStyle w:val="ListParagraph"/>
        <w:autoSpaceDE w:val="0"/>
        <w:autoSpaceDN w:val="0"/>
        <w:adjustRightInd w:val="0"/>
        <w:rPr>
          <w:rFonts w:cs="Times New Roman"/>
          <w:szCs w:val="24"/>
        </w:rPr>
      </w:pPr>
    </w:p>
    <w:p w14:paraId="3B99A2D9" w14:textId="7BE983D4" w:rsidR="000A7B53" w:rsidRDefault="00D477E1" w:rsidP="003F16DD">
      <w:pPr>
        <w:pStyle w:val="ListParagraph"/>
        <w:numPr>
          <w:ilvl w:val="0"/>
          <w:numId w:val="1"/>
        </w:numPr>
        <w:autoSpaceDE w:val="0"/>
        <w:autoSpaceDN w:val="0"/>
        <w:adjustRightInd w:val="0"/>
        <w:ind w:hanging="720"/>
        <w:rPr>
          <w:rFonts w:cs="Times New Roman"/>
          <w:szCs w:val="24"/>
        </w:rPr>
      </w:pPr>
      <w:r>
        <w:rPr>
          <w:rFonts w:cs="Times New Roman"/>
          <w:szCs w:val="24"/>
        </w:rPr>
        <w:t xml:space="preserve">The appeal from the dismissal of the section 17(2) claim also fails. </w:t>
      </w:r>
    </w:p>
    <w:p w14:paraId="48735EEA" w14:textId="77777777" w:rsidR="00D477E1" w:rsidRDefault="00D477E1" w:rsidP="00D477E1">
      <w:pPr>
        <w:pStyle w:val="ListParagraph"/>
        <w:autoSpaceDE w:val="0"/>
        <w:autoSpaceDN w:val="0"/>
        <w:adjustRightInd w:val="0"/>
        <w:rPr>
          <w:rFonts w:cs="Times New Roman"/>
          <w:szCs w:val="24"/>
        </w:rPr>
      </w:pPr>
    </w:p>
    <w:p w14:paraId="5EEE6D71" w14:textId="6471E563" w:rsidR="00D477E1" w:rsidRDefault="00D477E1" w:rsidP="003F16DD">
      <w:pPr>
        <w:pStyle w:val="ListParagraph"/>
        <w:numPr>
          <w:ilvl w:val="0"/>
          <w:numId w:val="1"/>
        </w:numPr>
        <w:autoSpaceDE w:val="0"/>
        <w:autoSpaceDN w:val="0"/>
        <w:adjustRightInd w:val="0"/>
        <w:ind w:hanging="720"/>
        <w:rPr>
          <w:rFonts w:cs="Times New Roman"/>
          <w:szCs w:val="24"/>
        </w:rPr>
      </w:pPr>
      <w:r>
        <w:rPr>
          <w:rFonts w:cs="Times New Roman"/>
          <w:szCs w:val="24"/>
        </w:rPr>
        <w:t xml:space="preserve">Before leaving this aspect of the appeal, I re-iterate that no issue was raised on this appeal as to the manner in which the JCS monies were allocated by Talos. Nor was it suggested that Talos had </w:t>
      </w:r>
      <w:r w:rsidR="0087247B">
        <w:rPr>
          <w:rFonts w:cs="Times New Roman"/>
          <w:szCs w:val="24"/>
        </w:rPr>
        <w:t>benefitted from any</w:t>
      </w:r>
      <w:r>
        <w:rPr>
          <w:rFonts w:cs="Times New Roman"/>
          <w:szCs w:val="24"/>
        </w:rPr>
        <w:t xml:space="preserve"> double-recovery or over-recovery</w:t>
      </w:r>
      <w:r w:rsidR="0087247B">
        <w:rPr>
          <w:rFonts w:cs="Times New Roman"/>
          <w:szCs w:val="24"/>
        </w:rPr>
        <w:t>.</w:t>
      </w:r>
    </w:p>
    <w:p w14:paraId="72DB6A4C" w14:textId="77777777" w:rsidR="00984C0A" w:rsidRDefault="00984C0A" w:rsidP="00984C0A">
      <w:pPr>
        <w:pStyle w:val="ListParagraph"/>
        <w:autoSpaceDE w:val="0"/>
        <w:autoSpaceDN w:val="0"/>
        <w:adjustRightInd w:val="0"/>
        <w:rPr>
          <w:rFonts w:cs="Times New Roman"/>
          <w:szCs w:val="24"/>
        </w:rPr>
      </w:pPr>
    </w:p>
    <w:p w14:paraId="47B046E9" w14:textId="1A616A01" w:rsidR="00984C0A" w:rsidRPr="00984C0A" w:rsidRDefault="00B73B61" w:rsidP="00984C0A">
      <w:pPr>
        <w:pStyle w:val="ListParagraph"/>
        <w:autoSpaceDE w:val="0"/>
        <w:autoSpaceDN w:val="0"/>
        <w:adjustRightInd w:val="0"/>
        <w:rPr>
          <w:rFonts w:cs="Times New Roman"/>
          <w:b/>
          <w:i/>
          <w:szCs w:val="24"/>
        </w:rPr>
      </w:pPr>
      <w:r>
        <w:rPr>
          <w:rFonts w:cs="Times New Roman"/>
          <w:b/>
          <w:i/>
          <w:szCs w:val="24"/>
        </w:rPr>
        <w:t>Other</w:t>
      </w:r>
      <w:r w:rsidR="00984C0A" w:rsidRPr="00984C0A">
        <w:rPr>
          <w:rFonts w:cs="Times New Roman"/>
          <w:b/>
          <w:i/>
          <w:szCs w:val="24"/>
        </w:rPr>
        <w:t xml:space="preserve"> Issues</w:t>
      </w:r>
    </w:p>
    <w:p w14:paraId="21B80F2B" w14:textId="77777777" w:rsidR="00984C0A" w:rsidRDefault="00984C0A" w:rsidP="00984C0A">
      <w:pPr>
        <w:pStyle w:val="ListParagraph"/>
        <w:autoSpaceDE w:val="0"/>
        <w:autoSpaceDN w:val="0"/>
        <w:adjustRightInd w:val="0"/>
        <w:rPr>
          <w:rFonts w:cs="Times New Roman"/>
          <w:szCs w:val="24"/>
        </w:rPr>
      </w:pPr>
    </w:p>
    <w:p w14:paraId="288711EA" w14:textId="440431A6" w:rsidR="00984C0A" w:rsidRDefault="00B841BD" w:rsidP="003F16DD">
      <w:pPr>
        <w:pStyle w:val="ListParagraph"/>
        <w:numPr>
          <w:ilvl w:val="0"/>
          <w:numId w:val="1"/>
        </w:numPr>
        <w:autoSpaceDE w:val="0"/>
        <w:autoSpaceDN w:val="0"/>
        <w:adjustRightInd w:val="0"/>
        <w:ind w:hanging="720"/>
        <w:rPr>
          <w:rFonts w:cs="Times New Roman"/>
          <w:szCs w:val="24"/>
        </w:rPr>
      </w:pPr>
      <w:r>
        <w:rPr>
          <w:rFonts w:cs="Times New Roman"/>
          <w:szCs w:val="24"/>
        </w:rPr>
        <w:t xml:space="preserve">I turn now to the complaints made by Dr Sheehan about the statements made by the Judge in his </w:t>
      </w:r>
      <w:r w:rsidR="00CE74C5">
        <w:rPr>
          <w:rFonts w:cs="Times New Roman"/>
          <w:szCs w:val="24"/>
        </w:rPr>
        <w:t>Ju</w:t>
      </w:r>
      <w:r>
        <w:rPr>
          <w:rFonts w:cs="Times New Roman"/>
          <w:szCs w:val="24"/>
        </w:rPr>
        <w:t>dgment.</w:t>
      </w:r>
    </w:p>
    <w:p w14:paraId="19664A2E" w14:textId="77777777" w:rsidR="00B841BD" w:rsidRDefault="00B841BD" w:rsidP="00B841BD">
      <w:pPr>
        <w:pStyle w:val="ListParagraph"/>
        <w:autoSpaceDE w:val="0"/>
        <w:autoSpaceDN w:val="0"/>
        <w:adjustRightInd w:val="0"/>
        <w:rPr>
          <w:rFonts w:cs="Times New Roman"/>
          <w:szCs w:val="24"/>
        </w:rPr>
      </w:pPr>
    </w:p>
    <w:p w14:paraId="17EAB868" w14:textId="0079F749" w:rsidR="0046150B" w:rsidRDefault="00CE74C5" w:rsidP="0046150B">
      <w:pPr>
        <w:pStyle w:val="ListParagraph"/>
        <w:numPr>
          <w:ilvl w:val="0"/>
          <w:numId w:val="1"/>
        </w:numPr>
        <w:autoSpaceDE w:val="0"/>
        <w:autoSpaceDN w:val="0"/>
        <w:adjustRightInd w:val="0"/>
        <w:ind w:hanging="720"/>
        <w:rPr>
          <w:rFonts w:cs="Times New Roman"/>
          <w:szCs w:val="24"/>
        </w:rPr>
      </w:pPr>
      <w:r>
        <w:rPr>
          <w:rFonts w:cs="Times New Roman"/>
          <w:szCs w:val="24"/>
        </w:rPr>
        <w:t xml:space="preserve">Before addressing these further, however, I should </w:t>
      </w:r>
      <w:r w:rsidR="00BE31A8">
        <w:rPr>
          <w:rFonts w:cs="Times New Roman"/>
          <w:szCs w:val="24"/>
        </w:rPr>
        <w:t>deal with</w:t>
      </w:r>
      <w:r>
        <w:rPr>
          <w:rFonts w:cs="Times New Roman"/>
          <w:szCs w:val="24"/>
        </w:rPr>
        <w:t xml:space="preserve"> the conflict of interest issue adverted to by Dr Sheehan in his submissions. On Day 3 of the hearing the Judge disclosed to the parties that, “</w:t>
      </w:r>
      <w:r w:rsidRPr="00CE74C5">
        <w:rPr>
          <w:rFonts w:cs="Times New Roman"/>
          <w:i/>
          <w:szCs w:val="24"/>
        </w:rPr>
        <w:t>several years before</w:t>
      </w:r>
      <w:r>
        <w:rPr>
          <w:rFonts w:cs="Times New Roman"/>
          <w:szCs w:val="24"/>
        </w:rPr>
        <w:t>”, while in private practice, he had given partnership advice to AMOSS, the solicitors for Talos (Twomey</w:t>
      </w:r>
      <w:r w:rsidR="008C0364">
        <w:rPr>
          <w:rFonts w:cs="Times New Roman"/>
          <w:szCs w:val="24"/>
        </w:rPr>
        <w:t xml:space="preserve"> J</w:t>
      </w:r>
      <w:r>
        <w:rPr>
          <w:rFonts w:cs="Times New Roman"/>
          <w:szCs w:val="24"/>
        </w:rPr>
        <w:t xml:space="preserve"> was, of course, a </w:t>
      </w:r>
      <w:r w:rsidR="00AC290B">
        <w:rPr>
          <w:rFonts w:cs="Times New Roman"/>
          <w:szCs w:val="24"/>
        </w:rPr>
        <w:t>well-known</w:t>
      </w:r>
      <w:r>
        <w:rPr>
          <w:rFonts w:cs="Times New Roman"/>
          <w:szCs w:val="24"/>
        </w:rPr>
        <w:t xml:space="preserve"> expert in partnership law and author of the leading Irish text on that subject).  </w:t>
      </w:r>
      <w:r w:rsidR="0046150B">
        <w:rPr>
          <w:rFonts w:cs="Times New Roman"/>
          <w:szCs w:val="24"/>
        </w:rPr>
        <w:t>Mr Simons was (and is) a partner in AMOSS. The Judge explained that he had been prompted to make the disclosure</w:t>
      </w:r>
      <w:r w:rsidR="00B84AEB">
        <w:rPr>
          <w:rFonts w:cs="Times New Roman"/>
          <w:szCs w:val="24"/>
        </w:rPr>
        <w:t xml:space="preserve"> when he did </w:t>
      </w:r>
      <w:r w:rsidR="0046150B">
        <w:rPr>
          <w:rFonts w:cs="Times New Roman"/>
          <w:szCs w:val="24"/>
        </w:rPr>
        <w:t xml:space="preserve">because it had become apparent to him in the course of the previous day’s hearing, and in particular </w:t>
      </w:r>
      <w:r w:rsidR="009E7456">
        <w:rPr>
          <w:rFonts w:cs="Times New Roman"/>
          <w:szCs w:val="24"/>
        </w:rPr>
        <w:t>from t</w:t>
      </w:r>
      <w:r w:rsidR="0046150B">
        <w:rPr>
          <w:rFonts w:cs="Times New Roman"/>
          <w:szCs w:val="24"/>
        </w:rPr>
        <w:t>he evidence of Mr Shannon</w:t>
      </w:r>
      <w:r w:rsidR="00B84AEB">
        <w:rPr>
          <w:rFonts w:cs="Times New Roman"/>
          <w:szCs w:val="24"/>
        </w:rPr>
        <w:t xml:space="preserve">, </w:t>
      </w:r>
      <w:r w:rsidR="0046150B">
        <w:rPr>
          <w:rFonts w:cs="Times New Roman"/>
          <w:szCs w:val="24"/>
        </w:rPr>
        <w:t xml:space="preserve">that there was a conflict between his evidence and the evidence that was going to be given by Mr Simons </w:t>
      </w:r>
      <w:r w:rsidR="0046150B" w:rsidRPr="0046150B">
        <w:rPr>
          <w:rFonts w:cs="Times New Roman"/>
          <w:szCs w:val="24"/>
        </w:rPr>
        <w:t>and “</w:t>
      </w:r>
      <w:r w:rsidR="0046150B" w:rsidRPr="0046150B">
        <w:rPr>
          <w:rFonts w:cs="Times New Roman"/>
          <w:i/>
          <w:szCs w:val="24"/>
        </w:rPr>
        <w:t>if this Court were to prefer Mr. Simons</w:t>
      </w:r>
      <w:r w:rsidR="0046150B">
        <w:rPr>
          <w:rFonts w:cs="Times New Roman"/>
          <w:i/>
          <w:szCs w:val="24"/>
        </w:rPr>
        <w:t xml:space="preserve">’ </w:t>
      </w:r>
      <w:r w:rsidR="0046150B" w:rsidRPr="0046150B">
        <w:rPr>
          <w:rFonts w:cs="Times New Roman"/>
          <w:i/>
          <w:szCs w:val="24"/>
        </w:rPr>
        <w:t>evidence, a former client of mine, over the evidence of</w:t>
      </w:r>
      <w:r w:rsidR="0046150B">
        <w:rPr>
          <w:rFonts w:cs="Times New Roman"/>
          <w:i/>
          <w:szCs w:val="24"/>
        </w:rPr>
        <w:t xml:space="preserve"> </w:t>
      </w:r>
      <w:r w:rsidR="0046150B" w:rsidRPr="0046150B">
        <w:rPr>
          <w:rFonts w:cs="Times New Roman"/>
          <w:i/>
          <w:szCs w:val="24"/>
        </w:rPr>
        <w:t>Mr. Shannon, who was not a client of mine, this could</w:t>
      </w:r>
      <w:r w:rsidR="0046150B">
        <w:rPr>
          <w:rFonts w:cs="Times New Roman"/>
          <w:i/>
          <w:szCs w:val="24"/>
        </w:rPr>
        <w:t xml:space="preserve"> </w:t>
      </w:r>
      <w:r w:rsidR="0046150B" w:rsidRPr="0046150B">
        <w:rPr>
          <w:rFonts w:cs="Times New Roman"/>
          <w:i/>
          <w:szCs w:val="24"/>
        </w:rPr>
        <w:t>have a very significant impact on the outcome of the case.”</w:t>
      </w:r>
      <w:r w:rsidR="0046150B" w:rsidRPr="0046150B">
        <w:rPr>
          <w:rFonts w:cs="Times New Roman"/>
          <w:szCs w:val="24"/>
        </w:rPr>
        <w:t xml:space="preserve"> Therefore, </w:t>
      </w:r>
      <w:r w:rsidR="0046150B">
        <w:rPr>
          <w:rFonts w:cs="Times New Roman"/>
          <w:szCs w:val="24"/>
        </w:rPr>
        <w:t>he went on</w:t>
      </w:r>
      <w:r w:rsidR="0046150B" w:rsidRPr="0046150B">
        <w:rPr>
          <w:rFonts w:cs="Times New Roman"/>
          <w:szCs w:val="24"/>
        </w:rPr>
        <w:t xml:space="preserve">, while he did not have any actual conflict or interest in the outcome of this trial, </w:t>
      </w:r>
      <w:r w:rsidR="0046150B" w:rsidRPr="0046150B">
        <w:rPr>
          <w:rFonts w:cs="Times New Roman"/>
          <w:i/>
          <w:szCs w:val="24"/>
        </w:rPr>
        <w:t xml:space="preserve">“there could be a perception that I might have a bias in favour of </w:t>
      </w:r>
      <w:r w:rsidR="0046150B" w:rsidRPr="0046150B">
        <w:rPr>
          <w:rFonts w:cs="Times New Roman"/>
          <w:i/>
          <w:szCs w:val="24"/>
        </w:rPr>
        <w:lastRenderedPageBreak/>
        <w:t>one witness' evidence over another witness' evidence because one was a former client of mine and one was not.”</w:t>
      </w:r>
      <w:r w:rsidR="0046150B">
        <w:rPr>
          <w:rFonts w:cs="Times New Roman"/>
          <w:i/>
          <w:szCs w:val="24"/>
        </w:rPr>
        <w:t xml:space="preserve"> </w:t>
      </w:r>
      <w:r w:rsidR="0046150B">
        <w:rPr>
          <w:rFonts w:cs="Times New Roman"/>
          <w:szCs w:val="24"/>
        </w:rPr>
        <w:t xml:space="preserve">The Judge then rose to allow instructions to be taken from the respective parties. </w:t>
      </w:r>
    </w:p>
    <w:p w14:paraId="25F2CAD8" w14:textId="77777777" w:rsidR="00AC290B" w:rsidRDefault="00AC290B" w:rsidP="00AC290B">
      <w:pPr>
        <w:pStyle w:val="ListParagraph"/>
        <w:autoSpaceDE w:val="0"/>
        <w:autoSpaceDN w:val="0"/>
        <w:adjustRightInd w:val="0"/>
        <w:rPr>
          <w:rFonts w:cs="Times New Roman"/>
          <w:szCs w:val="24"/>
        </w:rPr>
      </w:pPr>
    </w:p>
    <w:p w14:paraId="51F9F6AF" w14:textId="1342C80C" w:rsidR="0046150B" w:rsidRDefault="0046150B" w:rsidP="0046150B">
      <w:pPr>
        <w:pStyle w:val="ListParagraph"/>
        <w:numPr>
          <w:ilvl w:val="0"/>
          <w:numId w:val="1"/>
        </w:numPr>
        <w:autoSpaceDE w:val="0"/>
        <w:autoSpaceDN w:val="0"/>
        <w:adjustRightInd w:val="0"/>
        <w:ind w:hanging="720"/>
        <w:rPr>
          <w:rFonts w:cs="Times New Roman"/>
          <w:szCs w:val="24"/>
        </w:rPr>
      </w:pPr>
      <w:r>
        <w:rPr>
          <w:rFonts w:cs="Times New Roman"/>
          <w:szCs w:val="24"/>
        </w:rPr>
        <w:t>Counsel duly took instructions and Mr Dunleavey told the Court that his client (Talos) had no difficulty with the Judge continuing to deal with the case and Mr Cush SC (for Dr Sheehan</w:t>
      </w:r>
      <w:r w:rsidR="00305F3B">
        <w:rPr>
          <w:rFonts w:cs="Times New Roman"/>
          <w:szCs w:val="24"/>
        </w:rPr>
        <w:t>) indicated that that was his client’s position also and that “</w:t>
      </w:r>
      <w:r w:rsidR="00305F3B" w:rsidRPr="00305F3B">
        <w:rPr>
          <w:rFonts w:cs="Times New Roman"/>
          <w:i/>
          <w:szCs w:val="24"/>
        </w:rPr>
        <w:t>we are anxious to proceed</w:t>
      </w:r>
      <w:r w:rsidR="00305F3B">
        <w:rPr>
          <w:rFonts w:cs="Times New Roman"/>
          <w:szCs w:val="24"/>
        </w:rPr>
        <w:t>”. The hearing then proceeded.</w:t>
      </w:r>
    </w:p>
    <w:p w14:paraId="04012897" w14:textId="77777777" w:rsidR="00305F3B" w:rsidRDefault="00305F3B" w:rsidP="00305F3B">
      <w:pPr>
        <w:pStyle w:val="ListParagraph"/>
        <w:autoSpaceDE w:val="0"/>
        <w:autoSpaceDN w:val="0"/>
        <w:adjustRightInd w:val="0"/>
        <w:rPr>
          <w:rFonts w:cs="Times New Roman"/>
          <w:szCs w:val="24"/>
        </w:rPr>
      </w:pPr>
    </w:p>
    <w:p w14:paraId="2A72DADB" w14:textId="35B000B7" w:rsidR="00305F3B" w:rsidRDefault="00305F3B" w:rsidP="0046150B">
      <w:pPr>
        <w:pStyle w:val="ListParagraph"/>
        <w:numPr>
          <w:ilvl w:val="0"/>
          <w:numId w:val="1"/>
        </w:numPr>
        <w:autoSpaceDE w:val="0"/>
        <w:autoSpaceDN w:val="0"/>
        <w:adjustRightInd w:val="0"/>
        <w:ind w:hanging="720"/>
        <w:rPr>
          <w:rFonts w:cs="Times New Roman"/>
          <w:szCs w:val="24"/>
        </w:rPr>
      </w:pPr>
      <w:r>
        <w:rPr>
          <w:rFonts w:cs="Times New Roman"/>
          <w:szCs w:val="24"/>
        </w:rPr>
        <w:t xml:space="preserve">In these circumstances, in the absence of any suggestion that the disclosure made by the Judge was either inaccurate or incomplete – and no such suggestion </w:t>
      </w:r>
      <w:r w:rsidR="000553F2">
        <w:rPr>
          <w:rFonts w:cs="Times New Roman"/>
          <w:szCs w:val="24"/>
        </w:rPr>
        <w:t>has been</w:t>
      </w:r>
      <w:r>
        <w:rPr>
          <w:rFonts w:cs="Times New Roman"/>
          <w:szCs w:val="24"/>
        </w:rPr>
        <w:t xml:space="preserve"> made – it is not open to Dr Sheehan at this stage to attempt to revive this issue or </w:t>
      </w:r>
      <w:r w:rsidR="00B84AEB">
        <w:rPr>
          <w:rFonts w:cs="Times New Roman"/>
          <w:szCs w:val="24"/>
        </w:rPr>
        <w:t>to maintain</w:t>
      </w:r>
      <w:r w:rsidR="009E7456">
        <w:rPr>
          <w:rFonts w:cs="Times New Roman"/>
          <w:szCs w:val="24"/>
        </w:rPr>
        <w:t>, as he did in argument, that there was a “</w:t>
      </w:r>
      <w:r w:rsidR="009E7456" w:rsidRPr="009E7456">
        <w:rPr>
          <w:rFonts w:cs="Times New Roman"/>
          <w:i/>
          <w:szCs w:val="24"/>
        </w:rPr>
        <w:t>definite conflict</w:t>
      </w:r>
      <w:r w:rsidR="009E7456">
        <w:rPr>
          <w:rFonts w:cs="Times New Roman"/>
          <w:szCs w:val="24"/>
        </w:rPr>
        <w:t xml:space="preserve">”  and/or that the Judge’s subsequent determination of his claim demonstrated such a conflict. If authority is needed for that proposition, it is supplied by </w:t>
      </w:r>
      <w:r w:rsidR="009E7456" w:rsidRPr="009E7456">
        <w:rPr>
          <w:rFonts w:cs="Times New Roman"/>
          <w:i/>
          <w:szCs w:val="24"/>
        </w:rPr>
        <w:t>Corrigan v Irish Land Commission</w:t>
      </w:r>
      <w:r w:rsidR="009E7456">
        <w:rPr>
          <w:rFonts w:cs="Times New Roman"/>
          <w:szCs w:val="24"/>
        </w:rPr>
        <w:t xml:space="preserve"> [1977] IR 317. Here, in contrast to </w:t>
      </w:r>
      <w:r w:rsidR="009E7456" w:rsidRPr="009E7456">
        <w:rPr>
          <w:rFonts w:cs="Times New Roman"/>
          <w:i/>
          <w:szCs w:val="24"/>
        </w:rPr>
        <w:t>Corrigan</w:t>
      </w:r>
      <w:r w:rsidR="009E7456">
        <w:rPr>
          <w:rFonts w:cs="Times New Roman"/>
          <w:szCs w:val="24"/>
        </w:rPr>
        <w:t xml:space="preserve">, the potential conflict was brought to the attention of the parties  by the Judge and Dr Sheehan, who was at that stage represented by solicitor and counsel, </w:t>
      </w:r>
      <w:r w:rsidR="009E7456" w:rsidRPr="009E7456">
        <w:rPr>
          <w:rFonts w:cs="Times New Roman"/>
          <w:i/>
          <w:szCs w:val="24"/>
        </w:rPr>
        <w:t>expressly</w:t>
      </w:r>
      <w:r w:rsidR="009E7456">
        <w:rPr>
          <w:rFonts w:cs="Times New Roman"/>
          <w:szCs w:val="24"/>
        </w:rPr>
        <w:t xml:space="preserve"> waived any objection to him proceeding with the trial. Having done so, </w:t>
      </w:r>
      <w:r w:rsidR="00B84AEB">
        <w:rPr>
          <w:rFonts w:cs="Times New Roman"/>
          <w:szCs w:val="24"/>
        </w:rPr>
        <w:t xml:space="preserve">it is </w:t>
      </w:r>
      <w:r w:rsidR="005F126A">
        <w:rPr>
          <w:rFonts w:cs="Times New Roman"/>
          <w:szCs w:val="24"/>
        </w:rPr>
        <w:t xml:space="preserve">much </w:t>
      </w:r>
      <w:r w:rsidR="00B84AEB">
        <w:rPr>
          <w:rFonts w:cs="Times New Roman"/>
          <w:szCs w:val="24"/>
        </w:rPr>
        <w:t>too late to seek to make such an objection now.</w:t>
      </w:r>
    </w:p>
    <w:p w14:paraId="368B8D1D" w14:textId="77777777" w:rsidR="009E7456" w:rsidRPr="0046150B" w:rsidRDefault="009E7456" w:rsidP="009E7456">
      <w:pPr>
        <w:pStyle w:val="ListParagraph"/>
        <w:autoSpaceDE w:val="0"/>
        <w:autoSpaceDN w:val="0"/>
        <w:adjustRightInd w:val="0"/>
        <w:rPr>
          <w:rFonts w:cs="Times New Roman"/>
          <w:szCs w:val="24"/>
        </w:rPr>
      </w:pPr>
    </w:p>
    <w:p w14:paraId="6E7F026E" w14:textId="1E1FA491" w:rsidR="0046150B" w:rsidRDefault="009E7456" w:rsidP="003F16DD">
      <w:pPr>
        <w:pStyle w:val="ListParagraph"/>
        <w:numPr>
          <w:ilvl w:val="0"/>
          <w:numId w:val="1"/>
        </w:numPr>
        <w:autoSpaceDE w:val="0"/>
        <w:autoSpaceDN w:val="0"/>
        <w:adjustRightInd w:val="0"/>
        <w:ind w:hanging="720"/>
        <w:rPr>
          <w:rFonts w:cs="Times New Roman"/>
          <w:szCs w:val="24"/>
        </w:rPr>
      </w:pPr>
      <w:r>
        <w:rPr>
          <w:rFonts w:cs="Times New Roman"/>
          <w:szCs w:val="24"/>
        </w:rPr>
        <w:t xml:space="preserve">For completeness, I would note that Dr Sheehan was mistaken in suggesting that </w:t>
      </w:r>
      <w:r w:rsidR="00B84AEB">
        <w:rPr>
          <w:rFonts w:cs="Times New Roman"/>
          <w:szCs w:val="24"/>
        </w:rPr>
        <w:t xml:space="preserve">the fact that </w:t>
      </w:r>
      <w:r>
        <w:rPr>
          <w:rFonts w:cs="Times New Roman"/>
          <w:szCs w:val="24"/>
        </w:rPr>
        <w:t xml:space="preserve">Mr Simons </w:t>
      </w:r>
      <w:r w:rsidR="00B84AEB">
        <w:rPr>
          <w:rFonts w:cs="Times New Roman"/>
          <w:szCs w:val="24"/>
        </w:rPr>
        <w:t xml:space="preserve">was going to give evidence was first indicated in the course of the hearing. As Mr Dunleavey explained, Mr Simons had provided a detailed witness </w:t>
      </w:r>
      <w:r w:rsidR="00B84AEB">
        <w:rPr>
          <w:rFonts w:cs="Times New Roman"/>
          <w:szCs w:val="24"/>
        </w:rPr>
        <w:lastRenderedPageBreak/>
        <w:t xml:space="preserve">statement prior to the commencement of the trial and Dr Sheehan was accordingly on notice of the fact that Talos proposed to call him as a witness. </w:t>
      </w:r>
    </w:p>
    <w:p w14:paraId="05690A39" w14:textId="77777777" w:rsidR="00B84AEB" w:rsidRDefault="00B84AEB" w:rsidP="00B84AEB">
      <w:pPr>
        <w:pStyle w:val="ListParagraph"/>
        <w:autoSpaceDE w:val="0"/>
        <w:autoSpaceDN w:val="0"/>
        <w:adjustRightInd w:val="0"/>
        <w:rPr>
          <w:rFonts w:cs="Times New Roman"/>
          <w:szCs w:val="24"/>
        </w:rPr>
      </w:pPr>
    </w:p>
    <w:p w14:paraId="7AA0BFBB" w14:textId="5C8BA3EA" w:rsidR="00981294" w:rsidRDefault="00B841BD" w:rsidP="00981294">
      <w:pPr>
        <w:pStyle w:val="ListParagraph"/>
        <w:numPr>
          <w:ilvl w:val="0"/>
          <w:numId w:val="1"/>
        </w:numPr>
        <w:autoSpaceDE w:val="0"/>
        <w:autoSpaceDN w:val="0"/>
        <w:adjustRightInd w:val="0"/>
        <w:ind w:hanging="720"/>
        <w:rPr>
          <w:rFonts w:cs="Times New Roman"/>
          <w:szCs w:val="24"/>
        </w:rPr>
      </w:pPr>
      <w:r>
        <w:rPr>
          <w:rFonts w:cs="Times New Roman"/>
          <w:szCs w:val="24"/>
        </w:rPr>
        <w:t xml:space="preserve">The principal complaint </w:t>
      </w:r>
      <w:r w:rsidR="00F26AB5">
        <w:rPr>
          <w:rFonts w:cs="Times New Roman"/>
          <w:szCs w:val="24"/>
        </w:rPr>
        <w:t xml:space="preserve">made by Dr Sheehan </w:t>
      </w:r>
      <w:r>
        <w:rPr>
          <w:rFonts w:cs="Times New Roman"/>
          <w:szCs w:val="24"/>
        </w:rPr>
        <w:t xml:space="preserve">relates to the Judge’s references to the possibility of an </w:t>
      </w:r>
      <w:r w:rsidRPr="00B841BD">
        <w:rPr>
          <w:rFonts w:cs="Times New Roman"/>
          <w:i/>
          <w:szCs w:val="24"/>
        </w:rPr>
        <w:t>Isaac Wunder</w:t>
      </w:r>
      <w:r w:rsidR="00C05562">
        <w:rPr>
          <w:rFonts w:cs="Times New Roman"/>
          <w:szCs w:val="24"/>
        </w:rPr>
        <w:t xml:space="preserve"> </w:t>
      </w:r>
      <w:r>
        <w:rPr>
          <w:rFonts w:cs="Times New Roman"/>
          <w:szCs w:val="24"/>
        </w:rPr>
        <w:t xml:space="preserve">Order being made against Dr Sheehan and the suggestion in that context that Dr Sheehan was a </w:t>
      </w:r>
      <w:r w:rsidRPr="00B841BD">
        <w:rPr>
          <w:rFonts w:cs="Times New Roman"/>
          <w:i/>
          <w:szCs w:val="24"/>
        </w:rPr>
        <w:t>“serial litigant”</w:t>
      </w:r>
      <w:r w:rsidR="00F26AB5">
        <w:rPr>
          <w:rFonts w:cs="Times New Roman"/>
          <w:szCs w:val="24"/>
        </w:rPr>
        <w:t xml:space="preserve">. </w:t>
      </w:r>
      <w:r w:rsidR="008A5D56">
        <w:rPr>
          <w:rFonts w:cs="Times New Roman"/>
          <w:szCs w:val="24"/>
        </w:rPr>
        <w:t>In my view, t</w:t>
      </w:r>
      <w:r w:rsidR="00657C7A">
        <w:rPr>
          <w:rFonts w:cs="Times New Roman"/>
          <w:szCs w:val="24"/>
        </w:rPr>
        <w:t>here is</w:t>
      </w:r>
      <w:r w:rsidR="008A5D56">
        <w:rPr>
          <w:rFonts w:cs="Times New Roman"/>
          <w:szCs w:val="24"/>
        </w:rPr>
        <w:t xml:space="preserve"> </w:t>
      </w:r>
      <w:r w:rsidR="000553F2">
        <w:rPr>
          <w:rFonts w:cs="Times New Roman"/>
          <w:szCs w:val="24"/>
        </w:rPr>
        <w:t>undoubted</w:t>
      </w:r>
      <w:r w:rsidR="00657C7A">
        <w:rPr>
          <w:rFonts w:cs="Times New Roman"/>
          <w:szCs w:val="24"/>
        </w:rPr>
        <w:t xml:space="preserve"> force in </w:t>
      </w:r>
      <w:r w:rsidR="002C4DA0">
        <w:rPr>
          <w:rFonts w:cs="Times New Roman"/>
          <w:szCs w:val="24"/>
        </w:rPr>
        <w:t>th</w:t>
      </w:r>
      <w:r w:rsidR="008A5D56">
        <w:rPr>
          <w:rFonts w:cs="Times New Roman"/>
          <w:szCs w:val="24"/>
        </w:rPr>
        <w:t>at</w:t>
      </w:r>
      <w:r w:rsidR="00657C7A">
        <w:rPr>
          <w:rFonts w:cs="Times New Roman"/>
          <w:szCs w:val="24"/>
        </w:rPr>
        <w:t xml:space="preserve"> complaint.</w:t>
      </w:r>
      <w:r w:rsidR="0091024D">
        <w:rPr>
          <w:rFonts w:cs="Times New Roman"/>
          <w:szCs w:val="24"/>
        </w:rPr>
        <w:t xml:space="preserve"> </w:t>
      </w:r>
      <w:r w:rsidR="00BB111C">
        <w:rPr>
          <w:rFonts w:cs="Times New Roman"/>
          <w:szCs w:val="24"/>
        </w:rPr>
        <w:t>Giving the</w:t>
      </w:r>
      <w:r w:rsidR="0091024D">
        <w:rPr>
          <w:rFonts w:cs="Times New Roman"/>
          <w:szCs w:val="24"/>
        </w:rPr>
        <w:t xml:space="preserve"> principal judgment </w:t>
      </w:r>
      <w:r w:rsidR="00AC290B">
        <w:rPr>
          <w:rFonts w:cs="Times New Roman"/>
          <w:szCs w:val="24"/>
        </w:rPr>
        <w:t>in the Supreme Court</w:t>
      </w:r>
      <w:r w:rsidR="00BB111C">
        <w:rPr>
          <w:rFonts w:cs="Times New Roman"/>
          <w:szCs w:val="24"/>
        </w:rPr>
        <w:t xml:space="preserve"> </w:t>
      </w:r>
      <w:r w:rsidR="0091024D">
        <w:rPr>
          <w:rFonts w:cs="Times New Roman"/>
          <w:szCs w:val="24"/>
        </w:rPr>
        <w:t xml:space="preserve">in </w:t>
      </w:r>
      <w:r w:rsidR="0091024D" w:rsidRPr="0091024D">
        <w:rPr>
          <w:rFonts w:cs="Times New Roman"/>
          <w:i/>
          <w:szCs w:val="24"/>
        </w:rPr>
        <w:t>Defender Limited v HSBC France (formerly HSBC Institutional Trust Services (Ireland) Limited</w:t>
      </w:r>
      <w:r w:rsidR="0091024D">
        <w:rPr>
          <w:rFonts w:cs="Times New Roman"/>
          <w:szCs w:val="24"/>
        </w:rPr>
        <w:t xml:space="preserve"> [2020] IESC 37, [2021] 1 ILRM 1, </w:t>
      </w:r>
      <w:r w:rsidR="00BB111C">
        <w:rPr>
          <w:rFonts w:cs="Times New Roman"/>
          <w:szCs w:val="24"/>
        </w:rPr>
        <w:t xml:space="preserve">O’Donnell J (as he then was) noted </w:t>
      </w:r>
      <w:r w:rsidR="0091024D" w:rsidRPr="0091024D">
        <w:rPr>
          <w:rFonts w:cs="Times New Roman"/>
          <w:i/>
          <w:szCs w:val="24"/>
        </w:rPr>
        <w:t>“there is no reason to deprecate private parties seeking to litigate claims in courts when they cannot resolve them otherwise.”</w:t>
      </w:r>
      <w:r w:rsidR="0091024D">
        <w:rPr>
          <w:rFonts w:cs="Times New Roman"/>
          <w:i/>
          <w:szCs w:val="24"/>
        </w:rPr>
        <w:t xml:space="preserve"> </w:t>
      </w:r>
      <w:r w:rsidR="0091024D">
        <w:rPr>
          <w:rFonts w:cs="Times New Roman"/>
          <w:szCs w:val="24"/>
        </w:rPr>
        <w:t>That is, he w</w:t>
      </w:r>
      <w:r w:rsidR="00AC290B">
        <w:rPr>
          <w:rFonts w:cs="Times New Roman"/>
          <w:szCs w:val="24"/>
        </w:rPr>
        <w:t>ent</w:t>
      </w:r>
      <w:r w:rsidR="0091024D">
        <w:rPr>
          <w:rFonts w:cs="Times New Roman"/>
          <w:szCs w:val="24"/>
        </w:rPr>
        <w:t xml:space="preserve"> on to observe</w:t>
      </w:r>
      <w:r w:rsidR="00AC290B">
        <w:rPr>
          <w:rFonts w:cs="Times New Roman"/>
          <w:szCs w:val="24"/>
        </w:rPr>
        <w:t>,</w:t>
      </w:r>
      <w:r w:rsidR="0091024D">
        <w:rPr>
          <w:rFonts w:cs="Times New Roman"/>
          <w:szCs w:val="24"/>
        </w:rPr>
        <w:t xml:space="preserve"> “</w:t>
      </w:r>
      <w:r w:rsidR="0091024D" w:rsidRPr="0091024D">
        <w:rPr>
          <w:rFonts w:cs="Times New Roman"/>
          <w:i/>
          <w:szCs w:val="24"/>
        </w:rPr>
        <w:t>a core function of the administration of justice.”</w:t>
      </w:r>
      <w:r w:rsidR="0091024D">
        <w:rPr>
          <w:rFonts w:cs="Times New Roman"/>
          <w:szCs w:val="24"/>
        </w:rPr>
        <w:t xml:space="preserve"> An important part of the administration of justice, he continued, </w:t>
      </w:r>
      <w:r w:rsidR="00981294">
        <w:rPr>
          <w:rFonts w:cs="Times New Roman"/>
          <w:szCs w:val="24"/>
        </w:rPr>
        <w:t xml:space="preserve">is that </w:t>
      </w:r>
      <w:r w:rsidR="00981294" w:rsidRPr="00981294">
        <w:rPr>
          <w:rFonts w:cs="Times New Roman"/>
          <w:i/>
          <w:szCs w:val="24"/>
        </w:rPr>
        <w:t>“a party, in particular the losing party, should believe that his or her case was fairly ventilated and considered.”</w:t>
      </w:r>
      <w:r w:rsidR="004B1503">
        <w:rPr>
          <w:rFonts w:cs="Times New Roman"/>
          <w:i/>
          <w:szCs w:val="24"/>
        </w:rPr>
        <w:t xml:space="preserve"> </w:t>
      </w:r>
      <w:r w:rsidR="00981294">
        <w:rPr>
          <w:rFonts w:cs="Times New Roman"/>
          <w:szCs w:val="24"/>
        </w:rPr>
        <w:t>(at para 24).</w:t>
      </w:r>
    </w:p>
    <w:p w14:paraId="070A8A66" w14:textId="77777777" w:rsidR="00981294" w:rsidRDefault="00981294" w:rsidP="00981294">
      <w:pPr>
        <w:pStyle w:val="ListParagraph"/>
        <w:autoSpaceDE w:val="0"/>
        <w:autoSpaceDN w:val="0"/>
        <w:adjustRightInd w:val="0"/>
        <w:rPr>
          <w:rFonts w:cs="Times New Roman"/>
          <w:szCs w:val="24"/>
        </w:rPr>
      </w:pPr>
    </w:p>
    <w:p w14:paraId="0FA09AF2" w14:textId="52291775" w:rsidR="00981294" w:rsidRPr="00981294" w:rsidRDefault="00981294" w:rsidP="00981294">
      <w:pPr>
        <w:pStyle w:val="ListParagraph"/>
        <w:numPr>
          <w:ilvl w:val="0"/>
          <w:numId w:val="1"/>
        </w:numPr>
        <w:autoSpaceDE w:val="0"/>
        <w:autoSpaceDN w:val="0"/>
        <w:adjustRightInd w:val="0"/>
        <w:ind w:hanging="720"/>
        <w:rPr>
          <w:rFonts w:cs="Times New Roman"/>
          <w:szCs w:val="24"/>
        </w:rPr>
      </w:pPr>
      <w:r>
        <w:rPr>
          <w:rFonts w:cs="Times New Roman"/>
          <w:szCs w:val="24"/>
        </w:rPr>
        <w:t xml:space="preserve">Of course, </w:t>
      </w:r>
      <w:r w:rsidRPr="00981294">
        <w:rPr>
          <w:rFonts w:cs="Times New Roman"/>
          <w:szCs w:val="24"/>
        </w:rPr>
        <w:t xml:space="preserve">the right of access to the courts is not absolute </w:t>
      </w:r>
      <w:r w:rsidRPr="00981294">
        <w:rPr>
          <w:rFonts w:eastAsia="Times New Roman" w:cs="Times New Roman"/>
          <w:szCs w:val="24"/>
          <w:lang w:eastAsia="en-IE"/>
        </w:rPr>
        <w:t xml:space="preserve">and other rights and interests are also engaged in this context, including the right of citizens </w:t>
      </w:r>
      <w:r w:rsidRPr="00981294">
        <w:rPr>
          <w:rFonts w:eastAsia="Times New Roman" w:cs="Times New Roman"/>
          <w:i/>
          <w:szCs w:val="24"/>
          <w:lang w:eastAsia="en-IE"/>
        </w:rPr>
        <w:t>“to be protected from unnecessary harassment and expense</w:t>
      </w:r>
      <w:r>
        <w:rPr>
          <w:rFonts w:eastAsia="Times New Roman" w:cs="Times New Roman"/>
          <w:szCs w:val="24"/>
          <w:lang w:eastAsia="en-IE"/>
        </w:rPr>
        <w:t xml:space="preserve">” and  courts would </w:t>
      </w:r>
      <w:r w:rsidRPr="00981294">
        <w:rPr>
          <w:rFonts w:eastAsia="Times New Roman" w:cs="Times New Roman"/>
          <w:szCs w:val="24"/>
          <w:lang w:eastAsia="en-IE"/>
        </w:rPr>
        <w:t>be failing in their duty if they allowed their processes “</w:t>
      </w:r>
      <w:r w:rsidRPr="00981294">
        <w:rPr>
          <w:rFonts w:eastAsia="Times New Roman" w:cs="Times New Roman"/>
          <w:i/>
          <w:szCs w:val="24"/>
          <w:lang w:eastAsia="en-IE"/>
        </w:rPr>
        <w:t>to be repeatedly invoked in order to reopen issues already determined or to pursue groundless and vexatious litigation</w:t>
      </w:r>
      <w:r>
        <w:rPr>
          <w:rFonts w:eastAsia="Times New Roman" w:cs="Times New Roman"/>
          <w:szCs w:val="24"/>
          <w:lang w:eastAsia="en-IE"/>
        </w:rPr>
        <w:t>”</w:t>
      </w:r>
      <w:r>
        <w:rPr>
          <w:rFonts w:eastAsia="Times New Roman" w:cs="Times New Roman"/>
          <w:i/>
          <w:szCs w:val="24"/>
          <w:lang w:eastAsia="en-IE"/>
        </w:rPr>
        <w:t xml:space="preserve">: </w:t>
      </w:r>
      <w:r w:rsidRPr="004072A7">
        <w:rPr>
          <w:i/>
        </w:rPr>
        <w:t xml:space="preserve"> Riordan v </w:t>
      </w:r>
      <w:r w:rsidR="00D2593A">
        <w:rPr>
          <w:i/>
        </w:rPr>
        <w:t>Ireland</w:t>
      </w:r>
      <w:r w:rsidRPr="004072A7">
        <w:rPr>
          <w:i/>
        </w:rPr>
        <w:t xml:space="preserve"> (No 4)</w:t>
      </w:r>
      <w:r>
        <w:rPr>
          <w:i/>
        </w:rPr>
        <w:t xml:space="preserve"> </w:t>
      </w:r>
      <w:r>
        <w:t>[2001] 3 IR 365, at 370.</w:t>
      </w:r>
      <w:r w:rsidR="006F3B91">
        <w:rPr>
          <w:rFonts w:eastAsia="Times New Roman" w:cs="Times New Roman"/>
          <w:szCs w:val="24"/>
          <w:lang w:eastAsia="en-IE"/>
        </w:rPr>
        <w:t xml:space="preserve"> That is the basis on which the courts have jurisdiction to make an </w:t>
      </w:r>
      <w:r w:rsidR="006F3B91" w:rsidRPr="006F3B91">
        <w:rPr>
          <w:rFonts w:eastAsia="Times New Roman" w:cs="Times New Roman"/>
          <w:i/>
          <w:szCs w:val="24"/>
          <w:lang w:eastAsia="en-IE"/>
        </w:rPr>
        <w:t>Isaac Wunder</w:t>
      </w:r>
      <w:r w:rsidR="006F3B91">
        <w:rPr>
          <w:rFonts w:eastAsia="Times New Roman" w:cs="Times New Roman"/>
          <w:szCs w:val="24"/>
          <w:lang w:eastAsia="en-IE"/>
        </w:rPr>
        <w:t xml:space="preserve"> order.</w:t>
      </w:r>
    </w:p>
    <w:p w14:paraId="49113B6D" w14:textId="77777777" w:rsidR="00981294" w:rsidRPr="00981294" w:rsidRDefault="00981294" w:rsidP="00981294">
      <w:pPr>
        <w:pStyle w:val="ListParagraph"/>
        <w:autoSpaceDE w:val="0"/>
        <w:autoSpaceDN w:val="0"/>
        <w:adjustRightInd w:val="0"/>
        <w:rPr>
          <w:rFonts w:cs="Times New Roman"/>
          <w:szCs w:val="24"/>
        </w:rPr>
      </w:pPr>
    </w:p>
    <w:p w14:paraId="49EF4A75" w14:textId="5627BAE7" w:rsidR="00FD143E" w:rsidRPr="00FD143E" w:rsidRDefault="006F3B91" w:rsidP="00FD143E">
      <w:pPr>
        <w:pStyle w:val="ListParagraph"/>
        <w:widowControl w:val="0"/>
        <w:numPr>
          <w:ilvl w:val="0"/>
          <w:numId w:val="1"/>
        </w:numPr>
        <w:autoSpaceDE w:val="0"/>
        <w:autoSpaceDN w:val="0"/>
        <w:adjustRightInd w:val="0"/>
        <w:ind w:hanging="720"/>
      </w:pPr>
      <w:r w:rsidRPr="00FD143E">
        <w:rPr>
          <w:rFonts w:cs="Times New Roman"/>
          <w:szCs w:val="24"/>
        </w:rPr>
        <w:t>Here, it was not suggested by Talos that Dr Sheehan’s claim against it sought to “</w:t>
      </w:r>
      <w:r w:rsidRPr="00FD143E">
        <w:rPr>
          <w:rFonts w:cs="Times New Roman"/>
          <w:i/>
          <w:szCs w:val="24"/>
        </w:rPr>
        <w:t xml:space="preserve">reopen </w:t>
      </w:r>
      <w:r w:rsidRPr="00FD143E">
        <w:rPr>
          <w:rFonts w:cs="Times New Roman"/>
          <w:i/>
          <w:szCs w:val="24"/>
        </w:rPr>
        <w:lastRenderedPageBreak/>
        <w:t>issues already determined</w:t>
      </w:r>
      <w:r w:rsidRPr="00FD143E">
        <w:rPr>
          <w:rFonts w:cs="Times New Roman"/>
          <w:szCs w:val="24"/>
        </w:rPr>
        <w:t>” or involved the pursuit of “</w:t>
      </w:r>
      <w:r w:rsidRPr="00FD143E">
        <w:rPr>
          <w:rFonts w:cs="Times New Roman"/>
          <w:i/>
          <w:szCs w:val="24"/>
        </w:rPr>
        <w:t xml:space="preserve">groundless and vexatious litigation” </w:t>
      </w:r>
      <w:r w:rsidRPr="00FD143E">
        <w:rPr>
          <w:rFonts w:cs="Times New Roman"/>
          <w:szCs w:val="24"/>
        </w:rPr>
        <w:t xml:space="preserve">such as might engage the High Court’s jurisdiction to make an </w:t>
      </w:r>
      <w:r w:rsidRPr="00AC290B">
        <w:rPr>
          <w:rFonts w:cs="Times New Roman"/>
          <w:i/>
          <w:szCs w:val="24"/>
        </w:rPr>
        <w:t>Isaac Wunder</w:t>
      </w:r>
      <w:r w:rsidRPr="00FD143E">
        <w:rPr>
          <w:rFonts w:cs="Times New Roman"/>
          <w:szCs w:val="24"/>
        </w:rPr>
        <w:t xml:space="preserve"> order against Dr Sheehan</w:t>
      </w:r>
      <w:r w:rsidR="00FD143E" w:rsidRPr="00FD143E">
        <w:rPr>
          <w:rFonts w:cs="Times New Roman"/>
          <w:i/>
          <w:szCs w:val="24"/>
        </w:rPr>
        <w:t xml:space="preserve"> </w:t>
      </w:r>
      <w:r w:rsidR="00FD143E" w:rsidRPr="00FD143E">
        <w:rPr>
          <w:rFonts w:cs="Times New Roman"/>
          <w:szCs w:val="24"/>
        </w:rPr>
        <w:t xml:space="preserve">and no application for such an order was made by Talos. </w:t>
      </w:r>
      <w:r w:rsidR="00FD143E">
        <w:rPr>
          <w:rFonts w:cs="Times New Roman"/>
          <w:szCs w:val="24"/>
        </w:rPr>
        <w:t xml:space="preserve">In </w:t>
      </w:r>
      <w:r w:rsidR="00FD143E" w:rsidRPr="00FD143E">
        <w:rPr>
          <w:rFonts w:cs="Times New Roman"/>
          <w:szCs w:val="24"/>
        </w:rPr>
        <w:t xml:space="preserve"> my judgment in </w:t>
      </w:r>
      <w:r w:rsidR="00FD143E" w:rsidRPr="00FD143E">
        <w:rPr>
          <w:rFonts w:cs="Times New Roman"/>
          <w:i/>
          <w:szCs w:val="24"/>
        </w:rPr>
        <w:t>Houston v Doyle</w:t>
      </w:r>
      <w:r w:rsidR="00FD143E" w:rsidRPr="00FD143E">
        <w:rPr>
          <w:rFonts w:cs="Times New Roman"/>
          <w:szCs w:val="24"/>
        </w:rPr>
        <w:t xml:space="preserve">  [2020] IECA 289 (Donnelly and Binchy JJ agreeing)</w:t>
      </w:r>
      <w:r w:rsidR="00FD143E">
        <w:rPr>
          <w:rFonts w:cs="Times New Roman"/>
          <w:szCs w:val="24"/>
        </w:rPr>
        <w:t xml:space="preserve">, I expressed the view that </w:t>
      </w:r>
      <w:r w:rsidR="00FD143E">
        <w:t xml:space="preserve">there may be circumstances where, </w:t>
      </w:r>
      <w:r w:rsidR="00F70873">
        <w:t xml:space="preserve">even in the absence of </w:t>
      </w:r>
      <w:r w:rsidR="00FD143E">
        <w:t xml:space="preserve"> such </w:t>
      </w:r>
      <w:r w:rsidR="00F70873">
        <w:t xml:space="preserve">an </w:t>
      </w:r>
      <w:r w:rsidR="00FD143E">
        <w:t xml:space="preserve">application, a court </w:t>
      </w:r>
      <w:r w:rsidR="00F70873">
        <w:t>might</w:t>
      </w:r>
      <w:r w:rsidR="00FD143E">
        <w:t xml:space="preserve"> consider it appropriate to make such an order. </w:t>
      </w:r>
      <w:r w:rsidR="00C85C01">
        <w:t>However, I went on to observe (at para 69)</w:t>
      </w:r>
      <w:r w:rsidR="00FD143E">
        <w:t xml:space="preserve"> that “</w:t>
      </w:r>
      <w:r w:rsidR="00FD143E" w:rsidRPr="00FD143E">
        <w:rPr>
          <w:i/>
        </w:rPr>
        <w:t xml:space="preserve">courts should tread very cautiously in this context, lest their fundamental role as impartial decision-makers be blurred and the court is perceived, however unfairly, as having </w:t>
      </w:r>
      <w:r w:rsidR="00D2593A">
        <w:rPr>
          <w:i/>
        </w:rPr>
        <w:t>‘</w:t>
      </w:r>
      <w:r w:rsidR="00FD143E" w:rsidRPr="00FD143E">
        <w:rPr>
          <w:i/>
        </w:rPr>
        <w:t>entered into the ring</w:t>
      </w:r>
      <w:r w:rsidR="00D2593A">
        <w:t>’</w:t>
      </w:r>
      <w:r w:rsidR="00FD143E">
        <w:t xml:space="preserve">”, adding that </w:t>
      </w:r>
      <w:r w:rsidR="00FD143E" w:rsidRPr="00FD143E">
        <w:rPr>
          <w:i/>
        </w:rPr>
        <w:t>“the circumstances in which it may be necessary or appropriate for a court to consider making any form of Isaac Wunder of its own motion are likely to be rare indeed”</w:t>
      </w:r>
      <w:r w:rsidR="00FD143E">
        <w:t xml:space="preserve"> and that “</w:t>
      </w:r>
      <w:r w:rsidR="00FD143E" w:rsidRPr="00FD143E">
        <w:rPr>
          <w:i/>
        </w:rPr>
        <w:t>[w</w:t>
      </w:r>
      <w:r w:rsidR="00FD143E">
        <w:rPr>
          <w:i/>
        </w:rPr>
        <w:t>]</w:t>
      </w:r>
      <w:r w:rsidR="00FD143E" w:rsidRPr="00FD143E">
        <w:rPr>
          <w:i/>
        </w:rPr>
        <w:t>here such circumstances appear to arise,  that context makes it particularly important that the party that would be affected by any such order is given an adequate opportunity to be heard before any decision is made.”</w:t>
      </w:r>
      <w:r w:rsidR="00FD143E">
        <w:rPr>
          <w:i/>
        </w:rPr>
        <w:t xml:space="preserve"> </w:t>
      </w:r>
    </w:p>
    <w:p w14:paraId="20178AB5" w14:textId="77777777" w:rsidR="00FD143E" w:rsidRPr="00FD143E" w:rsidRDefault="00FD143E" w:rsidP="00FD143E">
      <w:pPr>
        <w:pStyle w:val="ListParagraph"/>
        <w:widowControl w:val="0"/>
        <w:autoSpaceDE w:val="0"/>
        <w:autoSpaceDN w:val="0"/>
        <w:adjustRightInd w:val="0"/>
      </w:pPr>
    </w:p>
    <w:p w14:paraId="7AE971FA" w14:textId="780AF6A6" w:rsidR="00FD143E" w:rsidRDefault="00FD143E" w:rsidP="00FD143E">
      <w:pPr>
        <w:pStyle w:val="ListParagraph"/>
        <w:widowControl w:val="0"/>
        <w:numPr>
          <w:ilvl w:val="0"/>
          <w:numId w:val="1"/>
        </w:numPr>
        <w:autoSpaceDE w:val="0"/>
        <w:autoSpaceDN w:val="0"/>
        <w:adjustRightInd w:val="0"/>
        <w:ind w:hanging="720"/>
      </w:pPr>
      <w:r>
        <w:t xml:space="preserve">While no </w:t>
      </w:r>
      <w:r w:rsidR="00AC290B">
        <w:t xml:space="preserve">such </w:t>
      </w:r>
      <w:r>
        <w:t xml:space="preserve">order was made by the Judge here, the statements made by him in his Judgment </w:t>
      </w:r>
      <w:r w:rsidR="000E1CA4">
        <w:t xml:space="preserve">– a Judgment published not just to the immediate parties and their advisors but to the world at large – </w:t>
      </w:r>
      <w:r w:rsidR="00AD51F9">
        <w:t>were</w:t>
      </w:r>
      <w:r w:rsidR="000E1CA4">
        <w:t xml:space="preserve"> very critical of Dr Sheehan</w:t>
      </w:r>
      <w:r w:rsidR="00AD51F9">
        <w:t xml:space="preserve"> </w:t>
      </w:r>
      <w:r w:rsidR="000E1CA4">
        <w:t xml:space="preserve">and suggest </w:t>
      </w:r>
      <w:r>
        <w:t>to the reader that a basis for making such an order</w:t>
      </w:r>
      <w:r w:rsidR="000E1CA4">
        <w:t xml:space="preserve"> existed</w:t>
      </w:r>
      <w:r>
        <w:t xml:space="preserve">. </w:t>
      </w:r>
      <w:r w:rsidR="000E1CA4">
        <w:t xml:space="preserve">Dr Sheehan was not on notice that the Judge was going to address this issue and he and his legal team had no opportunity to be heard or to address the Judge’s </w:t>
      </w:r>
      <w:r w:rsidR="00F973BB">
        <w:t xml:space="preserve">concerns and </w:t>
      </w:r>
      <w:r w:rsidR="000E1CA4">
        <w:t>criticisms. That was not an appropriate or fair procedure</w:t>
      </w:r>
      <w:r w:rsidR="00AD51F9">
        <w:t xml:space="preserve"> and in the circumstances the Judge </w:t>
      </w:r>
      <w:r w:rsidR="00F973BB">
        <w:t xml:space="preserve">ought not to have addressed this </w:t>
      </w:r>
      <w:r w:rsidR="00AD51F9">
        <w:t>issue in his Judgment.</w:t>
      </w:r>
    </w:p>
    <w:p w14:paraId="61593727" w14:textId="77777777" w:rsidR="000E1CA4" w:rsidRDefault="000E1CA4" w:rsidP="000E1CA4">
      <w:pPr>
        <w:pStyle w:val="ListParagraph"/>
        <w:widowControl w:val="0"/>
        <w:autoSpaceDE w:val="0"/>
        <w:autoSpaceDN w:val="0"/>
        <w:adjustRightInd w:val="0"/>
      </w:pPr>
    </w:p>
    <w:p w14:paraId="44EDAD61" w14:textId="080423D9" w:rsidR="006A7094" w:rsidRDefault="000553F2" w:rsidP="004C1310">
      <w:pPr>
        <w:pStyle w:val="ListParagraph"/>
        <w:widowControl w:val="0"/>
        <w:numPr>
          <w:ilvl w:val="0"/>
          <w:numId w:val="1"/>
        </w:numPr>
        <w:autoSpaceDE w:val="0"/>
        <w:autoSpaceDN w:val="0"/>
        <w:adjustRightInd w:val="0"/>
        <w:ind w:hanging="720"/>
      </w:pPr>
      <w:r>
        <w:lastRenderedPageBreak/>
        <w:t>T</w:t>
      </w:r>
      <w:r w:rsidR="000E1CA4">
        <w:t>he</w:t>
      </w:r>
      <w:r w:rsidR="00F973BB">
        <w:t xml:space="preserve"> tenor and terms of the</w:t>
      </w:r>
      <w:r w:rsidR="000E1CA4">
        <w:t xml:space="preserve"> criticisms made by the Judge</w:t>
      </w:r>
      <w:r>
        <w:t xml:space="preserve"> were also unfortunate</w:t>
      </w:r>
      <w:r w:rsidR="005E27EB">
        <w:t xml:space="preserve">. </w:t>
      </w:r>
      <w:r w:rsidR="000E1CA4">
        <w:t xml:space="preserve"> The State </w:t>
      </w:r>
      <w:r w:rsidR="00E4740C">
        <w:t xml:space="preserve">makes </w:t>
      </w:r>
      <w:r w:rsidR="000E1CA4">
        <w:t>available a system of courts to adjudicate on (</w:t>
      </w:r>
      <w:r w:rsidR="000E1CA4" w:rsidRPr="000E1CA4">
        <w:rPr>
          <w:i/>
        </w:rPr>
        <w:t>inter alia</w:t>
      </w:r>
      <w:r w:rsidR="000E1CA4">
        <w:t xml:space="preserve">) </w:t>
      </w:r>
      <w:r w:rsidR="00E4740C">
        <w:t xml:space="preserve">civil claims between private parties. It is </w:t>
      </w:r>
      <w:r>
        <w:t>regrettable</w:t>
      </w:r>
      <w:r w:rsidR="00E4740C">
        <w:t xml:space="preserve"> that the pursuit of such claims should be characterised by the Judge as the pursuit of “</w:t>
      </w:r>
      <w:r w:rsidR="00E4740C" w:rsidRPr="00E4740C">
        <w:rPr>
          <w:i/>
        </w:rPr>
        <w:t>private disputes or private agendas</w:t>
      </w:r>
      <w:r w:rsidR="00E4740C">
        <w:t>”</w:t>
      </w:r>
      <w:r w:rsidR="00FE1F50">
        <w:t xml:space="preserve"> or “</w:t>
      </w:r>
      <w:r w:rsidR="00FE1F50" w:rsidRPr="00FE1F50">
        <w:rPr>
          <w:i/>
        </w:rPr>
        <w:t>private grievance</w:t>
      </w:r>
      <w:r w:rsidR="004C1310">
        <w:rPr>
          <w:i/>
        </w:rPr>
        <w:t>s</w:t>
      </w:r>
      <w:r w:rsidR="00FE1F50" w:rsidRPr="00FE1F50">
        <w:rPr>
          <w:i/>
        </w:rPr>
        <w:t>”</w:t>
      </w:r>
      <w:r w:rsidR="004C1310">
        <w:rPr>
          <w:i/>
        </w:rPr>
        <w:t>,</w:t>
      </w:r>
      <w:r w:rsidR="00FE1F50" w:rsidRPr="00FE1F50">
        <w:rPr>
          <w:i/>
        </w:rPr>
        <w:t xml:space="preserve"> </w:t>
      </w:r>
      <w:r w:rsidR="00E4740C">
        <w:t xml:space="preserve">the </w:t>
      </w:r>
      <w:r w:rsidR="00AC290B">
        <w:t>apparent</w:t>
      </w:r>
      <w:r w:rsidR="00E4740C">
        <w:t xml:space="preserve"> implication </w:t>
      </w:r>
      <w:r w:rsidR="00AC6CA9">
        <w:t>being t</w:t>
      </w:r>
      <w:r w:rsidR="00E4740C">
        <w:t xml:space="preserve">hat the parties </w:t>
      </w:r>
      <w:r w:rsidR="00AC6CA9">
        <w:t>to such claims h</w:t>
      </w:r>
      <w:r w:rsidR="00E4740C">
        <w:t xml:space="preserve">ave no legitimate claim </w:t>
      </w:r>
      <w:r w:rsidR="00AC6CA9">
        <w:t>to access to the courts</w:t>
      </w:r>
      <w:r w:rsidR="00E4740C">
        <w:t xml:space="preserve">. That is emphatically not so. The resolution of such claims </w:t>
      </w:r>
      <w:r w:rsidR="00AC6CA9">
        <w:t>is</w:t>
      </w:r>
      <w:r w:rsidR="00E4740C">
        <w:t xml:space="preserve"> a core part of the administration of justice which, under Article 34 of the Constitution</w:t>
      </w:r>
      <w:r w:rsidR="00D2593A">
        <w:t>,</w:t>
      </w:r>
      <w:r w:rsidR="00E4740C">
        <w:t xml:space="preserve"> is (with some limited qualifications) </w:t>
      </w:r>
      <w:r w:rsidR="00AC290B">
        <w:t xml:space="preserve">exclusively </w:t>
      </w:r>
      <w:r w:rsidR="00E4740C">
        <w:t>committed to the courts</w:t>
      </w:r>
      <w:r w:rsidR="00E65F4B">
        <w:t xml:space="preserve"> established by it</w:t>
      </w:r>
      <w:r w:rsidR="00AC6CA9">
        <w:t xml:space="preserve">. </w:t>
      </w:r>
      <w:r w:rsidR="00956478">
        <w:t xml:space="preserve">The recent decision of the Supreme Court in </w:t>
      </w:r>
      <w:proofErr w:type="spellStart"/>
      <w:r w:rsidR="00956478" w:rsidRPr="006A7094">
        <w:rPr>
          <w:i/>
        </w:rPr>
        <w:t>Zalewski</w:t>
      </w:r>
      <w:proofErr w:type="spellEnd"/>
      <w:r w:rsidR="00956478" w:rsidRPr="006A7094">
        <w:rPr>
          <w:i/>
        </w:rPr>
        <w:t xml:space="preserve"> v Workpl</w:t>
      </w:r>
      <w:r w:rsidR="004B1503">
        <w:rPr>
          <w:i/>
        </w:rPr>
        <w:t>a</w:t>
      </w:r>
      <w:r w:rsidR="00956478" w:rsidRPr="006A7094">
        <w:rPr>
          <w:i/>
        </w:rPr>
        <w:t>ce Relations Commission</w:t>
      </w:r>
      <w:r w:rsidR="00956478">
        <w:t xml:space="preserve"> [2021] IESC 24</w:t>
      </w:r>
      <w:r w:rsidR="006A7094">
        <w:t xml:space="preserve"> highlights the critical place of Article 34 in the constitutional order </w:t>
      </w:r>
      <w:r w:rsidR="00956478">
        <w:t xml:space="preserve"> </w:t>
      </w:r>
      <w:r w:rsidR="006A7094">
        <w:t xml:space="preserve">of the State. </w:t>
      </w:r>
    </w:p>
    <w:p w14:paraId="2C307DCA" w14:textId="77777777" w:rsidR="006A7094" w:rsidRDefault="006A7094" w:rsidP="006A7094">
      <w:pPr>
        <w:pStyle w:val="ListParagraph"/>
        <w:widowControl w:val="0"/>
        <w:autoSpaceDE w:val="0"/>
        <w:autoSpaceDN w:val="0"/>
        <w:adjustRightInd w:val="0"/>
      </w:pPr>
    </w:p>
    <w:p w14:paraId="279A4A86" w14:textId="6A511DB6" w:rsidR="004C1310" w:rsidRDefault="00AC6CA9" w:rsidP="004C1310">
      <w:pPr>
        <w:pStyle w:val="ListParagraph"/>
        <w:widowControl w:val="0"/>
        <w:numPr>
          <w:ilvl w:val="0"/>
          <w:numId w:val="1"/>
        </w:numPr>
        <w:autoSpaceDE w:val="0"/>
        <w:autoSpaceDN w:val="0"/>
        <w:adjustRightInd w:val="0"/>
        <w:ind w:hanging="720"/>
      </w:pPr>
      <w:r>
        <w:t xml:space="preserve">Nor are litigants to be criticised merely for being involved in complex and contentious litigation that necessarily takes substantial time and resources to resolve. It is as much the duty of the courts to </w:t>
      </w:r>
      <w:r w:rsidR="00B5148E">
        <w:t xml:space="preserve">hear and determine </w:t>
      </w:r>
      <w:r>
        <w:t xml:space="preserve">complex claims as it is to resolve more straightforward </w:t>
      </w:r>
      <w:r w:rsidR="00FE1F50">
        <w:t>ones</w:t>
      </w:r>
      <w:r>
        <w:t xml:space="preserve">. </w:t>
      </w:r>
      <w:r w:rsidR="005E27EB">
        <w:t xml:space="preserve">Courts are, of course, entitled to subject such claims to case management with a view to the effective use of their resources (see, for instance, the </w:t>
      </w:r>
      <w:r w:rsidR="004C1310">
        <w:t>observations</w:t>
      </w:r>
      <w:r w:rsidR="005E27EB">
        <w:t xml:space="preserve"> of </w:t>
      </w:r>
      <w:proofErr w:type="spellStart"/>
      <w:r w:rsidR="005E27EB">
        <w:t>Charleton</w:t>
      </w:r>
      <w:proofErr w:type="spellEnd"/>
      <w:r w:rsidR="005E27EB">
        <w:t xml:space="preserve"> J in </w:t>
      </w:r>
      <w:r w:rsidR="005E27EB" w:rsidRPr="00B5148E">
        <w:rPr>
          <w:rFonts w:cs="Times New Roman"/>
          <w:i/>
          <w:szCs w:val="24"/>
        </w:rPr>
        <w:t>Defender</w:t>
      </w:r>
      <w:r w:rsidR="00B5148E">
        <w:rPr>
          <w:rFonts w:cs="Times New Roman"/>
          <w:szCs w:val="24"/>
        </w:rPr>
        <w:t xml:space="preserve">). </w:t>
      </w:r>
      <w:r w:rsidR="005E27EB" w:rsidRPr="00B5148E">
        <w:rPr>
          <w:rFonts w:cs="Times New Roman"/>
          <w:szCs w:val="24"/>
        </w:rPr>
        <w:t>The</w:t>
      </w:r>
      <w:r w:rsidR="005E27EB">
        <w:rPr>
          <w:rFonts w:cs="Times New Roman"/>
          <w:szCs w:val="24"/>
        </w:rPr>
        <w:t xml:space="preserve"> courts are also entitled to prevent their </w:t>
      </w:r>
      <w:r w:rsidR="00FE1F50">
        <w:rPr>
          <w:rFonts w:cs="Times New Roman"/>
          <w:szCs w:val="24"/>
        </w:rPr>
        <w:t xml:space="preserve">resources being wasted </w:t>
      </w:r>
      <w:r w:rsidR="00F973BB">
        <w:rPr>
          <w:rFonts w:cs="Times New Roman"/>
          <w:szCs w:val="24"/>
        </w:rPr>
        <w:t>through</w:t>
      </w:r>
      <w:r w:rsidR="005E27EB">
        <w:rPr>
          <w:rFonts w:cs="Times New Roman"/>
          <w:szCs w:val="24"/>
        </w:rPr>
        <w:t xml:space="preserve"> vexatious litigation</w:t>
      </w:r>
      <w:r w:rsidR="00FE1F50">
        <w:rPr>
          <w:rFonts w:cs="Times New Roman"/>
          <w:szCs w:val="24"/>
        </w:rPr>
        <w:t xml:space="preserve">. However, </w:t>
      </w:r>
      <w:r w:rsidR="005E27EB">
        <w:rPr>
          <w:rFonts w:cs="Times New Roman"/>
          <w:szCs w:val="24"/>
        </w:rPr>
        <w:t xml:space="preserve">it is </w:t>
      </w:r>
      <w:r w:rsidR="004C1310">
        <w:rPr>
          <w:rFonts w:cs="Times New Roman"/>
          <w:szCs w:val="24"/>
        </w:rPr>
        <w:t xml:space="preserve">not the case </w:t>
      </w:r>
      <w:r w:rsidR="005E27EB">
        <w:rPr>
          <w:rFonts w:cs="Times New Roman"/>
          <w:szCs w:val="24"/>
        </w:rPr>
        <w:t xml:space="preserve">that, </w:t>
      </w:r>
      <w:r w:rsidR="004C1310">
        <w:rPr>
          <w:rFonts w:cs="Times New Roman"/>
          <w:szCs w:val="24"/>
        </w:rPr>
        <w:t xml:space="preserve">simply because </w:t>
      </w:r>
      <w:r w:rsidR="000553F2">
        <w:rPr>
          <w:rFonts w:cs="Times New Roman"/>
          <w:szCs w:val="24"/>
        </w:rPr>
        <w:t>certain</w:t>
      </w:r>
      <w:r w:rsidR="005E27EB">
        <w:rPr>
          <w:rFonts w:cs="Times New Roman"/>
          <w:szCs w:val="24"/>
        </w:rPr>
        <w:t xml:space="preserve"> claims are complex and require significant amounts of </w:t>
      </w:r>
      <w:r w:rsidR="00FE1F50">
        <w:rPr>
          <w:rFonts w:cs="Times New Roman"/>
          <w:szCs w:val="24"/>
        </w:rPr>
        <w:t>court time, th</w:t>
      </w:r>
      <w:r w:rsidR="00F973BB">
        <w:rPr>
          <w:rFonts w:cs="Times New Roman"/>
          <w:szCs w:val="24"/>
        </w:rPr>
        <w:t xml:space="preserve">at </w:t>
      </w:r>
      <w:r w:rsidR="00FE1F50">
        <w:rPr>
          <w:rFonts w:cs="Times New Roman"/>
          <w:szCs w:val="24"/>
        </w:rPr>
        <w:t>involve</w:t>
      </w:r>
      <w:r w:rsidR="00F973BB">
        <w:rPr>
          <w:rFonts w:cs="Times New Roman"/>
          <w:szCs w:val="24"/>
        </w:rPr>
        <w:t>s</w:t>
      </w:r>
      <w:r w:rsidR="00FE1F50">
        <w:rPr>
          <w:rFonts w:cs="Times New Roman"/>
          <w:szCs w:val="24"/>
        </w:rPr>
        <w:t xml:space="preserve"> the “</w:t>
      </w:r>
      <w:r w:rsidR="00FE1F50" w:rsidRPr="00FE1F50">
        <w:rPr>
          <w:rFonts w:cs="Times New Roman"/>
          <w:i/>
          <w:szCs w:val="24"/>
        </w:rPr>
        <w:t>monopolising</w:t>
      </w:r>
      <w:r w:rsidR="00FE1F50">
        <w:rPr>
          <w:rFonts w:cs="Times New Roman"/>
          <w:szCs w:val="24"/>
        </w:rPr>
        <w:t xml:space="preserve">” of court resources </w:t>
      </w:r>
      <w:r w:rsidR="00AC290B">
        <w:rPr>
          <w:rFonts w:cs="Times New Roman"/>
          <w:szCs w:val="24"/>
        </w:rPr>
        <w:t>or</w:t>
      </w:r>
      <w:r w:rsidR="00F973BB">
        <w:rPr>
          <w:rFonts w:cs="Times New Roman"/>
          <w:szCs w:val="24"/>
        </w:rPr>
        <w:t xml:space="preserve"> gives rise to an</w:t>
      </w:r>
      <w:r w:rsidR="00AC290B">
        <w:rPr>
          <w:rFonts w:cs="Times New Roman"/>
          <w:szCs w:val="24"/>
        </w:rPr>
        <w:t>y necessary</w:t>
      </w:r>
      <w:r w:rsidR="00F973BB">
        <w:rPr>
          <w:rFonts w:cs="Times New Roman"/>
          <w:szCs w:val="24"/>
        </w:rPr>
        <w:t xml:space="preserve"> inference that court time is being wasted and/or the process of the court is being abused. </w:t>
      </w:r>
    </w:p>
    <w:p w14:paraId="4BF3A696" w14:textId="77777777" w:rsidR="00F973BB" w:rsidRPr="004C1310" w:rsidRDefault="00F973BB" w:rsidP="00F973BB">
      <w:pPr>
        <w:widowControl w:val="0"/>
        <w:autoSpaceDE w:val="0"/>
        <w:autoSpaceDN w:val="0"/>
        <w:adjustRightInd w:val="0"/>
      </w:pPr>
    </w:p>
    <w:p w14:paraId="78785E76" w14:textId="7238E280" w:rsidR="004C1310" w:rsidRDefault="004C1310" w:rsidP="00FD143E">
      <w:pPr>
        <w:pStyle w:val="ListParagraph"/>
        <w:widowControl w:val="0"/>
        <w:numPr>
          <w:ilvl w:val="0"/>
          <w:numId w:val="1"/>
        </w:numPr>
        <w:autoSpaceDE w:val="0"/>
        <w:autoSpaceDN w:val="0"/>
        <w:adjustRightInd w:val="0"/>
        <w:ind w:hanging="720"/>
      </w:pPr>
      <w:r>
        <w:t xml:space="preserve">The litigation involving Blackrock Clinic was certainly complex, involving multiple </w:t>
      </w:r>
      <w:r>
        <w:lastRenderedPageBreak/>
        <w:t>parties, actions</w:t>
      </w:r>
      <w:r w:rsidR="00F973BB">
        <w:t xml:space="preserve">, </w:t>
      </w:r>
      <w:r>
        <w:t>issues</w:t>
      </w:r>
      <w:r w:rsidR="00F973BB">
        <w:t xml:space="preserve"> and applications</w:t>
      </w:r>
      <w:r>
        <w:t>. At the centre of the litigation was a very valuable asset.</w:t>
      </w:r>
      <w:r w:rsidR="00AD51F9">
        <w:t xml:space="preserve"> The litigation was extremely contentious.</w:t>
      </w:r>
      <w:r>
        <w:t xml:space="preserve"> </w:t>
      </w:r>
      <w:r w:rsidR="00A84B2E">
        <w:t xml:space="preserve">It is hardly surprising that the resolution of that litigation </w:t>
      </w:r>
      <w:r w:rsidR="00AD51F9">
        <w:t xml:space="preserve">has </w:t>
      </w:r>
      <w:r w:rsidR="00A84B2E">
        <w:t>required significant court time and</w:t>
      </w:r>
      <w:r w:rsidR="00AD51F9">
        <w:t xml:space="preserve"> i</w:t>
      </w:r>
      <w:r w:rsidR="00A84B2E">
        <w:t xml:space="preserve">n any event there was </w:t>
      </w:r>
      <w:r w:rsidR="00AD51F9">
        <w:t xml:space="preserve">and is </w:t>
      </w:r>
      <w:r w:rsidR="00A84B2E">
        <w:t>no basis for suggesting that Dr Sheehan somehow bore sole responsibility for th</w:t>
      </w:r>
      <w:r w:rsidR="00AD51F9">
        <w:t>e</w:t>
      </w:r>
      <w:r w:rsidR="00A84B2E">
        <w:t xml:space="preserve"> litigation. </w:t>
      </w:r>
    </w:p>
    <w:p w14:paraId="03E7615C" w14:textId="77777777" w:rsidR="00A84B2E" w:rsidRDefault="00A84B2E" w:rsidP="00A84B2E">
      <w:pPr>
        <w:pStyle w:val="ListParagraph"/>
        <w:widowControl w:val="0"/>
        <w:autoSpaceDE w:val="0"/>
        <w:autoSpaceDN w:val="0"/>
        <w:adjustRightInd w:val="0"/>
      </w:pPr>
    </w:p>
    <w:p w14:paraId="05A090CF" w14:textId="30929EC6" w:rsidR="00A84B2E" w:rsidRDefault="00A84B2E" w:rsidP="00A84B2E">
      <w:pPr>
        <w:pStyle w:val="ListParagraph"/>
        <w:widowControl w:val="0"/>
        <w:numPr>
          <w:ilvl w:val="0"/>
          <w:numId w:val="1"/>
        </w:numPr>
        <w:autoSpaceDE w:val="0"/>
        <w:autoSpaceDN w:val="0"/>
        <w:adjustRightInd w:val="0"/>
        <w:ind w:hanging="720"/>
      </w:pPr>
      <w:r>
        <w:t xml:space="preserve">I also </w:t>
      </w:r>
      <w:r w:rsidR="00AC290B">
        <w:t>regard as unfortunate</w:t>
      </w:r>
      <w:r>
        <w:t xml:space="preserve"> the comments made by the Judge about the New York litigation and the English litigation and the weight he </w:t>
      </w:r>
      <w:r w:rsidR="00F973BB">
        <w:t xml:space="preserve">seems </w:t>
      </w:r>
      <w:r>
        <w:t xml:space="preserve">to </w:t>
      </w:r>
      <w:r w:rsidR="00F973BB">
        <w:t xml:space="preserve">have given </w:t>
      </w:r>
      <w:r>
        <w:t xml:space="preserve">to the comments made by Flaux J in the English High Court. I </w:t>
      </w:r>
      <w:r w:rsidR="00E65F4B">
        <w:t xml:space="preserve">express no view as to whether </w:t>
      </w:r>
      <w:r>
        <w:t>Flaux J was entitled to make the comments he did</w:t>
      </w:r>
      <w:r w:rsidR="00F973BB">
        <w:t xml:space="preserve">, having regard to the </w:t>
      </w:r>
      <w:r>
        <w:t>material before him</w:t>
      </w:r>
      <w:r w:rsidR="000553F2">
        <w:t xml:space="preserve">. In </w:t>
      </w:r>
      <w:r>
        <w:t>my view</w:t>
      </w:r>
      <w:r w:rsidR="00B5148E">
        <w:t>,</w:t>
      </w:r>
      <w:r w:rsidR="000553F2">
        <w:t xml:space="preserve"> however,</w:t>
      </w:r>
      <w:r>
        <w:t xml:space="preserve"> those comments had no relevance to any issue that the Judge had to decide. The Judge was not concerned with the allegations made in the New York litigation or the basis (if any) for those allegations. The Judge was, rather, concerned only with adjudicating on the claims made by Dr Sheehan in these proceedings. As I have said, it was not suggested that those claims were </w:t>
      </w:r>
      <w:r w:rsidR="00AD51F9">
        <w:t>“</w:t>
      </w:r>
      <w:r w:rsidR="00AD51F9" w:rsidRPr="00AD51F9">
        <w:rPr>
          <w:i/>
        </w:rPr>
        <w:t>outrageous</w:t>
      </w:r>
      <w:r w:rsidR="00AD51F9">
        <w:t xml:space="preserve">” or </w:t>
      </w:r>
      <w:r w:rsidR="00D2593A">
        <w:t>“</w:t>
      </w:r>
      <w:r w:rsidR="00AD51F9" w:rsidRPr="00AD51F9">
        <w:rPr>
          <w:i/>
        </w:rPr>
        <w:t>vexatious</w:t>
      </w:r>
      <w:r w:rsidR="00AD51F9">
        <w:t>” or an “</w:t>
      </w:r>
      <w:r w:rsidR="00AD51F9" w:rsidRPr="00AD51F9">
        <w:rPr>
          <w:i/>
        </w:rPr>
        <w:t>abuse of process</w:t>
      </w:r>
      <w:r w:rsidR="00AD51F9">
        <w:t>”</w:t>
      </w:r>
      <w:r w:rsidR="008B6160">
        <w:t xml:space="preserve"> </w:t>
      </w:r>
      <w:r w:rsidR="00AD51F9">
        <w:t>and it was regrettable that this language found its way into the Judgment</w:t>
      </w:r>
      <w:r w:rsidR="00F973BB">
        <w:t xml:space="preserve"> in the way it did.</w:t>
      </w:r>
    </w:p>
    <w:p w14:paraId="6238E150" w14:textId="77777777" w:rsidR="00AD51F9" w:rsidRDefault="00AD51F9" w:rsidP="00AD51F9">
      <w:pPr>
        <w:pStyle w:val="ListParagraph"/>
        <w:widowControl w:val="0"/>
        <w:autoSpaceDE w:val="0"/>
        <w:autoSpaceDN w:val="0"/>
        <w:adjustRightInd w:val="0"/>
      </w:pPr>
    </w:p>
    <w:p w14:paraId="6FCD098D" w14:textId="4D3A0569" w:rsidR="00AD51F9" w:rsidRDefault="00E65F4B" w:rsidP="00C765C0">
      <w:pPr>
        <w:pStyle w:val="ListParagraph"/>
        <w:widowControl w:val="0"/>
        <w:numPr>
          <w:ilvl w:val="0"/>
          <w:numId w:val="1"/>
        </w:numPr>
        <w:autoSpaceDE w:val="0"/>
        <w:autoSpaceDN w:val="0"/>
        <w:adjustRightInd w:val="0"/>
        <w:ind w:hanging="720"/>
      </w:pPr>
      <w:r>
        <w:t>The other objections made by</w:t>
      </w:r>
      <w:r w:rsidR="00AD51F9">
        <w:t xml:space="preserve"> Dr Sheehan </w:t>
      </w:r>
      <w:r>
        <w:t xml:space="preserve">have considerably less force. </w:t>
      </w:r>
      <w:r w:rsidR="00C765C0">
        <w:t xml:space="preserve">It was at all times Talos’ position that Dr Sheehan’s failure to notify it of the redemption of Mr Duffy’s loans constituted a misrepresentation and it was one of the acts of default that Talos relied on before Ryan J in order to establish its entitlement to demand repayment of the </w:t>
      </w:r>
      <w:r w:rsidR="00D2593A">
        <w:t xml:space="preserve">Deposit </w:t>
      </w:r>
      <w:r w:rsidR="00C765C0">
        <w:t xml:space="preserve">Loan from JCS and payment under the Guarantee from Dr Sheehan. It appears from the detailed judgment of Ryan J that these specific defaults were not </w:t>
      </w:r>
      <w:r w:rsidR="00C765C0">
        <w:lastRenderedPageBreak/>
        <w:t xml:space="preserve">contested: para 58. The Judge also referred to documentary material which, on its face, appears to support Talos’ position and while it is said that the Judge </w:t>
      </w:r>
      <w:r w:rsidR="001527CA">
        <w:t xml:space="preserve">had </w:t>
      </w:r>
      <w:r w:rsidR="00C765C0">
        <w:t xml:space="preserve">erred in </w:t>
      </w:r>
      <w:r w:rsidR="001527CA">
        <w:t>stating</w:t>
      </w:r>
      <w:r w:rsidR="00C765C0">
        <w:t xml:space="preserve"> that Dr Sheehan </w:t>
      </w:r>
      <w:r w:rsidR="001527CA">
        <w:t xml:space="preserve">had misrepresented the position to Talos, nothing </w:t>
      </w:r>
      <w:r w:rsidR="002B7D54">
        <w:t>has been</w:t>
      </w:r>
      <w:r w:rsidR="001527CA">
        <w:t xml:space="preserve"> said to substantiate that bald assertion.  In any event, this statement was made by the Judge as part of his general narrative and does not appear to have played any role in the Judge’s assessment of the issues for adjudication before him.</w:t>
      </w:r>
    </w:p>
    <w:p w14:paraId="3047D1FB" w14:textId="77777777" w:rsidR="001527CA" w:rsidRDefault="001527CA" w:rsidP="001527CA">
      <w:pPr>
        <w:pStyle w:val="ListParagraph"/>
        <w:widowControl w:val="0"/>
        <w:autoSpaceDE w:val="0"/>
        <w:autoSpaceDN w:val="0"/>
        <w:adjustRightInd w:val="0"/>
      </w:pPr>
    </w:p>
    <w:p w14:paraId="73FEE327" w14:textId="292C696D" w:rsidR="005E4C26" w:rsidRPr="00F70873" w:rsidRDefault="001527CA" w:rsidP="00E56878">
      <w:pPr>
        <w:pStyle w:val="ListParagraph"/>
        <w:widowControl w:val="0"/>
        <w:numPr>
          <w:ilvl w:val="0"/>
          <w:numId w:val="1"/>
        </w:numPr>
        <w:autoSpaceDE w:val="0"/>
        <w:autoSpaceDN w:val="0"/>
        <w:adjustRightInd w:val="0"/>
        <w:ind w:hanging="720"/>
        <w:rPr>
          <w:rFonts w:cs="Times New Roman"/>
          <w:szCs w:val="24"/>
        </w:rPr>
      </w:pPr>
      <w:r>
        <w:t xml:space="preserve">Finally, there is the Judge’s reference to </w:t>
      </w:r>
      <w:r w:rsidRPr="008D7F90">
        <w:rPr>
          <w:i/>
        </w:rPr>
        <w:t>Cooke v</w:t>
      </w:r>
      <w:r w:rsidR="00C85C01">
        <w:rPr>
          <w:i/>
        </w:rPr>
        <w:t xml:space="preserve"> Cronin. </w:t>
      </w:r>
      <w:r>
        <w:t xml:space="preserve">The Judge clearly </w:t>
      </w:r>
      <w:r w:rsidR="00870047">
        <w:t>appreciated</w:t>
      </w:r>
      <w:r>
        <w:t xml:space="preserve"> that the principles in </w:t>
      </w:r>
      <w:r w:rsidRPr="008D7F90">
        <w:rPr>
          <w:i/>
        </w:rPr>
        <w:t>Cooke v C</w:t>
      </w:r>
      <w:r w:rsidR="00C85C01">
        <w:rPr>
          <w:i/>
        </w:rPr>
        <w:t>ronin</w:t>
      </w:r>
      <w:r>
        <w:t xml:space="preserve"> had no application where </w:t>
      </w:r>
      <w:r w:rsidR="008D7F90">
        <w:t>a solicitor is not being sued but is simply a witness for a party (para 132). He appears to have referred to</w:t>
      </w:r>
      <w:r w:rsidR="008D7F90" w:rsidRPr="008D7F90">
        <w:rPr>
          <w:i/>
        </w:rPr>
        <w:t xml:space="preserve"> Cooke v </w:t>
      </w:r>
      <w:r w:rsidR="00C85C01">
        <w:rPr>
          <w:i/>
        </w:rPr>
        <w:t>Cronin</w:t>
      </w:r>
      <w:r w:rsidR="008D7F90" w:rsidRPr="008D7F90">
        <w:rPr>
          <w:i/>
        </w:rPr>
        <w:t xml:space="preserve"> </w:t>
      </w:r>
      <w:r w:rsidR="008D7F90">
        <w:t>because, in his view, the “</w:t>
      </w:r>
      <w:r w:rsidR="008D7F90" w:rsidRPr="008D7F90">
        <w:rPr>
          <w:i/>
        </w:rPr>
        <w:t>underlying rationale</w:t>
      </w:r>
      <w:r w:rsidR="008D7F90">
        <w:t>” implied “</w:t>
      </w:r>
      <w:r w:rsidR="008D7F90" w:rsidRPr="008D7F90">
        <w:rPr>
          <w:i/>
        </w:rPr>
        <w:t xml:space="preserve">that, at a minimum, </w:t>
      </w:r>
      <w:r w:rsidR="008D7F90">
        <w:rPr>
          <w:i/>
        </w:rPr>
        <w:t>p</w:t>
      </w:r>
      <w:r w:rsidR="008D7F90" w:rsidRPr="008D7F90">
        <w:rPr>
          <w:i/>
        </w:rPr>
        <w:t>articular care should be taken by litigants and their professional advisers before making serious allegations against a professional who is not a party to the litigation</w:t>
      </w:r>
      <w:r w:rsidR="008D7F90">
        <w:rPr>
          <w:i/>
        </w:rPr>
        <w:t xml:space="preserve">” </w:t>
      </w:r>
      <w:r w:rsidR="008D7F90">
        <w:t xml:space="preserve">(para 133). That proposition appears to me to be uncontroversial: serious allegations – and an allegation of deceit/fraudulent misrepresentation is, on any view, a serious allegation to make against </w:t>
      </w:r>
      <w:r w:rsidR="008D7F90" w:rsidRPr="00DD455E">
        <w:rPr>
          <w:i/>
        </w:rPr>
        <w:t>any</w:t>
      </w:r>
      <w:r w:rsidR="008D7F90">
        <w:t xml:space="preserve"> person, whether a professional or not – should be made only after careful consideration and upon reasonable grounds. I doubt whether </w:t>
      </w:r>
      <w:r w:rsidR="008D7F90" w:rsidRPr="008D7F90">
        <w:rPr>
          <w:i/>
        </w:rPr>
        <w:t xml:space="preserve">Cooke v </w:t>
      </w:r>
      <w:r w:rsidR="00C85C01">
        <w:rPr>
          <w:i/>
        </w:rPr>
        <w:t>Cronin</w:t>
      </w:r>
      <w:r w:rsidR="008D7F90">
        <w:t xml:space="preserve"> adds any real support to that proposition but it does not need </w:t>
      </w:r>
      <w:r w:rsidR="00870047">
        <w:t>any such support. The real point being made by the Judge in this context is that made in para</w:t>
      </w:r>
      <w:r w:rsidR="009F5DD4">
        <w:t>graph</w:t>
      </w:r>
      <w:r w:rsidR="00870047">
        <w:t xml:space="preserve"> 134 of his Judgement, namely that there were no </w:t>
      </w:r>
      <w:r w:rsidR="009F5DD4">
        <w:t xml:space="preserve">sufficient </w:t>
      </w:r>
      <w:r w:rsidR="00870047">
        <w:t>grounds for the very serious allegations made by Dr Sheehan against Mr Simons and that those “</w:t>
      </w:r>
      <w:r w:rsidR="00870047" w:rsidRPr="00870047">
        <w:rPr>
          <w:i/>
        </w:rPr>
        <w:t>unfounded</w:t>
      </w:r>
      <w:r w:rsidR="00870047">
        <w:t xml:space="preserve">” allegations were potentially detrimental to his professional reputation and practice. As I have made clear already, the Judge was, in my view, fully entitled to conclude that the allegations that Mr Simons had been guilty of fraudulent misrepresentation were </w:t>
      </w:r>
      <w:r w:rsidR="00870047">
        <w:lastRenderedPageBreak/>
        <w:t>“</w:t>
      </w:r>
      <w:r w:rsidR="00870047" w:rsidRPr="00870047">
        <w:rPr>
          <w:i/>
        </w:rPr>
        <w:t>unfounded</w:t>
      </w:r>
      <w:r w:rsidR="00870047">
        <w:t xml:space="preserve">” and it is obvious that such allegations were potentially damaging to Mr Simons. </w:t>
      </w:r>
    </w:p>
    <w:p w14:paraId="45996DA1" w14:textId="77777777" w:rsidR="00F70873" w:rsidRPr="00F70873" w:rsidRDefault="00F70873" w:rsidP="00F70873">
      <w:pPr>
        <w:pStyle w:val="ListParagraph"/>
        <w:widowControl w:val="0"/>
        <w:autoSpaceDE w:val="0"/>
        <w:autoSpaceDN w:val="0"/>
        <w:adjustRightInd w:val="0"/>
        <w:rPr>
          <w:rFonts w:cs="Times New Roman"/>
          <w:szCs w:val="24"/>
        </w:rPr>
      </w:pPr>
    </w:p>
    <w:p w14:paraId="747683E9" w14:textId="299FF828" w:rsidR="00F70873" w:rsidRDefault="00E65F4B" w:rsidP="00E56878">
      <w:pPr>
        <w:pStyle w:val="ListParagraph"/>
        <w:widowControl w:val="0"/>
        <w:numPr>
          <w:ilvl w:val="0"/>
          <w:numId w:val="1"/>
        </w:numPr>
        <w:autoSpaceDE w:val="0"/>
        <w:autoSpaceDN w:val="0"/>
        <w:adjustRightInd w:val="0"/>
        <w:ind w:hanging="720"/>
        <w:rPr>
          <w:rFonts w:cs="Times New Roman"/>
          <w:szCs w:val="24"/>
        </w:rPr>
      </w:pPr>
      <w:r>
        <w:rPr>
          <w:rFonts w:cs="Times New Roman"/>
          <w:szCs w:val="24"/>
        </w:rPr>
        <w:t>It is asserted in Dr Sheehan’s notice of appeal that the Judgment was indicative of the Judge having formed an “</w:t>
      </w:r>
      <w:r w:rsidRPr="00E65F4B">
        <w:rPr>
          <w:rFonts w:cs="Times New Roman"/>
          <w:i/>
          <w:szCs w:val="24"/>
        </w:rPr>
        <w:t>antipathy</w:t>
      </w:r>
      <w:r>
        <w:rPr>
          <w:rFonts w:cs="Times New Roman"/>
          <w:szCs w:val="24"/>
        </w:rPr>
        <w:t>” to him</w:t>
      </w:r>
      <w:r w:rsidR="00CA174E">
        <w:rPr>
          <w:rFonts w:cs="Times New Roman"/>
          <w:szCs w:val="24"/>
        </w:rPr>
        <w:t xml:space="preserve">. While I have been critical of certain of the statements made by the Judge, </w:t>
      </w:r>
      <w:r w:rsidR="009A1933">
        <w:rPr>
          <w:rFonts w:cs="Times New Roman"/>
          <w:szCs w:val="24"/>
        </w:rPr>
        <w:t xml:space="preserve">I do not accept that the Judgement demonstrates antipathy to Dr Sheehan. The Judge deals carefully and thoroughly with the claims made by Dr Sheehan. For the reasons set out above, the Judge’s conclusions on the merits of these claims cannot be impeached. I do not understand that the Court is asked to set aside the Judgment on grounds of bias or unfairness. No argument to that effect is advanced in Dr Sheehan’s submissions and in my view there is no proper basis on which such an order might be made here. Insofar as the Judge was critical of Dr Sheehan </w:t>
      </w:r>
      <w:r w:rsidR="009A1933" w:rsidRPr="009A1933">
        <w:rPr>
          <w:rFonts w:cs="Times New Roman"/>
          <w:i/>
          <w:szCs w:val="24"/>
        </w:rPr>
        <w:t>qua</w:t>
      </w:r>
      <w:r w:rsidR="009A1933">
        <w:rPr>
          <w:rFonts w:cs="Times New Roman"/>
          <w:szCs w:val="24"/>
        </w:rPr>
        <w:t xml:space="preserve"> litigant, this Court’s judgment suffices to vindicate Dr Sheehan’s position.</w:t>
      </w:r>
    </w:p>
    <w:p w14:paraId="4E129E90" w14:textId="223D79B2" w:rsidR="009A1933" w:rsidRDefault="009A1933">
      <w:pPr>
        <w:spacing w:after="160" w:line="259" w:lineRule="auto"/>
        <w:jc w:val="left"/>
        <w:rPr>
          <w:rFonts w:cs="Times New Roman"/>
          <w:szCs w:val="24"/>
        </w:rPr>
      </w:pPr>
      <w:r>
        <w:rPr>
          <w:rFonts w:cs="Times New Roman"/>
          <w:szCs w:val="24"/>
        </w:rPr>
        <w:br w:type="page"/>
      </w:r>
    </w:p>
    <w:p w14:paraId="7E9D1FD0" w14:textId="1ECC9236" w:rsidR="009A1933" w:rsidRDefault="009A1933" w:rsidP="009A1933">
      <w:pPr>
        <w:pStyle w:val="ListParagraph"/>
        <w:widowControl w:val="0"/>
        <w:autoSpaceDE w:val="0"/>
        <w:autoSpaceDN w:val="0"/>
        <w:adjustRightInd w:val="0"/>
        <w:ind w:left="0"/>
        <w:jc w:val="center"/>
        <w:rPr>
          <w:rFonts w:cs="Times New Roman"/>
          <w:b/>
          <w:szCs w:val="24"/>
        </w:rPr>
      </w:pPr>
      <w:r w:rsidRPr="009A1933">
        <w:rPr>
          <w:rFonts w:cs="Times New Roman"/>
          <w:b/>
          <w:szCs w:val="24"/>
        </w:rPr>
        <w:lastRenderedPageBreak/>
        <w:t>CONCLUSIONS AND ORDER</w:t>
      </w:r>
    </w:p>
    <w:p w14:paraId="2911E547" w14:textId="77777777" w:rsidR="009A1933" w:rsidRPr="009A1933" w:rsidRDefault="009A1933" w:rsidP="009A1933">
      <w:pPr>
        <w:pStyle w:val="ListParagraph"/>
        <w:widowControl w:val="0"/>
        <w:autoSpaceDE w:val="0"/>
        <w:autoSpaceDN w:val="0"/>
        <w:adjustRightInd w:val="0"/>
        <w:ind w:left="0"/>
        <w:jc w:val="center"/>
        <w:rPr>
          <w:rFonts w:cs="Times New Roman"/>
          <w:b/>
          <w:szCs w:val="24"/>
        </w:rPr>
      </w:pPr>
    </w:p>
    <w:p w14:paraId="2FBD7394" w14:textId="7483062A" w:rsidR="009A1933" w:rsidRDefault="00E31C5B" w:rsidP="00E56878">
      <w:pPr>
        <w:pStyle w:val="ListParagraph"/>
        <w:widowControl w:val="0"/>
        <w:numPr>
          <w:ilvl w:val="0"/>
          <w:numId w:val="1"/>
        </w:numPr>
        <w:autoSpaceDE w:val="0"/>
        <w:autoSpaceDN w:val="0"/>
        <w:adjustRightInd w:val="0"/>
        <w:ind w:hanging="720"/>
        <w:rPr>
          <w:rFonts w:cs="Times New Roman"/>
          <w:szCs w:val="24"/>
        </w:rPr>
      </w:pPr>
      <w:r>
        <w:rPr>
          <w:rFonts w:cs="Times New Roman"/>
          <w:szCs w:val="24"/>
        </w:rPr>
        <w:t>It follows that Dr Sheehan’s appeal must be dismissed.</w:t>
      </w:r>
    </w:p>
    <w:p w14:paraId="61906D3F" w14:textId="77777777" w:rsidR="00E31C5B" w:rsidRDefault="00E31C5B" w:rsidP="00E31C5B">
      <w:pPr>
        <w:pStyle w:val="ListParagraph"/>
        <w:widowControl w:val="0"/>
        <w:autoSpaceDE w:val="0"/>
        <w:autoSpaceDN w:val="0"/>
        <w:adjustRightInd w:val="0"/>
        <w:rPr>
          <w:rFonts w:cs="Times New Roman"/>
          <w:szCs w:val="24"/>
        </w:rPr>
      </w:pPr>
    </w:p>
    <w:p w14:paraId="69581DFB" w14:textId="0A4A280E" w:rsidR="00E31C5B" w:rsidRDefault="00E31C5B" w:rsidP="00E56878">
      <w:pPr>
        <w:pStyle w:val="ListParagraph"/>
        <w:widowControl w:val="0"/>
        <w:numPr>
          <w:ilvl w:val="0"/>
          <w:numId w:val="1"/>
        </w:numPr>
        <w:autoSpaceDE w:val="0"/>
        <w:autoSpaceDN w:val="0"/>
        <w:adjustRightInd w:val="0"/>
        <w:ind w:hanging="720"/>
        <w:rPr>
          <w:rFonts w:cs="Times New Roman"/>
          <w:szCs w:val="24"/>
        </w:rPr>
      </w:pPr>
      <w:r>
        <w:rPr>
          <w:rFonts w:cs="Times New Roman"/>
          <w:szCs w:val="24"/>
        </w:rPr>
        <w:t xml:space="preserve">As </w:t>
      </w:r>
      <w:r w:rsidR="00B20686">
        <w:rPr>
          <w:rFonts w:cs="Times New Roman"/>
          <w:szCs w:val="24"/>
        </w:rPr>
        <w:t>his</w:t>
      </w:r>
      <w:r>
        <w:rPr>
          <w:rFonts w:cs="Times New Roman"/>
          <w:szCs w:val="24"/>
        </w:rPr>
        <w:t xml:space="preserve"> appeal has been entirely unsuccessful</w:t>
      </w:r>
      <w:r w:rsidR="00B20686" w:rsidRPr="00A9734E">
        <w:rPr>
          <w:rFonts w:eastAsia="Times New Roman" w:cs="Times New Roman"/>
          <w:color w:val="000000" w:themeColor="text1"/>
          <w:szCs w:val="24"/>
          <w:lang w:eastAsia="en-IE"/>
        </w:rPr>
        <w:t xml:space="preserve">, it would appear to follow that </w:t>
      </w:r>
      <w:r w:rsidR="00B20686">
        <w:rPr>
          <w:rFonts w:eastAsia="Times New Roman" w:cs="Times New Roman"/>
          <w:color w:val="000000" w:themeColor="text1"/>
          <w:szCs w:val="24"/>
          <w:lang w:eastAsia="en-IE"/>
        </w:rPr>
        <w:t xml:space="preserve">Dr </w:t>
      </w:r>
      <w:r w:rsidR="00B20686" w:rsidRPr="00A9734E">
        <w:rPr>
          <w:rFonts w:eastAsia="Times New Roman" w:cs="Times New Roman"/>
          <w:color w:val="000000" w:themeColor="text1"/>
          <w:szCs w:val="24"/>
          <w:lang w:eastAsia="en-IE"/>
        </w:rPr>
        <w:t xml:space="preserve"> </w:t>
      </w:r>
      <w:r w:rsidR="00B20686">
        <w:rPr>
          <w:rFonts w:eastAsia="Times New Roman" w:cs="Times New Roman"/>
          <w:color w:val="000000" w:themeColor="text1"/>
          <w:szCs w:val="24"/>
          <w:lang w:eastAsia="en-IE"/>
        </w:rPr>
        <w:t xml:space="preserve">Sheehan </w:t>
      </w:r>
      <w:r w:rsidR="00B20686" w:rsidRPr="00A9734E">
        <w:rPr>
          <w:rFonts w:eastAsia="Times New Roman" w:cs="Times New Roman"/>
          <w:color w:val="000000" w:themeColor="text1"/>
          <w:szCs w:val="24"/>
          <w:lang w:eastAsia="en-IE"/>
        </w:rPr>
        <w:t xml:space="preserve">should be required to pay the costs of the appeal. </w:t>
      </w:r>
      <w:r w:rsidR="00B20686" w:rsidRPr="00A9734E">
        <w:rPr>
          <w:szCs w:val="24"/>
        </w:rPr>
        <w:t xml:space="preserve">If </w:t>
      </w:r>
      <w:r w:rsidR="00B20686">
        <w:rPr>
          <w:szCs w:val="24"/>
        </w:rPr>
        <w:t xml:space="preserve">he </w:t>
      </w:r>
      <w:r w:rsidR="00B20686" w:rsidRPr="00A9734E">
        <w:rPr>
          <w:szCs w:val="24"/>
        </w:rPr>
        <w:t>wish</w:t>
      </w:r>
      <w:r w:rsidR="00B20686">
        <w:rPr>
          <w:szCs w:val="24"/>
        </w:rPr>
        <w:t>es</w:t>
      </w:r>
      <w:r w:rsidR="00B20686" w:rsidRPr="00A9734E">
        <w:rPr>
          <w:szCs w:val="24"/>
        </w:rPr>
        <w:t xml:space="preserve"> to contend for any different order, </w:t>
      </w:r>
      <w:r w:rsidR="002D657C">
        <w:rPr>
          <w:szCs w:val="24"/>
        </w:rPr>
        <w:t>he</w:t>
      </w:r>
      <w:r w:rsidR="00B20686" w:rsidRPr="00A9734E">
        <w:rPr>
          <w:szCs w:val="24"/>
        </w:rPr>
        <w:t xml:space="preserve"> will have liberty to apply to the Court of Appeal Office within 14 days for a brief supplemental hearing on the issue of costs. If such hearing is requested and results in an order in the terms I have suggested, </w:t>
      </w:r>
      <w:r w:rsidR="002D657C">
        <w:rPr>
          <w:szCs w:val="24"/>
        </w:rPr>
        <w:t xml:space="preserve">Dr Sheehan </w:t>
      </w:r>
      <w:r w:rsidR="00B20686" w:rsidRPr="00A9734E">
        <w:rPr>
          <w:szCs w:val="24"/>
        </w:rPr>
        <w:t>may be liable for the additional costs of such hearing:  In default of receipt of such application, an order in the terms proposed will be made.</w:t>
      </w:r>
    </w:p>
    <w:p w14:paraId="5B55A6FE" w14:textId="5948C9FD" w:rsidR="009A1933" w:rsidRPr="009A1933" w:rsidRDefault="009A1933" w:rsidP="009A1933">
      <w:pPr>
        <w:widowControl w:val="0"/>
        <w:autoSpaceDE w:val="0"/>
        <w:autoSpaceDN w:val="0"/>
        <w:adjustRightInd w:val="0"/>
        <w:rPr>
          <w:rFonts w:cs="Times New Roman"/>
          <w:i/>
          <w:szCs w:val="24"/>
        </w:rPr>
      </w:pPr>
    </w:p>
    <w:p w14:paraId="5879DD21" w14:textId="019BBDA5" w:rsidR="009A1933" w:rsidRPr="009A1933" w:rsidRDefault="009A1933" w:rsidP="009A1933">
      <w:pPr>
        <w:widowControl w:val="0"/>
        <w:autoSpaceDE w:val="0"/>
        <w:autoSpaceDN w:val="0"/>
        <w:adjustRightInd w:val="0"/>
        <w:rPr>
          <w:rFonts w:cs="Times New Roman"/>
          <w:i/>
          <w:szCs w:val="24"/>
        </w:rPr>
      </w:pPr>
      <w:r w:rsidRPr="009A1933">
        <w:rPr>
          <w:rFonts w:cs="Times New Roman"/>
          <w:i/>
          <w:szCs w:val="24"/>
        </w:rPr>
        <w:t>Whelan and Binchy JJ have authorised me to indicate their agreement with this judgment and with the orders proposed</w:t>
      </w:r>
    </w:p>
    <w:sectPr w:rsidR="009A1933" w:rsidRPr="009A1933" w:rsidSect="00F618A6">
      <w:headerReference w:type="default" r:id="rId8"/>
      <w:footerReference w:type="default" r:id="rId9"/>
      <w:headerReference w:type="first" r:id="rId10"/>
      <w:footerReference w:type="first" r:id="rId11"/>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E9768" w14:textId="77777777" w:rsidR="00405354" w:rsidRDefault="00405354" w:rsidP="00AA76EA">
      <w:pPr>
        <w:spacing w:line="240" w:lineRule="auto"/>
      </w:pPr>
      <w:r>
        <w:separator/>
      </w:r>
    </w:p>
  </w:endnote>
  <w:endnote w:type="continuationSeparator" w:id="0">
    <w:p w14:paraId="288DE5D0" w14:textId="77777777" w:rsidR="00405354" w:rsidRDefault="00405354" w:rsidP="00AA7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sz w:val="20"/>
        <w:szCs w:val="20"/>
      </w:rPr>
      <w:id w:val="-532728395"/>
      <w:docPartObj>
        <w:docPartGallery w:val="Page Numbers (Bottom of Page)"/>
        <w:docPartUnique/>
      </w:docPartObj>
    </w:sdtPr>
    <w:sdtEndPr/>
    <w:sdtContent>
      <w:sdt>
        <w:sdtPr>
          <w:rPr>
            <w:b/>
            <w:i/>
            <w:sz w:val="20"/>
            <w:szCs w:val="20"/>
          </w:rPr>
          <w:id w:val="-331456394"/>
          <w:docPartObj>
            <w:docPartGallery w:val="Page Numbers (Top of Page)"/>
            <w:docPartUnique/>
          </w:docPartObj>
        </w:sdtPr>
        <w:sdtEndPr/>
        <w:sdtContent>
          <w:p w14:paraId="3F926BB0" w14:textId="77777777" w:rsidR="00405354" w:rsidRPr="00AA76EA" w:rsidRDefault="00405354">
            <w:pPr>
              <w:pStyle w:val="Footer"/>
              <w:jc w:val="center"/>
              <w:rPr>
                <w:b/>
                <w:i/>
                <w:sz w:val="20"/>
                <w:szCs w:val="20"/>
              </w:rPr>
            </w:pPr>
            <w:r w:rsidRPr="00AA76EA">
              <w:rPr>
                <w:b/>
                <w:i/>
                <w:sz w:val="20"/>
                <w:szCs w:val="20"/>
              </w:rPr>
              <w:t xml:space="preserve">Page </w:t>
            </w:r>
            <w:r w:rsidRPr="00AA76EA">
              <w:rPr>
                <w:b/>
                <w:bCs/>
                <w:i/>
                <w:sz w:val="20"/>
                <w:szCs w:val="20"/>
              </w:rPr>
              <w:fldChar w:fldCharType="begin"/>
            </w:r>
            <w:r w:rsidRPr="00AA76EA">
              <w:rPr>
                <w:b/>
                <w:bCs/>
                <w:i/>
                <w:sz w:val="20"/>
                <w:szCs w:val="20"/>
              </w:rPr>
              <w:instrText xml:space="preserve"> PAGE </w:instrText>
            </w:r>
            <w:r w:rsidRPr="00AA76EA">
              <w:rPr>
                <w:b/>
                <w:bCs/>
                <w:i/>
                <w:sz w:val="20"/>
                <w:szCs w:val="20"/>
              </w:rPr>
              <w:fldChar w:fldCharType="separate"/>
            </w:r>
            <w:r w:rsidRPr="00AA76EA">
              <w:rPr>
                <w:b/>
                <w:bCs/>
                <w:i/>
                <w:noProof/>
                <w:sz w:val="20"/>
                <w:szCs w:val="20"/>
              </w:rPr>
              <w:t>2</w:t>
            </w:r>
            <w:r w:rsidRPr="00AA76EA">
              <w:rPr>
                <w:b/>
                <w:bCs/>
                <w:i/>
                <w:sz w:val="20"/>
                <w:szCs w:val="20"/>
              </w:rPr>
              <w:fldChar w:fldCharType="end"/>
            </w:r>
            <w:r w:rsidRPr="00AA76EA">
              <w:rPr>
                <w:b/>
                <w:i/>
                <w:sz w:val="20"/>
                <w:szCs w:val="20"/>
              </w:rPr>
              <w:t xml:space="preserve"> of </w:t>
            </w:r>
            <w:r w:rsidRPr="00AA76EA">
              <w:rPr>
                <w:b/>
                <w:bCs/>
                <w:i/>
                <w:sz w:val="20"/>
                <w:szCs w:val="20"/>
              </w:rPr>
              <w:fldChar w:fldCharType="begin"/>
            </w:r>
            <w:r w:rsidRPr="00AA76EA">
              <w:rPr>
                <w:b/>
                <w:bCs/>
                <w:i/>
                <w:sz w:val="20"/>
                <w:szCs w:val="20"/>
              </w:rPr>
              <w:instrText xml:space="preserve"> NUMPAGES  </w:instrText>
            </w:r>
            <w:r w:rsidRPr="00AA76EA">
              <w:rPr>
                <w:b/>
                <w:bCs/>
                <w:i/>
                <w:sz w:val="20"/>
                <w:szCs w:val="20"/>
              </w:rPr>
              <w:fldChar w:fldCharType="separate"/>
            </w:r>
            <w:r w:rsidRPr="00AA76EA">
              <w:rPr>
                <w:b/>
                <w:bCs/>
                <w:i/>
                <w:noProof/>
                <w:sz w:val="20"/>
                <w:szCs w:val="20"/>
              </w:rPr>
              <w:t>2</w:t>
            </w:r>
            <w:r w:rsidRPr="00AA76EA">
              <w:rPr>
                <w:b/>
                <w:bCs/>
                <w:i/>
                <w:sz w:val="20"/>
                <w:szCs w:val="20"/>
              </w:rPr>
              <w:fldChar w:fldCharType="end"/>
            </w:r>
          </w:p>
        </w:sdtContent>
      </w:sdt>
    </w:sdtContent>
  </w:sdt>
  <w:p w14:paraId="6F3A1EC5" w14:textId="77777777" w:rsidR="00405354" w:rsidRDefault="00405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sz w:val="20"/>
        <w:szCs w:val="20"/>
      </w:rPr>
      <w:id w:val="-964030175"/>
      <w:docPartObj>
        <w:docPartGallery w:val="Page Numbers (Bottom of Page)"/>
        <w:docPartUnique/>
      </w:docPartObj>
    </w:sdtPr>
    <w:sdtEndPr/>
    <w:sdtContent>
      <w:sdt>
        <w:sdtPr>
          <w:rPr>
            <w:b/>
            <w:i/>
            <w:sz w:val="20"/>
            <w:szCs w:val="20"/>
          </w:rPr>
          <w:id w:val="1728636285"/>
          <w:docPartObj>
            <w:docPartGallery w:val="Page Numbers (Top of Page)"/>
            <w:docPartUnique/>
          </w:docPartObj>
        </w:sdtPr>
        <w:sdtEndPr/>
        <w:sdtContent>
          <w:p w14:paraId="33C1DEC6" w14:textId="77777777" w:rsidR="00405354" w:rsidRPr="00AA76EA" w:rsidRDefault="00405354">
            <w:pPr>
              <w:pStyle w:val="Footer"/>
              <w:jc w:val="center"/>
              <w:rPr>
                <w:b/>
                <w:i/>
                <w:sz w:val="20"/>
                <w:szCs w:val="20"/>
              </w:rPr>
            </w:pPr>
            <w:r w:rsidRPr="00AA76EA">
              <w:rPr>
                <w:b/>
                <w:i/>
                <w:sz w:val="20"/>
                <w:szCs w:val="20"/>
              </w:rPr>
              <w:t xml:space="preserve">Page </w:t>
            </w:r>
            <w:r w:rsidRPr="00AA76EA">
              <w:rPr>
                <w:b/>
                <w:bCs/>
                <w:i/>
                <w:sz w:val="20"/>
                <w:szCs w:val="20"/>
              </w:rPr>
              <w:fldChar w:fldCharType="begin"/>
            </w:r>
            <w:r w:rsidRPr="00AA76EA">
              <w:rPr>
                <w:b/>
                <w:bCs/>
                <w:i/>
                <w:sz w:val="20"/>
                <w:szCs w:val="20"/>
              </w:rPr>
              <w:instrText xml:space="preserve"> PAGE </w:instrText>
            </w:r>
            <w:r w:rsidRPr="00AA76EA">
              <w:rPr>
                <w:b/>
                <w:bCs/>
                <w:i/>
                <w:sz w:val="20"/>
                <w:szCs w:val="20"/>
              </w:rPr>
              <w:fldChar w:fldCharType="separate"/>
            </w:r>
            <w:r w:rsidRPr="00AA76EA">
              <w:rPr>
                <w:b/>
                <w:bCs/>
                <w:i/>
                <w:noProof/>
                <w:sz w:val="20"/>
                <w:szCs w:val="20"/>
              </w:rPr>
              <w:t>2</w:t>
            </w:r>
            <w:r w:rsidRPr="00AA76EA">
              <w:rPr>
                <w:b/>
                <w:bCs/>
                <w:i/>
                <w:sz w:val="20"/>
                <w:szCs w:val="20"/>
              </w:rPr>
              <w:fldChar w:fldCharType="end"/>
            </w:r>
            <w:r w:rsidRPr="00AA76EA">
              <w:rPr>
                <w:b/>
                <w:i/>
                <w:sz w:val="20"/>
                <w:szCs w:val="20"/>
              </w:rPr>
              <w:t xml:space="preserve"> of </w:t>
            </w:r>
            <w:r w:rsidRPr="00AA76EA">
              <w:rPr>
                <w:b/>
                <w:bCs/>
                <w:i/>
                <w:sz w:val="20"/>
                <w:szCs w:val="20"/>
              </w:rPr>
              <w:fldChar w:fldCharType="begin"/>
            </w:r>
            <w:r w:rsidRPr="00AA76EA">
              <w:rPr>
                <w:b/>
                <w:bCs/>
                <w:i/>
                <w:sz w:val="20"/>
                <w:szCs w:val="20"/>
              </w:rPr>
              <w:instrText xml:space="preserve"> NUMPAGES  </w:instrText>
            </w:r>
            <w:r w:rsidRPr="00AA76EA">
              <w:rPr>
                <w:b/>
                <w:bCs/>
                <w:i/>
                <w:sz w:val="20"/>
                <w:szCs w:val="20"/>
              </w:rPr>
              <w:fldChar w:fldCharType="separate"/>
            </w:r>
            <w:r w:rsidRPr="00AA76EA">
              <w:rPr>
                <w:b/>
                <w:bCs/>
                <w:i/>
                <w:noProof/>
                <w:sz w:val="20"/>
                <w:szCs w:val="20"/>
              </w:rPr>
              <w:t>2</w:t>
            </w:r>
            <w:r w:rsidRPr="00AA76EA">
              <w:rPr>
                <w:b/>
                <w:bCs/>
                <w:i/>
                <w:sz w:val="20"/>
                <w:szCs w:val="20"/>
              </w:rPr>
              <w:fldChar w:fldCharType="end"/>
            </w:r>
          </w:p>
        </w:sdtContent>
      </w:sdt>
    </w:sdtContent>
  </w:sdt>
  <w:p w14:paraId="2F8C2E64" w14:textId="77777777" w:rsidR="00405354" w:rsidRDefault="00405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91B6" w14:textId="77777777" w:rsidR="00405354" w:rsidRDefault="00405354" w:rsidP="00AA76EA">
      <w:pPr>
        <w:spacing w:line="240" w:lineRule="auto"/>
      </w:pPr>
      <w:r>
        <w:separator/>
      </w:r>
    </w:p>
  </w:footnote>
  <w:footnote w:type="continuationSeparator" w:id="0">
    <w:p w14:paraId="4D16ACF4" w14:textId="77777777" w:rsidR="00405354" w:rsidRDefault="00405354" w:rsidP="00AA76EA">
      <w:pPr>
        <w:spacing w:line="240" w:lineRule="auto"/>
      </w:pPr>
      <w:r>
        <w:continuationSeparator/>
      </w:r>
    </w:p>
  </w:footnote>
  <w:footnote w:id="1">
    <w:p w14:paraId="1834FC5D" w14:textId="27D54D18" w:rsidR="00405354" w:rsidRPr="00CB0A51" w:rsidRDefault="00405354">
      <w:pPr>
        <w:pStyle w:val="FootnoteText"/>
      </w:pPr>
      <w:r w:rsidRPr="00CB0A51">
        <w:rPr>
          <w:rStyle w:val="FootnoteReference"/>
        </w:rPr>
        <w:footnoteRef/>
      </w:r>
      <w:r w:rsidRPr="00CB0A51">
        <w:t xml:space="preserve"> Mr Lawrence addressed three issues in his report: a. whether Talos was under any obligation to disclose to Dr Sheehan the JCS/IBRC settlement prior to its settlement with Dr Sheehan; b. the nature of JCS’s liabilities to Talos under the Facility Agreement (which was governed by English law) and c</w:t>
      </w:r>
      <w:r>
        <w:t>.</w:t>
      </w:r>
      <w:r w:rsidRPr="00CB0A51">
        <w:t xml:space="preserve"> the application by Talos of the monies paid to it by JCS, having regard (inter alia) to the Facility Agreement. Mr S</w:t>
      </w:r>
      <w:r>
        <w:t>al</w:t>
      </w:r>
      <w:r w:rsidRPr="00CB0A51">
        <w:t xml:space="preserve">ter addressed the same three issues. The first of these issues is central to this appeal but the others do not arise and in particular no issue arises as to the entitlement of Talos to allocate the monies recovered from JCS in the manner that it did. </w:t>
      </w:r>
    </w:p>
  </w:footnote>
  <w:footnote w:id="2">
    <w:p w14:paraId="7D264C1B" w14:textId="77777777" w:rsidR="00405354" w:rsidRPr="00CB0A51" w:rsidRDefault="00405354" w:rsidP="00BB2EFF">
      <w:pPr>
        <w:pStyle w:val="FootnoteText"/>
      </w:pPr>
      <w:r w:rsidRPr="00CB0A51">
        <w:rPr>
          <w:rStyle w:val="FootnoteReference"/>
        </w:rPr>
        <w:footnoteRef/>
      </w:r>
      <w:r w:rsidRPr="00CB0A51">
        <w:t xml:space="preserve"> Day 2, page 4.</w:t>
      </w:r>
    </w:p>
  </w:footnote>
  <w:footnote w:id="3">
    <w:p w14:paraId="4142A3E4" w14:textId="77777777" w:rsidR="00405354" w:rsidRPr="00CB0A51" w:rsidRDefault="00405354" w:rsidP="00BB2EFF">
      <w:pPr>
        <w:pStyle w:val="FootnoteText"/>
      </w:pPr>
      <w:r w:rsidRPr="00CB0A51">
        <w:rPr>
          <w:rStyle w:val="FootnoteReference"/>
        </w:rPr>
        <w:footnoteRef/>
      </w:r>
      <w:r w:rsidRPr="00CB0A51">
        <w:t xml:space="preserve"> Day 7, page 84.</w:t>
      </w:r>
    </w:p>
  </w:footnote>
  <w:footnote w:id="4">
    <w:p w14:paraId="349633E0" w14:textId="77777777" w:rsidR="00405354" w:rsidRPr="00CB0A51" w:rsidRDefault="00405354" w:rsidP="00BB2EFF">
      <w:pPr>
        <w:pStyle w:val="FootnoteText"/>
      </w:pPr>
      <w:r w:rsidRPr="00CB0A51">
        <w:rPr>
          <w:rStyle w:val="FootnoteReference"/>
        </w:rPr>
        <w:footnoteRef/>
      </w:r>
      <w:r w:rsidRPr="00CB0A51">
        <w:t xml:space="preserve"> </w:t>
      </w:r>
      <w:r w:rsidRPr="00CB0A51">
        <w:rPr>
          <w:i/>
        </w:rPr>
        <w:t>Dicey, Morris &amp; Collins on the Conflict of Laws</w:t>
      </w:r>
      <w:r w:rsidRPr="00CB0A51">
        <w:t xml:space="preserve"> (15</w:t>
      </w:r>
      <w:r w:rsidRPr="00CB0A51">
        <w:rPr>
          <w:vertAlign w:val="superscript"/>
        </w:rPr>
        <w:t>th</w:t>
      </w:r>
      <w:r w:rsidRPr="00CB0A51">
        <w:t xml:space="preserve"> ed; 2012) at para 9-002, especially fn 8 and supporting text. </w:t>
      </w:r>
    </w:p>
  </w:footnote>
  <w:footnote w:id="5">
    <w:p w14:paraId="4575652F" w14:textId="3D62E43F" w:rsidR="00405354" w:rsidRDefault="00405354">
      <w:pPr>
        <w:pStyle w:val="FootnoteText"/>
      </w:pPr>
      <w:r>
        <w:rPr>
          <w:rStyle w:val="FootnoteReference"/>
        </w:rPr>
        <w:footnoteRef/>
      </w:r>
      <w:r>
        <w:t xml:space="preserve"> In </w:t>
      </w:r>
      <w:r w:rsidRPr="00263A03">
        <w:rPr>
          <w:i/>
        </w:rPr>
        <w:t>Raiffeisen Zentralbank Osterr</w:t>
      </w:r>
      <w:r>
        <w:rPr>
          <w:i/>
        </w:rPr>
        <w:t>e</w:t>
      </w:r>
      <w:r w:rsidRPr="00263A03">
        <w:rPr>
          <w:i/>
        </w:rPr>
        <w:t>ich v Royal Bank of Scotland</w:t>
      </w:r>
      <w:r>
        <w:t xml:space="preserve"> [2010] EWHC 1392 (Comm), an influential decision that has been cited with approval on a number of occasions in this jurisdiction, including by this Court in </w:t>
      </w:r>
      <w:r w:rsidRPr="00F0204D">
        <w:rPr>
          <w:i/>
        </w:rPr>
        <w:t>Egan v Heatley</w:t>
      </w:r>
      <w:r>
        <w:t xml:space="preserve"> [2020] IECA 354, Clarke J stated that “</w:t>
      </w:r>
      <w:r w:rsidRPr="00197B56">
        <w:rPr>
          <w:i/>
        </w:rPr>
        <w:t>In order to establish a claim in deceit it is necessary for a claimant to prove that the relevant representations were dishonestly made in that the defendant (a) knew that he was making the statement that the Court finds him to have made; and (b) had conscious knowledge of the facts alleged to render the statement false</w:t>
      </w:r>
      <w:r>
        <w:t>” (para 338). As to (a), Clarke J went on, “</w:t>
      </w:r>
      <w:r w:rsidRPr="00197B56">
        <w:rPr>
          <w:i/>
        </w:rPr>
        <w:t>it is necessary for the claimant to identify the representation made and to show that that was what he was saying.”</w:t>
      </w:r>
    </w:p>
  </w:footnote>
  <w:footnote w:id="6">
    <w:p w14:paraId="6562B202" w14:textId="2C1686B1" w:rsidR="00405354" w:rsidRPr="00CB0A51" w:rsidRDefault="00405354" w:rsidP="00BB2EFF">
      <w:pPr>
        <w:pStyle w:val="FootnoteText"/>
      </w:pPr>
      <w:r w:rsidRPr="00CB0A51">
        <w:rPr>
          <w:rStyle w:val="FootnoteReference"/>
        </w:rPr>
        <w:footnoteRef/>
      </w:r>
      <w:r w:rsidRPr="00CB0A51">
        <w:t xml:space="preserve"> Day 2, pages 89 and following.</w:t>
      </w:r>
    </w:p>
  </w:footnote>
  <w:footnote w:id="7">
    <w:p w14:paraId="3174434B" w14:textId="67C4C19A" w:rsidR="00405354" w:rsidRPr="00CB0A51" w:rsidRDefault="00405354" w:rsidP="00BB2EFF">
      <w:pPr>
        <w:pStyle w:val="FootnoteText"/>
      </w:pPr>
      <w:r w:rsidRPr="00CB0A51">
        <w:rPr>
          <w:rStyle w:val="FootnoteReference"/>
        </w:rPr>
        <w:footnoteRef/>
      </w:r>
      <w:r w:rsidRPr="00CB0A51">
        <w:t xml:space="preserve"> Day 4, page 26</w:t>
      </w:r>
    </w:p>
  </w:footnote>
  <w:footnote w:id="8">
    <w:p w14:paraId="7FCC9C12" w14:textId="4405BECE" w:rsidR="00405354" w:rsidRPr="00CB0A51" w:rsidRDefault="00405354" w:rsidP="00BB2EFF">
      <w:pPr>
        <w:pStyle w:val="FootnoteText"/>
      </w:pPr>
      <w:r w:rsidRPr="00CB0A51">
        <w:rPr>
          <w:rStyle w:val="FootnoteReference"/>
        </w:rPr>
        <w:footnoteRef/>
      </w:r>
      <w:r w:rsidRPr="00CB0A51">
        <w:t xml:space="preserve"> Day 3, page 101.</w:t>
      </w:r>
    </w:p>
  </w:footnote>
  <w:footnote w:id="9">
    <w:p w14:paraId="471A934F" w14:textId="41556928" w:rsidR="00405354" w:rsidRPr="00CB0A51" w:rsidRDefault="00405354" w:rsidP="00BB2EFF">
      <w:pPr>
        <w:pStyle w:val="FootnoteText"/>
      </w:pPr>
      <w:r w:rsidRPr="00CB0A51">
        <w:rPr>
          <w:rStyle w:val="FootnoteReference"/>
        </w:rPr>
        <w:footnoteRef/>
      </w:r>
      <w:r w:rsidRPr="00CB0A51">
        <w:t xml:space="preserve"> Day 3, page 103. </w:t>
      </w:r>
    </w:p>
  </w:footnote>
  <w:footnote w:id="10">
    <w:p w14:paraId="6213B093" w14:textId="2D55D582" w:rsidR="00405354" w:rsidRPr="00CB0A51" w:rsidRDefault="00405354" w:rsidP="00BB2EFF">
      <w:pPr>
        <w:pStyle w:val="FootnoteText"/>
      </w:pPr>
      <w:r w:rsidRPr="00CB0A51">
        <w:rPr>
          <w:rStyle w:val="FootnoteReference"/>
        </w:rPr>
        <w:footnoteRef/>
      </w:r>
      <w:r w:rsidRPr="00CB0A51">
        <w:t xml:space="preserve"> Day 3, page 111. </w:t>
      </w:r>
    </w:p>
  </w:footnote>
  <w:footnote w:id="11">
    <w:p w14:paraId="42AEEB80" w14:textId="1F1C7FC7" w:rsidR="00405354" w:rsidRPr="00CB0A51" w:rsidRDefault="00405354" w:rsidP="00BB2EFF">
      <w:pPr>
        <w:pStyle w:val="FootnoteText"/>
      </w:pPr>
      <w:r w:rsidRPr="00CB0A51">
        <w:rPr>
          <w:rStyle w:val="FootnoteReference"/>
        </w:rPr>
        <w:footnoteRef/>
      </w:r>
      <w:r w:rsidRPr="00CB0A51">
        <w:t xml:space="preserve"> Day 2, pages 95-96.</w:t>
      </w:r>
    </w:p>
  </w:footnote>
  <w:footnote w:id="12">
    <w:p w14:paraId="65302A82" w14:textId="52122B0C" w:rsidR="00405354" w:rsidRPr="00CB0A51" w:rsidRDefault="00405354" w:rsidP="00BB2EFF">
      <w:pPr>
        <w:pStyle w:val="FootnoteText"/>
      </w:pPr>
      <w:r w:rsidRPr="00CB0A51">
        <w:rPr>
          <w:rStyle w:val="FootnoteReference"/>
        </w:rPr>
        <w:footnoteRef/>
      </w:r>
      <w:r w:rsidRPr="00CB0A51">
        <w:t xml:space="preserve"> Day 2, page 128. </w:t>
      </w:r>
    </w:p>
  </w:footnote>
  <w:footnote w:id="13">
    <w:p w14:paraId="7B31F137" w14:textId="010623C7" w:rsidR="00405354" w:rsidRPr="00CB0A51" w:rsidRDefault="00405354" w:rsidP="002F133F">
      <w:pPr>
        <w:pStyle w:val="FootnoteText"/>
      </w:pPr>
      <w:r w:rsidRPr="00CB0A51">
        <w:rPr>
          <w:rStyle w:val="FootnoteReference"/>
        </w:rPr>
        <w:footnoteRef/>
      </w:r>
      <w:r w:rsidRPr="00CB0A51">
        <w:t xml:space="preserve"> Day 4, page 33. Mr Simons also gave evidence to that effect: Day 5, page 119.</w:t>
      </w:r>
    </w:p>
  </w:footnote>
  <w:footnote w:id="14">
    <w:p w14:paraId="54BFEFFF" w14:textId="2A13A86B" w:rsidR="00405354" w:rsidRPr="00CB0A51" w:rsidRDefault="00405354" w:rsidP="00BB2EFF">
      <w:pPr>
        <w:pStyle w:val="FootnoteText"/>
      </w:pPr>
      <w:r w:rsidRPr="00CB0A51">
        <w:rPr>
          <w:rStyle w:val="FootnoteReference"/>
        </w:rPr>
        <w:footnoteRef/>
      </w:r>
      <w:r w:rsidRPr="00CB0A51">
        <w:t xml:space="preserve"> Day 5, page 73. </w:t>
      </w:r>
    </w:p>
  </w:footnote>
  <w:footnote w:id="15">
    <w:p w14:paraId="1A3E59AC" w14:textId="4061E3EF" w:rsidR="00405354" w:rsidRPr="00CB0A51" w:rsidRDefault="00405354" w:rsidP="00BB2EFF">
      <w:pPr>
        <w:pStyle w:val="FootnoteText"/>
      </w:pPr>
      <w:r w:rsidRPr="00CB0A51">
        <w:rPr>
          <w:rStyle w:val="FootnoteReference"/>
        </w:rPr>
        <w:footnoteRef/>
      </w:r>
      <w:r w:rsidRPr="00CB0A51">
        <w:t xml:space="preserve"> Day 5, page 78.</w:t>
      </w:r>
    </w:p>
  </w:footnote>
  <w:footnote w:id="16">
    <w:p w14:paraId="03670FBD" w14:textId="418D43E2" w:rsidR="00405354" w:rsidRPr="00CB0A51" w:rsidRDefault="00405354" w:rsidP="00BB2EFF">
      <w:pPr>
        <w:pStyle w:val="FootnoteText"/>
      </w:pPr>
      <w:r w:rsidRPr="00CB0A51">
        <w:rPr>
          <w:rStyle w:val="FootnoteReference"/>
        </w:rPr>
        <w:footnoteRef/>
      </w:r>
      <w:r w:rsidRPr="00CB0A51">
        <w:t xml:space="preserve"> Day 5,page 79. </w:t>
      </w:r>
    </w:p>
  </w:footnote>
  <w:footnote w:id="17">
    <w:p w14:paraId="7DB6CDAA" w14:textId="0C874BCB" w:rsidR="00405354" w:rsidRPr="00CB0A51" w:rsidRDefault="00405354" w:rsidP="00BB2EFF">
      <w:pPr>
        <w:pStyle w:val="FootnoteText"/>
      </w:pPr>
      <w:r w:rsidRPr="00CB0A51">
        <w:rPr>
          <w:rStyle w:val="FootnoteReference"/>
        </w:rPr>
        <w:footnoteRef/>
      </w:r>
      <w:r w:rsidRPr="00CB0A51">
        <w:t xml:space="preserve"> Ibid</w:t>
      </w:r>
    </w:p>
  </w:footnote>
  <w:footnote w:id="18">
    <w:p w14:paraId="7B98EE0D" w14:textId="38742DA3" w:rsidR="00405354" w:rsidRPr="00CB0A51" w:rsidRDefault="00405354" w:rsidP="00BB2EFF">
      <w:pPr>
        <w:pStyle w:val="FootnoteText"/>
      </w:pPr>
      <w:r w:rsidRPr="00CB0A51">
        <w:rPr>
          <w:rStyle w:val="FootnoteReference"/>
        </w:rPr>
        <w:footnoteRef/>
      </w:r>
      <w:r w:rsidRPr="00CB0A51">
        <w:t xml:space="preserve"> Day 5, pages 80-81.</w:t>
      </w:r>
    </w:p>
  </w:footnote>
  <w:footnote w:id="19">
    <w:p w14:paraId="28822F36" w14:textId="74F0661D" w:rsidR="00405354" w:rsidRPr="00CB0A51" w:rsidRDefault="00405354">
      <w:pPr>
        <w:pStyle w:val="FootnoteText"/>
      </w:pPr>
      <w:r w:rsidRPr="00CB0A51">
        <w:rPr>
          <w:rStyle w:val="FootnoteReference"/>
        </w:rPr>
        <w:footnoteRef/>
      </w:r>
      <w:r w:rsidRPr="00CB0A51">
        <w:t xml:space="preserve"> This email, and many of the subsequent emails referred to in this judgement, were marked “</w:t>
      </w:r>
      <w:r w:rsidRPr="00CB0A51">
        <w:rPr>
          <w:i/>
        </w:rPr>
        <w:t>without prejudice</w:t>
      </w:r>
      <w:r w:rsidRPr="00CB0A51">
        <w:t>” but they were admitted into evidence without objection in the High Court and it is clear that any without prejudice privilege has been waived.</w:t>
      </w:r>
    </w:p>
  </w:footnote>
  <w:footnote w:id="20">
    <w:p w14:paraId="552CFF9A" w14:textId="1336E5D4" w:rsidR="00405354" w:rsidRPr="00CB0A51" w:rsidRDefault="00405354">
      <w:pPr>
        <w:pStyle w:val="FootnoteText"/>
      </w:pPr>
      <w:r w:rsidRPr="00CB0A51">
        <w:rPr>
          <w:rStyle w:val="FootnoteReference"/>
        </w:rPr>
        <w:footnoteRef/>
      </w:r>
      <w:r w:rsidRPr="00CB0A51">
        <w:t xml:space="preserve"> Day 3, page 106.</w:t>
      </w:r>
    </w:p>
  </w:footnote>
  <w:footnote w:id="21">
    <w:p w14:paraId="3A80367C" w14:textId="284ED7B6" w:rsidR="00405354" w:rsidRPr="00CB0A51" w:rsidRDefault="00405354">
      <w:pPr>
        <w:pStyle w:val="FootnoteText"/>
      </w:pPr>
      <w:r w:rsidRPr="00CB0A51">
        <w:rPr>
          <w:rStyle w:val="FootnoteReference"/>
        </w:rPr>
        <w:footnoteRef/>
      </w:r>
      <w:r w:rsidRPr="00CB0A51">
        <w:t xml:space="preserve"> Day 3, page 107.</w:t>
      </w:r>
    </w:p>
  </w:footnote>
  <w:footnote w:id="22">
    <w:p w14:paraId="79C09A53" w14:textId="01A3F9CF" w:rsidR="00405354" w:rsidRPr="00CB0A51" w:rsidRDefault="00405354">
      <w:pPr>
        <w:pStyle w:val="FootnoteText"/>
      </w:pPr>
      <w:r w:rsidRPr="00CB0A51">
        <w:rPr>
          <w:rStyle w:val="FootnoteReference"/>
        </w:rPr>
        <w:footnoteRef/>
      </w:r>
      <w:r w:rsidRPr="00CB0A51">
        <w:t xml:space="preserve"> Day 2, pages 102-107.</w:t>
      </w:r>
    </w:p>
  </w:footnote>
  <w:footnote w:id="23">
    <w:p w14:paraId="2E7A5C71" w14:textId="20FC395D" w:rsidR="00405354" w:rsidRPr="00CB0A51" w:rsidRDefault="00405354">
      <w:pPr>
        <w:pStyle w:val="FootnoteText"/>
      </w:pPr>
      <w:r w:rsidRPr="00CB0A51">
        <w:rPr>
          <w:rStyle w:val="FootnoteReference"/>
        </w:rPr>
        <w:footnoteRef/>
      </w:r>
      <w:r w:rsidRPr="00CB0A51">
        <w:t xml:space="preserve"> Day 3, pages 108-109.</w:t>
      </w:r>
    </w:p>
  </w:footnote>
  <w:footnote w:id="24">
    <w:p w14:paraId="63542B9C" w14:textId="0BFF41CB" w:rsidR="00405354" w:rsidRPr="00CB0A51" w:rsidRDefault="00405354">
      <w:pPr>
        <w:pStyle w:val="FootnoteText"/>
      </w:pPr>
      <w:r w:rsidRPr="00CB0A51">
        <w:rPr>
          <w:rStyle w:val="FootnoteReference"/>
        </w:rPr>
        <w:footnoteRef/>
      </w:r>
      <w:r w:rsidRPr="00CB0A51">
        <w:t xml:space="preserve"> Day 2, page 109. </w:t>
      </w:r>
    </w:p>
  </w:footnote>
  <w:footnote w:id="25">
    <w:p w14:paraId="53A0CD3E" w14:textId="3E5E911E" w:rsidR="00405354" w:rsidRPr="00CB0A51" w:rsidRDefault="00405354">
      <w:pPr>
        <w:pStyle w:val="FootnoteText"/>
      </w:pPr>
      <w:r w:rsidRPr="00CB0A51">
        <w:rPr>
          <w:rStyle w:val="FootnoteReference"/>
        </w:rPr>
        <w:footnoteRef/>
      </w:r>
      <w:r w:rsidRPr="00CB0A51">
        <w:t xml:space="preserve"> Day 3, page 53</w:t>
      </w:r>
    </w:p>
  </w:footnote>
  <w:footnote w:id="26">
    <w:p w14:paraId="55C5BA62" w14:textId="77777777" w:rsidR="00405354" w:rsidRPr="00CB0A51" w:rsidRDefault="00405354" w:rsidP="003809BF">
      <w:pPr>
        <w:pStyle w:val="FootnoteText"/>
      </w:pPr>
      <w:r w:rsidRPr="00CB0A51">
        <w:rPr>
          <w:rStyle w:val="FootnoteReference"/>
        </w:rPr>
        <w:footnoteRef/>
      </w:r>
      <w:r w:rsidRPr="00CB0A51">
        <w:t xml:space="preserve"> Transcript, page 45.</w:t>
      </w:r>
    </w:p>
  </w:footnote>
  <w:footnote w:id="27">
    <w:p w14:paraId="49235097" w14:textId="550977C4" w:rsidR="00405354" w:rsidRPr="00CB0A51" w:rsidRDefault="00405354">
      <w:pPr>
        <w:pStyle w:val="FootnoteText"/>
      </w:pPr>
      <w:r w:rsidRPr="00CB0A51">
        <w:rPr>
          <w:rStyle w:val="FootnoteReference"/>
        </w:rPr>
        <w:footnoteRef/>
      </w:r>
      <w:r w:rsidRPr="00CB0A51">
        <w:t xml:space="preserve"> Transcript, page 132.</w:t>
      </w:r>
    </w:p>
  </w:footnote>
  <w:footnote w:id="28">
    <w:p w14:paraId="34BB485A" w14:textId="62E2F2ED" w:rsidR="00405354" w:rsidRPr="00CB0A51" w:rsidRDefault="00405354">
      <w:pPr>
        <w:pStyle w:val="FootnoteText"/>
      </w:pPr>
      <w:r w:rsidRPr="00CB0A51">
        <w:rPr>
          <w:rStyle w:val="FootnoteReference"/>
        </w:rPr>
        <w:footnoteRef/>
      </w:r>
      <w:r w:rsidRPr="00CB0A51">
        <w:t xml:space="preserve"> Day 2, page 82. </w:t>
      </w:r>
    </w:p>
  </w:footnote>
  <w:footnote w:id="29">
    <w:p w14:paraId="5BE2085F" w14:textId="2A5AE95D" w:rsidR="00405354" w:rsidRPr="00CB0A51" w:rsidRDefault="00405354">
      <w:pPr>
        <w:pStyle w:val="FootnoteText"/>
      </w:pPr>
      <w:r w:rsidRPr="00CB0A51">
        <w:rPr>
          <w:rStyle w:val="FootnoteReference"/>
        </w:rPr>
        <w:footnoteRef/>
      </w:r>
      <w:r w:rsidRPr="00CB0A51">
        <w:t xml:space="preserve"> Day 2, page 134.</w:t>
      </w:r>
    </w:p>
  </w:footnote>
  <w:footnote w:id="30">
    <w:p w14:paraId="2ED9881C" w14:textId="53F6E037" w:rsidR="00405354" w:rsidRPr="00CB0A51" w:rsidRDefault="00405354">
      <w:pPr>
        <w:pStyle w:val="FootnoteText"/>
      </w:pPr>
      <w:r w:rsidRPr="00CB0A51">
        <w:rPr>
          <w:rStyle w:val="FootnoteReference"/>
        </w:rPr>
        <w:footnoteRef/>
      </w:r>
      <w:r w:rsidRPr="00CB0A51">
        <w:t xml:space="preserve"> Day 3, page 48.</w:t>
      </w:r>
    </w:p>
  </w:footnote>
  <w:footnote w:id="31">
    <w:p w14:paraId="60EA65B5" w14:textId="1FF57FF2" w:rsidR="00405354" w:rsidRPr="00CB0A51" w:rsidRDefault="00405354" w:rsidP="00BB2EFF">
      <w:pPr>
        <w:pStyle w:val="FootnoteText"/>
      </w:pPr>
      <w:r w:rsidRPr="00CB0A51">
        <w:rPr>
          <w:rStyle w:val="FootnoteReference"/>
        </w:rPr>
        <w:footnoteRef/>
      </w:r>
      <w:r w:rsidRPr="00CB0A51">
        <w:t xml:space="preserve"> Day 4, page 8.</w:t>
      </w:r>
    </w:p>
  </w:footnote>
  <w:footnote w:id="32">
    <w:p w14:paraId="1A018951" w14:textId="7AD978DE" w:rsidR="00405354" w:rsidRPr="00CB0A51" w:rsidRDefault="00405354" w:rsidP="00BB2EFF">
      <w:pPr>
        <w:pStyle w:val="FootnoteText"/>
      </w:pPr>
      <w:r w:rsidRPr="00CB0A51">
        <w:rPr>
          <w:rStyle w:val="FootnoteReference"/>
        </w:rPr>
        <w:footnoteRef/>
      </w:r>
      <w:r w:rsidRPr="00CB0A51">
        <w:t xml:space="preserve"> Day 3, page 112.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C6A1" w14:textId="77777777" w:rsidR="00405354" w:rsidRDefault="00405354" w:rsidP="00AA76EA">
    <w:pPr>
      <w:pStyle w:val="Header"/>
      <w:tabs>
        <w:tab w:val="left" w:pos="4131"/>
      </w:tabs>
      <w:jc w:val="left"/>
    </w:pPr>
    <w:r>
      <w:tab/>
    </w:r>
    <w:r>
      <w:tab/>
    </w:r>
  </w:p>
  <w:p w14:paraId="38A8EBDA" w14:textId="77777777" w:rsidR="00405354" w:rsidRDefault="00405354" w:rsidP="00AA76E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38D1" w14:textId="27116E1D" w:rsidR="00843FB7" w:rsidRPr="00843FB7" w:rsidRDefault="00843FB7" w:rsidP="009A220A">
    <w:pPr>
      <w:pStyle w:val="Header"/>
      <w:jc w:val="left"/>
      <w:rPr>
        <w:b/>
        <w:i/>
        <w:sz w:val="28"/>
        <w:szCs w:val="28"/>
      </w:rPr>
    </w:pPr>
    <w:r w:rsidRPr="00843FB7">
      <w:rPr>
        <w:b/>
        <w:i/>
        <w:sz w:val="28"/>
        <w:szCs w:val="28"/>
      </w:rPr>
      <w:t>Unapproved</w:t>
    </w:r>
  </w:p>
  <w:p w14:paraId="7CFF075E" w14:textId="702C430C" w:rsidR="00843FB7" w:rsidRPr="00843FB7" w:rsidRDefault="00843FB7" w:rsidP="009A220A">
    <w:pPr>
      <w:pStyle w:val="Header"/>
      <w:jc w:val="left"/>
      <w:rPr>
        <w:b/>
        <w:i/>
        <w:sz w:val="28"/>
        <w:szCs w:val="28"/>
      </w:rPr>
    </w:pPr>
    <w:r w:rsidRPr="00843FB7">
      <w:rPr>
        <w:b/>
        <w:i/>
        <w:sz w:val="28"/>
        <w:szCs w:val="28"/>
      </w:rPr>
      <w:t>No redaction needed</w:t>
    </w:r>
  </w:p>
  <w:p w14:paraId="6D151E80" w14:textId="77777777" w:rsidR="00843FB7" w:rsidRPr="00843FB7" w:rsidRDefault="00843FB7" w:rsidP="009A220A">
    <w:pPr>
      <w:pStyle w:val="Header"/>
      <w:jc w:val="left"/>
      <w:rPr>
        <w:b/>
        <w:i/>
        <w:sz w:val="20"/>
        <w:szCs w:val="20"/>
      </w:rPr>
    </w:pPr>
  </w:p>
  <w:p w14:paraId="2D8EFF73" w14:textId="77777777" w:rsidR="00405354" w:rsidRDefault="00405354" w:rsidP="009A220A">
    <w:pPr>
      <w:pStyle w:val="Header"/>
      <w:jc w:val="center"/>
    </w:pPr>
    <w:r w:rsidRPr="009F67C7">
      <w:rPr>
        <w:noProof/>
        <w:sz w:val="28"/>
        <w:szCs w:val="28"/>
      </w:rPr>
      <w:drawing>
        <wp:inline distT="0" distB="0" distL="0" distR="0" wp14:anchorId="08E9F58C" wp14:editId="127DBF7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1EABB76" w14:textId="77777777" w:rsidR="00405354" w:rsidRPr="00AA76EA" w:rsidRDefault="00405354" w:rsidP="00AA76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69F"/>
    <w:multiLevelType w:val="hybridMultilevel"/>
    <w:tmpl w:val="EAFC664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FE90919"/>
    <w:multiLevelType w:val="multilevel"/>
    <w:tmpl w:val="83D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A7746"/>
    <w:multiLevelType w:val="hybridMultilevel"/>
    <w:tmpl w:val="9F1C9BF6"/>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3AC3150">
      <w:start w:val="1"/>
      <w:numFmt w:val="lowerLetter"/>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4EE22C7"/>
    <w:multiLevelType w:val="hybridMultilevel"/>
    <w:tmpl w:val="FA727E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342BB1"/>
    <w:multiLevelType w:val="hybridMultilevel"/>
    <w:tmpl w:val="E6D8AC6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5056EFB"/>
    <w:multiLevelType w:val="hybridMultilevel"/>
    <w:tmpl w:val="DED8BD9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2CA1477B"/>
    <w:multiLevelType w:val="hybridMultilevel"/>
    <w:tmpl w:val="ED9C0558"/>
    <w:lvl w:ilvl="0" w:tplc="1809000F">
      <w:start w:val="1"/>
      <w:numFmt w:val="decimal"/>
      <w:lvlText w:val="%1."/>
      <w:lvlJc w:val="left"/>
      <w:pPr>
        <w:ind w:left="778" w:hanging="360"/>
      </w:pPr>
    </w:lvl>
    <w:lvl w:ilvl="1" w:tplc="18090019" w:tentative="1">
      <w:start w:val="1"/>
      <w:numFmt w:val="lowerLetter"/>
      <w:lvlText w:val="%2."/>
      <w:lvlJc w:val="left"/>
      <w:pPr>
        <w:ind w:left="1498" w:hanging="360"/>
      </w:pPr>
    </w:lvl>
    <w:lvl w:ilvl="2" w:tplc="1809001B" w:tentative="1">
      <w:start w:val="1"/>
      <w:numFmt w:val="lowerRoman"/>
      <w:lvlText w:val="%3."/>
      <w:lvlJc w:val="right"/>
      <w:pPr>
        <w:ind w:left="2218" w:hanging="180"/>
      </w:pPr>
    </w:lvl>
    <w:lvl w:ilvl="3" w:tplc="1809000F" w:tentative="1">
      <w:start w:val="1"/>
      <w:numFmt w:val="decimal"/>
      <w:lvlText w:val="%4."/>
      <w:lvlJc w:val="left"/>
      <w:pPr>
        <w:ind w:left="2938" w:hanging="360"/>
      </w:pPr>
    </w:lvl>
    <w:lvl w:ilvl="4" w:tplc="18090019" w:tentative="1">
      <w:start w:val="1"/>
      <w:numFmt w:val="lowerLetter"/>
      <w:lvlText w:val="%5."/>
      <w:lvlJc w:val="left"/>
      <w:pPr>
        <w:ind w:left="3658" w:hanging="360"/>
      </w:pPr>
    </w:lvl>
    <w:lvl w:ilvl="5" w:tplc="1809001B" w:tentative="1">
      <w:start w:val="1"/>
      <w:numFmt w:val="lowerRoman"/>
      <w:lvlText w:val="%6."/>
      <w:lvlJc w:val="right"/>
      <w:pPr>
        <w:ind w:left="4378" w:hanging="180"/>
      </w:pPr>
    </w:lvl>
    <w:lvl w:ilvl="6" w:tplc="1809000F" w:tentative="1">
      <w:start w:val="1"/>
      <w:numFmt w:val="decimal"/>
      <w:lvlText w:val="%7."/>
      <w:lvlJc w:val="left"/>
      <w:pPr>
        <w:ind w:left="5098" w:hanging="360"/>
      </w:pPr>
    </w:lvl>
    <w:lvl w:ilvl="7" w:tplc="18090019" w:tentative="1">
      <w:start w:val="1"/>
      <w:numFmt w:val="lowerLetter"/>
      <w:lvlText w:val="%8."/>
      <w:lvlJc w:val="left"/>
      <w:pPr>
        <w:ind w:left="5818" w:hanging="360"/>
      </w:pPr>
    </w:lvl>
    <w:lvl w:ilvl="8" w:tplc="1809001B" w:tentative="1">
      <w:start w:val="1"/>
      <w:numFmt w:val="lowerRoman"/>
      <w:lvlText w:val="%9."/>
      <w:lvlJc w:val="right"/>
      <w:pPr>
        <w:ind w:left="6538" w:hanging="180"/>
      </w:pPr>
    </w:lvl>
  </w:abstractNum>
  <w:abstractNum w:abstractNumId="7" w15:restartNumberingAfterBreak="0">
    <w:nsid w:val="2FDF3072"/>
    <w:multiLevelType w:val="hybridMultilevel"/>
    <w:tmpl w:val="A78668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6312ED2"/>
    <w:multiLevelType w:val="hybridMultilevel"/>
    <w:tmpl w:val="CB80A9B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8507E3"/>
    <w:multiLevelType w:val="hybridMultilevel"/>
    <w:tmpl w:val="894A5FD6"/>
    <w:lvl w:ilvl="0" w:tplc="1809000F">
      <w:start w:val="1"/>
      <w:numFmt w:val="decimal"/>
      <w:lvlText w:val="%1."/>
      <w:lvlJc w:val="left"/>
      <w:pPr>
        <w:ind w:left="2138" w:hanging="360"/>
      </w:pPr>
    </w:lvl>
    <w:lvl w:ilvl="1" w:tplc="18090019" w:tentative="1">
      <w:start w:val="1"/>
      <w:numFmt w:val="lowerLetter"/>
      <w:lvlText w:val="%2."/>
      <w:lvlJc w:val="left"/>
      <w:pPr>
        <w:ind w:left="2858" w:hanging="360"/>
      </w:pPr>
    </w:lvl>
    <w:lvl w:ilvl="2" w:tplc="1809001B" w:tentative="1">
      <w:start w:val="1"/>
      <w:numFmt w:val="lowerRoman"/>
      <w:lvlText w:val="%3."/>
      <w:lvlJc w:val="right"/>
      <w:pPr>
        <w:ind w:left="3578" w:hanging="180"/>
      </w:pPr>
    </w:lvl>
    <w:lvl w:ilvl="3" w:tplc="1809000F" w:tentative="1">
      <w:start w:val="1"/>
      <w:numFmt w:val="decimal"/>
      <w:lvlText w:val="%4."/>
      <w:lvlJc w:val="left"/>
      <w:pPr>
        <w:ind w:left="4298" w:hanging="360"/>
      </w:pPr>
    </w:lvl>
    <w:lvl w:ilvl="4" w:tplc="18090019" w:tentative="1">
      <w:start w:val="1"/>
      <w:numFmt w:val="lowerLetter"/>
      <w:lvlText w:val="%5."/>
      <w:lvlJc w:val="left"/>
      <w:pPr>
        <w:ind w:left="5018" w:hanging="360"/>
      </w:pPr>
    </w:lvl>
    <w:lvl w:ilvl="5" w:tplc="1809001B" w:tentative="1">
      <w:start w:val="1"/>
      <w:numFmt w:val="lowerRoman"/>
      <w:lvlText w:val="%6."/>
      <w:lvlJc w:val="right"/>
      <w:pPr>
        <w:ind w:left="5738" w:hanging="180"/>
      </w:pPr>
    </w:lvl>
    <w:lvl w:ilvl="6" w:tplc="1809000F" w:tentative="1">
      <w:start w:val="1"/>
      <w:numFmt w:val="decimal"/>
      <w:lvlText w:val="%7."/>
      <w:lvlJc w:val="left"/>
      <w:pPr>
        <w:ind w:left="6458" w:hanging="360"/>
      </w:pPr>
    </w:lvl>
    <w:lvl w:ilvl="7" w:tplc="18090019" w:tentative="1">
      <w:start w:val="1"/>
      <w:numFmt w:val="lowerLetter"/>
      <w:lvlText w:val="%8."/>
      <w:lvlJc w:val="left"/>
      <w:pPr>
        <w:ind w:left="7178" w:hanging="360"/>
      </w:pPr>
    </w:lvl>
    <w:lvl w:ilvl="8" w:tplc="1809001B" w:tentative="1">
      <w:start w:val="1"/>
      <w:numFmt w:val="lowerRoman"/>
      <w:lvlText w:val="%9."/>
      <w:lvlJc w:val="right"/>
      <w:pPr>
        <w:ind w:left="7898" w:hanging="180"/>
      </w:pPr>
    </w:lvl>
  </w:abstractNum>
  <w:abstractNum w:abstractNumId="10" w15:restartNumberingAfterBreak="0">
    <w:nsid w:val="4454173C"/>
    <w:multiLevelType w:val="hybridMultilevel"/>
    <w:tmpl w:val="0E08A3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9E616A6"/>
    <w:multiLevelType w:val="hybridMultilevel"/>
    <w:tmpl w:val="27A2BBF4"/>
    <w:lvl w:ilvl="0" w:tplc="1809000F">
      <w:start w:val="1"/>
      <w:numFmt w:val="decimal"/>
      <w:lvlText w:val="%1."/>
      <w:lvlJc w:val="left"/>
      <w:pPr>
        <w:ind w:left="2138" w:hanging="360"/>
      </w:pPr>
    </w:lvl>
    <w:lvl w:ilvl="1" w:tplc="18090019" w:tentative="1">
      <w:start w:val="1"/>
      <w:numFmt w:val="lowerLetter"/>
      <w:lvlText w:val="%2."/>
      <w:lvlJc w:val="left"/>
      <w:pPr>
        <w:ind w:left="2858" w:hanging="360"/>
      </w:pPr>
    </w:lvl>
    <w:lvl w:ilvl="2" w:tplc="1809001B" w:tentative="1">
      <w:start w:val="1"/>
      <w:numFmt w:val="lowerRoman"/>
      <w:lvlText w:val="%3."/>
      <w:lvlJc w:val="right"/>
      <w:pPr>
        <w:ind w:left="3578" w:hanging="180"/>
      </w:pPr>
    </w:lvl>
    <w:lvl w:ilvl="3" w:tplc="1809000F" w:tentative="1">
      <w:start w:val="1"/>
      <w:numFmt w:val="decimal"/>
      <w:lvlText w:val="%4."/>
      <w:lvlJc w:val="left"/>
      <w:pPr>
        <w:ind w:left="4298" w:hanging="360"/>
      </w:pPr>
    </w:lvl>
    <w:lvl w:ilvl="4" w:tplc="18090019" w:tentative="1">
      <w:start w:val="1"/>
      <w:numFmt w:val="lowerLetter"/>
      <w:lvlText w:val="%5."/>
      <w:lvlJc w:val="left"/>
      <w:pPr>
        <w:ind w:left="5018" w:hanging="360"/>
      </w:pPr>
    </w:lvl>
    <w:lvl w:ilvl="5" w:tplc="1809001B" w:tentative="1">
      <w:start w:val="1"/>
      <w:numFmt w:val="lowerRoman"/>
      <w:lvlText w:val="%6."/>
      <w:lvlJc w:val="right"/>
      <w:pPr>
        <w:ind w:left="5738" w:hanging="180"/>
      </w:pPr>
    </w:lvl>
    <w:lvl w:ilvl="6" w:tplc="1809000F" w:tentative="1">
      <w:start w:val="1"/>
      <w:numFmt w:val="decimal"/>
      <w:lvlText w:val="%7."/>
      <w:lvlJc w:val="left"/>
      <w:pPr>
        <w:ind w:left="6458" w:hanging="360"/>
      </w:pPr>
    </w:lvl>
    <w:lvl w:ilvl="7" w:tplc="18090019" w:tentative="1">
      <w:start w:val="1"/>
      <w:numFmt w:val="lowerLetter"/>
      <w:lvlText w:val="%8."/>
      <w:lvlJc w:val="left"/>
      <w:pPr>
        <w:ind w:left="7178" w:hanging="360"/>
      </w:pPr>
    </w:lvl>
    <w:lvl w:ilvl="8" w:tplc="1809001B" w:tentative="1">
      <w:start w:val="1"/>
      <w:numFmt w:val="lowerRoman"/>
      <w:lvlText w:val="%9."/>
      <w:lvlJc w:val="right"/>
      <w:pPr>
        <w:ind w:left="7898" w:hanging="180"/>
      </w:pPr>
    </w:lvl>
  </w:abstractNum>
  <w:abstractNum w:abstractNumId="12" w15:restartNumberingAfterBreak="0">
    <w:nsid w:val="7102373D"/>
    <w:multiLevelType w:val="hybridMultilevel"/>
    <w:tmpl w:val="B6DA3B7A"/>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3" w15:restartNumberingAfterBreak="0">
    <w:nsid w:val="734D2DB1"/>
    <w:multiLevelType w:val="hybridMultilevel"/>
    <w:tmpl w:val="335CAC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0"/>
  </w:num>
  <w:num w:numId="3">
    <w:abstractNumId w:val="1"/>
    <w:lvlOverride w:ilvl="0">
      <w:startOverride w:val="1"/>
    </w:lvlOverride>
  </w:num>
  <w:num w:numId="4">
    <w:abstractNumId w:val="1"/>
    <w:lvlOverride w:ilvl="0">
      <w:startOverride w:val="2"/>
    </w:lvlOverride>
  </w:num>
  <w:num w:numId="5">
    <w:abstractNumId w:val="13"/>
  </w:num>
  <w:num w:numId="6">
    <w:abstractNumId w:val="12"/>
  </w:num>
  <w:num w:numId="7">
    <w:abstractNumId w:val="4"/>
  </w:num>
  <w:num w:numId="8">
    <w:abstractNumId w:val="2"/>
  </w:num>
  <w:num w:numId="9">
    <w:abstractNumId w:val="9"/>
  </w:num>
  <w:num w:numId="10">
    <w:abstractNumId w:val="6"/>
  </w:num>
  <w:num w:numId="11">
    <w:abstractNumId w:val="5"/>
  </w:num>
  <w:num w:numId="12">
    <w:abstractNumId w:val="8"/>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EA"/>
    <w:rsid w:val="00002ABD"/>
    <w:rsid w:val="00003032"/>
    <w:rsid w:val="000124DB"/>
    <w:rsid w:val="00013B46"/>
    <w:rsid w:val="00013BF1"/>
    <w:rsid w:val="00021F50"/>
    <w:rsid w:val="00026883"/>
    <w:rsid w:val="00037722"/>
    <w:rsid w:val="00051EFD"/>
    <w:rsid w:val="000553F2"/>
    <w:rsid w:val="000860B6"/>
    <w:rsid w:val="00087468"/>
    <w:rsid w:val="0009244F"/>
    <w:rsid w:val="000A065F"/>
    <w:rsid w:val="000A1250"/>
    <w:rsid w:val="000A3509"/>
    <w:rsid w:val="000A3BFF"/>
    <w:rsid w:val="000A6E63"/>
    <w:rsid w:val="000A7238"/>
    <w:rsid w:val="000A7B53"/>
    <w:rsid w:val="000B253D"/>
    <w:rsid w:val="000B547E"/>
    <w:rsid w:val="000B64CC"/>
    <w:rsid w:val="000B7AEE"/>
    <w:rsid w:val="000D1F59"/>
    <w:rsid w:val="000D1F77"/>
    <w:rsid w:val="000E1CA4"/>
    <w:rsid w:val="000F233D"/>
    <w:rsid w:val="000F4258"/>
    <w:rsid w:val="000F5BDF"/>
    <w:rsid w:val="00101462"/>
    <w:rsid w:val="00114145"/>
    <w:rsid w:val="00114A4E"/>
    <w:rsid w:val="00121E21"/>
    <w:rsid w:val="0012240D"/>
    <w:rsid w:val="001257DB"/>
    <w:rsid w:val="001321EE"/>
    <w:rsid w:val="00137305"/>
    <w:rsid w:val="00140CD3"/>
    <w:rsid w:val="00142DA8"/>
    <w:rsid w:val="00144753"/>
    <w:rsid w:val="00145B08"/>
    <w:rsid w:val="001527CA"/>
    <w:rsid w:val="00152DD1"/>
    <w:rsid w:val="00156480"/>
    <w:rsid w:val="00156AD9"/>
    <w:rsid w:val="00161C1D"/>
    <w:rsid w:val="00161EA5"/>
    <w:rsid w:val="00164E79"/>
    <w:rsid w:val="001741EB"/>
    <w:rsid w:val="00174595"/>
    <w:rsid w:val="00177AAE"/>
    <w:rsid w:val="00177FA1"/>
    <w:rsid w:val="00182916"/>
    <w:rsid w:val="001840F7"/>
    <w:rsid w:val="001902AB"/>
    <w:rsid w:val="001947DC"/>
    <w:rsid w:val="00197B56"/>
    <w:rsid w:val="001A1357"/>
    <w:rsid w:val="001C08A6"/>
    <w:rsid w:val="001C1102"/>
    <w:rsid w:val="001C12FB"/>
    <w:rsid w:val="001C69D0"/>
    <w:rsid w:val="001C7AF2"/>
    <w:rsid w:val="001D1451"/>
    <w:rsid w:val="001D39B6"/>
    <w:rsid w:val="001D5EC1"/>
    <w:rsid w:val="001D675B"/>
    <w:rsid w:val="001E227E"/>
    <w:rsid w:val="001E3BF3"/>
    <w:rsid w:val="001E6080"/>
    <w:rsid w:val="001E6140"/>
    <w:rsid w:val="001E7603"/>
    <w:rsid w:val="001E7AEB"/>
    <w:rsid w:val="001F0277"/>
    <w:rsid w:val="001F1D85"/>
    <w:rsid w:val="00203FAA"/>
    <w:rsid w:val="002052A4"/>
    <w:rsid w:val="00206452"/>
    <w:rsid w:val="00212C88"/>
    <w:rsid w:val="00213B94"/>
    <w:rsid w:val="0021717F"/>
    <w:rsid w:val="002230AC"/>
    <w:rsid w:val="0022683E"/>
    <w:rsid w:val="00227DC1"/>
    <w:rsid w:val="00243A00"/>
    <w:rsid w:val="002451E3"/>
    <w:rsid w:val="0024629C"/>
    <w:rsid w:val="0024655D"/>
    <w:rsid w:val="002527F4"/>
    <w:rsid w:val="0025544D"/>
    <w:rsid w:val="00255830"/>
    <w:rsid w:val="00263A03"/>
    <w:rsid w:val="0026784C"/>
    <w:rsid w:val="00272974"/>
    <w:rsid w:val="002738F3"/>
    <w:rsid w:val="002814E4"/>
    <w:rsid w:val="00290747"/>
    <w:rsid w:val="0029088E"/>
    <w:rsid w:val="00293D63"/>
    <w:rsid w:val="00296F41"/>
    <w:rsid w:val="002A4043"/>
    <w:rsid w:val="002B7D54"/>
    <w:rsid w:val="002C4DA0"/>
    <w:rsid w:val="002D16E4"/>
    <w:rsid w:val="002D45F8"/>
    <w:rsid w:val="002D657C"/>
    <w:rsid w:val="002E168F"/>
    <w:rsid w:val="002E2015"/>
    <w:rsid w:val="002E4B15"/>
    <w:rsid w:val="002E5665"/>
    <w:rsid w:val="002E682D"/>
    <w:rsid w:val="002E6E91"/>
    <w:rsid w:val="002F133F"/>
    <w:rsid w:val="002F5A3A"/>
    <w:rsid w:val="002F7E64"/>
    <w:rsid w:val="00300639"/>
    <w:rsid w:val="003019BD"/>
    <w:rsid w:val="003028C4"/>
    <w:rsid w:val="00303B5A"/>
    <w:rsid w:val="00303BED"/>
    <w:rsid w:val="00305F3B"/>
    <w:rsid w:val="00311C19"/>
    <w:rsid w:val="00321FDF"/>
    <w:rsid w:val="003330DA"/>
    <w:rsid w:val="00335107"/>
    <w:rsid w:val="00335167"/>
    <w:rsid w:val="0033635B"/>
    <w:rsid w:val="00336F4A"/>
    <w:rsid w:val="00340690"/>
    <w:rsid w:val="003421BF"/>
    <w:rsid w:val="00342D86"/>
    <w:rsid w:val="0034451C"/>
    <w:rsid w:val="00344DC1"/>
    <w:rsid w:val="00351553"/>
    <w:rsid w:val="00356965"/>
    <w:rsid w:val="00356A0D"/>
    <w:rsid w:val="00356D10"/>
    <w:rsid w:val="00357A5D"/>
    <w:rsid w:val="003642C9"/>
    <w:rsid w:val="003662C1"/>
    <w:rsid w:val="003717D6"/>
    <w:rsid w:val="00373D18"/>
    <w:rsid w:val="003809BF"/>
    <w:rsid w:val="00385816"/>
    <w:rsid w:val="00390217"/>
    <w:rsid w:val="00394DA9"/>
    <w:rsid w:val="00395EAD"/>
    <w:rsid w:val="00396DAF"/>
    <w:rsid w:val="003A5566"/>
    <w:rsid w:val="003A5F00"/>
    <w:rsid w:val="003B2FD8"/>
    <w:rsid w:val="003B5AEC"/>
    <w:rsid w:val="003C3FF8"/>
    <w:rsid w:val="003C4FA7"/>
    <w:rsid w:val="003D5C9B"/>
    <w:rsid w:val="003E0AE4"/>
    <w:rsid w:val="003E2355"/>
    <w:rsid w:val="003E40FA"/>
    <w:rsid w:val="003E5EA8"/>
    <w:rsid w:val="003F16DD"/>
    <w:rsid w:val="003F1F50"/>
    <w:rsid w:val="003F7878"/>
    <w:rsid w:val="0040060C"/>
    <w:rsid w:val="00401A22"/>
    <w:rsid w:val="00405354"/>
    <w:rsid w:val="00412E0A"/>
    <w:rsid w:val="0044324D"/>
    <w:rsid w:val="00443D4A"/>
    <w:rsid w:val="004456D1"/>
    <w:rsid w:val="00453E01"/>
    <w:rsid w:val="0046150B"/>
    <w:rsid w:val="004725F6"/>
    <w:rsid w:val="0047282E"/>
    <w:rsid w:val="00473591"/>
    <w:rsid w:val="00474BEF"/>
    <w:rsid w:val="004856C6"/>
    <w:rsid w:val="00486B0F"/>
    <w:rsid w:val="004904BF"/>
    <w:rsid w:val="00496664"/>
    <w:rsid w:val="004A2622"/>
    <w:rsid w:val="004A5A2C"/>
    <w:rsid w:val="004A6A54"/>
    <w:rsid w:val="004B0BE1"/>
    <w:rsid w:val="004B1503"/>
    <w:rsid w:val="004B36E2"/>
    <w:rsid w:val="004B4CB7"/>
    <w:rsid w:val="004B5B45"/>
    <w:rsid w:val="004B6A49"/>
    <w:rsid w:val="004C0458"/>
    <w:rsid w:val="004C0481"/>
    <w:rsid w:val="004C1310"/>
    <w:rsid w:val="004C2FF9"/>
    <w:rsid w:val="004F1CEE"/>
    <w:rsid w:val="004F4016"/>
    <w:rsid w:val="004F71E9"/>
    <w:rsid w:val="004F7389"/>
    <w:rsid w:val="004F754C"/>
    <w:rsid w:val="004F77D9"/>
    <w:rsid w:val="004F7F97"/>
    <w:rsid w:val="005072EB"/>
    <w:rsid w:val="00512988"/>
    <w:rsid w:val="005141C4"/>
    <w:rsid w:val="00523DA4"/>
    <w:rsid w:val="00524B2D"/>
    <w:rsid w:val="00524C2F"/>
    <w:rsid w:val="0053119A"/>
    <w:rsid w:val="00534866"/>
    <w:rsid w:val="00552FCC"/>
    <w:rsid w:val="00553C42"/>
    <w:rsid w:val="00554A74"/>
    <w:rsid w:val="00561ACE"/>
    <w:rsid w:val="00561C86"/>
    <w:rsid w:val="00570201"/>
    <w:rsid w:val="00574EAE"/>
    <w:rsid w:val="00577AA2"/>
    <w:rsid w:val="00584ACC"/>
    <w:rsid w:val="005859A5"/>
    <w:rsid w:val="00590230"/>
    <w:rsid w:val="00593749"/>
    <w:rsid w:val="00595377"/>
    <w:rsid w:val="00596EA4"/>
    <w:rsid w:val="00597A5F"/>
    <w:rsid w:val="005A5E72"/>
    <w:rsid w:val="005B361E"/>
    <w:rsid w:val="005B3D41"/>
    <w:rsid w:val="005B69AE"/>
    <w:rsid w:val="005C3F6B"/>
    <w:rsid w:val="005C57CB"/>
    <w:rsid w:val="005E0E4B"/>
    <w:rsid w:val="005E27EB"/>
    <w:rsid w:val="005E4C26"/>
    <w:rsid w:val="005E5B5B"/>
    <w:rsid w:val="005F126A"/>
    <w:rsid w:val="005F19F6"/>
    <w:rsid w:val="005F23A7"/>
    <w:rsid w:val="005F3504"/>
    <w:rsid w:val="005F3583"/>
    <w:rsid w:val="005F5989"/>
    <w:rsid w:val="005F6CC0"/>
    <w:rsid w:val="006000DC"/>
    <w:rsid w:val="00605ADA"/>
    <w:rsid w:val="006171A5"/>
    <w:rsid w:val="00620E38"/>
    <w:rsid w:val="00621154"/>
    <w:rsid w:val="006211C4"/>
    <w:rsid w:val="00622663"/>
    <w:rsid w:val="00626AEA"/>
    <w:rsid w:val="0063173D"/>
    <w:rsid w:val="00632F12"/>
    <w:rsid w:val="0063401F"/>
    <w:rsid w:val="0063667D"/>
    <w:rsid w:val="0064117C"/>
    <w:rsid w:val="00643955"/>
    <w:rsid w:val="00657C7A"/>
    <w:rsid w:val="00665641"/>
    <w:rsid w:val="0067314C"/>
    <w:rsid w:val="00675691"/>
    <w:rsid w:val="0068452D"/>
    <w:rsid w:val="006858EF"/>
    <w:rsid w:val="006862CA"/>
    <w:rsid w:val="00687102"/>
    <w:rsid w:val="006A0126"/>
    <w:rsid w:val="006A5D9E"/>
    <w:rsid w:val="006A62B4"/>
    <w:rsid w:val="006A7094"/>
    <w:rsid w:val="006B188C"/>
    <w:rsid w:val="006B25A1"/>
    <w:rsid w:val="006C3430"/>
    <w:rsid w:val="006C5E61"/>
    <w:rsid w:val="006D6C2F"/>
    <w:rsid w:val="006E0C8D"/>
    <w:rsid w:val="006E3C59"/>
    <w:rsid w:val="006F0AE1"/>
    <w:rsid w:val="006F3B91"/>
    <w:rsid w:val="006F5DE6"/>
    <w:rsid w:val="007014EF"/>
    <w:rsid w:val="00705EC8"/>
    <w:rsid w:val="00712A07"/>
    <w:rsid w:val="007131FA"/>
    <w:rsid w:val="00713EFF"/>
    <w:rsid w:val="00714828"/>
    <w:rsid w:val="0072384A"/>
    <w:rsid w:val="0072414B"/>
    <w:rsid w:val="00733469"/>
    <w:rsid w:val="00735151"/>
    <w:rsid w:val="00736A8E"/>
    <w:rsid w:val="007372F6"/>
    <w:rsid w:val="007468C5"/>
    <w:rsid w:val="00751E42"/>
    <w:rsid w:val="007562DD"/>
    <w:rsid w:val="0076067A"/>
    <w:rsid w:val="00764601"/>
    <w:rsid w:val="00764F4F"/>
    <w:rsid w:val="007659E3"/>
    <w:rsid w:val="00786244"/>
    <w:rsid w:val="007913C9"/>
    <w:rsid w:val="00797374"/>
    <w:rsid w:val="007A07CE"/>
    <w:rsid w:val="007A0F8E"/>
    <w:rsid w:val="007A37A7"/>
    <w:rsid w:val="007A3B50"/>
    <w:rsid w:val="007A40D9"/>
    <w:rsid w:val="007A529E"/>
    <w:rsid w:val="007A7CF5"/>
    <w:rsid w:val="007B3D5D"/>
    <w:rsid w:val="007C021A"/>
    <w:rsid w:val="007D2082"/>
    <w:rsid w:val="007E014E"/>
    <w:rsid w:val="007E6519"/>
    <w:rsid w:val="007E6698"/>
    <w:rsid w:val="007F651A"/>
    <w:rsid w:val="00800215"/>
    <w:rsid w:val="0080072A"/>
    <w:rsid w:val="008022C7"/>
    <w:rsid w:val="008145B1"/>
    <w:rsid w:val="00815A48"/>
    <w:rsid w:val="00825811"/>
    <w:rsid w:val="008263CF"/>
    <w:rsid w:val="008324D2"/>
    <w:rsid w:val="0083270A"/>
    <w:rsid w:val="00834B4F"/>
    <w:rsid w:val="00836056"/>
    <w:rsid w:val="00843FB7"/>
    <w:rsid w:val="008456E5"/>
    <w:rsid w:val="00861627"/>
    <w:rsid w:val="00862D7D"/>
    <w:rsid w:val="00863627"/>
    <w:rsid w:val="008638A9"/>
    <w:rsid w:val="00863CD9"/>
    <w:rsid w:val="00867142"/>
    <w:rsid w:val="00870047"/>
    <w:rsid w:val="0087247B"/>
    <w:rsid w:val="00884812"/>
    <w:rsid w:val="00886798"/>
    <w:rsid w:val="00890DD7"/>
    <w:rsid w:val="008936F7"/>
    <w:rsid w:val="00896E6B"/>
    <w:rsid w:val="008A062E"/>
    <w:rsid w:val="008A173E"/>
    <w:rsid w:val="008A5D56"/>
    <w:rsid w:val="008A69F8"/>
    <w:rsid w:val="008B3237"/>
    <w:rsid w:val="008B6160"/>
    <w:rsid w:val="008C0364"/>
    <w:rsid w:val="008C0E4C"/>
    <w:rsid w:val="008C36B9"/>
    <w:rsid w:val="008C661E"/>
    <w:rsid w:val="008C78BC"/>
    <w:rsid w:val="008D085F"/>
    <w:rsid w:val="008D4D9E"/>
    <w:rsid w:val="008D7F90"/>
    <w:rsid w:val="008E2B50"/>
    <w:rsid w:val="008F1BC4"/>
    <w:rsid w:val="008F51EC"/>
    <w:rsid w:val="008F53BC"/>
    <w:rsid w:val="00901419"/>
    <w:rsid w:val="009034A4"/>
    <w:rsid w:val="00905632"/>
    <w:rsid w:val="0091024D"/>
    <w:rsid w:val="00916D33"/>
    <w:rsid w:val="00917698"/>
    <w:rsid w:val="0092668A"/>
    <w:rsid w:val="009353B6"/>
    <w:rsid w:val="009446E6"/>
    <w:rsid w:val="00945D74"/>
    <w:rsid w:val="00953C99"/>
    <w:rsid w:val="00954D8E"/>
    <w:rsid w:val="00956478"/>
    <w:rsid w:val="00956B61"/>
    <w:rsid w:val="00957349"/>
    <w:rsid w:val="00957E7F"/>
    <w:rsid w:val="0096102A"/>
    <w:rsid w:val="00972790"/>
    <w:rsid w:val="0097288F"/>
    <w:rsid w:val="00981294"/>
    <w:rsid w:val="00981A8A"/>
    <w:rsid w:val="0098347D"/>
    <w:rsid w:val="00984C0A"/>
    <w:rsid w:val="00984D3E"/>
    <w:rsid w:val="00985AD8"/>
    <w:rsid w:val="0099044D"/>
    <w:rsid w:val="00990AA5"/>
    <w:rsid w:val="00993C25"/>
    <w:rsid w:val="00996A13"/>
    <w:rsid w:val="009A0672"/>
    <w:rsid w:val="009A1933"/>
    <w:rsid w:val="009A220A"/>
    <w:rsid w:val="009A2C70"/>
    <w:rsid w:val="009B77B4"/>
    <w:rsid w:val="009C085C"/>
    <w:rsid w:val="009C157F"/>
    <w:rsid w:val="009C3BE4"/>
    <w:rsid w:val="009C5439"/>
    <w:rsid w:val="009C5855"/>
    <w:rsid w:val="009C6758"/>
    <w:rsid w:val="009D00BC"/>
    <w:rsid w:val="009D14D3"/>
    <w:rsid w:val="009D29DE"/>
    <w:rsid w:val="009D7E50"/>
    <w:rsid w:val="009E494C"/>
    <w:rsid w:val="009E56E4"/>
    <w:rsid w:val="009E7258"/>
    <w:rsid w:val="009E7456"/>
    <w:rsid w:val="009E783B"/>
    <w:rsid w:val="009F5DD4"/>
    <w:rsid w:val="009F73B5"/>
    <w:rsid w:val="00A05199"/>
    <w:rsid w:val="00A05817"/>
    <w:rsid w:val="00A10FE2"/>
    <w:rsid w:val="00A11238"/>
    <w:rsid w:val="00A17327"/>
    <w:rsid w:val="00A21419"/>
    <w:rsid w:val="00A22D42"/>
    <w:rsid w:val="00A23E7B"/>
    <w:rsid w:val="00A32EEB"/>
    <w:rsid w:val="00A3650C"/>
    <w:rsid w:val="00A369B3"/>
    <w:rsid w:val="00A4103B"/>
    <w:rsid w:val="00A462B6"/>
    <w:rsid w:val="00A64DD8"/>
    <w:rsid w:val="00A67002"/>
    <w:rsid w:val="00A71BDB"/>
    <w:rsid w:val="00A71F17"/>
    <w:rsid w:val="00A73A36"/>
    <w:rsid w:val="00A75765"/>
    <w:rsid w:val="00A825B1"/>
    <w:rsid w:val="00A84B2E"/>
    <w:rsid w:val="00A8564F"/>
    <w:rsid w:val="00A9359F"/>
    <w:rsid w:val="00A951B7"/>
    <w:rsid w:val="00A95E39"/>
    <w:rsid w:val="00AA766B"/>
    <w:rsid w:val="00AA76EA"/>
    <w:rsid w:val="00AC05C4"/>
    <w:rsid w:val="00AC290B"/>
    <w:rsid w:val="00AC2DAB"/>
    <w:rsid w:val="00AC444F"/>
    <w:rsid w:val="00AC4969"/>
    <w:rsid w:val="00AC6CA9"/>
    <w:rsid w:val="00AC7969"/>
    <w:rsid w:val="00AD1312"/>
    <w:rsid w:val="00AD2301"/>
    <w:rsid w:val="00AD4D60"/>
    <w:rsid w:val="00AD503B"/>
    <w:rsid w:val="00AD51F9"/>
    <w:rsid w:val="00AD5604"/>
    <w:rsid w:val="00AE3BC9"/>
    <w:rsid w:val="00AE55EF"/>
    <w:rsid w:val="00AF3189"/>
    <w:rsid w:val="00AF324F"/>
    <w:rsid w:val="00AF720D"/>
    <w:rsid w:val="00B14778"/>
    <w:rsid w:val="00B20686"/>
    <w:rsid w:val="00B24B15"/>
    <w:rsid w:val="00B25B80"/>
    <w:rsid w:val="00B3137B"/>
    <w:rsid w:val="00B314F4"/>
    <w:rsid w:val="00B343CC"/>
    <w:rsid w:val="00B44CC6"/>
    <w:rsid w:val="00B44E87"/>
    <w:rsid w:val="00B47F61"/>
    <w:rsid w:val="00B5148E"/>
    <w:rsid w:val="00B531CF"/>
    <w:rsid w:val="00B54BAE"/>
    <w:rsid w:val="00B6491C"/>
    <w:rsid w:val="00B715D3"/>
    <w:rsid w:val="00B718DD"/>
    <w:rsid w:val="00B73B61"/>
    <w:rsid w:val="00B75C78"/>
    <w:rsid w:val="00B80684"/>
    <w:rsid w:val="00B82002"/>
    <w:rsid w:val="00B841BD"/>
    <w:rsid w:val="00B84AEB"/>
    <w:rsid w:val="00BA0887"/>
    <w:rsid w:val="00BA1A7B"/>
    <w:rsid w:val="00BA3C60"/>
    <w:rsid w:val="00BA446E"/>
    <w:rsid w:val="00BA5EC0"/>
    <w:rsid w:val="00BB06A1"/>
    <w:rsid w:val="00BB111C"/>
    <w:rsid w:val="00BB2EFF"/>
    <w:rsid w:val="00BB38D7"/>
    <w:rsid w:val="00BB4724"/>
    <w:rsid w:val="00BB584F"/>
    <w:rsid w:val="00BC1033"/>
    <w:rsid w:val="00BC53AF"/>
    <w:rsid w:val="00BD2157"/>
    <w:rsid w:val="00BE31A8"/>
    <w:rsid w:val="00BE7B2F"/>
    <w:rsid w:val="00C00C91"/>
    <w:rsid w:val="00C05562"/>
    <w:rsid w:val="00C05771"/>
    <w:rsid w:val="00C12739"/>
    <w:rsid w:val="00C14F0C"/>
    <w:rsid w:val="00C2654A"/>
    <w:rsid w:val="00C406F9"/>
    <w:rsid w:val="00C4170B"/>
    <w:rsid w:val="00C4216A"/>
    <w:rsid w:val="00C42E3C"/>
    <w:rsid w:val="00C51203"/>
    <w:rsid w:val="00C56489"/>
    <w:rsid w:val="00C63777"/>
    <w:rsid w:val="00C64A5D"/>
    <w:rsid w:val="00C6510E"/>
    <w:rsid w:val="00C70B5A"/>
    <w:rsid w:val="00C7190B"/>
    <w:rsid w:val="00C748B9"/>
    <w:rsid w:val="00C765C0"/>
    <w:rsid w:val="00C80187"/>
    <w:rsid w:val="00C84EC0"/>
    <w:rsid w:val="00C85C01"/>
    <w:rsid w:val="00C90450"/>
    <w:rsid w:val="00C9386A"/>
    <w:rsid w:val="00C9519B"/>
    <w:rsid w:val="00C96CC7"/>
    <w:rsid w:val="00CA174E"/>
    <w:rsid w:val="00CB0A51"/>
    <w:rsid w:val="00CC315E"/>
    <w:rsid w:val="00CC5251"/>
    <w:rsid w:val="00CC5AB8"/>
    <w:rsid w:val="00CD001B"/>
    <w:rsid w:val="00CD0555"/>
    <w:rsid w:val="00CD05AD"/>
    <w:rsid w:val="00CE5248"/>
    <w:rsid w:val="00CE5971"/>
    <w:rsid w:val="00CE5B9B"/>
    <w:rsid w:val="00CE732F"/>
    <w:rsid w:val="00CE74C5"/>
    <w:rsid w:val="00CF360D"/>
    <w:rsid w:val="00CF5FD0"/>
    <w:rsid w:val="00CF678D"/>
    <w:rsid w:val="00D02BAF"/>
    <w:rsid w:val="00D0304D"/>
    <w:rsid w:val="00D17BE6"/>
    <w:rsid w:val="00D20E5D"/>
    <w:rsid w:val="00D2593A"/>
    <w:rsid w:val="00D312F5"/>
    <w:rsid w:val="00D351B4"/>
    <w:rsid w:val="00D36D94"/>
    <w:rsid w:val="00D43373"/>
    <w:rsid w:val="00D477E1"/>
    <w:rsid w:val="00D52905"/>
    <w:rsid w:val="00D565FA"/>
    <w:rsid w:val="00D70B1D"/>
    <w:rsid w:val="00D804B3"/>
    <w:rsid w:val="00D85C39"/>
    <w:rsid w:val="00DB2A85"/>
    <w:rsid w:val="00DB378C"/>
    <w:rsid w:val="00DB771E"/>
    <w:rsid w:val="00DC1F05"/>
    <w:rsid w:val="00DC2044"/>
    <w:rsid w:val="00DC322F"/>
    <w:rsid w:val="00DC3BA9"/>
    <w:rsid w:val="00DC4364"/>
    <w:rsid w:val="00DC7245"/>
    <w:rsid w:val="00DD3258"/>
    <w:rsid w:val="00DD455E"/>
    <w:rsid w:val="00DE2649"/>
    <w:rsid w:val="00DE7340"/>
    <w:rsid w:val="00DF2CE3"/>
    <w:rsid w:val="00DF59B1"/>
    <w:rsid w:val="00E00BBB"/>
    <w:rsid w:val="00E0370F"/>
    <w:rsid w:val="00E03AB0"/>
    <w:rsid w:val="00E05C66"/>
    <w:rsid w:val="00E11743"/>
    <w:rsid w:val="00E11D53"/>
    <w:rsid w:val="00E12ECB"/>
    <w:rsid w:val="00E15512"/>
    <w:rsid w:val="00E24C25"/>
    <w:rsid w:val="00E31C5B"/>
    <w:rsid w:val="00E339FF"/>
    <w:rsid w:val="00E47286"/>
    <w:rsid w:val="00E4740C"/>
    <w:rsid w:val="00E56878"/>
    <w:rsid w:val="00E61DDD"/>
    <w:rsid w:val="00E65F4B"/>
    <w:rsid w:val="00E66A1D"/>
    <w:rsid w:val="00E66C30"/>
    <w:rsid w:val="00E7136A"/>
    <w:rsid w:val="00E718EF"/>
    <w:rsid w:val="00E77400"/>
    <w:rsid w:val="00E81D3A"/>
    <w:rsid w:val="00E8357D"/>
    <w:rsid w:val="00E92812"/>
    <w:rsid w:val="00E93284"/>
    <w:rsid w:val="00E967D9"/>
    <w:rsid w:val="00EA57C4"/>
    <w:rsid w:val="00EA7D6D"/>
    <w:rsid w:val="00EB68C1"/>
    <w:rsid w:val="00EC1188"/>
    <w:rsid w:val="00ED10BC"/>
    <w:rsid w:val="00EE045A"/>
    <w:rsid w:val="00EE31AA"/>
    <w:rsid w:val="00EE6EE8"/>
    <w:rsid w:val="00EF41CB"/>
    <w:rsid w:val="00F0204D"/>
    <w:rsid w:val="00F054AC"/>
    <w:rsid w:val="00F054DB"/>
    <w:rsid w:val="00F12BEC"/>
    <w:rsid w:val="00F21FC3"/>
    <w:rsid w:val="00F22A76"/>
    <w:rsid w:val="00F26AB5"/>
    <w:rsid w:val="00F325B0"/>
    <w:rsid w:val="00F36603"/>
    <w:rsid w:val="00F42729"/>
    <w:rsid w:val="00F45271"/>
    <w:rsid w:val="00F47019"/>
    <w:rsid w:val="00F54978"/>
    <w:rsid w:val="00F55046"/>
    <w:rsid w:val="00F56AEC"/>
    <w:rsid w:val="00F57C2A"/>
    <w:rsid w:val="00F60ADC"/>
    <w:rsid w:val="00F60BA7"/>
    <w:rsid w:val="00F618A6"/>
    <w:rsid w:val="00F70873"/>
    <w:rsid w:val="00F70F8F"/>
    <w:rsid w:val="00F7482F"/>
    <w:rsid w:val="00F76171"/>
    <w:rsid w:val="00F925D7"/>
    <w:rsid w:val="00F973BB"/>
    <w:rsid w:val="00FA7958"/>
    <w:rsid w:val="00FB1222"/>
    <w:rsid w:val="00FB41CA"/>
    <w:rsid w:val="00FC1FEB"/>
    <w:rsid w:val="00FC592F"/>
    <w:rsid w:val="00FD143E"/>
    <w:rsid w:val="00FE01BB"/>
    <w:rsid w:val="00FE1F50"/>
    <w:rsid w:val="00FE3D58"/>
    <w:rsid w:val="00FE63FC"/>
    <w:rsid w:val="00FF48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89D4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E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0370F"/>
    <w:pPr>
      <w:keepNext/>
      <w:keepLines/>
      <w:jc w:val="center"/>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E11743"/>
    <w:pPr>
      <w:keepNext/>
      <w:keepLines/>
      <w:spacing w:before="4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11743"/>
    <w:pPr>
      <w:keepNext/>
      <w:keepLines/>
      <w:ind w:left="72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BB2EFF"/>
    <w:pPr>
      <w:spacing w:line="360" w:lineRule="auto"/>
    </w:pPr>
    <w:rPr>
      <w:sz w:val="20"/>
      <w:szCs w:val="20"/>
    </w:rPr>
  </w:style>
  <w:style w:type="character" w:customStyle="1" w:styleId="FootnoteTextChar">
    <w:name w:val="Footnote Text Char"/>
    <w:basedOn w:val="DefaultParagraphFont"/>
    <w:link w:val="FootnoteText"/>
    <w:uiPriority w:val="99"/>
    <w:rsid w:val="00BB2EFF"/>
    <w:rPr>
      <w:rFonts w:ascii="Times New Roman" w:hAnsi="Times New Roman"/>
      <w:sz w:val="20"/>
      <w:szCs w:val="20"/>
    </w:rPr>
  </w:style>
  <w:style w:type="character" w:customStyle="1" w:styleId="Heading1Char">
    <w:name w:val="Heading 1 Char"/>
    <w:basedOn w:val="DefaultParagraphFont"/>
    <w:link w:val="Heading1"/>
    <w:uiPriority w:val="9"/>
    <w:rsid w:val="00E0370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11743"/>
    <w:rPr>
      <w:rFonts w:ascii="Times New Roman" w:eastAsiaTheme="majorEastAsia" w:hAnsi="Times New Roman" w:cstheme="majorBidi"/>
      <w:i/>
      <w:color w:val="000000" w:themeColor="text1"/>
      <w:sz w:val="24"/>
      <w:szCs w:val="24"/>
    </w:rPr>
  </w:style>
  <w:style w:type="character" w:customStyle="1" w:styleId="Heading2Char">
    <w:name w:val="Heading 2 Char"/>
    <w:basedOn w:val="DefaultParagraphFont"/>
    <w:link w:val="Heading2"/>
    <w:uiPriority w:val="9"/>
    <w:rsid w:val="00E11743"/>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AA76EA"/>
    <w:pPr>
      <w:tabs>
        <w:tab w:val="center" w:pos="4513"/>
        <w:tab w:val="right" w:pos="9026"/>
      </w:tabs>
      <w:spacing w:line="240" w:lineRule="auto"/>
    </w:pPr>
  </w:style>
  <w:style w:type="character" w:customStyle="1" w:styleId="HeaderChar">
    <w:name w:val="Header Char"/>
    <w:basedOn w:val="DefaultParagraphFont"/>
    <w:link w:val="Header"/>
    <w:uiPriority w:val="99"/>
    <w:rsid w:val="00AA76EA"/>
    <w:rPr>
      <w:rFonts w:ascii="Times New Roman" w:hAnsi="Times New Roman"/>
      <w:sz w:val="24"/>
    </w:rPr>
  </w:style>
  <w:style w:type="paragraph" w:styleId="Footer">
    <w:name w:val="footer"/>
    <w:basedOn w:val="Normal"/>
    <w:link w:val="FooterChar"/>
    <w:uiPriority w:val="99"/>
    <w:unhideWhenUsed/>
    <w:rsid w:val="00AA76EA"/>
    <w:pPr>
      <w:tabs>
        <w:tab w:val="center" w:pos="4513"/>
        <w:tab w:val="right" w:pos="9026"/>
      </w:tabs>
      <w:spacing w:line="240" w:lineRule="auto"/>
    </w:pPr>
  </w:style>
  <w:style w:type="character" w:customStyle="1" w:styleId="FooterChar">
    <w:name w:val="Footer Char"/>
    <w:basedOn w:val="DefaultParagraphFont"/>
    <w:link w:val="Footer"/>
    <w:uiPriority w:val="99"/>
    <w:rsid w:val="00AA76EA"/>
    <w:rPr>
      <w:rFonts w:ascii="Times New Roman" w:hAnsi="Times New Roman"/>
      <w:sz w:val="24"/>
    </w:rPr>
  </w:style>
  <w:style w:type="paragraph" w:styleId="ListParagraph">
    <w:name w:val="List Paragraph"/>
    <w:basedOn w:val="Normal"/>
    <w:uiPriority w:val="34"/>
    <w:qFormat/>
    <w:rsid w:val="00AA76EA"/>
    <w:pPr>
      <w:ind w:left="720"/>
      <w:contextualSpacing/>
    </w:pPr>
  </w:style>
  <w:style w:type="character" w:styleId="FootnoteReference">
    <w:name w:val="footnote reference"/>
    <w:basedOn w:val="DefaultParagraphFont"/>
    <w:uiPriority w:val="99"/>
    <w:semiHidden/>
    <w:unhideWhenUsed/>
    <w:rsid w:val="00B82002"/>
    <w:rPr>
      <w:vertAlign w:val="superscript"/>
    </w:rPr>
  </w:style>
  <w:style w:type="paragraph" w:styleId="NormalWeb">
    <w:name w:val="Normal (Web)"/>
    <w:basedOn w:val="Normal"/>
    <w:uiPriority w:val="99"/>
    <w:semiHidden/>
    <w:unhideWhenUsed/>
    <w:rsid w:val="00356D10"/>
    <w:pPr>
      <w:spacing w:before="100" w:beforeAutospacing="1" w:after="100" w:afterAutospacing="1" w:line="240" w:lineRule="auto"/>
      <w:jc w:val="left"/>
    </w:pPr>
    <w:rPr>
      <w:rFonts w:eastAsia="Times New Roman" w:cs="Times New Roman"/>
      <w:szCs w:val="24"/>
      <w:lang w:eastAsia="en-IE"/>
    </w:rPr>
  </w:style>
  <w:style w:type="character" w:customStyle="1" w:styleId="para-num">
    <w:name w:val="para-num"/>
    <w:basedOn w:val="DefaultParagraphFont"/>
    <w:rsid w:val="00356D10"/>
  </w:style>
  <w:style w:type="character" w:styleId="Emphasis">
    <w:name w:val="Emphasis"/>
    <w:basedOn w:val="DefaultParagraphFont"/>
    <w:uiPriority w:val="20"/>
    <w:qFormat/>
    <w:rsid w:val="00356D10"/>
    <w:rPr>
      <w:i/>
      <w:iCs/>
    </w:rPr>
  </w:style>
  <w:style w:type="character" w:customStyle="1" w:styleId="text-highlight">
    <w:name w:val="text-highlight"/>
    <w:basedOn w:val="DefaultParagraphFont"/>
    <w:rsid w:val="00356D10"/>
  </w:style>
  <w:style w:type="paragraph" w:styleId="BalloonText">
    <w:name w:val="Balloon Text"/>
    <w:basedOn w:val="Normal"/>
    <w:link w:val="BalloonTextChar"/>
    <w:uiPriority w:val="99"/>
    <w:semiHidden/>
    <w:unhideWhenUsed/>
    <w:rsid w:val="001D39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B6"/>
    <w:rPr>
      <w:rFonts w:ascii="Segoe UI" w:hAnsi="Segoe UI" w:cs="Segoe UI"/>
      <w:sz w:val="18"/>
      <w:szCs w:val="18"/>
    </w:rPr>
  </w:style>
  <w:style w:type="character" w:styleId="CommentReference">
    <w:name w:val="annotation reference"/>
    <w:basedOn w:val="DefaultParagraphFont"/>
    <w:uiPriority w:val="99"/>
    <w:semiHidden/>
    <w:unhideWhenUsed/>
    <w:rsid w:val="00595377"/>
    <w:rPr>
      <w:sz w:val="16"/>
      <w:szCs w:val="16"/>
    </w:rPr>
  </w:style>
  <w:style w:type="paragraph" w:styleId="CommentText">
    <w:name w:val="annotation text"/>
    <w:basedOn w:val="Normal"/>
    <w:link w:val="CommentTextChar"/>
    <w:uiPriority w:val="99"/>
    <w:semiHidden/>
    <w:unhideWhenUsed/>
    <w:rsid w:val="00595377"/>
    <w:pPr>
      <w:spacing w:line="240" w:lineRule="auto"/>
    </w:pPr>
    <w:rPr>
      <w:sz w:val="20"/>
      <w:szCs w:val="20"/>
    </w:rPr>
  </w:style>
  <w:style w:type="character" w:customStyle="1" w:styleId="CommentTextChar">
    <w:name w:val="Comment Text Char"/>
    <w:basedOn w:val="DefaultParagraphFont"/>
    <w:link w:val="CommentText"/>
    <w:uiPriority w:val="99"/>
    <w:semiHidden/>
    <w:rsid w:val="0059537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377"/>
    <w:rPr>
      <w:b/>
      <w:bCs/>
    </w:rPr>
  </w:style>
  <w:style w:type="character" w:customStyle="1" w:styleId="CommentSubjectChar">
    <w:name w:val="Comment Subject Char"/>
    <w:basedOn w:val="CommentTextChar"/>
    <w:link w:val="CommentSubject"/>
    <w:uiPriority w:val="99"/>
    <w:semiHidden/>
    <w:rsid w:val="00595377"/>
    <w:rPr>
      <w:rFonts w:ascii="Times New Roman" w:hAnsi="Times New Roman"/>
      <w:b/>
      <w:bCs/>
      <w:sz w:val="20"/>
      <w:szCs w:val="20"/>
    </w:rPr>
  </w:style>
  <w:style w:type="paragraph" w:styleId="EndnoteText">
    <w:name w:val="endnote text"/>
    <w:basedOn w:val="Normal"/>
    <w:link w:val="EndnoteTextChar"/>
    <w:uiPriority w:val="99"/>
    <w:semiHidden/>
    <w:unhideWhenUsed/>
    <w:rsid w:val="00BB584F"/>
    <w:pPr>
      <w:spacing w:line="240" w:lineRule="auto"/>
    </w:pPr>
    <w:rPr>
      <w:sz w:val="20"/>
      <w:szCs w:val="20"/>
    </w:rPr>
  </w:style>
  <w:style w:type="character" w:customStyle="1" w:styleId="EndnoteTextChar">
    <w:name w:val="Endnote Text Char"/>
    <w:basedOn w:val="DefaultParagraphFont"/>
    <w:link w:val="EndnoteText"/>
    <w:uiPriority w:val="99"/>
    <w:semiHidden/>
    <w:rsid w:val="00BB584F"/>
    <w:rPr>
      <w:rFonts w:ascii="Times New Roman" w:hAnsi="Times New Roman"/>
      <w:sz w:val="20"/>
      <w:szCs w:val="20"/>
    </w:rPr>
  </w:style>
  <w:style w:type="character" w:styleId="EndnoteReference">
    <w:name w:val="endnote reference"/>
    <w:basedOn w:val="DefaultParagraphFont"/>
    <w:uiPriority w:val="99"/>
    <w:semiHidden/>
    <w:unhideWhenUsed/>
    <w:rsid w:val="00BB584F"/>
    <w:rPr>
      <w:vertAlign w:val="superscript"/>
    </w:rPr>
  </w:style>
  <w:style w:type="character" w:styleId="Hyperlink">
    <w:name w:val="Hyperlink"/>
    <w:basedOn w:val="DefaultParagraphFont"/>
    <w:uiPriority w:val="99"/>
    <w:unhideWhenUsed/>
    <w:rsid w:val="0064117C"/>
    <w:rPr>
      <w:color w:val="0563C1" w:themeColor="hyperlink"/>
      <w:u w:val="single"/>
    </w:rPr>
  </w:style>
  <w:style w:type="character" w:styleId="UnresolvedMention">
    <w:name w:val="Unresolved Mention"/>
    <w:basedOn w:val="DefaultParagraphFont"/>
    <w:uiPriority w:val="99"/>
    <w:semiHidden/>
    <w:unhideWhenUsed/>
    <w:rsid w:val="00641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15490">
      <w:bodyDiv w:val="1"/>
      <w:marLeft w:val="0"/>
      <w:marRight w:val="0"/>
      <w:marTop w:val="0"/>
      <w:marBottom w:val="0"/>
      <w:divBdr>
        <w:top w:val="none" w:sz="0" w:space="0" w:color="auto"/>
        <w:left w:val="none" w:sz="0" w:space="0" w:color="auto"/>
        <w:bottom w:val="none" w:sz="0" w:space="0" w:color="auto"/>
        <w:right w:val="none" w:sz="0" w:space="0" w:color="auto"/>
      </w:divBdr>
      <w:divsChild>
        <w:div w:id="12663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70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330D-F4AC-463E-946C-F1012126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20123</Words>
  <Characters>114705</Characters>
  <Application>Microsoft Office Word</Application>
  <DocSecurity>0</DocSecurity>
  <Lines>955</Lines>
  <Paragraphs>269</Paragraphs>
  <ScaleCrop>false</ScaleCrop>
  <Company/>
  <LinksUpToDate>false</LinksUpToDate>
  <CharactersWithSpaces>134559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2021-11-26T12:34:00Z</dcterms:created>
  <dcterms:modified xsi:type="dcterms:W3CDTF">2021-11-26T12:34:00Z</dcterms:modified>
</cp:coreProperties>
</file>