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CA83" w14:textId="77777777" w:rsidR="00DB4DD0" w:rsidRPr="00DB4DD0" w:rsidRDefault="00DB4DD0" w:rsidP="00DB4DD0">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25F899BD" w14:textId="416A7334" w:rsidR="00163781" w:rsidRPr="00FD629C" w:rsidRDefault="00FD629C" w:rsidP="00F95912">
      <w:pPr>
        <w:jc w:val="right"/>
        <w:rPr>
          <w:rFonts w:eastAsia="Calibri"/>
          <w:bCs/>
          <w:szCs w:val="22"/>
          <w:lang w:eastAsia="en-US"/>
        </w:rPr>
      </w:pPr>
      <w:r>
        <w:rPr>
          <w:rFonts w:eastAsia="Calibri"/>
          <w:b/>
          <w:szCs w:val="22"/>
          <w:u w:val="single"/>
          <w:lang w:eastAsia="en-US"/>
        </w:rPr>
        <w:t>UNAPPROVED</w:t>
      </w:r>
    </w:p>
    <w:p w14:paraId="4D2EB0DD" w14:textId="77777777" w:rsidR="008A6EA3" w:rsidRDefault="008A6EA3" w:rsidP="00F95912">
      <w:pPr>
        <w:jc w:val="right"/>
        <w:rPr>
          <w:rFonts w:eastAsia="Calibri"/>
          <w:b/>
          <w:szCs w:val="22"/>
          <w:lang w:eastAsia="en-US"/>
        </w:rPr>
      </w:pPr>
      <w:r>
        <w:rPr>
          <w:rFonts w:eastAsia="Calibri"/>
          <w:b/>
          <w:szCs w:val="22"/>
          <w:lang w:eastAsia="en-US"/>
        </w:rPr>
        <w:t>Cour</w:t>
      </w:r>
      <w:r w:rsidR="004B1927">
        <w:rPr>
          <w:rFonts w:eastAsia="Calibri"/>
          <w:b/>
          <w:szCs w:val="22"/>
          <w:lang w:eastAsia="en-US"/>
        </w:rPr>
        <w:t>t of Appeal Record Number 2020/1</w:t>
      </w:r>
      <w:r w:rsidR="009C78C7">
        <w:rPr>
          <w:rFonts w:eastAsia="Calibri"/>
          <w:b/>
          <w:szCs w:val="22"/>
          <w:lang w:eastAsia="en-US"/>
        </w:rPr>
        <w:t>19</w:t>
      </w:r>
    </w:p>
    <w:p w14:paraId="7F957615" w14:textId="77777777" w:rsidR="005C5994" w:rsidRDefault="005C5994" w:rsidP="00F95912">
      <w:pPr>
        <w:jc w:val="right"/>
        <w:rPr>
          <w:rFonts w:eastAsia="Calibri"/>
          <w:b/>
          <w:szCs w:val="22"/>
          <w:lang w:eastAsia="en-US"/>
        </w:rPr>
      </w:pPr>
    </w:p>
    <w:p w14:paraId="23E00448" w14:textId="77777777" w:rsidR="00163781" w:rsidRDefault="00163781" w:rsidP="00F95912">
      <w:pPr>
        <w:jc w:val="right"/>
        <w:rPr>
          <w:rFonts w:eastAsia="Calibri"/>
          <w:b/>
          <w:szCs w:val="22"/>
          <w:lang w:eastAsia="en-US"/>
        </w:rPr>
      </w:pPr>
    </w:p>
    <w:p w14:paraId="64111359" w14:textId="67D864E0" w:rsidR="008A6EA3" w:rsidRDefault="008824F1" w:rsidP="00F95912">
      <w:pPr>
        <w:jc w:val="both"/>
        <w:rPr>
          <w:rFonts w:eastAsia="Calibri"/>
          <w:b/>
          <w:szCs w:val="22"/>
          <w:lang w:eastAsia="en-US"/>
        </w:rPr>
      </w:pPr>
      <w:r>
        <w:rPr>
          <w:rFonts w:eastAsia="Calibri"/>
          <w:b/>
          <w:szCs w:val="22"/>
          <w:lang w:eastAsia="en-US"/>
        </w:rPr>
        <w:t>Costello J.</w:t>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r>
      <w:r w:rsidR="00D9483B">
        <w:rPr>
          <w:rFonts w:eastAsia="Calibri"/>
          <w:b/>
          <w:szCs w:val="22"/>
          <w:lang w:eastAsia="en-US"/>
        </w:rPr>
        <w:tab/>
        <w:t xml:space="preserve">                                    Neutral Citation Number [2021] IECA 317</w:t>
      </w:r>
    </w:p>
    <w:p w14:paraId="7E202B53" w14:textId="77777777" w:rsidR="004B1927" w:rsidRDefault="00DA784D" w:rsidP="00F95912">
      <w:pPr>
        <w:jc w:val="both"/>
        <w:rPr>
          <w:rFonts w:eastAsia="Calibri"/>
          <w:b/>
          <w:szCs w:val="22"/>
          <w:lang w:eastAsia="en-US"/>
        </w:rPr>
      </w:pPr>
      <w:r>
        <w:rPr>
          <w:rFonts w:eastAsia="Calibri"/>
          <w:b/>
          <w:szCs w:val="22"/>
          <w:lang w:eastAsia="en-US"/>
        </w:rPr>
        <w:t>Haughton J.</w:t>
      </w:r>
    </w:p>
    <w:p w14:paraId="332B01DE" w14:textId="77777777" w:rsidR="00DA784D" w:rsidRDefault="00610C32" w:rsidP="00F95912">
      <w:pPr>
        <w:jc w:val="both"/>
        <w:rPr>
          <w:rFonts w:eastAsia="Calibri"/>
          <w:b/>
          <w:szCs w:val="22"/>
          <w:lang w:eastAsia="en-US"/>
        </w:rPr>
      </w:pPr>
      <w:r>
        <w:rPr>
          <w:rFonts w:eastAsia="Calibri"/>
          <w:b/>
          <w:szCs w:val="22"/>
          <w:lang w:eastAsia="en-US"/>
        </w:rPr>
        <w:t>Murray J.</w:t>
      </w:r>
    </w:p>
    <w:p w14:paraId="13F37F16" w14:textId="77777777" w:rsidR="00163781" w:rsidRDefault="00163781" w:rsidP="00F95912">
      <w:pPr>
        <w:jc w:val="both"/>
        <w:rPr>
          <w:rFonts w:eastAsia="Calibri"/>
          <w:b/>
          <w:szCs w:val="22"/>
          <w:lang w:eastAsia="en-US"/>
        </w:rPr>
      </w:pPr>
    </w:p>
    <w:p w14:paraId="7F5F35DF" w14:textId="77777777" w:rsidR="00BB74FA" w:rsidRPr="00BB74FA" w:rsidRDefault="00BB74FA" w:rsidP="00BB74FA">
      <w:pPr>
        <w:rPr>
          <w:rFonts w:eastAsia="Calibri"/>
          <w:b/>
          <w:szCs w:val="22"/>
          <w:lang w:eastAsia="en-US"/>
        </w:rPr>
      </w:pPr>
      <w:r w:rsidRPr="00BB74FA">
        <w:rPr>
          <w:rFonts w:eastAsia="Calibri"/>
          <w:b/>
          <w:szCs w:val="22"/>
          <w:lang w:eastAsia="en-US"/>
        </w:rPr>
        <w:t>BETWEEN</w:t>
      </w:r>
    </w:p>
    <w:p w14:paraId="02A2A5C6" w14:textId="77777777" w:rsidR="00BB74FA" w:rsidRDefault="00BB74FA" w:rsidP="00BB74FA">
      <w:pPr>
        <w:rPr>
          <w:rFonts w:eastAsia="Calibri"/>
          <w:b/>
          <w:szCs w:val="22"/>
          <w:lang w:eastAsia="en-US"/>
        </w:rPr>
      </w:pPr>
    </w:p>
    <w:p w14:paraId="34BE56DA" w14:textId="77777777" w:rsidR="00163781" w:rsidRDefault="00163781" w:rsidP="00BB74FA">
      <w:pPr>
        <w:rPr>
          <w:rFonts w:eastAsia="Calibri"/>
          <w:b/>
          <w:szCs w:val="22"/>
          <w:lang w:eastAsia="en-US"/>
        </w:rPr>
      </w:pPr>
    </w:p>
    <w:p w14:paraId="0516AC56" w14:textId="77777777" w:rsidR="00194C51" w:rsidRDefault="009C78C7" w:rsidP="001205CA">
      <w:pPr>
        <w:jc w:val="center"/>
        <w:rPr>
          <w:rFonts w:eastAsia="Calibri"/>
          <w:b/>
          <w:szCs w:val="22"/>
          <w:lang w:eastAsia="en-US"/>
        </w:rPr>
      </w:pPr>
      <w:r>
        <w:rPr>
          <w:rFonts w:eastAsia="Calibri"/>
          <w:b/>
          <w:szCs w:val="22"/>
          <w:lang w:eastAsia="en-US"/>
        </w:rPr>
        <w:t>FRIENDS OF THE IRISH ENVIRONMENT CLG</w:t>
      </w:r>
    </w:p>
    <w:p w14:paraId="51DE2021" w14:textId="77777777" w:rsidR="00163781" w:rsidRDefault="00163781" w:rsidP="001205CA">
      <w:pPr>
        <w:jc w:val="center"/>
        <w:rPr>
          <w:rFonts w:eastAsia="Calibri"/>
          <w:b/>
          <w:szCs w:val="22"/>
          <w:lang w:eastAsia="en-US"/>
        </w:rPr>
      </w:pPr>
    </w:p>
    <w:p w14:paraId="5183775E" w14:textId="77777777" w:rsidR="00163781" w:rsidRPr="001205CA" w:rsidRDefault="00163781" w:rsidP="001205CA">
      <w:pPr>
        <w:jc w:val="center"/>
        <w:rPr>
          <w:rFonts w:eastAsia="Calibri"/>
          <w:b/>
          <w:szCs w:val="22"/>
          <w:lang w:eastAsia="en-US"/>
        </w:rPr>
      </w:pPr>
    </w:p>
    <w:p w14:paraId="3B8721C6" w14:textId="77777777" w:rsidR="005C5994" w:rsidRDefault="009C78C7" w:rsidP="00194C51">
      <w:pPr>
        <w:jc w:val="right"/>
        <w:rPr>
          <w:rFonts w:eastAsia="Calibri"/>
          <w:b/>
          <w:szCs w:val="22"/>
          <w:lang w:eastAsia="en-US"/>
        </w:rPr>
      </w:pPr>
      <w:r>
        <w:rPr>
          <w:rFonts w:eastAsia="Calibri"/>
          <w:b/>
          <w:szCs w:val="22"/>
          <w:lang w:eastAsia="en-US"/>
        </w:rPr>
        <w:t>APPLICANT/</w:t>
      </w:r>
    </w:p>
    <w:p w14:paraId="4A276D7D" w14:textId="77777777" w:rsidR="009C78C7" w:rsidRDefault="009C78C7" w:rsidP="00194C51">
      <w:pPr>
        <w:jc w:val="right"/>
        <w:rPr>
          <w:rFonts w:eastAsia="Calibri"/>
          <w:b/>
          <w:szCs w:val="22"/>
          <w:lang w:eastAsia="en-US"/>
        </w:rPr>
      </w:pPr>
      <w:r>
        <w:rPr>
          <w:rFonts w:eastAsia="Calibri"/>
          <w:b/>
          <w:szCs w:val="22"/>
          <w:lang w:eastAsia="en-US"/>
        </w:rPr>
        <w:t>APPELLANT</w:t>
      </w:r>
    </w:p>
    <w:p w14:paraId="65A035F7" w14:textId="77777777" w:rsidR="00194C51" w:rsidRDefault="00194C51" w:rsidP="00194C51">
      <w:pPr>
        <w:jc w:val="right"/>
        <w:rPr>
          <w:rFonts w:eastAsia="Calibri"/>
          <w:b/>
          <w:szCs w:val="22"/>
          <w:lang w:eastAsia="en-US"/>
        </w:rPr>
      </w:pPr>
    </w:p>
    <w:p w14:paraId="4E43319A" w14:textId="77777777" w:rsidR="00163781" w:rsidRDefault="00163781" w:rsidP="00194C51">
      <w:pPr>
        <w:jc w:val="right"/>
        <w:rPr>
          <w:rFonts w:eastAsia="Calibri"/>
          <w:b/>
          <w:szCs w:val="22"/>
          <w:lang w:eastAsia="en-US"/>
        </w:rPr>
      </w:pPr>
    </w:p>
    <w:p w14:paraId="02D2B7DE" w14:textId="14715914" w:rsidR="00194C51" w:rsidRDefault="00194C51" w:rsidP="00194C51">
      <w:pPr>
        <w:jc w:val="center"/>
        <w:rPr>
          <w:rFonts w:eastAsia="Calibri"/>
          <w:b/>
          <w:szCs w:val="22"/>
          <w:lang w:eastAsia="en-US"/>
        </w:rPr>
      </w:pPr>
      <w:r>
        <w:rPr>
          <w:rFonts w:eastAsia="Calibri"/>
          <w:b/>
          <w:szCs w:val="22"/>
          <w:lang w:eastAsia="en-US"/>
        </w:rPr>
        <w:t xml:space="preserve">- AND </w:t>
      </w:r>
      <w:r w:rsidR="008065E5">
        <w:rPr>
          <w:rFonts w:eastAsia="Calibri"/>
          <w:b/>
          <w:szCs w:val="22"/>
          <w:lang w:eastAsia="en-US"/>
        </w:rPr>
        <w:t>-</w:t>
      </w:r>
    </w:p>
    <w:p w14:paraId="68E467BC" w14:textId="77777777" w:rsidR="00194C51" w:rsidRDefault="00194C51" w:rsidP="00194C51">
      <w:pPr>
        <w:jc w:val="center"/>
        <w:rPr>
          <w:rFonts w:eastAsia="Calibri"/>
          <w:b/>
          <w:szCs w:val="22"/>
          <w:lang w:eastAsia="en-US"/>
        </w:rPr>
      </w:pPr>
    </w:p>
    <w:p w14:paraId="1D6C77F6" w14:textId="77777777" w:rsidR="00163781" w:rsidRDefault="00163781" w:rsidP="00194C51">
      <w:pPr>
        <w:jc w:val="center"/>
        <w:rPr>
          <w:rFonts w:eastAsia="Calibri"/>
          <w:b/>
          <w:szCs w:val="22"/>
          <w:lang w:eastAsia="en-US"/>
        </w:rPr>
      </w:pPr>
    </w:p>
    <w:p w14:paraId="6542C89E" w14:textId="77777777" w:rsidR="009C78C7" w:rsidRDefault="009C78C7" w:rsidP="001205CA">
      <w:pPr>
        <w:jc w:val="center"/>
        <w:rPr>
          <w:rFonts w:eastAsia="Calibri"/>
          <w:b/>
          <w:szCs w:val="22"/>
          <w:lang w:eastAsia="en-US"/>
        </w:rPr>
      </w:pPr>
      <w:r>
        <w:rPr>
          <w:rFonts w:eastAsia="Calibri"/>
          <w:b/>
          <w:szCs w:val="22"/>
          <w:lang w:eastAsia="en-US"/>
        </w:rPr>
        <w:t>THE GOVERNMENT OF IRELAND, MINISTER OF HOUSING, PLANNING AND LOCAL GOVERNMENT, IRELAND AND THE ATTORNEY GENERAL</w:t>
      </w:r>
    </w:p>
    <w:p w14:paraId="4E1754B3" w14:textId="77777777" w:rsidR="001205CA" w:rsidRDefault="001205CA" w:rsidP="001205CA">
      <w:pPr>
        <w:jc w:val="center"/>
        <w:rPr>
          <w:rFonts w:eastAsia="Calibri"/>
          <w:b/>
          <w:szCs w:val="22"/>
          <w:lang w:eastAsia="en-US"/>
        </w:rPr>
      </w:pPr>
    </w:p>
    <w:p w14:paraId="7019482B" w14:textId="77777777" w:rsidR="00163781" w:rsidRDefault="009C78C7" w:rsidP="001205CA">
      <w:pPr>
        <w:jc w:val="right"/>
        <w:rPr>
          <w:rFonts w:eastAsia="Calibri"/>
          <w:b/>
          <w:szCs w:val="22"/>
          <w:lang w:eastAsia="en-US"/>
        </w:rPr>
      </w:pPr>
      <w:r>
        <w:rPr>
          <w:rFonts w:eastAsia="Calibri"/>
          <w:b/>
          <w:szCs w:val="22"/>
          <w:lang w:eastAsia="en-US"/>
        </w:rPr>
        <w:t>RESPONDENTS</w:t>
      </w:r>
    </w:p>
    <w:p w14:paraId="14F27E1A" w14:textId="77777777" w:rsidR="001205CA" w:rsidRDefault="001205CA" w:rsidP="001205CA">
      <w:pPr>
        <w:jc w:val="right"/>
        <w:rPr>
          <w:rFonts w:eastAsia="Calibri"/>
          <w:b/>
          <w:szCs w:val="22"/>
          <w:lang w:eastAsia="en-US"/>
        </w:rPr>
      </w:pPr>
    </w:p>
    <w:p w14:paraId="35DC7540" w14:textId="77777777" w:rsidR="00B05269" w:rsidRDefault="00B05269" w:rsidP="00F95912">
      <w:pPr>
        <w:jc w:val="right"/>
        <w:rPr>
          <w:rFonts w:eastAsia="Calibri"/>
          <w:b/>
          <w:szCs w:val="22"/>
          <w:lang w:eastAsia="en-US"/>
        </w:rPr>
      </w:pPr>
    </w:p>
    <w:p w14:paraId="6B6428E1" w14:textId="5D468E3D" w:rsidR="00A44DD8" w:rsidRDefault="00DB4DD0" w:rsidP="00674771">
      <w:pPr>
        <w:widowControl w:val="0"/>
        <w:spacing w:line="480" w:lineRule="auto"/>
        <w:rPr>
          <w:b/>
          <w:u w:val="single"/>
        </w:rPr>
      </w:pPr>
      <w:r w:rsidRPr="00DB4DD0">
        <w:rPr>
          <w:rFonts w:eastAsia="Calibri"/>
          <w:b/>
          <w:szCs w:val="22"/>
          <w:u w:val="single"/>
          <w:lang w:eastAsia="en-US"/>
        </w:rPr>
        <w:t xml:space="preserve">JUDGMENT of Ms. Justice Costello delivered on the </w:t>
      </w:r>
      <w:r w:rsidR="00844D05">
        <w:rPr>
          <w:rFonts w:eastAsia="Calibri"/>
          <w:b/>
          <w:szCs w:val="22"/>
          <w:u w:val="single"/>
          <w:lang w:eastAsia="en-US"/>
        </w:rPr>
        <w:t>26th</w:t>
      </w:r>
      <w:r w:rsidR="0086068D">
        <w:rPr>
          <w:rFonts w:eastAsia="Calibri"/>
          <w:b/>
          <w:szCs w:val="22"/>
          <w:u w:val="single"/>
          <w:lang w:eastAsia="en-US"/>
        </w:rPr>
        <w:t xml:space="preserve"> </w:t>
      </w:r>
      <w:r w:rsidRPr="00DB4DD0">
        <w:rPr>
          <w:rFonts w:eastAsia="Calibri"/>
          <w:b/>
          <w:szCs w:val="22"/>
          <w:u w:val="single"/>
          <w:lang w:eastAsia="en-US"/>
        </w:rPr>
        <w:t xml:space="preserve">day of </w:t>
      </w:r>
      <w:r w:rsidR="00F77F27">
        <w:rPr>
          <w:rFonts w:eastAsia="Calibri"/>
          <w:b/>
          <w:szCs w:val="22"/>
          <w:u w:val="single"/>
          <w:lang w:eastAsia="en-US"/>
        </w:rPr>
        <w:t xml:space="preserve">November </w:t>
      </w:r>
      <w:r w:rsidR="0086068D">
        <w:rPr>
          <w:rFonts w:eastAsia="Calibri"/>
          <w:b/>
          <w:szCs w:val="22"/>
          <w:u w:val="single"/>
          <w:lang w:eastAsia="en-US"/>
        </w:rPr>
        <w:t>20</w:t>
      </w:r>
      <w:r w:rsidR="008824F1">
        <w:rPr>
          <w:rFonts w:eastAsia="Calibri"/>
          <w:b/>
          <w:szCs w:val="22"/>
          <w:u w:val="single"/>
          <w:lang w:eastAsia="en-US"/>
        </w:rPr>
        <w:t>21</w:t>
      </w:r>
      <w:r w:rsidR="00081285">
        <w:rPr>
          <w:b/>
          <w:u w:val="single"/>
        </w:rPr>
        <w:t xml:space="preserve">  </w:t>
      </w:r>
    </w:p>
    <w:p w14:paraId="0D5EA8D3" w14:textId="05850EC6" w:rsidR="00A44DD8" w:rsidRPr="006156C4" w:rsidRDefault="00A44DD8" w:rsidP="00674771">
      <w:pPr>
        <w:widowControl w:val="0"/>
        <w:spacing w:line="480" w:lineRule="auto"/>
        <w:rPr>
          <w:b/>
          <w:u w:val="single"/>
        </w:rPr>
      </w:pPr>
      <w:r w:rsidRPr="006156C4">
        <w:rPr>
          <w:b/>
          <w:u w:val="single"/>
        </w:rPr>
        <w:t>Introduction</w:t>
      </w:r>
    </w:p>
    <w:p w14:paraId="30FCD2A3" w14:textId="04AD48C4" w:rsidR="009D3C0A" w:rsidRPr="00610C32" w:rsidRDefault="00E73645" w:rsidP="00A44DD8">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610C32">
        <w:rPr>
          <w:rFonts w:ascii="Times New Roman" w:hAnsi="Times New Roman"/>
          <w:sz w:val="24"/>
        </w:rPr>
        <w:t>On 16 February 2018</w:t>
      </w:r>
      <w:r w:rsidR="00735670">
        <w:rPr>
          <w:rFonts w:ascii="Times New Roman" w:hAnsi="Times New Roman"/>
          <w:sz w:val="24"/>
        </w:rPr>
        <w:t>,</w:t>
      </w:r>
      <w:r w:rsidRPr="00610C32">
        <w:rPr>
          <w:rFonts w:ascii="Times New Roman" w:hAnsi="Times New Roman"/>
          <w:sz w:val="24"/>
        </w:rPr>
        <w:t xml:space="preserve"> the Government of Ireland announced the launch of Project Ireland 2040.  The project comprises two parts</w:t>
      </w:r>
      <w:r w:rsidR="00610C32" w:rsidRPr="00610C32">
        <w:rPr>
          <w:rFonts w:ascii="Times New Roman" w:hAnsi="Times New Roman"/>
          <w:sz w:val="24"/>
        </w:rPr>
        <w:t xml:space="preserve"> </w:t>
      </w:r>
      <w:r w:rsidR="00735670">
        <w:rPr>
          <w:rFonts w:ascii="Times New Roman" w:hAnsi="Times New Roman"/>
          <w:sz w:val="24"/>
        </w:rPr>
        <w:t xml:space="preserve">– </w:t>
      </w:r>
      <w:r w:rsidRPr="00610C32">
        <w:rPr>
          <w:rFonts w:ascii="Times New Roman" w:hAnsi="Times New Roman"/>
          <w:sz w:val="24"/>
        </w:rPr>
        <w:t>The National Pl</w:t>
      </w:r>
      <w:r w:rsidR="00386030" w:rsidRPr="00610C32">
        <w:rPr>
          <w:rFonts w:ascii="Times New Roman" w:hAnsi="Times New Roman"/>
          <w:sz w:val="24"/>
        </w:rPr>
        <w:t>anning Framework 2040 and a ten-</w:t>
      </w:r>
      <w:r w:rsidRPr="00610C32">
        <w:rPr>
          <w:rFonts w:ascii="Times New Roman" w:hAnsi="Times New Roman"/>
          <w:sz w:val="24"/>
        </w:rPr>
        <w:t>year National Development Plan</w:t>
      </w:r>
      <w:r w:rsidR="00391585">
        <w:rPr>
          <w:rFonts w:ascii="Times New Roman" w:hAnsi="Times New Roman"/>
          <w:sz w:val="24"/>
        </w:rPr>
        <w:t>.  The latter</w:t>
      </w:r>
      <w:r w:rsidRPr="00610C32">
        <w:rPr>
          <w:rFonts w:ascii="Times New Roman" w:hAnsi="Times New Roman"/>
          <w:sz w:val="24"/>
        </w:rPr>
        <w:t xml:space="preserve"> announced €116bn worth of investment </w:t>
      </w:r>
      <w:r w:rsidR="00663629">
        <w:rPr>
          <w:rFonts w:ascii="Times New Roman" w:hAnsi="Times New Roman"/>
          <w:sz w:val="24"/>
        </w:rPr>
        <w:t>over</w:t>
      </w:r>
      <w:r w:rsidRPr="00610C32">
        <w:rPr>
          <w:rFonts w:ascii="Times New Roman" w:hAnsi="Times New Roman"/>
          <w:sz w:val="24"/>
        </w:rPr>
        <w:t xml:space="preserve"> t</w:t>
      </w:r>
      <w:r w:rsidR="00663629">
        <w:rPr>
          <w:rFonts w:ascii="Times New Roman" w:hAnsi="Times New Roman"/>
          <w:sz w:val="24"/>
        </w:rPr>
        <w:t>he period it covered</w:t>
      </w:r>
      <w:r w:rsidRPr="00610C32">
        <w:rPr>
          <w:rFonts w:ascii="Times New Roman" w:hAnsi="Times New Roman"/>
          <w:sz w:val="24"/>
        </w:rPr>
        <w:t>.</w:t>
      </w:r>
      <w:r w:rsidR="009D3C0A" w:rsidRPr="00610C32">
        <w:rPr>
          <w:rFonts w:ascii="Times New Roman" w:hAnsi="Times New Roman"/>
          <w:sz w:val="24"/>
        </w:rPr>
        <w:t xml:space="preserve"> </w:t>
      </w:r>
    </w:p>
    <w:p w14:paraId="6E297554" w14:textId="31B920C9" w:rsidR="00E73645" w:rsidRPr="00E73645" w:rsidRDefault="00E7364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On 29 May 2018</w:t>
      </w:r>
      <w:r w:rsidR="00735670">
        <w:rPr>
          <w:rFonts w:ascii="Times New Roman" w:hAnsi="Times New Roman"/>
          <w:sz w:val="24"/>
        </w:rPr>
        <w:t>,</w:t>
      </w:r>
      <w:r>
        <w:rPr>
          <w:rFonts w:ascii="Times New Roman" w:hAnsi="Times New Roman"/>
          <w:sz w:val="24"/>
        </w:rPr>
        <w:t xml:space="preserve"> the </w:t>
      </w:r>
      <w:r w:rsidR="008979CB">
        <w:rPr>
          <w:rFonts w:ascii="Times New Roman" w:hAnsi="Times New Roman"/>
          <w:sz w:val="24"/>
        </w:rPr>
        <w:t>g</w:t>
      </w:r>
      <w:r>
        <w:rPr>
          <w:rFonts w:ascii="Times New Roman" w:hAnsi="Times New Roman"/>
          <w:sz w:val="24"/>
        </w:rPr>
        <w:t>overnment formally reaffirmed its decision of 16 February 2018 to adopt and publish the National Planning Framework.  The applicant in these proceedings challenges the validity of the decision</w:t>
      </w:r>
      <w:r w:rsidR="00BE290B">
        <w:rPr>
          <w:rFonts w:ascii="Times New Roman" w:hAnsi="Times New Roman"/>
          <w:sz w:val="24"/>
        </w:rPr>
        <w:t>,</w:t>
      </w:r>
      <w:r>
        <w:rPr>
          <w:rFonts w:ascii="Times New Roman" w:hAnsi="Times New Roman"/>
          <w:sz w:val="24"/>
        </w:rPr>
        <w:t xml:space="preserve"> or decisions</w:t>
      </w:r>
      <w:r w:rsidR="00BE290B">
        <w:rPr>
          <w:rFonts w:ascii="Times New Roman" w:hAnsi="Times New Roman"/>
          <w:sz w:val="24"/>
        </w:rPr>
        <w:t>,</w:t>
      </w:r>
      <w:r>
        <w:rPr>
          <w:rFonts w:ascii="Times New Roman" w:hAnsi="Times New Roman"/>
          <w:sz w:val="24"/>
        </w:rPr>
        <w:t xml:space="preserve"> to adopt both the National </w:t>
      </w:r>
      <w:r>
        <w:rPr>
          <w:rFonts w:ascii="Times New Roman" w:hAnsi="Times New Roman"/>
          <w:sz w:val="24"/>
        </w:rPr>
        <w:lastRenderedPageBreak/>
        <w:t xml:space="preserve">Planning Framework </w:t>
      </w:r>
      <w:r w:rsidR="00610C32">
        <w:rPr>
          <w:rFonts w:ascii="Times New Roman" w:hAnsi="Times New Roman"/>
          <w:sz w:val="24"/>
        </w:rPr>
        <w:t xml:space="preserve">(“the NPF”) </w:t>
      </w:r>
      <w:r>
        <w:rPr>
          <w:rFonts w:ascii="Times New Roman" w:hAnsi="Times New Roman"/>
          <w:sz w:val="24"/>
        </w:rPr>
        <w:t>and the National Development Plan</w:t>
      </w:r>
      <w:r w:rsidR="00610C32">
        <w:rPr>
          <w:rFonts w:ascii="Times New Roman" w:hAnsi="Times New Roman"/>
          <w:sz w:val="24"/>
        </w:rPr>
        <w:t xml:space="preserve"> (“the NDP”) and seeks orders of </w:t>
      </w:r>
      <w:r w:rsidR="00610C32" w:rsidRPr="004A56E3">
        <w:rPr>
          <w:rFonts w:ascii="Times New Roman" w:hAnsi="Times New Roman"/>
          <w:i/>
          <w:iCs/>
          <w:sz w:val="24"/>
        </w:rPr>
        <w:t>certiorari</w:t>
      </w:r>
      <w:r w:rsidR="00610C32">
        <w:rPr>
          <w:rFonts w:ascii="Times New Roman" w:hAnsi="Times New Roman"/>
          <w:sz w:val="24"/>
        </w:rPr>
        <w:t xml:space="preserve"> quashing the NPF and the NDP.</w:t>
      </w:r>
      <w:r w:rsidR="002B3A94">
        <w:rPr>
          <w:rFonts w:ascii="Times New Roman" w:hAnsi="Times New Roman"/>
          <w:sz w:val="24"/>
        </w:rPr>
        <w:t xml:space="preserve"> </w:t>
      </w:r>
      <w:r>
        <w:rPr>
          <w:rFonts w:ascii="Times New Roman" w:hAnsi="Times New Roman"/>
          <w:sz w:val="24"/>
        </w:rPr>
        <w:t xml:space="preserve"> </w:t>
      </w:r>
      <w:r w:rsidR="00F878AC">
        <w:rPr>
          <w:rFonts w:ascii="Times New Roman" w:hAnsi="Times New Roman"/>
          <w:sz w:val="24"/>
        </w:rPr>
        <w:t>It does so on the basis of alleged failures by the respondents to observe mandatory requirem</w:t>
      </w:r>
      <w:r w:rsidR="00860E96">
        <w:rPr>
          <w:rFonts w:ascii="Times New Roman" w:hAnsi="Times New Roman"/>
          <w:sz w:val="24"/>
        </w:rPr>
        <w:t>e</w:t>
      </w:r>
      <w:r w:rsidR="00F878AC">
        <w:rPr>
          <w:rFonts w:ascii="Times New Roman" w:hAnsi="Times New Roman"/>
          <w:sz w:val="24"/>
        </w:rPr>
        <w:t>nts of EU law in the process of adopting the NPF and the NDP.</w:t>
      </w:r>
      <w:r>
        <w:rPr>
          <w:rFonts w:ascii="Times New Roman" w:hAnsi="Times New Roman"/>
          <w:sz w:val="24"/>
        </w:rPr>
        <w:t xml:space="preserve"> </w:t>
      </w:r>
    </w:p>
    <w:p w14:paraId="4787079C" w14:textId="703BBEB8" w:rsidR="00E73645" w:rsidRPr="00E73645" w:rsidRDefault="00E7364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By order dated 13 May 2020</w:t>
      </w:r>
      <w:r w:rsidR="00BE290B">
        <w:rPr>
          <w:rFonts w:ascii="Times New Roman" w:hAnsi="Times New Roman"/>
          <w:sz w:val="24"/>
        </w:rPr>
        <w:t>,</w:t>
      </w:r>
      <w:r>
        <w:rPr>
          <w:rFonts w:ascii="Times New Roman" w:hAnsi="Times New Roman"/>
          <w:sz w:val="24"/>
        </w:rPr>
        <w:t xml:space="preserve"> the High Court (Barr J.) refused the applicant the relief sought </w:t>
      </w:r>
      <w:r w:rsidR="00391585">
        <w:rPr>
          <w:rFonts w:ascii="Times New Roman" w:hAnsi="Times New Roman"/>
          <w:sz w:val="24"/>
        </w:rPr>
        <w:t>([2020] IEHC 225)</w:t>
      </w:r>
      <w:r w:rsidR="00663629">
        <w:rPr>
          <w:rFonts w:ascii="Times New Roman" w:hAnsi="Times New Roman"/>
          <w:sz w:val="24"/>
        </w:rPr>
        <w:t>.  T</w:t>
      </w:r>
      <w:r>
        <w:rPr>
          <w:rFonts w:ascii="Times New Roman" w:hAnsi="Times New Roman"/>
          <w:sz w:val="24"/>
        </w:rPr>
        <w:t xml:space="preserve">he applicant </w:t>
      </w:r>
      <w:r w:rsidR="00663629">
        <w:rPr>
          <w:rFonts w:ascii="Times New Roman" w:hAnsi="Times New Roman"/>
          <w:sz w:val="24"/>
        </w:rPr>
        <w:t xml:space="preserve">has </w:t>
      </w:r>
      <w:r>
        <w:rPr>
          <w:rFonts w:ascii="Times New Roman" w:hAnsi="Times New Roman"/>
          <w:sz w:val="24"/>
        </w:rPr>
        <w:t xml:space="preserve">appealed </w:t>
      </w:r>
      <w:r w:rsidR="00663629">
        <w:rPr>
          <w:rFonts w:ascii="Times New Roman" w:hAnsi="Times New Roman"/>
          <w:sz w:val="24"/>
        </w:rPr>
        <w:t>his</w:t>
      </w:r>
      <w:r>
        <w:rPr>
          <w:rFonts w:ascii="Times New Roman" w:hAnsi="Times New Roman"/>
          <w:sz w:val="24"/>
        </w:rPr>
        <w:t xml:space="preserve"> judgment and order to this court.  The appeal was heard on 2</w:t>
      </w:r>
      <w:r w:rsidR="00610C32">
        <w:rPr>
          <w:rFonts w:ascii="Times New Roman" w:hAnsi="Times New Roman"/>
          <w:sz w:val="24"/>
        </w:rPr>
        <w:t>7 and 28</w:t>
      </w:r>
      <w:r>
        <w:rPr>
          <w:rFonts w:ascii="Times New Roman" w:hAnsi="Times New Roman"/>
          <w:sz w:val="24"/>
        </w:rPr>
        <w:t xml:space="preserve"> April</w:t>
      </w:r>
      <w:r w:rsidR="00F878AC">
        <w:rPr>
          <w:rFonts w:ascii="Times New Roman" w:hAnsi="Times New Roman"/>
          <w:sz w:val="24"/>
        </w:rPr>
        <w:t xml:space="preserve"> and</w:t>
      </w:r>
      <w:r>
        <w:rPr>
          <w:rFonts w:ascii="Times New Roman" w:hAnsi="Times New Roman"/>
          <w:sz w:val="24"/>
        </w:rPr>
        <w:t xml:space="preserve"> on 23 June 2021.</w:t>
      </w:r>
    </w:p>
    <w:p w14:paraId="223BBB53" w14:textId="77777777" w:rsidR="00FE6325" w:rsidRDefault="00FE6325" w:rsidP="00542FF7">
      <w:pPr>
        <w:pStyle w:val="ListParagraph"/>
        <w:tabs>
          <w:tab w:val="left" w:pos="567"/>
        </w:tabs>
        <w:spacing w:line="276" w:lineRule="auto"/>
        <w:ind w:left="0"/>
        <w:jc w:val="left"/>
        <w:rPr>
          <w:rFonts w:ascii="Times New Roman" w:hAnsi="Times New Roman"/>
          <w:b/>
          <w:sz w:val="24"/>
          <w:u w:val="single"/>
        </w:rPr>
      </w:pPr>
    </w:p>
    <w:p w14:paraId="688E15D9" w14:textId="11A65AE5" w:rsidR="00E73645" w:rsidRPr="00F878AC" w:rsidRDefault="00610C32" w:rsidP="00E73645">
      <w:pPr>
        <w:pStyle w:val="ListParagraph"/>
        <w:tabs>
          <w:tab w:val="left" w:pos="567"/>
        </w:tabs>
        <w:spacing w:line="480" w:lineRule="auto"/>
        <w:ind w:left="0"/>
        <w:jc w:val="left"/>
        <w:rPr>
          <w:rFonts w:ascii="Times New Roman" w:hAnsi="Times New Roman"/>
          <w:b/>
          <w:sz w:val="24"/>
          <w:u w:val="single"/>
        </w:rPr>
      </w:pPr>
      <w:r w:rsidRPr="00F878AC">
        <w:rPr>
          <w:rFonts w:ascii="Times New Roman" w:hAnsi="Times New Roman"/>
          <w:b/>
          <w:sz w:val="24"/>
          <w:u w:val="single"/>
        </w:rPr>
        <w:t>Overview of the relevant legislative context for the adoption of the NPF and NDP</w:t>
      </w:r>
      <w:r w:rsidR="00E73645" w:rsidRPr="00F878AC">
        <w:rPr>
          <w:rFonts w:ascii="Times New Roman" w:hAnsi="Times New Roman"/>
          <w:b/>
          <w:sz w:val="24"/>
        </w:rPr>
        <w:t xml:space="preserve"> </w:t>
      </w:r>
    </w:p>
    <w:p w14:paraId="2DE9169A" w14:textId="71E47DF8" w:rsidR="00860E96" w:rsidRPr="00860E96" w:rsidRDefault="00610C32"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When adopting the N</w:t>
      </w:r>
      <w:r w:rsidR="00110987">
        <w:rPr>
          <w:rFonts w:ascii="Times New Roman" w:hAnsi="Times New Roman"/>
          <w:sz w:val="24"/>
        </w:rPr>
        <w:t>P</w:t>
      </w:r>
      <w:r>
        <w:rPr>
          <w:rFonts w:ascii="Times New Roman" w:hAnsi="Times New Roman"/>
          <w:sz w:val="24"/>
        </w:rPr>
        <w:t>F and NDP</w:t>
      </w:r>
      <w:r w:rsidR="007F32F7">
        <w:rPr>
          <w:rFonts w:ascii="Times New Roman" w:hAnsi="Times New Roman"/>
          <w:sz w:val="24"/>
        </w:rPr>
        <w:t>,</w:t>
      </w:r>
      <w:r>
        <w:rPr>
          <w:rFonts w:ascii="Times New Roman" w:hAnsi="Times New Roman"/>
          <w:sz w:val="24"/>
        </w:rPr>
        <w:t xml:space="preserve"> the </w:t>
      </w:r>
      <w:r w:rsidR="008979CB">
        <w:rPr>
          <w:rFonts w:ascii="Times New Roman" w:hAnsi="Times New Roman"/>
          <w:sz w:val="24"/>
        </w:rPr>
        <w:t>g</w:t>
      </w:r>
      <w:r>
        <w:rPr>
          <w:rFonts w:ascii="Times New Roman" w:hAnsi="Times New Roman"/>
          <w:sz w:val="24"/>
        </w:rPr>
        <w:t xml:space="preserve">overnment was required to comply with </w:t>
      </w:r>
      <w:r w:rsidR="00663629">
        <w:rPr>
          <w:rFonts w:ascii="Times New Roman" w:hAnsi="Times New Roman"/>
          <w:sz w:val="24"/>
        </w:rPr>
        <w:t xml:space="preserve">applicable </w:t>
      </w:r>
      <w:r>
        <w:rPr>
          <w:rFonts w:ascii="Times New Roman" w:hAnsi="Times New Roman"/>
          <w:sz w:val="24"/>
        </w:rPr>
        <w:t>legislation</w:t>
      </w:r>
      <w:r w:rsidR="007F32F7">
        <w:rPr>
          <w:rFonts w:ascii="Times New Roman" w:hAnsi="Times New Roman"/>
          <w:sz w:val="24"/>
        </w:rPr>
        <w:t>,</w:t>
      </w:r>
      <w:r w:rsidR="00663629">
        <w:rPr>
          <w:rFonts w:ascii="Times New Roman" w:hAnsi="Times New Roman"/>
          <w:sz w:val="24"/>
        </w:rPr>
        <w:t xml:space="preserve"> including </w:t>
      </w:r>
      <w:r w:rsidR="00AD4FC1" w:rsidRPr="00AD4FC1">
        <w:rPr>
          <w:rFonts w:ascii="Times New Roman" w:hAnsi="Times New Roman"/>
          <w:sz w:val="24"/>
        </w:rPr>
        <w:t xml:space="preserve">Directive 2001/42/EC </w:t>
      </w:r>
      <w:r w:rsidR="007F32F7">
        <w:rPr>
          <w:rFonts w:ascii="Times New Roman" w:hAnsi="Times New Roman"/>
          <w:sz w:val="24"/>
        </w:rPr>
        <w:t xml:space="preserve">of 27 June 2001 </w:t>
      </w:r>
      <w:r w:rsidR="00AD4FC1" w:rsidRPr="00AD4FC1">
        <w:rPr>
          <w:rFonts w:ascii="Times New Roman" w:hAnsi="Times New Roman"/>
          <w:sz w:val="24"/>
        </w:rPr>
        <w:t>on the assessment of the effects of certain plans and programmes on the environment</w:t>
      </w:r>
      <w:r w:rsidR="00AD4FC1">
        <w:rPr>
          <w:rFonts w:ascii="Times New Roman" w:hAnsi="Times New Roman"/>
          <w:sz w:val="24"/>
        </w:rPr>
        <w:t xml:space="preserve"> (“the </w:t>
      </w:r>
      <w:r>
        <w:rPr>
          <w:rFonts w:ascii="Times New Roman" w:hAnsi="Times New Roman"/>
          <w:sz w:val="24"/>
        </w:rPr>
        <w:t>SEA Directive</w:t>
      </w:r>
      <w:r w:rsidR="00AD4FC1">
        <w:rPr>
          <w:rFonts w:ascii="Times New Roman" w:hAnsi="Times New Roman"/>
          <w:sz w:val="24"/>
        </w:rPr>
        <w:t>”)</w:t>
      </w:r>
      <w:r>
        <w:rPr>
          <w:rFonts w:ascii="Times New Roman" w:hAnsi="Times New Roman"/>
          <w:sz w:val="24"/>
        </w:rPr>
        <w:t xml:space="preserve"> and </w:t>
      </w:r>
      <w:r w:rsidR="00AD4FC1" w:rsidRPr="00AD4FC1">
        <w:rPr>
          <w:rFonts w:ascii="Times New Roman" w:hAnsi="Times New Roman" w:cs="Times New Roman"/>
          <w:sz w:val="24"/>
          <w:szCs w:val="24"/>
        </w:rPr>
        <w:t xml:space="preserve">Council Directive 92/43/EEC of 21 May 1992 on the conservation of natural habitats and of wild fauna and flora </w:t>
      </w:r>
      <w:r w:rsidR="00AD4FC1">
        <w:rPr>
          <w:rFonts w:ascii="Times New Roman" w:hAnsi="Times New Roman" w:cs="Times New Roman"/>
          <w:sz w:val="24"/>
          <w:szCs w:val="24"/>
        </w:rPr>
        <w:t>(“</w:t>
      </w:r>
      <w:r>
        <w:rPr>
          <w:rFonts w:ascii="Times New Roman" w:hAnsi="Times New Roman"/>
          <w:sz w:val="24"/>
        </w:rPr>
        <w:t>the Habitats Directive</w:t>
      </w:r>
      <w:r w:rsidR="00AD4FC1">
        <w:rPr>
          <w:rFonts w:ascii="Times New Roman" w:hAnsi="Times New Roman"/>
          <w:sz w:val="24"/>
        </w:rPr>
        <w:t>”)</w:t>
      </w:r>
      <w:r>
        <w:rPr>
          <w:rFonts w:ascii="Times New Roman" w:hAnsi="Times New Roman"/>
          <w:sz w:val="24"/>
        </w:rPr>
        <w:t xml:space="preserve">, and the </w:t>
      </w:r>
      <w:r w:rsidR="00BD3A03">
        <w:rPr>
          <w:rFonts w:ascii="Times New Roman" w:hAnsi="Times New Roman"/>
          <w:sz w:val="24"/>
        </w:rPr>
        <w:t>R</w:t>
      </w:r>
      <w:r>
        <w:rPr>
          <w:rFonts w:ascii="Times New Roman" w:hAnsi="Times New Roman"/>
          <w:sz w:val="24"/>
        </w:rPr>
        <w:t xml:space="preserve">egulations transposing the directives into </w:t>
      </w:r>
      <w:r w:rsidR="00BD3A03">
        <w:rPr>
          <w:rFonts w:ascii="Times New Roman" w:hAnsi="Times New Roman"/>
          <w:sz w:val="24"/>
        </w:rPr>
        <w:t>Irish law, S.I. 435/2004</w:t>
      </w:r>
      <w:r w:rsidR="007F32F7">
        <w:rPr>
          <w:rFonts w:ascii="Times New Roman" w:hAnsi="Times New Roman"/>
          <w:sz w:val="24"/>
        </w:rPr>
        <w:t xml:space="preserve"> the</w:t>
      </w:r>
      <w:r w:rsidR="00BD3A03">
        <w:rPr>
          <w:rFonts w:ascii="Times New Roman" w:hAnsi="Times New Roman"/>
          <w:sz w:val="24"/>
        </w:rPr>
        <w:t xml:space="preserve"> </w:t>
      </w:r>
      <w:r w:rsidR="00076805" w:rsidRPr="00076805">
        <w:rPr>
          <w:rFonts w:ascii="Times New Roman" w:hAnsi="Times New Roman"/>
          <w:sz w:val="24"/>
        </w:rPr>
        <w:t>European Communities (Environmental Assessment of Certain Plans and Programmes) Regulations 2004</w:t>
      </w:r>
      <w:r w:rsidR="00076805">
        <w:rPr>
          <w:rFonts w:ascii="Times New Roman" w:hAnsi="Times New Roman"/>
          <w:sz w:val="24"/>
        </w:rPr>
        <w:t xml:space="preserve"> </w:t>
      </w:r>
      <w:r w:rsidR="00BD3A03">
        <w:rPr>
          <w:rFonts w:ascii="Times New Roman" w:hAnsi="Times New Roman"/>
          <w:sz w:val="24"/>
        </w:rPr>
        <w:t>and S.I. 200/2011</w:t>
      </w:r>
      <w:r w:rsidR="00076805">
        <w:rPr>
          <w:rFonts w:ascii="Times New Roman" w:hAnsi="Times New Roman"/>
          <w:sz w:val="24"/>
        </w:rPr>
        <w:t xml:space="preserve"> </w:t>
      </w:r>
      <w:r w:rsidR="007F32F7">
        <w:rPr>
          <w:rFonts w:ascii="Times New Roman" w:hAnsi="Times New Roman"/>
          <w:sz w:val="24"/>
        </w:rPr>
        <w:t xml:space="preserve">the </w:t>
      </w:r>
      <w:r w:rsidR="00076805" w:rsidRPr="00076805">
        <w:rPr>
          <w:rFonts w:ascii="Times New Roman" w:hAnsi="Times New Roman"/>
          <w:sz w:val="24"/>
        </w:rPr>
        <w:t>European Communities (Environmental Assessment of Certain Plans and Programmes) (Amendment) Regulations 2011</w:t>
      </w:r>
      <w:r w:rsidR="00BD3A03">
        <w:rPr>
          <w:rFonts w:ascii="Times New Roman" w:hAnsi="Times New Roman"/>
          <w:sz w:val="24"/>
        </w:rPr>
        <w:t xml:space="preserve"> (“the SEA Regulations”)</w:t>
      </w:r>
      <w:r w:rsidR="007F32F7">
        <w:rPr>
          <w:rFonts w:ascii="Times New Roman" w:hAnsi="Times New Roman"/>
          <w:sz w:val="24"/>
        </w:rPr>
        <w:t>,</w:t>
      </w:r>
      <w:r w:rsidR="00BD3A03">
        <w:rPr>
          <w:rFonts w:ascii="Times New Roman" w:hAnsi="Times New Roman"/>
          <w:sz w:val="24"/>
        </w:rPr>
        <w:t xml:space="preserve"> and S.I. 477/2011</w:t>
      </w:r>
      <w:r w:rsidR="005865FB">
        <w:rPr>
          <w:rFonts w:ascii="Times New Roman" w:hAnsi="Times New Roman"/>
          <w:sz w:val="24"/>
        </w:rPr>
        <w:t xml:space="preserve"> </w:t>
      </w:r>
      <w:r w:rsidR="007F32F7">
        <w:rPr>
          <w:rFonts w:ascii="Times New Roman" w:hAnsi="Times New Roman"/>
          <w:sz w:val="24"/>
        </w:rPr>
        <w:t xml:space="preserve">the </w:t>
      </w:r>
      <w:r w:rsidR="005865FB" w:rsidRPr="005865FB">
        <w:rPr>
          <w:rFonts w:ascii="Times New Roman" w:hAnsi="Times New Roman"/>
          <w:sz w:val="24"/>
        </w:rPr>
        <w:t>European Communities (Birds and Natural Habitats) Regulations 2011</w:t>
      </w:r>
      <w:r w:rsidR="00BD3A03">
        <w:rPr>
          <w:rFonts w:ascii="Times New Roman" w:hAnsi="Times New Roman"/>
          <w:sz w:val="24"/>
        </w:rPr>
        <w:t xml:space="preserve"> (“the Habitats Regulations</w:t>
      </w:r>
      <w:r w:rsidR="00280C4F">
        <w:rPr>
          <w:rFonts w:ascii="Times New Roman" w:hAnsi="Times New Roman"/>
          <w:sz w:val="24"/>
        </w:rPr>
        <w:t>”</w:t>
      </w:r>
      <w:r w:rsidR="00BD3A03">
        <w:rPr>
          <w:rFonts w:ascii="Times New Roman" w:hAnsi="Times New Roman"/>
          <w:sz w:val="24"/>
        </w:rPr>
        <w:t xml:space="preserve">).  I set out the relevant provisions here so that the description of the detailed process undertaken </w:t>
      </w:r>
      <w:r w:rsidR="00D7503E">
        <w:rPr>
          <w:rFonts w:ascii="Times New Roman" w:hAnsi="Times New Roman"/>
          <w:sz w:val="24"/>
        </w:rPr>
        <w:t xml:space="preserve">which follows </w:t>
      </w:r>
      <w:r w:rsidR="00BD3A03">
        <w:rPr>
          <w:rFonts w:ascii="Times New Roman" w:hAnsi="Times New Roman"/>
          <w:sz w:val="24"/>
        </w:rPr>
        <w:t>may be better understood and the issues said to arise from the alleged flaws in the process set in context.</w:t>
      </w:r>
    </w:p>
    <w:p w14:paraId="6214D395" w14:textId="6AB90E60" w:rsidR="003F0BBF" w:rsidRPr="00833EC5" w:rsidRDefault="00833EC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The Habitats Directive places strict legal obligations on member states to ensure the protection, conservation and management of the habitats and species of conservation interest in all European sites. </w:t>
      </w:r>
      <w:r w:rsidR="007F32F7">
        <w:rPr>
          <w:rFonts w:ascii="Times New Roman" w:hAnsi="Times New Roman"/>
          <w:sz w:val="24"/>
        </w:rPr>
        <w:t xml:space="preserve"> </w:t>
      </w:r>
      <w:r>
        <w:rPr>
          <w:rFonts w:ascii="Times New Roman" w:hAnsi="Times New Roman"/>
          <w:sz w:val="24"/>
        </w:rPr>
        <w:t xml:space="preserve">Article 6 obliges member states to undertake an appropriate assessment (“AA”) for any plan or project which </w:t>
      </w:r>
      <w:r w:rsidR="00DD6AF8">
        <w:rPr>
          <w:rFonts w:ascii="Times New Roman" w:hAnsi="Times New Roman"/>
          <w:sz w:val="24"/>
        </w:rPr>
        <w:t>is</w:t>
      </w:r>
      <w:r>
        <w:rPr>
          <w:rFonts w:ascii="Times New Roman" w:hAnsi="Times New Roman"/>
          <w:sz w:val="24"/>
        </w:rPr>
        <w:t xml:space="preserve"> likely </w:t>
      </w:r>
      <w:r w:rsidR="00DD6AF8">
        <w:rPr>
          <w:rFonts w:ascii="Times New Roman" w:hAnsi="Times New Roman"/>
          <w:sz w:val="24"/>
        </w:rPr>
        <w:t xml:space="preserve">to have a </w:t>
      </w:r>
      <w:r>
        <w:rPr>
          <w:rFonts w:ascii="Times New Roman" w:hAnsi="Times New Roman"/>
          <w:sz w:val="24"/>
        </w:rPr>
        <w:t xml:space="preserve">significant effect on </w:t>
      </w:r>
      <w:r>
        <w:rPr>
          <w:rFonts w:ascii="Times New Roman" w:hAnsi="Times New Roman"/>
          <w:sz w:val="24"/>
        </w:rPr>
        <w:lastRenderedPageBreak/>
        <w:t>any European site.</w:t>
      </w:r>
      <w:r w:rsidR="00BD3A03">
        <w:rPr>
          <w:rFonts w:ascii="Times New Roman" w:hAnsi="Times New Roman"/>
          <w:sz w:val="24"/>
        </w:rPr>
        <w:t xml:space="preserve">  </w:t>
      </w:r>
      <w:r w:rsidR="003F0BBF" w:rsidRPr="00833EC5">
        <w:rPr>
          <w:rFonts w:ascii="Times New Roman" w:hAnsi="Times New Roman"/>
          <w:sz w:val="24"/>
        </w:rPr>
        <w:t xml:space="preserve">The key provision of the Habitats Directive </w:t>
      </w:r>
      <w:r w:rsidR="004B6821">
        <w:rPr>
          <w:rFonts w:ascii="Times New Roman" w:hAnsi="Times New Roman"/>
          <w:sz w:val="24"/>
        </w:rPr>
        <w:t xml:space="preserve">for present purposes </w:t>
      </w:r>
      <w:r w:rsidR="003F0BBF" w:rsidRPr="00833EC5">
        <w:rPr>
          <w:rFonts w:ascii="Times New Roman" w:hAnsi="Times New Roman"/>
          <w:sz w:val="24"/>
        </w:rPr>
        <w:t>is Article 6(</w:t>
      </w:r>
      <w:r w:rsidR="00D7503E">
        <w:rPr>
          <w:rFonts w:ascii="Times New Roman" w:hAnsi="Times New Roman"/>
          <w:sz w:val="24"/>
        </w:rPr>
        <w:t>3</w:t>
      </w:r>
      <w:r w:rsidR="003F0BBF" w:rsidRPr="00833EC5">
        <w:rPr>
          <w:rFonts w:ascii="Times New Roman" w:hAnsi="Times New Roman"/>
          <w:sz w:val="24"/>
        </w:rPr>
        <w:t>) which provides:</w:t>
      </w:r>
      <w:r w:rsidR="00FD1515">
        <w:rPr>
          <w:rFonts w:ascii="Times New Roman" w:hAnsi="Times New Roman"/>
          <w:sz w:val="24"/>
        </w:rPr>
        <w:t>-</w:t>
      </w:r>
    </w:p>
    <w:p w14:paraId="5405D976" w14:textId="4C5B8DD1" w:rsidR="00CD4D26" w:rsidRDefault="003F0BBF" w:rsidP="003F0BBF">
      <w:pPr>
        <w:pStyle w:val="ListParagraph"/>
        <w:spacing w:line="480" w:lineRule="auto"/>
        <w:ind w:left="567"/>
        <w:jc w:val="left"/>
        <w:rPr>
          <w:rFonts w:ascii="Times New Roman" w:hAnsi="Times New Roman"/>
          <w:sz w:val="24"/>
        </w:rPr>
      </w:pPr>
      <w:r>
        <w:rPr>
          <w:rFonts w:ascii="Times New Roman" w:hAnsi="Times New Roman"/>
          <w:i/>
          <w:sz w:val="24"/>
        </w:rPr>
        <w:t>“</w:t>
      </w:r>
      <w:r w:rsidRPr="003F0BBF">
        <w:rPr>
          <w:rFonts w:ascii="Times New Roman" w:hAnsi="Times New Roman"/>
          <w:i/>
          <w:sz w:val="24"/>
        </w:rPr>
        <w:t>Any plan or project not directly connected with or necessary to the management of the site but likely to have a significant effect thereon, either individually or in combination with other plans or projects, shall be subject to appropriate assessment of its implications for the site in view of the site’s conservation objectives. In the light of the conclusions of the assessment of the implications for the site and subject to the provisions of para</w:t>
      </w:r>
      <w:r w:rsidR="00FD1515">
        <w:rPr>
          <w:rFonts w:ascii="Times New Roman" w:hAnsi="Times New Roman"/>
          <w:i/>
          <w:sz w:val="24"/>
        </w:rPr>
        <w:t>graph</w:t>
      </w:r>
      <w:r w:rsidRPr="003F0BBF">
        <w:rPr>
          <w:rFonts w:ascii="Times New Roman" w:hAnsi="Times New Roman"/>
          <w:i/>
          <w:sz w:val="24"/>
        </w:rPr>
        <w:t xml:space="preserve"> 4, the competent national authorities shall agree to the plan or project </w:t>
      </w:r>
      <w:r w:rsidRPr="003F0BBF">
        <w:rPr>
          <w:rFonts w:ascii="Times New Roman" w:hAnsi="Times New Roman"/>
          <w:i/>
          <w:sz w:val="24"/>
          <w:u w:val="single"/>
        </w:rPr>
        <w:t>only after having ascertained</w:t>
      </w:r>
      <w:r w:rsidRPr="003F0BBF">
        <w:rPr>
          <w:rFonts w:ascii="Times New Roman" w:hAnsi="Times New Roman"/>
          <w:i/>
          <w:sz w:val="24"/>
        </w:rPr>
        <w:t xml:space="preserve"> that it will not adversely affect the integrity of the site concerned and, if appropriate, after having obtained the opinion of the general public.”</w:t>
      </w:r>
      <w:r w:rsidR="00CD4D26">
        <w:rPr>
          <w:rFonts w:ascii="Times New Roman" w:hAnsi="Times New Roman"/>
          <w:sz w:val="24"/>
        </w:rPr>
        <w:t xml:space="preserve"> </w:t>
      </w:r>
      <w:r>
        <w:rPr>
          <w:rFonts w:ascii="Times New Roman" w:hAnsi="Times New Roman"/>
          <w:sz w:val="24"/>
        </w:rPr>
        <w:t>(emphasis added)</w:t>
      </w:r>
    </w:p>
    <w:p w14:paraId="7F747801" w14:textId="65C1928B" w:rsidR="00860E96" w:rsidRDefault="00860E96" w:rsidP="003763A0">
      <w:pPr>
        <w:pStyle w:val="ListParagraph"/>
        <w:numPr>
          <w:ilvl w:val="0"/>
          <w:numId w:val="1"/>
        </w:numPr>
        <w:spacing w:line="480" w:lineRule="auto"/>
        <w:ind w:left="0" w:firstLine="0"/>
        <w:jc w:val="left"/>
        <w:rPr>
          <w:rFonts w:ascii="Times New Roman" w:hAnsi="Times New Roman"/>
          <w:sz w:val="24"/>
        </w:rPr>
      </w:pPr>
      <w:r>
        <w:rPr>
          <w:rFonts w:ascii="Times New Roman" w:hAnsi="Times New Roman"/>
          <w:sz w:val="24"/>
        </w:rPr>
        <w:t xml:space="preserve">In </w:t>
      </w:r>
      <w:r w:rsidRPr="00BA6814">
        <w:rPr>
          <w:rFonts w:ascii="Times New Roman" w:hAnsi="Times New Roman"/>
          <w:i/>
          <w:sz w:val="24"/>
        </w:rPr>
        <w:t>Kelly v. An Bord Pleanála</w:t>
      </w:r>
      <w:r w:rsidRPr="00BA6814">
        <w:rPr>
          <w:rFonts w:ascii="Times New Roman" w:hAnsi="Times New Roman"/>
          <w:sz w:val="24"/>
        </w:rPr>
        <w:t xml:space="preserve"> [2014] IEHC 400</w:t>
      </w:r>
      <w:r w:rsidR="00FD1515">
        <w:rPr>
          <w:rFonts w:ascii="Times New Roman" w:hAnsi="Times New Roman"/>
          <w:sz w:val="24"/>
        </w:rPr>
        <w:t>,</w:t>
      </w:r>
      <w:r>
        <w:rPr>
          <w:rFonts w:ascii="Times New Roman" w:hAnsi="Times New Roman"/>
          <w:sz w:val="24"/>
        </w:rPr>
        <w:t xml:space="preserve"> Finlay Geoghegan J. held that a determination that a plan or project will not affect the integrity of a European site is a jurisdictional requirement.  </w:t>
      </w:r>
      <w:r w:rsidR="00833EC5">
        <w:rPr>
          <w:rFonts w:ascii="Times New Roman" w:hAnsi="Times New Roman"/>
          <w:sz w:val="24"/>
        </w:rPr>
        <w:t>At</w:t>
      </w:r>
      <w:r>
        <w:rPr>
          <w:rFonts w:ascii="Times New Roman" w:hAnsi="Times New Roman"/>
          <w:sz w:val="24"/>
        </w:rPr>
        <w:t xml:space="preserve"> para. 40 she set out the requirement for a valid AA</w:t>
      </w:r>
      <w:r w:rsidR="00833EC5">
        <w:rPr>
          <w:rFonts w:ascii="Times New Roman" w:hAnsi="Times New Roman"/>
          <w:sz w:val="24"/>
        </w:rPr>
        <w:t>.</w:t>
      </w:r>
      <w:r w:rsidR="00FD1515">
        <w:rPr>
          <w:rFonts w:ascii="Times New Roman" w:hAnsi="Times New Roman"/>
          <w:sz w:val="24"/>
        </w:rPr>
        <w:t xml:space="preserve"> </w:t>
      </w:r>
      <w:r w:rsidR="00833EC5">
        <w:rPr>
          <w:rFonts w:ascii="Times New Roman" w:hAnsi="Times New Roman"/>
          <w:sz w:val="24"/>
        </w:rPr>
        <w:t xml:space="preserve"> It</w:t>
      </w:r>
      <w:r>
        <w:rPr>
          <w:rFonts w:ascii="Times New Roman" w:hAnsi="Times New Roman"/>
          <w:sz w:val="24"/>
        </w:rPr>
        <w:t>:</w:t>
      </w:r>
      <w:r w:rsidR="00FD1515">
        <w:rPr>
          <w:rFonts w:ascii="Times New Roman" w:hAnsi="Times New Roman"/>
          <w:sz w:val="24"/>
        </w:rPr>
        <w:t>-</w:t>
      </w:r>
    </w:p>
    <w:p w14:paraId="322CAD09" w14:textId="77777777" w:rsidR="00860E96" w:rsidRPr="00E84A07" w:rsidRDefault="00860E96" w:rsidP="00FE6325">
      <w:pPr>
        <w:pStyle w:val="ListParagraph"/>
        <w:spacing w:line="480" w:lineRule="auto"/>
        <w:ind w:left="1134" w:hanging="567"/>
        <w:rPr>
          <w:rFonts w:ascii="Times New Roman" w:hAnsi="Times New Roman"/>
          <w:i/>
          <w:sz w:val="24"/>
        </w:rPr>
      </w:pPr>
      <w:r>
        <w:rPr>
          <w:rFonts w:ascii="Times New Roman" w:hAnsi="Times New Roman"/>
          <w:i/>
          <w:sz w:val="24"/>
        </w:rPr>
        <w:t>“</w:t>
      </w:r>
      <w:r w:rsidRPr="00E84A07">
        <w:rPr>
          <w:rFonts w:ascii="Times New Roman" w:hAnsi="Times New Roman"/>
          <w:i/>
          <w:sz w:val="24"/>
        </w:rPr>
        <w:t xml:space="preserve">(i) </w:t>
      </w:r>
      <w:r w:rsidR="00FE6325">
        <w:rPr>
          <w:rFonts w:ascii="Times New Roman" w:hAnsi="Times New Roman"/>
          <w:i/>
          <w:sz w:val="24"/>
        </w:rPr>
        <w:tab/>
      </w:r>
      <w:r w:rsidRPr="00E84A07">
        <w:rPr>
          <w:rFonts w:ascii="Times New Roman" w:hAnsi="Times New Roman"/>
          <w:i/>
          <w:sz w:val="24"/>
        </w:rPr>
        <w:t>Must identify, in the light of the best scientific knowledge in the field, all aspects of the development project which can, by itself or in combination with other plans or projects, affect the European site in the light of its conservation objectives. This clearly requires both examination and analysis.</w:t>
      </w:r>
    </w:p>
    <w:p w14:paraId="76F6F0AF" w14:textId="77777777" w:rsidR="00860E96" w:rsidRPr="00E84A07" w:rsidRDefault="00860E96" w:rsidP="00FE6325">
      <w:pPr>
        <w:pStyle w:val="ListParagraph"/>
        <w:spacing w:line="480" w:lineRule="auto"/>
        <w:ind w:left="1134" w:hanging="567"/>
        <w:rPr>
          <w:rFonts w:ascii="Times New Roman" w:hAnsi="Times New Roman"/>
          <w:i/>
          <w:sz w:val="24"/>
        </w:rPr>
      </w:pPr>
      <w:r w:rsidRPr="00E84A07">
        <w:rPr>
          <w:rFonts w:ascii="Times New Roman" w:hAnsi="Times New Roman"/>
          <w:i/>
          <w:sz w:val="24"/>
        </w:rPr>
        <w:t xml:space="preserve">(ii) </w:t>
      </w:r>
      <w:r w:rsidR="00FE6325">
        <w:rPr>
          <w:rFonts w:ascii="Times New Roman" w:hAnsi="Times New Roman"/>
          <w:i/>
          <w:sz w:val="24"/>
        </w:rPr>
        <w:tab/>
      </w:r>
      <w:r w:rsidRPr="00E84A07">
        <w:rPr>
          <w:rFonts w:ascii="Times New Roman" w:hAnsi="Times New Roman"/>
          <w:i/>
          <w:sz w:val="24"/>
        </w:rPr>
        <w:t>Must contain complete, precise and definitive findings and conclusions and may not have lacunae or gaps. The requirement for precise and definitive findings and conclusions appears to require analysis, evaluation and decisions. Further, the reference to findings and conclusions in a scientific context requires both findings following analysis and conclusions following an evaluation each in the light of the best scientific knowledge in the field.</w:t>
      </w:r>
    </w:p>
    <w:p w14:paraId="7A7C4F2C" w14:textId="68CA78C6" w:rsidR="00860E96" w:rsidRPr="00E84A07" w:rsidRDefault="00860E96" w:rsidP="00FE6325">
      <w:pPr>
        <w:pStyle w:val="ListParagraph"/>
        <w:spacing w:line="480" w:lineRule="auto"/>
        <w:ind w:left="1134" w:hanging="567"/>
        <w:jc w:val="left"/>
        <w:rPr>
          <w:rFonts w:ascii="Times New Roman" w:hAnsi="Times New Roman"/>
          <w:i/>
          <w:sz w:val="24"/>
        </w:rPr>
      </w:pPr>
      <w:r w:rsidRPr="00E84A07">
        <w:rPr>
          <w:rFonts w:ascii="Times New Roman" w:hAnsi="Times New Roman"/>
          <w:i/>
          <w:sz w:val="24"/>
        </w:rPr>
        <w:lastRenderedPageBreak/>
        <w:t xml:space="preserve">(iii) </w:t>
      </w:r>
      <w:r w:rsidR="00FE6325">
        <w:rPr>
          <w:rFonts w:ascii="Times New Roman" w:hAnsi="Times New Roman"/>
          <w:i/>
          <w:sz w:val="24"/>
        </w:rPr>
        <w:tab/>
      </w:r>
      <w:r w:rsidRPr="00E84A07">
        <w:rPr>
          <w:rFonts w:ascii="Times New Roman" w:hAnsi="Times New Roman"/>
          <w:i/>
          <w:sz w:val="24"/>
        </w:rPr>
        <w:t>May only include a determination that the proposed development will not adversely affect the integrity of any relevant European site where upon the basis of complete, precise and definitive findings and conclusions made the Board decides that no reasonable scientific doubt remains as to the absence of the identified potential effects.</w:t>
      </w:r>
      <w:r>
        <w:rPr>
          <w:rFonts w:ascii="Times New Roman" w:hAnsi="Times New Roman"/>
          <w:i/>
          <w:sz w:val="24"/>
        </w:rPr>
        <w:t>”</w:t>
      </w:r>
    </w:p>
    <w:p w14:paraId="0DF656E1" w14:textId="7C920248" w:rsidR="00860E96" w:rsidRDefault="00860E96" w:rsidP="00833EC5">
      <w:pPr>
        <w:pStyle w:val="ListParagraph"/>
        <w:tabs>
          <w:tab w:val="left" w:pos="567"/>
        </w:tabs>
        <w:spacing w:line="480" w:lineRule="auto"/>
        <w:ind w:left="0"/>
        <w:jc w:val="left"/>
        <w:rPr>
          <w:rFonts w:ascii="Times New Roman" w:hAnsi="Times New Roman"/>
          <w:sz w:val="24"/>
        </w:rPr>
      </w:pPr>
      <w:r>
        <w:rPr>
          <w:rFonts w:ascii="Times New Roman" w:hAnsi="Times New Roman"/>
          <w:sz w:val="24"/>
        </w:rPr>
        <w:t xml:space="preserve">This summary was approved of by the Supreme Court in </w:t>
      </w:r>
      <w:r w:rsidRPr="00954F44">
        <w:rPr>
          <w:rFonts w:ascii="Times New Roman" w:hAnsi="Times New Roman"/>
          <w:i/>
          <w:sz w:val="24"/>
        </w:rPr>
        <w:t>Connolly v. An Bord Pleanála</w:t>
      </w:r>
      <w:r w:rsidRPr="00954F44">
        <w:rPr>
          <w:rFonts w:ascii="Times New Roman" w:hAnsi="Times New Roman"/>
          <w:sz w:val="24"/>
        </w:rPr>
        <w:t xml:space="preserve"> [2018] IESC 31</w:t>
      </w:r>
      <w:r>
        <w:rPr>
          <w:rFonts w:ascii="Times New Roman" w:hAnsi="Times New Roman"/>
          <w:sz w:val="24"/>
        </w:rPr>
        <w:t xml:space="preserve">.  </w:t>
      </w:r>
      <w:r w:rsidR="00833EC5">
        <w:rPr>
          <w:rFonts w:ascii="Times New Roman" w:hAnsi="Times New Roman"/>
          <w:sz w:val="24"/>
        </w:rPr>
        <w:t>Any purported AA which does not satisfy these criteria will be invalid and</w:t>
      </w:r>
      <w:r w:rsidR="00663629">
        <w:rPr>
          <w:rFonts w:ascii="Times New Roman" w:hAnsi="Times New Roman"/>
          <w:sz w:val="24"/>
        </w:rPr>
        <w:t xml:space="preserve"> any</w:t>
      </w:r>
      <w:r w:rsidR="00833EC5">
        <w:rPr>
          <w:rFonts w:ascii="Times New Roman" w:hAnsi="Times New Roman"/>
          <w:sz w:val="24"/>
        </w:rPr>
        <w:t xml:space="preserve"> purported decision </w:t>
      </w:r>
      <w:r w:rsidR="00DD6AF8">
        <w:rPr>
          <w:rFonts w:ascii="Times New Roman" w:hAnsi="Times New Roman"/>
          <w:sz w:val="24"/>
        </w:rPr>
        <w:t xml:space="preserve">made </w:t>
      </w:r>
      <w:r w:rsidR="00663629">
        <w:rPr>
          <w:rFonts w:ascii="Times New Roman" w:hAnsi="Times New Roman"/>
          <w:sz w:val="24"/>
        </w:rPr>
        <w:t xml:space="preserve">in reliance thereon </w:t>
      </w:r>
      <w:r w:rsidR="00833EC5">
        <w:rPr>
          <w:rFonts w:ascii="Times New Roman" w:hAnsi="Times New Roman"/>
          <w:sz w:val="24"/>
        </w:rPr>
        <w:t>will have been reached without jurisdiction.</w:t>
      </w:r>
      <w:r w:rsidR="009B2AEE">
        <w:rPr>
          <w:rFonts w:ascii="Times New Roman" w:hAnsi="Times New Roman"/>
          <w:sz w:val="24"/>
        </w:rPr>
        <w:t xml:space="preserve"> </w:t>
      </w:r>
    </w:p>
    <w:p w14:paraId="3E6FAE03" w14:textId="4E1FDDA6"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AA involves two </w:t>
      </w:r>
      <w:r w:rsidR="00BE7E2A">
        <w:rPr>
          <w:rFonts w:ascii="Times New Roman" w:hAnsi="Times New Roman"/>
          <w:sz w:val="24"/>
        </w:rPr>
        <w:t xml:space="preserve">mandatory </w:t>
      </w:r>
      <w:r>
        <w:rPr>
          <w:rFonts w:ascii="Times New Roman" w:hAnsi="Times New Roman"/>
          <w:sz w:val="24"/>
        </w:rPr>
        <w:t>steps – first</w:t>
      </w:r>
      <w:r w:rsidR="00BE290B">
        <w:rPr>
          <w:rFonts w:ascii="Times New Roman" w:hAnsi="Times New Roman"/>
          <w:sz w:val="24"/>
        </w:rPr>
        <w:t>,</w:t>
      </w:r>
      <w:r>
        <w:rPr>
          <w:rFonts w:ascii="Times New Roman" w:hAnsi="Times New Roman"/>
          <w:sz w:val="24"/>
        </w:rPr>
        <w:t xml:space="preserve"> the plan or project is screened to ascertain whether AA is required.  If it is determined that it is not, then no further assessment is required.  If it is determined that </w:t>
      </w:r>
      <w:r w:rsidR="00617371">
        <w:rPr>
          <w:rFonts w:ascii="Times New Roman" w:hAnsi="Times New Roman"/>
          <w:sz w:val="24"/>
        </w:rPr>
        <w:t>AA</w:t>
      </w:r>
      <w:r>
        <w:rPr>
          <w:rFonts w:ascii="Times New Roman" w:hAnsi="Times New Roman"/>
          <w:sz w:val="24"/>
        </w:rPr>
        <w:t xml:space="preserve"> is required, this must be carried out in the manner specified in </w:t>
      </w:r>
      <w:r>
        <w:rPr>
          <w:rFonts w:ascii="Times New Roman" w:hAnsi="Times New Roman"/>
          <w:i/>
          <w:sz w:val="24"/>
        </w:rPr>
        <w:t>Kelly</w:t>
      </w:r>
      <w:r>
        <w:rPr>
          <w:rFonts w:ascii="Times New Roman" w:hAnsi="Times New Roman"/>
          <w:sz w:val="24"/>
        </w:rPr>
        <w:t>.</w:t>
      </w:r>
      <w:r w:rsidR="00BE7E2A">
        <w:rPr>
          <w:rFonts w:ascii="Times New Roman" w:hAnsi="Times New Roman"/>
          <w:sz w:val="24"/>
        </w:rPr>
        <w:t xml:space="preserve"> </w:t>
      </w:r>
      <w:r w:rsidR="00617371">
        <w:rPr>
          <w:rFonts w:ascii="Times New Roman" w:hAnsi="Times New Roman"/>
          <w:sz w:val="24"/>
        </w:rPr>
        <w:t xml:space="preserve"> </w:t>
      </w:r>
      <w:r w:rsidR="00BE7E2A">
        <w:rPr>
          <w:rFonts w:ascii="Times New Roman" w:hAnsi="Times New Roman"/>
          <w:sz w:val="24"/>
        </w:rPr>
        <w:t>It is possible to have further assessment of alternative solutions</w:t>
      </w:r>
      <w:r w:rsidR="00AC6661">
        <w:rPr>
          <w:rFonts w:ascii="Times New Roman" w:hAnsi="Times New Roman"/>
          <w:sz w:val="24"/>
        </w:rPr>
        <w:t>,</w:t>
      </w:r>
      <w:r w:rsidR="00BE7E2A">
        <w:rPr>
          <w:rFonts w:ascii="Times New Roman" w:hAnsi="Times New Roman"/>
          <w:sz w:val="24"/>
        </w:rPr>
        <w:t xml:space="preserve"> and issues of derogation may arise, tho</w:t>
      </w:r>
      <w:r w:rsidR="00DD6AF8">
        <w:rPr>
          <w:rFonts w:ascii="Times New Roman" w:hAnsi="Times New Roman"/>
          <w:sz w:val="24"/>
        </w:rPr>
        <w:t>ugh</w:t>
      </w:r>
      <w:r w:rsidR="00BE7E2A">
        <w:rPr>
          <w:rFonts w:ascii="Times New Roman" w:hAnsi="Times New Roman"/>
          <w:sz w:val="24"/>
        </w:rPr>
        <w:t xml:space="preserve"> these are not relevant to the facts of this case</w:t>
      </w:r>
      <w:r w:rsidR="00976337">
        <w:rPr>
          <w:rFonts w:ascii="Times New Roman" w:hAnsi="Times New Roman"/>
          <w:sz w:val="24"/>
        </w:rPr>
        <w:t>,</w:t>
      </w:r>
      <w:r w:rsidR="00DD6AF8">
        <w:rPr>
          <w:rFonts w:ascii="Times New Roman" w:hAnsi="Times New Roman"/>
          <w:sz w:val="24"/>
        </w:rPr>
        <w:t xml:space="preserve"> so I shall not discuss them further</w:t>
      </w:r>
      <w:r w:rsidR="00BE7E2A">
        <w:rPr>
          <w:rFonts w:ascii="Times New Roman" w:hAnsi="Times New Roman"/>
          <w:sz w:val="24"/>
        </w:rPr>
        <w:t xml:space="preserve">. </w:t>
      </w:r>
      <w:r w:rsidR="00617371">
        <w:rPr>
          <w:rFonts w:ascii="Times New Roman" w:hAnsi="Times New Roman"/>
          <w:sz w:val="24"/>
        </w:rPr>
        <w:t xml:space="preserve"> </w:t>
      </w:r>
      <w:r w:rsidR="00BE7E2A">
        <w:rPr>
          <w:rFonts w:ascii="Times New Roman" w:hAnsi="Times New Roman"/>
          <w:sz w:val="24"/>
        </w:rPr>
        <w:t>The AA process involves the preparation and assessment of a Natura Impact Statement (“NIS”) and consultation with the public and statutory consultees</w:t>
      </w:r>
      <w:r w:rsidR="00D7503E">
        <w:rPr>
          <w:rFonts w:ascii="Times New Roman" w:hAnsi="Times New Roman"/>
          <w:sz w:val="24"/>
        </w:rPr>
        <w:t xml:space="preserve"> prio</w:t>
      </w:r>
      <w:r w:rsidR="00FE6325">
        <w:rPr>
          <w:rFonts w:ascii="Times New Roman" w:hAnsi="Times New Roman"/>
          <w:sz w:val="24"/>
        </w:rPr>
        <w:t>r to making an AA determination</w:t>
      </w:r>
      <w:r w:rsidR="00DD6AF8">
        <w:rPr>
          <w:rFonts w:ascii="Times New Roman" w:hAnsi="Times New Roman"/>
          <w:sz w:val="24"/>
        </w:rPr>
        <w:t xml:space="preserve"> in respect of the plan or project</w:t>
      </w:r>
      <w:r w:rsidR="00BE7E2A">
        <w:rPr>
          <w:rFonts w:ascii="Times New Roman" w:hAnsi="Times New Roman"/>
          <w:sz w:val="24"/>
        </w:rPr>
        <w:t>.</w:t>
      </w:r>
    </w:p>
    <w:p w14:paraId="5D736C60" w14:textId="4C88B306"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Article 6(3) is transposed </w:t>
      </w:r>
      <w:r w:rsidR="00833EC5">
        <w:rPr>
          <w:rFonts w:ascii="Times New Roman" w:hAnsi="Times New Roman"/>
          <w:sz w:val="24"/>
        </w:rPr>
        <w:t xml:space="preserve">into Irish law </w:t>
      </w:r>
      <w:r>
        <w:rPr>
          <w:rFonts w:ascii="Times New Roman" w:hAnsi="Times New Roman"/>
          <w:sz w:val="24"/>
        </w:rPr>
        <w:t>by the Habitats Regulations.  Regulation 42(16) provides:</w:t>
      </w:r>
      <w:r w:rsidR="00617371">
        <w:rPr>
          <w:rFonts w:ascii="Times New Roman" w:hAnsi="Times New Roman"/>
          <w:sz w:val="24"/>
        </w:rPr>
        <w:t>-</w:t>
      </w:r>
    </w:p>
    <w:p w14:paraId="30117D10" w14:textId="49E74911" w:rsidR="00860E96" w:rsidRPr="00734001" w:rsidRDefault="00860E96" w:rsidP="00860E96">
      <w:pPr>
        <w:pStyle w:val="ListParagraph"/>
        <w:spacing w:line="480" w:lineRule="auto"/>
        <w:ind w:left="567"/>
        <w:jc w:val="left"/>
        <w:rPr>
          <w:rFonts w:ascii="Times New Roman" w:hAnsi="Times New Roman"/>
          <w:sz w:val="24"/>
        </w:rPr>
      </w:pPr>
      <w:r>
        <w:rPr>
          <w:rFonts w:ascii="Times New Roman" w:hAnsi="Times New Roman"/>
          <w:i/>
          <w:sz w:val="24"/>
        </w:rPr>
        <w:t xml:space="preserve">“(16) </w:t>
      </w:r>
      <w:r w:rsidRPr="00954F44">
        <w:rPr>
          <w:rFonts w:ascii="Times New Roman" w:hAnsi="Times New Roman"/>
          <w:i/>
          <w:sz w:val="24"/>
        </w:rPr>
        <w:t>Notwithstanding any other provision of these Regulations, a public authority shall give consent for a plan</w:t>
      </w:r>
      <w:r w:rsidR="00617371">
        <w:rPr>
          <w:rFonts w:ascii="Times New Roman" w:hAnsi="Times New Roman"/>
          <w:i/>
          <w:sz w:val="24"/>
        </w:rPr>
        <w:t xml:space="preserve"> </w:t>
      </w:r>
      <w:r>
        <w:rPr>
          <w:rFonts w:ascii="Times New Roman" w:hAnsi="Times New Roman"/>
          <w:i/>
          <w:sz w:val="24"/>
        </w:rPr>
        <w:t>…</w:t>
      </w:r>
      <w:r w:rsidR="00617371">
        <w:rPr>
          <w:rFonts w:ascii="Times New Roman" w:hAnsi="Times New Roman"/>
          <w:i/>
          <w:sz w:val="24"/>
        </w:rPr>
        <w:t xml:space="preserve"> </w:t>
      </w:r>
      <w:r w:rsidRPr="00954F44">
        <w:rPr>
          <w:rFonts w:ascii="Times New Roman" w:hAnsi="Times New Roman"/>
          <w:i/>
          <w:sz w:val="24"/>
        </w:rPr>
        <w:t>or adopt a plan</w:t>
      </w:r>
      <w:r w:rsidR="00617371">
        <w:rPr>
          <w:rFonts w:ascii="Times New Roman" w:hAnsi="Times New Roman"/>
          <w:i/>
          <w:sz w:val="24"/>
        </w:rPr>
        <w:t xml:space="preserve"> </w:t>
      </w:r>
      <w:r>
        <w:rPr>
          <w:rFonts w:ascii="Times New Roman" w:hAnsi="Times New Roman"/>
          <w:i/>
          <w:sz w:val="24"/>
        </w:rPr>
        <w:t>…</w:t>
      </w:r>
      <w:r w:rsidR="00617371">
        <w:rPr>
          <w:rFonts w:ascii="Times New Roman" w:hAnsi="Times New Roman"/>
          <w:i/>
          <w:sz w:val="24"/>
        </w:rPr>
        <w:t xml:space="preserve"> </w:t>
      </w:r>
      <w:r w:rsidRPr="00734001">
        <w:rPr>
          <w:rFonts w:ascii="Times New Roman" w:hAnsi="Times New Roman"/>
          <w:i/>
          <w:sz w:val="24"/>
          <w:u w:val="single"/>
        </w:rPr>
        <w:t>only after having determined</w:t>
      </w:r>
      <w:r w:rsidRPr="00954F44">
        <w:rPr>
          <w:rFonts w:ascii="Times New Roman" w:hAnsi="Times New Roman"/>
          <w:i/>
          <w:sz w:val="24"/>
        </w:rPr>
        <w:t xml:space="preserve"> that the plan</w:t>
      </w:r>
      <w:r w:rsidR="00617371">
        <w:rPr>
          <w:rFonts w:ascii="Times New Roman" w:hAnsi="Times New Roman"/>
          <w:i/>
          <w:sz w:val="24"/>
        </w:rPr>
        <w:t xml:space="preserve"> </w:t>
      </w:r>
      <w:r>
        <w:rPr>
          <w:rFonts w:ascii="Times New Roman" w:hAnsi="Times New Roman"/>
          <w:i/>
          <w:sz w:val="24"/>
        </w:rPr>
        <w:t>…</w:t>
      </w:r>
      <w:r w:rsidR="00617371">
        <w:rPr>
          <w:rFonts w:ascii="Times New Roman" w:hAnsi="Times New Roman"/>
          <w:i/>
          <w:sz w:val="24"/>
        </w:rPr>
        <w:t xml:space="preserve"> </w:t>
      </w:r>
      <w:r w:rsidRPr="00954F44">
        <w:rPr>
          <w:rFonts w:ascii="Times New Roman" w:hAnsi="Times New Roman"/>
          <w:i/>
          <w:sz w:val="24"/>
        </w:rPr>
        <w:t>shall not adversely affect the integrity of a European site.</w:t>
      </w:r>
      <w:r>
        <w:rPr>
          <w:rFonts w:ascii="Times New Roman" w:hAnsi="Times New Roman"/>
          <w:i/>
          <w:sz w:val="24"/>
        </w:rPr>
        <w:t xml:space="preserve">” </w:t>
      </w:r>
      <w:r>
        <w:rPr>
          <w:rFonts w:ascii="Times New Roman" w:hAnsi="Times New Roman"/>
          <w:sz w:val="24"/>
        </w:rPr>
        <w:t>(emphasis added)</w:t>
      </w:r>
    </w:p>
    <w:p w14:paraId="29F78EA7" w14:textId="48EADDD4"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obligation in Article 6(3) to agree to a plan only after having ascertained that it will not have adverse effects on protected sites is transposed as an obligation only to agree </w:t>
      </w:r>
      <w:r>
        <w:rPr>
          <w:rFonts w:ascii="Times New Roman" w:hAnsi="Times New Roman"/>
          <w:sz w:val="24"/>
        </w:rPr>
        <w:lastRenderedPageBreak/>
        <w:t xml:space="preserve">to a plan after having </w:t>
      </w:r>
      <w:r>
        <w:rPr>
          <w:rFonts w:ascii="Times New Roman" w:hAnsi="Times New Roman"/>
          <w:i/>
          <w:sz w:val="24"/>
        </w:rPr>
        <w:t>“determined”</w:t>
      </w:r>
      <w:r>
        <w:rPr>
          <w:rFonts w:ascii="Times New Roman" w:hAnsi="Times New Roman"/>
          <w:sz w:val="24"/>
        </w:rPr>
        <w:t xml:space="preserve"> that it will not have such effects.</w:t>
      </w:r>
      <w:r w:rsidR="009B2AEE">
        <w:rPr>
          <w:rFonts w:ascii="Times New Roman" w:hAnsi="Times New Roman"/>
          <w:sz w:val="24"/>
        </w:rPr>
        <w:t xml:space="preserve"> </w:t>
      </w:r>
      <w:r w:rsidR="00617371">
        <w:rPr>
          <w:rFonts w:ascii="Times New Roman" w:hAnsi="Times New Roman"/>
          <w:sz w:val="24"/>
        </w:rPr>
        <w:t xml:space="preserve"> </w:t>
      </w:r>
      <w:r w:rsidR="009B2AEE">
        <w:rPr>
          <w:rFonts w:ascii="Times New Roman" w:hAnsi="Times New Roman"/>
          <w:sz w:val="24"/>
        </w:rPr>
        <w:t xml:space="preserve">The applicant alleges that the AA in this instance did not meet the </w:t>
      </w:r>
      <w:r w:rsidR="00663629">
        <w:rPr>
          <w:rFonts w:ascii="Times New Roman" w:hAnsi="Times New Roman"/>
          <w:sz w:val="24"/>
        </w:rPr>
        <w:t xml:space="preserve">test set forth in </w:t>
      </w:r>
      <w:r w:rsidR="009B2AEE" w:rsidRPr="009B2AEE">
        <w:rPr>
          <w:rFonts w:ascii="Times New Roman" w:hAnsi="Times New Roman"/>
          <w:i/>
          <w:sz w:val="24"/>
        </w:rPr>
        <w:t>Kelly</w:t>
      </w:r>
      <w:r w:rsidR="009B2AEE">
        <w:rPr>
          <w:rFonts w:ascii="Times New Roman" w:hAnsi="Times New Roman"/>
          <w:sz w:val="24"/>
        </w:rPr>
        <w:t>.</w:t>
      </w:r>
    </w:p>
    <w:p w14:paraId="19286D38" w14:textId="754CE0E2"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Regulation 42(11) provides:</w:t>
      </w:r>
      <w:r w:rsidR="00617371">
        <w:rPr>
          <w:rFonts w:ascii="Times New Roman" w:hAnsi="Times New Roman"/>
          <w:sz w:val="24"/>
        </w:rPr>
        <w:t>-</w:t>
      </w:r>
    </w:p>
    <w:p w14:paraId="3EF2BAEF" w14:textId="37870C83" w:rsidR="00860E96" w:rsidRPr="00734001" w:rsidRDefault="00860E96" w:rsidP="00FE6325">
      <w:pPr>
        <w:pStyle w:val="ListParagraph"/>
        <w:spacing w:line="480" w:lineRule="auto"/>
        <w:ind w:left="567"/>
        <w:jc w:val="left"/>
        <w:rPr>
          <w:rFonts w:ascii="Times New Roman" w:hAnsi="Times New Roman"/>
          <w:sz w:val="24"/>
        </w:rPr>
      </w:pPr>
      <w:r w:rsidRPr="00125D20">
        <w:rPr>
          <w:rFonts w:ascii="Times New Roman" w:hAnsi="Times New Roman"/>
          <w:i/>
          <w:sz w:val="24"/>
        </w:rPr>
        <w:t xml:space="preserve">“(11) An Appropriate Assessment carried out under this Regulation shall include a determination by the public authority under this </w:t>
      </w:r>
      <w:r w:rsidR="00770269">
        <w:rPr>
          <w:rFonts w:ascii="Times New Roman" w:hAnsi="Times New Roman"/>
          <w:i/>
          <w:sz w:val="24"/>
        </w:rPr>
        <w:t>R</w:t>
      </w:r>
      <w:r w:rsidRPr="00125D20">
        <w:rPr>
          <w:rFonts w:ascii="Times New Roman" w:hAnsi="Times New Roman"/>
          <w:i/>
          <w:sz w:val="24"/>
        </w:rPr>
        <w:t>egulation pursuant to Article 6(3) of the Habitats Directive as to whether or not a plan</w:t>
      </w:r>
      <w:r w:rsidR="00770269">
        <w:rPr>
          <w:rFonts w:ascii="Times New Roman" w:hAnsi="Times New Roman"/>
          <w:i/>
          <w:sz w:val="24"/>
        </w:rPr>
        <w:t xml:space="preserve"> </w:t>
      </w:r>
      <w:r>
        <w:rPr>
          <w:rFonts w:ascii="Times New Roman" w:hAnsi="Times New Roman"/>
          <w:i/>
          <w:sz w:val="24"/>
        </w:rPr>
        <w:t>…</w:t>
      </w:r>
      <w:r w:rsidR="00770269">
        <w:rPr>
          <w:rFonts w:ascii="Times New Roman" w:hAnsi="Times New Roman"/>
          <w:i/>
          <w:sz w:val="24"/>
        </w:rPr>
        <w:t xml:space="preserve"> </w:t>
      </w:r>
      <w:r w:rsidRPr="00125D20">
        <w:rPr>
          <w:rFonts w:ascii="Times New Roman" w:hAnsi="Times New Roman"/>
          <w:i/>
          <w:sz w:val="24"/>
        </w:rPr>
        <w:t xml:space="preserve">would adversely affect the integrity of a European site and the assessment shall be carried out by the public authority </w:t>
      </w:r>
      <w:r w:rsidRPr="00734001">
        <w:rPr>
          <w:rFonts w:ascii="Times New Roman" w:hAnsi="Times New Roman"/>
          <w:i/>
          <w:sz w:val="24"/>
          <w:u w:val="single"/>
        </w:rPr>
        <w:t>before a decision is taken to approve, undertake or adopt a plan</w:t>
      </w:r>
      <w:r w:rsidR="00770269">
        <w:rPr>
          <w:rFonts w:ascii="Times New Roman" w:hAnsi="Times New Roman"/>
          <w:i/>
          <w:sz w:val="24"/>
          <w:u w:val="single"/>
        </w:rPr>
        <w:t xml:space="preserve"> </w:t>
      </w:r>
      <w:r w:rsidRPr="00734001">
        <w:rPr>
          <w:rFonts w:ascii="Times New Roman" w:hAnsi="Times New Roman"/>
          <w:i/>
          <w:sz w:val="24"/>
          <w:u w:val="single"/>
        </w:rPr>
        <w:t>…</w:t>
      </w:r>
      <w:r>
        <w:rPr>
          <w:rFonts w:ascii="Times New Roman" w:hAnsi="Times New Roman"/>
          <w:i/>
          <w:sz w:val="24"/>
        </w:rPr>
        <w:t>”</w:t>
      </w:r>
      <w:r w:rsidR="00770269">
        <w:rPr>
          <w:rFonts w:ascii="Times New Roman" w:hAnsi="Times New Roman"/>
          <w:iCs/>
          <w:sz w:val="24"/>
        </w:rPr>
        <w:t>.</w:t>
      </w:r>
      <w:r>
        <w:rPr>
          <w:rFonts w:ascii="Times New Roman" w:hAnsi="Times New Roman"/>
          <w:sz w:val="24"/>
        </w:rPr>
        <w:t xml:space="preserve"> (emphasis added)</w:t>
      </w:r>
    </w:p>
    <w:p w14:paraId="00FA4882" w14:textId="232EE973"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Thus</w:t>
      </w:r>
      <w:r w:rsidR="00833EC5">
        <w:rPr>
          <w:rFonts w:ascii="Times New Roman" w:hAnsi="Times New Roman"/>
          <w:sz w:val="24"/>
        </w:rPr>
        <w:t>,</w:t>
      </w:r>
      <w:r>
        <w:rPr>
          <w:rFonts w:ascii="Times New Roman" w:hAnsi="Times New Roman"/>
          <w:sz w:val="24"/>
        </w:rPr>
        <w:t xml:space="preserve"> the assessment which includes the determination, must be carried out </w:t>
      </w:r>
      <w:r>
        <w:rPr>
          <w:rFonts w:ascii="Times New Roman" w:hAnsi="Times New Roman"/>
          <w:i/>
          <w:sz w:val="24"/>
        </w:rPr>
        <w:t>“before a decision is taken”</w:t>
      </w:r>
      <w:r>
        <w:rPr>
          <w:rFonts w:ascii="Times New Roman" w:hAnsi="Times New Roman"/>
          <w:sz w:val="24"/>
        </w:rPr>
        <w:t xml:space="preserve"> to adopt a plan.  As this </w:t>
      </w:r>
      <w:r w:rsidR="009B2AEE">
        <w:rPr>
          <w:rFonts w:ascii="Times New Roman" w:hAnsi="Times New Roman"/>
          <w:sz w:val="24"/>
        </w:rPr>
        <w:t xml:space="preserve">too </w:t>
      </w:r>
      <w:r>
        <w:rPr>
          <w:rFonts w:ascii="Times New Roman" w:hAnsi="Times New Roman"/>
          <w:sz w:val="24"/>
        </w:rPr>
        <w:t xml:space="preserve">is a matter of jurisdiction, failure to comply with this requirement </w:t>
      </w:r>
      <w:r w:rsidR="00663629">
        <w:rPr>
          <w:rFonts w:ascii="Times New Roman" w:hAnsi="Times New Roman"/>
          <w:sz w:val="24"/>
        </w:rPr>
        <w:t xml:space="preserve">invalidates any consequent </w:t>
      </w:r>
      <w:r>
        <w:rPr>
          <w:rFonts w:ascii="Times New Roman" w:hAnsi="Times New Roman"/>
          <w:sz w:val="24"/>
        </w:rPr>
        <w:t>decision.</w:t>
      </w:r>
      <w:r w:rsidR="00770269">
        <w:rPr>
          <w:rFonts w:ascii="Times New Roman" w:hAnsi="Times New Roman"/>
          <w:sz w:val="24"/>
        </w:rPr>
        <w:t xml:space="preserve"> </w:t>
      </w:r>
      <w:r w:rsidR="009B2AEE">
        <w:rPr>
          <w:rFonts w:ascii="Times New Roman" w:hAnsi="Times New Roman"/>
          <w:sz w:val="24"/>
        </w:rPr>
        <w:t xml:space="preserve"> </w:t>
      </w:r>
      <w:r w:rsidR="00663629">
        <w:rPr>
          <w:rFonts w:ascii="Times New Roman" w:hAnsi="Times New Roman"/>
          <w:sz w:val="24"/>
        </w:rPr>
        <w:t>Here, t</w:t>
      </w:r>
      <w:r w:rsidR="009B2AEE">
        <w:rPr>
          <w:rFonts w:ascii="Times New Roman" w:hAnsi="Times New Roman"/>
          <w:sz w:val="24"/>
        </w:rPr>
        <w:t>he applicant alleges that there was no AA determination prior to the purported adoption of the NPF.</w:t>
      </w:r>
    </w:p>
    <w:p w14:paraId="1CBC4300" w14:textId="59BEA124" w:rsidR="00860E96"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Regulation 42(18)(a) requires the public authority to make available for inspection any determinations that it makes under the Regulations.  It provides:</w:t>
      </w:r>
      <w:r w:rsidR="00770269">
        <w:rPr>
          <w:rFonts w:ascii="Times New Roman" w:hAnsi="Times New Roman"/>
          <w:sz w:val="24"/>
        </w:rPr>
        <w:t>-</w:t>
      </w:r>
    </w:p>
    <w:p w14:paraId="7D630B13" w14:textId="52F7C3F2" w:rsidR="00860E96" w:rsidRDefault="00860E96" w:rsidP="00FE6325">
      <w:pPr>
        <w:pStyle w:val="ListParagraph"/>
        <w:spacing w:line="480" w:lineRule="auto"/>
        <w:ind w:left="567"/>
        <w:jc w:val="left"/>
        <w:rPr>
          <w:rFonts w:ascii="Times New Roman" w:hAnsi="Times New Roman"/>
          <w:sz w:val="24"/>
        </w:rPr>
      </w:pPr>
      <w:r>
        <w:rPr>
          <w:rFonts w:ascii="Times New Roman" w:hAnsi="Times New Roman"/>
          <w:i/>
          <w:sz w:val="24"/>
        </w:rPr>
        <w:t xml:space="preserve">“(18)(a) A </w:t>
      </w:r>
      <w:r w:rsidRPr="00125D20">
        <w:rPr>
          <w:rFonts w:ascii="Times New Roman" w:hAnsi="Times New Roman"/>
          <w:i/>
          <w:sz w:val="24"/>
        </w:rPr>
        <w:t>public authority shall make available for inspection any determination that it makes in relation to a plan</w:t>
      </w:r>
      <w:r w:rsidR="00770269">
        <w:rPr>
          <w:rFonts w:ascii="Times New Roman" w:hAnsi="Times New Roman"/>
          <w:i/>
          <w:sz w:val="24"/>
        </w:rPr>
        <w:t xml:space="preserve"> </w:t>
      </w:r>
      <w:r>
        <w:rPr>
          <w:rFonts w:ascii="Times New Roman" w:hAnsi="Times New Roman"/>
          <w:i/>
          <w:sz w:val="24"/>
        </w:rPr>
        <w:t>…</w:t>
      </w:r>
      <w:r w:rsidR="00770269">
        <w:rPr>
          <w:rFonts w:ascii="Times New Roman" w:hAnsi="Times New Roman"/>
          <w:i/>
          <w:sz w:val="24"/>
        </w:rPr>
        <w:t xml:space="preserve"> </w:t>
      </w:r>
      <w:r w:rsidRPr="00125D20">
        <w:rPr>
          <w:rFonts w:ascii="Times New Roman" w:hAnsi="Times New Roman"/>
          <w:i/>
          <w:sz w:val="24"/>
        </w:rPr>
        <w:t>and provide reasons for that determination</w:t>
      </w:r>
      <w:r>
        <w:rPr>
          <w:rFonts w:ascii="Times New Roman" w:hAnsi="Times New Roman"/>
          <w:i/>
          <w:sz w:val="24"/>
        </w:rPr>
        <w:t>,</w:t>
      </w:r>
      <w:r w:rsidRPr="00125D20">
        <w:rPr>
          <w:rFonts w:ascii="Times New Roman" w:hAnsi="Times New Roman"/>
          <w:i/>
          <w:sz w:val="24"/>
        </w:rPr>
        <w:t xml:space="preserve"> as soon as may be after the making of the determination</w:t>
      </w:r>
      <w:r w:rsidR="00770269">
        <w:rPr>
          <w:rFonts w:ascii="Times New Roman" w:hAnsi="Times New Roman"/>
          <w:i/>
          <w:sz w:val="24"/>
        </w:rPr>
        <w:t xml:space="preserve"> </w:t>
      </w:r>
      <w:r>
        <w:rPr>
          <w:rFonts w:ascii="Times New Roman" w:hAnsi="Times New Roman"/>
          <w:i/>
          <w:sz w:val="24"/>
        </w:rPr>
        <w:t>…</w:t>
      </w:r>
      <w:r w:rsidR="00770269">
        <w:rPr>
          <w:rFonts w:ascii="Times New Roman" w:hAnsi="Times New Roman"/>
          <w:i/>
          <w:sz w:val="24"/>
        </w:rPr>
        <w:t xml:space="preserve"> </w:t>
      </w:r>
      <w:r>
        <w:rPr>
          <w:rFonts w:ascii="Times New Roman" w:hAnsi="Times New Roman"/>
          <w:i/>
          <w:sz w:val="24"/>
        </w:rPr>
        <w:t>by members of the public</w:t>
      </w:r>
      <w:r w:rsidR="00770269">
        <w:rPr>
          <w:rFonts w:ascii="Times New Roman" w:hAnsi="Times New Roman"/>
          <w:i/>
          <w:sz w:val="24"/>
        </w:rPr>
        <w:t xml:space="preserve"> </w:t>
      </w:r>
      <w:r>
        <w:rPr>
          <w:rFonts w:ascii="Times New Roman" w:hAnsi="Times New Roman"/>
          <w:i/>
          <w:sz w:val="24"/>
        </w:rPr>
        <w:t>…</w:t>
      </w:r>
      <w:r w:rsidR="00770269">
        <w:rPr>
          <w:rFonts w:ascii="Times New Roman" w:hAnsi="Times New Roman"/>
          <w:i/>
          <w:sz w:val="24"/>
        </w:rPr>
        <w:t xml:space="preserve"> </w:t>
      </w:r>
      <w:r>
        <w:rPr>
          <w:rFonts w:ascii="Times New Roman" w:hAnsi="Times New Roman"/>
          <w:i/>
          <w:sz w:val="24"/>
        </w:rPr>
        <w:t>and shall also make the determination</w:t>
      </w:r>
      <w:r w:rsidR="00770269">
        <w:rPr>
          <w:rFonts w:ascii="Times New Roman" w:hAnsi="Times New Roman"/>
          <w:i/>
          <w:sz w:val="24"/>
        </w:rPr>
        <w:t xml:space="preserve"> </w:t>
      </w:r>
      <w:r>
        <w:rPr>
          <w:rFonts w:ascii="Times New Roman" w:hAnsi="Times New Roman"/>
          <w:i/>
          <w:sz w:val="24"/>
        </w:rPr>
        <w:t>…</w:t>
      </w:r>
      <w:r w:rsidR="00770269">
        <w:rPr>
          <w:rFonts w:ascii="Times New Roman" w:hAnsi="Times New Roman"/>
          <w:i/>
          <w:sz w:val="24"/>
        </w:rPr>
        <w:t xml:space="preserve"> </w:t>
      </w:r>
      <w:r>
        <w:rPr>
          <w:rFonts w:ascii="Times New Roman" w:hAnsi="Times New Roman"/>
          <w:i/>
          <w:sz w:val="24"/>
        </w:rPr>
        <w:t>available in electronic form.”</w:t>
      </w:r>
      <w:r>
        <w:rPr>
          <w:rFonts w:ascii="Times New Roman" w:hAnsi="Times New Roman"/>
          <w:sz w:val="24"/>
        </w:rPr>
        <w:t xml:space="preserve"> </w:t>
      </w:r>
    </w:p>
    <w:p w14:paraId="5BACC675" w14:textId="181AD12D" w:rsidR="00860E96" w:rsidRDefault="00860E96" w:rsidP="00860E96">
      <w:pPr>
        <w:pStyle w:val="ListParagraph"/>
        <w:tabs>
          <w:tab w:val="left" w:pos="567"/>
        </w:tabs>
        <w:spacing w:line="480" w:lineRule="auto"/>
        <w:ind w:left="0"/>
        <w:jc w:val="left"/>
        <w:rPr>
          <w:rFonts w:ascii="Times New Roman" w:hAnsi="Times New Roman"/>
          <w:sz w:val="24"/>
        </w:rPr>
      </w:pPr>
      <w:r>
        <w:rPr>
          <w:rFonts w:ascii="Times New Roman" w:hAnsi="Times New Roman"/>
          <w:sz w:val="24"/>
        </w:rPr>
        <w:t>Thus, the public authority is required to make available</w:t>
      </w:r>
      <w:r w:rsidR="0057747A">
        <w:rPr>
          <w:rFonts w:ascii="Times New Roman" w:hAnsi="Times New Roman"/>
          <w:sz w:val="24"/>
        </w:rPr>
        <w:t>,</w:t>
      </w:r>
      <w:r>
        <w:rPr>
          <w:rFonts w:ascii="Times New Roman" w:hAnsi="Times New Roman"/>
          <w:sz w:val="24"/>
        </w:rPr>
        <w:t xml:space="preserve"> </w:t>
      </w:r>
      <w:r>
        <w:rPr>
          <w:rFonts w:ascii="Times New Roman" w:hAnsi="Times New Roman"/>
          <w:i/>
          <w:sz w:val="24"/>
        </w:rPr>
        <w:t>inter alia</w:t>
      </w:r>
      <w:r w:rsidR="00E64A9E">
        <w:rPr>
          <w:rFonts w:ascii="Times New Roman" w:hAnsi="Times New Roman"/>
          <w:iCs/>
          <w:sz w:val="24"/>
        </w:rPr>
        <w:t>,</w:t>
      </w:r>
      <w:r>
        <w:rPr>
          <w:rFonts w:ascii="Times New Roman" w:hAnsi="Times New Roman"/>
          <w:sz w:val="24"/>
        </w:rPr>
        <w:t xml:space="preserve"> for inspection by the public</w:t>
      </w:r>
      <w:r w:rsidR="00E64A9E">
        <w:rPr>
          <w:rFonts w:ascii="Times New Roman" w:hAnsi="Times New Roman"/>
          <w:sz w:val="24"/>
        </w:rPr>
        <w:t>,</w:t>
      </w:r>
      <w:r>
        <w:rPr>
          <w:rFonts w:ascii="Times New Roman" w:hAnsi="Times New Roman"/>
          <w:sz w:val="24"/>
        </w:rPr>
        <w:t xml:space="preserve"> the AA determination.  </w:t>
      </w:r>
      <w:r w:rsidR="009B2AEE">
        <w:rPr>
          <w:rFonts w:ascii="Times New Roman" w:hAnsi="Times New Roman"/>
          <w:sz w:val="24"/>
        </w:rPr>
        <w:t>The applicant alleges this did not occur in this case.</w:t>
      </w:r>
    </w:p>
    <w:p w14:paraId="0E4663FA" w14:textId="737AEC07" w:rsidR="009B2AEE" w:rsidRDefault="00860E96"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Regulation 42(1) provides that screening</w:t>
      </w:r>
      <w:r w:rsidR="009B2AEE">
        <w:rPr>
          <w:rFonts w:ascii="Times New Roman" w:hAnsi="Times New Roman"/>
          <w:sz w:val="24"/>
        </w:rPr>
        <w:t xml:space="preserve"> for AA</w:t>
      </w:r>
      <w:r>
        <w:rPr>
          <w:rFonts w:ascii="Times New Roman" w:hAnsi="Times New Roman"/>
          <w:sz w:val="24"/>
        </w:rPr>
        <w:t xml:space="preserve"> </w:t>
      </w:r>
      <w:r>
        <w:rPr>
          <w:rFonts w:ascii="Times New Roman" w:hAnsi="Times New Roman"/>
          <w:i/>
          <w:sz w:val="24"/>
        </w:rPr>
        <w:t>“shall be carried out by the public authority…”</w:t>
      </w:r>
      <w:r>
        <w:rPr>
          <w:rFonts w:ascii="Times New Roman" w:hAnsi="Times New Roman"/>
          <w:sz w:val="24"/>
        </w:rPr>
        <w:t xml:space="preserve">.  In Regulation 2 the term </w:t>
      </w:r>
      <w:r>
        <w:rPr>
          <w:rFonts w:ascii="Times New Roman" w:hAnsi="Times New Roman"/>
          <w:i/>
          <w:sz w:val="24"/>
        </w:rPr>
        <w:t>“public authority”</w:t>
      </w:r>
      <w:r>
        <w:rPr>
          <w:rFonts w:ascii="Times New Roman" w:hAnsi="Times New Roman"/>
          <w:sz w:val="24"/>
        </w:rPr>
        <w:t xml:space="preserve"> is defined to include a Minister of the </w:t>
      </w:r>
      <w:r w:rsidR="009B2AEE">
        <w:rPr>
          <w:rFonts w:ascii="Times New Roman" w:hAnsi="Times New Roman"/>
          <w:sz w:val="24"/>
        </w:rPr>
        <w:t>g</w:t>
      </w:r>
      <w:r>
        <w:rPr>
          <w:rFonts w:ascii="Times New Roman" w:hAnsi="Times New Roman"/>
          <w:sz w:val="24"/>
        </w:rPr>
        <w:t>overnment</w:t>
      </w:r>
      <w:r w:rsidR="0057747A">
        <w:rPr>
          <w:rFonts w:ascii="Times New Roman" w:hAnsi="Times New Roman"/>
          <w:sz w:val="24"/>
        </w:rPr>
        <w:t>,</w:t>
      </w:r>
      <w:r>
        <w:rPr>
          <w:rFonts w:ascii="Times New Roman" w:hAnsi="Times New Roman"/>
          <w:sz w:val="24"/>
        </w:rPr>
        <w:t xml:space="preserve"> </w:t>
      </w:r>
      <w:r w:rsidR="009B2AEE">
        <w:rPr>
          <w:rFonts w:ascii="Times New Roman" w:hAnsi="Times New Roman"/>
          <w:sz w:val="24"/>
        </w:rPr>
        <w:t xml:space="preserve">but </w:t>
      </w:r>
      <w:r>
        <w:rPr>
          <w:rFonts w:ascii="Times New Roman" w:hAnsi="Times New Roman"/>
          <w:sz w:val="24"/>
        </w:rPr>
        <w:t xml:space="preserve">does not </w:t>
      </w:r>
      <w:r w:rsidR="00663629">
        <w:rPr>
          <w:rFonts w:ascii="Times New Roman" w:hAnsi="Times New Roman"/>
          <w:sz w:val="24"/>
        </w:rPr>
        <w:t xml:space="preserve">expressly </w:t>
      </w:r>
      <w:r>
        <w:rPr>
          <w:rFonts w:ascii="Times New Roman" w:hAnsi="Times New Roman"/>
          <w:sz w:val="24"/>
        </w:rPr>
        <w:t xml:space="preserve">include the </w:t>
      </w:r>
      <w:r w:rsidR="009B2AEE">
        <w:rPr>
          <w:rFonts w:ascii="Times New Roman" w:hAnsi="Times New Roman"/>
          <w:sz w:val="24"/>
        </w:rPr>
        <w:t>g</w:t>
      </w:r>
      <w:r>
        <w:rPr>
          <w:rFonts w:ascii="Times New Roman" w:hAnsi="Times New Roman"/>
          <w:sz w:val="24"/>
        </w:rPr>
        <w:t>overnment itself.  In this case</w:t>
      </w:r>
      <w:r w:rsidR="0057747A">
        <w:rPr>
          <w:rFonts w:ascii="Times New Roman" w:hAnsi="Times New Roman"/>
          <w:sz w:val="24"/>
        </w:rPr>
        <w:t>,</w:t>
      </w:r>
      <w:r>
        <w:rPr>
          <w:rFonts w:ascii="Times New Roman" w:hAnsi="Times New Roman"/>
          <w:sz w:val="24"/>
        </w:rPr>
        <w:t xml:space="preserve"> the </w:t>
      </w:r>
      <w:r w:rsidR="009B2AEE">
        <w:rPr>
          <w:rFonts w:ascii="Times New Roman" w:hAnsi="Times New Roman"/>
          <w:sz w:val="24"/>
        </w:rPr>
        <w:t>g</w:t>
      </w:r>
      <w:r>
        <w:rPr>
          <w:rFonts w:ascii="Times New Roman" w:hAnsi="Times New Roman"/>
          <w:sz w:val="24"/>
        </w:rPr>
        <w:t xml:space="preserve">overnment is the public authority which adopted the </w:t>
      </w:r>
      <w:r w:rsidR="00BB0F8C">
        <w:rPr>
          <w:rFonts w:ascii="Times New Roman" w:hAnsi="Times New Roman"/>
          <w:sz w:val="24"/>
        </w:rPr>
        <w:t>NPF</w:t>
      </w:r>
      <w:r>
        <w:rPr>
          <w:rFonts w:ascii="Times New Roman" w:hAnsi="Times New Roman"/>
          <w:sz w:val="24"/>
        </w:rPr>
        <w:t xml:space="preserve"> and the </w:t>
      </w:r>
      <w:r w:rsidR="00BB0F8C">
        <w:rPr>
          <w:rFonts w:ascii="Times New Roman" w:hAnsi="Times New Roman"/>
          <w:sz w:val="24"/>
        </w:rPr>
        <w:t>NDP</w:t>
      </w:r>
      <w:r>
        <w:rPr>
          <w:rFonts w:ascii="Times New Roman" w:hAnsi="Times New Roman"/>
          <w:sz w:val="24"/>
        </w:rPr>
        <w:t xml:space="preserve">.  </w:t>
      </w:r>
      <w:r w:rsidR="009B2AEE">
        <w:rPr>
          <w:rFonts w:ascii="Times New Roman" w:hAnsi="Times New Roman"/>
          <w:sz w:val="24"/>
        </w:rPr>
        <w:t xml:space="preserve">The applicant </w:t>
      </w:r>
      <w:r w:rsidR="009B2AEE">
        <w:rPr>
          <w:rFonts w:ascii="Times New Roman" w:hAnsi="Times New Roman"/>
          <w:sz w:val="24"/>
        </w:rPr>
        <w:lastRenderedPageBreak/>
        <w:t>alleges that the government did not carry out the AA</w:t>
      </w:r>
      <w:r w:rsidR="00DB5B72">
        <w:rPr>
          <w:rFonts w:ascii="Times New Roman" w:hAnsi="Times New Roman"/>
          <w:sz w:val="24"/>
        </w:rPr>
        <w:t>,</w:t>
      </w:r>
      <w:r w:rsidR="009B2AEE">
        <w:rPr>
          <w:rFonts w:ascii="Times New Roman" w:hAnsi="Times New Roman"/>
          <w:sz w:val="24"/>
        </w:rPr>
        <w:t xml:space="preserve"> despite the fact that the government adopted the NPF.</w:t>
      </w:r>
    </w:p>
    <w:p w14:paraId="3D762FC2" w14:textId="2B1A9551" w:rsidR="00860E96" w:rsidRDefault="00BE7E2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SEA Directive </w:t>
      </w:r>
      <w:r w:rsidR="00FA1462">
        <w:rPr>
          <w:rFonts w:ascii="Times New Roman" w:hAnsi="Times New Roman"/>
          <w:sz w:val="24"/>
        </w:rPr>
        <w:t>seeks to provide for a high level of protection of the environment by ensuring that an environmental assessment is carried out of certain plans and programmes which are likely to have significant effects on the environment (Article 1).</w:t>
      </w:r>
      <w:r w:rsidR="00D7503E">
        <w:rPr>
          <w:rFonts w:ascii="Times New Roman" w:hAnsi="Times New Roman"/>
          <w:sz w:val="24"/>
        </w:rPr>
        <w:t xml:space="preserve"> </w:t>
      </w:r>
      <w:r w:rsidR="00FA1462">
        <w:rPr>
          <w:rFonts w:ascii="Times New Roman" w:hAnsi="Times New Roman"/>
          <w:sz w:val="24"/>
        </w:rPr>
        <w:t xml:space="preserve">Article </w:t>
      </w:r>
      <w:r w:rsidR="00DD6AF8">
        <w:rPr>
          <w:rFonts w:ascii="Times New Roman" w:hAnsi="Times New Roman"/>
          <w:sz w:val="24"/>
        </w:rPr>
        <w:t xml:space="preserve">2 defines the plans or programmes to which the Directive applies. </w:t>
      </w:r>
      <w:r w:rsidR="00544825">
        <w:rPr>
          <w:rFonts w:ascii="Times New Roman" w:hAnsi="Times New Roman"/>
          <w:sz w:val="24"/>
        </w:rPr>
        <w:t xml:space="preserve"> </w:t>
      </w:r>
      <w:r w:rsidR="00DD6AF8">
        <w:rPr>
          <w:rFonts w:ascii="Times New Roman" w:hAnsi="Times New Roman"/>
          <w:sz w:val="24"/>
        </w:rPr>
        <w:t xml:space="preserve">Article </w:t>
      </w:r>
      <w:r w:rsidR="00FA1462">
        <w:rPr>
          <w:rFonts w:ascii="Times New Roman" w:hAnsi="Times New Roman"/>
          <w:sz w:val="24"/>
        </w:rPr>
        <w:t>3 mandates that an environmental assessment</w:t>
      </w:r>
      <w:r w:rsidR="00544825">
        <w:rPr>
          <w:rFonts w:ascii="Times New Roman" w:hAnsi="Times New Roman"/>
          <w:sz w:val="24"/>
        </w:rPr>
        <w:t>,</w:t>
      </w:r>
      <w:r w:rsidR="00FA1462">
        <w:rPr>
          <w:rFonts w:ascii="Times New Roman" w:hAnsi="Times New Roman"/>
          <w:sz w:val="24"/>
        </w:rPr>
        <w:t xml:space="preserve"> in accordance with Articles 4-9</w:t>
      </w:r>
      <w:r w:rsidR="00544825">
        <w:rPr>
          <w:rFonts w:ascii="Times New Roman" w:hAnsi="Times New Roman"/>
          <w:sz w:val="24"/>
        </w:rPr>
        <w:t>,</w:t>
      </w:r>
      <w:r w:rsidR="00FA1462">
        <w:rPr>
          <w:rFonts w:ascii="Times New Roman" w:hAnsi="Times New Roman"/>
          <w:sz w:val="24"/>
        </w:rPr>
        <w:t xml:space="preserve"> shall be carried out </w:t>
      </w:r>
      <w:r w:rsidR="00663629">
        <w:rPr>
          <w:rFonts w:ascii="Times New Roman" w:hAnsi="Times New Roman"/>
          <w:sz w:val="24"/>
        </w:rPr>
        <w:t>in respect of</w:t>
      </w:r>
      <w:r w:rsidR="00FA1462">
        <w:rPr>
          <w:rFonts w:ascii="Times New Roman" w:hAnsi="Times New Roman"/>
          <w:sz w:val="24"/>
        </w:rPr>
        <w:t xml:space="preserve"> plans and programmes referred to in paras</w:t>
      </w:r>
      <w:r w:rsidR="00544825">
        <w:rPr>
          <w:rFonts w:ascii="Times New Roman" w:hAnsi="Times New Roman"/>
          <w:sz w:val="24"/>
        </w:rPr>
        <w:t>.</w:t>
      </w:r>
      <w:r w:rsidR="00FA1462">
        <w:rPr>
          <w:rFonts w:ascii="Times New Roman" w:hAnsi="Times New Roman"/>
          <w:sz w:val="24"/>
        </w:rPr>
        <w:t xml:space="preserve"> </w:t>
      </w:r>
      <w:r w:rsidR="004C6CEA">
        <w:rPr>
          <w:rFonts w:ascii="Times New Roman" w:hAnsi="Times New Roman"/>
          <w:sz w:val="24"/>
        </w:rPr>
        <w:t>(</w:t>
      </w:r>
      <w:r w:rsidR="00FA1462">
        <w:rPr>
          <w:rFonts w:ascii="Times New Roman" w:hAnsi="Times New Roman"/>
          <w:sz w:val="24"/>
        </w:rPr>
        <w:t>2</w:t>
      </w:r>
      <w:r w:rsidR="004C6CEA">
        <w:rPr>
          <w:rFonts w:ascii="Times New Roman" w:hAnsi="Times New Roman"/>
          <w:sz w:val="24"/>
        </w:rPr>
        <w:t>)</w:t>
      </w:r>
      <w:r w:rsidR="00544825">
        <w:rPr>
          <w:rFonts w:ascii="Times New Roman" w:hAnsi="Times New Roman"/>
          <w:sz w:val="24"/>
        </w:rPr>
        <w:t>-</w:t>
      </w:r>
      <w:r w:rsidR="004C6CEA">
        <w:rPr>
          <w:rFonts w:ascii="Times New Roman" w:hAnsi="Times New Roman"/>
          <w:sz w:val="24"/>
        </w:rPr>
        <w:t>(</w:t>
      </w:r>
      <w:r w:rsidR="00FA1462">
        <w:rPr>
          <w:rFonts w:ascii="Times New Roman" w:hAnsi="Times New Roman"/>
          <w:sz w:val="24"/>
        </w:rPr>
        <w:t>4</w:t>
      </w:r>
      <w:r w:rsidR="004C6CEA">
        <w:rPr>
          <w:rFonts w:ascii="Times New Roman" w:hAnsi="Times New Roman"/>
          <w:sz w:val="24"/>
        </w:rPr>
        <w:t>)</w:t>
      </w:r>
      <w:r w:rsidR="00FA1462">
        <w:rPr>
          <w:rFonts w:ascii="Times New Roman" w:hAnsi="Times New Roman"/>
          <w:sz w:val="24"/>
        </w:rPr>
        <w:t xml:space="preserve"> of Article 3 which are likely to have significant environmental effects.</w:t>
      </w:r>
      <w:r w:rsidR="00544825">
        <w:rPr>
          <w:rFonts w:ascii="Times New Roman" w:hAnsi="Times New Roman"/>
          <w:sz w:val="24"/>
        </w:rPr>
        <w:t xml:space="preserve"> </w:t>
      </w:r>
      <w:r w:rsidR="00D7503E">
        <w:rPr>
          <w:rFonts w:ascii="Times New Roman" w:hAnsi="Times New Roman"/>
          <w:sz w:val="24"/>
        </w:rPr>
        <w:t xml:space="preserve"> </w:t>
      </w:r>
      <w:r w:rsidR="00FA1462">
        <w:rPr>
          <w:rFonts w:ascii="Times New Roman" w:hAnsi="Times New Roman"/>
          <w:sz w:val="24"/>
        </w:rPr>
        <w:t>Article 3(8) excludes financial or budget plans or programmes from the Directive.</w:t>
      </w:r>
      <w:r w:rsidR="00D7503E" w:rsidRPr="00D7503E">
        <w:rPr>
          <w:rFonts w:ascii="Times New Roman" w:hAnsi="Times New Roman"/>
          <w:sz w:val="24"/>
        </w:rPr>
        <w:t xml:space="preserve"> </w:t>
      </w:r>
      <w:r w:rsidR="00544825">
        <w:rPr>
          <w:rFonts w:ascii="Times New Roman" w:hAnsi="Times New Roman"/>
          <w:sz w:val="24"/>
        </w:rPr>
        <w:t xml:space="preserve"> </w:t>
      </w:r>
      <w:r w:rsidR="00D7503E">
        <w:rPr>
          <w:rFonts w:ascii="Times New Roman" w:hAnsi="Times New Roman"/>
          <w:sz w:val="24"/>
        </w:rPr>
        <w:t>It is therefore necessary</w:t>
      </w:r>
      <w:r w:rsidR="00544825">
        <w:rPr>
          <w:rFonts w:ascii="Times New Roman" w:hAnsi="Times New Roman"/>
          <w:sz w:val="24"/>
        </w:rPr>
        <w:t>,</w:t>
      </w:r>
      <w:r w:rsidR="00D7503E">
        <w:rPr>
          <w:rFonts w:ascii="Times New Roman" w:hAnsi="Times New Roman"/>
          <w:sz w:val="24"/>
        </w:rPr>
        <w:t xml:space="preserve"> as a preliminary matter</w:t>
      </w:r>
      <w:r w:rsidR="00544825">
        <w:rPr>
          <w:rFonts w:ascii="Times New Roman" w:hAnsi="Times New Roman"/>
          <w:sz w:val="24"/>
        </w:rPr>
        <w:t>,</w:t>
      </w:r>
      <w:r w:rsidR="00D7503E">
        <w:rPr>
          <w:rFonts w:ascii="Times New Roman" w:hAnsi="Times New Roman"/>
          <w:sz w:val="24"/>
        </w:rPr>
        <w:t xml:space="preserve"> to determine whether a proposed plan or programme requires to be subject to </w:t>
      </w:r>
      <w:r w:rsidR="00544825">
        <w:rPr>
          <w:rFonts w:ascii="Times New Roman" w:hAnsi="Times New Roman"/>
          <w:sz w:val="24"/>
        </w:rPr>
        <w:t>strategic environmental assessment (“</w:t>
      </w:r>
      <w:r w:rsidR="00D7503E">
        <w:rPr>
          <w:rFonts w:ascii="Times New Roman" w:hAnsi="Times New Roman"/>
          <w:sz w:val="24"/>
        </w:rPr>
        <w:t>SEA</w:t>
      </w:r>
      <w:r w:rsidR="00544825">
        <w:rPr>
          <w:rFonts w:ascii="Times New Roman" w:hAnsi="Times New Roman"/>
          <w:sz w:val="24"/>
        </w:rPr>
        <w:t>”)</w:t>
      </w:r>
      <w:r w:rsidR="00D7503E">
        <w:rPr>
          <w:rFonts w:ascii="Times New Roman" w:hAnsi="Times New Roman"/>
          <w:sz w:val="24"/>
        </w:rPr>
        <w:t>.</w:t>
      </w:r>
    </w:p>
    <w:p w14:paraId="7A12F951" w14:textId="35DF1460" w:rsidR="00FA1462" w:rsidRDefault="00FA1462"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Article 4(1) provides that the assessment </w:t>
      </w:r>
      <w:r>
        <w:rPr>
          <w:rFonts w:ascii="Times New Roman" w:hAnsi="Times New Roman"/>
          <w:i/>
          <w:sz w:val="24"/>
        </w:rPr>
        <w:t>“shall be carried out during the preparation of the plan or programme and before its adoption</w:t>
      </w:r>
      <w:r w:rsidR="00EF2A0F">
        <w:rPr>
          <w:rFonts w:ascii="Times New Roman" w:hAnsi="Times New Roman"/>
          <w:i/>
          <w:sz w:val="24"/>
        </w:rPr>
        <w:t xml:space="preserve"> …”</w:t>
      </w:r>
      <w:r w:rsidR="00814DDB">
        <w:rPr>
          <w:rFonts w:ascii="Times New Roman" w:hAnsi="Times New Roman"/>
          <w:iCs/>
          <w:sz w:val="24"/>
        </w:rPr>
        <w:t xml:space="preserve">. </w:t>
      </w:r>
      <w:r>
        <w:rPr>
          <w:rFonts w:ascii="Times New Roman" w:hAnsi="Times New Roman"/>
          <w:sz w:val="24"/>
        </w:rPr>
        <w:t xml:space="preserve"> </w:t>
      </w:r>
      <w:r w:rsidR="00B33A66">
        <w:rPr>
          <w:rFonts w:ascii="Times New Roman" w:hAnsi="Times New Roman"/>
          <w:sz w:val="24"/>
        </w:rPr>
        <w:t>The intention is that the environmental consequences of implementing a plan or programme are assessed both during their preparation and prior to their adoption.</w:t>
      </w:r>
    </w:p>
    <w:p w14:paraId="44F3A272" w14:textId="4A1D7972" w:rsidR="00EF2A0F" w:rsidRDefault="00EF2A0F"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w:t>
      </w:r>
      <w:r w:rsidR="00663629">
        <w:rPr>
          <w:rFonts w:ascii="Times New Roman" w:hAnsi="Times New Roman"/>
          <w:sz w:val="24"/>
        </w:rPr>
        <w:t xml:space="preserve"> proper interpretation </w:t>
      </w:r>
      <w:r>
        <w:rPr>
          <w:rFonts w:ascii="Times New Roman" w:hAnsi="Times New Roman"/>
          <w:sz w:val="24"/>
        </w:rPr>
        <w:t>of Article 5(1) is central to a major part of the applicant’s case.</w:t>
      </w:r>
      <w:r w:rsidR="00814DDB">
        <w:rPr>
          <w:rFonts w:ascii="Times New Roman" w:hAnsi="Times New Roman"/>
          <w:sz w:val="24"/>
        </w:rPr>
        <w:t xml:space="preserve"> </w:t>
      </w:r>
      <w:r>
        <w:rPr>
          <w:rFonts w:ascii="Times New Roman" w:hAnsi="Times New Roman"/>
          <w:sz w:val="24"/>
        </w:rPr>
        <w:t xml:space="preserve"> It provides:-</w:t>
      </w:r>
    </w:p>
    <w:p w14:paraId="51ABB95E" w14:textId="21E0982A" w:rsidR="00EF2A0F" w:rsidRDefault="00EF2A0F" w:rsidP="00FE6325">
      <w:pPr>
        <w:pStyle w:val="ListParagraph"/>
        <w:spacing w:line="480" w:lineRule="auto"/>
        <w:ind w:left="567"/>
        <w:jc w:val="left"/>
        <w:rPr>
          <w:rFonts w:ascii="Times New Roman" w:hAnsi="Times New Roman"/>
          <w:i/>
          <w:sz w:val="24"/>
        </w:rPr>
      </w:pPr>
      <w:r>
        <w:rPr>
          <w:rFonts w:ascii="Times New Roman" w:hAnsi="Times New Roman"/>
          <w:i/>
          <w:sz w:val="24"/>
        </w:rPr>
        <w:t xml:space="preserve">“Where an environmental assessment is required under Article 3(1), an environmental report shall be prepared in which the likely significant effects on the environment of implementing the plan or programme, and reasonable alternatives taking into account the objectives and geographical scope of the plan or programme, are identified, described and evaluated. The information to be given for this purpose is referred to in Annex </w:t>
      </w:r>
      <w:r w:rsidR="00DA01FB">
        <w:rPr>
          <w:rFonts w:ascii="Times New Roman" w:hAnsi="Times New Roman"/>
          <w:i/>
          <w:sz w:val="24"/>
        </w:rPr>
        <w:t>I</w:t>
      </w:r>
      <w:r>
        <w:rPr>
          <w:rFonts w:ascii="Times New Roman" w:hAnsi="Times New Roman"/>
          <w:i/>
          <w:sz w:val="24"/>
        </w:rPr>
        <w:t>.”</w:t>
      </w:r>
    </w:p>
    <w:p w14:paraId="43F32FB4" w14:textId="0A7348B1" w:rsidR="00EF2A0F" w:rsidRDefault="00EF2A0F" w:rsidP="00EF2A0F">
      <w:pPr>
        <w:tabs>
          <w:tab w:val="left" w:pos="567"/>
        </w:tabs>
        <w:spacing w:line="480" w:lineRule="auto"/>
      </w:pPr>
      <w:r>
        <w:t>Th</w:t>
      </w:r>
      <w:r w:rsidR="00663629">
        <w:t>is</w:t>
      </w:r>
      <w:r>
        <w:t xml:space="preserve"> Article reflects recital 14 which states:-</w:t>
      </w:r>
    </w:p>
    <w:p w14:paraId="6379DD16" w14:textId="0C0A9506" w:rsidR="00EF2A0F" w:rsidRPr="007765D3" w:rsidRDefault="00EF2A0F" w:rsidP="00FE6325">
      <w:pPr>
        <w:spacing w:line="480" w:lineRule="auto"/>
        <w:ind w:left="567"/>
        <w:rPr>
          <w:iCs/>
        </w:rPr>
      </w:pPr>
      <w:r>
        <w:rPr>
          <w:i/>
        </w:rPr>
        <w:lastRenderedPageBreak/>
        <w:t>“Where an assessment is required by this Directive, an environmental report should be prepared containing relevant information as set out in this Directive, identifying, describing and evaluating the likely significant environmental effects of implementing the plan or programme</w:t>
      </w:r>
      <w:r w:rsidR="001D7DB2">
        <w:rPr>
          <w:i/>
        </w:rPr>
        <w:t>,</w:t>
      </w:r>
      <w:r>
        <w:rPr>
          <w:i/>
        </w:rPr>
        <w:t xml:space="preserve"> and reasonable alternatives taking into account the objectives and geographical scope of the plan or programme</w:t>
      </w:r>
      <w:r w:rsidR="001D7DB2">
        <w:rPr>
          <w:i/>
        </w:rPr>
        <w:t xml:space="preserve"> </w:t>
      </w:r>
      <w:r>
        <w:rPr>
          <w:i/>
        </w:rPr>
        <w:t>…”</w:t>
      </w:r>
      <w:r w:rsidR="001D7DB2">
        <w:rPr>
          <w:iCs/>
        </w:rPr>
        <w:t>.</w:t>
      </w:r>
    </w:p>
    <w:p w14:paraId="552386E2" w14:textId="403A5382" w:rsidR="00B33A66" w:rsidRPr="00F26CD3" w:rsidRDefault="00B33A66" w:rsidP="00B9465C">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F26CD3">
        <w:rPr>
          <w:rFonts w:ascii="Times New Roman" w:hAnsi="Times New Roman" w:cs="Times New Roman"/>
          <w:sz w:val="24"/>
          <w:szCs w:val="24"/>
        </w:rPr>
        <w:t xml:space="preserve">The assessment of reasonable alternatives prior to the adoption of a plan or programme is </w:t>
      </w:r>
      <w:r w:rsidR="00D7503E" w:rsidRPr="00F26CD3">
        <w:rPr>
          <w:rFonts w:ascii="Times New Roman" w:hAnsi="Times New Roman" w:cs="Times New Roman"/>
          <w:sz w:val="24"/>
          <w:szCs w:val="24"/>
        </w:rPr>
        <w:t xml:space="preserve">a </w:t>
      </w:r>
      <w:r w:rsidRPr="00F26CD3">
        <w:rPr>
          <w:rFonts w:ascii="Times New Roman" w:hAnsi="Times New Roman" w:cs="Times New Roman"/>
          <w:sz w:val="24"/>
          <w:szCs w:val="24"/>
        </w:rPr>
        <w:t xml:space="preserve">key </w:t>
      </w:r>
      <w:r w:rsidR="00D7503E" w:rsidRPr="00F26CD3">
        <w:rPr>
          <w:rFonts w:ascii="Times New Roman" w:hAnsi="Times New Roman" w:cs="Times New Roman"/>
          <w:sz w:val="24"/>
          <w:szCs w:val="24"/>
        </w:rPr>
        <w:t>requirement of</w:t>
      </w:r>
      <w:r w:rsidRPr="00F26CD3">
        <w:rPr>
          <w:rFonts w:ascii="Times New Roman" w:hAnsi="Times New Roman" w:cs="Times New Roman"/>
          <w:sz w:val="24"/>
          <w:szCs w:val="24"/>
        </w:rPr>
        <w:t xml:space="preserve"> the SEA Directive.</w:t>
      </w:r>
      <w:r w:rsidR="00D7503E" w:rsidRPr="00F26CD3">
        <w:rPr>
          <w:rFonts w:ascii="Times New Roman" w:hAnsi="Times New Roman" w:cs="Times New Roman"/>
          <w:sz w:val="24"/>
          <w:szCs w:val="24"/>
        </w:rPr>
        <w:t xml:space="preserve"> </w:t>
      </w:r>
      <w:r w:rsidR="00101B10">
        <w:rPr>
          <w:rFonts w:ascii="Times New Roman" w:hAnsi="Times New Roman" w:cs="Times New Roman"/>
          <w:sz w:val="24"/>
          <w:szCs w:val="24"/>
        </w:rPr>
        <w:t xml:space="preserve"> </w:t>
      </w:r>
      <w:r w:rsidR="00D7503E" w:rsidRPr="00F26CD3">
        <w:rPr>
          <w:rFonts w:ascii="Times New Roman" w:hAnsi="Times New Roman" w:cs="Times New Roman"/>
          <w:sz w:val="24"/>
          <w:szCs w:val="24"/>
        </w:rPr>
        <w:t xml:space="preserve">The applicant contends that the respondents failed properly to assess the reasonable alternatives </w:t>
      </w:r>
      <w:r w:rsidR="00DD6AF8">
        <w:rPr>
          <w:rFonts w:ascii="Times New Roman" w:hAnsi="Times New Roman" w:cs="Times New Roman"/>
          <w:sz w:val="24"/>
          <w:szCs w:val="24"/>
        </w:rPr>
        <w:t>to</w:t>
      </w:r>
      <w:r w:rsidR="00D7503E" w:rsidRPr="00F26CD3">
        <w:rPr>
          <w:rFonts w:ascii="Times New Roman" w:hAnsi="Times New Roman" w:cs="Times New Roman"/>
          <w:sz w:val="24"/>
          <w:szCs w:val="24"/>
        </w:rPr>
        <w:t xml:space="preserve"> the NPF. </w:t>
      </w:r>
    </w:p>
    <w:p w14:paraId="4EFA6989" w14:textId="29D52880" w:rsidR="00A5236B" w:rsidRPr="00063C8E" w:rsidRDefault="00A5236B" w:rsidP="003763A0">
      <w:pPr>
        <w:numPr>
          <w:ilvl w:val="0"/>
          <w:numId w:val="1"/>
        </w:numPr>
        <w:tabs>
          <w:tab w:val="left" w:pos="567"/>
        </w:tabs>
        <w:spacing w:line="480" w:lineRule="auto"/>
        <w:ind w:left="0" w:firstLine="0"/>
        <w:contextualSpacing/>
        <w:rPr>
          <w:rFonts w:eastAsiaTheme="minorHAnsi" w:cstheme="minorBidi"/>
          <w:szCs w:val="22"/>
        </w:rPr>
      </w:pPr>
      <w:r>
        <w:rPr>
          <w:rFonts w:eastAsiaTheme="minorHAnsi" w:cstheme="minorBidi"/>
          <w:szCs w:val="22"/>
        </w:rPr>
        <w:t>T</w:t>
      </w:r>
      <w:r w:rsidRPr="00063C8E">
        <w:rPr>
          <w:rFonts w:eastAsiaTheme="minorHAnsi" w:cstheme="minorBidi"/>
          <w:szCs w:val="22"/>
        </w:rPr>
        <w:t xml:space="preserve">he SEA Regulations defines the </w:t>
      </w:r>
      <w:r w:rsidRPr="00063C8E">
        <w:rPr>
          <w:rFonts w:eastAsiaTheme="minorHAnsi" w:cstheme="minorBidi"/>
          <w:i/>
          <w:szCs w:val="22"/>
        </w:rPr>
        <w:t xml:space="preserve">“competent authority” </w:t>
      </w:r>
      <w:r w:rsidRPr="00063C8E">
        <w:rPr>
          <w:rFonts w:eastAsiaTheme="minorHAnsi" w:cstheme="minorBidi"/>
          <w:szCs w:val="22"/>
        </w:rPr>
        <w:t xml:space="preserve">as </w:t>
      </w:r>
      <w:r w:rsidRPr="00063C8E">
        <w:rPr>
          <w:rFonts w:eastAsiaTheme="minorHAnsi" w:cstheme="minorBidi"/>
          <w:i/>
          <w:szCs w:val="22"/>
        </w:rPr>
        <w:t>“the authority which is, or the authorities which are jointly, responsible for the preparation of a plan or program</w:t>
      </w:r>
      <w:r>
        <w:rPr>
          <w:rFonts w:eastAsiaTheme="minorHAnsi" w:cstheme="minorBidi"/>
          <w:i/>
          <w:szCs w:val="22"/>
        </w:rPr>
        <w:t>me</w:t>
      </w:r>
      <w:r w:rsidRPr="00063C8E">
        <w:rPr>
          <w:rFonts w:eastAsiaTheme="minorHAnsi" w:cstheme="minorBidi"/>
          <w:i/>
          <w:szCs w:val="22"/>
        </w:rPr>
        <w:t>, or modification of a plan or programme.”</w:t>
      </w:r>
      <w:r w:rsidRPr="00101B10">
        <w:rPr>
          <w:rFonts w:eastAsiaTheme="minorHAnsi" w:cstheme="minorBidi"/>
          <w:iCs/>
          <w:szCs w:val="22"/>
        </w:rPr>
        <w:t xml:space="preserve">  </w:t>
      </w:r>
      <w:r w:rsidRPr="00063C8E">
        <w:rPr>
          <w:rFonts w:eastAsiaTheme="minorHAnsi" w:cstheme="minorBidi"/>
          <w:szCs w:val="22"/>
        </w:rPr>
        <w:t>Regulation 3 excludes from the provisions of the Regulations</w:t>
      </w:r>
      <w:r w:rsidR="00625ADB">
        <w:rPr>
          <w:rFonts w:eastAsiaTheme="minorHAnsi" w:cstheme="minorBidi"/>
          <w:szCs w:val="22"/>
        </w:rPr>
        <w:t>,</w:t>
      </w:r>
      <w:r w:rsidRPr="00063C8E">
        <w:rPr>
          <w:rFonts w:eastAsiaTheme="minorHAnsi" w:cstheme="minorBidi"/>
          <w:szCs w:val="22"/>
        </w:rPr>
        <w:t xml:space="preserve"> financial or budget plans and program</w:t>
      </w:r>
      <w:r>
        <w:rPr>
          <w:rFonts w:eastAsiaTheme="minorHAnsi" w:cstheme="minorBidi"/>
          <w:szCs w:val="22"/>
        </w:rPr>
        <w:t>me</w:t>
      </w:r>
      <w:r w:rsidRPr="00063C8E">
        <w:rPr>
          <w:rFonts w:eastAsiaTheme="minorHAnsi" w:cstheme="minorBidi"/>
          <w:szCs w:val="22"/>
        </w:rPr>
        <w:t xml:space="preserve">s.  These are not defined.  A </w:t>
      </w:r>
      <w:r w:rsidR="00101B10" w:rsidRPr="004A56E3">
        <w:rPr>
          <w:rFonts w:eastAsiaTheme="minorHAnsi" w:cstheme="minorBidi"/>
          <w:i/>
          <w:iCs/>
          <w:szCs w:val="22"/>
        </w:rPr>
        <w:t>“</w:t>
      </w:r>
      <w:r w:rsidRPr="004A56E3">
        <w:rPr>
          <w:rFonts w:eastAsiaTheme="minorHAnsi" w:cstheme="minorBidi"/>
          <w:i/>
          <w:iCs/>
          <w:szCs w:val="22"/>
        </w:rPr>
        <w:t>plan</w:t>
      </w:r>
      <w:r w:rsidR="00DD6AF8" w:rsidRPr="004A56E3">
        <w:rPr>
          <w:rFonts w:eastAsiaTheme="minorHAnsi" w:cstheme="minorBidi"/>
          <w:i/>
          <w:iCs/>
          <w:szCs w:val="22"/>
        </w:rPr>
        <w:t xml:space="preserve"> or</w:t>
      </w:r>
      <w:r w:rsidRPr="004A56E3">
        <w:rPr>
          <w:rFonts w:eastAsiaTheme="minorHAnsi" w:cstheme="minorBidi"/>
          <w:i/>
          <w:iCs/>
          <w:szCs w:val="22"/>
        </w:rPr>
        <w:t xml:space="preserve"> programme</w:t>
      </w:r>
      <w:r w:rsidR="00883302" w:rsidRPr="004A56E3">
        <w:rPr>
          <w:rFonts w:eastAsiaTheme="minorHAnsi" w:cstheme="minorBidi"/>
          <w:i/>
          <w:iCs/>
          <w:szCs w:val="22"/>
        </w:rPr>
        <w:t>”</w:t>
      </w:r>
      <w:r w:rsidRPr="00063C8E">
        <w:rPr>
          <w:rFonts w:eastAsiaTheme="minorHAnsi" w:cstheme="minorBidi"/>
          <w:szCs w:val="22"/>
        </w:rPr>
        <w:t xml:space="preserve"> means a plan</w:t>
      </w:r>
      <w:r w:rsidR="00DD6AF8">
        <w:rPr>
          <w:rFonts w:eastAsiaTheme="minorHAnsi" w:cstheme="minorBidi"/>
          <w:szCs w:val="22"/>
        </w:rPr>
        <w:t xml:space="preserve"> or</w:t>
      </w:r>
      <w:r w:rsidRPr="00063C8E">
        <w:rPr>
          <w:rFonts w:eastAsiaTheme="minorHAnsi" w:cstheme="minorBidi"/>
          <w:szCs w:val="22"/>
        </w:rPr>
        <w:t xml:space="preserve"> programme</w:t>
      </w:r>
      <w:r w:rsidR="00101B10">
        <w:rPr>
          <w:rFonts w:eastAsiaTheme="minorHAnsi" w:cstheme="minorBidi"/>
          <w:szCs w:val="22"/>
        </w:rPr>
        <w:t>,</w:t>
      </w:r>
      <w:r w:rsidRPr="00063C8E">
        <w:rPr>
          <w:rFonts w:eastAsiaTheme="minorHAnsi" w:cstheme="minorBidi"/>
          <w:szCs w:val="22"/>
        </w:rPr>
        <w:t xml:space="preserve"> as well as any modifications </w:t>
      </w:r>
      <w:r w:rsidR="00663629">
        <w:rPr>
          <w:rFonts w:eastAsiaTheme="minorHAnsi" w:cstheme="minorBidi"/>
          <w:szCs w:val="22"/>
        </w:rPr>
        <w:t>there</w:t>
      </w:r>
      <w:r w:rsidRPr="00063C8E">
        <w:rPr>
          <w:rFonts w:eastAsiaTheme="minorHAnsi" w:cstheme="minorBidi"/>
          <w:szCs w:val="22"/>
        </w:rPr>
        <w:t>to:</w:t>
      </w:r>
      <w:r w:rsidR="00101B10">
        <w:rPr>
          <w:rFonts w:eastAsiaTheme="minorHAnsi" w:cstheme="minorBidi"/>
          <w:szCs w:val="22"/>
        </w:rPr>
        <w:t>-</w:t>
      </w:r>
      <w:r w:rsidRPr="00063C8E">
        <w:rPr>
          <w:rFonts w:eastAsiaTheme="minorHAnsi" w:cstheme="minorBidi"/>
          <w:szCs w:val="22"/>
        </w:rPr>
        <w:t xml:space="preserve"> </w:t>
      </w:r>
    </w:p>
    <w:p w14:paraId="77AF9A03" w14:textId="717F7B22" w:rsidR="00A5236B" w:rsidRPr="004A56E3" w:rsidRDefault="00A5236B" w:rsidP="00A5236B">
      <w:pPr>
        <w:spacing w:line="480" w:lineRule="auto"/>
        <w:ind w:left="567"/>
        <w:contextualSpacing/>
        <w:rPr>
          <w:rFonts w:eastAsiaTheme="minorHAnsi" w:cstheme="minorBidi"/>
          <w:iCs/>
          <w:szCs w:val="22"/>
        </w:rPr>
      </w:pPr>
      <w:r w:rsidRPr="00063C8E">
        <w:rPr>
          <w:rFonts w:eastAsiaTheme="minorHAnsi" w:cstheme="minorBidi"/>
          <w:i/>
          <w:szCs w:val="22"/>
        </w:rPr>
        <w:t>“which are subject to preparation and/or adoption by an authority at national, regional or local level or which are prepared for an authority for adoption</w:t>
      </w:r>
      <w:r w:rsidR="00101B10">
        <w:rPr>
          <w:rFonts w:eastAsiaTheme="minorHAnsi" w:cstheme="minorBidi"/>
          <w:i/>
          <w:szCs w:val="22"/>
        </w:rPr>
        <w:t>,</w:t>
      </w:r>
      <w:r w:rsidRPr="00063C8E">
        <w:rPr>
          <w:rFonts w:eastAsiaTheme="minorHAnsi" w:cstheme="minorBidi"/>
          <w:i/>
          <w:szCs w:val="22"/>
        </w:rPr>
        <w:t xml:space="preserve"> through a legislative procedure by Parliament </w:t>
      </w:r>
      <w:r w:rsidRPr="00063C8E">
        <w:rPr>
          <w:rFonts w:eastAsiaTheme="minorHAnsi" w:cstheme="minorBidi"/>
          <w:i/>
          <w:szCs w:val="22"/>
          <w:u w:val="single"/>
        </w:rPr>
        <w:t>or Government</w:t>
      </w:r>
      <w:r w:rsidR="00101B10" w:rsidRPr="00101B10">
        <w:rPr>
          <w:rFonts w:eastAsiaTheme="minorHAnsi" w:cstheme="minorBidi"/>
          <w:iCs/>
          <w:szCs w:val="22"/>
        </w:rPr>
        <w:t xml:space="preserve"> </w:t>
      </w:r>
      <w:r w:rsidRPr="00063C8E">
        <w:rPr>
          <w:rFonts w:eastAsiaTheme="minorHAnsi" w:cstheme="minorBidi"/>
          <w:i/>
          <w:szCs w:val="22"/>
        </w:rPr>
        <w:t>…”</w:t>
      </w:r>
      <w:r w:rsidR="00101B10">
        <w:rPr>
          <w:rFonts w:eastAsiaTheme="minorHAnsi" w:cstheme="minorBidi"/>
          <w:iCs/>
          <w:szCs w:val="22"/>
        </w:rPr>
        <w:t>.</w:t>
      </w:r>
      <w:r w:rsidRPr="00063C8E">
        <w:rPr>
          <w:rFonts w:eastAsiaTheme="minorHAnsi" w:cstheme="minorBidi"/>
          <w:i/>
          <w:szCs w:val="22"/>
        </w:rPr>
        <w:t xml:space="preserve"> </w:t>
      </w:r>
      <w:r w:rsidR="00A85543">
        <w:rPr>
          <w:rFonts w:eastAsiaTheme="minorHAnsi" w:cstheme="minorBidi"/>
          <w:iCs/>
          <w:szCs w:val="22"/>
        </w:rPr>
        <w:t>(emphasis added)</w:t>
      </w:r>
    </w:p>
    <w:p w14:paraId="26B45EDA" w14:textId="42A3AFE0" w:rsidR="00A5236B" w:rsidRDefault="00A5236B" w:rsidP="003763A0">
      <w:pPr>
        <w:numPr>
          <w:ilvl w:val="0"/>
          <w:numId w:val="1"/>
        </w:numPr>
        <w:tabs>
          <w:tab w:val="left" w:pos="567"/>
        </w:tabs>
        <w:spacing w:line="480" w:lineRule="auto"/>
        <w:ind w:left="0" w:firstLine="0"/>
        <w:contextualSpacing/>
        <w:rPr>
          <w:rFonts w:eastAsiaTheme="minorHAnsi" w:cstheme="minorBidi"/>
          <w:szCs w:val="22"/>
        </w:rPr>
      </w:pPr>
      <w:r>
        <w:rPr>
          <w:rFonts w:eastAsiaTheme="minorHAnsi" w:cstheme="minorBidi"/>
          <w:szCs w:val="22"/>
        </w:rPr>
        <w:t>Regulation 9 provides that subject to sub-article</w:t>
      </w:r>
      <w:r w:rsidR="00DD6AF8">
        <w:rPr>
          <w:rFonts w:eastAsiaTheme="minorHAnsi" w:cstheme="minorBidi"/>
          <w:szCs w:val="22"/>
        </w:rPr>
        <w:t xml:space="preserve"> (2)</w:t>
      </w:r>
      <w:r w:rsidR="00101B10">
        <w:rPr>
          <w:rFonts w:eastAsiaTheme="minorHAnsi" w:cstheme="minorBidi"/>
          <w:szCs w:val="22"/>
        </w:rPr>
        <w:t xml:space="preserve"> </w:t>
      </w:r>
      <w:r w:rsidR="001C49B0">
        <w:rPr>
          <w:rFonts w:eastAsiaTheme="minorHAnsi" w:cstheme="minorBidi"/>
          <w:szCs w:val="22"/>
        </w:rPr>
        <w:t>(which relates to small area plans or minor modifications and is not relevant to the present appeal)</w:t>
      </w:r>
      <w:r>
        <w:rPr>
          <w:rFonts w:eastAsiaTheme="minorHAnsi" w:cstheme="minorBidi"/>
          <w:szCs w:val="22"/>
        </w:rPr>
        <w:t xml:space="preserve"> an </w:t>
      </w:r>
      <w:r w:rsidR="00DD6AF8">
        <w:rPr>
          <w:rFonts w:eastAsiaTheme="minorHAnsi" w:cstheme="minorBidi"/>
          <w:szCs w:val="22"/>
        </w:rPr>
        <w:t>e</w:t>
      </w:r>
      <w:r>
        <w:rPr>
          <w:rFonts w:eastAsiaTheme="minorHAnsi" w:cstheme="minorBidi"/>
          <w:szCs w:val="22"/>
        </w:rPr>
        <w:t xml:space="preserve">nvironmental </w:t>
      </w:r>
      <w:r w:rsidR="00DD6AF8">
        <w:rPr>
          <w:rFonts w:eastAsiaTheme="minorHAnsi" w:cstheme="minorBidi"/>
          <w:szCs w:val="22"/>
        </w:rPr>
        <w:t>a</w:t>
      </w:r>
      <w:r>
        <w:rPr>
          <w:rFonts w:eastAsiaTheme="minorHAnsi" w:cstheme="minorBidi"/>
          <w:szCs w:val="22"/>
        </w:rPr>
        <w:t>ssessment shall be carried out for all plans and programmes.  It is to be carried out by the competent authority of the plan</w:t>
      </w:r>
      <w:r w:rsidR="00DD6AF8">
        <w:rPr>
          <w:rFonts w:eastAsiaTheme="minorHAnsi" w:cstheme="minorBidi"/>
          <w:szCs w:val="22"/>
        </w:rPr>
        <w:t xml:space="preserve"> or</w:t>
      </w:r>
      <w:r>
        <w:rPr>
          <w:rFonts w:eastAsiaTheme="minorHAnsi" w:cstheme="minorBidi"/>
          <w:szCs w:val="22"/>
        </w:rPr>
        <w:t xml:space="preserve"> programme (Regulation 9(8)).  For the purposes of an environmental assessment under </w:t>
      </w:r>
      <w:r w:rsidR="009C034B">
        <w:rPr>
          <w:rFonts w:eastAsiaTheme="minorHAnsi" w:cstheme="minorBidi"/>
          <w:szCs w:val="22"/>
        </w:rPr>
        <w:t>Regulation</w:t>
      </w:r>
      <w:r>
        <w:rPr>
          <w:rFonts w:eastAsiaTheme="minorHAnsi" w:cstheme="minorBidi"/>
          <w:szCs w:val="22"/>
        </w:rPr>
        <w:t xml:space="preserve"> 9(</w:t>
      </w:r>
      <w:r w:rsidR="00101B10">
        <w:rPr>
          <w:rFonts w:eastAsiaTheme="minorHAnsi" w:cstheme="minorBidi"/>
          <w:szCs w:val="22"/>
        </w:rPr>
        <w:t>8</w:t>
      </w:r>
      <w:r>
        <w:rPr>
          <w:rFonts w:eastAsiaTheme="minorHAnsi" w:cstheme="minorBidi"/>
          <w:szCs w:val="22"/>
        </w:rPr>
        <w:t>)</w:t>
      </w:r>
      <w:r w:rsidR="00101B10">
        <w:rPr>
          <w:rFonts w:eastAsiaTheme="minorHAnsi" w:cstheme="minorBidi"/>
          <w:szCs w:val="22"/>
        </w:rPr>
        <w:t>,</w:t>
      </w:r>
      <w:r>
        <w:rPr>
          <w:rFonts w:eastAsiaTheme="minorHAnsi" w:cstheme="minorBidi"/>
          <w:szCs w:val="22"/>
        </w:rPr>
        <w:t xml:space="preserve"> an environmental report must be prepared during the preparation of the plan or programme</w:t>
      </w:r>
      <w:r w:rsidR="00625ADB">
        <w:rPr>
          <w:rFonts w:eastAsiaTheme="minorHAnsi" w:cstheme="minorBidi"/>
          <w:szCs w:val="22"/>
        </w:rPr>
        <w:t>,</w:t>
      </w:r>
      <w:r>
        <w:rPr>
          <w:rFonts w:eastAsiaTheme="minorHAnsi" w:cstheme="minorBidi"/>
          <w:szCs w:val="22"/>
        </w:rPr>
        <w:t xml:space="preserve"> or modification to a plan or programme (Regulation 10).  Regulation 12 provides:</w:t>
      </w:r>
      <w:r w:rsidR="00101B10">
        <w:rPr>
          <w:rFonts w:eastAsiaTheme="minorHAnsi" w:cstheme="minorBidi"/>
          <w:szCs w:val="22"/>
        </w:rPr>
        <w:t>-</w:t>
      </w:r>
    </w:p>
    <w:p w14:paraId="70A78B1D" w14:textId="15647B31" w:rsidR="00A5236B" w:rsidRPr="007765D3" w:rsidRDefault="00A5236B" w:rsidP="00A5236B">
      <w:pPr>
        <w:spacing w:line="480" w:lineRule="auto"/>
        <w:ind w:left="567"/>
        <w:contextualSpacing/>
        <w:rPr>
          <w:rFonts w:eastAsiaTheme="minorHAnsi" w:cstheme="minorBidi"/>
          <w:iCs/>
          <w:szCs w:val="22"/>
        </w:rPr>
      </w:pPr>
      <w:r>
        <w:rPr>
          <w:rFonts w:eastAsiaTheme="minorHAnsi" w:cstheme="minorBidi"/>
          <w:i/>
          <w:szCs w:val="22"/>
        </w:rPr>
        <w:lastRenderedPageBreak/>
        <w:t>“(1) Subject to sub-article (2)</w:t>
      </w:r>
      <w:r w:rsidR="00101B10">
        <w:rPr>
          <w:rFonts w:eastAsiaTheme="minorHAnsi" w:cstheme="minorBidi"/>
          <w:i/>
          <w:szCs w:val="22"/>
        </w:rPr>
        <w:t>,</w:t>
      </w:r>
      <w:r>
        <w:rPr>
          <w:rFonts w:eastAsiaTheme="minorHAnsi" w:cstheme="minorBidi"/>
          <w:i/>
          <w:szCs w:val="22"/>
        </w:rPr>
        <w:t xml:space="preserve"> an </w:t>
      </w:r>
      <w:r w:rsidR="00101B10">
        <w:rPr>
          <w:rFonts w:eastAsiaTheme="minorHAnsi" w:cstheme="minorBidi"/>
          <w:i/>
          <w:szCs w:val="22"/>
        </w:rPr>
        <w:t>e</w:t>
      </w:r>
      <w:r>
        <w:rPr>
          <w:rFonts w:eastAsiaTheme="minorHAnsi" w:cstheme="minorBidi"/>
          <w:i/>
          <w:szCs w:val="22"/>
        </w:rPr>
        <w:t xml:space="preserve">nvironmental </w:t>
      </w:r>
      <w:r w:rsidR="00101B10">
        <w:rPr>
          <w:rFonts w:eastAsiaTheme="minorHAnsi" w:cstheme="minorBidi"/>
          <w:i/>
          <w:szCs w:val="22"/>
        </w:rPr>
        <w:t>r</w:t>
      </w:r>
      <w:r>
        <w:rPr>
          <w:rFonts w:eastAsiaTheme="minorHAnsi" w:cstheme="minorBidi"/>
          <w:i/>
          <w:szCs w:val="22"/>
        </w:rPr>
        <w:t xml:space="preserve">eport under </w:t>
      </w:r>
      <w:r w:rsidR="007765D3">
        <w:rPr>
          <w:rFonts w:eastAsiaTheme="minorHAnsi" w:cstheme="minorBidi"/>
          <w:i/>
          <w:szCs w:val="22"/>
        </w:rPr>
        <w:t>a</w:t>
      </w:r>
      <w:r>
        <w:rPr>
          <w:rFonts w:eastAsiaTheme="minorHAnsi" w:cstheme="minorBidi"/>
          <w:i/>
          <w:szCs w:val="22"/>
        </w:rPr>
        <w:t xml:space="preserve">rticle 10 shall identify, describe and evaluate the likely significant effects on the environment </w:t>
      </w:r>
      <w:r w:rsidR="009C034B">
        <w:rPr>
          <w:rFonts w:eastAsiaTheme="minorHAnsi" w:cstheme="minorBidi"/>
          <w:i/>
          <w:szCs w:val="22"/>
        </w:rPr>
        <w:t>o</w:t>
      </w:r>
      <w:r>
        <w:rPr>
          <w:rFonts w:eastAsiaTheme="minorHAnsi" w:cstheme="minorBidi"/>
          <w:i/>
          <w:szCs w:val="22"/>
        </w:rPr>
        <w:t>f implementing the plan or programme, or modification to a plan or programme</w:t>
      </w:r>
      <w:r w:rsidR="009C034B">
        <w:rPr>
          <w:rFonts w:eastAsiaTheme="minorHAnsi" w:cstheme="minorBidi"/>
          <w:i/>
          <w:szCs w:val="22"/>
        </w:rPr>
        <w:t>,</w:t>
      </w:r>
      <w:r>
        <w:rPr>
          <w:rFonts w:eastAsiaTheme="minorHAnsi" w:cstheme="minorBidi"/>
          <w:i/>
          <w:szCs w:val="22"/>
        </w:rPr>
        <w:t xml:space="preserve"> and reasonable alternatives taking account of the objectives and geographical scope the plan or programme, or modification to a plan or programme</w:t>
      </w:r>
      <w:r w:rsidR="007765D3">
        <w:rPr>
          <w:rFonts w:eastAsiaTheme="minorHAnsi" w:cstheme="minorBidi"/>
          <w:i/>
          <w:szCs w:val="22"/>
        </w:rPr>
        <w:t xml:space="preserve"> </w:t>
      </w:r>
      <w:r>
        <w:rPr>
          <w:rFonts w:eastAsiaTheme="minorHAnsi" w:cstheme="minorBidi"/>
          <w:i/>
          <w:szCs w:val="22"/>
        </w:rPr>
        <w:t>…”</w:t>
      </w:r>
      <w:r w:rsidR="007765D3">
        <w:rPr>
          <w:rFonts w:eastAsiaTheme="minorHAnsi" w:cstheme="minorBidi"/>
          <w:iCs/>
          <w:szCs w:val="22"/>
        </w:rPr>
        <w:t>.</w:t>
      </w:r>
    </w:p>
    <w:p w14:paraId="6690C108" w14:textId="54F4DFB0" w:rsidR="00A5236B" w:rsidRPr="009C034B" w:rsidRDefault="00A5236B" w:rsidP="009C034B">
      <w:pPr>
        <w:numPr>
          <w:ilvl w:val="0"/>
          <w:numId w:val="1"/>
        </w:numPr>
        <w:tabs>
          <w:tab w:val="left" w:pos="567"/>
        </w:tabs>
        <w:spacing w:line="480" w:lineRule="auto"/>
        <w:ind w:left="0" w:firstLine="0"/>
        <w:contextualSpacing/>
        <w:rPr>
          <w:rFonts w:eastAsiaTheme="minorHAnsi" w:cstheme="minorBidi"/>
          <w:szCs w:val="22"/>
        </w:rPr>
      </w:pPr>
      <w:r>
        <w:rPr>
          <w:rFonts w:eastAsiaTheme="minorHAnsi" w:cstheme="minorBidi"/>
          <w:szCs w:val="22"/>
        </w:rPr>
        <w:t>Finally, Regulation 17 provides that the competent authority shall monitor the significant environmental effects of implementing the plan or programme</w:t>
      </w:r>
      <w:r w:rsidR="00A60105">
        <w:rPr>
          <w:rFonts w:eastAsiaTheme="minorHAnsi" w:cstheme="minorBidi"/>
          <w:szCs w:val="22"/>
        </w:rPr>
        <w:t xml:space="preserve">.  It </w:t>
      </w:r>
      <w:r>
        <w:rPr>
          <w:rFonts w:eastAsiaTheme="minorHAnsi" w:cstheme="minorBidi"/>
          <w:szCs w:val="22"/>
        </w:rPr>
        <w:t xml:space="preserve">reproduces the provisions of Article 10 of the SEA Directive. </w:t>
      </w:r>
    </w:p>
    <w:p w14:paraId="5A4A4684" w14:textId="6F7CE912" w:rsidR="00B33A66" w:rsidRPr="00B33A66" w:rsidRDefault="00B33A66" w:rsidP="004A56E3">
      <w:pPr>
        <w:pStyle w:val="ListParagraph"/>
        <w:numPr>
          <w:ilvl w:val="0"/>
          <w:numId w:val="1"/>
        </w:numPr>
        <w:tabs>
          <w:tab w:val="left" w:pos="567"/>
        </w:tabs>
        <w:spacing w:line="480" w:lineRule="auto"/>
        <w:ind w:left="0" w:firstLine="0"/>
        <w:jc w:val="left"/>
        <w:rPr>
          <w:rFonts w:ascii="Times New Roman" w:hAnsi="Times New Roman"/>
          <w:sz w:val="24"/>
        </w:rPr>
      </w:pPr>
      <w:r w:rsidRPr="00D7503E">
        <w:rPr>
          <w:rFonts w:ascii="Times New Roman" w:hAnsi="Times New Roman" w:cs="Times New Roman"/>
          <w:sz w:val="24"/>
          <w:szCs w:val="24"/>
        </w:rPr>
        <w:t>Article 10 requires member states to monitor the significant environmental effects of the implementation of plans and programmes</w:t>
      </w:r>
      <w:r w:rsidR="00625ADB">
        <w:rPr>
          <w:rFonts w:ascii="Times New Roman" w:hAnsi="Times New Roman" w:cs="Times New Roman"/>
          <w:sz w:val="24"/>
          <w:szCs w:val="24"/>
        </w:rPr>
        <w:t>,</w:t>
      </w:r>
      <w:r w:rsidRPr="00D7503E">
        <w:rPr>
          <w:rFonts w:ascii="Times New Roman" w:hAnsi="Times New Roman" w:cs="Times New Roman"/>
          <w:sz w:val="24"/>
          <w:szCs w:val="24"/>
        </w:rPr>
        <w:t xml:space="preserve"> </w:t>
      </w:r>
      <w:r w:rsidRPr="00D7503E">
        <w:rPr>
          <w:rFonts w:ascii="Times New Roman" w:hAnsi="Times New Roman" w:cs="Times New Roman"/>
          <w:i/>
          <w:sz w:val="24"/>
          <w:szCs w:val="24"/>
        </w:rPr>
        <w:t>“in order, inter alia, to identify at an early stage unforeseen adverse effects, and to be able to undertake appropriate remedial action.”</w:t>
      </w:r>
      <w:r w:rsidR="009D52BB">
        <w:rPr>
          <w:rFonts w:ascii="Times New Roman" w:hAnsi="Times New Roman" w:cs="Times New Roman"/>
          <w:i/>
          <w:sz w:val="24"/>
          <w:szCs w:val="24"/>
        </w:rPr>
        <w:t xml:space="preserve"> </w:t>
      </w:r>
      <w:r w:rsidRPr="00D7503E">
        <w:rPr>
          <w:rFonts w:ascii="Times New Roman" w:hAnsi="Times New Roman" w:cs="Times New Roman"/>
          <w:i/>
          <w:sz w:val="24"/>
          <w:szCs w:val="24"/>
        </w:rPr>
        <w:t xml:space="preserve"> </w:t>
      </w:r>
      <w:r w:rsidRPr="00D7503E">
        <w:rPr>
          <w:rFonts w:ascii="Times New Roman" w:hAnsi="Times New Roman" w:cs="Times New Roman"/>
          <w:sz w:val="24"/>
          <w:szCs w:val="24"/>
        </w:rPr>
        <w:t>It is open to member states to use existing monitoring arrangements with a view to avoiding duplication of monitoring</w:t>
      </w:r>
      <w:r>
        <w:t>.</w:t>
      </w:r>
      <w:r w:rsidR="00D7503E">
        <w:t xml:space="preserve"> </w:t>
      </w:r>
      <w:r w:rsidR="007765D3">
        <w:t xml:space="preserve"> </w:t>
      </w:r>
      <w:r w:rsidR="00D7503E">
        <w:rPr>
          <w:rFonts w:ascii="Times New Roman" w:hAnsi="Times New Roman" w:cs="Times New Roman"/>
          <w:sz w:val="24"/>
          <w:szCs w:val="24"/>
        </w:rPr>
        <w:t>The applicant alleges that the monitoring provided under the NPF does not satisfy the requirements of Article 10.</w:t>
      </w:r>
    </w:p>
    <w:p w14:paraId="6E802465" w14:textId="77777777" w:rsidR="00860E96" w:rsidRPr="00542FF7" w:rsidRDefault="00860E96" w:rsidP="00542FF7">
      <w:pPr>
        <w:spacing w:line="276" w:lineRule="auto"/>
        <w:rPr>
          <w:b/>
          <w:u w:val="single"/>
        </w:rPr>
      </w:pPr>
    </w:p>
    <w:p w14:paraId="45012CDA" w14:textId="2DA18BF2" w:rsidR="00F878AC" w:rsidRPr="00F878AC" w:rsidRDefault="00F878AC" w:rsidP="00F878AC">
      <w:pPr>
        <w:tabs>
          <w:tab w:val="left" w:pos="567"/>
        </w:tabs>
        <w:spacing w:line="480" w:lineRule="auto"/>
        <w:rPr>
          <w:b/>
          <w:u w:val="single"/>
        </w:rPr>
      </w:pPr>
      <w:r w:rsidRPr="00F878AC">
        <w:rPr>
          <w:b/>
          <w:u w:val="single"/>
        </w:rPr>
        <w:t>The Facts</w:t>
      </w:r>
    </w:p>
    <w:p w14:paraId="59229244" w14:textId="6A399DD3" w:rsidR="0014491D" w:rsidRPr="00BD3A03" w:rsidRDefault="009C034B" w:rsidP="00573886">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14491D">
        <w:rPr>
          <w:rFonts w:ascii="Times New Roman" w:hAnsi="Times New Roman"/>
          <w:sz w:val="24"/>
        </w:rPr>
        <w:t xml:space="preserve">The history of the adoption of the NPF and NDP is complicated. </w:t>
      </w:r>
      <w:r w:rsidR="007765D3">
        <w:rPr>
          <w:rFonts w:ascii="Times New Roman" w:hAnsi="Times New Roman"/>
          <w:sz w:val="24"/>
        </w:rPr>
        <w:t xml:space="preserve"> </w:t>
      </w:r>
      <w:r w:rsidR="000C3FDB" w:rsidRPr="0014491D">
        <w:rPr>
          <w:rFonts w:ascii="Times New Roman" w:hAnsi="Times New Roman"/>
          <w:sz w:val="24"/>
        </w:rPr>
        <w:t>Section 2 of the Planning and Development Act 2000 defines the National Spatial Strategy</w:t>
      </w:r>
      <w:r w:rsidR="00C73C5A">
        <w:rPr>
          <w:rFonts w:ascii="Times New Roman" w:hAnsi="Times New Roman"/>
          <w:sz w:val="24"/>
        </w:rPr>
        <w:t xml:space="preserve"> (“the NSS”)</w:t>
      </w:r>
      <w:r w:rsidR="000C3FDB" w:rsidRPr="0014491D">
        <w:rPr>
          <w:rFonts w:ascii="Times New Roman" w:hAnsi="Times New Roman"/>
          <w:sz w:val="24"/>
        </w:rPr>
        <w:t xml:space="preserve"> as </w:t>
      </w:r>
      <w:r w:rsidR="000C3FDB" w:rsidRPr="004A56E3">
        <w:rPr>
          <w:rFonts w:ascii="Times New Roman" w:hAnsi="Times New Roman"/>
          <w:i/>
          <w:iCs/>
          <w:sz w:val="24"/>
        </w:rPr>
        <w:t>“</w:t>
      </w:r>
      <w:r w:rsidR="007765D3" w:rsidRPr="004A56E3">
        <w:rPr>
          <w:rFonts w:ascii="Times New Roman" w:hAnsi="Times New Roman"/>
          <w:i/>
          <w:iCs/>
          <w:sz w:val="24"/>
        </w:rPr>
        <w:t>t</w:t>
      </w:r>
      <w:r w:rsidR="00A666A1" w:rsidRPr="004A56E3">
        <w:rPr>
          <w:rFonts w:ascii="Times New Roman" w:hAnsi="Times New Roman"/>
          <w:i/>
          <w:iCs/>
          <w:sz w:val="24"/>
        </w:rPr>
        <w:t xml:space="preserve">he </w:t>
      </w:r>
      <w:r w:rsidR="007765D3">
        <w:rPr>
          <w:rFonts w:ascii="Times New Roman" w:hAnsi="Times New Roman"/>
          <w:i/>
          <w:iCs/>
          <w:sz w:val="24"/>
        </w:rPr>
        <w:t>‘</w:t>
      </w:r>
      <w:r w:rsidR="00A666A1" w:rsidRPr="004A56E3">
        <w:rPr>
          <w:rFonts w:ascii="Times New Roman" w:hAnsi="Times New Roman"/>
          <w:i/>
          <w:iCs/>
          <w:sz w:val="24"/>
        </w:rPr>
        <w:t>National Spat</w:t>
      </w:r>
      <w:r w:rsidR="000C3FDB" w:rsidRPr="004A56E3">
        <w:rPr>
          <w:rFonts w:ascii="Times New Roman" w:hAnsi="Times New Roman"/>
          <w:i/>
          <w:iCs/>
          <w:sz w:val="24"/>
        </w:rPr>
        <w:t>ial Strategy: 2002</w:t>
      </w:r>
      <w:r w:rsidR="007765D3" w:rsidRPr="004A56E3">
        <w:rPr>
          <w:rFonts w:ascii="Times New Roman" w:hAnsi="Times New Roman"/>
          <w:i/>
          <w:iCs/>
          <w:sz w:val="24"/>
        </w:rPr>
        <w:t>-</w:t>
      </w:r>
      <w:r w:rsidR="000C3FDB" w:rsidRPr="004A56E3">
        <w:rPr>
          <w:rFonts w:ascii="Times New Roman" w:hAnsi="Times New Roman"/>
          <w:i/>
          <w:iCs/>
          <w:sz w:val="24"/>
        </w:rPr>
        <w:t>2020</w:t>
      </w:r>
      <w:r w:rsidR="007765D3">
        <w:rPr>
          <w:rFonts w:ascii="Times New Roman" w:hAnsi="Times New Roman"/>
          <w:i/>
          <w:iCs/>
          <w:sz w:val="24"/>
        </w:rPr>
        <w:t>’</w:t>
      </w:r>
      <w:r w:rsidR="000C3FDB" w:rsidRPr="007765D3">
        <w:rPr>
          <w:rFonts w:ascii="Times New Roman" w:hAnsi="Times New Roman"/>
          <w:i/>
          <w:iCs/>
          <w:sz w:val="24"/>
        </w:rPr>
        <w:t xml:space="preserve"> </w:t>
      </w:r>
      <w:r w:rsidR="000C3FDB" w:rsidRPr="004A56E3">
        <w:rPr>
          <w:rFonts w:ascii="Times New Roman" w:hAnsi="Times New Roman"/>
          <w:i/>
          <w:iCs/>
          <w:sz w:val="24"/>
        </w:rPr>
        <w:t>published by the Government on 28 November 20</w:t>
      </w:r>
      <w:r w:rsidR="0014491D" w:rsidRPr="004A56E3">
        <w:rPr>
          <w:rFonts w:ascii="Times New Roman" w:hAnsi="Times New Roman"/>
          <w:i/>
          <w:iCs/>
          <w:sz w:val="24"/>
        </w:rPr>
        <w:t>0</w:t>
      </w:r>
      <w:r w:rsidR="000C3FDB" w:rsidRPr="004A56E3">
        <w:rPr>
          <w:rFonts w:ascii="Times New Roman" w:hAnsi="Times New Roman"/>
          <w:i/>
          <w:iCs/>
          <w:sz w:val="24"/>
        </w:rPr>
        <w:t>2, or</w:t>
      </w:r>
      <w:r w:rsidR="000C3FDB" w:rsidRPr="0014491D">
        <w:rPr>
          <w:rFonts w:ascii="Times New Roman" w:hAnsi="Times New Roman"/>
          <w:sz w:val="24"/>
        </w:rPr>
        <w:t xml:space="preserve"> </w:t>
      </w:r>
      <w:r w:rsidR="000C3FDB" w:rsidRPr="0014491D">
        <w:rPr>
          <w:rFonts w:ascii="Times New Roman" w:hAnsi="Times New Roman"/>
          <w:i/>
          <w:sz w:val="24"/>
        </w:rPr>
        <w:t xml:space="preserve">any document published by the Government which amends or replaces that </w:t>
      </w:r>
      <w:r w:rsidR="007765D3">
        <w:rPr>
          <w:rFonts w:ascii="Times New Roman" w:hAnsi="Times New Roman"/>
          <w:i/>
          <w:sz w:val="24"/>
        </w:rPr>
        <w:t>S</w:t>
      </w:r>
      <w:r w:rsidR="000C3FDB" w:rsidRPr="0014491D">
        <w:rPr>
          <w:rFonts w:ascii="Times New Roman" w:hAnsi="Times New Roman"/>
          <w:i/>
          <w:sz w:val="24"/>
        </w:rPr>
        <w:t>trategy</w:t>
      </w:r>
      <w:r w:rsidR="000C3FDB" w:rsidRPr="0014491D">
        <w:rPr>
          <w:rFonts w:ascii="Times New Roman" w:hAnsi="Times New Roman"/>
          <w:sz w:val="24"/>
        </w:rPr>
        <w:t>”.</w:t>
      </w:r>
      <w:r w:rsidR="009D3C0A" w:rsidRPr="0014491D">
        <w:rPr>
          <w:rFonts w:ascii="Times New Roman" w:hAnsi="Times New Roman"/>
          <w:sz w:val="24"/>
        </w:rPr>
        <w:t xml:space="preserve"> </w:t>
      </w:r>
      <w:r w:rsidR="003E65A9" w:rsidRPr="0014491D">
        <w:rPr>
          <w:rFonts w:ascii="Times New Roman" w:hAnsi="Times New Roman"/>
          <w:sz w:val="24"/>
        </w:rPr>
        <w:t xml:space="preserve"> </w:t>
      </w:r>
      <w:r w:rsidR="000C3FDB" w:rsidRPr="0014491D">
        <w:rPr>
          <w:rFonts w:ascii="Times New Roman" w:hAnsi="Times New Roman"/>
          <w:sz w:val="24"/>
        </w:rPr>
        <w:t>In October 2014</w:t>
      </w:r>
      <w:r w:rsidR="007765D3">
        <w:rPr>
          <w:rFonts w:ascii="Times New Roman" w:hAnsi="Times New Roman"/>
          <w:sz w:val="24"/>
        </w:rPr>
        <w:t>,</w:t>
      </w:r>
      <w:r w:rsidR="000C3FDB" w:rsidRPr="0014491D">
        <w:rPr>
          <w:rFonts w:ascii="Times New Roman" w:hAnsi="Times New Roman"/>
          <w:sz w:val="24"/>
        </w:rPr>
        <w:t xml:space="preserve"> the </w:t>
      </w:r>
      <w:r w:rsidR="008979CB">
        <w:rPr>
          <w:rFonts w:ascii="Times New Roman" w:hAnsi="Times New Roman"/>
          <w:sz w:val="24"/>
        </w:rPr>
        <w:t>g</w:t>
      </w:r>
      <w:r w:rsidR="000C3FDB" w:rsidRPr="0014491D">
        <w:rPr>
          <w:rFonts w:ascii="Times New Roman" w:hAnsi="Times New Roman"/>
          <w:sz w:val="24"/>
        </w:rPr>
        <w:t xml:space="preserve">overnment gave approval for the commencement of the preparation of the </w:t>
      </w:r>
      <w:r w:rsidR="00DF1C74">
        <w:rPr>
          <w:rFonts w:ascii="Times New Roman" w:hAnsi="Times New Roman"/>
          <w:sz w:val="24"/>
        </w:rPr>
        <w:t>NPF</w:t>
      </w:r>
      <w:r w:rsidR="000C3FDB" w:rsidRPr="0014491D">
        <w:rPr>
          <w:rFonts w:ascii="Times New Roman" w:hAnsi="Times New Roman"/>
          <w:sz w:val="24"/>
        </w:rPr>
        <w:t xml:space="preserve"> which </w:t>
      </w:r>
      <w:r w:rsidR="00A666A1" w:rsidRPr="0014491D">
        <w:rPr>
          <w:rFonts w:ascii="Times New Roman" w:hAnsi="Times New Roman"/>
          <w:sz w:val="24"/>
        </w:rPr>
        <w:t xml:space="preserve">was to replace the </w:t>
      </w:r>
      <w:r w:rsidR="00C73C5A">
        <w:rPr>
          <w:rFonts w:ascii="Times New Roman" w:hAnsi="Times New Roman"/>
          <w:sz w:val="24"/>
        </w:rPr>
        <w:t>NSS</w:t>
      </w:r>
      <w:r w:rsidR="000C3FDB" w:rsidRPr="0014491D">
        <w:rPr>
          <w:rFonts w:ascii="Times New Roman" w:hAnsi="Times New Roman"/>
          <w:sz w:val="24"/>
        </w:rPr>
        <w:t xml:space="preserve"> of 28 November 2002.</w:t>
      </w:r>
      <w:r w:rsidR="0014491D">
        <w:rPr>
          <w:rFonts w:ascii="Times New Roman" w:hAnsi="Times New Roman"/>
          <w:sz w:val="24"/>
        </w:rPr>
        <w:t xml:space="preserve"> </w:t>
      </w:r>
      <w:r w:rsidR="00DF1C74">
        <w:rPr>
          <w:rFonts w:ascii="Times New Roman" w:hAnsi="Times New Roman"/>
          <w:sz w:val="24"/>
        </w:rPr>
        <w:t xml:space="preserve"> </w:t>
      </w:r>
      <w:r w:rsidR="0014491D">
        <w:rPr>
          <w:rFonts w:ascii="Times New Roman" w:hAnsi="Times New Roman"/>
          <w:sz w:val="24"/>
        </w:rPr>
        <w:t>Section 2 of the PDA 2000 is the legislative basis for its adoption.</w:t>
      </w:r>
      <w:r w:rsidR="0014491D" w:rsidRPr="00BD3A03">
        <w:rPr>
          <w:rFonts w:ascii="Times New Roman" w:hAnsi="Times New Roman"/>
          <w:sz w:val="24"/>
        </w:rPr>
        <w:t xml:space="preserve"> </w:t>
      </w:r>
      <w:r w:rsidR="00DF1C74">
        <w:rPr>
          <w:rFonts w:ascii="Times New Roman" w:hAnsi="Times New Roman"/>
          <w:sz w:val="24"/>
        </w:rPr>
        <w:t xml:space="preserve"> </w:t>
      </w:r>
      <w:r w:rsidR="0014491D">
        <w:rPr>
          <w:rFonts w:ascii="Times New Roman" w:hAnsi="Times New Roman"/>
          <w:sz w:val="24"/>
        </w:rPr>
        <w:t xml:space="preserve">It is the apex development plan for the country and is intended to provide strategic context for planning and development up until 2040. </w:t>
      </w:r>
    </w:p>
    <w:p w14:paraId="1E522A33" w14:textId="3B564830" w:rsidR="000C3FDB" w:rsidRPr="0014491D" w:rsidRDefault="000C3FDB" w:rsidP="005B4E33">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14491D">
        <w:rPr>
          <w:rFonts w:ascii="Times New Roman" w:hAnsi="Times New Roman"/>
          <w:sz w:val="24"/>
        </w:rPr>
        <w:lastRenderedPageBreak/>
        <w:t>The evidence of Mr. Paul Hogan, Senior Planning Advisor in the Department of Housing, Planning and Local Government</w:t>
      </w:r>
      <w:r w:rsidR="00AC1582" w:rsidRPr="0014491D">
        <w:rPr>
          <w:rFonts w:ascii="Times New Roman" w:hAnsi="Times New Roman"/>
          <w:sz w:val="24"/>
        </w:rPr>
        <w:t xml:space="preserve"> (“the Department”)</w:t>
      </w:r>
      <w:r w:rsidRPr="0014491D">
        <w:rPr>
          <w:rFonts w:ascii="Times New Roman" w:hAnsi="Times New Roman"/>
          <w:sz w:val="24"/>
        </w:rPr>
        <w:t>, in his affidavit of 5 March 2019</w:t>
      </w:r>
      <w:r w:rsidR="00B95804">
        <w:rPr>
          <w:rFonts w:ascii="Times New Roman" w:hAnsi="Times New Roman"/>
          <w:sz w:val="24"/>
        </w:rPr>
        <w:t>,</w:t>
      </w:r>
      <w:r w:rsidRPr="0014491D">
        <w:rPr>
          <w:rFonts w:ascii="Times New Roman" w:hAnsi="Times New Roman"/>
          <w:sz w:val="24"/>
        </w:rPr>
        <w:t xml:space="preserve"> is that the </w:t>
      </w:r>
      <w:r w:rsidR="00DF1C74">
        <w:rPr>
          <w:rFonts w:ascii="Times New Roman" w:hAnsi="Times New Roman"/>
          <w:sz w:val="24"/>
        </w:rPr>
        <w:t>NPF</w:t>
      </w:r>
      <w:r w:rsidRPr="0014491D">
        <w:rPr>
          <w:rFonts w:ascii="Times New Roman" w:hAnsi="Times New Roman"/>
          <w:sz w:val="24"/>
        </w:rPr>
        <w:t xml:space="preserve"> </w:t>
      </w:r>
      <w:r w:rsidR="00DF1C74">
        <w:rPr>
          <w:rFonts w:ascii="Times New Roman" w:hAnsi="Times New Roman"/>
          <w:sz w:val="24"/>
        </w:rPr>
        <w:t>R</w:t>
      </w:r>
      <w:r w:rsidRPr="0014491D">
        <w:rPr>
          <w:rFonts w:ascii="Times New Roman" w:hAnsi="Times New Roman"/>
          <w:sz w:val="24"/>
        </w:rPr>
        <w:t>oadmap was published in December 2015.  He says that a copy is exhibited at Tab 1 of Exhibit PH1.  However, that is a document dated July 2018 and it refers to events up to and including 29 May 2018</w:t>
      </w:r>
      <w:r w:rsidR="00B11A53" w:rsidRPr="0014491D">
        <w:rPr>
          <w:rFonts w:ascii="Times New Roman" w:hAnsi="Times New Roman"/>
          <w:sz w:val="24"/>
        </w:rPr>
        <w:t>,</w:t>
      </w:r>
      <w:r w:rsidRPr="0014491D">
        <w:rPr>
          <w:rFonts w:ascii="Times New Roman" w:hAnsi="Times New Roman"/>
          <w:sz w:val="24"/>
        </w:rPr>
        <w:t xml:space="preserve"> so it cannot be the roadmap which was published in December 2015, which accordingly appears not to have been adduced in evidence.</w:t>
      </w:r>
      <w:r w:rsidR="00DF1C74">
        <w:rPr>
          <w:rFonts w:ascii="Times New Roman" w:hAnsi="Times New Roman"/>
          <w:sz w:val="24"/>
        </w:rPr>
        <w:t xml:space="preserve"> </w:t>
      </w:r>
      <w:r w:rsidR="001C49B0">
        <w:rPr>
          <w:rFonts w:ascii="Times New Roman" w:hAnsi="Times New Roman"/>
          <w:sz w:val="24"/>
        </w:rPr>
        <w:t xml:space="preserve"> However, nothing arises in respect of this omission.</w:t>
      </w:r>
    </w:p>
    <w:p w14:paraId="5129A4CB" w14:textId="1B14DBAD" w:rsidR="00891A16" w:rsidRPr="00891A16" w:rsidRDefault="00891A16"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In June 2016</w:t>
      </w:r>
      <w:r w:rsidR="00DF1C74">
        <w:rPr>
          <w:rFonts w:ascii="Times New Roman" w:hAnsi="Times New Roman"/>
          <w:sz w:val="24"/>
        </w:rPr>
        <w:t>,</w:t>
      </w:r>
      <w:r>
        <w:rPr>
          <w:rFonts w:ascii="Times New Roman" w:hAnsi="Times New Roman"/>
          <w:sz w:val="24"/>
        </w:rPr>
        <w:t xml:space="preserve"> there was preliminary stakeholder consultation on the NPF and in September 2016 preliminary public engagement on the NPF.   </w:t>
      </w:r>
    </w:p>
    <w:p w14:paraId="45A3D76A" w14:textId="0C83A899" w:rsidR="00891A16" w:rsidRPr="00891A16" w:rsidRDefault="00AC1582"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On 29 November 2016</w:t>
      </w:r>
      <w:r w:rsidR="00DF1C74">
        <w:rPr>
          <w:rFonts w:ascii="Times New Roman" w:hAnsi="Times New Roman"/>
          <w:sz w:val="24"/>
        </w:rPr>
        <w:t>,</w:t>
      </w:r>
      <w:r>
        <w:rPr>
          <w:rFonts w:ascii="Times New Roman" w:hAnsi="Times New Roman"/>
          <w:sz w:val="24"/>
        </w:rPr>
        <w:t xml:space="preserve"> t</w:t>
      </w:r>
      <w:r w:rsidR="00891A16">
        <w:rPr>
          <w:rFonts w:ascii="Times New Roman" w:hAnsi="Times New Roman"/>
          <w:sz w:val="24"/>
        </w:rPr>
        <w:t>he Department engaged RPS Consultants (“RPS”) to undertake a SEA in respect of the NPF and to screen the NPF in order to assess whether it was likely to have significant effects on any European sites within the Natura 2000 network, either alone or in combination with other plans</w:t>
      </w:r>
      <w:r w:rsidR="00C141DC">
        <w:rPr>
          <w:rFonts w:ascii="Times New Roman" w:hAnsi="Times New Roman"/>
          <w:sz w:val="24"/>
        </w:rPr>
        <w:t>,</w:t>
      </w:r>
      <w:r w:rsidR="00891A16">
        <w:rPr>
          <w:rFonts w:ascii="Times New Roman" w:hAnsi="Times New Roman"/>
          <w:sz w:val="24"/>
        </w:rPr>
        <w:t xml:space="preserve"> and thus whether it required to be the subject of </w:t>
      </w:r>
      <w:r w:rsidR="00C141DC">
        <w:rPr>
          <w:rFonts w:ascii="Times New Roman" w:hAnsi="Times New Roman"/>
          <w:sz w:val="24"/>
        </w:rPr>
        <w:t xml:space="preserve">an </w:t>
      </w:r>
      <w:r w:rsidR="00891A16">
        <w:rPr>
          <w:rFonts w:ascii="Times New Roman" w:hAnsi="Times New Roman"/>
          <w:sz w:val="24"/>
        </w:rPr>
        <w:t xml:space="preserve">AA.  </w:t>
      </w:r>
      <w:r>
        <w:rPr>
          <w:rFonts w:ascii="Times New Roman" w:hAnsi="Times New Roman"/>
          <w:sz w:val="24"/>
        </w:rPr>
        <w:t>RPS was also to conduct Strategic Flood Risk A</w:t>
      </w:r>
      <w:r w:rsidR="00F878AC">
        <w:rPr>
          <w:rFonts w:ascii="Times New Roman" w:hAnsi="Times New Roman"/>
          <w:sz w:val="24"/>
        </w:rPr>
        <w:t>ppraisal</w:t>
      </w:r>
      <w:r>
        <w:rPr>
          <w:rFonts w:ascii="Times New Roman" w:hAnsi="Times New Roman"/>
          <w:sz w:val="24"/>
        </w:rPr>
        <w:t xml:space="preserve"> (“SFRA”) of the NPF.  </w:t>
      </w:r>
    </w:p>
    <w:p w14:paraId="398BC4EA" w14:textId="2E97B0AF" w:rsidR="00AC1582" w:rsidRPr="00AC1582" w:rsidRDefault="00112CFA"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In </w:t>
      </w:r>
      <w:r w:rsidR="00AC1582" w:rsidRPr="00AC1582">
        <w:rPr>
          <w:rFonts w:ascii="Times New Roman" w:hAnsi="Times New Roman"/>
          <w:sz w:val="24"/>
        </w:rPr>
        <w:t xml:space="preserve">December </w:t>
      </w:r>
      <w:r>
        <w:rPr>
          <w:rFonts w:ascii="Times New Roman" w:hAnsi="Times New Roman"/>
          <w:sz w:val="24"/>
        </w:rPr>
        <w:t>2016</w:t>
      </w:r>
      <w:r w:rsidR="00C141DC">
        <w:rPr>
          <w:rFonts w:ascii="Times New Roman" w:hAnsi="Times New Roman"/>
          <w:sz w:val="24"/>
        </w:rPr>
        <w:t>,</w:t>
      </w:r>
      <w:r>
        <w:rPr>
          <w:rFonts w:ascii="Times New Roman" w:hAnsi="Times New Roman"/>
          <w:sz w:val="24"/>
        </w:rPr>
        <w:t xml:space="preserve"> RPS undertook </w:t>
      </w:r>
      <w:r w:rsidR="00AC1582" w:rsidRPr="00AC1582">
        <w:rPr>
          <w:rFonts w:ascii="Times New Roman" w:hAnsi="Times New Roman"/>
          <w:sz w:val="24"/>
        </w:rPr>
        <w:t xml:space="preserve">SEA screening </w:t>
      </w:r>
      <w:r>
        <w:rPr>
          <w:rFonts w:ascii="Times New Roman" w:hAnsi="Times New Roman"/>
          <w:sz w:val="24"/>
        </w:rPr>
        <w:t>of the intended NP</w:t>
      </w:r>
      <w:r w:rsidR="00F878AC">
        <w:rPr>
          <w:rFonts w:ascii="Times New Roman" w:hAnsi="Times New Roman"/>
          <w:sz w:val="24"/>
        </w:rPr>
        <w:t>F</w:t>
      </w:r>
      <w:r>
        <w:rPr>
          <w:rFonts w:ascii="Times New Roman" w:hAnsi="Times New Roman"/>
          <w:sz w:val="24"/>
        </w:rPr>
        <w:t xml:space="preserve"> </w:t>
      </w:r>
      <w:r w:rsidR="00AC1582" w:rsidRPr="00AC1582">
        <w:rPr>
          <w:rFonts w:ascii="Times New Roman" w:hAnsi="Times New Roman"/>
          <w:sz w:val="24"/>
        </w:rPr>
        <w:t>after which it was determined the SEA of the NPF would be required.  The next step in the SEA process required definition of the scope and level of detail of the information to be included in the environmental report.  Th</w:t>
      </w:r>
      <w:r w:rsidR="00EA3ACD">
        <w:rPr>
          <w:rFonts w:ascii="Times New Roman" w:hAnsi="Times New Roman"/>
          <w:sz w:val="24"/>
        </w:rPr>
        <w:t>is</w:t>
      </w:r>
      <w:r w:rsidR="00AC1582" w:rsidRPr="00AC1582">
        <w:rPr>
          <w:rFonts w:ascii="Times New Roman" w:hAnsi="Times New Roman"/>
          <w:sz w:val="24"/>
        </w:rPr>
        <w:t xml:space="preserve"> scoping was the foc</w:t>
      </w:r>
      <w:r>
        <w:rPr>
          <w:rFonts w:ascii="Times New Roman" w:hAnsi="Times New Roman"/>
          <w:sz w:val="24"/>
        </w:rPr>
        <w:t>us of the SEA Scoping Report</w:t>
      </w:r>
      <w:r w:rsidR="00EA3ACD">
        <w:rPr>
          <w:rFonts w:ascii="Times New Roman" w:hAnsi="Times New Roman"/>
          <w:sz w:val="24"/>
        </w:rPr>
        <w:t>.</w:t>
      </w:r>
    </w:p>
    <w:p w14:paraId="420E22D1" w14:textId="7DEF901F" w:rsidR="00112CFA" w:rsidRPr="00112CFA" w:rsidRDefault="00112CFA"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112CFA">
        <w:rPr>
          <w:rFonts w:ascii="Times New Roman" w:hAnsi="Times New Roman"/>
          <w:sz w:val="24"/>
        </w:rPr>
        <w:t>The SEA Scoping Report formed part of the official strategic environmental assessment scoping under S.I. 435 of 2004</w:t>
      </w:r>
      <w:r w:rsidR="00B95804">
        <w:rPr>
          <w:rFonts w:ascii="Times New Roman" w:hAnsi="Times New Roman"/>
          <w:sz w:val="24"/>
        </w:rPr>
        <w:t>,</w:t>
      </w:r>
      <w:r w:rsidRPr="00112CFA">
        <w:rPr>
          <w:rFonts w:ascii="Times New Roman" w:hAnsi="Times New Roman"/>
          <w:sz w:val="24"/>
        </w:rPr>
        <w:t xml:space="preserve"> as amended by S.I. 200 of 2011.  The purpose of the document was to provide preliminary information on the proposed NPF with a view to establishing the scope, level of detail and approach required for the SEA which would follow.  The intention was that the information contained in the report would enable </w:t>
      </w:r>
      <w:r w:rsidRPr="00112CFA">
        <w:rPr>
          <w:rFonts w:ascii="Times New Roman" w:hAnsi="Times New Roman"/>
          <w:sz w:val="24"/>
        </w:rPr>
        <w:lastRenderedPageBreak/>
        <w:t>meaningful consultation with statutory and non-statutory consultees in relation to the proposed NPF.</w:t>
      </w:r>
    </w:p>
    <w:p w14:paraId="335A95A7" w14:textId="20EB6380" w:rsidR="00A15D57" w:rsidRPr="00112CFA" w:rsidRDefault="00A15D57"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112CFA">
        <w:rPr>
          <w:rFonts w:ascii="Times New Roman" w:hAnsi="Times New Roman"/>
          <w:sz w:val="24"/>
        </w:rPr>
        <w:t>On 2 February 2017</w:t>
      </w:r>
      <w:r w:rsidR="00C141DC">
        <w:rPr>
          <w:rFonts w:ascii="Times New Roman" w:hAnsi="Times New Roman"/>
          <w:sz w:val="24"/>
        </w:rPr>
        <w:t>,</w:t>
      </w:r>
      <w:r w:rsidRPr="00112CFA">
        <w:rPr>
          <w:rFonts w:ascii="Times New Roman" w:hAnsi="Times New Roman"/>
          <w:sz w:val="24"/>
        </w:rPr>
        <w:t xml:space="preserve"> the Department published “Ireland 2040 Our Plan, Issues and Choices”.  This paper set out the main issues and possible choices for the development of Ireland up to 2040.  The Department also published the Strategic Environmental Scoping Report (“the SEA Scoping Report”).  The public and statutory consultees were invited to make submissions.  A transboundary consultation was undertaken with competent authorities in Northern Ireland. </w:t>
      </w:r>
      <w:r w:rsidR="00215412">
        <w:rPr>
          <w:rFonts w:ascii="Times New Roman" w:hAnsi="Times New Roman"/>
          <w:sz w:val="24"/>
        </w:rPr>
        <w:t xml:space="preserve"> </w:t>
      </w:r>
      <w:r w:rsidR="00BA6D42">
        <w:rPr>
          <w:rFonts w:ascii="Times New Roman" w:hAnsi="Times New Roman"/>
          <w:sz w:val="24"/>
        </w:rPr>
        <w:t xml:space="preserve">It appears that the applicant did not make submissions on the </w:t>
      </w:r>
      <w:r w:rsidR="00DF682F">
        <w:rPr>
          <w:rFonts w:ascii="Times New Roman" w:hAnsi="Times New Roman"/>
          <w:sz w:val="24"/>
        </w:rPr>
        <w:t xml:space="preserve">SEA </w:t>
      </w:r>
      <w:r w:rsidR="00BA6D42">
        <w:rPr>
          <w:rFonts w:ascii="Times New Roman" w:hAnsi="Times New Roman"/>
          <w:sz w:val="24"/>
        </w:rPr>
        <w:t>Scoping Report.</w:t>
      </w:r>
      <w:r w:rsidRPr="00112CFA">
        <w:rPr>
          <w:rFonts w:ascii="Times New Roman" w:hAnsi="Times New Roman"/>
          <w:sz w:val="24"/>
        </w:rPr>
        <w:t xml:space="preserve"> </w:t>
      </w:r>
      <w:r w:rsidR="00215412">
        <w:rPr>
          <w:rFonts w:ascii="Times New Roman" w:hAnsi="Times New Roman"/>
          <w:sz w:val="24"/>
        </w:rPr>
        <w:t xml:space="preserve"> </w:t>
      </w:r>
      <w:r w:rsidRPr="00112CFA">
        <w:rPr>
          <w:rFonts w:ascii="Times New Roman" w:hAnsi="Times New Roman"/>
          <w:sz w:val="24"/>
        </w:rPr>
        <w:t>On 31 March 2017</w:t>
      </w:r>
      <w:r w:rsidR="00215412">
        <w:rPr>
          <w:rFonts w:ascii="Times New Roman" w:hAnsi="Times New Roman"/>
          <w:sz w:val="24"/>
        </w:rPr>
        <w:t>,</w:t>
      </w:r>
      <w:r w:rsidRPr="00112CFA">
        <w:rPr>
          <w:rFonts w:ascii="Times New Roman" w:hAnsi="Times New Roman"/>
          <w:sz w:val="24"/>
        </w:rPr>
        <w:t xml:space="preserve"> the pre-draft NPF National Consultation Process ended.</w:t>
      </w:r>
      <w:r w:rsidRPr="00112CFA">
        <w:rPr>
          <w:rFonts w:ascii="Times New Roman" w:hAnsi="Times New Roman"/>
          <w:b/>
          <w:sz w:val="24"/>
          <w:u w:val="single"/>
        </w:rPr>
        <w:t xml:space="preserve"> </w:t>
      </w:r>
    </w:p>
    <w:p w14:paraId="352BE675" w14:textId="21B229EC" w:rsidR="00A15D57" w:rsidRPr="006970AE" w:rsidRDefault="00112CFA" w:rsidP="003763A0">
      <w:pPr>
        <w:pStyle w:val="ListParagraph"/>
        <w:numPr>
          <w:ilvl w:val="0"/>
          <w:numId w:val="1"/>
        </w:numPr>
        <w:tabs>
          <w:tab w:val="left" w:pos="567"/>
        </w:tabs>
        <w:spacing w:line="480" w:lineRule="auto"/>
        <w:ind w:left="0" w:firstLine="0"/>
        <w:jc w:val="left"/>
        <w:rPr>
          <w:rFonts w:ascii="Times New Roman" w:hAnsi="Times New Roman"/>
          <w:sz w:val="24"/>
        </w:rPr>
      </w:pPr>
      <w:r w:rsidRPr="006970AE">
        <w:rPr>
          <w:rFonts w:ascii="Times New Roman" w:hAnsi="Times New Roman"/>
          <w:sz w:val="24"/>
        </w:rPr>
        <w:t xml:space="preserve">On 1 April </w:t>
      </w:r>
      <w:r w:rsidR="00DF682F">
        <w:rPr>
          <w:rFonts w:ascii="Times New Roman" w:hAnsi="Times New Roman"/>
          <w:sz w:val="24"/>
        </w:rPr>
        <w:t>2017</w:t>
      </w:r>
      <w:r w:rsidR="00215412">
        <w:rPr>
          <w:rFonts w:ascii="Times New Roman" w:hAnsi="Times New Roman"/>
          <w:sz w:val="24"/>
        </w:rPr>
        <w:t>,</w:t>
      </w:r>
      <w:r w:rsidR="00DF682F">
        <w:rPr>
          <w:rFonts w:ascii="Times New Roman" w:hAnsi="Times New Roman"/>
          <w:sz w:val="24"/>
        </w:rPr>
        <w:t xml:space="preserve"> </w:t>
      </w:r>
      <w:r w:rsidR="00755BB3" w:rsidRPr="006970AE">
        <w:rPr>
          <w:rFonts w:ascii="Times New Roman" w:hAnsi="Times New Roman"/>
          <w:sz w:val="24"/>
        </w:rPr>
        <w:t xml:space="preserve">work was commenced on the preparation of the draft NPF, the SEA Environmental Report concerning SEA, </w:t>
      </w:r>
      <w:r w:rsidR="00215412">
        <w:rPr>
          <w:rFonts w:ascii="Times New Roman" w:hAnsi="Times New Roman"/>
          <w:sz w:val="24"/>
        </w:rPr>
        <w:t>AA</w:t>
      </w:r>
      <w:r w:rsidR="00755BB3" w:rsidRPr="006970AE">
        <w:rPr>
          <w:rFonts w:ascii="Times New Roman" w:hAnsi="Times New Roman"/>
          <w:sz w:val="24"/>
        </w:rPr>
        <w:t xml:space="preserve"> and SFRA.  The submissions of statutory and non-statutory consultees were considered in the process. </w:t>
      </w:r>
      <w:r w:rsidR="00CA7489" w:rsidRPr="006970AE">
        <w:rPr>
          <w:rFonts w:ascii="Times New Roman" w:hAnsi="Times New Roman"/>
          <w:sz w:val="24"/>
        </w:rPr>
        <w:t xml:space="preserve"> </w:t>
      </w:r>
      <w:r w:rsidR="00755BB3" w:rsidRPr="006970AE">
        <w:rPr>
          <w:rFonts w:ascii="Times New Roman" w:hAnsi="Times New Roman"/>
          <w:sz w:val="24"/>
        </w:rPr>
        <w:t xml:space="preserve">On </w:t>
      </w:r>
      <w:r w:rsidR="00A15D57" w:rsidRPr="006970AE">
        <w:rPr>
          <w:rFonts w:ascii="Times New Roman" w:hAnsi="Times New Roman"/>
          <w:sz w:val="24"/>
        </w:rPr>
        <w:t>5 May</w:t>
      </w:r>
      <w:r w:rsidR="00755BB3" w:rsidRPr="006970AE">
        <w:rPr>
          <w:rFonts w:ascii="Times New Roman" w:hAnsi="Times New Roman"/>
          <w:sz w:val="24"/>
        </w:rPr>
        <w:t xml:space="preserve"> </w:t>
      </w:r>
      <w:r w:rsidR="00A15D57" w:rsidRPr="006970AE">
        <w:rPr>
          <w:rFonts w:ascii="Times New Roman" w:hAnsi="Times New Roman"/>
          <w:sz w:val="24"/>
        </w:rPr>
        <w:t>2017</w:t>
      </w:r>
      <w:r w:rsidR="00215412">
        <w:rPr>
          <w:rFonts w:ascii="Times New Roman" w:hAnsi="Times New Roman"/>
          <w:sz w:val="24"/>
        </w:rPr>
        <w:t>,</w:t>
      </w:r>
      <w:r w:rsidR="00A15D57" w:rsidRPr="006970AE">
        <w:rPr>
          <w:rFonts w:ascii="Times New Roman" w:hAnsi="Times New Roman"/>
          <w:sz w:val="24"/>
        </w:rPr>
        <w:t xml:space="preserve"> </w:t>
      </w:r>
      <w:r w:rsidR="00D61A60">
        <w:rPr>
          <w:rFonts w:ascii="Times New Roman" w:hAnsi="Times New Roman"/>
          <w:sz w:val="24"/>
        </w:rPr>
        <w:t xml:space="preserve">an </w:t>
      </w:r>
      <w:r w:rsidR="00A15D57" w:rsidRPr="006970AE">
        <w:rPr>
          <w:rFonts w:ascii="Times New Roman" w:hAnsi="Times New Roman"/>
          <w:sz w:val="24"/>
        </w:rPr>
        <w:t>SEA alternatives workshop was held in the Customs House, Dublin, to which all statutory consultees were invited</w:t>
      </w:r>
      <w:r w:rsidR="00B95804">
        <w:rPr>
          <w:rFonts w:ascii="Times New Roman" w:hAnsi="Times New Roman"/>
          <w:sz w:val="24"/>
        </w:rPr>
        <w:t>,</w:t>
      </w:r>
      <w:r w:rsidR="00A15D57" w:rsidRPr="006970AE">
        <w:rPr>
          <w:rFonts w:ascii="Times New Roman" w:hAnsi="Times New Roman"/>
          <w:sz w:val="24"/>
        </w:rPr>
        <w:t xml:space="preserve"> in addition to participants from other </w:t>
      </w:r>
      <w:r w:rsidR="00215412">
        <w:rPr>
          <w:rFonts w:ascii="Times New Roman" w:hAnsi="Times New Roman"/>
          <w:sz w:val="24"/>
        </w:rPr>
        <w:t>s</w:t>
      </w:r>
      <w:r w:rsidR="00A15D57" w:rsidRPr="006970AE">
        <w:rPr>
          <w:rFonts w:ascii="Times New Roman" w:hAnsi="Times New Roman"/>
          <w:sz w:val="24"/>
        </w:rPr>
        <w:t xml:space="preserve">tate and </w:t>
      </w:r>
      <w:r w:rsidR="00215412">
        <w:rPr>
          <w:rFonts w:ascii="Times New Roman" w:hAnsi="Times New Roman"/>
          <w:sz w:val="24"/>
        </w:rPr>
        <w:t>s</w:t>
      </w:r>
      <w:r w:rsidR="00A15D57" w:rsidRPr="006970AE">
        <w:rPr>
          <w:rFonts w:ascii="Times New Roman" w:hAnsi="Times New Roman"/>
          <w:sz w:val="24"/>
        </w:rPr>
        <w:t>emi</w:t>
      </w:r>
      <w:r w:rsidR="00215412">
        <w:rPr>
          <w:rFonts w:ascii="Times New Roman" w:hAnsi="Times New Roman"/>
          <w:sz w:val="24"/>
        </w:rPr>
        <w:t>-s</w:t>
      </w:r>
      <w:r w:rsidR="00A15D57" w:rsidRPr="006970AE">
        <w:rPr>
          <w:rFonts w:ascii="Times New Roman" w:hAnsi="Times New Roman"/>
          <w:sz w:val="24"/>
        </w:rPr>
        <w:t xml:space="preserve">tate bodies and non-governmental organisations. </w:t>
      </w:r>
      <w:r w:rsidR="00215412">
        <w:rPr>
          <w:rFonts w:ascii="Times New Roman" w:hAnsi="Times New Roman"/>
          <w:sz w:val="24"/>
        </w:rPr>
        <w:t xml:space="preserve"> </w:t>
      </w:r>
      <w:r w:rsidR="00196989">
        <w:rPr>
          <w:rFonts w:ascii="Times New Roman" w:hAnsi="Times New Roman"/>
          <w:sz w:val="24"/>
        </w:rPr>
        <w:t>There is no evidence that the applicant attended or sought to attend or to make submissions.</w:t>
      </w:r>
    </w:p>
    <w:p w14:paraId="7034F895" w14:textId="648F7E05" w:rsidR="00112CFA" w:rsidRDefault="00755BB3"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August 2017</w:t>
      </w:r>
      <w:r w:rsidR="00215412">
        <w:rPr>
          <w:rFonts w:ascii="Times New Roman" w:hAnsi="Times New Roman"/>
          <w:sz w:val="24"/>
        </w:rPr>
        <w:t>,</w:t>
      </w:r>
      <w:r>
        <w:rPr>
          <w:rFonts w:ascii="Times New Roman" w:hAnsi="Times New Roman"/>
          <w:sz w:val="24"/>
        </w:rPr>
        <w:t xml:space="preserve"> the Department recorded an AA screening determination which concluded that the N</w:t>
      </w:r>
      <w:r w:rsidR="00F878AC">
        <w:rPr>
          <w:rFonts w:ascii="Times New Roman" w:hAnsi="Times New Roman"/>
          <w:sz w:val="24"/>
        </w:rPr>
        <w:t>PF</w:t>
      </w:r>
      <w:r>
        <w:rPr>
          <w:rFonts w:ascii="Times New Roman" w:hAnsi="Times New Roman"/>
          <w:sz w:val="24"/>
        </w:rPr>
        <w:t xml:space="preserve"> should be subject to AA.  </w:t>
      </w:r>
      <w:r w:rsidR="00112CFA">
        <w:rPr>
          <w:rFonts w:ascii="Times New Roman" w:hAnsi="Times New Roman"/>
          <w:sz w:val="24"/>
        </w:rPr>
        <w:t xml:space="preserve"> </w:t>
      </w:r>
      <w:r>
        <w:rPr>
          <w:rFonts w:ascii="Times New Roman" w:hAnsi="Times New Roman"/>
          <w:sz w:val="24"/>
        </w:rPr>
        <w:t xml:space="preserve"> </w:t>
      </w:r>
    </w:p>
    <w:p w14:paraId="3B31636A" w14:textId="3DF4C1F9" w:rsidR="00AC5ECA" w:rsidRDefault="00AC5EC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26 September 2017</w:t>
      </w:r>
      <w:r w:rsidR="00215412">
        <w:rPr>
          <w:rFonts w:ascii="Times New Roman" w:hAnsi="Times New Roman"/>
          <w:sz w:val="24"/>
        </w:rPr>
        <w:t>,</w:t>
      </w:r>
      <w:r>
        <w:rPr>
          <w:rFonts w:ascii="Times New Roman" w:hAnsi="Times New Roman"/>
          <w:sz w:val="24"/>
        </w:rPr>
        <w:t xml:space="preserve"> the Department published a draft NPF</w:t>
      </w:r>
      <w:r w:rsidR="00B95804">
        <w:rPr>
          <w:rFonts w:ascii="Times New Roman" w:hAnsi="Times New Roman"/>
          <w:sz w:val="24"/>
        </w:rPr>
        <w:t>,</w:t>
      </w:r>
      <w:r>
        <w:rPr>
          <w:rFonts w:ascii="Times New Roman" w:hAnsi="Times New Roman"/>
          <w:sz w:val="24"/>
        </w:rPr>
        <w:t xml:space="preserve"> and the SEA Environmental Report for the</w:t>
      </w:r>
      <w:r w:rsidR="006E0F2A">
        <w:rPr>
          <w:rFonts w:ascii="Times New Roman" w:hAnsi="Times New Roman"/>
          <w:sz w:val="24"/>
        </w:rPr>
        <w:t xml:space="preserve"> draft NPF, a pre-consultation N</w:t>
      </w:r>
      <w:r>
        <w:rPr>
          <w:rFonts w:ascii="Times New Roman" w:hAnsi="Times New Roman"/>
          <w:sz w:val="24"/>
        </w:rPr>
        <w:t xml:space="preserve">atura </w:t>
      </w:r>
      <w:r w:rsidR="006E0F2A">
        <w:rPr>
          <w:rFonts w:ascii="Times New Roman" w:hAnsi="Times New Roman"/>
          <w:sz w:val="24"/>
        </w:rPr>
        <w:t>I</w:t>
      </w:r>
      <w:r>
        <w:rPr>
          <w:rFonts w:ascii="Times New Roman" w:hAnsi="Times New Roman"/>
          <w:sz w:val="24"/>
        </w:rPr>
        <w:t xml:space="preserve">mpact </w:t>
      </w:r>
      <w:r w:rsidR="006E0F2A">
        <w:rPr>
          <w:rFonts w:ascii="Times New Roman" w:hAnsi="Times New Roman"/>
          <w:sz w:val="24"/>
        </w:rPr>
        <w:t>S</w:t>
      </w:r>
      <w:r>
        <w:rPr>
          <w:rFonts w:ascii="Times New Roman" w:hAnsi="Times New Roman"/>
          <w:sz w:val="24"/>
        </w:rPr>
        <w:t>tatement (“NIS”) and the draft SFRA.  Following publication of the documents</w:t>
      </w:r>
      <w:r w:rsidR="00F878AC">
        <w:rPr>
          <w:rFonts w:ascii="Times New Roman" w:hAnsi="Times New Roman"/>
          <w:sz w:val="24"/>
        </w:rPr>
        <w:t>,</w:t>
      </w:r>
      <w:r>
        <w:rPr>
          <w:rFonts w:ascii="Times New Roman" w:hAnsi="Times New Roman"/>
          <w:sz w:val="24"/>
        </w:rPr>
        <w:t xml:space="preserve"> consultation in respect of them commenced.</w:t>
      </w:r>
    </w:p>
    <w:p w14:paraId="70BFB9F0" w14:textId="4AFF0D10" w:rsidR="00AC5ECA" w:rsidRDefault="00AC5EC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 November 2017</w:t>
      </w:r>
      <w:r w:rsidR="00841B6F">
        <w:rPr>
          <w:rFonts w:ascii="Times New Roman" w:hAnsi="Times New Roman"/>
          <w:sz w:val="24"/>
        </w:rPr>
        <w:t>,</w:t>
      </w:r>
      <w:r>
        <w:rPr>
          <w:rFonts w:ascii="Times New Roman" w:hAnsi="Times New Roman"/>
          <w:sz w:val="24"/>
        </w:rPr>
        <w:t xml:space="preserve"> submissions were received from the Department of Agriculture, </w:t>
      </w:r>
      <w:r w:rsidR="00EA7A3F">
        <w:rPr>
          <w:rFonts w:ascii="Times New Roman" w:hAnsi="Times New Roman"/>
          <w:sz w:val="24"/>
        </w:rPr>
        <w:t xml:space="preserve">Environment </w:t>
      </w:r>
      <w:r>
        <w:rPr>
          <w:rFonts w:ascii="Times New Roman" w:hAnsi="Times New Roman"/>
          <w:sz w:val="24"/>
        </w:rPr>
        <w:t xml:space="preserve">and Rural Affairs in Northern Ireland confirming that it was </w:t>
      </w:r>
      <w:r>
        <w:rPr>
          <w:rFonts w:ascii="Times New Roman" w:hAnsi="Times New Roman"/>
          <w:sz w:val="24"/>
        </w:rPr>
        <w:lastRenderedPageBreak/>
        <w:t>satisfied with the approach to and integration of SEA, AA and SFRA.  The consultation on the draft NPF and associated documents concluded on 10 November 2017.  The applicant furnished submission</w:t>
      </w:r>
      <w:r w:rsidR="00196989">
        <w:rPr>
          <w:rFonts w:ascii="Times New Roman" w:hAnsi="Times New Roman"/>
          <w:sz w:val="24"/>
        </w:rPr>
        <w:t>s</w:t>
      </w:r>
      <w:r>
        <w:rPr>
          <w:rFonts w:ascii="Times New Roman" w:hAnsi="Times New Roman"/>
          <w:sz w:val="24"/>
        </w:rPr>
        <w:t xml:space="preserve"> on the SEA. </w:t>
      </w:r>
      <w:r w:rsidR="00EA7A3F">
        <w:rPr>
          <w:rFonts w:ascii="Times New Roman" w:hAnsi="Times New Roman"/>
          <w:sz w:val="24"/>
        </w:rPr>
        <w:t xml:space="preserve"> </w:t>
      </w:r>
      <w:r w:rsidR="00196989">
        <w:rPr>
          <w:rFonts w:ascii="Times New Roman" w:hAnsi="Times New Roman"/>
          <w:sz w:val="24"/>
        </w:rPr>
        <w:t>Regrettably, th</w:t>
      </w:r>
      <w:r w:rsidR="0004406B">
        <w:rPr>
          <w:rFonts w:ascii="Times New Roman" w:hAnsi="Times New Roman"/>
          <w:sz w:val="24"/>
        </w:rPr>
        <w:t>ose</w:t>
      </w:r>
      <w:r w:rsidR="00196989">
        <w:rPr>
          <w:rFonts w:ascii="Times New Roman" w:hAnsi="Times New Roman"/>
          <w:sz w:val="24"/>
        </w:rPr>
        <w:t xml:space="preserve"> submission</w:t>
      </w:r>
      <w:r w:rsidR="0004406B">
        <w:rPr>
          <w:rFonts w:ascii="Times New Roman" w:hAnsi="Times New Roman"/>
          <w:sz w:val="24"/>
        </w:rPr>
        <w:t>s were</w:t>
      </w:r>
      <w:r w:rsidR="00196989">
        <w:rPr>
          <w:rFonts w:ascii="Times New Roman" w:hAnsi="Times New Roman"/>
          <w:sz w:val="24"/>
        </w:rPr>
        <w:t xml:space="preserve"> not exhibited</w:t>
      </w:r>
      <w:r>
        <w:rPr>
          <w:rFonts w:ascii="Times New Roman" w:hAnsi="Times New Roman"/>
          <w:sz w:val="24"/>
        </w:rPr>
        <w:t xml:space="preserve"> </w:t>
      </w:r>
      <w:r w:rsidR="00196989">
        <w:rPr>
          <w:rFonts w:ascii="Times New Roman" w:hAnsi="Times New Roman"/>
          <w:sz w:val="24"/>
        </w:rPr>
        <w:t xml:space="preserve">and so the substance of the submission is not clear. </w:t>
      </w:r>
      <w:r w:rsidR="00EA7A3F">
        <w:rPr>
          <w:rFonts w:ascii="Times New Roman" w:hAnsi="Times New Roman"/>
          <w:sz w:val="24"/>
        </w:rPr>
        <w:t xml:space="preserve"> </w:t>
      </w:r>
      <w:r w:rsidR="00196989">
        <w:rPr>
          <w:rFonts w:ascii="Times New Roman" w:hAnsi="Times New Roman"/>
          <w:sz w:val="24"/>
        </w:rPr>
        <w:t xml:space="preserve">This is a significant omission as the respondents allege that many points now relied upon by the applicant were raised for the first time in these proceedings and not during the period of public consultation. </w:t>
      </w:r>
      <w:r w:rsidR="00EA7A3F">
        <w:rPr>
          <w:rFonts w:ascii="Times New Roman" w:hAnsi="Times New Roman"/>
          <w:sz w:val="24"/>
        </w:rPr>
        <w:t xml:space="preserve"> </w:t>
      </w:r>
      <w:r w:rsidR="00196989">
        <w:rPr>
          <w:rFonts w:ascii="Times New Roman" w:hAnsi="Times New Roman"/>
          <w:sz w:val="24"/>
        </w:rPr>
        <w:t>No explanation of this failure has been forthcoming from the applicant.</w:t>
      </w:r>
      <w:r w:rsidR="001770EE">
        <w:rPr>
          <w:rFonts w:ascii="Times New Roman" w:hAnsi="Times New Roman"/>
          <w:sz w:val="24"/>
        </w:rPr>
        <w:t xml:space="preserve">  </w:t>
      </w:r>
    </w:p>
    <w:p w14:paraId="064D23A1" w14:textId="35A4FFD8" w:rsidR="00AC5ECA" w:rsidRDefault="00AC5EC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11 November 2017</w:t>
      </w:r>
      <w:r w:rsidR="00EA7A3F">
        <w:rPr>
          <w:rFonts w:ascii="Times New Roman" w:hAnsi="Times New Roman"/>
          <w:sz w:val="24"/>
        </w:rPr>
        <w:t>,</w:t>
      </w:r>
      <w:r>
        <w:rPr>
          <w:rFonts w:ascii="Times New Roman" w:hAnsi="Times New Roman"/>
          <w:sz w:val="24"/>
        </w:rPr>
        <w:t xml:space="preserve"> the Department commenced amending the draft NPF</w:t>
      </w:r>
      <w:r w:rsidR="00196989">
        <w:rPr>
          <w:rFonts w:ascii="Times New Roman" w:hAnsi="Times New Roman"/>
          <w:sz w:val="24"/>
        </w:rPr>
        <w:t>,</w:t>
      </w:r>
      <w:r w:rsidR="00F878AC">
        <w:rPr>
          <w:rFonts w:ascii="Times New Roman" w:hAnsi="Times New Roman"/>
          <w:sz w:val="24"/>
        </w:rPr>
        <w:t xml:space="preserve"> tak</w:t>
      </w:r>
      <w:r w:rsidR="00196989">
        <w:rPr>
          <w:rFonts w:ascii="Times New Roman" w:hAnsi="Times New Roman"/>
          <w:sz w:val="24"/>
        </w:rPr>
        <w:t>ing</w:t>
      </w:r>
      <w:r w:rsidR="00F878AC">
        <w:rPr>
          <w:rFonts w:ascii="Times New Roman" w:hAnsi="Times New Roman"/>
          <w:sz w:val="24"/>
        </w:rPr>
        <w:t xml:space="preserve"> </w:t>
      </w:r>
      <w:r>
        <w:rPr>
          <w:rFonts w:ascii="Times New Roman" w:hAnsi="Times New Roman"/>
          <w:sz w:val="24"/>
        </w:rPr>
        <w:t>into account the submissions and observations received during the consultation period</w:t>
      </w:r>
      <w:r w:rsidR="00F77F20">
        <w:rPr>
          <w:rFonts w:ascii="Times New Roman" w:hAnsi="Times New Roman"/>
          <w:sz w:val="24"/>
        </w:rPr>
        <w:t>, including those of the applicant</w:t>
      </w:r>
      <w:r>
        <w:rPr>
          <w:rFonts w:ascii="Times New Roman" w:hAnsi="Times New Roman"/>
          <w:sz w:val="24"/>
        </w:rPr>
        <w:t>.  The process was iterative whereby amendments were screened and assessed by RPS with w</w:t>
      </w:r>
      <w:r w:rsidR="006970AE">
        <w:rPr>
          <w:rFonts w:ascii="Times New Roman" w:hAnsi="Times New Roman"/>
          <w:sz w:val="24"/>
        </w:rPr>
        <w:t>ritten and verbal feedback given</w:t>
      </w:r>
      <w:r>
        <w:rPr>
          <w:rFonts w:ascii="Times New Roman" w:hAnsi="Times New Roman"/>
          <w:sz w:val="24"/>
        </w:rPr>
        <w:t xml:space="preserve"> from RPS to the Department.  The process of post</w:t>
      </w:r>
      <w:r w:rsidR="00EA7A3F">
        <w:rPr>
          <w:rFonts w:ascii="Times New Roman" w:hAnsi="Times New Roman"/>
          <w:sz w:val="24"/>
        </w:rPr>
        <w:t>-</w:t>
      </w:r>
      <w:r>
        <w:rPr>
          <w:rFonts w:ascii="Times New Roman" w:hAnsi="Times New Roman"/>
          <w:sz w:val="24"/>
        </w:rPr>
        <w:t>consultation amendments to the four documents was completed on 14 February 2018.</w:t>
      </w:r>
      <w:r w:rsidR="006970AE">
        <w:rPr>
          <w:rFonts w:ascii="Times New Roman" w:hAnsi="Times New Roman"/>
          <w:sz w:val="24"/>
        </w:rPr>
        <w:t xml:space="preserve"> </w:t>
      </w:r>
    </w:p>
    <w:p w14:paraId="585C7948" w14:textId="46EBA254" w:rsidR="00F878AC" w:rsidRDefault="00F878AC"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Mr. Hogan avers that on 16 February 2018:</w:t>
      </w:r>
      <w:r w:rsidR="00EA7A3F">
        <w:rPr>
          <w:rFonts w:ascii="Times New Roman" w:hAnsi="Times New Roman"/>
          <w:sz w:val="24"/>
        </w:rPr>
        <w:t>-</w:t>
      </w:r>
    </w:p>
    <w:p w14:paraId="6EA595EC" w14:textId="3C8BE2A1" w:rsidR="00F878AC" w:rsidRPr="00AC5ECA" w:rsidRDefault="00F878AC" w:rsidP="00F878AC">
      <w:pPr>
        <w:pStyle w:val="ListParagraph"/>
        <w:spacing w:line="480" w:lineRule="auto"/>
        <w:ind w:left="567"/>
        <w:jc w:val="left"/>
        <w:rPr>
          <w:rFonts w:ascii="Times New Roman" w:hAnsi="Times New Roman"/>
          <w:i/>
          <w:sz w:val="24"/>
        </w:rPr>
      </w:pPr>
      <w:r>
        <w:rPr>
          <w:rFonts w:ascii="Times New Roman" w:hAnsi="Times New Roman"/>
          <w:i/>
          <w:sz w:val="24"/>
        </w:rPr>
        <w:t>“The Government considered the SEA environmental report and submissions and/or observation and/or consultations made or undertaken during the preparation of the NPF, the SEA screening and AA of changes that had been made to the draft NPF and took all these matters into account before adopting and publishing the NPF</w:t>
      </w:r>
      <w:r w:rsidR="00EA7A3F">
        <w:rPr>
          <w:rFonts w:ascii="Times New Roman" w:hAnsi="Times New Roman"/>
          <w:i/>
          <w:sz w:val="24"/>
        </w:rPr>
        <w:t xml:space="preserve"> </w:t>
      </w:r>
      <w:r>
        <w:rPr>
          <w:rFonts w:ascii="Times New Roman" w:hAnsi="Times New Roman"/>
          <w:i/>
          <w:sz w:val="24"/>
        </w:rPr>
        <w:t>…</w:t>
      </w:r>
      <w:r w:rsidR="00EA7A3F">
        <w:rPr>
          <w:rFonts w:ascii="Times New Roman" w:hAnsi="Times New Roman"/>
          <w:i/>
          <w:sz w:val="24"/>
        </w:rPr>
        <w:t xml:space="preserve"> </w:t>
      </w:r>
      <w:r>
        <w:rPr>
          <w:rFonts w:ascii="Times New Roman" w:hAnsi="Times New Roman"/>
          <w:i/>
          <w:sz w:val="24"/>
        </w:rPr>
        <w:t>The Government also adopted and published the NDP, being a high</w:t>
      </w:r>
      <w:r w:rsidR="00EA7A3F">
        <w:rPr>
          <w:rFonts w:ascii="Times New Roman" w:hAnsi="Times New Roman"/>
          <w:i/>
          <w:sz w:val="24"/>
        </w:rPr>
        <w:t>-</w:t>
      </w:r>
      <w:r>
        <w:rPr>
          <w:rFonts w:ascii="Times New Roman" w:hAnsi="Times New Roman"/>
          <w:i/>
          <w:sz w:val="24"/>
        </w:rPr>
        <w:t>level budgetary plan associated with the NPF.”</w:t>
      </w:r>
    </w:p>
    <w:p w14:paraId="6175659C" w14:textId="6DD72F72" w:rsidR="00F878AC" w:rsidRPr="00F878AC" w:rsidRDefault="00F878AC"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Mr. Hogan was not present at the </w:t>
      </w:r>
      <w:r w:rsidR="00AB3935">
        <w:rPr>
          <w:rFonts w:ascii="Times New Roman" w:hAnsi="Times New Roman"/>
          <w:sz w:val="24"/>
        </w:rPr>
        <w:t>c</w:t>
      </w:r>
      <w:r>
        <w:rPr>
          <w:rFonts w:ascii="Times New Roman" w:hAnsi="Times New Roman"/>
          <w:sz w:val="24"/>
        </w:rPr>
        <w:t xml:space="preserve">abinet meeting of the </w:t>
      </w:r>
      <w:r w:rsidR="00AB3935">
        <w:rPr>
          <w:rFonts w:ascii="Times New Roman" w:hAnsi="Times New Roman"/>
          <w:sz w:val="24"/>
        </w:rPr>
        <w:t>g</w:t>
      </w:r>
      <w:r>
        <w:rPr>
          <w:rFonts w:ascii="Times New Roman" w:hAnsi="Times New Roman"/>
          <w:sz w:val="24"/>
        </w:rPr>
        <w:t xml:space="preserve">overnment.  He exhibits no document recording the decision of the </w:t>
      </w:r>
      <w:r w:rsidR="00AB3935">
        <w:rPr>
          <w:rFonts w:ascii="Times New Roman" w:hAnsi="Times New Roman"/>
          <w:sz w:val="24"/>
        </w:rPr>
        <w:t>g</w:t>
      </w:r>
      <w:r>
        <w:rPr>
          <w:rFonts w:ascii="Times New Roman" w:hAnsi="Times New Roman"/>
          <w:sz w:val="24"/>
        </w:rPr>
        <w:t>overnment support</w:t>
      </w:r>
      <w:r w:rsidR="001770EE">
        <w:rPr>
          <w:rFonts w:ascii="Times New Roman" w:hAnsi="Times New Roman"/>
          <w:sz w:val="24"/>
        </w:rPr>
        <w:t>ing</w:t>
      </w:r>
      <w:r>
        <w:rPr>
          <w:rFonts w:ascii="Times New Roman" w:hAnsi="Times New Roman"/>
          <w:sz w:val="24"/>
        </w:rPr>
        <w:t xml:space="preserve"> this averment.  Neither does he exhibit the final SEA Environmental Report</w:t>
      </w:r>
      <w:r w:rsidR="00F77F20">
        <w:rPr>
          <w:rFonts w:ascii="Times New Roman" w:hAnsi="Times New Roman"/>
          <w:sz w:val="24"/>
        </w:rPr>
        <w:t xml:space="preserve">, </w:t>
      </w:r>
      <w:r>
        <w:rPr>
          <w:rFonts w:ascii="Times New Roman" w:hAnsi="Times New Roman"/>
          <w:sz w:val="24"/>
        </w:rPr>
        <w:t>AA Conclusion Statement or AA determination which existed on 16 February 2018</w:t>
      </w:r>
      <w:r w:rsidR="00AB3935">
        <w:rPr>
          <w:rFonts w:ascii="Times New Roman" w:hAnsi="Times New Roman"/>
          <w:sz w:val="24"/>
        </w:rPr>
        <w:t>,</w:t>
      </w:r>
      <w:r>
        <w:rPr>
          <w:rFonts w:ascii="Times New Roman" w:hAnsi="Times New Roman"/>
          <w:sz w:val="24"/>
        </w:rPr>
        <w:t xml:space="preserve"> and which could have been before the </w:t>
      </w:r>
      <w:r w:rsidR="00AB3935">
        <w:rPr>
          <w:rFonts w:ascii="Times New Roman" w:hAnsi="Times New Roman"/>
          <w:sz w:val="24"/>
        </w:rPr>
        <w:lastRenderedPageBreak/>
        <w:t>m</w:t>
      </w:r>
      <w:r>
        <w:rPr>
          <w:rFonts w:ascii="Times New Roman" w:hAnsi="Times New Roman"/>
          <w:sz w:val="24"/>
        </w:rPr>
        <w:t xml:space="preserve">embers of the </w:t>
      </w:r>
      <w:r w:rsidR="00AB3935">
        <w:rPr>
          <w:rFonts w:ascii="Times New Roman" w:hAnsi="Times New Roman"/>
          <w:sz w:val="24"/>
        </w:rPr>
        <w:t>g</w:t>
      </w:r>
      <w:r>
        <w:rPr>
          <w:rFonts w:ascii="Times New Roman" w:hAnsi="Times New Roman"/>
          <w:sz w:val="24"/>
        </w:rPr>
        <w:t xml:space="preserve">overnment for their consideration, as he avers, on 16 February 2018.  </w:t>
      </w:r>
      <w:r w:rsidR="00F77F20">
        <w:rPr>
          <w:rFonts w:ascii="Times New Roman" w:hAnsi="Times New Roman"/>
          <w:sz w:val="24"/>
        </w:rPr>
        <w:t>He makes no reference to a draft SEA Statement.</w:t>
      </w:r>
      <w:r>
        <w:rPr>
          <w:rFonts w:ascii="Times New Roman" w:hAnsi="Times New Roman"/>
          <w:sz w:val="24"/>
        </w:rPr>
        <w:t xml:space="preserve"> </w:t>
      </w:r>
    </w:p>
    <w:p w14:paraId="6FC7FAA5" w14:textId="14EBD45C" w:rsidR="006970AE" w:rsidRDefault="00F77F20"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Four</w:t>
      </w:r>
      <w:r w:rsidR="006970AE">
        <w:rPr>
          <w:rFonts w:ascii="Times New Roman" w:hAnsi="Times New Roman"/>
          <w:sz w:val="24"/>
        </w:rPr>
        <w:t xml:space="preserve"> documents which predated 16 February 2018 </w:t>
      </w:r>
      <w:r w:rsidR="00F878AC">
        <w:rPr>
          <w:rFonts w:ascii="Times New Roman" w:hAnsi="Times New Roman"/>
          <w:sz w:val="24"/>
        </w:rPr>
        <w:t xml:space="preserve">and </w:t>
      </w:r>
      <w:r w:rsidR="006970AE">
        <w:rPr>
          <w:rFonts w:ascii="Times New Roman" w:hAnsi="Times New Roman"/>
          <w:sz w:val="24"/>
        </w:rPr>
        <w:t xml:space="preserve">which </w:t>
      </w:r>
      <w:r w:rsidR="00F878AC">
        <w:rPr>
          <w:rFonts w:ascii="Times New Roman" w:hAnsi="Times New Roman"/>
          <w:sz w:val="24"/>
        </w:rPr>
        <w:t>potentially could</w:t>
      </w:r>
      <w:r w:rsidR="006970AE">
        <w:rPr>
          <w:rFonts w:ascii="Times New Roman" w:hAnsi="Times New Roman"/>
          <w:sz w:val="24"/>
        </w:rPr>
        <w:t xml:space="preserve"> satisfy the obligations </w:t>
      </w:r>
      <w:r w:rsidR="00F878AC">
        <w:rPr>
          <w:rFonts w:ascii="Times New Roman" w:hAnsi="Times New Roman"/>
          <w:sz w:val="24"/>
        </w:rPr>
        <w:t xml:space="preserve">of the respondents </w:t>
      </w:r>
      <w:r w:rsidR="006970AE">
        <w:rPr>
          <w:rFonts w:ascii="Times New Roman" w:hAnsi="Times New Roman"/>
          <w:sz w:val="24"/>
        </w:rPr>
        <w:t>arising under the Habitats Directive and the SEA Directive were adduced in evidence</w:t>
      </w:r>
      <w:r w:rsidR="00F878AC">
        <w:rPr>
          <w:rFonts w:ascii="Times New Roman" w:hAnsi="Times New Roman"/>
          <w:sz w:val="24"/>
        </w:rPr>
        <w:t>:</w:t>
      </w:r>
      <w:r w:rsidR="006970AE">
        <w:rPr>
          <w:rFonts w:ascii="Times New Roman" w:hAnsi="Times New Roman"/>
          <w:sz w:val="24"/>
        </w:rPr>
        <w:t xml:space="preserve"> the undated SEA Scoping Report, an undated draft NPF</w:t>
      </w:r>
      <w:r>
        <w:rPr>
          <w:rFonts w:ascii="Times New Roman" w:hAnsi="Times New Roman"/>
          <w:sz w:val="24"/>
        </w:rPr>
        <w:t>,</w:t>
      </w:r>
      <w:r w:rsidR="006970AE">
        <w:rPr>
          <w:rFonts w:ascii="Times New Roman" w:hAnsi="Times New Roman"/>
          <w:sz w:val="24"/>
        </w:rPr>
        <w:t xml:space="preserve"> the pre</w:t>
      </w:r>
      <w:r w:rsidR="00AB3935">
        <w:rPr>
          <w:rFonts w:ascii="Times New Roman" w:hAnsi="Times New Roman"/>
          <w:sz w:val="24"/>
        </w:rPr>
        <w:t>-</w:t>
      </w:r>
      <w:r w:rsidR="006970AE">
        <w:rPr>
          <w:rFonts w:ascii="Times New Roman" w:hAnsi="Times New Roman"/>
          <w:sz w:val="24"/>
        </w:rPr>
        <w:t>consultation NIS</w:t>
      </w:r>
      <w:r>
        <w:rPr>
          <w:rFonts w:ascii="Times New Roman" w:hAnsi="Times New Roman"/>
          <w:sz w:val="24"/>
        </w:rPr>
        <w:t xml:space="preserve"> and the SEA Environmental Report of the </w:t>
      </w:r>
      <w:r w:rsidRPr="00F77F20">
        <w:rPr>
          <w:rFonts w:ascii="Times New Roman" w:hAnsi="Times New Roman"/>
          <w:i/>
          <w:sz w:val="24"/>
        </w:rPr>
        <w:t>draft</w:t>
      </w:r>
      <w:r>
        <w:rPr>
          <w:rFonts w:ascii="Times New Roman" w:hAnsi="Times New Roman"/>
          <w:sz w:val="24"/>
        </w:rPr>
        <w:t xml:space="preserve"> NPF</w:t>
      </w:r>
      <w:r w:rsidR="006970AE">
        <w:rPr>
          <w:rFonts w:ascii="Times New Roman" w:hAnsi="Times New Roman"/>
          <w:sz w:val="24"/>
        </w:rPr>
        <w:t xml:space="preserve">.  </w:t>
      </w:r>
    </w:p>
    <w:p w14:paraId="65E77823" w14:textId="45AA7835" w:rsidR="006970AE" w:rsidRDefault="006970AE"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determination by the Department in 2016</w:t>
      </w:r>
      <w:r w:rsidR="00AB3935">
        <w:rPr>
          <w:rFonts w:ascii="Times New Roman" w:hAnsi="Times New Roman"/>
          <w:sz w:val="24"/>
        </w:rPr>
        <w:t>,</w:t>
      </w:r>
      <w:r>
        <w:rPr>
          <w:rFonts w:ascii="Times New Roman" w:hAnsi="Times New Roman"/>
          <w:sz w:val="24"/>
        </w:rPr>
        <w:t xml:space="preserve"> that the N</w:t>
      </w:r>
      <w:r w:rsidR="00F878AC">
        <w:rPr>
          <w:rFonts w:ascii="Times New Roman" w:hAnsi="Times New Roman"/>
          <w:sz w:val="24"/>
        </w:rPr>
        <w:t>P</w:t>
      </w:r>
      <w:r>
        <w:rPr>
          <w:rFonts w:ascii="Times New Roman" w:hAnsi="Times New Roman"/>
          <w:sz w:val="24"/>
        </w:rPr>
        <w:t>F should be subject to AA</w:t>
      </w:r>
      <w:r w:rsidR="00AB3935">
        <w:rPr>
          <w:rFonts w:ascii="Times New Roman" w:hAnsi="Times New Roman"/>
          <w:sz w:val="24"/>
        </w:rPr>
        <w:t>,</w:t>
      </w:r>
      <w:r>
        <w:rPr>
          <w:rFonts w:ascii="Times New Roman" w:hAnsi="Times New Roman"/>
          <w:sz w:val="24"/>
        </w:rPr>
        <w:t xml:space="preserve"> was not exhibited</w:t>
      </w:r>
      <w:r w:rsidR="00F878AC">
        <w:rPr>
          <w:rFonts w:ascii="Times New Roman" w:hAnsi="Times New Roman"/>
          <w:sz w:val="24"/>
        </w:rPr>
        <w:t xml:space="preserve"> and clearly could not constitute a final AA determination. </w:t>
      </w:r>
      <w:r w:rsidR="00AB3935">
        <w:rPr>
          <w:rFonts w:ascii="Times New Roman" w:hAnsi="Times New Roman"/>
          <w:sz w:val="24"/>
        </w:rPr>
        <w:t xml:space="preserve"> </w:t>
      </w:r>
      <w:r w:rsidR="00F878AC">
        <w:rPr>
          <w:rFonts w:ascii="Times New Roman" w:hAnsi="Times New Roman"/>
          <w:sz w:val="24"/>
        </w:rPr>
        <w:t>Neither could</w:t>
      </w:r>
      <w:r>
        <w:rPr>
          <w:rFonts w:ascii="Times New Roman" w:hAnsi="Times New Roman"/>
          <w:sz w:val="24"/>
        </w:rPr>
        <w:t xml:space="preserve"> </w:t>
      </w:r>
      <w:r w:rsidR="00F878AC">
        <w:rPr>
          <w:rFonts w:ascii="Times New Roman" w:hAnsi="Times New Roman"/>
          <w:sz w:val="24"/>
        </w:rPr>
        <w:t>t</w:t>
      </w:r>
      <w:r>
        <w:rPr>
          <w:rFonts w:ascii="Times New Roman" w:hAnsi="Times New Roman"/>
          <w:sz w:val="24"/>
        </w:rPr>
        <w:t xml:space="preserve">he </w:t>
      </w:r>
      <w:r w:rsidR="00F77F20">
        <w:rPr>
          <w:rFonts w:ascii="Times New Roman" w:hAnsi="Times New Roman"/>
          <w:sz w:val="24"/>
        </w:rPr>
        <w:t xml:space="preserve">SEA </w:t>
      </w:r>
      <w:r>
        <w:rPr>
          <w:rFonts w:ascii="Times New Roman" w:hAnsi="Times New Roman"/>
          <w:sz w:val="24"/>
        </w:rPr>
        <w:t>Scoping Report</w:t>
      </w:r>
      <w:r w:rsidR="00F878AC">
        <w:rPr>
          <w:rFonts w:ascii="Times New Roman" w:hAnsi="Times New Roman"/>
          <w:sz w:val="24"/>
        </w:rPr>
        <w:t>, which</w:t>
      </w:r>
      <w:r>
        <w:rPr>
          <w:rFonts w:ascii="Times New Roman" w:hAnsi="Times New Roman"/>
          <w:sz w:val="24"/>
        </w:rPr>
        <w:t xml:space="preserve"> presupposes that there will be an AA determination.  The pre</w:t>
      </w:r>
      <w:r w:rsidR="00196989">
        <w:rPr>
          <w:rFonts w:ascii="Times New Roman" w:hAnsi="Times New Roman"/>
          <w:sz w:val="24"/>
        </w:rPr>
        <w:t>-</w:t>
      </w:r>
      <w:r>
        <w:rPr>
          <w:rFonts w:ascii="Times New Roman" w:hAnsi="Times New Roman"/>
          <w:sz w:val="24"/>
        </w:rPr>
        <w:t>consultation NIS</w:t>
      </w:r>
      <w:r w:rsidR="00AB3935">
        <w:rPr>
          <w:rFonts w:ascii="Times New Roman" w:hAnsi="Times New Roman"/>
          <w:sz w:val="24"/>
        </w:rPr>
        <w:t>,</w:t>
      </w:r>
      <w:r>
        <w:rPr>
          <w:rFonts w:ascii="Times New Roman" w:hAnsi="Times New Roman"/>
          <w:sz w:val="24"/>
        </w:rPr>
        <w:t xml:space="preserve"> by definition</w:t>
      </w:r>
      <w:r w:rsidR="00AB3935">
        <w:rPr>
          <w:rFonts w:ascii="Times New Roman" w:hAnsi="Times New Roman"/>
          <w:sz w:val="24"/>
        </w:rPr>
        <w:t>,</w:t>
      </w:r>
      <w:r>
        <w:rPr>
          <w:rFonts w:ascii="Times New Roman" w:hAnsi="Times New Roman"/>
          <w:sz w:val="24"/>
        </w:rPr>
        <w:t xml:space="preserve"> cannot include the final AA determination either.  This is acknowledged in para. 1</w:t>
      </w:r>
      <w:r w:rsidR="00AB3935">
        <w:rPr>
          <w:rFonts w:ascii="Times New Roman" w:hAnsi="Times New Roman"/>
          <w:sz w:val="24"/>
        </w:rPr>
        <w:t>.</w:t>
      </w:r>
      <w:r>
        <w:rPr>
          <w:rFonts w:ascii="Times New Roman" w:hAnsi="Times New Roman"/>
          <w:sz w:val="24"/>
        </w:rPr>
        <w:t xml:space="preserve">2 which states that the NIS </w:t>
      </w:r>
      <w:r>
        <w:rPr>
          <w:rFonts w:ascii="Times New Roman" w:hAnsi="Times New Roman"/>
          <w:i/>
          <w:sz w:val="24"/>
        </w:rPr>
        <w:t xml:space="preserve">“will inform” </w:t>
      </w:r>
      <w:r>
        <w:rPr>
          <w:rFonts w:ascii="Times New Roman" w:hAnsi="Times New Roman"/>
          <w:sz w:val="24"/>
        </w:rPr>
        <w:t xml:space="preserve">the AA determination made by the department </w:t>
      </w:r>
      <w:r>
        <w:rPr>
          <w:rFonts w:ascii="Times New Roman" w:hAnsi="Times New Roman"/>
          <w:i/>
          <w:sz w:val="24"/>
        </w:rPr>
        <w:t>“at the time of adoption of the N</w:t>
      </w:r>
      <w:r w:rsidR="00196989">
        <w:rPr>
          <w:rFonts w:ascii="Times New Roman" w:hAnsi="Times New Roman"/>
          <w:i/>
          <w:sz w:val="24"/>
        </w:rPr>
        <w:t>P</w:t>
      </w:r>
      <w:r>
        <w:rPr>
          <w:rFonts w:ascii="Times New Roman" w:hAnsi="Times New Roman"/>
          <w:i/>
          <w:sz w:val="24"/>
        </w:rPr>
        <w:t>F”</w:t>
      </w:r>
      <w:r>
        <w:rPr>
          <w:rFonts w:ascii="Times New Roman" w:hAnsi="Times New Roman"/>
          <w:sz w:val="24"/>
        </w:rPr>
        <w:t xml:space="preserve">.  It also states that the AA decision </w:t>
      </w:r>
      <w:r>
        <w:rPr>
          <w:rFonts w:ascii="Times New Roman" w:hAnsi="Times New Roman"/>
          <w:i/>
          <w:sz w:val="24"/>
        </w:rPr>
        <w:t>“will be published alongside the adopted N</w:t>
      </w:r>
      <w:r w:rsidR="00196989">
        <w:rPr>
          <w:rFonts w:ascii="Times New Roman" w:hAnsi="Times New Roman"/>
          <w:i/>
          <w:sz w:val="24"/>
        </w:rPr>
        <w:t>P</w:t>
      </w:r>
      <w:r>
        <w:rPr>
          <w:rFonts w:ascii="Times New Roman" w:hAnsi="Times New Roman"/>
          <w:i/>
          <w:sz w:val="24"/>
        </w:rPr>
        <w:t>F”.</w:t>
      </w:r>
      <w:r w:rsidR="00FE25DF">
        <w:rPr>
          <w:rFonts w:ascii="Times New Roman" w:hAnsi="Times New Roman"/>
          <w:sz w:val="24"/>
        </w:rPr>
        <w:t xml:space="preserve"> </w:t>
      </w:r>
    </w:p>
    <w:p w14:paraId="7BF8BBA4" w14:textId="052C25E7" w:rsidR="00FE25DF" w:rsidRDefault="00FE25DF"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Chapter 10 of the draft NPF deals with</w:t>
      </w:r>
      <w:r w:rsidR="00F878AC">
        <w:rPr>
          <w:rFonts w:ascii="Times New Roman" w:hAnsi="Times New Roman"/>
          <w:sz w:val="24"/>
        </w:rPr>
        <w:t xml:space="preserve"> the</w:t>
      </w:r>
      <w:r>
        <w:rPr>
          <w:rFonts w:ascii="Times New Roman" w:hAnsi="Times New Roman"/>
          <w:sz w:val="24"/>
        </w:rPr>
        <w:t xml:space="preserve"> </w:t>
      </w:r>
      <w:r w:rsidR="00F878AC">
        <w:rPr>
          <w:rFonts w:ascii="Times New Roman" w:hAnsi="Times New Roman"/>
          <w:sz w:val="24"/>
        </w:rPr>
        <w:t>e</w:t>
      </w:r>
      <w:r>
        <w:rPr>
          <w:rFonts w:ascii="Times New Roman" w:hAnsi="Times New Roman"/>
          <w:sz w:val="24"/>
        </w:rPr>
        <w:t xml:space="preserve">nvironmental </w:t>
      </w:r>
      <w:r w:rsidR="00F878AC">
        <w:rPr>
          <w:rFonts w:ascii="Times New Roman" w:hAnsi="Times New Roman"/>
          <w:sz w:val="24"/>
        </w:rPr>
        <w:t>i</w:t>
      </w:r>
      <w:r>
        <w:rPr>
          <w:rFonts w:ascii="Times New Roman" w:hAnsi="Times New Roman"/>
          <w:sz w:val="24"/>
        </w:rPr>
        <w:t>mpact</w:t>
      </w:r>
      <w:r w:rsidR="00F878AC">
        <w:rPr>
          <w:rFonts w:ascii="Times New Roman" w:hAnsi="Times New Roman"/>
          <w:sz w:val="24"/>
        </w:rPr>
        <w:t xml:space="preserve"> of the NPF </w:t>
      </w:r>
      <w:r w:rsidR="00196989">
        <w:rPr>
          <w:rFonts w:ascii="Times New Roman" w:hAnsi="Times New Roman"/>
          <w:sz w:val="24"/>
        </w:rPr>
        <w:t xml:space="preserve">for </w:t>
      </w:r>
      <w:r w:rsidR="00F878AC">
        <w:rPr>
          <w:rFonts w:ascii="Times New Roman" w:hAnsi="Times New Roman"/>
          <w:sz w:val="24"/>
        </w:rPr>
        <w:t xml:space="preserve">both </w:t>
      </w:r>
      <w:r>
        <w:rPr>
          <w:rFonts w:ascii="Times New Roman" w:hAnsi="Times New Roman"/>
          <w:sz w:val="24"/>
        </w:rPr>
        <w:t xml:space="preserve"> SEA and AA</w:t>
      </w:r>
      <w:r w:rsidR="00196989">
        <w:rPr>
          <w:rFonts w:ascii="Times New Roman" w:hAnsi="Times New Roman"/>
          <w:sz w:val="24"/>
        </w:rPr>
        <w:t xml:space="preserve"> purposes</w:t>
      </w:r>
      <w:r>
        <w:rPr>
          <w:rFonts w:ascii="Times New Roman" w:hAnsi="Times New Roman"/>
          <w:sz w:val="24"/>
        </w:rPr>
        <w:t xml:space="preserve">.  The document notes that environmental considerations have been integrated into the </w:t>
      </w:r>
      <w:r w:rsidR="00196989">
        <w:rPr>
          <w:rFonts w:ascii="Times New Roman" w:hAnsi="Times New Roman"/>
          <w:sz w:val="24"/>
        </w:rPr>
        <w:t>f</w:t>
      </w:r>
      <w:r>
        <w:rPr>
          <w:rFonts w:ascii="Times New Roman" w:hAnsi="Times New Roman"/>
          <w:sz w:val="24"/>
        </w:rPr>
        <w:t>ramework by the SEA through certain steps.  It sets out the obligations o</w:t>
      </w:r>
      <w:r w:rsidR="001770EE">
        <w:rPr>
          <w:rFonts w:ascii="Times New Roman" w:hAnsi="Times New Roman"/>
          <w:sz w:val="24"/>
        </w:rPr>
        <w:t>f</w:t>
      </w:r>
      <w:r>
        <w:rPr>
          <w:rFonts w:ascii="Times New Roman" w:hAnsi="Times New Roman"/>
          <w:sz w:val="24"/>
        </w:rPr>
        <w:t xml:space="preserve"> public authorities when exercising their functions under the Habitats Directive and the requirement for AA screening and assessment.  There is no AA determination in respect of the NPF in the draft NPF.  </w:t>
      </w:r>
    </w:p>
    <w:p w14:paraId="1043761F" w14:textId="37D25FDF" w:rsidR="00F77F20" w:rsidRDefault="00F77F20"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SEA Environmental Report exhibited was </w:t>
      </w:r>
      <w:r w:rsidR="00055BCE">
        <w:rPr>
          <w:rFonts w:ascii="Times New Roman" w:hAnsi="Times New Roman"/>
          <w:sz w:val="24"/>
        </w:rPr>
        <w:t>prepared in respect of</w:t>
      </w:r>
      <w:r>
        <w:rPr>
          <w:rFonts w:ascii="Times New Roman" w:hAnsi="Times New Roman"/>
          <w:sz w:val="24"/>
        </w:rPr>
        <w:t xml:space="preserve"> the draft NPF. </w:t>
      </w:r>
      <w:r w:rsidR="002B29C7">
        <w:rPr>
          <w:rFonts w:ascii="Times New Roman" w:hAnsi="Times New Roman"/>
          <w:sz w:val="24"/>
        </w:rPr>
        <w:t>The</w:t>
      </w:r>
      <w:r>
        <w:rPr>
          <w:rFonts w:ascii="Times New Roman" w:hAnsi="Times New Roman"/>
          <w:sz w:val="24"/>
        </w:rPr>
        <w:t xml:space="preserve"> SEA Environmental Report</w:t>
      </w:r>
      <w:r w:rsidR="002B29C7">
        <w:rPr>
          <w:rFonts w:ascii="Times New Roman" w:hAnsi="Times New Roman"/>
          <w:sz w:val="24"/>
        </w:rPr>
        <w:t xml:space="preserve"> was amended to reflect the finalised NPF by the addition of an addendum </w:t>
      </w:r>
      <w:r w:rsidR="00055BCE">
        <w:rPr>
          <w:rFonts w:ascii="Times New Roman" w:hAnsi="Times New Roman"/>
          <w:sz w:val="24"/>
        </w:rPr>
        <w:t>to</w:t>
      </w:r>
      <w:r w:rsidR="002B29C7">
        <w:rPr>
          <w:rFonts w:ascii="Times New Roman" w:hAnsi="Times New Roman"/>
          <w:sz w:val="24"/>
        </w:rPr>
        <w:t xml:space="preserve"> the SEA Statement</w:t>
      </w:r>
      <w:r w:rsidR="00CC0B03">
        <w:rPr>
          <w:rFonts w:ascii="Times New Roman" w:hAnsi="Times New Roman"/>
          <w:sz w:val="24"/>
        </w:rPr>
        <w:t>,</w:t>
      </w:r>
      <w:r w:rsidR="002B29C7">
        <w:rPr>
          <w:rFonts w:ascii="Times New Roman" w:hAnsi="Times New Roman"/>
          <w:sz w:val="24"/>
        </w:rPr>
        <w:t xml:space="preserve"> but this post</w:t>
      </w:r>
      <w:r w:rsidR="00196989">
        <w:rPr>
          <w:rFonts w:ascii="Times New Roman" w:hAnsi="Times New Roman"/>
          <w:sz w:val="24"/>
        </w:rPr>
        <w:t>-</w:t>
      </w:r>
      <w:r w:rsidR="002B29C7">
        <w:rPr>
          <w:rFonts w:ascii="Times New Roman" w:hAnsi="Times New Roman"/>
          <w:sz w:val="24"/>
        </w:rPr>
        <w:t xml:space="preserve">dated 16 February 2018. </w:t>
      </w:r>
      <w:r w:rsidR="00CC0B03">
        <w:rPr>
          <w:rFonts w:ascii="Times New Roman" w:hAnsi="Times New Roman"/>
          <w:sz w:val="24"/>
        </w:rPr>
        <w:t xml:space="preserve"> </w:t>
      </w:r>
      <w:r w:rsidR="002B29C7">
        <w:rPr>
          <w:rFonts w:ascii="Times New Roman" w:hAnsi="Times New Roman"/>
          <w:sz w:val="24"/>
        </w:rPr>
        <w:t>On 14 May</w:t>
      </w:r>
      <w:r w:rsidR="00CC0B03">
        <w:rPr>
          <w:rFonts w:ascii="Times New Roman" w:hAnsi="Times New Roman"/>
          <w:sz w:val="24"/>
        </w:rPr>
        <w:t xml:space="preserve"> 2018,</w:t>
      </w:r>
      <w:r w:rsidR="002B29C7">
        <w:rPr>
          <w:rFonts w:ascii="Times New Roman" w:hAnsi="Times New Roman"/>
          <w:sz w:val="24"/>
        </w:rPr>
        <w:t xml:space="preserve"> the Minister referred to a draft SEA Statement dated 15 February 2018.</w:t>
      </w:r>
      <w:r w:rsidR="00CC0B03">
        <w:rPr>
          <w:rFonts w:ascii="Times New Roman" w:hAnsi="Times New Roman"/>
          <w:sz w:val="24"/>
        </w:rPr>
        <w:t xml:space="preserve"> </w:t>
      </w:r>
      <w:r w:rsidR="002B29C7">
        <w:rPr>
          <w:rFonts w:ascii="Times New Roman" w:hAnsi="Times New Roman"/>
          <w:sz w:val="24"/>
        </w:rPr>
        <w:t xml:space="preserve"> There was no evidence that such a draft existed on that date or was considered by the government prior to its decision of 16 February 2018</w:t>
      </w:r>
      <w:r w:rsidR="0070792F">
        <w:rPr>
          <w:rFonts w:ascii="Times New Roman" w:hAnsi="Times New Roman"/>
          <w:sz w:val="24"/>
        </w:rPr>
        <w:t>,</w:t>
      </w:r>
      <w:r w:rsidR="002B29C7">
        <w:rPr>
          <w:rFonts w:ascii="Times New Roman" w:hAnsi="Times New Roman"/>
          <w:sz w:val="24"/>
        </w:rPr>
        <w:t xml:space="preserve"> and it was not exhibited. </w:t>
      </w:r>
      <w:r w:rsidR="0070792F">
        <w:rPr>
          <w:rFonts w:ascii="Times New Roman" w:hAnsi="Times New Roman"/>
          <w:sz w:val="24"/>
        </w:rPr>
        <w:t xml:space="preserve"> </w:t>
      </w:r>
      <w:r w:rsidR="002B29C7">
        <w:rPr>
          <w:rFonts w:ascii="Times New Roman" w:hAnsi="Times New Roman"/>
          <w:sz w:val="24"/>
        </w:rPr>
        <w:t xml:space="preserve">It follows that the court </w:t>
      </w:r>
      <w:r w:rsidR="002B29C7">
        <w:rPr>
          <w:rFonts w:ascii="Times New Roman" w:hAnsi="Times New Roman"/>
          <w:sz w:val="24"/>
        </w:rPr>
        <w:lastRenderedPageBreak/>
        <w:t>cannot have regard to the alleged draft SEA Statement when assessing the issues in this case.</w:t>
      </w:r>
    </w:p>
    <w:p w14:paraId="07173A56" w14:textId="6AF1B06C" w:rsidR="000D1BFF" w:rsidRDefault="005E486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23 February 2018</w:t>
      </w:r>
      <w:r w:rsidR="0070792F">
        <w:rPr>
          <w:rFonts w:ascii="Times New Roman" w:hAnsi="Times New Roman"/>
          <w:sz w:val="24"/>
        </w:rPr>
        <w:t>,</w:t>
      </w:r>
      <w:r>
        <w:rPr>
          <w:rFonts w:ascii="Times New Roman" w:hAnsi="Times New Roman"/>
          <w:sz w:val="24"/>
        </w:rPr>
        <w:t xml:space="preserve"> the Department issued</w:t>
      </w:r>
      <w:r w:rsidR="00055BCE">
        <w:rPr>
          <w:rFonts w:ascii="Times New Roman" w:hAnsi="Times New Roman"/>
          <w:sz w:val="24"/>
        </w:rPr>
        <w:t xml:space="preserve"> Circular</w:t>
      </w:r>
      <w:r>
        <w:rPr>
          <w:rFonts w:ascii="Times New Roman" w:hAnsi="Times New Roman"/>
          <w:sz w:val="24"/>
        </w:rPr>
        <w:t xml:space="preserve"> FPS02/2018 to planning authorities and An Bord Pleanála informing them that the NPF was published on 16 February 2018 in tandem with the new 10</w:t>
      </w:r>
      <w:r w:rsidR="0070792F">
        <w:rPr>
          <w:rFonts w:ascii="Times New Roman" w:hAnsi="Times New Roman"/>
          <w:sz w:val="24"/>
        </w:rPr>
        <w:t>-</w:t>
      </w:r>
      <w:r>
        <w:rPr>
          <w:rFonts w:ascii="Times New Roman" w:hAnsi="Times New Roman"/>
          <w:sz w:val="24"/>
        </w:rPr>
        <w:t>year NDP</w:t>
      </w:r>
      <w:r w:rsidR="0070792F">
        <w:rPr>
          <w:rFonts w:ascii="Times New Roman" w:hAnsi="Times New Roman"/>
          <w:sz w:val="24"/>
        </w:rPr>
        <w:t>,</w:t>
      </w:r>
      <w:r>
        <w:rPr>
          <w:rFonts w:ascii="Times New Roman" w:hAnsi="Times New Roman"/>
          <w:sz w:val="24"/>
        </w:rPr>
        <w:t xml:space="preserve"> jointly named “Project Ireland 2040: Building Ireland’s Future”.  </w:t>
      </w:r>
    </w:p>
    <w:p w14:paraId="2125BC20" w14:textId="4F1C4FCA" w:rsidR="0013530F" w:rsidRDefault="005E486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16 March 2018</w:t>
      </w:r>
      <w:r w:rsidR="0070792F">
        <w:rPr>
          <w:rFonts w:ascii="Times New Roman" w:hAnsi="Times New Roman"/>
          <w:sz w:val="24"/>
        </w:rPr>
        <w:t>,</w:t>
      </w:r>
      <w:r>
        <w:rPr>
          <w:rFonts w:ascii="Times New Roman" w:hAnsi="Times New Roman"/>
          <w:sz w:val="24"/>
        </w:rPr>
        <w:t xml:space="preserve"> the applicant</w:t>
      </w:r>
      <w:r w:rsidR="00386030">
        <w:rPr>
          <w:rFonts w:ascii="Times New Roman" w:hAnsi="Times New Roman"/>
          <w:sz w:val="24"/>
        </w:rPr>
        <w:t xml:space="preserve">’s </w:t>
      </w:r>
      <w:r>
        <w:rPr>
          <w:rFonts w:ascii="Times New Roman" w:hAnsi="Times New Roman"/>
          <w:sz w:val="24"/>
        </w:rPr>
        <w:t>solicitors wrote</w:t>
      </w:r>
      <w:r w:rsidR="00386030">
        <w:rPr>
          <w:rFonts w:ascii="Times New Roman" w:hAnsi="Times New Roman"/>
          <w:sz w:val="24"/>
        </w:rPr>
        <w:t xml:space="preserve"> requesting publication of the SEA Statement in relation to the NPF. </w:t>
      </w:r>
    </w:p>
    <w:p w14:paraId="3FAEEB05" w14:textId="550A153F" w:rsidR="0013530F" w:rsidRDefault="00386030"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22 March 2018</w:t>
      </w:r>
      <w:r w:rsidR="0070792F">
        <w:rPr>
          <w:rFonts w:ascii="Times New Roman" w:hAnsi="Times New Roman"/>
          <w:sz w:val="24"/>
        </w:rPr>
        <w:t>,</w:t>
      </w:r>
      <w:r>
        <w:rPr>
          <w:rFonts w:ascii="Times New Roman" w:hAnsi="Times New Roman"/>
          <w:sz w:val="24"/>
        </w:rPr>
        <w:t xml:space="preserve"> the SEA Statement</w:t>
      </w:r>
      <w:r w:rsidR="006E0F2A">
        <w:rPr>
          <w:rFonts w:ascii="Times New Roman" w:hAnsi="Times New Roman"/>
          <w:sz w:val="24"/>
        </w:rPr>
        <w:t xml:space="preserve"> was published.</w:t>
      </w:r>
      <w:r w:rsidR="0070792F">
        <w:rPr>
          <w:rFonts w:ascii="Times New Roman" w:hAnsi="Times New Roman"/>
          <w:sz w:val="24"/>
        </w:rPr>
        <w:t xml:space="preserve"> </w:t>
      </w:r>
      <w:r w:rsidR="000D1BFF">
        <w:rPr>
          <w:rFonts w:ascii="Times New Roman" w:hAnsi="Times New Roman"/>
          <w:sz w:val="24"/>
        </w:rPr>
        <w:t xml:space="preserve"> </w:t>
      </w:r>
      <w:r w:rsidR="0013530F" w:rsidRPr="00953FE3">
        <w:rPr>
          <w:rFonts w:ascii="Times New Roman" w:hAnsi="Times New Roman"/>
          <w:sz w:val="24"/>
        </w:rPr>
        <w:t xml:space="preserve">This </w:t>
      </w:r>
      <w:r w:rsidR="0013530F">
        <w:rPr>
          <w:rFonts w:ascii="Times New Roman" w:hAnsi="Times New Roman"/>
          <w:sz w:val="24"/>
        </w:rPr>
        <w:t xml:space="preserve">document </w:t>
      </w:r>
      <w:r w:rsidR="0013530F" w:rsidRPr="00953FE3">
        <w:rPr>
          <w:rFonts w:ascii="Times New Roman" w:hAnsi="Times New Roman"/>
          <w:sz w:val="24"/>
        </w:rPr>
        <w:t>was u</w:t>
      </w:r>
      <w:r w:rsidR="0013530F">
        <w:rPr>
          <w:rFonts w:ascii="Times New Roman" w:hAnsi="Times New Roman"/>
          <w:sz w:val="24"/>
        </w:rPr>
        <w:t>n</w:t>
      </w:r>
      <w:r w:rsidR="0013530F" w:rsidRPr="00953FE3">
        <w:rPr>
          <w:rFonts w:ascii="Times New Roman" w:hAnsi="Times New Roman"/>
          <w:sz w:val="24"/>
        </w:rPr>
        <w:t>dated but it</w:t>
      </w:r>
      <w:r w:rsidR="00055BCE">
        <w:rPr>
          <w:rFonts w:ascii="Times New Roman" w:hAnsi="Times New Roman"/>
          <w:sz w:val="24"/>
        </w:rPr>
        <w:t xml:space="preserve"> clearly</w:t>
      </w:r>
      <w:r w:rsidR="0013530F" w:rsidRPr="00953FE3">
        <w:rPr>
          <w:rFonts w:ascii="Times New Roman" w:hAnsi="Times New Roman"/>
          <w:sz w:val="24"/>
        </w:rPr>
        <w:t xml:space="preserve"> </w:t>
      </w:r>
      <w:r w:rsidR="0013530F" w:rsidRPr="00953FE3">
        <w:rPr>
          <w:rFonts w:ascii="Times New Roman" w:hAnsi="Times New Roman"/>
          <w:sz w:val="24"/>
          <w:u w:val="single"/>
        </w:rPr>
        <w:t>post-dated</w:t>
      </w:r>
      <w:r w:rsidR="0013530F" w:rsidRPr="004A56E3">
        <w:rPr>
          <w:rFonts w:ascii="Times New Roman" w:hAnsi="Times New Roman"/>
          <w:sz w:val="24"/>
        </w:rPr>
        <w:t xml:space="preserve"> </w:t>
      </w:r>
      <w:r w:rsidR="0013530F" w:rsidRPr="00953FE3">
        <w:rPr>
          <w:rFonts w:ascii="Times New Roman" w:hAnsi="Times New Roman"/>
          <w:sz w:val="24"/>
        </w:rPr>
        <w:t>16 February 2018 as, on p</w:t>
      </w:r>
      <w:r w:rsidR="0070792F">
        <w:rPr>
          <w:rFonts w:ascii="Times New Roman" w:hAnsi="Times New Roman"/>
          <w:sz w:val="24"/>
        </w:rPr>
        <w:t>.</w:t>
      </w:r>
      <w:r w:rsidR="0013530F" w:rsidRPr="00953FE3">
        <w:rPr>
          <w:rFonts w:ascii="Times New Roman" w:hAnsi="Times New Roman"/>
          <w:sz w:val="24"/>
        </w:rPr>
        <w:t xml:space="preserve"> 2, it states that the </w:t>
      </w:r>
      <w:r w:rsidR="0013530F">
        <w:rPr>
          <w:rFonts w:ascii="Times New Roman" w:hAnsi="Times New Roman"/>
          <w:sz w:val="24"/>
        </w:rPr>
        <w:t>NPF:</w:t>
      </w:r>
      <w:r w:rsidR="0070792F">
        <w:rPr>
          <w:rFonts w:ascii="Times New Roman" w:hAnsi="Times New Roman"/>
          <w:sz w:val="24"/>
        </w:rPr>
        <w:t>-</w:t>
      </w:r>
    </w:p>
    <w:p w14:paraId="347AFF06" w14:textId="3EFB2741" w:rsidR="0013530F" w:rsidRDefault="0013530F" w:rsidP="0013530F">
      <w:pPr>
        <w:pStyle w:val="ListParagraph"/>
        <w:spacing w:line="480" w:lineRule="auto"/>
        <w:ind w:left="567"/>
        <w:jc w:val="left"/>
        <w:rPr>
          <w:rFonts w:ascii="Times New Roman" w:hAnsi="Times New Roman"/>
          <w:sz w:val="24"/>
        </w:rPr>
      </w:pPr>
      <w:r>
        <w:rPr>
          <w:rFonts w:ascii="Times New Roman" w:hAnsi="Times New Roman"/>
          <w:i/>
          <w:sz w:val="24"/>
        </w:rPr>
        <w:t>“</w:t>
      </w:r>
      <w:r w:rsidR="0070792F">
        <w:rPr>
          <w:rFonts w:ascii="Times New Roman" w:hAnsi="Times New Roman"/>
          <w:i/>
          <w:sz w:val="24"/>
        </w:rPr>
        <w:t xml:space="preserve">… </w:t>
      </w:r>
      <w:r w:rsidRPr="00953FE3">
        <w:rPr>
          <w:rFonts w:ascii="Times New Roman" w:hAnsi="Times New Roman"/>
          <w:i/>
          <w:sz w:val="24"/>
        </w:rPr>
        <w:t xml:space="preserve">was discussed and agreed at a special </w:t>
      </w:r>
      <w:r w:rsidR="0070792F">
        <w:rPr>
          <w:rFonts w:ascii="Times New Roman" w:hAnsi="Times New Roman"/>
          <w:i/>
          <w:sz w:val="24"/>
        </w:rPr>
        <w:t>c</w:t>
      </w:r>
      <w:r w:rsidRPr="00953FE3">
        <w:rPr>
          <w:rFonts w:ascii="Times New Roman" w:hAnsi="Times New Roman"/>
          <w:i/>
          <w:sz w:val="24"/>
        </w:rPr>
        <w:t>abinet meeting after which it was launched on 16 February 2018”</w:t>
      </w:r>
      <w:r w:rsidRPr="00953FE3">
        <w:rPr>
          <w:rFonts w:ascii="Times New Roman" w:hAnsi="Times New Roman"/>
          <w:sz w:val="24"/>
        </w:rPr>
        <w:t xml:space="preserve">.  </w:t>
      </w:r>
    </w:p>
    <w:p w14:paraId="6D966BB5" w14:textId="441DAEE5" w:rsidR="0013530F" w:rsidRDefault="0013530F" w:rsidP="00DC4CA7">
      <w:pPr>
        <w:pStyle w:val="ListParagraph"/>
        <w:spacing w:line="480" w:lineRule="auto"/>
        <w:ind w:left="0"/>
        <w:jc w:val="left"/>
        <w:rPr>
          <w:rFonts w:ascii="Times New Roman" w:hAnsi="Times New Roman"/>
          <w:sz w:val="24"/>
        </w:rPr>
      </w:pPr>
      <w:r w:rsidRPr="00953FE3">
        <w:rPr>
          <w:rFonts w:ascii="Times New Roman" w:hAnsi="Times New Roman"/>
          <w:sz w:val="24"/>
        </w:rPr>
        <w:t xml:space="preserve">While at para. 3.6 it says that the </w:t>
      </w:r>
      <w:r w:rsidRPr="00953FE3">
        <w:rPr>
          <w:rFonts w:ascii="Times New Roman" w:hAnsi="Times New Roman"/>
          <w:i/>
          <w:sz w:val="24"/>
        </w:rPr>
        <w:t>“NPF was agreed by Government</w:t>
      </w:r>
      <w:r w:rsidR="0070792F">
        <w:rPr>
          <w:rFonts w:ascii="Times New Roman" w:hAnsi="Times New Roman"/>
          <w:i/>
          <w:sz w:val="24"/>
        </w:rPr>
        <w:t xml:space="preserve"> </w:t>
      </w:r>
      <w:r w:rsidRPr="00953FE3">
        <w:rPr>
          <w:rFonts w:ascii="Times New Roman" w:hAnsi="Times New Roman"/>
          <w:i/>
          <w:sz w:val="24"/>
        </w:rPr>
        <w:t>…</w:t>
      </w:r>
      <w:r w:rsidR="0070792F">
        <w:rPr>
          <w:rFonts w:ascii="Times New Roman" w:hAnsi="Times New Roman"/>
          <w:i/>
          <w:sz w:val="24"/>
        </w:rPr>
        <w:t xml:space="preserve"> </w:t>
      </w:r>
      <w:r w:rsidRPr="00953FE3">
        <w:rPr>
          <w:rFonts w:ascii="Times New Roman" w:hAnsi="Times New Roman"/>
          <w:i/>
          <w:sz w:val="24"/>
        </w:rPr>
        <w:t>on</w:t>
      </w:r>
      <w:r w:rsidR="0070792F">
        <w:rPr>
          <w:rFonts w:ascii="Times New Roman" w:hAnsi="Times New Roman"/>
          <w:i/>
          <w:sz w:val="24"/>
        </w:rPr>
        <w:t xml:space="preserve"> </w:t>
      </w:r>
      <w:r w:rsidRPr="00953FE3">
        <w:rPr>
          <w:rFonts w:ascii="Times New Roman" w:hAnsi="Times New Roman"/>
          <w:i/>
          <w:sz w:val="24"/>
        </w:rPr>
        <w:t>…</w:t>
      </w:r>
      <w:r w:rsidR="0070792F">
        <w:rPr>
          <w:rFonts w:ascii="Times New Roman" w:hAnsi="Times New Roman"/>
          <w:i/>
          <w:sz w:val="24"/>
        </w:rPr>
        <w:t xml:space="preserve"> </w:t>
      </w:r>
      <w:r w:rsidRPr="00953FE3">
        <w:rPr>
          <w:rFonts w:ascii="Times New Roman" w:hAnsi="Times New Roman"/>
          <w:i/>
          <w:sz w:val="24"/>
        </w:rPr>
        <w:t>16 February 2018</w:t>
      </w:r>
      <w:r w:rsidR="0070792F">
        <w:rPr>
          <w:rFonts w:ascii="Times New Roman" w:hAnsi="Times New Roman"/>
          <w:i/>
          <w:sz w:val="24"/>
        </w:rPr>
        <w:t>.</w:t>
      </w:r>
      <w:r w:rsidRPr="00953FE3">
        <w:rPr>
          <w:rFonts w:ascii="Times New Roman" w:hAnsi="Times New Roman"/>
          <w:i/>
          <w:sz w:val="24"/>
        </w:rPr>
        <w:t>”</w:t>
      </w:r>
    </w:p>
    <w:p w14:paraId="3EAEF97D" w14:textId="1834B030" w:rsidR="0013530F" w:rsidRPr="0013530F" w:rsidRDefault="0013530F"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While the SEA </w:t>
      </w:r>
      <w:r w:rsidR="002C2E7C">
        <w:rPr>
          <w:rFonts w:ascii="Times New Roman" w:hAnsi="Times New Roman"/>
          <w:sz w:val="24"/>
        </w:rPr>
        <w:t>Environmental R</w:t>
      </w:r>
      <w:r>
        <w:rPr>
          <w:rFonts w:ascii="Times New Roman" w:hAnsi="Times New Roman"/>
          <w:sz w:val="24"/>
        </w:rPr>
        <w:t>eport is primarily concerned with the SEA Directive, AA is addressed at para. 3.5</w:t>
      </w:r>
      <w:r w:rsidR="002C2E7C">
        <w:rPr>
          <w:rFonts w:ascii="Times New Roman" w:hAnsi="Times New Roman"/>
          <w:sz w:val="24"/>
        </w:rPr>
        <w:t xml:space="preserve"> of the report of the draft NPF</w:t>
      </w:r>
      <w:r>
        <w:rPr>
          <w:rFonts w:ascii="Times New Roman" w:hAnsi="Times New Roman"/>
          <w:sz w:val="24"/>
        </w:rPr>
        <w:t xml:space="preserve">. </w:t>
      </w:r>
      <w:r w:rsidR="008169F3">
        <w:rPr>
          <w:rFonts w:ascii="Times New Roman" w:hAnsi="Times New Roman"/>
          <w:sz w:val="24"/>
        </w:rPr>
        <w:t xml:space="preserve"> </w:t>
      </w:r>
      <w:r w:rsidRPr="0013530F">
        <w:rPr>
          <w:rFonts w:ascii="Times New Roman" w:hAnsi="Times New Roman"/>
          <w:sz w:val="24"/>
        </w:rPr>
        <w:t>It acknowledges the requirement under the Habitats Directive to assess the NPF and notes that as a precautionary approach the N</w:t>
      </w:r>
      <w:r>
        <w:rPr>
          <w:rFonts w:ascii="Times New Roman" w:hAnsi="Times New Roman"/>
          <w:sz w:val="24"/>
        </w:rPr>
        <w:t>P</w:t>
      </w:r>
      <w:r w:rsidRPr="0013530F">
        <w:rPr>
          <w:rFonts w:ascii="Times New Roman" w:hAnsi="Times New Roman"/>
          <w:sz w:val="24"/>
        </w:rPr>
        <w:t>F was subject to full AA.  The paragraph concludes:</w:t>
      </w:r>
      <w:r w:rsidR="008169F3">
        <w:rPr>
          <w:rFonts w:ascii="Times New Roman" w:hAnsi="Times New Roman"/>
          <w:sz w:val="24"/>
        </w:rPr>
        <w:t>-</w:t>
      </w:r>
    </w:p>
    <w:p w14:paraId="59A5F844" w14:textId="437AE2F2" w:rsidR="0013530F" w:rsidRDefault="0013530F" w:rsidP="0013530F">
      <w:pPr>
        <w:pStyle w:val="ListParagraph"/>
        <w:spacing w:line="480" w:lineRule="auto"/>
        <w:ind w:left="567"/>
        <w:jc w:val="left"/>
        <w:rPr>
          <w:rFonts w:ascii="Times New Roman" w:hAnsi="Times New Roman"/>
          <w:sz w:val="24"/>
        </w:rPr>
      </w:pPr>
      <w:r>
        <w:rPr>
          <w:rFonts w:ascii="Times New Roman" w:hAnsi="Times New Roman"/>
          <w:i/>
          <w:sz w:val="24"/>
        </w:rPr>
        <w:t>“Based on the NIS, and with reference to the scope of the NPF, the [</w:t>
      </w:r>
      <w:r w:rsidR="002478FE">
        <w:rPr>
          <w:rFonts w:ascii="Times New Roman" w:hAnsi="Times New Roman"/>
          <w:i/>
          <w:sz w:val="24"/>
        </w:rPr>
        <w:t>D</w:t>
      </w:r>
      <w:r>
        <w:rPr>
          <w:rFonts w:ascii="Times New Roman" w:hAnsi="Times New Roman"/>
          <w:i/>
          <w:sz w:val="24"/>
        </w:rPr>
        <w:t>epartment] has determined that the NPF is compliant with the requirements of Article 6 of the EU Habitats Directive as transposed into Irish law.  This determination will be made available for public information.”</w:t>
      </w:r>
      <w:r>
        <w:rPr>
          <w:rFonts w:ascii="Times New Roman" w:hAnsi="Times New Roman"/>
          <w:sz w:val="24"/>
        </w:rPr>
        <w:t xml:space="preserve"> </w:t>
      </w:r>
    </w:p>
    <w:p w14:paraId="4F3229F6" w14:textId="77777777" w:rsidR="000D1BFF" w:rsidRPr="0013530F" w:rsidRDefault="0013530F"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No such determination by the department was ever made available and no evidence that such a determination was in fact made was adduced.  </w:t>
      </w:r>
      <w:r w:rsidR="000D1BFF" w:rsidRPr="0013530F">
        <w:rPr>
          <w:rFonts w:ascii="Times New Roman" w:hAnsi="Times New Roman"/>
          <w:sz w:val="24"/>
        </w:rPr>
        <w:t xml:space="preserve"> </w:t>
      </w:r>
    </w:p>
    <w:p w14:paraId="5280935D" w14:textId="5C612817" w:rsidR="00037464" w:rsidRDefault="006E0F2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On 5 April 2018</w:t>
      </w:r>
      <w:r w:rsidR="00A35065">
        <w:rPr>
          <w:rFonts w:ascii="Times New Roman" w:hAnsi="Times New Roman"/>
          <w:sz w:val="24"/>
        </w:rPr>
        <w:t>,</w:t>
      </w:r>
      <w:r>
        <w:rPr>
          <w:rFonts w:ascii="Times New Roman" w:hAnsi="Times New Roman"/>
          <w:sz w:val="24"/>
        </w:rPr>
        <w:t xml:space="preserve"> the applicant’s solicitor</w:t>
      </w:r>
      <w:r w:rsidR="0013530F">
        <w:rPr>
          <w:rFonts w:ascii="Times New Roman" w:hAnsi="Times New Roman"/>
          <w:sz w:val="24"/>
        </w:rPr>
        <w:t>s</w:t>
      </w:r>
      <w:r>
        <w:rPr>
          <w:rFonts w:ascii="Times New Roman" w:hAnsi="Times New Roman"/>
          <w:sz w:val="24"/>
        </w:rPr>
        <w:t xml:space="preserve"> wrote in relation to the </w:t>
      </w:r>
      <w:r w:rsidR="00D54BCA">
        <w:rPr>
          <w:rFonts w:ascii="Times New Roman" w:hAnsi="Times New Roman"/>
          <w:sz w:val="24"/>
        </w:rPr>
        <w:t>AA</w:t>
      </w:r>
      <w:r>
        <w:rPr>
          <w:rFonts w:ascii="Times New Roman" w:hAnsi="Times New Roman"/>
          <w:sz w:val="24"/>
        </w:rPr>
        <w:t xml:space="preserve"> of the NPF.  They required confirmation that the determination that the plan would not adversely affect the integrity of a European site was made before consent to adopting the NPF was granted.  The solicitors called upon the Minister immediately to publish the determination and the reasons for it.  In a further letter</w:t>
      </w:r>
      <w:r w:rsidR="00A35065">
        <w:rPr>
          <w:rFonts w:ascii="Times New Roman" w:hAnsi="Times New Roman"/>
          <w:sz w:val="24"/>
        </w:rPr>
        <w:t>,</w:t>
      </w:r>
      <w:r>
        <w:rPr>
          <w:rFonts w:ascii="Times New Roman" w:hAnsi="Times New Roman"/>
          <w:sz w:val="24"/>
        </w:rPr>
        <w:t xml:space="preserve"> dated 9 April 2018</w:t>
      </w:r>
      <w:r w:rsidR="00A35065">
        <w:rPr>
          <w:rFonts w:ascii="Times New Roman" w:hAnsi="Times New Roman"/>
          <w:sz w:val="24"/>
        </w:rPr>
        <w:t>,</w:t>
      </w:r>
      <w:r>
        <w:rPr>
          <w:rFonts w:ascii="Times New Roman" w:hAnsi="Times New Roman"/>
          <w:sz w:val="24"/>
        </w:rPr>
        <w:t xml:space="preserve"> the solicitors made the point that the determination was either made on or before 16 February 2018</w:t>
      </w:r>
      <w:r w:rsidR="00037464">
        <w:rPr>
          <w:rFonts w:ascii="Times New Roman" w:hAnsi="Times New Roman"/>
          <w:sz w:val="24"/>
        </w:rPr>
        <w:t>,</w:t>
      </w:r>
      <w:r>
        <w:rPr>
          <w:rFonts w:ascii="Times New Roman" w:hAnsi="Times New Roman"/>
          <w:sz w:val="24"/>
        </w:rPr>
        <w:t xml:space="preserve"> in which case it should be readily available</w:t>
      </w:r>
      <w:r w:rsidR="00037464">
        <w:rPr>
          <w:rFonts w:ascii="Times New Roman" w:hAnsi="Times New Roman"/>
          <w:sz w:val="24"/>
        </w:rPr>
        <w:t>,</w:t>
      </w:r>
      <w:r>
        <w:rPr>
          <w:rFonts w:ascii="Times New Roman" w:hAnsi="Times New Roman"/>
          <w:sz w:val="24"/>
        </w:rPr>
        <w:t xml:space="preserve"> or else it had not been made. </w:t>
      </w:r>
      <w:r w:rsidR="00A35065">
        <w:rPr>
          <w:rFonts w:ascii="Times New Roman" w:hAnsi="Times New Roman"/>
          <w:sz w:val="24"/>
        </w:rPr>
        <w:t xml:space="preserve"> </w:t>
      </w:r>
      <w:r w:rsidR="00196989">
        <w:rPr>
          <w:rFonts w:ascii="Times New Roman" w:hAnsi="Times New Roman"/>
          <w:sz w:val="24"/>
        </w:rPr>
        <w:t>There was no substantive reply to these letters.</w:t>
      </w:r>
    </w:p>
    <w:p w14:paraId="29A23E30" w14:textId="164BF3D1" w:rsidR="0013530F" w:rsidRDefault="006E0F2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16 April 2018</w:t>
      </w:r>
      <w:r w:rsidR="00A35065">
        <w:rPr>
          <w:rFonts w:ascii="Times New Roman" w:hAnsi="Times New Roman"/>
          <w:sz w:val="24"/>
        </w:rPr>
        <w:t>,</w:t>
      </w:r>
      <w:r>
        <w:rPr>
          <w:rFonts w:ascii="Times New Roman" w:hAnsi="Times New Roman"/>
          <w:sz w:val="24"/>
        </w:rPr>
        <w:t xml:space="preserve"> the post-consu</w:t>
      </w:r>
      <w:r w:rsidR="00BF6290">
        <w:rPr>
          <w:rFonts w:ascii="Times New Roman" w:hAnsi="Times New Roman"/>
          <w:sz w:val="24"/>
        </w:rPr>
        <w:t>ltation NIS was published</w:t>
      </w:r>
      <w:r w:rsidR="0013530F">
        <w:rPr>
          <w:rFonts w:ascii="Times New Roman" w:hAnsi="Times New Roman"/>
          <w:sz w:val="24"/>
        </w:rPr>
        <w:t>.</w:t>
      </w:r>
      <w:r w:rsidR="00BF6290">
        <w:rPr>
          <w:rFonts w:ascii="Times New Roman" w:hAnsi="Times New Roman"/>
          <w:sz w:val="24"/>
        </w:rPr>
        <w:t xml:space="preserve"> </w:t>
      </w:r>
      <w:r w:rsidR="00A35065">
        <w:rPr>
          <w:rFonts w:ascii="Times New Roman" w:hAnsi="Times New Roman"/>
          <w:sz w:val="24"/>
        </w:rPr>
        <w:t xml:space="preserve"> </w:t>
      </w:r>
      <w:r w:rsidR="0013530F">
        <w:rPr>
          <w:rFonts w:ascii="Times New Roman" w:hAnsi="Times New Roman"/>
          <w:sz w:val="24"/>
        </w:rPr>
        <w:t>Th</w:t>
      </w:r>
      <w:r w:rsidR="002C3DCF">
        <w:rPr>
          <w:rFonts w:ascii="Times New Roman" w:hAnsi="Times New Roman"/>
          <w:sz w:val="24"/>
        </w:rPr>
        <w:t>is</w:t>
      </w:r>
      <w:r w:rsidR="0013530F">
        <w:rPr>
          <w:rFonts w:ascii="Times New Roman" w:hAnsi="Times New Roman"/>
          <w:sz w:val="24"/>
        </w:rPr>
        <w:t xml:space="preserve"> document is part of the AA and must be considered </w:t>
      </w:r>
      <w:r w:rsidR="0013530F" w:rsidRPr="00CF0DB4">
        <w:rPr>
          <w:rFonts w:ascii="Times New Roman" w:hAnsi="Times New Roman"/>
          <w:i/>
          <w:sz w:val="24"/>
        </w:rPr>
        <w:t>before</w:t>
      </w:r>
      <w:r w:rsidR="0013530F">
        <w:rPr>
          <w:rFonts w:ascii="Times New Roman" w:hAnsi="Times New Roman"/>
          <w:sz w:val="24"/>
        </w:rPr>
        <w:t xml:space="preserve"> a final AA determination is reached. </w:t>
      </w:r>
      <w:r w:rsidR="00A35065">
        <w:rPr>
          <w:rFonts w:ascii="Times New Roman" w:hAnsi="Times New Roman"/>
          <w:sz w:val="24"/>
        </w:rPr>
        <w:t xml:space="preserve"> </w:t>
      </w:r>
      <w:r w:rsidR="002C2E7C">
        <w:rPr>
          <w:rFonts w:ascii="Times New Roman" w:hAnsi="Times New Roman"/>
          <w:sz w:val="24"/>
        </w:rPr>
        <w:t>It does not contain the final AA determination</w:t>
      </w:r>
      <w:r w:rsidR="00CF0DB4">
        <w:rPr>
          <w:rFonts w:ascii="Times New Roman" w:hAnsi="Times New Roman"/>
          <w:sz w:val="24"/>
        </w:rPr>
        <w:t>,</w:t>
      </w:r>
      <w:r w:rsidR="002C2E7C">
        <w:rPr>
          <w:rFonts w:ascii="Times New Roman" w:hAnsi="Times New Roman"/>
          <w:sz w:val="24"/>
        </w:rPr>
        <w:t xml:space="preserve"> though</w:t>
      </w:r>
      <w:r w:rsidR="0013530F">
        <w:rPr>
          <w:rFonts w:ascii="Times New Roman" w:hAnsi="Times New Roman"/>
          <w:sz w:val="24"/>
        </w:rPr>
        <w:t xml:space="preserve"> </w:t>
      </w:r>
      <w:r w:rsidR="002C2E7C">
        <w:rPr>
          <w:rFonts w:ascii="Times New Roman" w:hAnsi="Times New Roman"/>
          <w:sz w:val="24"/>
        </w:rPr>
        <w:t>a</w:t>
      </w:r>
      <w:r w:rsidR="0013530F">
        <w:rPr>
          <w:rFonts w:ascii="Times New Roman" w:hAnsi="Times New Roman"/>
          <w:sz w:val="24"/>
        </w:rPr>
        <w:t xml:space="preserve">t para. </w:t>
      </w:r>
      <w:r w:rsidR="00A35065">
        <w:rPr>
          <w:rFonts w:ascii="Times New Roman" w:hAnsi="Times New Roman"/>
          <w:sz w:val="24"/>
        </w:rPr>
        <w:t>9</w:t>
      </w:r>
      <w:r w:rsidR="00CF0DB4">
        <w:rPr>
          <w:rFonts w:ascii="Times New Roman" w:hAnsi="Times New Roman"/>
          <w:sz w:val="24"/>
        </w:rPr>
        <w:t>,</w:t>
      </w:r>
      <w:r w:rsidR="0013530F">
        <w:rPr>
          <w:rFonts w:ascii="Times New Roman" w:hAnsi="Times New Roman"/>
          <w:sz w:val="24"/>
        </w:rPr>
        <w:t xml:space="preserve"> </w:t>
      </w:r>
      <w:r w:rsidR="002C2E7C">
        <w:rPr>
          <w:rFonts w:ascii="Times New Roman" w:hAnsi="Times New Roman"/>
          <w:sz w:val="24"/>
        </w:rPr>
        <w:t>after</w:t>
      </w:r>
      <w:r w:rsidR="0013530F">
        <w:rPr>
          <w:rFonts w:ascii="Times New Roman" w:hAnsi="Times New Roman"/>
          <w:sz w:val="24"/>
        </w:rPr>
        <w:t xml:space="preserve"> describ</w:t>
      </w:r>
      <w:r w:rsidR="002C2E7C">
        <w:rPr>
          <w:rFonts w:ascii="Times New Roman" w:hAnsi="Times New Roman"/>
          <w:sz w:val="24"/>
        </w:rPr>
        <w:t>ing</w:t>
      </w:r>
      <w:r w:rsidR="0013530F">
        <w:rPr>
          <w:rFonts w:ascii="Times New Roman" w:hAnsi="Times New Roman"/>
          <w:sz w:val="24"/>
        </w:rPr>
        <w:t xml:space="preserve"> the AA process</w:t>
      </w:r>
      <w:r w:rsidR="00CF0DB4">
        <w:rPr>
          <w:rFonts w:ascii="Times New Roman" w:hAnsi="Times New Roman"/>
          <w:sz w:val="24"/>
        </w:rPr>
        <w:t>,</w:t>
      </w:r>
      <w:r w:rsidR="002C2E7C">
        <w:rPr>
          <w:rFonts w:ascii="Times New Roman" w:hAnsi="Times New Roman"/>
          <w:sz w:val="24"/>
        </w:rPr>
        <w:t xml:space="preserve"> the authors</w:t>
      </w:r>
      <w:r w:rsidR="0013530F">
        <w:rPr>
          <w:rFonts w:ascii="Times New Roman" w:hAnsi="Times New Roman"/>
          <w:sz w:val="24"/>
        </w:rPr>
        <w:t xml:space="preserve"> conclude that:</w:t>
      </w:r>
      <w:r w:rsidR="00A35065">
        <w:rPr>
          <w:rFonts w:ascii="Times New Roman" w:hAnsi="Times New Roman"/>
          <w:sz w:val="24"/>
        </w:rPr>
        <w:t>-</w:t>
      </w:r>
    </w:p>
    <w:p w14:paraId="50388463" w14:textId="3071A638" w:rsidR="0013530F" w:rsidRDefault="0013530F" w:rsidP="0013530F">
      <w:pPr>
        <w:pStyle w:val="ListParagraph"/>
        <w:spacing w:line="480" w:lineRule="auto"/>
        <w:ind w:left="567"/>
        <w:jc w:val="left"/>
        <w:rPr>
          <w:rFonts w:ascii="Times New Roman" w:hAnsi="Times New Roman"/>
          <w:sz w:val="24"/>
        </w:rPr>
      </w:pPr>
      <w:r>
        <w:rPr>
          <w:rFonts w:ascii="Times New Roman" w:hAnsi="Times New Roman"/>
          <w:i/>
          <w:sz w:val="24"/>
        </w:rPr>
        <w:t>“</w:t>
      </w:r>
      <w:r w:rsidR="00A35065">
        <w:rPr>
          <w:rFonts w:ascii="Times New Roman" w:hAnsi="Times New Roman"/>
          <w:i/>
          <w:sz w:val="24"/>
        </w:rPr>
        <w:t>H</w:t>
      </w:r>
      <w:r>
        <w:rPr>
          <w:rFonts w:ascii="Times New Roman" w:hAnsi="Times New Roman"/>
          <w:i/>
          <w:sz w:val="24"/>
        </w:rPr>
        <w:t>aving regard to the reasons outlined above, it can be concluded that the NPF would not adversely affect the integrity of a European site (whether individually or in combination with other plans or projects</w:t>
      </w:r>
      <w:r w:rsidR="001C3EEB">
        <w:rPr>
          <w:rFonts w:ascii="Times New Roman" w:hAnsi="Times New Roman"/>
          <w:i/>
          <w:sz w:val="24"/>
        </w:rPr>
        <w:t>)</w:t>
      </w:r>
      <w:r>
        <w:rPr>
          <w:rFonts w:ascii="Times New Roman" w:hAnsi="Times New Roman"/>
          <w:i/>
          <w:sz w:val="24"/>
        </w:rPr>
        <w:t>.”</w:t>
      </w:r>
      <w:r>
        <w:rPr>
          <w:rFonts w:ascii="Times New Roman" w:hAnsi="Times New Roman"/>
          <w:sz w:val="24"/>
        </w:rPr>
        <w:t xml:space="preserve"> </w:t>
      </w:r>
    </w:p>
    <w:p w14:paraId="233BB8B6" w14:textId="77777777" w:rsidR="002C2E7C" w:rsidRPr="002C2E7C" w:rsidRDefault="002C2E7C" w:rsidP="002C2E7C">
      <w:pPr>
        <w:spacing w:line="480" w:lineRule="auto"/>
      </w:pPr>
      <w:r>
        <w:t>It is open to the decision maker to adopt the reasoning and this conclusion when making the required final AA determination.</w:t>
      </w:r>
    </w:p>
    <w:p w14:paraId="4529E36D" w14:textId="433AB57F" w:rsidR="00E03F87" w:rsidRDefault="006E0F2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14 May 2018</w:t>
      </w:r>
      <w:r w:rsidR="00A35065">
        <w:rPr>
          <w:rFonts w:ascii="Times New Roman" w:hAnsi="Times New Roman"/>
          <w:sz w:val="24"/>
        </w:rPr>
        <w:t>,</w:t>
      </w:r>
      <w:r>
        <w:rPr>
          <w:rFonts w:ascii="Times New Roman" w:hAnsi="Times New Roman"/>
          <w:sz w:val="24"/>
        </w:rPr>
        <w:t xml:space="preserve"> the Minister made a written AA Determination.</w:t>
      </w:r>
      <w:r w:rsidR="00E03F87">
        <w:rPr>
          <w:rFonts w:ascii="Times New Roman" w:hAnsi="Times New Roman"/>
          <w:sz w:val="24"/>
        </w:rPr>
        <w:t xml:space="preserve">  </w:t>
      </w:r>
      <w:r w:rsidR="00E03F87" w:rsidRPr="00E03F87">
        <w:rPr>
          <w:rFonts w:ascii="Times New Roman" w:hAnsi="Times New Roman"/>
          <w:sz w:val="24"/>
        </w:rPr>
        <w:t>It is appropriate to quote this in full:</w:t>
      </w:r>
      <w:r w:rsidR="00E03F87">
        <w:rPr>
          <w:rFonts w:ascii="Times New Roman" w:hAnsi="Times New Roman"/>
          <w:sz w:val="24"/>
        </w:rPr>
        <w:t>-</w:t>
      </w:r>
    </w:p>
    <w:p w14:paraId="7306A71C" w14:textId="77777777" w:rsidR="00E03F87" w:rsidRDefault="00E03F87" w:rsidP="00E03F87">
      <w:pPr>
        <w:spacing w:line="480" w:lineRule="auto"/>
        <w:ind w:left="567"/>
        <w:rPr>
          <w:b/>
          <w:i/>
          <w:u w:val="single"/>
        </w:rPr>
      </w:pPr>
      <w:r>
        <w:rPr>
          <w:i/>
        </w:rPr>
        <w:t>“</w:t>
      </w:r>
      <w:r w:rsidRPr="00616713">
        <w:rPr>
          <w:b/>
          <w:i/>
          <w:u w:val="single"/>
        </w:rPr>
        <w:t>In the matter of</w:t>
      </w:r>
      <w:r>
        <w:rPr>
          <w:b/>
          <w:i/>
          <w:u w:val="single"/>
        </w:rPr>
        <w:t xml:space="preserve"> Regulation 42 of the Birds and Habitats Regulations 2011</w:t>
      </w:r>
    </w:p>
    <w:p w14:paraId="6145C732" w14:textId="13028F1C" w:rsidR="00E03F87" w:rsidRPr="008F6DD9" w:rsidRDefault="00E03F87" w:rsidP="00E03F87">
      <w:pPr>
        <w:spacing w:line="480" w:lineRule="auto"/>
        <w:ind w:left="567"/>
        <w:rPr>
          <w:b/>
          <w:i/>
          <w:u w:val="single"/>
        </w:rPr>
      </w:pPr>
      <w:r w:rsidRPr="008F6DD9">
        <w:rPr>
          <w:b/>
          <w:i/>
          <w:u w:val="single"/>
        </w:rPr>
        <w:t xml:space="preserve">And in the matter of Article 6(3) of the Habitats </w:t>
      </w:r>
      <w:r w:rsidR="00A35065">
        <w:rPr>
          <w:b/>
          <w:i/>
          <w:u w:val="single"/>
        </w:rPr>
        <w:t>D</w:t>
      </w:r>
      <w:r w:rsidRPr="008F6DD9">
        <w:rPr>
          <w:b/>
          <w:i/>
          <w:u w:val="single"/>
        </w:rPr>
        <w:t>irective</w:t>
      </w:r>
    </w:p>
    <w:p w14:paraId="4CF7A3E7" w14:textId="731E7282" w:rsidR="00E03F87" w:rsidRPr="008F6DD9" w:rsidRDefault="00E03F87" w:rsidP="00E03F87">
      <w:pPr>
        <w:spacing w:line="480" w:lineRule="auto"/>
        <w:ind w:left="567"/>
        <w:rPr>
          <w:b/>
          <w:i/>
          <w:u w:val="single"/>
        </w:rPr>
      </w:pPr>
      <w:r w:rsidRPr="008F6DD9">
        <w:rPr>
          <w:b/>
          <w:i/>
          <w:u w:val="single"/>
        </w:rPr>
        <w:t xml:space="preserve">Appropriate </w:t>
      </w:r>
      <w:r w:rsidR="00A35065">
        <w:rPr>
          <w:b/>
          <w:i/>
          <w:u w:val="single"/>
        </w:rPr>
        <w:t>A</w:t>
      </w:r>
      <w:r w:rsidRPr="008F6DD9">
        <w:rPr>
          <w:b/>
          <w:i/>
          <w:u w:val="single"/>
        </w:rPr>
        <w:t xml:space="preserve">ssessment </w:t>
      </w:r>
      <w:r w:rsidR="00A35065">
        <w:rPr>
          <w:b/>
          <w:i/>
          <w:u w:val="single"/>
        </w:rPr>
        <w:t>D</w:t>
      </w:r>
      <w:r w:rsidRPr="008F6DD9">
        <w:rPr>
          <w:b/>
          <w:i/>
          <w:u w:val="single"/>
        </w:rPr>
        <w:t>etermination</w:t>
      </w:r>
    </w:p>
    <w:p w14:paraId="5357AD7B" w14:textId="77777777" w:rsidR="00E03F87" w:rsidRPr="00616713" w:rsidRDefault="00E03F87" w:rsidP="00E03F87">
      <w:pPr>
        <w:spacing w:line="480" w:lineRule="auto"/>
        <w:ind w:left="567"/>
        <w:rPr>
          <w:b/>
        </w:rPr>
      </w:pPr>
      <w:r w:rsidRPr="008F6DD9">
        <w:rPr>
          <w:b/>
          <w:i/>
          <w:u w:val="single"/>
        </w:rPr>
        <w:t>National Planning Framework</w:t>
      </w:r>
      <w:r w:rsidRPr="00616713">
        <w:rPr>
          <w:b/>
          <w:i/>
        </w:rPr>
        <w:t xml:space="preserve"> </w:t>
      </w:r>
      <w:r w:rsidRPr="00616713">
        <w:rPr>
          <w:b/>
        </w:rPr>
        <w:t xml:space="preserve">  </w:t>
      </w:r>
    </w:p>
    <w:p w14:paraId="5BC2F50D" w14:textId="143351D1" w:rsidR="00E03F87" w:rsidRDefault="00E03F87">
      <w:pPr>
        <w:spacing w:line="480" w:lineRule="auto"/>
        <w:ind w:left="567"/>
        <w:rPr>
          <w:i/>
        </w:rPr>
      </w:pPr>
      <w:r>
        <w:rPr>
          <w:i/>
        </w:rPr>
        <w:t xml:space="preserve">In order to comply with requirements of Article 6(3) of the EU Habitats Directive and Regulation 42 of the European Communities (Birds and Natural Habitats) </w:t>
      </w:r>
      <w:r>
        <w:rPr>
          <w:i/>
        </w:rPr>
        <w:lastRenderedPageBreak/>
        <w:t xml:space="preserve">Regulations 2011 as amended (the “Birds and Habitats Regulations”) the process of Screening for Appropriate Assessment was undertaken at an early stage in the drafting of the National Planning Framework (“NPF”).  The AA Screening assessed whether the NPF was likely to have significant effects on any European Sites within the Natura 2000 </w:t>
      </w:r>
      <w:r w:rsidR="00A35065">
        <w:rPr>
          <w:i/>
        </w:rPr>
        <w:t>n</w:t>
      </w:r>
      <w:r>
        <w:rPr>
          <w:i/>
        </w:rPr>
        <w:t>etwork, either alone or in combination with other plans and projects.</w:t>
      </w:r>
    </w:p>
    <w:p w14:paraId="6ACBBBCE" w14:textId="0FD678A0" w:rsidR="00E03F87" w:rsidRDefault="00E03F87">
      <w:pPr>
        <w:spacing w:line="480" w:lineRule="auto"/>
        <w:ind w:left="567"/>
        <w:rPr>
          <w:i/>
        </w:rPr>
      </w:pPr>
      <w:r>
        <w:rPr>
          <w:i/>
        </w:rPr>
        <w:t>The screening for Appropriate Assessment was undertaken by ecologists at RPS on behalf of the Minister for Housing, Planning and Local Government.  The screening concluded that an appropriate assessment of the NPF was required, as the Plan is not directly connected with unnecessary to the management of the sites as European sites and as it cannot be excluded, on the basis of objective information, that the Plan individually or in combination with other plans or projects, will have a significant effect on a European Site.</w:t>
      </w:r>
    </w:p>
    <w:p w14:paraId="43C9F6A4" w14:textId="31DE405B" w:rsidR="00E03F87" w:rsidRDefault="00E03F87">
      <w:pPr>
        <w:spacing w:line="480" w:lineRule="auto"/>
        <w:ind w:left="567"/>
        <w:rPr>
          <w:i/>
        </w:rPr>
      </w:pPr>
      <w:r>
        <w:rPr>
          <w:i/>
        </w:rPr>
        <w:t xml:space="preserve">Therefore, adopting the precautionary principle, it was concluded that a Natura Impact Statement (NIS) should be prepared.  A Natura Impact Statement was prepared by RPS on behalf of the Minister, and was made available as part of the public consultation on the (draft) National Planning Framework, published online at </w:t>
      </w:r>
      <w:r w:rsidR="006F3C55" w:rsidRPr="006F3C55">
        <w:rPr>
          <w:i/>
        </w:rPr>
        <w:t>www.npf.ie</w:t>
      </w:r>
      <w:r>
        <w:rPr>
          <w:i/>
        </w:rPr>
        <w:t xml:space="preserve"> and was also available in hard copy.</w:t>
      </w:r>
    </w:p>
    <w:p w14:paraId="633083C2" w14:textId="1AB79578" w:rsidR="00E03F87" w:rsidRDefault="00E03F87">
      <w:pPr>
        <w:spacing w:line="480" w:lineRule="auto"/>
        <w:ind w:left="567"/>
        <w:rPr>
          <w:i/>
        </w:rPr>
      </w:pPr>
      <w:r>
        <w:rPr>
          <w:i/>
        </w:rPr>
        <w:t xml:space="preserve">The Natura Impact Statement considered the potential for the National Planning Framework to adversely affect the integrity of any Natura 2000 site(s); with regard to their qualifying interests, associated conservations status, the structure/function of the site(s) and the overall site(s) integrity.  This was done in a two stage process, initially assessing the draft NPF published in September 2017 and </w:t>
      </w:r>
      <w:r w:rsidRPr="00963FC1">
        <w:rPr>
          <w:i/>
          <w:u w:val="single"/>
        </w:rPr>
        <w:t>subsequently assessing the changes made post</w:t>
      </w:r>
      <w:r w:rsidR="006F3C55">
        <w:rPr>
          <w:i/>
          <w:u w:val="single"/>
        </w:rPr>
        <w:t xml:space="preserve"> </w:t>
      </w:r>
      <w:r w:rsidRPr="00963FC1">
        <w:rPr>
          <w:i/>
          <w:u w:val="single"/>
        </w:rPr>
        <w:t>consultation for the NP</w:t>
      </w:r>
      <w:r w:rsidR="009C76C3">
        <w:rPr>
          <w:i/>
          <w:u w:val="single"/>
        </w:rPr>
        <w:t>F</w:t>
      </w:r>
      <w:r w:rsidRPr="00963FC1">
        <w:rPr>
          <w:i/>
          <w:u w:val="single"/>
        </w:rPr>
        <w:t>, published in May 2018</w:t>
      </w:r>
      <w:r>
        <w:rPr>
          <w:i/>
        </w:rPr>
        <w:t xml:space="preserve">. </w:t>
      </w:r>
      <w:r w:rsidR="006F3C55">
        <w:t xml:space="preserve"> </w:t>
      </w:r>
    </w:p>
    <w:p w14:paraId="23E40CAC" w14:textId="116AE70E" w:rsidR="00E03F87" w:rsidRDefault="00E03F87">
      <w:pPr>
        <w:spacing w:line="480" w:lineRule="auto"/>
        <w:ind w:left="567"/>
        <w:rPr>
          <w:i/>
        </w:rPr>
      </w:pPr>
      <w:r>
        <w:rPr>
          <w:i/>
        </w:rPr>
        <w:lastRenderedPageBreak/>
        <w:t xml:space="preserve">An </w:t>
      </w:r>
      <w:r w:rsidR="00021DCE">
        <w:rPr>
          <w:i/>
        </w:rPr>
        <w:t>A</w:t>
      </w:r>
      <w:r>
        <w:rPr>
          <w:i/>
        </w:rPr>
        <w:t>ppropriate Assessment Conclusion Stat</w:t>
      </w:r>
      <w:r w:rsidR="00021DCE">
        <w:rPr>
          <w:i/>
        </w:rPr>
        <w:t>ement</w:t>
      </w:r>
      <w:r>
        <w:rPr>
          <w:i/>
        </w:rPr>
        <w:t xml:space="preserve"> was prepared by RPS on behalf of the Minister for Housing, Planning and Local Government.  </w:t>
      </w:r>
    </w:p>
    <w:p w14:paraId="7EC6F7E6" w14:textId="77777777" w:rsidR="00E03F87" w:rsidRDefault="00E03F87" w:rsidP="00E03F87">
      <w:pPr>
        <w:spacing w:line="480" w:lineRule="auto"/>
        <w:ind w:left="567"/>
        <w:rPr>
          <w:i/>
        </w:rPr>
      </w:pPr>
      <w:r>
        <w:rPr>
          <w:i/>
        </w:rPr>
        <w:t>APPROPRIATE ASSESSMENT DETERMINATION</w:t>
      </w:r>
    </w:p>
    <w:p w14:paraId="32213575" w14:textId="77777777" w:rsidR="00E03F87" w:rsidRDefault="00E03F87" w:rsidP="00E03F87">
      <w:pPr>
        <w:spacing w:line="480" w:lineRule="auto"/>
        <w:ind w:left="567"/>
        <w:rPr>
          <w:i/>
        </w:rPr>
      </w:pPr>
      <w:r>
        <w:rPr>
          <w:i/>
        </w:rPr>
        <w:t xml:space="preserve">Therefore, having regard to: </w:t>
      </w:r>
    </w:p>
    <w:p w14:paraId="3F0C8991" w14:textId="4D2EC473"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Natura Impact Statement dated September 2017, which concluded that subject to mitigation, there would be no adverse effects on the integrity of any European sites as a result of implement</w:t>
      </w:r>
      <w:r w:rsidR="00021DCE">
        <w:rPr>
          <w:rFonts w:ascii="Times New Roman" w:hAnsi="Times New Roman"/>
          <w:i/>
          <w:sz w:val="24"/>
          <w:szCs w:val="24"/>
        </w:rPr>
        <w:t>ation</w:t>
      </w:r>
      <w:r>
        <w:rPr>
          <w:rFonts w:ascii="Times New Roman" w:hAnsi="Times New Roman"/>
          <w:i/>
          <w:sz w:val="24"/>
          <w:szCs w:val="24"/>
        </w:rPr>
        <w:t xml:space="preserve"> of the NPF;</w:t>
      </w:r>
    </w:p>
    <w:p w14:paraId="5F066521" w14:textId="77777777"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submissions and observations from the public, public authorities and other Government Departments;</w:t>
      </w:r>
    </w:p>
    <w:p w14:paraId="13627A95" w14:textId="77777777"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submission received from the Department of Culture, Heritage and the Gaeltacht;</w:t>
      </w:r>
    </w:p>
    <w:p w14:paraId="44056691" w14:textId="77777777"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Assessment of the proposed modifications to the draft NPF which concluded that subject to mitigation, there would be no adverse effects on the integrity of any European sites;</w:t>
      </w:r>
    </w:p>
    <w:p w14:paraId="1E3CAA9C" w14:textId="16334ABE"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post</w:t>
      </w:r>
      <w:r w:rsidR="00021DCE">
        <w:rPr>
          <w:rFonts w:ascii="Times New Roman" w:hAnsi="Times New Roman"/>
          <w:i/>
          <w:sz w:val="24"/>
          <w:szCs w:val="24"/>
        </w:rPr>
        <w:t>-</w:t>
      </w:r>
      <w:r>
        <w:rPr>
          <w:rFonts w:ascii="Times New Roman" w:hAnsi="Times New Roman"/>
          <w:i/>
          <w:sz w:val="24"/>
          <w:szCs w:val="24"/>
        </w:rPr>
        <w:t>consultation Natura Impact Statement which for the considerations and reasons stated therein concluded that there would be no adverse effects on the integrity of any European sites as a result of implementation of the NPF;</w:t>
      </w:r>
    </w:p>
    <w:p w14:paraId="1869E5A9" w14:textId="7A490FDF"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 xml:space="preserve">The </w:t>
      </w:r>
      <w:r w:rsidR="00021DCE">
        <w:rPr>
          <w:rFonts w:ascii="Times New Roman" w:hAnsi="Times New Roman"/>
          <w:i/>
          <w:sz w:val="24"/>
          <w:szCs w:val="24"/>
        </w:rPr>
        <w:t>A</w:t>
      </w:r>
      <w:r>
        <w:rPr>
          <w:rFonts w:ascii="Times New Roman" w:hAnsi="Times New Roman"/>
          <w:i/>
          <w:sz w:val="24"/>
          <w:szCs w:val="24"/>
        </w:rPr>
        <w:t xml:space="preserve">ppropriate </w:t>
      </w:r>
      <w:r w:rsidR="00021DCE">
        <w:rPr>
          <w:rFonts w:ascii="Times New Roman" w:hAnsi="Times New Roman"/>
          <w:i/>
          <w:sz w:val="24"/>
          <w:szCs w:val="24"/>
        </w:rPr>
        <w:t>A</w:t>
      </w:r>
      <w:r>
        <w:rPr>
          <w:rFonts w:ascii="Times New Roman" w:hAnsi="Times New Roman"/>
          <w:i/>
          <w:sz w:val="24"/>
          <w:szCs w:val="24"/>
        </w:rPr>
        <w:t xml:space="preserve">ssessment </w:t>
      </w:r>
      <w:r w:rsidR="00021DCE">
        <w:rPr>
          <w:rFonts w:ascii="Times New Roman" w:hAnsi="Times New Roman"/>
          <w:i/>
          <w:sz w:val="24"/>
          <w:szCs w:val="24"/>
        </w:rPr>
        <w:t>C</w:t>
      </w:r>
      <w:r>
        <w:rPr>
          <w:rFonts w:ascii="Times New Roman" w:hAnsi="Times New Roman"/>
          <w:i/>
          <w:sz w:val="24"/>
          <w:szCs w:val="24"/>
        </w:rPr>
        <w:t xml:space="preserve">onclusion </w:t>
      </w:r>
      <w:r w:rsidR="00021DCE">
        <w:rPr>
          <w:rFonts w:ascii="Times New Roman" w:hAnsi="Times New Roman"/>
          <w:i/>
          <w:sz w:val="24"/>
          <w:szCs w:val="24"/>
        </w:rPr>
        <w:t>S</w:t>
      </w:r>
      <w:r>
        <w:rPr>
          <w:rFonts w:ascii="Times New Roman" w:hAnsi="Times New Roman"/>
          <w:i/>
          <w:sz w:val="24"/>
          <w:szCs w:val="24"/>
        </w:rPr>
        <w:t>tat</w:t>
      </w:r>
      <w:r w:rsidR="00021DCE">
        <w:rPr>
          <w:rFonts w:ascii="Times New Roman" w:hAnsi="Times New Roman"/>
          <w:i/>
          <w:sz w:val="24"/>
          <w:szCs w:val="24"/>
        </w:rPr>
        <w:t>ement</w:t>
      </w:r>
      <w:r>
        <w:rPr>
          <w:rFonts w:ascii="Times New Roman" w:hAnsi="Times New Roman"/>
          <w:i/>
          <w:sz w:val="24"/>
          <w:szCs w:val="24"/>
        </w:rPr>
        <w:t>;</w:t>
      </w:r>
    </w:p>
    <w:p w14:paraId="319C46B5" w14:textId="5FF2DAFE" w:rsidR="00E03F87" w:rsidRPr="004A56E3" w:rsidRDefault="00E03F87" w:rsidP="003763A0">
      <w:pPr>
        <w:pStyle w:val="ListParagraph"/>
        <w:numPr>
          <w:ilvl w:val="0"/>
          <w:numId w:val="3"/>
        </w:numPr>
        <w:spacing w:line="480" w:lineRule="auto"/>
        <w:ind w:left="1134" w:hanging="567"/>
        <w:rPr>
          <w:rFonts w:ascii="Times New Roman" w:hAnsi="Times New Roman"/>
          <w:iCs/>
          <w:sz w:val="24"/>
          <w:szCs w:val="24"/>
        </w:rPr>
      </w:pPr>
      <w:r>
        <w:rPr>
          <w:rFonts w:ascii="Times New Roman" w:hAnsi="Times New Roman"/>
          <w:i/>
          <w:sz w:val="24"/>
          <w:szCs w:val="24"/>
        </w:rPr>
        <w:t xml:space="preserve">The draft SEA </w:t>
      </w:r>
      <w:r w:rsidR="00021DCE">
        <w:rPr>
          <w:rFonts w:ascii="Times New Roman" w:hAnsi="Times New Roman"/>
          <w:i/>
          <w:sz w:val="24"/>
          <w:szCs w:val="24"/>
        </w:rPr>
        <w:t>s</w:t>
      </w:r>
      <w:r>
        <w:rPr>
          <w:rFonts w:ascii="Times New Roman" w:hAnsi="Times New Roman"/>
          <w:i/>
          <w:sz w:val="24"/>
          <w:szCs w:val="24"/>
        </w:rPr>
        <w:t>tatement dated 15 February 2018</w:t>
      </w:r>
      <w:r w:rsidRPr="004A56E3">
        <w:rPr>
          <w:rFonts w:ascii="Times New Roman" w:hAnsi="Times New Roman"/>
          <w:iCs/>
          <w:sz w:val="24"/>
          <w:szCs w:val="24"/>
        </w:rPr>
        <w:t>.</w:t>
      </w:r>
      <w:r w:rsidRPr="004A56E3">
        <w:rPr>
          <w:rStyle w:val="FootnoteReference"/>
          <w:rFonts w:ascii="Times New Roman" w:hAnsi="Times New Roman"/>
          <w:iCs/>
          <w:sz w:val="24"/>
          <w:szCs w:val="24"/>
        </w:rPr>
        <w:footnoteReference w:id="1"/>
      </w:r>
    </w:p>
    <w:p w14:paraId="53515E14" w14:textId="02C81B38"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high</w:t>
      </w:r>
      <w:r w:rsidR="00021DCE">
        <w:rPr>
          <w:rFonts w:ascii="Times New Roman" w:hAnsi="Times New Roman"/>
          <w:i/>
          <w:sz w:val="24"/>
          <w:szCs w:val="24"/>
        </w:rPr>
        <w:t>-</w:t>
      </w:r>
      <w:r>
        <w:rPr>
          <w:rFonts w:ascii="Times New Roman" w:hAnsi="Times New Roman"/>
          <w:i/>
          <w:sz w:val="24"/>
          <w:szCs w:val="24"/>
        </w:rPr>
        <w:t>level strategic nature of the draft NPF and of the proposed modifications to the draft NPF.</w:t>
      </w:r>
    </w:p>
    <w:p w14:paraId="7392F450" w14:textId="77777777"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t>The integrated protection policies included in the NPF, particularly NPO59 and NPO75;</w:t>
      </w:r>
    </w:p>
    <w:p w14:paraId="67B3931A" w14:textId="670B4D3E" w:rsidR="00E03F87" w:rsidRDefault="00E03F87" w:rsidP="003763A0">
      <w:pPr>
        <w:pStyle w:val="ListParagraph"/>
        <w:numPr>
          <w:ilvl w:val="0"/>
          <w:numId w:val="3"/>
        </w:numPr>
        <w:spacing w:line="480" w:lineRule="auto"/>
        <w:ind w:left="1134" w:hanging="567"/>
        <w:rPr>
          <w:rFonts w:ascii="Times New Roman" w:hAnsi="Times New Roman"/>
          <w:i/>
          <w:sz w:val="24"/>
          <w:szCs w:val="24"/>
        </w:rPr>
      </w:pPr>
      <w:r>
        <w:rPr>
          <w:rFonts w:ascii="Times New Roman" w:hAnsi="Times New Roman"/>
          <w:i/>
          <w:sz w:val="24"/>
          <w:szCs w:val="24"/>
        </w:rPr>
        <w:lastRenderedPageBreak/>
        <w:t>The fact that all plans and projects informed by the NPF would be subject to Stage 1 Screening and Stage 2 Appropriate Assessment as required pursuant to the provisions of the Planning and Development Act 2000</w:t>
      </w:r>
      <w:r w:rsidR="008B5EA9">
        <w:rPr>
          <w:rFonts w:ascii="Times New Roman" w:hAnsi="Times New Roman"/>
          <w:i/>
          <w:sz w:val="24"/>
          <w:szCs w:val="24"/>
        </w:rPr>
        <w:t xml:space="preserve">, </w:t>
      </w:r>
      <w:r>
        <w:rPr>
          <w:rFonts w:ascii="Times New Roman" w:hAnsi="Times New Roman"/>
          <w:i/>
          <w:sz w:val="24"/>
          <w:szCs w:val="24"/>
        </w:rPr>
        <w:t>as amended and/or the Birds and Natural Habitats Regulations 2011</w:t>
      </w:r>
      <w:r w:rsidR="008B5EA9">
        <w:rPr>
          <w:rFonts w:ascii="Times New Roman" w:hAnsi="Times New Roman"/>
          <w:i/>
          <w:sz w:val="24"/>
          <w:szCs w:val="24"/>
        </w:rPr>
        <w:t xml:space="preserve">, </w:t>
      </w:r>
      <w:r>
        <w:rPr>
          <w:rFonts w:ascii="Times New Roman" w:hAnsi="Times New Roman"/>
          <w:i/>
          <w:sz w:val="24"/>
          <w:szCs w:val="24"/>
        </w:rPr>
        <w:t>as amended;</w:t>
      </w:r>
    </w:p>
    <w:p w14:paraId="1BB2F1AC" w14:textId="76AD99FC" w:rsidR="00E03F87" w:rsidRPr="004A56E3" w:rsidRDefault="00E03F87" w:rsidP="004A56E3">
      <w:pPr>
        <w:pStyle w:val="ListParagraph"/>
        <w:numPr>
          <w:ilvl w:val="0"/>
          <w:numId w:val="3"/>
        </w:numPr>
        <w:spacing w:line="480" w:lineRule="auto"/>
        <w:ind w:left="1134" w:hanging="567"/>
        <w:rPr>
          <w:i/>
        </w:rPr>
      </w:pPr>
      <w:r>
        <w:rPr>
          <w:rFonts w:ascii="Times New Roman" w:hAnsi="Times New Roman"/>
          <w:i/>
          <w:sz w:val="24"/>
          <w:szCs w:val="24"/>
        </w:rPr>
        <w:t>The continu</w:t>
      </w:r>
      <w:r w:rsidR="008B5EA9">
        <w:rPr>
          <w:rFonts w:ascii="Times New Roman" w:hAnsi="Times New Roman"/>
          <w:i/>
          <w:sz w:val="24"/>
          <w:szCs w:val="24"/>
        </w:rPr>
        <w:t>ed</w:t>
      </w:r>
      <w:r>
        <w:rPr>
          <w:rFonts w:ascii="Times New Roman" w:hAnsi="Times New Roman"/>
          <w:i/>
          <w:sz w:val="24"/>
          <w:szCs w:val="24"/>
        </w:rPr>
        <w:t xml:space="preserve"> application of the AA process to subsequent planning tiers, beginning with RSESs (Regional Spatial and Economic Strategies)</w:t>
      </w:r>
    </w:p>
    <w:p w14:paraId="5C3CB29E" w14:textId="61FBD189" w:rsidR="00E03F87" w:rsidRPr="00AD09A1" w:rsidRDefault="00E03F87">
      <w:pPr>
        <w:pStyle w:val="ListParagraph"/>
        <w:spacing w:line="480" w:lineRule="auto"/>
        <w:ind w:left="567"/>
      </w:pPr>
      <w:r>
        <w:rPr>
          <w:rFonts w:ascii="Times New Roman" w:hAnsi="Times New Roman"/>
          <w:i/>
          <w:sz w:val="24"/>
          <w:szCs w:val="24"/>
        </w:rPr>
        <w:t xml:space="preserve">The Minister for Housing, Planning and Local Government, having carefully considered all of the foregoing, and in particular, the </w:t>
      </w:r>
      <w:r w:rsidR="008B5EA9">
        <w:rPr>
          <w:rFonts w:ascii="Times New Roman" w:hAnsi="Times New Roman"/>
          <w:i/>
          <w:sz w:val="24"/>
          <w:szCs w:val="24"/>
        </w:rPr>
        <w:t>A</w:t>
      </w:r>
      <w:r>
        <w:rPr>
          <w:rFonts w:ascii="Times New Roman" w:hAnsi="Times New Roman"/>
          <w:i/>
          <w:sz w:val="24"/>
          <w:szCs w:val="24"/>
        </w:rPr>
        <w:t xml:space="preserve">ppropriate </w:t>
      </w:r>
      <w:r w:rsidR="008B5EA9">
        <w:rPr>
          <w:rFonts w:ascii="Times New Roman" w:hAnsi="Times New Roman"/>
          <w:i/>
          <w:sz w:val="24"/>
          <w:szCs w:val="24"/>
        </w:rPr>
        <w:t>A</w:t>
      </w:r>
      <w:r>
        <w:rPr>
          <w:rFonts w:ascii="Times New Roman" w:hAnsi="Times New Roman"/>
          <w:i/>
          <w:sz w:val="24"/>
          <w:szCs w:val="24"/>
        </w:rPr>
        <w:t xml:space="preserve">ssessment </w:t>
      </w:r>
      <w:r w:rsidR="008B5EA9">
        <w:rPr>
          <w:rFonts w:ascii="Times New Roman" w:hAnsi="Times New Roman"/>
          <w:i/>
          <w:sz w:val="24"/>
          <w:szCs w:val="24"/>
        </w:rPr>
        <w:t>C</w:t>
      </w:r>
      <w:r>
        <w:rPr>
          <w:rFonts w:ascii="Times New Roman" w:hAnsi="Times New Roman"/>
          <w:i/>
          <w:sz w:val="24"/>
          <w:szCs w:val="24"/>
        </w:rPr>
        <w:t xml:space="preserve">onclusion </w:t>
      </w:r>
      <w:r w:rsidR="008B5EA9">
        <w:rPr>
          <w:rFonts w:ascii="Times New Roman" w:hAnsi="Times New Roman"/>
          <w:i/>
          <w:sz w:val="24"/>
          <w:szCs w:val="24"/>
        </w:rPr>
        <w:t>S</w:t>
      </w:r>
      <w:r>
        <w:rPr>
          <w:rFonts w:ascii="Times New Roman" w:hAnsi="Times New Roman"/>
          <w:i/>
          <w:sz w:val="24"/>
          <w:szCs w:val="24"/>
        </w:rPr>
        <w:t xml:space="preserve">tatement, and having regard to the advice of his officials, agrees with and adopts the reasoning and conclusion set out in the said </w:t>
      </w:r>
      <w:r w:rsidR="008B5EA9">
        <w:rPr>
          <w:rFonts w:ascii="Times New Roman" w:hAnsi="Times New Roman"/>
          <w:i/>
          <w:sz w:val="24"/>
          <w:szCs w:val="24"/>
        </w:rPr>
        <w:t>A</w:t>
      </w:r>
      <w:r>
        <w:rPr>
          <w:rFonts w:ascii="Times New Roman" w:hAnsi="Times New Roman"/>
          <w:i/>
          <w:sz w:val="24"/>
          <w:szCs w:val="24"/>
        </w:rPr>
        <w:t xml:space="preserve">ppropriate </w:t>
      </w:r>
      <w:r w:rsidR="008B5EA9">
        <w:rPr>
          <w:rFonts w:ascii="Times New Roman" w:hAnsi="Times New Roman"/>
          <w:i/>
          <w:sz w:val="24"/>
          <w:szCs w:val="24"/>
        </w:rPr>
        <w:t>A</w:t>
      </w:r>
      <w:r>
        <w:rPr>
          <w:rFonts w:ascii="Times New Roman" w:hAnsi="Times New Roman"/>
          <w:i/>
          <w:sz w:val="24"/>
          <w:szCs w:val="24"/>
        </w:rPr>
        <w:t xml:space="preserve">ssessment </w:t>
      </w:r>
      <w:r w:rsidR="008B5EA9">
        <w:rPr>
          <w:rFonts w:ascii="Times New Roman" w:hAnsi="Times New Roman"/>
          <w:i/>
          <w:sz w:val="24"/>
          <w:szCs w:val="24"/>
        </w:rPr>
        <w:t>C</w:t>
      </w:r>
      <w:r>
        <w:rPr>
          <w:rFonts w:ascii="Times New Roman" w:hAnsi="Times New Roman"/>
          <w:i/>
          <w:sz w:val="24"/>
          <w:szCs w:val="24"/>
        </w:rPr>
        <w:t xml:space="preserve">onclusion </w:t>
      </w:r>
      <w:r w:rsidR="008B5EA9">
        <w:rPr>
          <w:rFonts w:ascii="Times New Roman" w:hAnsi="Times New Roman"/>
          <w:i/>
          <w:sz w:val="24"/>
          <w:szCs w:val="24"/>
        </w:rPr>
        <w:t>S</w:t>
      </w:r>
      <w:r>
        <w:rPr>
          <w:rFonts w:ascii="Times New Roman" w:hAnsi="Times New Roman"/>
          <w:i/>
          <w:sz w:val="24"/>
          <w:szCs w:val="24"/>
        </w:rPr>
        <w:t xml:space="preserve">tatement. </w:t>
      </w:r>
    </w:p>
    <w:p w14:paraId="70CC50E9" w14:textId="14E9A920" w:rsidR="00E03F87" w:rsidRPr="00AD09A1" w:rsidRDefault="00E03F87">
      <w:pPr>
        <w:pStyle w:val="ListParagraph"/>
        <w:spacing w:line="480" w:lineRule="auto"/>
        <w:ind w:left="567"/>
      </w:pPr>
      <w:r>
        <w:rPr>
          <w:rFonts w:ascii="Times New Roman" w:hAnsi="Times New Roman"/>
          <w:i/>
          <w:sz w:val="24"/>
          <w:szCs w:val="24"/>
        </w:rPr>
        <w:t>The Minister hereby DETERMINES pursuant to Regulation 42 of the Birds and Habitats Regulations and for the purposes of Article 6(3) of the Habitats Directive that the adoption and publication of the NPF as a replacement of the “National Spatial Strategy” for the purposes of s</w:t>
      </w:r>
      <w:r w:rsidR="008B5EA9">
        <w:rPr>
          <w:rFonts w:ascii="Times New Roman" w:hAnsi="Times New Roman"/>
          <w:i/>
          <w:sz w:val="24"/>
          <w:szCs w:val="24"/>
        </w:rPr>
        <w:t xml:space="preserve">ection </w:t>
      </w:r>
      <w:r>
        <w:rPr>
          <w:rFonts w:ascii="Times New Roman" w:hAnsi="Times New Roman"/>
          <w:i/>
          <w:sz w:val="24"/>
          <w:szCs w:val="24"/>
        </w:rPr>
        <w:t>2 of the PDA 2000 will not either individually or in combination with any other plan or project adversely affect the integrity of any European site (as defined).</w:t>
      </w:r>
    </w:p>
    <w:p w14:paraId="6948E890" w14:textId="77777777" w:rsidR="00E03F87" w:rsidRDefault="00E03F87" w:rsidP="00E03F87">
      <w:pPr>
        <w:pStyle w:val="ListParagraph"/>
        <w:spacing w:line="480" w:lineRule="auto"/>
        <w:ind w:left="567"/>
        <w:rPr>
          <w:rFonts w:ascii="Times New Roman" w:hAnsi="Times New Roman"/>
          <w:i/>
          <w:sz w:val="24"/>
          <w:szCs w:val="24"/>
        </w:rPr>
      </w:pPr>
      <w:r>
        <w:rPr>
          <w:rFonts w:ascii="Times New Roman" w:hAnsi="Times New Roman"/>
          <w:i/>
          <w:sz w:val="24"/>
          <w:szCs w:val="24"/>
        </w:rPr>
        <w:t>REASONS FOR DETERMINATION</w:t>
      </w:r>
    </w:p>
    <w:p w14:paraId="2B20A8CE" w14:textId="0F2CD7DA" w:rsidR="00E03F87" w:rsidRPr="00AD09A1" w:rsidRDefault="00E03F87">
      <w:pPr>
        <w:pStyle w:val="ListParagraph"/>
        <w:spacing w:line="480" w:lineRule="auto"/>
        <w:ind w:left="567"/>
      </w:pPr>
      <w:r>
        <w:rPr>
          <w:rFonts w:ascii="Times New Roman" w:hAnsi="Times New Roman"/>
          <w:i/>
          <w:sz w:val="24"/>
          <w:szCs w:val="24"/>
        </w:rPr>
        <w:t xml:space="preserve">The reason for the said determination as set out in the Appropriate Assessment Conclusion Statement, the reasoning and conclusions of which have been adopted in full by the Minister.  </w:t>
      </w:r>
      <w:r w:rsidR="008B5EA9">
        <w:rPr>
          <w:rFonts w:ascii="Times New Roman" w:hAnsi="Times New Roman"/>
          <w:i/>
          <w:sz w:val="24"/>
          <w:szCs w:val="24"/>
        </w:rPr>
        <w:t>The</w:t>
      </w:r>
      <w:r>
        <w:rPr>
          <w:rFonts w:ascii="Times New Roman" w:hAnsi="Times New Roman"/>
          <w:i/>
          <w:sz w:val="24"/>
          <w:szCs w:val="24"/>
        </w:rPr>
        <w:t xml:space="preserve"> said Appropriate Assessment Conclusion Statement is to be published together with this determination.</w:t>
      </w:r>
    </w:p>
    <w:p w14:paraId="1EF8A242" w14:textId="77777777" w:rsidR="00E03F87" w:rsidRDefault="00E03F87" w:rsidP="00E03F87">
      <w:pPr>
        <w:pStyle w:val="ListParagraph"/>
        <w:spacing w:line="480" w:lineRule="auto"/>
        <w:ind w:left="567"/>
        <w:rPr>
          <w:rFonts w:ascii="Times New Roman" w:hAnsi="Times New Roman"/>
          <w:i/>
          <w:sz w:val="24"/>
          <w:szCs w:val="24"/>
        </w:rPr>
      </w:pPr>
      <w:r>
        <w:rPr>
          <w:rFonts w:ascii="Times New Roman" w:hAnsi="Times New Roman"/>
          <w:i/>
          <w:sz w:val="24"/>
          <w:szCs w:val="24"/>
        </w:rPr>
        <w:t>Minister for Housing, Planning and Local Government</w:t>
      </w:r>
    </w:p>
    <w:p w14:paraId="43757307" w14:textId="466178FF" w:rsidR="00D912BE" w:rsidRPr="004A56E3" w:rsidRDefault="00E03F87" w:rsidP="004A56E3">
      <w:pPr>
        <w:spacing w:line="480" w:lineRule="auto"/>
        <w:ind w:left="567"/>
        <w:rPr>
          <w:iCs/>
        </w:rPr>
      </w:pPr>
      <w:r>
        <w:rPr>
          <w:i/>
        </w:rPr>
        <w:t>14 May 2018”</w:t>
      </w:r>
      <w:r w:rsidR="006F3C55">
        <w:rPr>
          <w:iCs/>
        </w:rPr>
        <w:t xml:space="preserve"> </w:t>
      </w:r>
      <w:r w:rsidR="006F3C55">
        <w:t>(emphasis added)</w:t>
      </w:r>
      <w:r w:rsidR="008B5EA9">
        <w:t>.</w:t>
      </w:r>
    </w:p>
    <w:p w14:paraId="0BCA9E1A" w14:textId="342AA1F4" w:rsidR="00036B61" w:rsidRDefault="006E0F2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On the same day</w:t>
      </w:r>
      <w:r w:rsidR="00353253">
        <w:rPr>
          <w:rFonts w:ascii="Times New Roman" w:hAnsi="Times New Roman"/>
          <w:sz w:val="24"/>
        </w:rPr>
        <w:t>,</w:t>
      </w:r>
      <w:r>
        <w:rPr>
          <w:rFonts w:ascii="Times New Roman" w:hAnsi="Times New Roman"/>
          <w:sz w:val="24"/>
        </w:rPr>
        <w:t xml:space="preserve"> the applicant was granted leave to apply for judicial review </w:t>
      </w:r>
      <w:r w:rsidR="00036B61">
        <w:rPr>
          <w:rFonts w:ascii="Times New Roman" w:hAnsi="Times New Roman"/>
          <w:sz w:val="24"/>
        </w:rPr>
        <w:t>of the NPF and the NDP.  The motion seeking judicial review issued on 16 May 2018</w:t>
      </w:r>
      <w:r w:rsidR="00353253">
        <w:rPr>
          <w:rFonts w:ascii="Times New Roman" w:hAnsi="Times New Roman"/>
          <w:sz w:val="24"/>
        </w:rPr>
        <w:t>,</w:t>
      </w:r>
      <w:r w:rsidR="00036B61">
        <w:rPr>
          <w:rFonts w:ascii="Times New Roman" w:hAnsi="Times New Roman"/>
          <w:sz w:val="24"/>
        </w:rPr>
        <w:t xml:space="preserve"> seeking an order of </w:t>
      </w:r>
      <w:r w:rsidR="00036B61">
        <w:rPr>
          <w:rFonts w:ascii="Times New Roman" w:hAnsi="Times New Roman"/>
          <w:i/>
          <w:sz w:val="24"/>
        </w:rPr>
        <w:t xml:space="preserve">certiorari </w:t>
      </w:r>
      <w:r w:rsidR="00036B61">
        <w:rPr>
          <w:rFonts w:ascii="Times New Roman" w:hAnsi="Times New Roman"/>
          <w:sz w:val="24"/>
        </w:rPr>
        <w:t>quashing the decision of the respondents to adopt the NPF and the NDP</w:t>
      </w:r>
      <w:r w:rsidR="00353253">
        <w:rPr>
          <w:rFonts w:ascii="Times New Roman" w:hAnsi="Times New Roman"/>
          <w:sz w:val="24"/>
        </w:rPr>
        <w:t>,</w:t>
      </w:r>
      <w:r w:rsidR="00036B61">
        <w:rPr>
          <w:rFonts w:ascii="Times New Roman" w:hAnsi="Times New Roman"/>
          <w:sz w:val="24"/>
        </w:rPr>
        <w:t xml:space="preserve"> and various related reliefs.  </w:t>
      </w:r>
    </w:p>
    <w:p w14:paraId="771FF4A7" w14:textId="059B56AC" w:rsidR="00476A07" w:rsidRPr="0013530F" w:rsidRDefault="00036B61"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29 May 2018</w:t>
      </w:r>
      <w:r w:rsidR="00BB1E1F">
        <w:rPr>
          <w:rFonts w:ascii="Times New Roman" w:hAnsi="Times New Roman"/>
          <w:sz w:val="24"/>
        </w:rPr>
        <w:t>,</w:t>
      </w:r>
      <w:r>
        <w:rPr>
          <w:rFonts w:ascii="Times New Roman" w:hAnsi="Times New Roman"/>
          <w:sz w:val="24"/>
        </w:rPr>
        <w:t xml:space="preserve"> the </w:t>
      </w:r>
      <w:r w:rsidR="008979CB">
        <w:rPr>
          <w:rFonts w:ascii="Times New Roman" w:hAnsi="Times New Roman"/>
          <w:sz w:val="24"/>
        </w:rPr>
        <w:t>g</w:t>
      </w:r>
      <w:r>
        <w:rPr>
          <w:rFonts w:ascii="Times New Roman" w:hAnsi="Times New Roman"/>
          <w:sz w:val="24"/>
        </w:rPr>
        <w:t xml:space="preserve">overnment made a further decision in relation to the NPF.  </w:t>
      </w:r>
      <w:r w:rsidR="00D912BE">
        <w:rPr>
          <w:rFonts w:ascii="Times New Roman" w:hAnsi="Times New Roman"/>
          <w:sz w:val="24"/>
        </w:rPr>
        <w:t xml:space="preserve"> The decision was not exhibited by the respondents.  It was furnished by the Chief State Solicitor</w:t>
      </w:r>
      <w:r w:rsidR="00353253">
        <w:rPr>
          <w:rFonts w:ascii="Times New Roman" w:hAnsi="Times New Roman"/>
          <w:sz w:val="24"/>
        </w:rPr>
        <w:t>’s Office</w:t>
      </w:r>
      <w:r w:rsidR="00D912BE">
        <w:rPr>
          <w:rFonts w:ascii="Times New Roman" w:hAnsi="Times New Roman"/>
          <w:sz w:val="24"/>
        </w:rPr>
        <w:t xml:space="preserve"> to the applicant’s solicitors</w:t>
      </w:r>
      <w:r w:rsidR="007951B2">
        <w:rPr>
          <w:rFonts w:ascii="Times New Roman" w:hAnsi="Times New Roman"/>
          <w:sz w:val="24"/>
        </w:rPr>
        <w:t>,</w:t>
      </w:r>
      <w:r w:rsidR="00D912BE">
        <w:rPr>
          <w:rFonts w:ascii="Times New Roman" w:hAnsi="Times New Roman"/>
          <w:sz w:val="24"/>
        </w:rPr>
        <w:t xml:space="preserve"> following a request for discovery</w:t>
      </w:r>
      <w:r w:rsidR="007951B2">
        <w:rPr>
          <w:rFonts w:ascii="Times New Roman" w:hAnsi="Times New Roman"/>
          <w:sz w:val="24"/>
        </w:rPr>
        <w:t>,</w:t>
      </w:r>
      <w:r w:rsidR="00D912BE">
        <w:rPr>
          <w:rFonts w:ascii="Times New Roman" w:hAnsi="Times New Roman"/>
          <w:sz w:val="24"/>
        </w:rPr>
        <w:t xml:space="preserve"> by letter dated 10 May 2019 </w:t>
      </w:r>
      <w:r w:rsidR="0013530F">
        <w:rPr>
          <w:rFonts w:ascii="Times New Roman" w:hAnsi="Times New Roman"/>
          <w:sz w:val="24"/>
        </w:rPr>
        <w:t xml:space="preserve">which Mr. Lowes, a director of the applicant, exhibited in his affidavit of 28 May 2019.  No objection was taken to this indirect means of placing this central piece of evidence before the court. </w:t>
      </w:r>
      <w:r w:rsidR="00D912BE" w:rsidRPr="0013530F">
        <w:rPr>
          <w:rFonts w:ascii="Times New Roman" w:hAnsi="Times New Roman"/>
          <w:sz w:val="24"/>
        </w:rPr>
        <w:t xml:space="preserve"> </w:t>
      </w:r>
      <w:r w:rsidR="00476A07" w:rsidRPr="0013530F">
        <w:rPr>
          <w:rFonts w:ascii="Times New Roman" w:hAnsi="Times New Roman"/>
          <w:sz w:val="24"/>
        </w:rPr>
        <w:t xml:space="preserve"> </w:t>
      </w:r>
    </w:p>
    <w:p w14:paraId="1FF9A720" w14:textId="51CEFEE4" w:rsidR="00036B61" w:rsidRPr="00476A07" w:rsidRDefault="00476A07" w:rsidP="003763A0">
      <w:pPr>
        <w:pStyle w:val="ListParagraph"/>
        <w:numPr>
          <w:ilvl w:val="0"/>
          <w:numId w:val="1"/>
        </w:numPr>
        <w:tabs>
          <w:tab w:val="left" w:pos="567"/>
        </w:tabs>
        <w:spacing w:line="480" w:lineRule="auto"/>
        <w:ind w:left="0" w:firstLine="0"/>
        <w:jc w:val="left"/>
        <w:rPr>
          <w:rFonts w:ascii="Times New Roman" w:hAnsi="Times New Roman"/>
          <w:sz w:val="24"/>
        </w:rPr>
      </w:pPr>
      <w:r w:rsidRPr="00476A07">
        <w:rPr>
          <w:rFonts w:ascii="Times New Roman" w:hAnsi="Times New Roman"/>
          <w:sz w:val="24"/>
        </w:rPr>
        <w:t xml:space="preserve"> </w:t>
      </w:r>
      <w:r w:rsidR="00036B61" w:rsidRPr="00476A07">
        <w:rPr>
          <w:rFonts w:ascii="Times New Roman" w:hAnsi="Times New Roman"/>
          <w:sz w:val="24"/>
        </w:rPr>
        <w:t>Unlike the decision of the 16 February 2018, a formal note of the decision was prepared.  It provides:</w:t>
      </w:r>
      <w:r w:rsidR="007951B2">
        <w:rPr>
          <w:rFonts w:ascii="Times New Roman" w:hAnsi="Times New Roman"/>
          <w:sz w:val="24"/>
        </w:rPr>
        <w:t>-</w:t>
      </w:r>
    </w:p>
    <w:p w14:paraId="478D453A" w14:textId="3358C227" w:rsidR="006B051F" w:rsidRDefault="00036B61" w:rsidP="006B051F">
      <w:pPr>
        <w:pStyle w:val="ListParagraph"/>
        <w:spacing w:line="480" w:lineRule="auto"/>
        <w:ind w:left="1134" w:hanging="567"/>
        <w:jc w:val="left"/>
        <w:rPr>
          <w:rFonts w:ascii="Times New Roman" w:hAnsi="Times New Roman"/>
          <w:i/>
          <w:sz w:val="24"/>
        </w:rPr>
      </w:pPr>
      <w:r>
        <w:rPr>
          <w:rFonts w:ascii="Times New Roman" w:hAnsi="Times New Roman"/>
          <w:i/>
          <w:sz w:val="24"/>
        </w:rPr>
        <w:t>“(1)</w:t>
      </w:r>
      <w:r w:rsidR="006B051F">
        <w:rPr>
          <w:rFonts w:ascii="Times New Roman" w:hAnsi="Times New Roman"/>
          <w:i/>
          <w:sz w:val="24"/>
        </w:rPr>
        <w:tab/>
      </w:r>
      <w:r w:rsidR="006B051F">
        <w:rPr>
          <w:rFonts w:ascii="Times New Roman" w:hAnsi="Times New Roman"/>
          <w:i/>
          <w:sz w:val="24"/>
        </w:rPr>
        <w:tab/>
        <w:t>Approved, in the context of enabling implementation of the National Planning Framework (NPF) as part of the roll</w:t>
      </w:r>
      <w:r w:rsidR="007951B2">
        <w:rPr>
          <w:rFonts w:ascii="Times New Roman" w:hAnsi="Times New Roman"/>
          <w:i/>
          <w:sz w:val="24"/>
        </w:rPr>
        <w:t>-</w:t>
      </w:r>
      <w:r w:rsidR="006B051F">
        <w:rPr>
          <w:rFonts w:ascii="Times New Roman" w:hAnsi="Times New Roman"/>
          <w:i/>
          <w:sz w:val="24"/>
        </w:rPr>
        <w:t>out of Project Ireland 2040, in broad terms the purpose, nature, eligibility/assessment criteria and timings proposed in relation to the new €2bn. Urban Regeneration and Development Fund (URDF) and its coherence with the corresponding €1bn. Rural Fund, to be overseen by the Minister for Rural and Community Development, as well as the other NDP-related funds;</w:t>
      </w:r>
    </w:p>
    <w:p w14:paraId="11A58A4E" w14:textId="77777777" w:rsidR="00F208EE" w:rsidRDefault="006B051F" w:rsidP="00036B61">
      <w:pPr>
        <w:pStyle w:val="ListParagraph"/>
        <w:spacing w:line="480" w:lineRule="auto"/>
        <w:ind w:left="567"/>
        <w:jc w:val="left"/>
        <w:rPr>
          <w:rFonts w:ascii="Times New Roman" w:hAnsi="Times New Roman"/>
          <w:i/>
          <w:sz w:val="24"/>
        </w:rPr>
      </w:pPr>
      <w:r>
        <w:rPr>
          <w:rFonts w:ascii="Times New Roman" w:hAnsi="Times New Roman"/>
          <w:i/>
          <w:sz w:val="24"/>
        </w:rPr>
        <w:t>(2)</w:t>
      </w:r>
      <w:r>
        <w:rPr>
          <w:rFonts w:ascii="Times New Roman" w:hAnsi="Times New Roman"/>
          <w:i/>
          <w:sz w:val="24"/>
        </w:rPr>
        <w:tab/>
      </w:r>
      <w:r w:rsidR="00F208EE">
        <w:rPr>
          <w:rFonts w:ascii="Times New Roman" w:hAnsi="Times New Roman"/>
          <w:i/>
          <w:sz w:val="24"/>
        </w:rPr>
        <w:t>Agreed</w:t>
      </w:r>
    </w:p>
    <w:p w14:paraId="16B789B6" w14:textId="6F1D1873" w:rsidR="00F208EE" w:rsidRDefault="00F208EE" w:rsidP="003763A0">
      <w:pPr>
        <w:pStyle w:val="ListParagraph"/>
        <w:numPr>
          <w:ilvl w:val="0"/>
          <w:numId w:val="2"/>
        </w:numPr>
        <w:spacing w:line="480" w:lineRule="auto"/>
        <w:ind w:left="1701" w:hanging="567"/>
        <w:jc w:val="left"/>
        <w:rPr>
          <w:rFonts w:ascii="Times New Roman" w:hAnsi="Times New Roman"/>
          <w:i/>
          <w:sz w:val="24"/>
        </w:rPr>
      </w:pPr>
      <w:r>
        <w:rPr>
          <w:rFonts w:ascii="Times New Roman" w:hAnsi="Times New Roman"/>
          <w:i/>
          <w:sz w:val="24"/>
        </w:rPr>
        <w:t>to consider the post</w:t>
      </w:r>
      <w:r w:rsidR="007951B2">
        <w:rPr>
          <w:rFonts w:ascii="Times New Roman" w:hAnsi="Times New Roman"/>
          <w:i/>
          <w:sz w:val="24"/>
        </w:rPr>
        <w:t>-</w:t>
      </w:r>
      <w:r>
        <w:rPr>
          <w:rFonts w:ascii="Times New Roman" w:hAnsi="Times New Roman"/>
          <w:i/>
          <w:sz w:val="24"/>
        </w:rPr>
        <w:t>consultation Natura Impact Statement prepared in respect of the finalised National Planning Framework;</w:t>
      </w:r>
    </w:p>
    <w:p w14:paraId="1A2AC783" w14:textId="7164E0E9" w:rsidR="00F208EE" w:rsidRDefault="00F208EE" w:rsidP="003763A0">
      <w:pPr>
        <w:pStyle w:val="ListParagraph"/>
        <w:numPr>
          <w:ilvl w:val="0"/>
          <w:numId w:val="2"/>
        </w:numPr>
        <w:spacing w:line="480" w:lineRule="auto"/>
        <w:ind w:left="1701" w:hanging="567"/>
        <w:jc w:val="left"/>
        <w:rPr>
          <w:rFonts w:ascii="Times New Roman" w:hAnsi="Times New Roman"/>
          <w:i/>
          <w:sz w:val="24"/>
        </w:rPr>
      </w:pPr>
      <w:r>
        <w:rPr>
          <w:rFonts w:ascii="Times New Roman" w:hAnsi="Times New Roman"/>
          <w:i/>
          <w:sz w:val="24"/>
        </w:rPr>
        <w:t xml:space="preserve">to adopt the </w:t>
      </w:r>
      <w:r w:rsidR="007951B2">
        <w:rPr>
          <w:rFonts w:ascii="Times New Roman" w:hAnsi="Times New Roman"/>
          <w:i/>
          <w:sz w:val="24"/>
        </w:rPr>
        <w:t>A</w:t>
      </w:r>
      <w:r>
        <w:rPr>
          <w:rFonts w:ascii="Times New Roman" w:hAnsi="Times New Roman"/>
          <w:i/>
          <w:sz w:val="24"/>
        </w:rPr>
        <w:t xml:space="preserve">ppropriate </w:t>
      </w:r>
      <w:r w:rsidR="007951B2">
        <w:rPr>
          <w:rFonts w:ascii="Times New Roman" w:hAnsi="Times New Roman"/>
          <w:i/>
          <w:sz w:val="24"/>
        </w:rPr>
        <w:t>A</w:t>
      </w:r>
      <w:r>
        <w:rPr>
          <w:rFonts w:ascii="Times New Roman" w:hAnsi="Times New Roman"/>
          <w:i/>
          <w:sz w:val="24"/>
        </w:rPr>
        <w:t xml:space="preserve">ssessment </w:t>
      </w:r>
      <w:r w:rsidR="007951B2">
        <w:rPr>
          <w:rFonts w:ascii="Times New Roman" w:hAnsi="Times New Roman"/>
          <w:i/>
          <w:sz w:val="24"/>
        </w:rPr>
        <w:t>D</w:t>
      </w:r>
      <w:r>
        <w:rPr>
          <w:rFonts w:ascii="Times New Roman" w:hAnsi="Times New Roman"/>
          <w:i/>
          <w:sz w:val="24"/>
        </w:rPr>
        <w:t xml:space="preserve">etermination made by the Minister for Housing, Planning and Local Government as </w:t>
      </w:r>
      <w:r w:rsidR="007951B2">
        <w:rPr>
          <w:rFonts w:ascii="Times New Roman" w:hAnsi="Times New Roman"/>
          <w:i/>
          <w:sz w:val="24"/>
        </w:rPr>
        <w:t>C</w:t>
      </w:r>
      <w:r>
        <w:rPr>
          <w:rFonts w:ascii="Times New Roman" w:hAnsi="Times New Roman"/>
          <w:i/>
          <w:sz w:val="24"/>
        </w:rPr>
        <w:t>ompetent Authority, for the purposes of Article 6.3 of the Habitats Directive; and</w:t>
      </w:r>
    </w:p>
    <w:p w14:paraId="7634AF7F" w14:textId="4615447A" w:rsidR="00F208EE" w:rsidRDefault="00F208EE" w:rsidP="003763A0">
      <w:pPr>
        <w:pStyle w:val="ListParagraph"/>
        <w:numPr>
          <w:ilvl w:val="0"/>
          <w:numId w:val="2"/>
        </w:numPr>
        <w:spacing w:line="480" w:lineRule="auto"/>
        <w:ind w:left="1701" w:hanging="567"/>
        <w:jc w:val="left"/>
        <w:rPr>
          <w:rFonts w:ascii="Times New Roman" w:hAnsi="Times New Roman"/>
          <w:i/>
          <w:sz w:val="24"/>
        </w:rPr>
      </w:pPr>
      <w:r>
        <w:rPr>
          <w:rFonts w:ascii="Times New Roman" w:hAnsi="Times New Roman"/>
          <w:i/>
          <w:sz w:val="24"/>
        </w:rPr>
        <w:lastRenderedPageBreak/>
        <w:t>to formally reaffirm the previous Government decision of 16 February 2018 to adopt and publish the National Planning Framework as a strategy intended to replace the National Spatial Strategy, for the purposes of s</w:t>
      </w:r>
      <w:r w:rsidR="007951B2">
        <w:rPr>
          <w:rFonts w:ascii="Times New Roman" w:hAnsi="Times New Roman"/>
          <w:i/>
          <w:sz w:val="24"/>
        </w:rPr>
        <w:t xml:space="preserve">ection </w:t>
      </w:r>
      <w:r>
        <w:rPr>
          <w:rFonts w:ascii="Times New Roman" w:hAnsi="Times New Roman"/>
          <w:i/>
          <w:sz w:val="24"/>
        </w:rPr>
        <w:t>2 of the Planning and Development Act 2000, as amended; and</w:t>
      </w:r>
    </w:p>
    <w:p w14:paraId="5E3DA334" w14:textId="633D5E0D" w:rsidR="00891A16" w:rsidRPr="00E55485" w:rsidRDefault="00F208EE" w:rsidP="00E55485">
      <w:pPr>
        <w:pStyle w:val="ListParagraph"/>
        <w:spacing w:line="480" w:lineRule="auto"/>
        <w:ind w:left="1134" w:hanging="567"/>
        <w:jc w:val="left"/>
        <w:rPr>
          <w:rFonts w:ascii="Times New Roman" w:hAnsi="Times New Roman"/>
          <w:i/>
          <w:sz w:val="24"/>
        </w:rPr>
      </w:pPr>
      <w:r>
        <w:rPr>
          <w:rFonts w:ascii="Times New Roman" w:hAnsi="Times New Roman"/>
          <w:i/>
          <w:sz w:val="24"/>
        </w:rPr>
        <w:t>(3)</w:t>
      </w:r>
      <w:r w:rsidR="00E55485">
        <w:rPr>
          <w:rFonts w:ascii="Times New Roman" w:hAnsi="Times New Roman"/>
          <w:i/>
          <w:sz w:val="24"/>
        </w:rPr>
        <w:tab/>
      </w:r>
      <w:r w:rsidR="00E55485" w:rsidRPr="00E55485">
        <w:rPr>
          <w:rFonts w:ascii="Times New Roman" w:hAnsi="Times New Roman"/>
          <w:i/>
          <w:sz w:val="24"/>
        </w:rPr>
        <w:t>noted the progress being made in developing compl</w:t>
      </w:r>
      <w:r w:rsidR="007951B2">
        <w:rPr>
          <w:rFonts w:ascii="Times New Roman" w:hAnsi="Times New Roman"/>
          <w:i/>
          <w:sz w:val="24"/>
        </w:rPr>
        <w:t>e</w:t>
      </w:r>
      <w:r w:rsidR="00E55485" w:rsidRPr="00E55485">
        <w:rPr>
          <w:rFonts w:ascii="Times New Roman" w:hAnsi="Times New Roman"/>
          <w:i/>
          <w:sz w:val="24"/>
        </w:rPr>
        <w:t xml:space="preserve">mentary </w:t>
      </w:r>
      <w:r w:rsidR="007951B2">
        <w:rPr>
          <w:rFonts w:ascii="Times New Roman" w:hAnsi="Times New Roman"/>
          <w:i/>
          <w:sz w:val="24"/>
        </w:rPr>
        <w:t>R</w:t>
      </w:r>
      <w:r w:rsidR="00E55485" w:rsidRPr="00E55485">
        <w:rPr>
          <w:rFonts w:ascii="Times New Roman" w:hAnsi="Times New Roman"/>
          <w:i/>
          <w:sz w:val="24"/>
        </w:rPr>
        <w:t xml:space="preserve">egional </w:t>
      </w:r>
      <w:r w:rsidR="007951B2">
        <w:rPr>
          <w:rFonts w:ascii="Times New Roman" w:hAnsi="Times New Roman"/>
          <w:i/>
          <w:sz w:val="24"/>
        </w:rPr>
        <w:t>S</w:t>
      </w:r>
      <w:r w:rsidR="00E55485" w:rsidRPr="00E55485">
        <w:rPr>
          <w:rFonts w:ascii="Times New Roman" w:hAnsi="Times New Roman"/>
          <w:i/>
          <w:sz w:val="24"/>
        </w:rPr>
        <w:t xml:space="preserve">patial and </w:t>
      </w:r>
      <w:r w:rsidR="007951B2">
        <w:rPr>
          <w:rFonts w:ascii="Times New Roman" w:hAnsi="Times New Roman"/>
          <w:i/>
          <w:sz w:val="24"/>
        </w:rPr>
        <w:t>E</w:t>
      </w:r>
      <w:r w:rsidR="00E55485" w:rsidRPr="00E55485">
        <w:rPr>
          <w:rFonts w:ascii="Times New Roman" w:hAnsi="Times New Roman"/>
          <w:i/>
          <w:sz w:val="24"/>
        </w:rPr>
        <w:t xml:space="preserve">conomic </w:t>
      </w:r>
      <w:r w:rsidR="007951B2">
        <w:rPr>
          <w:rFonts w:ascii="Times New Roman" w:hAnsi="Times New Roman"/>
          <w:i/>
          <w:sz w:val="24"/>
        </w:rPr>
        <w:t>S</w:t>
      </w:r>
      <w:r w:rsidR="00E55485" w:rsidRPr="00E55485">
        <w:rPr>
          <w:rFonts w:ascii="Times New Roman" w:hAnsi="Times New Roman"/>
          <w:i/>
          <w:sz w:val="24"/>
        </w:rPr>
        <w:t>trategies (RSESs) to embed the NPF principles and objectives at regional and local levels.”</w:t>
      </w:r>
    </w:p>
    <w:p w14:paraId="7DAAFCB2" w14:textId="444DFBEE" w:rsidR="00E55485" w:rsidRPr="00476A07" w:rsidRDefault="00E5548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On 26 June 2018</w:t>
      </w:r>
      <w:r w:rsidR="007951B2">
        <w:rPr>
          <w:rFonts w:ascii="Times New Roman" w:hAnsi="Times New Roman"/>
          <w:sz w:val="24"/>
        </w:rPr>
        <w:t>,</w:t>
      </w:r>
      <w:r>
        <w:rPr>
          <w:rFonts w:ascii="Times New Roman" w:hAnsi="Times New Roman"/>
          <w:sz w:val="24"/>
        </w:rPr>
        <w:t xml:space="preserve"> the Department published the AA Conclusion Statement</w:t>
      </w:r>
      <w:r w:rsidR="00476A07">
        <w:rPr>
          <w:rFonts w:ascii="Times New Roman" w:hAnsi="Times New Roman"/>
          <w:sz w:val="24"/>
        </w:rPr>
        <w:t xml:space="preserve">, </w:t>
      </w:r>
      <w:r>
        <w:rPr>
          <w:rFonts w:ascii="Times New Roman" w:hAnsi="Times New Roman"/>
          <w:sz w:val="24"/>
        </w:rPr>
        <w:t>the Post</w:t>
      </w:r>
      <w:r w:rsidR="007951B2">
        <w:rPr>
          <w:rFonts w:ascii="Times New Roman" w:hAnsi="Times New Roman"/>
          <w:sz w:val="24"/>
        </w:rPr>
        <w:t>-</w:t>
      </w:r>
      <w:r>
        <w:rPr>
          <w:rFonts w:ascii="Times New Roman" w:hAnsi="Times New Roman"/>
          <w:sz w:val="24"/>
        </w:rPr>
        <w:t xml:space="preserve">Consultation NIS and the written AA Determination made by the Minister on 14 May 2018.  </w:t>
      </w:r>
      <w:r w:rsidR="00476A07">
        <w:rPr>
          <w:rFonts w:ascii="Times New Roman" w:hAnsi="Times New Roman"/>
          <w:sz w:val="24"/>
        </w:rPr>
        <w:t xml:space="preserve"> </w:t>
      </w:r>
    </w:p>
    <w:p w14:paraId="23AD2DB4" w14:textId="056A2BC4" w:rsidR="00E55485" w:rsidRPr="003342F4" w:rsidRDefault="00E5548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3342F4">
        <w:rPr>
          <w:rFonts w:ascii="Times New Roman" w:hAnsi="Times New Roman"/>
          <w:sz w:val="24"/>
        </w:rPr>
        <w:t>On 3 July 2018</w:t>
      </w:r>
      <w:r w:rsidR="007951B2">
        <w:rPr>
          <w:rFonts w:ascii="Times New Roman" w:hAnsi="Times New Roman"/>
          <w:sz w:val="24"/>
        </w:rPr>
        <w:t>,</w:t>
      </w:r>
      <w:r w:rsidRPr="003342F4">
        <w:rPr>
          <w:rFonts w:ascii="Times New Roman" w:hAnsi="Times New Roman"/>
          <w:sz w:val="24"/>
        </w:rPr>
        <w:t xml:space="preserve"> the Department issued Circular FPS04</w:t>
      </w:r>
      <w:r w:rsidR="007951B2">
        <w:rPr>
          <w:rFonts w:ascii="Times New Roman" w:hAnsi="Times New Roman"/>
          <w:sz w:val="24"/>
        </w:rPr>
        <w:t>/</w:t>
      </w:r>
      <w:r w:rsidRPr="003342F4">
        <w:rPr>
          <w:rFonts w:ascii="Times New Roman" w:hAnsi="Times New Roman"/>
          <w:sz w:val="24"/>
        </w:rPr>
        <w:t xml:space="preserve">2018 to </w:t>
      </w:r>
      <w:r w:rsidR="0013530F">
        <w:rPr>
          <w:rFonts w:ascii="Times New Roman" w:hAnsi="Times New Roman"/>
          <w:sz w:val="24"/>
        </w:rPr>
        <w:t>p</w:t>
      </w:r>
      <w:r w:rsidRPr="003342F4">
        <w:rPr>
          <w:rFonts w:ascii="Times New Roman" w:hAnsi="Times New Roman"/>
          <w:sz w:val="24"/>
        </w:rPr>
        <w:t>lann</w:t>
      </w:r>
      <w:r w:rsidR="00476A07" w:rsidRPr="003342F4">
        <w:rPr>
          <w:rFonts w:ascii="Times New Roman" w:hAnsi="Times New Roman"/>
          <w:sz w:val="24"/>
        </w:rPr>
        <w:t xml:space="preserve">ing </w:t>
      </w:r>
      <w:r w:rsidR="0013530F">
        <w:rPr>
          <w:rFonts w:ascii="Times New Roman" w:hAnsi="Times New Roman"/>
          <w:sz w:val="24"/>
        </w:rPr>
        <w:t>a</w:t>
      </w:r>
      <w:r w:rsidR="00476A07" w:rsidRPr="003342F4">
        <w:rPr>
          <w:rFonts w:ascii="Times New Roman" w:hAnsi="Times New Roman"/>
          <w:sz w:val="24"/>
        </w:rPr>
        <w:t>uthorities concerning the I</w:t>
      </w:r>
      <w:r w:rsidRPr="003342F4">
        <w:rPr>
          <w:rFonts w:ascii="Times New Roman" w:hAnsi="Times New Roman"/>
          <w:sz w:val="24"/>
        </w:rPr>
        <w:t xml:space="preserve">mplementation </w:t>
      </w:r>
      <w:r w:rsidR="00476A07" w:rsidRPr="003342F4">
        <w:rPr>
          <w:rFonts w:ascii="Times New Roman" w:hAnsi="Times New Roman"/>
          <w:sz w:val="24"/>
        </w:rPr>
        <w:t>R</w:t>
      </w:r>
      <w:r w:rsidRPr="003342F4">
        <w:rPr>
          <w:rFonts w:ascii="Times New Roman" w:hAnsi="Times New Roman"/>
          <w:sz w:val="24"/>
        </w:rPr>
        <w:t>oad</w:t>
      </w:r>
      <w:r w:rsidR="005614EF">
        <w:rPr>
          <w:rFonts w:ascii="Times New Roman" w:hAnsi="Times New Roman"/>
          <w:sz w:val="24"/>
        </w:rPr>
        <w:t>m</w:t>
      </w:r>
      <w:r w:rsidRPr="003342F4">
        <w:rPr>
          <w:rFonts w:ascii="Times New Roman" w:hAnsi="Times New Roman"/>
          <w:sz w:val="24"/>
        </w:rPr>
        <w:t xml:space="preserve">ap for the NPF.  This </w:t>
      </w:r>
      <w:r w:rsidR="007951B2">
        <w:rPr>
          <w:rFonts w:ascii="Times New Roman" w:hAnsi="Times New Roman"/>
          <w:sz w:val="24"/>
        </w:rPr>
        <w:t>c</w:t>
      </w:r>
      <w:r w:rsidRPr="003342F4">
        <w:rPr>
          <w:rFonts w:ascii="Times New Roman" w:hAnsi="Times New Roman"/>
          <w:sz w:val="24"/>
        </w:rPr>
        <w:t>ircular</w:t>
      </w:r>
      <w:r w:rsidR="008E52EE">
        <w:rPr>
          <w:rFonts w:ascii="Times New Roman" w:hAnsi="Times New Roman"/>
          <w:sz w:val="24"/>
        </w:rPr>
        <w:t xml:space="preserve"> updates planning authorities following on from circular FPS 02/2018 of 23 February 2018 (which related to the decision of 16 February 2018) and </w:t>
      </w:r>
      <w:r w:rsidRPr="003342F4">
        <w:rPr>
          <w:rFonts w:ascii="Times New Roman" w:hAnsi="Times New Roman"/>
          <w:sz w:val="24"/>
        </w:rPr>
        <w:t>notes that</w:t>
      </w:r>
      <w:r w:rsidR="007678EF">
        <w:rPr>
          <w:rFonts w:ascii="Times New Roman" w:hAnsi="Times New Roman"/>
          <w:sz w:val="24"/>
        </w:rPr>
        <w:t>, further to briefing sessions held with local authority planning teams during March,</w:t>
      </w:r>
      <w:r w:rsidRPr="003342F4">
        <w:rPr>
          <w:rFonts w:ascii="Times New Roman" w:hAnsi="Times New Roman"/>
          <w:sz w:val="24"/>
        </w:rPr>
        <w:t xml:space="preserve"> </w:t>
      </w:r>
      <w:r w:rsidR="00816646">
        <w:rPr>
          <w:rFonts w:ascii="Times New Roman" w:hAnsi="Times New Roman"/>
          <w:sz w:val="24"/>
        </w:rPr>
        <w:t>the Roadmap addresses a number of important issues that emerged subsequent to the publication of the NPF</w:t>
      </w:r>
      <w:r w:rsidRPr="003342F4">
        <w:rPr>
          <w:rFonts w:ascii="Times New Roman" w:hAnsi="Times New Roman"/>
          <w:sz w:val="24"/>
        </w:rPr>
        <w:t>.  A further Circular FPS06/20</w:t>
      </w:r>
      <w:r w:rsidR="005614EF">
        <w:rPr>
          <w:rFonts w:ascii="Times New Roman" w:hAnsi="Times New Roman"/>
          <w:sz w:val="24"/>
        </w:rPr>
        <w:t>1</w:t>
      </w:r>
      <w:r w:rsidRPr="003342F4">
        <w:rPr>
          <w:rFonts w:ascii="Times New Roman" w:hAnsi="Times New Roman"/>
          <w:sz w:val="24"/>
        </w:rPr>
        <w:t xml:space="preserve">8 issued on 30 July 2018 to </w:t>
      </w:r>
      <w:r w:rsidR="0013530F">
        <w:rPr>
          <w:rFonts w:ascii="Times New Roman" w:hAnsi="Times New Roman"/>
          <w:sz w:val="24"/>
        </w:rPr>
        <w:t>p</w:t>
      </w:r>
      <w:r w:rsidRPr="003342F4">
        <w:rPr>
          <w:rFonts w:ascii="Times New Roman" w:hAnsi="Times New Roman"/>
          <w:sz w:val="24"/>
        </w:rPr>
        <w:t xml:space="preserve">lanning </w:t>
      </w:r>
      <w:r w:rsidR="0013530F">
        <w:rPr>
          <w:rFonts w:ascii="Times New Roman" w:hAnsi="Times New Roman"/>
          <w:sz w:val="24"/>
        </w:rPr>
        <w:t>a</w:t>
      </w:r>
      <w:r w:rsidRPr="003342F4">
        <w:rPr>
          <w:rFonts w:ascii="Times New Roman" w:hAnsi="Times New Roman"/>
          <w:sz w:val="24"/>
        </w:rPr>
        <w:t xml:space="preserve">uthorities stating that on 29 May 2018 the </w:t>
      </w:r>
      <w:r w:rsidR="008979CB">
        <w:rPr>
          <w:rFonts w:ascii="Times New Roman" w:hAnsi="Times New Roman"/>
          <w:sz w:val="24"/>
        </w:rPr>
        <w:t>g</w:t>
      </w:r>
      <w:r w:rsidRPr="003342F4">
        <w:rPr>
          <w:rFonts w:ascii="Times New Roman" w:hAnsi="Times New Roman"/>
          <w:sz w:val="24"/>
        </w:rPr>
        <w:t>overnment reaffirmed its previous decision to adopt and publish the NPF.  Also on 30 July 2018</w:t>
      </w:r>
      <w:r w:rsidR="005614EF">
        <w:rPr>
          <w:rFonts w:ascii="Times New Roman" w:hAnsi="Times New Roman"/>
          <w:sz w:val="24"/>
        </w:rPr>
        <w:t>,</w:t>
      </w:r>
      <w:r w:rsidRPr="003342F4">
        <w:rPr>
          <w:rFonts w:ascii="Times New Roman" w:hAnsi="Times New Roman"/>
          <w:sz w:val="24"/>
        </w:rPr>
        <w:t xml:space="preserve"> the Department published notices in newspapers of the reaffirming decision to adopt and publish the NPF</w:t>
      </w:r>
      <w:r w:rsidR="005614EF">
        <w:rPr>
          <w:rFonts w:ascii="Times New Roman" w:hAnsi="Times New Roman"/>
          <w:sz w:val="24"/>
        </w:rPr>
        <w:t>,</w:t>
      </w:r>
      <w:r w:rsidRPr="003342F4">
        <w:rPr>
          <w:rFonts w:ascii="Times New Roman" w:hAnsi="Times New Roman"/>
          <w:sz w:val="24"/>
        </w:rPr>
        <w:t xml:space="preserve"> and its associated documents</w:t>
      </w:r>
      <w:r w:rsidR="005614EF">
        <w:rPr>
          <w:rFonts w:ascii="Times New Roman" w:hAnsi="Times New Roman"/>
          <w:sz w:val="24"/>
        </w:rPr>
        <w:t>,</w:t>
      </w:r>
      <w:r w:rsidRPr="003342F4">
        <w:rPr>
          <w:rFonts w:ascii="Times New Roman" w:hAnsi="Times New Roman"/>
          <w:sz w:val="24"/>
        </w:rPr>
        <w:t xml:space="preserve"> and to publish the NDP.  </w:t>
      </w:r>
    </w:p>
    <w:p w14:paraId="45BF21BD" w14:textId="43CC03CF" w:rsidR="00891A16" w:rsidRPr="00A15D57" w:rsidRDefault="00E55485"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In light of the decision of the 29 May 2018, which post-dated the order of the High Court of 14 </w:t>
      </w:r>
      <w:r w:rsidR="00E16EEF">
        <w:rPr>
          <w:rFonts w:ascii="Times New Roman" w:hAnsi="Times New Roman"/>
          <w:sz w:val="24"/>
        </w:rPr>
        <w:t xml:space="preserve">May 2018 </w:t>
      </w:r>
      <w:r>
        <w:rPr>
          <w:rFonts w:ascii="Times New Roman" w:hAnsi="Times New Roman"/>
          <w:sz w:val="24"/>
        </w:rPr>
        <w:t>granting the applicant leave to seek</w:t>
      </w:r>
      <w:r w:rsidR="00E16EEF">
        <w:rPr>
          <w:rFonts w:ascii="Times New Roman" w:hAnsi="Times New Roman"/>
          <w:sz w:val="24"/>
        </w:rPr>
        <w:t xml:space="preserve"> judicial review, the applicant</w:t>
      </w:r>
      <w:r>
        <w:rPr>
          <w:rFonts w:ascii="Times New Roman" w:hAnsi="Times New Roman"/>
          <w:sz w:val="24"/>
        </w:rPr>
        <w:t xml:space="preserve"> sought to amend its </w:t>
      </w:r>
      <w:r w:rsidR="005614EF">
        <w:rPr>
          <w:rFonts w:ascii="Times New Roman" w:hAnsi="Times New Roman"/>
          <w:sz w:val="24"/>
        </w:rPr>
        <w:t>s</w:t>
      </w:r>
      <w:r>
        <w:rPr>
          <w:rFonts w:ascii="Times New Roman" w:hAnsi="Times New Roman"/>
          <w:sz w:val="24"/>
        </w:rPr>
        <w:t xml:space="preserve">tatement of </w:t>
      </w:r>
      <w:r w:rsidR="005614EF">
        <w:rPr>
          <w:rFonts w:ascii="Times New Roman" w:hAnsi="Times New Roman"/>
          <w:sz w:val="24"/>
        </w:rPr>
        <w:t>g</w:t>
      </w:r>
      <w:r>
        <w:rPr>
          <w:rFonts w:ascii="Times New Roman" w:hAnsi="Times New Roman"/>
          <w:sz w:val="24"/>
        </w:rPr>
        <w:t>rounds.  On 23 November 2018</w:t>
      </w:r>
      <w:r w:rsidR="00141336">
        <w:rPr>
          <w:rFonts w:ascii="Times New Roman" w:hAnsi="Times New Roman"/>
          <w:sz w:val="24"/>
        </w:rPr>
        <w:t>,</w:t>
      </w:r>
      <w:r>
        <w:rPr>
          <w:rFonts w:ascii="Times New Roman" w:hAnsi="Times New Roman"/>
          <w:sz w:val="24"/>
        </w:rPr>
        <w:t xml:space="preserve"> the applicant filed its </w:t>
      </w:r>
      <w:r>
        <w:rPr>
          <w:rFonts w:ascii="Times New Roman" w:hAnsi="Times New Roman"/>
          <w:sz w:val="24"/>
        </w:rPr>
        <w:lastRenderedPageBreak/>
        <w:t xml:space="preserve">amended </w:t>
      </w:r>
      <w:r w:rsidR="00141336">
        <w:rPr>
          <w:rFonts w:ascii="Times New Roman" w:hAnsi="Times New Roman"/>
          <w:sz w:val="24"/>
        </w:rPr>
        <w:t>s</w:t>
      </w:r>
      <w:r>
        <w:rPr>
          <w:rFonts w:ascii="Times New Roman" w:hAnsi="Times New Roman"/>
          <w:sz w:val="24"/>
        </w:rPr>
        <w:t xml:space="preserve">tatement of </w:t>
      </w:r>
      <w:r w:rsidR="00141336">
        <w:rPr>
          <w:rFonts w:ascii="Times New Roman" w:hAnsi="Times New Roman"/>
          <w:sz w:val="24"/>
        </w:rPr>
        <w:t>g</w:t>
      </w:r>
      <w:r>
        <w:rPr>
          <w:rFonts w:ascii="Times New Roman" w:hAnsi="Times New Roman"/>
          <w:sz w:val="24"/>
        </w:rPr>
        <w:t xml:space="preserve">rounds and on 5 March 2019 the respondents filed their </w:t>
      </w:r>
      <w:r w:rsidR="00141336">
        <w:rPr>
          <w:rFonts w:ascii="Times New Roman" w:hAnsi="Times New Roman"/>
          <w:sz w:val="24"/>
        </w:rPr>
        <w:t>s</w:t>
      </w:r>
      <w:r>
        <w:rPr>
          <w:rFonts w:ascii="Times New Roman" w:hAnsi="Times New Roman"/>
          <w:sz w:val="24"/>
        </w:rPr>
        <w:t xml:space="preserve">tatement of </w:t>
      </w:r>
      <w:r w:rsidR="00141336">
        <w:rPr>
          <w:rFonts w:ascii="Times New Roman" w:hAnsi="Times New Roman"/>
          <w:sz w:val="24"/>
        </w:rPr>
        <w:t>o</w:t>
      </w:r>
      <w:r>
        <w:rPr>
          <w:rFonts w:ascii="Times New Roman" w:hAnsi="Times New Roman"/>
          <w:sz w:val="24"/>
        </w:rPr>
        <w:t xml:space="preserve">pposition.  </w:t>
      </w:r>
      <w:r w:rsidR="00891A16" w:rsidRPr="00A15D57">
        <w:rPr>
          <w:rFonts w:ascii="Times New Roman" w:hAnsi="Times New Roman"/>
          <w:b/>
          <w:sz w:val="24"/>
          <w:u w:val="single"/>
        </w:rPr>
        <w:t xml:space="preserve"> </w:t>
      </w:r>
    </w:p>
    <w:p w14:paraId="507E3736" w14:textId="156384EA" w:rsidR="0013530F" w:rsidRPr="0013530F" w:rsidRDefault="00E16EEF"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13530F">
        <w:rPr>
          <w:rFonts w:ascii="Times New Roman" w:hAnsi="Times New Roman"/>
          <w:sz w:val="24"/>
        </w:rPr>
        <w:t xml:space="preserve">The NDP was adopted by the </w:t>
      </w:r>
      <w:r w:rsidR="008979CB">
        <w:rPr>
          <w:rFonts w:ascii="Times New Roman" w:hAnsi="Times New Roman"/>
          <w:sz w:val="24"/>
        </w:rPr>
        <w:t>g</w:t>
      </w:r>
      <w:r w:rsidRPr="0013530F">
        <w:rPr>
          <w:rFonts w:ascii="Times New Roman" w:hAnsi="Times New Roman"/>
          <w:sz w:val="24"/>
        </w:rPr>
        <w:t xml:space="preserve">overnment on 16 February 2018. </w:t>
      </w:r>
      <w:r w:rsidR="00AB1C40">
        <w:rPr>
          <w:rFonts w:ascii="Times New Roman" w:hAnsi="Times New Roman"/>
          <w:sz w:val="24"/>
        </w:rPr>
        <w:t xml:space="preserve"> </w:t>
      </w:r>
      <w:r w:rsidRPr="0013530F">
        <w:rPr>
          <w:rFonts w:ascii="Times New Roman" w:hAnsi="Times New Roman"/>
          <w:sz w:val="24"/>
        </w:rPr>
        <w:t>It is common case that it was not subjected to either SEA or AA</w:t>
      </w:r>
      <w:r w:rsidR="00AB1C40">
        <w:rPr>
          <w:rFonts w:ascii="Times New Roman" w:hAnsi="Times New Roman"/>
          <w:sz w:val="24"/>
        </w:rPr>
        <w:t>,</w:t>
      </w:r>
      <w:r w:rsidRPr="0013530F">
        <w:rPr>
          <w:rFonts w:ascii="Times New Roman" w:hAnsi="Times New Roman"/>
          <w:sz w:val="24"/>
        </w:rPr>
        <w:t xml:space="preserve"> either individually or in conjunction with the NPF.  The </w:t>
      </w:r>
      <w:r w:rsidR="0013530F" w:rsidRPr="0013530F">
        <w:rPr>
          <w:rFonts w:ascii="Times New Roman" w:hAnsi="Times New Roman"/>
          <w:sz w:val="24"/>
        </w:rPr>
        <w:t>respondents</w:t>
      </w:r>
      <w:r w:rsidRPr="0013530F">
        <w:rPr>
          <w:rFonts w:ascii="Times New Roman" w:hAnsi="Times New Roman"/>
          <w:sz w:val="24"/>
        </w:rPr>
        <w:t xml:space="preserve"> consider it to be a budget</w:t>
      </w:r>
      <w:r w:rsidR="0013530F" w:rsidRPr="0013530F">
        <w:rPr>
          <w:rFonts w:ascii="Times New Roman" w:hAnsi="Times New Roman"/>
          <w:sz w:val="24"/>
        </w:rPr>
        <w:t>ary</w:t>
      </w:r>
      <w:r w:rsidRPr="0013530F">
        <w:rPr>
          <w:rFonts w:ascii="Times New Roman" w:hAnsi="Times New Roman"/>
          <w:sz w:val="24"/>
        </w:rPr>
        <w:t xml:space="preserve"> plan and therefore exempt from the obligation to subject it to SEA.  As a budgetary plan</w:t>
      </w:r>
      <w:r w:rsidR="00A14E37">
        <w:rPr>
          <w:rFonts w:ascii="Times New Roman" w:hAnsi="Times New Roman"/>
          <w:sz w:val="24"/>
        </w:rPr>
        <w:t>,</w:t>
      </w:r>
      <w:r w:rsidRPr="0013530F">
        <w:rPr>
          <w:rFonts w:ascii="Times New Roman" w:hAnsi="Times New Roman"/>
          <w:sz w:val="24"/>
        </w:rPr>
        <w:t xml:space="preserve"> it was not considered to come within the scope of the Habitats Directive and</w:t>
      </w:r>
      <w:r w:rsidR="00AB1C40">
        <w:rPr>
          <w:rFonts w:ascii="Times New Roman" w:hAnsi="Times New Roman"/>
          <w:sz w:val="24"/>
        </w:rPr>
        <w:t>,</w:t>
      </w:r>
      <w:r w:rsidRPr="0013530F">
        <w:rPr>
          <w:rFonts w:ascii="Times New Roman" w:hAnsi="Times New Roman"/>
          <w:sz w:val="24"/>
        </w:rPr>
        <w:t xml:space="preserve"> accordingly</w:t>
      </w:r>
      <w:r w:rsidR="00AB1C40">
        <w:rPr>
          <w:rFonts w:ascii="Times New Roman" w:hAnsi="Times New Roman"/>
          <w:sz w:val="24"/>
        </w:rPr>
        <w:t>,</w:t>
      </w:r>
      <w:r w:rsidRPr="0013530F">
        <w:rPr>
          <w:rFonts w:ascii="Times New Roman" w:hAnsi="Times New Roman"/>
          <w:sz w:val="24"/>
        </w:rPr>
        <w:t xml:space="preserve"> it was </w:t>
      </w:r>
      <w:r w:rsidR="00F82124">
        <w:rPr>
          <w:rFonts w:ascii="Times New Roman" w:hAnsi="Times New Roman"/>
          <w:sz w:val="24"/>
        </w:rPr>
        <w:t xml:space="preserve">believed </w:t>
      </w:r>
      <w:r w:rsidRPr="0013530F">
        <w:rPr>
          <w:rFonts w:ascii="Times New Roman" w:hAnsi="Times New Roman"/>
          <w:sz w:val="24"/>
        </w:rPr>
        <w:t xml:space="preserve">not </w:t>
      </w:r>
      <w:r w:rsidR="00F82124">
        <w:rPr>
          <w:rFonts w:ascii="Times New Roman" w:hAnsi="Times New Roman"/>
          <w:sz w:val="24"/>
        </w:rPr>
        <w:t xml:space="preserve">to be </w:t>
      </w:r>
      <w:r w:rsidRPr="0013530F">
        <w:rPr>
          <w:rFonts w:ascii="Times New Roman" w:hAnsi="Times New Roman"/>
          <w:sz w:val="24"/>
        </w:rPr>
        <w:t xml:space="preserve">necessary to </w:t>
      </w:r>
      <w:r w:rsidR="0013530F">
        <w:rPr>
          <w:rFonts w:ascii="Times New Roman" w:hAnsi="Times New Roman"/>
          <w:sz w:val="24"/>
        </w:rPr>
        <w:t>subject it to either screening for AA or to AA.</w:t>
      </w:r>
    </w:p>
    <w:p w14:paraId="0D6D5B6E" w14:textId="77777777" w:rsidR="00A44DD8" w:rsidRDefault="00A44DD8" w:rsidP="00542FF7">
      <w:pPr>
        <w:pStyle w:val="ListParagraph"/>
        <w:tabs>
          <w:tab w:val="left" w:pos="567"/>
        </w:tabs>
        <w:spacing w:line="276" w:lineRule="auto"/>
        <w:ind w:left="0"/>
        <w:jc w:val="left"/>
        <w:rPr>
          <w:rFonts w:ascii="Times New Roman" w:hAnsi="Times New Roman"/>
          <w:b/>
          <w:sz w:val="24"/>
          <w:u w:val="single"/>
        </w:rPr>
      </w:pPr>
    </w:p>
    <w:p w14:paraId="1518ED82" w14:textId="3FC56B6B" w:rsidR="001935FF" w:rsidRPr="0013530F" w:rsidRDefault="00D742F4" w:rsidP="0013530F">
      <w:pPr>
        <w:pStyle w:val="ListParagraph"/>
        <w:tabs>
          <w:tab w:val="left" w:pos="567"/>
        </w:tabs>
        <w:spacing w:line="480" w:lineRule="auto"/>
        <w:ind w:left="0"/>
        <w:jc w:val="left"/>
        <w:rPr>
          <w:rFonts w:ascii="Times New Roman" w:hAnsi="Times New Roman"/>
          <w:b/>
          <w:sz w:val="24"/>
          <w:u w:val="single"/>
        </w:rPr>
      </w:pPr>
      <w:r w:rsidRPr="0013530F">
        <w:rPr>
          <w:rFonts w:ascii="Times New Roman" w:hAnsi="Times New Roman"/>
          <w:b/>
          <w:sz w:val="24"/>
          <w:u w:val="single"/>
        </w:rPr>
        <w:t>The applicant’s case</w:t>
      </w:r>
      <w:r w:rsidR="001935FF" w:rsidRPr="0013530F">
        <w:rPr>
          <w:rFonts w:ascii="Times New Roman" w:hAnsi="Times New Roman"/>
          <w:b/>
          <w:sz w:val="24"/>
          <w:u w:val="single"/>
        </w:rPr>
        <w:t xml:space="preserve"> </w:t>
      </w:r>
    </w:p>
    <w:p w14:paraId="785C545D" w14:textId="1D037306" w:rsidR="00D742F4" w:rsidRPr="00D742F4" w:rsidRDefault="00E16EEF"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The NPF identifies the n</w:t>
      </w:r>
      <w:r w:rsidR="00D742F4">
        <w:rPr>
          <w:rFonts w:ascii="Times New Roman" w:hAnsi="Times New Roman"/>
          <w:sz w:val="24"/>
        </w:rPr>
        <w:t xml:space="preserve">ational </w:t>
      </w:r>
      <w:r>
        <w:rPr>
          <w:rFonts w:ascii="Times New Roman" w:hAnsi="Times New Roman"/>
          <w:sz w:val="24"/>
        </w:rPr>
        <w:t>p</w:t>
      </w:r>
      <w:r w:rsidR="00D742F4">
        <w:rPr>
          <w:rFonts w:ascii="Times New Roman" w:hAnsi="Times New Roman"/>
          <w:sz w:val="24"/>
        </w:rPr>
        <w:t xml:space="preserve">lanning </w:t>
      </w:r>
      <w:r>
        <w:rPr>
          <w:rFonts w:ascii="Times New Roman" w:hAnsi="Times New Roman"/>
          <w:sz w:val="24"/>
        </w:rPr>
        <w:t>s</w:t>
      </w:r>
      <w:r w:rsidR="00D742F4">
        <w:rPr>
          <w:rFonts w:ascii="Times New Roman" w:hAnsi="Times New Roman"/>
          <w:sz w:val="24"/>
        </w:rPr>
        <w:t xml:space="preserve">patial </w:t>
      </w:r>
      <w:r>
        <w:rPr>
          <w:rFonts w:ascii="Times New Roman" w:hAnsi="Times New Roman"/>
          <w:sz w:val="24"/>
        </w:rPr>
        <w:t>d</w:t>
      </w:r>
      <w:r w:rsidR="00D742F4">
        <w:rPr>
          <w:rFonts w:ascii="Times New Roman" w:hAnsi="Times New Roman"/>
          <w:sz w:val="24"/>
        </w:rPr>
        <w:t xml:space="preserve">evelopment and </w:t>
      </w:r>
      <w:r>
        <w:rPr>
          <w:rFonts w:ascii="Times New Roman" w:hAnsi="Times New Roman"/>
          <w:sz w:val="24"/>
        </w:rPr>
        <w:t>e</w:t>
      </w:r>
      <w:r w:rsidR="00D742F4">
        <w:rPr>
          <w:rFonts w:ascii="Times New Roman" w:hAnsi="Times New Roman"/>
          <w:sz w:val="24"/>
        </w:rPr>
        <w:t xml:space="preserve">nvironmental </w:t>
      </w:r>
      <w:r>
        <w:rPr>
          <w:rFonts w:ascii="Times New Roman" w:hAnsi="Times New Roman"/>
          <w:sz w:val="24"/>
        </w:rPr>
        <w:t>c</w:t>
      </w:r>
      <w:r w:rsidR="00D742F4">
        <w:rPr>
          <w:rFonts w:ascii="Times New Roman" w:hAnsi="Times New Roman"/>
          <w:sz w:val="24"/>
        </w:rPr>
        <w:t>ontext for the next twenty years.  It is described as:</w:t>
      </w:r>
      <w:r w:rsidR="00AB1C40">
        <w:rPr>
          <w:rFonts w:ascii="Times New Roman" w:hAnsi="Times New Roman"/>
          <w:sz w:val="24"/>
        </w:rPr>
        <w:t>-</w:t>
      </w:r>
    </w:p>
    <w:p w14:paraId="091D6036" w14:textId="614D77B5" w:rsidR="00D742F4" w:rsidRDefault="00D742F4" w:rsidP="00D742F4">
      <w:pPr>
        <w:pStyle w:val="ListParagraph"/>
        <w:spacing w:line="480" w:lineRule="auto"/>
        <w:ind w:left="567"/>
        <w:jc w:val="left"/>
        <w:rPr>
          <w:rFonts w:ascii="Times New Roman" w:hAnsi="Times New Roman"/>
          <w:i/>
          <w:sz w:val="24"/>
        </w:rPr>
      </w:pPr>
      <w:r>
        <w:rPr>
          <w:rFonts w:ascii="Times New Roman" w:hAnsi="Times New Roman"/>
          <w:i/>
          <w:sz w:val="24"/>
        </w:rPr>
        <w:t>“</w:t>
      </w:r>
      <w:r w:rsidR="002407F1">
        <w:rPr>
          <w:rFonts w:ascii="Times New Roman" w:hAnsi="Times New Roman"/>
          <w:i/>
          <w:sz w:val="24"/>
        </w:rPr>
        <w:t>[</w:t>
      </w:r>
      <w:r>
        <w:rPr>
          <w:rFonts w:ascii="Times New Roman" w:hAnsi="Times New Roman"/>
          <w:i/>
          <w:sz w:val="24"/>
        </w:rPr>
        <w:t>T</w:t>
      </w:r>
      <w:r w:rsidR="002407F1">
        <w:rPr>
          <w:rFonts w:ascii="Times New Roman" w:hAnsi="Times New Roman"/>
          <w:i/>
          <w:sz w:val="24"/>
        </w:rPr>
        <w:t>]</w:t>
      </w:r>
      <w:r>
        <w:rPr>
          <w:rFonts w:ascii="Times New Roman" w:hAnsi="Times New Roman"/>
          <w:i/>
          <w:sz w:val="24"/>
        </w:rPr>
        <w:t>he overarching policy and planning framework for the social, economic and cultural development of our country.</w:t>
      </w:r>
    </w:p>
    <w:p w14:paraId="4700A4CD" w14:textId="77777777" w:rsidR="00D742F4" w:rsidRDefault="00D742F4" w:rsidP="00D742F4">
      <w:pPr>
        <w:pStyle w:val="ListParagraph"/>
        <w:spacing w:line="480" w:lineRule="auto"/>
        <w:ind w:left="567"/>
        <w:jc w:val="left"/>
        <w:rPr>
          <w:rFonts w:ascii="Times New Roman" w:hAnsi="Times New Roman"/>
          <w:i/>
          <w:sz w:val="24"/>
        </w:rPr>
      </w:pPr>
      <w:r>
        <w:rPr>
          <w:rFonts w:ascii="Times New Roman" w:hAnsi="Times New Roman"/>
          <w:i/>
          <w:sz w:val="24"/>
        </w:rPr>
        <w:t>…</w:t>
      </w:r>
    </w:p>
    <w:p w14:paraId="7EBF1440" w14:textId="44FF4F3F" w:rsidR="00D742F4" w:rsidRDefault="00D742F4" w:rsidP="00D742F4">
      <w:pPr>
        <w:pStyle w:val="ListParagraph"/>
        <w:spacing w:line="480" w:lineRule="auto"/>
        <w:ind w:left="567"/>
        <w:jc w:val="left"/>
        <w:rPr>
          <w:rFonts w:ascii="Times New Roman" w:hAnsi="Times New Roman"/>
          <w:i/>
          <w:sz w:val="24"/>
        </w:rPr>
      </w:pPr>
      <w:r>
        <w:rPr>
          <w:rFonts w:ascii="Times New Roman" w:hAnsi="Times New Roman"/>
          <w:i/>
          <w:sz w:val="24"/>
        </w:rPr>
        <w:t>It is a national document that will guide at a high</w:t>
      </w:r>
      <w:r w:rsidR="002407F1">
        <w:rPr>
          <w:rFonts w:ascii="Times New Roman" w:hAnsi="Times New Roman"/>
          <w:i/>
          <w:sz w:val="24"/>
        </w:rPr>
        <w:t>-</w:t>
      </w:r>
      <w:r>
        <w:rPr>
          <w:rFonts w:ascii="Times New Roman" w:hAnsi="Times New Roman"/>
          <w:i/>
          <w:sz w:val="24"/>
        </w:rPr>
        <w:t>level strategic planning and development for the country over the next 20</w:t>
      </w:r>
      <w:r w:rsidR="00FC6C76">
        <w:rPr>
          <w:rFonts w:ascii="Times New Roman" w:hAnsi="Times New Roman"/>
          <w:i/>
          <w:sz w:val="24"/>
        </w:rPr>
        <w:t>+</w:t>
      </w:r>
      <w:r>
        <w:rPr>
          <w:rFonts w:ascii="Times New Roman" w:hAnsi="Times New Roman"/>
          <w:i/>
          <w:sz w:val="24"/>
        </w:rPr>
        <w:t xml:space="preserve"> years, so that as the population grows, th</w:t>
      </w:r>
      <w:r w:rsidR="00FC6C76">
        <w:rPr>
          <w:rFonts w:ascii="Times New Roman" w:hAnsi="Times New Roman"/>
          <w:i/>
          <w:sz w:val="24"/>
        </w:rPr>
        <w:t>at</w:t>
      </w:r>
      <w:r>
        <w:rPr>
          <w:rFonts w:ascii="Times New Roman" w:hAnsi="Times New Roman"/>
          <w:i/>
          <w:sz w:val="24"/>
        </w:rPr>
        <w:t xml:space="preserve"> growth is sustainable (in economic, social and environmental terms).</w:t>
      </w:r>
    </w:p>
    <w:p w14:paraId="0378DBE8" w14:textId="77777777" w:rsidR="00D742F4" w:rsidRDefault="00D742F4" w:rsidP="00D742F4">
      <w:pPr>
        <w:pStyle w:val="ListParagraph"/>
        <w:spacing w:line="480" w:lineRule="auto"/>
        <w:ind w:left="567"/>
        <w:jc w:val="left"/>
        <w:rPr>
          <w:rFonts w:ascii="Times New Roman" w:hAnsi="Times New Roman"/>
          <w:i/>
          <w:sz w:val="24"/>
        </w:rPr>
      </w:pPr>
    </w:p>
    <w:p w14:paraId="4E99021C" w14:textId="118FF6E9" w:rsidR="00D742F4" w:rsidRDefault="00D742F4" w:rsidP="00D742F4">
      <w:pPr>
        <w:pStyle w:val="ListParagraph"/>
        <w:spacing w:line="480" w:lineRule="auto"/>
        <w:ind w:left="567"/>
        <w:jc w:val="left"/>
        <w:rPr>
          <w:rFonts w:ascii="Times New Roman" w:hAnsi="Times New Roman"/>
          <w:i/>
          <w:sz w:val="24"/>
        </w:rPr>
      </w:pPr>
      <w:r>
        <w:rPr>
          <w:rFonts w:ascii="Times New Roman" w:hAnsi="Times New Roman"/>
          <w:i/>
          <w:sz w:val="24"/>
        </w:rPr>
        <w:t xml:space="preserve">Finalisation of the NPF alongside the </w:t>
      </w:r>
      <w:r w:rsidR="00FC6C76">
        <w:rPr>
          <w:rFonts w:ascii="Times New Roman" w:hAnsi="Times New Roman"/>
          <w:i/>
          <w:sz w:val="24"/>
        </w:rPr>
        <w:t>ten-</w:t>
      </w:r>
      <w:r>
        <w:rPr>
          <w:rFonts w:ascii="Times New Roman" w:hAnsi="Times New Roman"/>
          <w:i/>
          <w:sz w:val="24"/>
        </w:rPr>
        <w:t>year National Development Plan will put together one plan to guide strategic development and infrastructure investment at national level.</w:t>
      </w:r>
    </w:p>
    <w:p w14:paraId="5EF2DA2A" w14:textId="77777777" w:rsidR="00D742F4" w:rsidRDefault="00D742F4" w:rsidP="00D742F4">
      <w:pPr>
        <w:pStyle w:val="ListParagraph"/>
        <w:spacing w:line="480" w:lineRule="auto"/>
        <w:ind w:left="567"/>
        <w:jc w:val="left"/>
        <w:rPr>
          <w:rFonts w:ascii="Times New Roman" w:hAnsi="Times New Roman"/>
          <w:i/>
          <w:sz w:val="24"/>
        </w:rPr>
      </w:pPr>
    </w:p>
    <w:p w14:paraId="25A86FFA" w14:textId="2AF371DD" w:rsidR="005E486A" w:rsidRDefault="00D742F4" w:rsidP="00D742F4">
      <w:pPr>
        <w:pStyle w:val="ListParagraph"/>
        <w:spacing w:line="480" w:lineRule="auto"/>
        <w:ind w:left="567"/>
        <w:jc w:val="left"/>
        <w:rPr>
          <w:rFonts w:ascii="Times New Roman" w:hAnsi="Times New Roman"/>
          <w:b/>
          <w:sz w:val="24"/>
          <w:u w:val="single"/>
        </w:rPr>
      </w:pPr>
      <w:r>
        <w:rPr>
          <w:rFonts w:ascii="Times New Roman" w:hAnsi="Times New Roman"/>
          <w:i/>
          <w:sz w:val="24"/>
        </w:rPr>
        <w:t xml:space="preserve">The NPF </w:t>
      </w:r>
      <w:r w:rsidR="00FC6C76">
        <w:rPr>
          <w:rFonts w:ascii="Times New Roman" w:hAnsi="Times New Roman"/>
          <w:i/>
          <w:sz w:val="24"/>
        </w:rPr>
        <w:t xml:space="preserve">with </w:t>
      </w:r>
      <w:r>
        <w:rPr>
          <w:rFonts w:ascii="Times New Roman" w:hAnsi="Times New Roman"/>
          <w:i/>
          <w:sz w:val="24"/>
        </w:rPr>
        <w:t xml:space="preserve">the National Development Plan will also set the context for each of Ireland’s three regional assemblies to develop their Regional Spatial and Economic Strategies taking account </w:t>
      </w:r>
      <w:r w:rsidR="00350889">
        <w:rPr>
          <w:rFonts w:ascii="Times New Roman" w:hAnsi="Times New Roman"/>
          <w:i/>
          <w:sz w:val="24"/>
        </w:rPr>
        <w:t xml:space="preserve">and coordinating local authority County and City </w:t>
      </w:r>
      <w:r w:rsidR="00350889">
        <w:rPr>
          <w:rFonts w:ascii="Times New Roman" w:hAnsi="Times New Roman"/>
          <w:i/>
          <w:sz w:val="24"/>
        </w:rPr>
        <w:lastRenderedPageBreak/>
        <w:t xml:space="preserve">Development Plans in a manner that will ensure national, regional and local plans align.” </w:t>
      </w:r>
      <w:r w:rsidR="005E486A">
        <w:rPr>
          <w:rFonts w:ascii="Times New Roman" w:hAnsi="Times New Roman"/>
          <w:b/>
          <w:sz w:val="24"/>
          <w:u w:val="single"/>
        </w:rPr>
        <w:t xml:space="preserve"> </w:t>
      </w:r>
      <w:r>
        <w:rPr>
          <w:rFonts w:ascii="Times New Roman" w:hAnsi="Times New Roman"/>
          <w:b/>
          <w:sz w:val="24"/>
          <w:u w:val="single"/>
        </w:rPr>
        <w:t xml:space="preserve">  </w:t>
      </w:r>
    </w:p>
    <w:p w14:paraId="49DC80D1" w14:textId="77777777" w:rsidR="00350889" w:rsidRPr="00350889" w:rsidRDefault="00350889"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The applicant alleges that the NPF has not been adequately assessed for the purposes of </w:t>
      </w:r>
      <w:r w:rsidR="0013530F">
        <w:rPr>
          <w:rFonts w:ascii="Times New Roman" w:hAnsi="Times New Roman"/>
          <w:sz w:val="24"/>
        </w:rPr>
        <w:t xml:space="preserve">either </w:t>
      </w:r>
      <w:r>
        <w:rPr>
          <w:rFonts w:ascii="Times New Roman" w:hAnsi="Times New Roman"/>
          <w:sz w:val="24"/>
        </w:rPr>
        <w:t>the Habitats Directive</w:t>
      </w:r>
      <w:r w:rsidR="0013530F">
        <w:rPr>
          <w:rFonts w:ascii="Times New Roman" w:hAnsi="Times New Roman"/>
          <w:sz w:val="24"/>
        </w:rPr>
        <w:t xml:space="preserve"> or the SEA Directive</w:t>
      </w:r>
      <w:r w:rsidR="00E16EEF">
        <w:rPr>
          <w:rFonts w:ascii="Times New Roman" w:hAnsi="Times New Roman"/>
          <w:sz w:val="24"/>
        </w:rPr>
        <w:t>.</w:t>
      </w:r>
      <w:r>
        <w:rPr>
          <w:rFonts w:ascii="Times New Roman" w:hAnsi="Times New Roman"/>
          <w:sz w:val="24"/>
        </w:rPr>
        <w:t xml:space="preserve">  </w:t>
      </w:r>
    </w:p>
    <w:p w14:paraId="2B46B834" w14:textId="0F0BBAF9" w:rsidR="00350889" w:rsidRPr="00350889" w:rsidRDefault="00350889"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The applicant says that the respondents have not discharged their obligations pursuant to the Habitats Directive; that the environmental report accompanying the N</w:t>
      </w:r>
      <w:r w:rsidR="0013530F">
        <w:rPr>
          <w:rFonts w:ascii="Times New Roman" w:hAnsi="Times New Roman"/>
          <w:sz w:val="24"/>
        </w:rPr>
        <w:t>P</w:t>
      </w:r>
      <w:r>
        <w:rPr>
          <w:rFonts w:ascii="Times New Roman" w:hAnsi="Times New Roman"/>
          <w:sz w:val="24"/>
        </w:rPr>
        <w:t>F</w:t>
      </w:r>
      <w:r w:rsidR="00E16EEF">
        <w:rPr>
          <w:rFonts w:ascii="Times New Roman" w:hAnsi="Times New Roman"/>
          <w:sz w:val="24"/>
        </w:rPr>
        <w:t xml:space="preserve"> </w:t>
      </w:r>
      <w:r>
        <w:rPr>
          <w:rFonts w:ascii="Times New Roman" w:hAnsi="Times New Roman"/>
          <w:sz w:val="24"/>
        </w:rPr>
        <w:t>includes a statement that</w:t>
      </w:r>
      <w:r w:rsidR="000A57C5">
        <w:rPr>
          <w:rFonts w:ascii="Times New Roman" w:hAnsi="Times New Roman"/>
          <w:sz w:val="24"/>
        </w:rPr>
        <w:t>,</w:t>
      </w:r>
      <w:r>
        <w:rPr>
          <w:rFonts w:ascii="Times New Roman" w:hAnsi="Times New Roman"/>
          <w:sz w:val="24"/>
        </w:rPr>
        <w:t xml:space="preserve"> in the view of the </w:t>
      </w:r>
      <w:r w:rsidR="00E16EEF">
        <w:rPr>
          <w:rFonts w:ascii="Times New Roman" w:hAnsi="Times New Roman"/>
          <w:sz w:val="24"/>
        </w:rPr>
        <w:t>Department</w:t>
      </w:r>
      <w:r w:rsidR="000A57C5">
        <w:rPr>
          <w:rFonts w:ascii="Times New Roman" w:hAnsi="Times New Roman"/>
          <w:sz w:val="24"/>
        </w:rPr>
        <w:t>,</w:t>
      </w:r>
      <w:r w:rsidR="00E16EEF">
        <w:rPr>
          <w:rFonts w:ascii="Times New Roman" w:hAnsi="Times New Roman"/>
          <w:sz w:val="24"/>
        </w:rPr>
        <w:t xml:space="preserve"> the N</w:t>
      </w:r>
      <w:r w:rsidR="0013530F">
        <w:rPr>
          <w:rFonts w:ascii="Times New Roman" w:hAnsi="Times New Roman"/>
          <w:sz w:val="24"/>
        </w:rPr>
        <w:t>P</w:t>
      </w:r>
      <w:r w:rsidR="00E16EEF">
        <w:rPr>
          <w:rFonts w:ascii="Times New Roman" w:hAnsi="Times New Roman"/>
          <w:sz w:val="24"/>
        </w:rPr>
        <w:t xml:space="preserve">F is </w:t>
      </w:r>
      <w:r>
        <w:rPr>
          <w:rFonts w:ascii="Times New Roman" w:hAnsi="Times New Roman"/>
          <w:i/>
          <w:sz w:val="24"/>
        </w:rPr>
        <w:t xml:space="preserve">“compliant” </w:t>
      </w:r>
      <w:r>
        <w:rPr>
          <w:rFonts w:ascii="Times New Roman" w:hAnsi="Times New Roman"/>
          <w:sz w:val="24"/>
        </w:rPr>
        <w:t xml:space="preserve">with the requirements of the Habitats Directive.  The applicant says this statement is not </w:t>
      </w:r>
      <w:r w:rsidR="0080242C">
        <w:rPr>
          <w:rFonts w:ascii="Times New Roman" w:hAnsi="Times New Roman"/>
          <w:sz w:val="24"/>
        </w:rPr>
        <w:t>sufficient</w:t>
      </w:r>
      <w:r>
        <w:rPr>
          <w:rFonts w:ascii="Times New Roman" w:hAnsi="Times New Roman"/>
          <w:sz w:val="24"/>
        </w:rPr>
        <w:t xml:space="preserve"> for the purposes of the Habitats Directive and that the respondent Minister was under an obligation to conduct an </w:t>
      </w:r>
      <w:r w:rsidR="00195885">
        <w:rPr>
          <w:rFonts w:ascii="Times New Roman" w:hAnsi="Times New Roman"/>
          <w:sz w:val="24"/>
        </w:rPr>
        <w:t>AA</w:t>
      </w:r>
      <w:r w:rsidR="00D43AA4">
        <w:rPr>
          <w:rFonts w:ascii="Times New Roman" w:hAnsi="Times New Roman"/>
          <w:sz w:val="24"/>
        </w:rPr>
        <w:t>,</w:t>
      </w:r>
      <w:r>
        <w:rPr>
          <w:rFonts w:ascii="Times New Roman" w:hAnsi="Times New Roman"/>
          <w:sz w:val="24"/>
        </w:rPr>
        <w:t xml:space="preserve"> and not to agree to adopt the N</w:t>
      </w:r>
      <w:r w:rsidR="00E16EEF">
        <w:rPr>
          <w:rFonts w:ascii="Times New Roman" w:hAnsi="Times New Roman"/>
          <w:sz w:val="24"/>
        </w:rPr>
        <w:t xml:space="preserve">PF </w:t>
      </w:r>
      <w:r w:rsidR="004113CB">
        <w:rPr>
          <w:rFonts w:ascii="Times New Roman" w:hAnsi="Times New Roman"/>
          <w:sz w:val="24"/>
        </w:rPr>
        <w:t>u</w:t>
      </w:r>
      <w:r>
        <w:rPr>
          <w:rFonts w:ascii="Times New Roman" w:hAnsi="Times New Roman"/>
          <w:sz w:val="24"/>
        </w:rPr>
        <w:t xml:space="preserve">nless he had first ascertained that it would not adversely affect the integrity of any European site.  In the alternative, </w:t>
      </w:r>
      <w:r w:rsidR="00824BE6">
        <w:rPr>
          <w:rFonts w:ascii="Times New Roman" w:hAnsi="Times New Roman"/>
          <w:sz w:val="24"/>
        </w:rPr>
        <w:t xml:space="preserve">it says that </w:t>
      </w:r>
      <w:r>
        <w:rPr>
          <w:rFonts w:ascii="Times New Roman" w:hAnsi="Times New Roman"/>
          <w:sz w:val="24"/>
        </w:rPr>
        <w:t xml:space="preserve">it was open to the respondent Minister to conclude that the adoption of the </w:t>
      </w:r>
      <w:r w:rsidR="004113CB">
        <w:rPr>
          <w:rFonts w:ascii="Times New Roman" w:hAnsi="Times New Roman"/>
          <w:sz w:val="24"/>
        </w:rPr>
        <w:t>NPF</w:t>
      </w:r>
      <w:r>
        <w:rPr>
          <w:rFonts w:ascii="Times New Roman" w:hAnsi="Times New Roman"/>
          <w:sz w:val="24"/>
        </w:rPr>
        <w:t xml:space="preserve"> would adversely affect European sites and to proceed to agree to it on the basis of overriding public interest for the purposes of Article 6(4) of the Habitats Directive.  However, the respondent Minister did neither of these things and simply recorded the view of the Department on compliance.  In the circumstances, the applicant says that the Minister was not entitled/had no jurisdiction to adopt the </w:t>
      </w:r>
      <w:r w:rsidR="004113CB">
        <w:rPr>
          <w:rFonts w:ascii="Times New Roman" w:hAnsi="Times New Roman"/>
          <w:sz w:val="24"/>
        </w:rPr>
        <w:t>NPF</w:t>
      </w:r>
      <w:r>
        <w:rPr>
          <w:rFonts w:ascii="Times New Roman" w:hAnsi="Times New Roman"/>
          <w:sz w:val="24"/>
        </w:rPr>
        <w:t xml:space="preserve"> </w:t>
      </w:r>
      <w:r w:rsidR="000B1DFA">
        <w:rPr>
          <w:rFonts w:ascii="Times New Roman" w:hAnsi="Times New Roman"/>
          <w:sz w:val="24"/>
        </w:rPr>
        <w:t xml:space="preserve">without there having been compliance </w:t>
      </w:r>
      <w:r>
        <w:rPr>
          <w:rFonts w:ascii="Times New Roman" w:hAnsi="Times New Roman"/>
          <w:sz w:val="24"/>
        </w:rPr>
        <w:t xml:space="preserve">with the requirements of the Habitats Directive as set out in the decision of </w:t>
      </w:r>
      <w:r>
        <w:rPr>
          <w:rFonts w:ascii="Times New Roman" w:hAnsi="Times New Roman"/>
          <w:i/>
          <w:sz w:val="24"/>
        </w:rPr>
        <w:t xml:space="preserve">Kelly v. An Bord Pleanála </w:t>
      </w:r>
      <w:r>
        <w:rPr>
          <w:rFonts w:ascii="Times New Roman" w:hAnsi="Times New Roman"/>
          <w:sz w:val="24"/>
        </w:rPr>
        <w:t xml:space="preserve">([2014] IEHC 400).  </w:t>
      </w:r>
    </w:p>
    <w:p w14:paraId="53157A68" w14:textId="5010A9B7" w:rsidR="004113CB" w:rsidRPr="004113CB" w:rsidRDefault="00350889"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Secondly, the applicant says that the respondents were under an obligation to publish the</w:t>
      </w:r>
      <w:r w:rsidR="004113CB">
        <w:rPr>
          <w:rFonts w:ascii="Times New Roman" w:hAnsi="Times New Roman"/>
          <w:sz w:val="24"/>
        </w:rPr>
        <w:t xml:space="preserve"> A</w:t>
      </w:r>
      <w:r w:rsidR="00CF0DB4">
        <w:rPr>
          <w:rFonts w:ascii="Times New Roman" w:hAnsi="Times New Roman"/>
          <w:sz w:val="24"/>
        </w:rPr>
        <w:t>A</w:t>
      </w:r>
      <w:r>
        <w:rPr>
          <w:rFonts w:ascii="Times New Roman" w:hAnsi="Times New Roman"/>
          <w:sz w:val="24"/>
        </w:rPr>
        <w:t xml:space="preserve"> </w:t>
      </w:r>
      <w:r w:rsidR="00CF0DB4">
        <w:rPr>
          <w:rFonts w:ascii="Times New Roman" w:hAnsi="Times New Roman"/>
          <w:sz w:val="24"/>
        </w:rPr>
        <w:t>d</w:t>
      </w:r>
      <w:r>
        <w:rPr>
          <w:rFonts w:ascii="Times New Roman" w:hAnsi="Times New Roman"/>
          <w:sz w:val="24"/>
        </w:rPr>
        <w:t>etermination pursuant to Regulation 42(18)(</w:t>
      </w:r>
      <w:r w:rsidR="004113CB">
        <w:rPr>
          <w:rFonts w:ascii="Times New Roman" w:hAnsi="Times New Roman"/>
          <w:sz w:val="24"/>
        </w:rPr>
        <w:t>a</w:t>
      </w:r>
      <w:r>
        <w:rPr>
          <w:rFonts w:ascii="Times New Roman" w:hAnsi="Times New Roman"/>
          <w:sz w:val="24"/>
        </w:rPr>
        <w:t xml:space="preserve">) of the Habitat Regulations. </w:t>
      </w:r>
      <w:r w:rsidR="004113CB">
        <w:rPr>
          <w:rFonts w:ascii="Times New Roman" w:hAnsi="Times New Roman"/>
          <w:sz w:val="24"/>
        </w:rPr>
        <w:t xml:space="preserve"> It says this did not occur.   </w:t>
      </w:r>
    </w:p>
    <w:p w14:paraId="7A05C79C" w14:textId="3279EBAA" w:rsidR="004113CB" w:rsidRPr="004113CB" w:rsidRDefault="004113CB"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Third, it said that the AA determination must be made by the authority which adopts the plan.  In this case</w:t>
      </w:r>
      <w:r w:rsidR="008E2B28">
        <w:rPr>
          <w:rFonts w:ascii="Times New Roman" w:hAnsi="Times New Roman"/>
          <w:sz w:val="24"/>
        </w:rPr>
        <w:t>,</w:t>
      </w:r>
      <w:r>
        <w:rPr>
          <w:rFonts w:ascii="Times New Roman" w:hAnsi="Times New Roman"/>
          <w:sz w:val="24"/>
        </w:rPr>
        <w:t xml:space="preserve"> the </w:t>
      </w:r>
      <w:r w:rsidR="008979CB">
        <w:rPr>
          <w:rFonts w:ascii="Times New Roman" w:hAnsi="Times New Roman"/>
          <w:sz w:val="24"/>
        </w:rPr>
        <w:t>g</w:t>
      </w:r>
      <w:r>
        <w:rPr>
          <w:rFonts w:ascii="Times New Roman" w:hAnsi="Times New Roman"/>
          <w:sz w:val="24"/>
        </w:rPr>
        <w:t>overnment adopted the NPF</w:t>
      </w:r>
      <w:r w:rsidR="00CF0DB4">
        <w:rPr>
          <w:rFonts w:ascii="Times New Roman" w:hAnsi="Times New Roman"/>
          <w:sz w:val="24"/>
        </w:rPr>
        <w:t>,</w:t>
      </w:r>
      <w:r>
        <w:rPr>
          <w:rFonts w:ascii="Times New Roman" w:hAnsi="Times New Roman"/>
          <w:sz w:val="24"/>
        </w:rPr>
        <w:t xml:space="preserve"> but the </w:t>
      </w:r>
      <w:r w:rsidR="008979CB">
        <w:rPr>
          <w:rFonts w:ascii="Times New Roman" w:hAnsi="Times New Roman"/>
          <w:sz w:val="24"/>
        </w:rPr>
        <w:t>g</w:t>
      </w:r>
      <w:r>
        <w:rPr>
          <w:rFonts w:ascii="Times New Roman" w:hAnsi="Times New Roman"/>
          <w:sz w:val="24"/>
        </w:rPr>
        <w:t>overnment did not make the AA determination.</w:t>
      </w:r>
    </w:p>
    <w:p w14:paraId="4AC7B816" w14:textId="77777777" w:rsidR="004113CB" w:rsidRPr="004113CB" w:rsidRDefault="004113CB"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4113CB">
        <w:rPr>
          <w:rFonts w:ascii="Times New Roman" w:hAnsi="Times New Roman"/>
          <w:sz w:val="24"/>
        </w:rPr>
        <w:lastRenderedPageBreak/>
        <w:t xml:space="preserve">Fourth, it said it was not open to the respondents to </w:t>
      </w:r>
      <w:r w:rsidR="0013530F">
        <w:rPr>
          <w:rFonts w:ascii="Times New Roman" w:hAnsi="Times New Roman"/>
          <w:sz w:val="24"/>
        </w:rPr>
        <w:t>mend</w:t>
      </w:r>
      <w:r w:rsidRPr="004113CB">
        <w:rPr>
          <w:rFonts w:ascii="Times New Roman" w:hAnsi="Times New Roman"/>
          <w:sz w:val="24"/>
        </w:rPr>
        <w:t xml:space="preserve"> their hand by the decision of 29 May 2018; there was no provision for “reaffirming” the decision of February 2018 and, on its face, the decision of 29 May 2018 did not purport to adopt the N</w:t>
      </w:r>
      <w:r w:rsidR="0013530F">
        <w:rPr>
          <w:rFonts w:ascii="Times New Roman" w:hAnsi="Times New Roman"/>
          <w:sz w:val="24"/>
        </w:rPr>
        <w:t>P</w:t>
      </w:r>
      <w:r w:rsidRPr="004113CB">
        <w:rPr>
          <w:rFonts w:ascii="Times New Roman" w:hAnsi="Times New Roman"/>
          <w:sz w:val="24"/>
        </w:rPr>
        <w:t xml:space="preserve">F.  </w:t>
      </w:r>
    </w:p>
    <w:p w14:paraId="6AEE0D1D" w14:textId="6670BF55" w:rsidR="004113CB" w:rsidRPr="004113CB" w:rsidRDefault="004113CB"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Accordingly, </w:t>
      </w:r>
      <w:r w:rsidR="00D64DFA">
        <w:rPr>
          <w:rFonts w:ascii="Times New Roman" w:hAnsi="Times New Roman"/>
          <w:sz w:val="24"/>
        </w:rPr>
        <w:t xml:space="preserve">it argues that </w:t>
      </w:r>
      <w:r>
        <w:rPr>
          <w:rFonts w:ascii="Times New Roman" w:hAnsi="Times New Roman"/>
          <w:sz w:val="24"/>
        </w:rPr>
        <w:t>the N</w:t>
      </w:r>
      <w:r w:rsidR="0013530F">
        <w:rPr>
          <w:rFonts w:ascii="Times New Roman" w:hAnsi="Times New Roman"/>
          <w:sz w:val="24"/>
        </w:rPr>
        <w:t>P</w:t>
      </w:r>
      <w:r>
        <w:rPr>
          <w:rFonts w:ascii="Times New Roman" w:hAnsi="Times New Roman"/>
          <w:sz w:val="24"/>
        </w:rPr>
        <w:t xml:space="preserve">F was purportedly adopted in breach of the requirements of the Habitats Directive and ought to be quashed.  </w:t>
      </w:r>
    </w:p>
    <w:p w14:paraId="497A0BAB" w14:textId="7AFBA215" w:rsidR="00350889" w:rsidRPr="004113CB" w:rsidRDefault="00CF0DB4"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In relation to</w:t>
      </w:r>
      <w:r w:rsidR="006674DE">
        <w:rPr>
          <w:rFonts w:ascii="Times New Roman" w:hAnsi="Times New Roman"/>
          <w:sz w:val="24"/>
        </w:rPr>
        <w:t xml:space="preserve"> the </w:t>
      </w:r>
      <w:r w:rsidR="00771DD4" w:rsidRPr="004113CB">
        <w:rPr>
          <w:rFonts w:ascii="Times New Roman" w:hAnsi="Times New Roman"/>
          <w:sz w:val="24"/>
        </w:rPr>
        <w:t xml:space="preserve">SEA Directive, the applicant says that the </w:t>
      </w:r>
      <w:r w:rsidR="0013530F">
        <w:rPr>
          <w:rFonts w:ascii="Times New Roman" w:hAnsi="Times New Roman"/>
          <w:sz w:val="24"/>
        </w:rPr>
        <w:t>E</w:t>
      </w:r>
      <w:r w:rsidR="00771DD4" w:rsidRPr="004113CB">
        <w:rPr>
          <w:rFonts w:ascii="Times New Roman" w:hAnsi="Times New Roman"/>
          <w:sz w:val="24"/>
        </w:rPr>
        <w:t xml:space="preserve">nvironmental </w:t>
      </w:r>
      <w:r w:rsidR="0013530F">
        <w:rPr>
          <w:rFonts w:ascii="Times New Roman" w:hAnsi="Times New Roman"/>
          <w:sz w:val="24"/>
        </w:rPr>
        <w:t>R</w:t>
      </w:r>
      <w:r w:rsidR="00771DD4" w:rsidRPr="004113CB">
        <w:rPr>
          <w:rFonts w:ascii="Times New Roman" w:hAnsi="Times New Roman"/>
          <w:sz w:val="24"/>
        </w:rPr>
        <w:t xml:space="preserve">eport and the SEA </w:t>
      </w:r>
      <w:r w:rsidR="006674DE">
        <w:rPr>
          <w:rFonts w:ascii="Times New Roman" w:hAnsi="Times New Roman"/>
          <w:sz w:val="24"/>
        </w:rPr>
        <w:t>S</w:t>
      </w:r>
      <w:r w:rsidR="00771DD4" w:rsidRPr="004113CB">
        <w:rPr>
          <w:rFonts w:ascii="Times New Roman" w:hAnsi="Times New Roman"/>
          <w:sz w:val="24"/>
        </w:rPr>
        <w:t>tatement do not discharge the requirement</w:t>
      </w:r>
      <w:r w:rsidR="00D64DFA">
        <w:rPr>
          <w:rFonts w:ascii="Times New Roman" w:hAnsi="Times New Roman"/>
          <w:sz w:val="24"/>
        </w:rPr>
        <w:t>s</w:t>
      </w:r>
      <w:r w:rsidR="00771DD4" w:rsidRPr="004113CB">
        <w:rPr>
          <w:rFonts w:ascii="Times New Roman" w:hAnsi="Times New Roman"/>
          <w:sz w:val="24"/>
        </w:rPr>
        <w:t xml:space="preserve"> of the SEA Directive in six significant ways.  First, the </w:t>
      </w:r>
      <w:r w:rsidR="0013530F">
        <w:rPr>
          <w:rFonts w:ascii="Times New Roman" w:hAnsi="Times New Roman"/>
          <w:sz w:val="24"/>
        </w:rPr>
        <w:t xml:space="preserve">SEA </w:t>
      </w:r>
      <w:r w:rsidR="00771DD4" w:rsidRPr="004113CB">
        <w:rPr>
          <w:rFonts w:ascii="Times New Roman" w:hAnsi="Times New Roman"/>
          <w:sz w:val="24"/>
        </w:rPr>
        <w:t>Environmental Report does not identify, describe and evaluate adequately</w:t>
      </w:r>
      <w:r w:rsidR="00D43AA4">
        <w:rPr>
          <w:rFonts w:ascii="Times New Roman" w:hAnsi="Times New Roman"/>
          <w:sz w:val="24"/>
        </w:rPr>
        <w:t>,</w:t>
      </w:r>
      <w:r w:rsidR="00771DD4" w:rsidRPr="004113CB">
        <w:rPr>
          <w:rFonts w:ascii="Times New Roman" w:hAnsi="Times New Roman"/>
          <w:sz w:val="24"/>
        </w:rPr>
        <w:t xml:space="preserve"> at all</w:t>
      </w:r>
      <w:r w:rsidR="00D43AA4">
        <w:rPr>
          <w:rFonts w:ascii="Times New Roman" w:hAnsi="Times New Roman"/>
          <w:sz w:val="24"/>
        </w:rPr>
        <w:t>,</w:t>
      </w:r>
      <w:r w:rsidR="00771DD4" w:rsidRPr="004113CB">
        <w:rPr>
          <w:rFonts w:ascii="Times New Roman" w:hAnsi="Times New Roman"/>
          <w:sz w:val="24"/>
        </w:rPr>
        <w:t xml:space="preserve"> the likely significant effects on the environment of implementing the N</w:t>
      </w:r>
      <w:r w:rsidR="008F710A">
        <w:rPr>
          <w:rFonts w:ascii="Times New Roman" w:hAnsi="Times New Roman"/>
          <w:sz w:val="24"/>
        </w:rPr>
        <w:t>PF</w:t>
      </w:r>
      <w:r w:rsidR="00771DD4" w:rsidRPr="004113CB">
        <w:rPr>
          <w:rFonts w:ascii="Times New Roman" w:hAnsi="Times New Roman"/>
          <w:sz w:val="24"/>
        </w:rPr>
        <w:t xml:space="preserve"> and </w:t>
      </w:r>
      <w:r w:rsidR="00771DD4" w:rsidRPr="004113CB">
        <w:rPr>
          <w:rFonts w:ascii="Times New Roman" w:hAnsi="Times New Roman"/>
          <w:i/>
          <w:sz w:val="24"/>
        </w:rPr>
        <w:t>reasonable alternatives</w:t>
      </w:r>
      <w:r w:rsidR="00771DD4" w:rsidRPr="004113CB">
        <w:rPr>
          <w:rFonts w:ascii="Times New Roman" w:hAnsi="Times New Roman"/>
          <w:sz w:val="24"/>
        </w:rPr>
        <w:t xml:space="preserve">. </w:t>
      </w:r>
      <w:r w:rsidR="008E2B28">
        <w:rPr>
          <w:rFonts w:ascii="Times New Roman" w:hAnsi="Times New Roman"/>
          <w:sz w:val="24"/>
        </w:rPr>
        <w:t xml:space="preserve"> </w:t>
      </w:r>
      <w:r w:rsidR="00771DD4" w:rsidRPr="004113CB">
        <w:rPr>
          <w:rFonts w:ascii="Times New Roman" w:hAnsi="Times New Roman"/>
          <w:sz w:val="24"/>
        </w:rPr>
        <w:t>It is the applicant’s case that the brief descriptions of the alternatives do not identify, describe or evaluate the likely significant effects on the environment of those alternatives.</w:t>
      </w:r>
    </w:p>
    <w:p w14:paraId="6A1E7BF4" w14:textId="0A5296CD" w:rsidR="00771DD4" w:rsidRPr="00771DD4" w:rsidRDefault="00771DD4"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Secondly, neither the </w:t>
      </w:r>
      <w:r w:rsidR="006674DE">
        <w:rPr>
          <w:rFonts w:ascii="Times New Roman" w:hAnsi="Times New Roman"/>
          <w:sz w:val="24"/>
        </w:rPr>
        <w:t xml:space="preserve">SEA </w:t>
      </w:r>
      <w:r>
        <w:rPr>
          <w:rFonts w:ascii="Times New Roman" w:hAnsi="Times New Roman"/>
          <w:sz w:val="24"/>
        </w:rPr>
        <w:t xml:space="preserve">Environmental Report nor the SEA </w:t>
      </w:r>
      <w:r w:rsidR="006674DE">
        <w:rPr>
          <w:rFonts w:ascii="Times New Roman" w:hAnsi="Times New Roman"/>
          <w:sz w:val="24"/>
        </w:rPr>
        <w:t>S</w:t>
      </w:r>
      <w:r>
        <w:rPr>
          <w:rFonts w:ascii="Times New Roman" w:hAnsi="Times New Roman"/>
          <w:sz w:val="24"/>
        </w:rPr>
        <w:t>tatement provide any, or any adequate reasons for the selection of the preferred option over the other options</w:t>
      </w:r>
      <w:r w:rsidR="00D43AA4">
        <w:rPr>
          <w:rFonts w:ascii="Times New Roman" w:hAnsi="Times New Roman"/>
          <w:sz w:val="24"/>
        </w:rPr>
        <w:t>,</w:t>
      </w:r>
      <w:r>
        <w:rPr>
          <w:rFonts w:ascii="Times New Roman" w:hAnsi="Times New Roman"/>
          <w:sz w:val="24"/>
        </w:rPr>
        <w:t xml:space="preserve"> according to the applicant.  </w:t>
      </w:r>
    </w:p>
    <w:p w14:paraId="2E8641DE" w14:textId="77777777" w:rsidR="00771DD4" w:rsidRPr="00771DD4" w:rsidRDefault="00771DD4"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Thirdly, the applicant says that the </w:t>
      </w:r>
      <w:r w:rsidR="006674DE">
        <w:rPr>
          <w:rFonts w:ascii="Times New Roman" w:hAnsi="Times New Roman"/>
          <w:sz w:val="24"/>
        </w:rPr>
        <w:t xml:space="preserve">SEA </w:t>
      </w:r>
      <w:r>
        <w:rPr>
          <w:rFonts w:ascii="Times New Roman" w:hAnsi="Times New Roman"/>
          <w:sz w:val="24"/>
        </w:rPr>
        <w:t xml:space="preserve">Environmental Report does not adequately or at all identify, describe and evaluate the likely significant effects on the environment of the implementation of the preferred option.  </w:t>
      </w:r>
    </w:p>
    <w:p w14:paraId="6F99AFA5" w14:textId="6BB94690" w:rsidR="00771DD4" w:rsidRPr="00771DD4" w:rsidRDefault="00771DD4"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Fourthly, the applicant says that the </w:t>
      </w:r>
      <w:r w:rsidR="006674DE">
        <w:rPr>
          <w:rFonts w:ascii="Times New Roman" w:hAnsi="Times New Roman"/>
          <w:sz w:val="24"/>
        </w:rPr>
        <w:t xml:space="preserve">SEA </w:t>
      </w:r>
      <w:r>
        <w:rPr>
          <w:rFonts w:ascii="Times New Roman" w:hAnsi="Times New Roman"/>
          <w:sz w:val="24"/>
        </w:rPr>
        <w:t xml:space="preserve">Environmental Report does not provide for any or any adequate monitoring of the implementation of the </w:t>
      </w:r>
      <w:r w:rsidR="006674DE">
        <w:rPr>
          <w:rFonts w:ascii="Times New Roman" w:hAnsi="Times New Roman"/>
          <w:sz w:val="24"/>
        </w:rPr>
        <w:t>N</w:t>
      </w:r>
      <w:r w:rsidR="008F710A">
        <w:rPr>
          <w:rFonts w:ascii="Times New Roman" w:hAnsi="Times New Roman"/>
          <w:sz w:val="24"/>
        </w:rPr>
        <w:t>P</w:t>
      </w:r>
      <w:r w:rsidR="006674DE">
        <w:rPr>
          <w:rFonts w:ascii="Times New Roman" w:hAnsi="Times New Roman"/>
          <w:sz w:val="24"/>
        </w:rPr>
        <w:t>F</w:t>
      </w:r>
      <w:r>
        <w:rPr>
          <w:rFonts w:ascii="Times New Roman" w:hAnsi="Times New Roman"/>
          <w:sz w:val="24"/>
        </w:rPr>
        <w:t xml:space="preserve">, </w:t>
      </w:r>
      <w:r>
        <w:rPr>
          <w:rFonts w:ascii="Times New Roman" w:hAnsi="Times New Roman"/>
          <w:i/>
          <w:sz w:val="24"/>
        </w:rPr>
        <w:t>inter alia</w:t>
      </w:r>
      <w:r>
        <w:rPr>
          <w:rFonts w:ascii="Times New Roman" w:hAnsi="Times New Roman"/>
          <w:sz w:val="24"/>
        </w:rPr>
        <w:t>, to identify at an early sta</w:t>
      </w:r>
      <w:r w:rsidR="008E2B28">
        <w:rPr>
          <w:rFonts w:ascii="Times New Roman" w:hAnsi="Times New Roman"/>
          <w:sz w:val="24"/>
        </w:rPr>
        <w:t>g</w:t>
      </w:r>
      <w:r>
        <w:rPr>
          <w:rFonts w:ascii="Times New Roman" w:hAnsi="Times New Roman"/>
          <w:sz w:val="24"/>
        </w:rPr>
        <w:t xml:space="preserve">e unforeseen adverse effects, and to be able to undertake appropriate remedial action.  It says that the deficiency is particularly acute in respect of climate change.  The applicant </w:t>
      </w:r>
      <w:r w:rsidR="00D66EFB">
        <w:rPr>
          <w:rFonts w:ascii="Times New Roman" w:hAnsi="Times New Roman"/>
          <w:sz w:val="24"/>
        </w:rPr>
        <w:t xml:space="preserve">asserts </w:t>
      </w:r>
      <w:r>
        <w:rPr>
          <w:rFonts w:ascii="Times New Roman" w:hAnsi="Times New Roman"/>
          <w:sz w:val="24"/>
        </w:rPr>
        <w:t xml:space="preserve">that the monitoring that is provided does not constitute monitoring of the significant environmental effects of the implementation of the preferred option and </w:t>
      </w:r>
      <w:r w:rsidR="00D66EFB">
        <w:rPr>
          <w:rFonts w:ascii="Times New Roman" w:hAnsi="Times New Roman"/>
          <w:sz w:val="24"/>
        </w:rPr>
        <w:t xml:space="preserve">that </w:t>
      </w:r>
      <w:r>
        <w:rPr>
          <w:rFonts w:ascii="Times New Roman" w:hAnsi="Times New Roman"/>
          <w:sz w:val="24"/>
        </w:rPr>
        <w:t>it provides no mechanism by which the monitoring will be overseen</w:t>
      </w:r>
      <w:r w:rsidR="00F41AFE">
        <w:rPr>
          <w:rFonts w:ascii="Times New Roman" w:hAnsi="Times New Roman"/>
          <w:sz w:val="24"/>
        </w:rPr>
        <w:t>,</w:t>
      </w:r>
      <w:r>
        <w:rPr>
          <w:rFonts w:ascii="Times New Roman" w:hAnsi="Times New Roman"/>
          <w:sz w:val="24"/>
        </w:rPr>
        <w:t xml:space="preserve"> or will be capable of </w:t>
      </w:r>
      <w:r>
        <w:rPr>
          <w:rFonts w:ascii="Times New Roman" w:hAnsi="Times New Roman"/>
          <w:sz w:val="24"/>
        </w:rPr>
        <w:lastRenderedPageBreak/>
        <w:t>identifying at an early sta</w:t>
      </w:r>
      <w:r w:rsidR="00F41AFE">
        <w:rPr>
          <w:rFonts w:ascii="Times New Roman" w:hAnsi="Times New Roman"/>
          <w:sz w:val="24"/>
        </w:rPr>
        <w:t>g</w:t>
      </w:r>
      <w:r>
        <w:rPr>
          <w:rFonts w:ascii="Times New Roman" w:hAnsi="Times New Roman"/>
          <w:sz w:val="24"/>
        </w:rPr>
        <w:t>e unforeseen adverse effects</w:t>
      </w:r>
      <w:r w:rsidR="00F41AFE">
        <w:rPr>
          <w:rFonts w:ascii="Times New Roman" w:hAnsi="Times New Roman"/>
          <w:sz w:val="24"/>
        </w:rPr>
        <w:t>,</w:t>
      </w:r>
      <w:r>
        <w:rPr>
          <w:rFonts w:ascii="Times New Roman" w:hAnsi="Times New Roman"/>
          <w:sz w:val="24"/>
        </w:rPr>
        <w:t xml:space="preserve"> or any mechanism by which appropriate remedial action can or will be taken.  </w:t>
      </w:r>
    </w:p>
    <w:p w14:paraId="75F45083" w14:textId="77E1923A" w:rsidR="00771DD4" w:rsidRPr="00771DD4" w:rsidRDefault="007E5530"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Fifthly</w:t>
      </w:r>
      <w:r w:rsidR="00771DD4">
        <w:rPr>
          <w:rFonts w:ascii="Times New Roman" w:hAnsi="Times New Roman"/>
          <w:sz w:val="24"/>
        </w:rPr>
        <w:t>, the applicant says that the SEA process does not consider the likely significant effects on the environment of the NPF and the NDP together</w:t>
      </w:r>
      <w:r w:rsidR="00D91A9D">
        <w:rPr>
          <w:rFonts w:ascii="Times New Roman" w:hAnsi="Times New Roman"/>
          <w:sz w:val="24"/>
        </w:rPr>
        <w:t>,</w:t>
      </w:r>
      <w:r w:rsidR="00771DD4">
        <w:rPr>
          <w:rFonts w:ascii="Times New Roman" w:hAnsi="Times New Roman"/>
          <w:sz w:val="24"/>
        </w:rPr>
        <w:t xml:space="preserve"> despite the fact that they were launched together and are closely interlinked and interdependent and therefore constitute a single plan for the purposes of the SEA Directive.  The for</w:t>
      </w:r>
      <w:r w:rsidR="00824BE6">
        <w:rPr>
          <w:rFonts w:ascii="Times New Roman" w:hAnsi="Times New Roman"/>
          <w:sz w:val="24"/>
        </w:rPr>
        <w:t>e</w:t>
      </w:r>
      <w:r w:rsidR="00771DD4">
        <w:rPr>
          <w:rFonts w:ascii="Times New Roman" w:hAnsi="Times New Roman"/>
          <w:sz w:val="24"/>
        </w:rPr>
        <w:t>w</w:t>
      </w:r>
      <w:r w:rsidR="00824BE6">
        <w:rPr>
          <w:rFonts w:ascii="Times New Roman" w:hAnsi="Times New Roman"/>
          <w:sz w:val="24"/>
        </w:rPr>
        <w:t>o</w:t>
      </w:r>
      <w:r w:rsidR="00771DD4">
        <w:rPr>
          <w:rFonts w:ascii="Times New Roman" w:hAnsi="Times New Roman"/>
          <w:sz w:val="24"/>
        </w:rPr>
        <w:t xml:space="preserve">rd to the </w:t>
      </w:r>
      <w:r w:rsidR="006674DE">
        <w:rPr>
          <w:rFonts w:ascii="Times New Roman" w:hAnsi="Times New Roman"/>
          <w:sz w:val="24"/>
        </w:rPr>
        <w:t>N</w:t>
      </w:r>
      <w:r w:rsidR="008F710A">
        <w:rPr>
          <w:rFonts w:ascii="Times New Roman" w:hAnsi="Times New Roman"/>
          <w:sz w:val="24"/>
        </w:rPr>
        <w:t>P</w:t>
      </w:r>
      <w:r w:rsidR="006674DE">
        <w:rPr>
          <w:rFonts w:ascii="Times New Roman" w:hAnsi="Times New Roman"/>
          <w:sz w:val="24"/>
        </w:rPr>
        <w:t xml:space="preserve">F </w:t>
      </w:r>
      <w:r w:rsidR="00771DD4">
        <w:rPr>
          <w:rFonts w:ascii="Times New Roman" w:hAnsi="Times New Roman"/>
          <w:sz w:val="24"/>
        </w:rPr>
        <w:t>describes Project Ireland 2040 as comprising two co</w:t>
      </w:r>
      <w:r w:rsidR="00FC4E0B">
        <w:rPr>
          <w:rFonts w:ascii="Times New Roman" w:hAnsi="Times New Roman"/>
          <w:sz w:val="24"/>
        </w:rPr>
        <w:t>mpanion documents</w:t>
      </w:r>
      <w:r w:rsidR="00771DD4">
        <w:rPr>
          <w:rFonts w:ascii="Times New Roman" w:hAnsi="Times New Roman"/>
          <w:sz w:val="24"/>
        </w:rPr>
        <w:t xml:space="preserve"> (the </w:t>
      </w:r>
      <w:r w:rsidR="00D91A9D">
        <w:rPr>
          <w:rFonts w:ascii="Times New Roman" w:hAnsi="Times New Roman"/>
          <w:sz w:val="24"/>
        </w:rPr>
        <w:t>NPF</w:t>
      </w:r>
      <w:r w:rsidR="00771DD4">
        <w:rPr>
          <w:rFonts w:ascii="Times New Roman" w:hAnsi="Times New Roman"/>
          <w:sz w:val="24"/>
        </w:rPr>
        <w:t xml:space="preserve"> and the </w:t>
      </w:r>
      <w:r w:rsidR="00D91A9D">
        <w:rPr>
          <w:rFonts w:ascii="Times New Roman" w:hAnsi="Times New Roman"/>
          <w:sz w:val="24"/>
        </w:rPr>
        <w:t>NDP</w:t>
      </w:r>
      <w:r w:rsidR="00771DD4">
        <w:rPr>
          <w:rFonts w:ascii="Times New Roman" w:hAnsi="Times New Roman"/>
          <w:sz w:val="24"/>
        </w:rPr>
        <w:t xml:space="preserve">) as </w:t>
      </w:r>
      <w:r w:rsidR="00771DD4">
        <w:rPr>
          <w:rFonts w:ascii="Times New Roman" w:hAnsi="Times New Roman"/>
          <w:i/>
          <w:sz w:val="24"/>
        </w:rPr>
        <w:t>“one vision for one country”</w:t>
      </w:r>
      <w:r w:rsidR="00771DD4">
        <w:rPr>
          <w:rFonts w:ascii="Times New Roman" w:hAnsi="Times New Roman"/>
          <w:sz w:val="24"/>
        </w:rPr>
        <w:t xml:space="preserve">.  The applicant says that in failing to undertake an environmental assessment for both constituent elements of the plan, the objective of the SEA Directive has not been achieved and has been deliberately circumvented.  </w:t>
      </w:r>
    </w:p>
    <w:p w14:paraId="38C1B04B" w14:textId="23B3B9C7" w:rsidR="007E5530" w:rsidRPr="007E5530" w:rsidRDefault="007E5530"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Sixthly, the applicant says that even if the </w:t>
      </w:r>
      <w:r w:rsidR="006674DE">
        <w:rPr>
          <w:rFonts w:ascii="Times New Roman" w:hAnsi="Times New Roman"/>
          <w:sz w:val="24"/>
        </w:rPr>
        <w:t xml:space="preserve">NPF </w:t>
      </w:r>
      <w:r>
        <w:rPr>
          <w:rFonts w:ascii="Times New Roman" w:hAnsi="Times New Roman"/>
          <w:sz w:val="24"/>
        </w:rPr>
        <w:t>and the N</w:t>
      </w:r>
      <w:r w:rsidR="006674DE">
        <w:rPr>
          <w:rFonts w:ascii="Times New Roman" w:hAnsi="Times New Roman"/>
          <w:sz w:val="24"/>
        </w:rPr>
        <w:t xml:space="preserve">DP </w:t>
      </w:r>
      <w:r>
        <w:rPr>
          <w:rFonts w:ascii="Times New Roman" w:hAnsi="Times New Roman"/>
          <w:sz w:val="24"/>
        </w:rPr>
        <w:t xml:space="preserve">are not a single plan for the purposes of the SEA Directive, the respondents were still under an obligation to consider the cumulative environmental effects of the two plans pursuant to Annex </w:t>
      </w:r>
      <w:r w:rsidR="00DA01FB">
        <w:rPr>
          <w:rFonts w:ascii="Times New Roman" w:hAnsi="Times New Roman"/>
          <w:sz w:val="24"/>
        </w:rPr>
        <w:t>I</w:t>
      </w:r>
      <w:r>
        <w:rPr>
          <w:rFonts w:ascii="Times New Roman" w:hAnsi="Times New Roman"/>
          <w:sz w:val="24"/>
        </w:rPr>
        <w:t xml:space="preserve"> of the SEA Directive and this has not occurred.  </w:t>
      </w:r>
    </w:p>
    <w:p w14:paraId="79950D14" w14:textId="08F1DEE5" w:rsidR="007E5530" w:rsidRPr="007E5530" w:rsidRDefault="007E5530"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Separately, the applicant also challenges the adoption of the </w:t>
      </w:r>
      <w:r w:rsidR="006674DE">
        <w:rPr>
          <w:rFonts w:ascii="Times New Roman" w:hAnsi="Times New Roman"/>
          <w:sz w:val="24"/>
        </w:rPr>
        <w:t>NDP</w:t>
      </w:r>
      <w:r>
        <w:rPr>
          <w:rFonts w:ascii="Times New Roman" w:hAnsi="Times New Roman"/>
          <w:sz w:val="24"/>
        </w:rPr>
        <w:t>.  It says that it is a plan or program</w:t>
      </w:r>
      <w:r w:rsidR="006674DE">
        <w:rPr>
          <w:rFonts w:ascii="Times New Roman" w:hAnsi="Times New Roman"/>
          <w:sz w:val="24"/>
        </w:rPr>
        <w:t xml:space="preserve">me </w:t>
      </w:r>
      <w:r>
        <w:rPr>
          <w:rFonts w:ascii="Times New Roman" w:hAnsi="Times New Roman"/>
          <w:sz w:val="24"/>
        </w:rPr>
        <w:t xml:space="preserve">for the purposes of the SEA Directive and should have been subject to assessment pursuant to the SEA Directive or, in the alternative, should have been subject to screening for the purposes of the SEA Directive.  No such assessment or screening assessment was conducted in relation to the </w:t>
      </w:r>
      <w:r w:rsidR="006674DE">
        <w:rPr>
          <w:rFonts w:ascii="Times New Roman" w:hAnsi="Times New Roman"/>
          <w:sz w:val="24"/>
        </w:rPr>
        <w:t xml:space="preserve">NDP.  </w:t>
      </w:r>
      <w:r>
        <w:rPr>
          <w:rFonts w:ascii="Times New Roman" w:hAnsi="Times New Roman"/>
          <w:sz w:val="24"/>
        </w:rPr>
        <w:t xml:space="preserve">The applicant says that </w:t>
      </w:r>
      <w:r w:rsidR="00D66EFB">
        <w:rPr>
          <w:rFonts w:ascii="Times New Roman" w:hAnsi="Times New Roman"/>
          <w:sz w:val="24"/>
        </w:rPr>
        <w:t xml:space="preserve">the NDP </w:t>
      </w:r>
      <w:r>
        <w:rPr>
          <w:rFonts w:ascii="Times New Roman" w:hAnsi="Times New Roman"/>
          <w:sz w:val="24"/>
        </w:rPr>
        <w:t>is not exempt from assessment under the SEA Directive pursuant to Article 3(</w:t>
      </w:r>
      <w:r w:rsidR="002B11E5">
        <w:rPr>
          <w:rFonts w:ascii="Times New Roman" w:hAnsi="Times New Roman"/>
          <w:sz w:val="24"/>
        </w:rPr>
        <w:t>8</w:t>
      </w:r>
      <w:r>
        <w:rPr>
          <w:rFonts w:ascii="Times New Roman" w:hAnsi="Times New Roman"/>
          <w:sz w:val="24"/>
        </w:rPr>
        <w:t xml:space="preserve">) because, while it does contain budgetary elements, the applicant says it is not a financial </w:t>
      </w:r>
      <w:r w:rsidR="005C3F51">
        <w:rPr>
          <w:rFonts w:ascii="Times New Roman" w:hAnsi="Times New Roman"/>
          <w:sz w:val="24"/>
        </w:rPr>
        <w:t xml:space="preserve">or </w:t>
      </w:r>
      <w:r>
        <w:rPr>
          <w:rFonts w:ascii="Times New Roman" w:hAnsi="Times New Roman"/>
          <w:sz w:val="24"/>
        </w:rPr>
        <w:t xml:space="preserve">budget plan or programme within the meaning of the </w:t>
      </w:r>
      <w:r w:rsidR="0022665B">
        <w:rPr>
          <w:rFonts w:ascii="Times New Roman" w:hAnsi="Times New Roman"/>
          <w:sz w:val="24"/>
        </w:rPr>
        <w:t>a</w:t>
      </w:r>
      <w:r>
        <w:rPr>
          <w:rFonts w:ascii="Times New Roman" w:hAnsi="Times New Roman"/>
          <w:sz w:val="24"/>
        </w:rPr>
        <w:t xml:space="preserve">rticle.  The applicant says that the respondents were obliged to subject the </w:t>
      </w:r>
      <w:r w:rsidR="006674DE">
        <w:rPr>
          <w:rFonts w:ascii="Times New Roman" w:hAnsi="Times New Roman"/>
          <w:sz w:val="24"/>
        </w:rPr>
        <w:t>NDP</w:t>
      </w:r>
      <w:r>
        <w:rPr>
          <w:rFonts w:ascii="Times New Roman" w:hAnsi="Times New Roman"/>
          <w:sz w:val="24"/>
        </w:rPr>
        <w:t xml:space="preserve"> to screening for the purposes of the SEA Directive</w:t>
      </w:r>
      <w:r w:rsidR="0022665B">
        <w:rPr>
          <w:rFonts w:ascii="Times New Roman" w:hAnsi="Times New Roman"/>
          <w:sz w:val="24"/>
        </w:rPr>
        <w:t>,</w:t>
      </w:r>
      <w:r>
        <w:rPr>
          <w:rFonts w:ascii="Times New Roman" w:hAnsi="Times New Roman"/>
          <w:sz w:val="24"/>
        </w:rPr>
        <w:t xml:space="preserve"> pursuant to Articles 3(4) and (5)</w:t>
      </w:r>
      <w:r w:rsidR="0022665B">
        <w:rPr>
          <w:rFonts w:ascii="Times New Roman" w:hAnsi="Times New Roman"/>
          <w:sz w:val="24"/>
        </w:rPr>
        <w:t>,</w:t>
      </w:r>
      <w:r w:rsidR="006674DE">
        <w:rPr>
          <w:rFonts w:ascii="Times New Roman" w:hAnsi="Times New Roman"/>
          <w:sz w:val="24"/>
        </w:rPr>
        <w:t xml:space="preserve"> but failed to do so</w:t>
      </w:r>
      <w:r>
        <w:rPr>
          <w:rFonts w:ascii="Times New Roman" w:hAnsi="Times New Roman"/>
          <w:sz w:val="24"/>
        </w:rPr>
        <w:t>.</w:t>
      </w:r>
      <w:r w:rsidR="006674DE">
        <w:rPr>
          <w:rFonts w:ascii="Times New Roman" w:hAnsi="Times New Roman"/>
          <w:sz w:val="24"/>
        </w:rPr>
        <w:t xml:space="preserve">  Therefore, the NDP also ought to be quashed.</w:t>
      </w:r>
      <w:r>
        <w:rPr>
          <w:rFonts w:ascii="Times New Roman" w:hAnsi="Times New Roman"/>
          <w:sz w:val="24"/>
        </w:rPr>
        <w:t xml:space="preserve">  </w:t>
      </w:r>
    </w:p>
    <w:p w14:paraId="66239E51" w14:textId="0178FBCE" w:rsidR="00771DD4" w:rsidRPr="00771DD4" w:rsidRDefault="007E5530" w:rsidP="007E5530">
      <w:pPr>
        <w:pStyle w:val="ListParagraph"/>
        <w:tabs>
          <w:tab w:val="left" w:pos="567"/>
        </w:tabs>
        <w:spacing w:line="480" w:lineRule="auto"/>
        <w:ind w:left="0"/>
        <w:jc w:val="left"/>
        <w:rPr>
          <w:rFonts w:ascii="Times New Roman" w:hAnsi="Times New Roman"/>
          <w:b/>
          <w:sz w:val="24"/>
          <w:u w:val="single"/>
        </w:rPr>
      </w:pPr>
      <w:r>
        <w:rPr>
          <w:rFonts w:ascii="Times New Roman" w:hAnsi="Times New Roman"/>
          <w:b/>
          <w:sz w:val="24"/>
          <w:u w:val="single"/>
        </w:rPr>
        <w:lastRenderedPageBreak/>
        <w:t>The trial judge’s overview of the NPF and the NDP</w:t>
      </w:r>
      <w:r>
        <w:rPr>
          <w:rFonts w:ascii="Times New Roman" w:hAnsi="Times New Roman"/>
          <w:sz w:val="24"/>
        </w:rPr>
        <w:t xml:space="preserve"> </w:t>
      </w:r>
    </w:p>
    <w:p w14:paraId="7F7D728C" w14:textId="77777777" w:rsidR="00CF6846" w:rsidRPr="002B11E5" w:rsidRDefault="002B11E5" w:rsidP="003763A0">
      <w:pPr>
        <w:pStyle w:val="ListParagraph"/>
        <w:numPr>
          <w:ilvl w:val="0"/>
          <w:numId w:val="1"/>
        </w:numPr>
        <w:tabs>
          <w:tab w:val="left" w:pos="567"/>
        </w:tabs>
        <w:spacing w:line="480" w:lineRule="auto"/>
        <w:ind w:left="0" w:firstLine="0"/>
        <w:jc w:val="left"/>
        <w:rPr>
          <w:rFonts w:ascii="Times New Roman" w:hAnsi="Times New Roman"/>
          <w:sz w:val="24"/>
        </w:rPr>
      </w:pPr>
      <w:r w:rsidRPr="002B11E5">
        <w:rPr>
          <w:rFonts w:ascii="Times New Roman" w:hAnsi="Times New Roman"/>
          <w:sz w:val="24"/>
        </w:rPr>
        <w:t xml:space="preserve">The trial judge </w:t>
      </w:r>
      <w:r>
        <w:rPr>
          <w:rFonts w:ascii="Times New Roman" w:hAnsi="Times New Roman"/>
          <w:sz w:val="24"/>
        </w:rPr>
        <w:t>described the NPF and the NDP as follows:-</w:t>
      </w:r>
    </w:p>
    <w:p w14:paraId="4569131C" w14:textId="4838C33F" w:rsidR="00CF6846" w:rsidRPr="00CF6846" w:rsidRDefault="003E34D6" w:rsidP="002E14B6">
      <w:pPr>
        <w:tabs>
          <w:tab w:val="left" w:pos="567"/>
        </w:tabs>
        <w:spacing w:line="480" w:lineRule="auto"/>
        <w:ind w:left="567"/>
        <w:rPr>
          <w:bCs/>
          <w:i/>
          <w:iCs/>
        </w:rPr>
      </w:pPr>
      <w:r>
        <w:rPr>
          <w:bCs/>
          <w:i/>
          <w:iCs/>
        </w:rPr>
        <w:t>“</w:t>
      </w:r>
      <w:r w:rsidR="00CF6846" w:rsidRPr="00CF6846">
        <w:rPr>
          <w:bCs/>
          <w:i/>
          <w:iCs/>
        </w:rPr>
        <w:t xml:space="preserve">5. </w:t>
      </w:r>
      <w:r w:rsidR="00711B93">
        <w:rPr>
          <w:bCs/>
          <w:i/>
          <w:iCs/>
        </w:rPr>
        <w:tab/>
      </w:r>
      <w:r w:rsidR="00CF6846" w:rsidRPr="00CF6846">
        <w:rPr>
          <w:bCs/>
          <w:i/>
          <w:iCs/>
        </w:rPr>
        <w:t>The NPF is a high level policy document. It is a macro spatial strategy which maps out general development goals for the country for the period up to 2040. It was brought about due to a number of stark projections that were provided as a result of research conducted by the Economic and Social Research Institute in its paper “Prospects for Irish Regions and Counties: Scenarios and Implications”, published in December 2017. The ESRI predicts that the population of Ireland will increase by approximately one million people, or by 20% over 2016 levels, to almost 5.7 million people by 2040. They estimate that the population aged over 65 will more than double to 1.3 million, or to 23% of the total, whilst those aged under 15 will decrease by around 10%, with numbers remaining at just below one million in 2040. The population growth will give rise to a need for at least an additional half a million new homes by 2040. The ESRI also projected the need for an additional 660,000 jobs to 2040. They stated that in line with international trends, the ongoing shift to a knowledge economy and the growing role of services will continue to change the nature of work, sustaining demand for a more highly skilled and educated workforce. New ways of working, new trade partners and new relationships between producers and consumers will continue to transform the business landscape.</w:t>
      </w:r>
    </w:p>
    <w:p w14:paraId="37DB2845" w14:textId="44A730C9" w:rsidR="00CF6846" w:rsidRPr="00CF6846" w:rsidRDefault="00CF6846" w:rsidP="00711B93">
      <w:pPr>
        <w:tabs>
          <w:tab w:val="left" w:pos="567"/>
        </w:tabs>
        <w:spacing w:line="480" w:lineRule="auto"/>
        <w:ind w:left="567"/>
        <w:rPr>
          <w:bCs/>
          <w:i/>
          <w:iCs/>
        </w:rPr>
      </w:pPr>
      <w:r w:rsidRPr="00CF6846">
        <w:rPr>
          <w:bCs/>
          <w:i/>
          <w:iCs/>
        </w:rPr>
        <w:t xml:space="preserve">6. </w:t>
      </w:r>
      <w:r w:rsidR="00711B93">
        <w:rPr>
          <w:bCs/>
          <w:i/>
          <w:iCs/>
        </w:rPr>
        <w:tab/>
      </w:r>
      <w:r w:rsidRPr="00CF6846">
        <w:rPr>
          <w:bCs/>
          <w:i/>
          <w:iCs/>
        </w:rPr>
        <w:t xml:space="preserve">To cater for the future growth and development of both the population and the economy, a set of ten National Strategic Outcomes were identified, as follows: Compact Growth – which provides that urban development will wherever possible be on infill and brownfield sites within the envelope of existing built-up areas; Enhanced Regional Accessibility – which provides that due to the more compact approach to urban development requirements there is a need for enhanced </w:t>
      </w:r>
      <w:r w:rsidRPr="00CF6846">
        <w:rPr>
          <w:bCs/>
          <w:i/>
          <w:iCs/>
        </w:rPr>
        <w:lastRenderedPageBreak/>
        <w:t xml:space="preserve">connectivity between centres of population of scale; Strengthened Rural Economies and Communities – through the 2017 Action Plan for Rural Development, there is provision for resource schemes and policies to drive the development and diversification of the rural economy, such as the national broadband scheme; High Quality International Connectivity – as an island, provision is made for enhanced connectivity between this country and our nearest neighbour the UK and our other trading partners in the EU and further afield; Sustainable Mobility – this provides for a well-functioning integrated public transport system, thereby enhancing competitiveness, sustaining economic progress and enabling sustainable mobility choices for citizens; A Strong Economy supported by enterprise, innovation and skills – a competitive, innovative and resilient regional enterprise base is seen as essential to providing jobs and employment opportunities for people to live and prosper in the country; Enhanced Amenities and Heritage – attractive places include a combination of factors, including vitality and diversity of uses, ease of access to amenities and services supported by integrated transport systems and green modes of movement such as pedestrian and cycling facilities; Transition to Sustainable Energy – this provides that new energy systems and transmission grids will be necessary for a more distributed, more renewables focussed energy generation system, harnessing both the considerable on-shore and off-shore potential from energy sources such as wind, wave and solar and connecting the richest sources of that energy; Sustainable Management of Water, Waste and other environmental resources – investment in water infrastructure is seen as critical to the implementation of the NDP. The NPF provides that the current water services strategic plan by Irish Water will be updated in the light of the policies in the NPF addressing the requirements of future development, while also addressing environmental requirements such as obligations </w:t>
      </w:r>
      <w:r w:rsidRPr="00CF6846">
        <w:rPr>
          <w:bCs/>
          <w:i/>
          <w:iCs/>
        </w:rPr>
        <w:lastRenderedPageBreak/>
        <w:t>under the EU Water Framework Directive mandated River Basin Management Plan; Access to Quality Child Care, Education and Health Services – the framework provides that child care, education and health systems will need to plan ahead in order to meet the implications of an additional one million people by 2040.</w:t>
      </w:r>
    </w:p>
    <w:p w14:paraId="63DAA801" w14:textId="5D07743F" w:rsidR="00CF6846" w:rsidRPr="00CF6846" w:rsidRDefault="00CF6846" w:rsidP="00711B93">
      <w:pPr>
        <w:tabs>
          <w:tab w:val="left" w:pos="567"/>
        </w:tabs>
        <w:spacing w:line="480" w:lineRule="auto"/>
        <w:ind w:left="567"/>
        <w:rPr>
          <w:bCs/>
          <w:i/>
          <w:iCs/>
        </w:rPr>
      </w:pPr>
      <w:r w:rsidRPr="00CF6846">
        <w:rPr>
          <w:bCs/>
          <w:i/>
          <w:iCs/>
        </w:rPr>
        <w:t>7.</w:t>
      </w:r>
      <w:r w:rsidR="00711B93">
        <w:rPr>
          <w:bCs/>
          <w:i/>
          <w:iCs/>
        </w:rPr>
        <w:tab/>
      </w:r>
      <w:r w:rsidRPr="00CF6846">
        <w:rPr>
          <w:bCs/>
          <w:i/>
          <w:iCs/>
        </w:rPr>
        <w:t xml:space="preserve"> Ultimately, the respondents chose an option known as Option 2 – Regional Effectiveness and Settlement Diversity, as the option which would best suit the needs of the country in attaining the National Strategic Outcomes, while at the same time taking account of the projected growth in population. For planning purposes, the country is divided into three regional assemblies; being the East and Midlands Regional Assembly, made up of Dublin and surrounding counties, the Southern Regional Assembly made up of the southern counties in the country and the North Western Regional Assembly made up of the counties along the western seaboard and the on the northwest coast. The chosen option provided for the following: (i) the level of growth in the NWRA and the SRA combined would be equal to that of the EMRA; (ii) focus the highest quantum of growth and rates of growth in five cities and a number of regionally important large towns through a tailored approach to settlement growth targets; (iii) deliver at least 40% of all new homes nationally on infill or brownfield sites within the built-up envelope of existing urban settlements; and (iv) provide some critical infrastructure in advance of planned growth to kick start development and provide other infrastructure sequentially on a phased basis in tandem. Under this plan the level of growth in the areas outside the Dublin and eastern area would be the same as in the EMRA. The main growth would be in the five cities of Dublin, Cork, Waterford, Galway and Limerick, but there is also provision for targeted development of other urban sites in areas not serviced by the cities, such as Athlone in the midlands and Sligo in the northwest. There is also </w:t>
      </w:r>
      <w:r w:rsidRPr="00CF6846">
        <w:rPr>
          <w:bCs/>
          <w:i/>
          <w:iCs/>
        </w:rPr>
        <w:lastRenderedPageBreak/>
        <w:t>specific provision for growth and development of the two corridors between Drogheda, Dundalk and Newry and between Letterkenny and Derry.</w:t>
      </w:r>
    </w:p>
    <w:p w14:paraId="09C88176" w14:textId="02037DF1" w:rsidR="00CF6846" w:rsidRPr="00CF6846" w:rsidRDefault="00CF6846" w:rsidP="00711B93">
      <w:pPr>
        <w:tabs>
          <w:tab w:val="left" w:pos="567"/>
        </w:tabs>
        <w:spacing w:line="480" w:lineRule="auto"/>
        <w:ind w:left="567"/>
        <w:rPr>
          <w:bCs/>
          <w:i/>
          <w:iCs/>
        </w:rPr>
      </w:pPr>
      <w:r w:rsidRPr="00CF6846">
        <w:rPr>
          <w:bCs/>
          <w:i/>
          <w:iCs/>
        </w:rPr>
        <w:t>8.</w:t>
      </w:r>
      <w:r w:rsidR="00711B93">
        <w:rPr>
          <w:bCs/>
          <w:i/>
          <w:iCs/>
        </w:rPr>
        <w:tab/>
      </w:r>
      <w:r w:rsidRPr="00CF6846">
        <w:rPr>
          <w:bCs/>
          <w:i/>
          <w:iCs/>
        </w:rPr>
        <w:t xml:space="preserve"> The NPF also contains a number of National Policy Objectives, which are designed to guide the regional assemblies when drawing up the Regional Spatial and Economic Strategies and the local authorities when drawing up the relevant City and County Development Plans. These are general objectives which have to be adhered to by the lower tier planning authorities when drawing up their plans. For example, NPO3a states “Deliver at least 40% of all new homes nationally, within the built-up footprint of existing settlements”. NPO3b provides that at least 50% of all new homes that are targeted in the five cities should be within their existing built-up footprints. NPO3c provides that 30% of all new homes that are targeted in settlements other than the five cities and their suburbs, should be provided within existing built-up footprints. NPO6 provides “Regenerate and rejuvenate cities, towns and villages of all types and scale as environmental assets, that can accommodate changing roles and functions, increased residential population and employment activity and enhanced levels of amenity and design quality, in order to sustainably influence and support their surrounding areas”. To that end, the NPF provides that a new body, the National Regeneration and Development Agency, will be established with a government mandate to work with local authorities, relevant departments and agencies and the OPW in identifying an initial tranche of </w:t>
      </w:r>
      <w:proofErr w:type="spellStart"/>
      <w:r w:rsidRPr="00CF6846">
        <w:rPr>
          <w:bCs/>
          <w:i/>
          <w:iCs/>
        </w:rPr>
        <w:t>publically</w:t>
      </w:r>
      <w:proofErr w:type="spellEnd"/>
      <w:r w:rsidRPr="00CF6846">
        <w:rPr>
          <w:bCs/>
          <w:i/>
          <w:iCs/>
        </w:rPr>
        <w:t xml:space="preserve"> owned or controlled lands in key locations and with both a city and wider regional and rural focus, with potential for master planning and repurposing for strategic development purposes aligned to the NPF. This is provided for in NPO12.</w:t>
      </w:r>
    </w:p>
    <w:p w14:paraId="6C1B4F13" w14:textId="3CA22DA7" w:rsidR="00CF6846" w:rsidRDefault="00CF6846" w:rsidP="00CF6846">
      <w:pPr>
        <w:tabs>
          <w:tab w:val="left" w:pos="567"/>
        </w:tabs>
        <w:spacing w:line="480" w:lineRule="auto"/>
        <w:ind w:left="567"/>
        <w:rPr>
          <w:bCs/>
          <w:i/>
          <w:iCs/>
        </w:rPr>
      </w:pPr>
      <w:r w:rsidRPr="00CF6846">
        <w:rPr>
          <w:bCs/>
          <w:i/>
          <w:iCs/>
        </w:rPr>
        <w:t xml:space="preserve">9. </w:t>
      </w:r>
      <w:r w:rsidR="00711B93">
        <w:rPr>
          <w:bCs/>
          <w:i/>
          <w:iCs/>
        </w:rPr>
        <w:tab/>
      </w:r>
      <w:r w:rsidRPr="00CF6846">
        <w:rPr>
          <w:bCs/>
          <w:i/>
          <w:iCs/>
        </w:rPr>
        <w:t xml:space="preserve">There are also a number of National Policy Objectives dealing with realising a sustainable future for development in the country. NPO52 provides “The planning </w:t>
      </w:r>
      <w:r w:rsidRPr="00CF6846">
        <w:rPr>
          <w:bCs/>
          <w:i/>
          <w:iCs/>
        </w:rPr>
        <w:lastRenderedPageBreak/>
        <w:t>system will be responsive to our national environmental challenges and ensure that development occurs within environmental limits, having regard to the requirements of all relevant environmental legislation and the sustainable management of our natural capital”. NPO55 provides “Promote renewal energy use and regeneration at appropriate locations within the built and natural environment to meet national objectives towards achieving a low carbon economy by 2050”. NPO59 contains provisions in relation to enhancing the conservation status and improving the management of protected areas and protected species. Finally, NPO75 provides for the assessment of environmental impact of development by ensuring that all plans, projects and activities requiring consent arising from the NPF are subject to the relevant environmental assessment requirements including SEA, EIA and AA as appropriate.</w:t>
      </w:r>
    </w:p>
    <w:p w14:paraId="6EB5897B" w14:textId="77777777" w:rsidR="00CF6846" w:rsidRDefault="00806266" w:rsidP="00CF6846">
      <w:pPr>
        <w:tabs>
          <w:tab w:val="left" w:pos="567"/>
        </w:tabs>
        <w:spacing w:line="480" w:lineRule="auto"/>
        <w:ind w:left="567"/>
        <w:rPr>
          <w:bCs/>
          <w:i/>
          <w:iCs/>
        </w:rPr>
      </w:pPr>
      <w:r>
        <w:rPr>
          <w:bCs/>
          <w:i/>
          <w:iCs/>
        </w:rPr>
        <w:t>…</w:t>
      </w:r>
    </w:p>
    <w:p w14:paraId="465402FA" w14:textId="5B032CFD" w:rsidR="00CF6846" w:rsidRPr="00CF6846" w:rsidRDefault="00CF6846" w:rsidP="00711B93">
      <w:pPr>
        <w:tabs>
          <w:tab w:val="left" w:pos="567"/>
        </w:tabs>
        <w:spacing w:line="480" w:lineRule="auto"/>
        <w:ind w:left="567"/>
        <w:rPr>
          <w:bCs/>
          <w:i/>
          <w:iCs/>
        </w:rPr>
      </w:pPr>
      <w:r w:rsidRPr="00CF6846">
        <w:rPr>
          <w:bCs/>
          <w:i/>
          <w:iCs/>
        </w:rPr>
        <w:t>11.</w:t>
      </w:r>
      <w:r w:rsidR="00711B93">
        <w:rPr>
          <w:bCs/>
          <w:i/>
          <w:iCs/>
        </w:rPr>
        <w:tab/>
      </w:r>
      <w:r>
        <w:rPr>
          <w:bCs/>
          <w:i/>
          <w:iCs/>
        </w:rPr>
        <w:t xml:space="preserve"> </w:t>
      </w:r>
      <w:r w:rsidRPr="00CF6846">
        <w:rPr>
          <w:bCs/>
          <w:i/>
          <w:iCs/>
        </w:rPr>
        <w:t>The NDP sets out how funding will be made available for certain projects which are considered essential to achievement of the national strategic outcomes identified in the NPF. The NDP operates for a ten-year period from 2018 to 2027. It sets out the level of investment of almost €116bn which will underpin the NPF and drive its implementation over that period. To that end, it identifies a number of projects for which funding may be made available to help achieve each of the national strategic outcomes. These projects must come within the strategic investment priorities that are identified under each of the NSOs.</w:t>
      </w:r>
    </w:p>
    <w:p w14:paraId="2D1385B8" w14:textId="32B40E56" w:rsidR="00CF6846" w:rsidRPr="00CF6846" w:rsidRDefault="00CF6846" w:rsidP="00711B93">
      <w:pPr>
        <w:tabs>
          <w:tab w:val="left" w:pos="567"/>
        </w:tabs>
        <w:spacing w:line="480" w:lineRule="auto"/>
        <w:ind w:left="567"/>
        <w:rPr>
          <w:bCs/>
          <w:i/>
          <w:iCs/>
        </w:rPr>
      </w:pPr>
      <w:r w:rsidRPr="00CF6846">
        <w:rPr>
          <w:bCs/>
          <w:i/>
          <w:iCs/>
        </w:rPr>
        <w:t>12.</w:t>
      </w:r>
      <w:r>
        <w:rPr>
          <w:bCs/>
          <w:i/>
          <w:iCs/>
        </w:rPr>
        <w:t xml:space="preserve"> </w:t>
      </w:r>
      <w:r w:rsidR="00711B93">
        <w:rPr>
          <w:bCs/>
          <w:i/>
          <w:iCs/>
        </w:rPr>
        <w:tab/>
      </w:r>
      <w:r w:rsidRPr="00CF6846">
        <w:rPr>
          <w:bCs/>
          <w:i/>
          <w:iCs/>
        </w:rPr>
        <w:t xml:space="preserve">The plans provide that the NDP and the NPF are closely integrated one with the other. It is noted that the government was committed to the delivery of the NPF as a blueprint for spatial planning in Ireland to 2040. The document provides that in setting out a strategic framework for public capital investment, the NDP will support </w:t>
      </w:r>
      <w:r w:rsidRPr="00CF6846">
        <w:rPr>
          <w:bCs/>
          <w:i/>
          <w:iCs/>
        </w:rPr>
        <w:lastRenderedPageBreak/>
        <w:t>its delivery over the next ten years. The NDP provides that transitioning to a low-carbon and climate resilient society and achieving sustainable mobility are vital strategic outcomes identified in the NPF. It was with that rationale in mind that climate action has been identified as a strategic investment priority.</w:t>
      </w:r>
    </w:p>
    <w:p w14:paraId="2451A03E" w14:textId="4096CCCA" w:rsidR="00A44DD8" w:rsidRDefault="00CF6846" w:rsidP="002E14B6">
      <w:pPr>
        <w:tabs>
          <w:tab w:val="left" w:pos="567"/>
        </w:tabs>
        <w:spacing w:line="480" w:lineRule="auto"/>
        <w:ind w:left="567"/>
      </w:pPr>
      <w:r w:rsidRPr="00CF6846">
        <w:rPr>
          <w:bCs/>
          <w:i/>
          <w:iCs/>
        </w:rPr>
        <w:t>13.</w:t>
      </w:r>
      <w:r>
        <w:rPr>
          <w:bCs/>
          <w:i/>
          <w:iCs/>
        </w:rPr>
        <w:t xml:space="preserve"> </w:t>
      </w:r>
      <w:r w:rsidR="00711B93">
        <w:rPr>
          <w:bCs/>
          <w:i/>
          <w:iCs/>
        </w:rPr>
        <w:tab/>
      </w:r>
      <w:r w:rsidRPr="00CF6846">
        <w:rPr>
          <w:bCs/>
          <w:i/>
          <w:iCs/>
        </w:rPr>
        <w:t>In chapter 5 of the NDP it provides that the NSO's represent the overarching priorities which the NPF was designed to achieve. A background to and rationale for each of the NSO's is set out in the NPF. The fundamental mission and purpose of the NDP set out the new configuration for public capital investment over the next ten years to secure the realisation of each of the NSOs. It was stated that that would improve the way public capital investment was planned and coordinated in a modern and growing society, leading to improved public services and quality of life. The NDP goes on to show how each of the projects that are identified as possibly qualifying for public funding, have been so identified because they are seen to be integral to the achievement of the NSOs set out in the NPF.</w:t>
      </w:r>
      <w:r w:rsidR="003E34D6">
        <w:rPr>
          <w:bCs/>
          <w:i/>
          <w:iCs/>
        </w:rPr>
        <w:t>”</w:t>
      </w:r>
    </w:p>
    <w:p w14:paraId="4AFF5B6B" w14:textId="77777777" w:rsidR="00542FF7" w:rsidRDefault="00542FF7" w:rsidP="00542FF7">
      <w:pPr>
        <w:pStyle w:val="ListParagraph"/>
        <w:tabs>
          <w:tab w:val="left" w:pos="567"/>
        </w:tabs>
        <w:spacing w:line="276" w:lineRule="auto"/>
        <w:ind w:left="0"/>
        <w:jc w:val="left"/>
        <w:rPr>
          <w:rFonts w:ascii="Times New Roman" w:hAnsi="Times New Roman"/>
          <w:b/>
          <w:sz w:val="24"/>
          <w:u w:val="single"/>
        </w:rPr>
      </w:pPr>
    </w:p>
    <w:p w14:paraId="7E3538D8" w14:textId="06DF990E" w:rsidR="006674DE" w:rsidRPr="006674DE" w:rsidRDefault="006674DE" w:rsidP="006674DE">
      <w:pPr>
        <w:pStyle w:val="ListParagraph"/>
        <w:tabs>
          <w:tab w:val="left" w:pos="567"/>
        </w:tabs>
        <w:spacing w:line="480" w:lineRule="auto"/>
        <w:ind w:left="0"/>
        <w:jc w:val="left"/>
        <w:rPr>
          <w:rFonts w:ascii="Times New Roman" w:hAnsi="Times New Roman"/>
          <w:b/>
          <w:sz w:val="24"/>
          <w:u w:val="single"/>
        </w:rPr>
      </w:pPr>
      <w:r>
        <w:rPr>
          <w:rFonts w:ascii="Times New Roman" w:hAnsi="Times New Roman"/>
          <w:b/>
          <w:sz w:val="24"/>
          <w:u w:val="single"/>
        </w:rPr>
        <w:t>The decision of the High Court</w:t>
      </w:r>
      <w:r>
        <w:rPr>
          <w:rFonts w:ascii="Times New Roman" w:hAnsi="Times New Roman"/>
          <w:sz w:val="24"/>
        </w:rPr>
        <w:t xml:space="preserve"> </w:t>
      </w:r>
    </w:p>
    <w:p w14:paraId="5AD29F38" w14:textId="6EAE71E5" w:rsidR="007E5530" w:rsidRPr="008841B0" w:rsidRDefault="0092382A"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 </w:t>
      </w:r>
      <w:r w:rsidR="002B11E5">
        <w:rPr>
          <w:rFonts w:ascii="Times New Roman" w:hAnsi="Times New Roman"/>
          <w:sz w:val="24"/>
        </w:rPr>
        <w:t>Having described in outline the two plans</w:t>
      </w:r>
      <w:r w:rsidR="004E244B">
        <w:rPr>
          <w:rFonts w:ascii="Times New Roman" w:hAnsi="Times New Roman"/>
          <w:sz w:val="24"/>
        </w:rPr>
        <w:t>,</w:t>
      </w:r>
      <w:r w:rsidR="002B11E5">
        <w:rPr>
          <w:rFonts w:ascii="Times New Roman" w:hAnsi="Times New Roman"/>
          <w:sz w:val="24"/>
        </w:rPr>
        <w:t xml:space="preserve"> t</w:t>
      </w:r>
      <w:r w:rsidR="007E5530">
        <w:rPr>
          <w:rFonts w:ascii="Times New Roman" w:hAnsi="Times New Roman"/>
          <w:sz w:val="24"/>
        </w:rPr>
        <w:t xml:space="preserve">he trial judge first dealt with the allegation that the purported adoption of the NPF and the NDP by the </w:t>
      </w:r>
      <w:r w:rsidR="008971B4">
        <w:rPr>
          <w:rFonts w:ascii="Times New Roman" w:hAnsi="Times New Roman"/>
          <w:sz w:val="24"/>
        </w:rPr>
        <w:t>government</w:t>
      </w:r>
      <w:r w:rsidR="007E5530">
        <w:rPr>
          <w:rFonts w:ascii="Times New Roman" w:hAnsi="Times New Roman"/>
          <w:sz w:val="24"/>
        </w:rPr>
        <w:t xml:space="preserve"> on 16 February 2018 was void and was in breach of European law because no determination had been made by the </w:t>
      </w:r>
      <w:r w:rsidR="008971B4">
        <w:rPr>
          <w:rFonts w:ascii="Times New Roman" w:hAnsi="Times New Roman"/>
          <w:sz w:val="24"/>
        </w:rPr>
        <w:t>government</w:t>
      </w:r>
      <w:r w:rsidR="007E5530">
        <w:rPr>
          <w:rFonts w:ascii="Times New Roman" w:hAnsi="Times New Roman"/>
          <w:sz w:val="24"/>
        </w:rPr>
        <w:t xml:space="preserve"> as part of the AA, as required by Article 6(3) of the Habitats Directive.  It was also alleged that there had been a failure to comply with the obligations set out in Regulations 42(11) and (16) of the Habitats Regulations</w:t>
      </w:r>
      <w:r w:rsidR="008841B0">
        <w:rPr>
          <w:rFonts w:ascii="Times New Roman" w:hAnsi="Times New Roman"/>
          <w:sz w:val="24"/>
        </w:rPr>
        <w:t xml:space="preserve"> </w:t>
      </w:r>
      <w:r w:rsidR="006674DE">
        <w:rPr>
          <w:rFonts w:ascii="Times New Roman" w:hAnsi="Times New Roman"/>
          <w:sz w:val="24"/>
        </w:rPr>
        <w:t>which transposed the</w:t>
      </w:r>
      <w:r w:rsidR="008841B0">
        <w:rPr>
          <w:rFonts w:ascii="Times New Roman" w:hAnsi="Times New Roman"/>
          <w:sz w:val="24"/>
        </w:rPr>
        <w:t xml:space="preserve"> Habitats Directive into Irish law.  The trial judge carefully assessed the arguments of the applicant and the respondents and he set out his conclusions as follows:</w:t>
      </w:r>
      <w:r w:rsidR="003E34D6">
        <w:rPr>
          <w:rFonts w:ascii="Times New Roman" w:hAnsi="Times New Roman"/>
          <w:sz w:val="24"/>
        </w:rPr>
        <w:t>-</w:t>
      </w:r>
    </w:p>
    <w:p w14:paraId="0B418BE8" w14:textId="355461D7" w:rsidR="00542FF7" w:rsidRPr="00542FF7" w:rsidRDefault="003E34D6">
      <w:pPr>
        <w:pStyle w:val="ListParagraph"/>
        <w:spacing w:line="480" w:lineRule="auto"/>
        <w:ind w:left="567"/>
      </w:pPr>
      <w:r>
        <w:rPr>
          <w:rFonts w:ascii="Times New Roman" w:hAnsi="Times New Roman"/>
          <w:bCs/>
          <w:i/>
          <w:sz w:val="24"/>
        </w:rPr>
        <w:t>“</w:t>
      </w:r>
      <w:r w:rsidR="00806266" w:rsidRPr="00806266">
        <w:rPr>
          <w:rFonts w:ascii="Times New Roman" w:hAnsi="Times New Roman"/>
          <w:bCs/>
          <w:i/>
          <w:sz w:val="24"/>
        </w:rPr>
        <w:t xml:space="preserve">35. The criteria for a valid AA have been clearly set out in the Kelly and Connolly decisions. It is clear from these decisions that it is necessary for a determination to be </w:t>
      </w:r>
      <w:r w:rsidR="00806266" w:rsidRPr="00806266">
        <w:rPr>
          <w:rFonts w:ascii="Times New Roman" w:hAnsi="Times New Roman"/>
          <w:bCs/>
          <w:i/>
          <w:sz w:val="24"/>
        </w:rPr>
        <w:lastRenderedPageBreak/>
        <w:t>reached in order for there to be a valid AA as required under the Directive and the regulations.</w:t>
      </w:r>
    </w:p>
    <w:p w14:paraId="2F03F147" w14:textId="77777777" w:rsidR="00806266" w:rsidRPr="00806266" w:rsidRDefault="00806266" w:rsidP="00806266">
      <w:pPr>
        <w:pStyle w:val="ListParagraph"/>
        <w:spacing w:line="480" w:lineRule="auto"/>
        <w:ind w:left="567"/>
        <w:rPr>
          <w:rFonts w:ascii="Times New Roman" w:hAnsi="Times New Roman"/>
          <w:bCs/>
          <w:i/>
          <w:sz w:val="24"/>
        </w:rPr>
      </w:pPr>
      <w:r w:rsidRPr="00806266">
        <w:rPr>
          <w:rFonts w:ascii="Times New Roman" w:hAnsi="Times New Roman"/>
          <w:bCs/>
          <w:i/>
          <w:sz w:val="24"/>
        </w:rPr>
        <w:t>36. I am satisfied that in reality the necessary determination had been made by the Minister in advance of the Government meeting held on 16th February, 2018. Such position is clear from the content of the NIS carried out by RPS and more particularly by the content of the SEA statement in section 3.5 thereof. While the Irish regulations provide that such determination must be made in writing, due to the fact that it must be made available to the public, the regulations do not say when the determination must be reduced to writing. Regulation 42(18) (a) of the 2011 regulations makes it clear that the public authority must make available for inspection any determination that it makes in relation to a plan or project and provide reasons for that determination “as soon as may be after the making of the determination or giving the notice, as appropriate”. Thus, it is clearly envisaged that the determination and the reasons for making the determination can be reduced to writing after the date on which it is made.</w:t>
      </w:r>
      <w:r w:rsidR="003E34D6">
        <w:rPr>
          <w:rFonts w:ascii="Times New Roman" w:hAnsi="Times New Roman"/>
          <w:bCs/>
          <w:i/>
          <w:sz w:val="24"/>
        </w:rPr>
        <w:t>”</w:t>
      </w:r>
    </w:p>
    <w:p w14:paraId="454BF308" w14:textId="59CDCECA" w:rsidR="00D742F4" w:rsidRPr="008841B0" w:rsidRDefault="008841B0"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He held that it was </w:t>
      </w:r>
      <w:r>
        <w:rPr>
          <w:rFonts w:ascii="Times New Roman" w:hAnsi="Times New Roman"/>
          <w:i/>
          <w:sz w:val="24"/>
        </w:rPr>
        <w:t xml:space="preserve">“clear” </w:t>
      </w:r>
      <w:r>
        <w:rPr>
          <w:rFonts w:ascii="Times New Roman" w:hAnsi="Times New Roman"/>
          <w:sz w:val="24"/>
        </w:rPr>
        <w:t xml:space="preserve">that there was no written determination made by the Minister prior to the </w:t>
      </w:r>
      <w:r w:rsidR="00F111A6">
        <w:rPr>
          <w:rFonts w:ascii="Times New Roman" w:hAnsi="Times New Roman"/>
          <w:sz w:val="24"/>
        </w:rPr>
        <w:t>c</w:t>
      </w:r>
      <w:r w:rsidR="00396284">
        <w:rPr>
          <w:rFonts w:ascii="Times New Roman" w:hAnsi="Times New Roman"/>
          <w:sz w:val="24"/>
        </w:rPr>
        <w:t xml:space="preserve">abinet </w:t>
      </w:r>
      <w:r>
        <w:rPr>
          <w:rFonts w:ascii="Times New Roman" w:hAnsi="Times New Roman"/>
          <w:sz w:val="24"/>
        </w:rPr>
        <w:t>meeting held on 16 February 2018 and that the written determination was made on 14 May 2018.  In that decision</w:t>
      </w:r>
      <w:r w:rsidR="00F111A6">
        <w:rPr>
          <w:rFonts w:ascii="Times New Roman" w:hAnsi="Times New Roman"/>
          <w:sz w:val="24"/>
        </w:rPr>
        <w:t>,</w:t>
      </w:r>
      <w:r>
        <w:rPr>
          <w:rFonts w:ascii="Times New Roman" w:hAnsi="Times New Roman"/>
          <w:sz w:val="24"/>
        </w:rPr>
        <w:t xml:space="preserve"> </w:t>
      </w:r>
      <w:r w:rsidR="008748AF">
        <w:rPr>
          <w:rFonts w:ascii="Times New Roman" w:hAnsi="Times New Roman"/>
          <w:sz w:val="24"/>
        </w:rPr>
        <w:t xml:space="preserve">Barr J. held that </w:t>
      </w:r>
      <w:r>
        <w:rPr>
          <w:rFonts w:ascii="Times New Roman" w:hAnsi="Times New Roman"/>
          <w:sz w:val="24"/>
        </w:rPr>
        <w:t xml:space="preserve">the Minister </w:t>
      </w:r>
      <w:r w:rsidR="008748AF">
        <w:rPr>
          <w:rFonts w:ascii="Times New Roman" w:hAnsi="Times New Roman"/>
          <w:sz w:val="24"/>
        </w:rPr>
        <w:t xml:space="preserve">had </w:t>
      </w:r>
      <w:r>
        <w:rPr>
          <w:rFonts w:ascii="Times New Roman" w:hAnsi="Times New Roman"/>
          <w:sz w:val="24"/>
        </w:rPr>
        <w:t xml:space="preserve">reached the necessary determination that the plan would not adversely affect a European site and he set out clearly the documentation which contained the reasons for reaching that decision.  The trial judge was satisfied that it was appropriate for the Minister to be the person who made the determination under the </w:t>
      </w:r>
      <w:r w:rsidR="00602CAF">
        <w:rPr>
          <w:rFonts w:ascii="Times New Roman" w:hAnsi="Times New Roman"/>
          <w:sz w:val="24"/>
        </w:rPr>
        <w:t xml:space="preserve">Habitats </w:t>
      </w:r>
      <w:r>
        <w:rPr>
          <w:rFonts w:ascii="Times New Roman" w:hAnsi="Times New Roman"/>
          <w:sz w:val="24"/>
        </w:rPr>
        <w:t xml:space="preserve">Regulations.  He held </w:t>
      </w:r>
      <w:r w:rsidR="00824BE6">
        <w:rPr>
          <w:rFonts w:ascii="Times New Roman" w:hAnsi="Times New Roman"/>
          <w:sz w:val="24"/>
        </w:rPr>
        <w:t xml:space="preserve">that </w:t>
      </w:r>
      <w:r>
        <w:rPr>
          <w:rFonts w:ascii="Times New Roman" w:hAnsi="Times New Roman"/>
          <w:sz w:val="24"/>
        </w:rPr>
        <w:t xml:space="preserve">this accorded with the provisions of Regulation 42 which required that the </w:t>
      </w:r>
      <w:r w:rsidR="00F111A6">
        <w:rPr>
          <w:rFonts w:ascii="Times New Roman" w:hAnsi="Times New Roman"/>
          <w:sz w:val="24"/>
        </w:rPr>
        <w:t xml:space="preserve">AA </w:t>
      </w:r>
      <w:r>
        <w:rPr>
          <w:rFonts w:ascii="Times New Roman" w:hAnsi="Times New Roman"/>
          <w:sz w:val="24"/>
        </w:rPr>
        <w:t xml:space="preserve">was to be carried out by the relevant </w:t>
      </w:r>
      <w:r>
        <w:rPr>
          <w:rFonts w:ascii="Times New Roman" w:hAnsi="Times New Roman"/>
          <w:i/>
          <w:sz w:val="24"/>
        </w:rPr>
        <w:t>“public authority”</w:t>
      </w:r>
      <w:r>
        <w:rPr>
          <w:rFonts w:ascii="Times New Roman" w:hAnsi="Times New Roman"/>
          <w:sz w:val="24"/>
        </w:rPr>
        <w:t>.  Regulation 2 defined a public authority as including a Minister of government.  At para. 39 he said:</w:t>
      </w:r>
      <w:r w:rsidR="00F111A6">
        <w:rPr>
          <w:rFonts w:ascii="Times New Roman" w:hAnsi="Times New Roman"/>
          <w:sz w:val="24"/>
        </w:rPr>
        <w:t>-</w:t>
      </w:r>
    </w:p>
    <w:p w14:paraId="0DB74344" w14:textId="3DBB7380" w:rsidR="008841B0" w:rsidRPr="008841B0" w:rsidRDefault="008841B0" w:rsidP="008841B0">
      <w:pPr>
        <w:pStyle w:val="ListParagraph"/>
        <w:spacing w:line="480" w:lineRule="auto"/>
        <w:ind w:left="567"/>
        <w:rPr>
          <w:rFonts w:ascii="Times New Roman" w:hAnsi="Times New Roman"/>
          <w:b/>
          <w:i/>
          <w:sz w:val="24"/>
          <w:u w:val="single"/>
        </w:rPr>
      </w:pPr>
      <w:r>
        <w:rPr>
          <w:rFonts w:ascii="Times New Roman" w:hAnsi="Times New Roman"/>
          <w:i/>
          <w:sz w:val="24"/>
        </w:rPr>
        <w:lastRenderedPageBreak/>
        <w:t>“…</w:t>
      </w:r>
      <w:r w:rsidR="00F111A6">
        <w:rPr>
          <w:rFonts w:ascii="Times New Roman" w:hAnsi="Times New Roman"/>
          <w:i/>
          <w:sz w:val="24"/>
        </w:rPr>
        <w:t xml:space="preserve"> </w:t>
      </w:r>
      <w:r w:rsidRPr="008841B0">
        <w:rPr>
          <w:rFonts w:ascii="Times New Roman" w:hAnsi="Times New Roman"/>
          <w:i/>
          <w:sz w:val="24"/>
        </w:rPr>
        <w:t>Furthermore, as the Minister is a member of the Government,</w:t>
      </w:r>
      <w:r>
        <w:rPr>
          <w:rFonts w:ascii="Times New Roman" w:hAnsi="Times New Roman"/>
          <w:i/>
          <w:sz w:val="24"/>
        </w:rPr>
        <w:t xml:space="preserve"> </w:t>
      </w:r>
      <w:r w:rsidRPr="008841B0">
        <w:rPr>
          <w:rFonts w:ascii="Times New Roman" w:hAnsi="Times New Roman"/>
          <w:i/>
          <w:sz w:val="24"/>
        </w:rPr>
        <w:t>a determination made by the Minister is effectively a determination made by the</w:t>
      </w:r>
      <w:r>
        <w:rPr>
          <w:rFonts w:ascii="Times New Roman" w:hAnsi="Times New Roman"/>
          <w:i/>
          <w:sz w:val="24"/>
        </w:rPr>
        <w:t xml:space="preserve"> </w:t>
      </w:r>
      <w:r w:rsidRPr="008841B0">
        <w:rPr>
          <w:rFonts w:ascii="Times New Roman" w:hAnsi="Times New Roman"/>
          <w:i/>
          <w:sz w:val="24"/>
        </w:rPr>
        <w:t>Government.</w:t>
      </w:r>
      <w:r w:rsidR="00F111A6">
        <w:rPr>
          <w:rFonts w:ascii="Times New Roman" w:hAnsi="Times New Roman"/>
          <w:i/>
          <w:sz w:val="24"/>
        </w:rPr>
        <w:t>”</w:t>
      </w:r>
    </w:p>
    <w:p w14:paraId="4A9C3483" w14:textId="478310CC" w:rsidR="008841B0" w:rsidRPr="008841B0" w:rsidRDefault="008841B0"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On this basis</w:t>
      </w:r>
      <w:r w:rsidR="00F111A6">
        <w:rPr>
          <w:rFonts w:ascii="Times New Roman" w:hAnsi="Times New Roman"/>
          <w:sz w:val="24"/>
        </w:rPr>
        <w:t>,</w:t>
      </w:r>
      <w:r>
        <w:rPr>
          <w:rFonts w:ascii="Times New Roman" w:hAnsi="Times New Roman"/>
          <w:sz w:val="24"/>
        </w:rPr>
        <w:t xml:space="preserve"> he was satisfied that the </w:t>
      </w:r>
      <w:r w:rsidR="008979CB">
        <w:rPr>
          <w:rFonts w:ascii="Times New Roman" w:hAnsi="Times New Roman"/>
          <w:sz w:val="24"/>
        </w:rPr>
        <w:t>g</w:t>
      </w:r>
      <w:r>
        <w:rPr>
          <w:rFonts w:ascii="Times New Roman" w:hAnsi="Times New Roman"/>
          <w:sz w:val="24"/>
        </w:rPr>
        <w:t>overnment validly adopted the NPF and the NDP at its meeting on 16 February 2018; they were adopting not only the plans</w:t>
      </w:r>
      <w:r w:rsidR="00F111A6">
        <w:rPr>
          <w:rFonts w:ascii="Times New Roman" w:hAnsi="Times New Roman"/>
          <w:sz w:val="24"/>
        </w:rPr>
        <w:t>,</w:t>
      </w:r>
      <w:r>
        <w:rPr>
          <w:rFonts w:ascii="Times New Roman" w:hAnsi="Times New Roman"/>
          <w:sz w:val="24"/>
        </w:rPr>
        <w:t xml:space="preserve"> </w:t>
      </w:r>
      <w:r>
        <w:rPr>
          <w:rFonts w:ascii="Times New Roman" w:hAnsi="Times New Roman"/>
          <w:i/>
          <w:sz w:val="24"/>
        </w:rPr>
        <w:t>“but also the determination made by the Minister on their behalf in advance of adopting the plans.”</w:t>
      </w:r>
      <w:r>
        <w:rPr>
          <w:rFonts w:ascii="Times New Roman" w:hAnsi="Times New Roman"/>
          <w:sz w:val="24"/>
        </w:rPr>
        <w:t xml:space="preserve">  He continued:</w:t>
      </w:r>
      <w:r w:rsidR="00F111A6">
        <w:rPr>
          <w:rFonts w:ascii="Times New Roman" w:hAnsi="Times New Roman"/>
          <w:sz w:val="24"/>
        </w:rPr>
        <w:t>-</w:t>
      </w:r>
    </w:p>
    <w:p w14:paraId="659750E4" w14:textId="0A2DAE11" w:rsidR="00D742F4" w:rsidRDefault="008841B0" w:rsidP="00E75AFE">
      <w:pPr>
        <w:pStyle w:val="ListParagraph"/>
        <w:spacing w:line="480" w:lineRule="auto"/>
        <w:ind w:left="567"/>
        <w:rPr>
          <w:rFonts w:ascii="Times New Roman" w:hAnsi="Times New Roman"/>
          <w:b/>
          <w:sz w:val="24"/>
          <w:u w:val="single"/>
        </w:rPr>
      </w:pPr>
      <w:r>
        <w:rPr>
          <w:rFonts w:ascii="Times New Roman" w:hAnsi="Times New Roman"/>
          <w:i/>
          <w:sz w:val="24"/>
        </w:rPr>
        <w:t>“</w:t>
      </w:r>
      <w:r w:rsidR="00E75AFE">
        <w:rPr>
          <w:rFonts w:ascii="Times New Roman" w:hAnsi="Times New Roman"/>
          <w:i/>
          <w:sz w:val="24"/>
        </w:rPr>
        <w:t>…</w:t>
      </w:r>
      <w:r w:rsidR="00F111A6">
        <w:rPr>
          <w:rFonts w:ascii="Times New Roman" w:hAnsi="Times New Roman"/>
          <w:i/>
          <w:sz w:val="24"/>
        </w:rPr>
        <w:t xml:space="preserve"> </w:t>
      </w:r>
      <w:r w:rsidR="00E75AFE" w:rsidRPr="00E75AFE">
        <w:rPr>
          <w:rFonts w:ascii="Times New Roman" w:hAnsi="Times New Roman"/>
          <w:i/>
          <w:sz w:val="24"/>
        </w:rPr>
        <w:t>Even if I am wrong in that, I am satisfied that the court</w:t>
      </w:r>
      <w:r w:rsidR="00E75AFE">
        <w:rPr>
          <w:rFonts w:ascii="Times New Roman" w:hAnsi="Times New Roman"/>
          <w:i/>
          <w:sz w:val="24"/>
        </w:rPr>
        <w:t xml:space="preserve"> </w:t>
      </w:r>
      <w:r w:rsidR="00E75AFE" w:rsidRPr="00E75AFE">
        <w:rPr>
          <w:rFonts w:ascii="Times New Roman" w:hAnsi="Times New Roman"/>
          <w:i/>
          <w:sz w:val="24"/>
        </w:rPr>
        <w:t>must adopt a realistic and logical approach to the issue of compliance with the necessary</w:t>
      </w:r>
      <w:r w:rsidR="00E75AFE">
        <w:rPr>
          <w:rFonts w:ascii="Times New Roman" w:hAnsi="Times New Roman"/>
          <w:i/>
          <w:sz w:val="24"/>
        </w:rPr>
        <w:t xml:space="preserve"> </w:t>
      </w:r>
      <w:r w:rsidR="00E75AFE" w:rsidRPr="00E75AFE">
        <w:rPr>
          <w:rFonts w:ascii="Times New Roman" w:hAnsi="Times New Roman"/>
          <w:i/>
          <w:sz w:val="24"/>
        </w:rPr>
        <w:t>legal requirements in this case. It is abundantly clear that by the time the so-called</w:t>
      </w:r>
      <w:r w:rsidR="00E75AFE">
        <w:rPr>
          <w:rFonts w:ascii="Times New Roman" w:hAnsi="Times New Roman"/>
          <w:i/>
          <w:sz w:val="24"/>
        </w:rPr>
        <w:t xml:space="preserve"> </w:t>
      </w:r>
      <w:r w:rsidR="00E75AFE" w:rsidRPr="00E75AFE">
        <w:rPr>
          <w:rFonts w:ascii="Times New Roman" w:hAnsi="Times New Roman"/>
          <w:i/>
          <w:sz w:val="24"/>
        </w:rPr>
        <w:t>reaffirmation decision was taken on 29th May, 2018, the necessary determination was in</w:t>
      </w:r>
      <w:r w:rsidR="00E75AFE">
        <w:rPr>
          <w:rFonts w:ascii="Times New Roman" w:hAnsi="Times New Roman"/>
          <w:i/>
          <w:sz w:val="24"/>
        </w:rPr>
        <w:t xml:space="preserve"> </w:t>
      </w:r>
      <w:r w:rsidR="00E75AFE" w:rsidRPr="00E75AFE">
        <w:rPr>
          <w:rFonts w:ascii="Times New Roman" w:hAnsi="Times New Roman"/>
          <w:i/>
          <w:sz w:val="24"/>
        </w:rPr>
        <w:t>place in writing.</w:t>
      </w:r>
      <w:r w:rsidR="00E75AFE">
        <w:rPr>
          <w:rFonts w:ascii="Times New Roman" w:hAnsi="Times New Roman"/>
          <w:i/>
          <w:sz w:val="24"/>
        </w:rPr>
        <w:t>”</w:t>
      </w:r>
      <w:r w:rsidR="00E75AFE" w:rsidRPr="00E75AFE">
        <w:rPr>
          <w:rFonts w:ascii="Times New Roman" w:hAnsi="Times New Roman"/>
          <w:i/>
          <w:sz w:val="24"/>
        </w:rPr>
        <w:t xml:space="preserve"> </w:t>
      </w:r>
    </w:p>
    <w:p w14:paraId="790729B8" w14:textId="12FED856" w:rsidR="00E75AFE" w:rsidRPr="00E75AFE" w:rsidRDefault="00E75AFE"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 xml:space="preserve">He was satisfied that the reaffirmation decision was, in effect, a re-adoption of the relevant plans and </w:t>
      </w:r>
      <w:r w:rsidR="00396284">
        <w:rPr>
          <w:rFonts w:ascii="Times New Roman" w:hAnsi="Times New Roman"/>
          <w:sz w:val="24"/>
        </w:rPr>
        <w:t xml:space="preserve">that, </w:t>
      </w:r>
      <w:r>
        <w:rPr>
          <w:rFonts w:ascii="Times New Roman" w:hAnsi="Times New Roman"/>
          <w:sz w:val="24"/>
        </w:rPr>
        <w:t xml:space="preserve">even if the NPF and the NDP had not been </w:t>
      </w:r>
      <w:proofErr w:type="spellStart"/>
      <w:r>
        <w:rPr>
          <w:rFonts w:ascii="Times New Roman" w:hAnsi="Times New Roman"/>
          <w:sz w:val="24"/>
        </w:rPr>
        <w:t>validi</w:t>
      </w:r>
      <w:r w:rsidR="00790C8E">
        <w:rPr>
          <w:rFonts w:ascii="Times New Roman" w:hAnsi="Times New Roman"/>
          <w:sz w:val="24"/>
        </w:rPr>
        <w:t>l</w:t>
      </w:r>
      <w:r>
        <w:rPr>
          <w:rFonts w:ascii="Times New Roman" w:hAnsi="Times New Roman"/>
          <w:sz w:val="24"/>
        </w:rPr>
        <w:t>y</w:t>
      </w:r>
      <w:proofErr w:type="spellEnd"/>
      <w:r>
        <w:rPr>
          <w:rFonts w:ascii="Times New Roman" w:hAnsi="Times New Roman"/>
          <w:sz w:val="24"/>
        </w:rPr>
        <w:t xml:space="preserve"> adopted on 16 February 2018</w:t>
      </w:r>
      <w:r w:rsidR="00396284">
        <w:rPr>
          <w:rFonts w:ascii="Times New Roman" w:hAnsi="Times New Roman"/>
          <w:sz w:val="24"/>
        </w:rPr>
        <w:t>,</w:t>
      </w:r>
      <w:r>
        <w:rPr>
          <w:rFonts w:ascii="Times New Roman" w:hAnsi="Times New Roman"/>
          <w:sz w:val="24"/>
        </w:rPr>
        <w:t xml:space="preserve"> they were validly adopted by reason of the decision taken at the meeting of the </w:t>
      </w:r>
      <w:r w:rsidR="008979CB">
        <w:rPr>
          <w:rFonts w:ascii="Times New Roman" w:hAnsi="Times New Roman"/>
          <w:sz w:val="24"/>
        </w:rPr>
        <w:t>g</w:t>
      </w:r>
      <w:r>
        <w:rPr>
          <w:rFonts w:ascii="Times New Roman" w:hAnsi="Times New Roman"/>
          <w:sz w:val="24"/>
        </w:rPr>
        <w:t>overnment on 29 May 2018 and thus</w:t>
      </w:r>
      <w:r w:rsidR="00790C8E">
        <w:rPr>
          <w:rFonts w:ascii="Times New Roman" w:hAnsi="Times New Roman"/>
          <w:sz w:val="24"/>
        </w:rPr>
        <w:t>,</w:t>
      </w:r>
      <w:r>
        <w:rPr>
          <w:rFonts w:ascii="Times New Roman" w:hAnsi="Times New Roman"/>
          <w:sz w:val="24"/>
        </w:rPr>
        <w:t xml:space="preserve"> they were </w:t>
      </w:r>
      <w:r>
        <w:rPr>
          <w:rFonts w:ascii="Times New Roman" w:hAnsi="Times New Roman"/>
          <w:i/>
          <w:sz w:val="24"/>
        </w:rPr>
        <w:t xml:space="preserve">“even at the latest” </w:t>
      </w:r>
      <w:proofErr w:type="spellStart"/>
      <w:r>
        <w:rPr>
          <w:rFonts w:ascii="Times New Roman" w:hAnsi="Times New Roman"/>
          <w:sz w:val="24"/>
        </w:rPr>
        <w:t>validi</w:t>
      </w:r>
      <w:r w:rsidR="00286D27">
        <w:rPr>
          <w:rFonts w:ascii="Times New Roman" w:hAnsi="Times New Roman"/>
          <w:sz w:val="24"/>
        </w:rPr>
        <w:t>l</w:t>
      </w:r>
      <w:r>
        <w:rPr>
          <w:rFonts w:ascii="Times New Roman" w:hAnsi="Times New Roman"/>
          <w:sz w:val="24"/>
        </w:rPr>
        <w:t>y</w:t>
      </w:r>
      <w:proofErr w:type="spellEnd"/>
      <w:r>
        <w:rPr>
          <w:rFonts w:ascii="Times New Roman" w:hAnsi="Times New Roman"/>
          <w:sz w:val="24"/>
        </w:rPr>
        <w:t xml:space="preserve"> adopted by the </w:t>
      </w:r>
      <w:r w:rsidR="00461865">
        <w:rPr>
          <w:rFonts w:ascii="Times New Roman" w:hAnsi="Times New Roman"/>
          <w:sz w:val="24"/>
        </w:rPr>
        <w:t>government</w:t>
      </w:r>
      <w:r>
        <w:rPr>
          <w:rFonts w:ascii="Times New Roman" w:hAnsi="Times New Roman"/>
          <w:sz w:val="24"/>
        </w:rPr>
        <w:t xml:space="preserve"> on that date.   </w:t>
      </w:r>
    </w:p>
    <w:p w14:paraId="22D87174" w14:textId="55BE0906" w:rsidR="0016586A" w:rsidRPr="0016586A" w:rsidRDefault="0016586A" w:rsidP="003763A0">
      <w:pPr>
        <w:pStyle w:val="ListParagraph"/>
        <w:numPr>
          <w:ilvl w:val="0"/>
          <w:numId w:val="1"/>
        </w:numPr>
        <w:tabs>
          <w:tab w:val="left" w:pos="567"/>
        </w:tabs>
        <w:spacing w:line="480" w:lineRule="auto"/>
        <w:ind w:left="0" w:firstLine="0"/>
        <w:jc w:val="left"/>
        <w:rPr>
          <w:rFonts w:ascii="Times New Roman" w:hAnsi="Times New Roman"/>
          <w:b/>
          <w:sz w:val="24"/>
          <w:u w:val="single"/>
        </w:rPr>
      </w:pPr>
      <w:r>
        <w:rPr>
          <w:rFonts w:ascii="Times New Roman" w:hAnsi="Times New Roman"/>
          <w:sz w:val="24"/>
        </w:rPr>
        <w:t>The trial judge then considered the arguments of the applicant based on the SEA Directive.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of the SEA Directive provides:</w:t>
      </w:r>
      <w:r w:rsidR="00461865">
        <w:rPr>
          <w:rFonts w:ascii="Times New Roman" w:hAnsi="Times New Roman"/>
          <w:sz w:val="24"/>
        </w:rPr>
        <w:t>-</w:t>
      </w:r>
    </w:p>
    <w:p w14:paraId="6485417C" w14:textId="766D0457" w:rsidR="00D742F4" w:rsidRDefault="0016586A" w:rsidP="0016586A">
      <w:pPr>
        <w:pStyle w:val="ListParagraph"/>
        <w:spacing w:line="480" w:lineRule="auto"/>
        <w:ind w:left="567"/>
        <w:jc w:val="left"/>
        <w:rPr>
          <w:rFonts w:ascii="Times New Roman" w:hAnsi="Times New Roman"/>
          <w:b/>
          <w:sz w:val="24"/>
          <w:u w:val="single"/>
        </w:rPr>
      </w:pPr>
      <w:r>
        <w:rPr>
          <w:rFonts w:ascii="Times New Roman" w:hAnsi="Times New Roman"/>
          <w:i/>
          <w:sz w:val="24"/>
        </w:rPr>
        <w:t>“</w:t>
      </w:r>
      <w:r w:rsidRPr="0016586A">
        <w:rPr>
          <w:rFonts w:ascii="Times New Roman" w:hAnsi="Times New Roman"/>
          <w:i/>
          <w:sz w:val="24"/>
        </w:rPr>
        <w:t>Where an environmental assessment is required under Article 3(1), an environmental report shall be prepared in which the likely significant effects on the environment of implementing the plan or programme, and reasonable alternatives taking into account the objectives and the geographical scope of the plan or programme, are identified, described and evaluated. The information to be given for this purpose is referred to in Annex I.</w:t>
      </w:r>
      <w:r>
        <w:rPr>
          <w:rFonts w:ascii="Times New Roman" w:hAnsi="Times New Roman"/>
          <w:i/>
          <w:sz w:val="24"/>
        </w:rPr>
        <w:t xml:space="preserve">” </w:t>
      </w:r>
      <w:r w:rsidR="00D742F4">
        <w:rPr>
          <w:rFonts w:ascii="Times New Roman" w:hAnsi="Times New Roman"/>
          <w:b/>
          <w:sz w:val="24"/>
          <w:u w:val="single"/>
        </w:rPr>
        <w:t xml:space="preserve"> </w:t>
      </w:r>
    </w:p>
    <w:p w14:paraId="672E23C9" w14:textId="13AD4ABF" w:rsidR="0016586A" w:rsidRDefault="0016586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argued that there was no adequate consideration giv</w:t>
      </w:r>
      <w:r w:rsidR="00396284">
        <w:rPr>
          <w:rFonts w:ascii="Times New Roman" w:hAnsi="Times New Roman"/>
          <w:sz w:val="24"/>
        </w:rPr>
        <w:t>en</w:t>
      </w:r>
      <w:r>
        <w:rPr>
          <w:rFonts w:ascii="Times New Roman" w:hAnsi="Times New Roman"/>
          <w:sz w:val="24"/>
        </w:rPr>
        <w:t xml:space="preserve"> to the alternatives in the report as, to be adequate within the meaning of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such </w:t>
      </w:r>
      <w:r>
        <w:rPr>
          <w:rFonts w:ascii="Times New Roman" w:hAnsi="Times New Roman"/>
          <w:sz w:val="24"/>
        </w:rPr>
        <w:lastRenderedPageBreak/>
        <w:t>consideration must be at a level comparable to that applied to the preferred option.  In this case, the respondents expressly found that there were five options which could be regarded as reasonable alternatives (</w:t>
      </w:r>
      <w:r w:rsidR="00396284">
        <w:rPr>
          <w:rFonts w:ascii="Times New Roman" w:hAnsi="Times New Roman"/>
          <w:sz w:val="24"/>
        </w:rPr>
        <w:t xml:space="preserve">in addition to </w:t>
      </w:r>
      <w:r>
        <w:rPr>
          <w:rFonts w:ascii="Times New Roman" w:hAnsi="Times New Roman"/>
          <w:sz w:val="24"/>
        </w:rPr>
        <w:t xml:space="preserve">counting the </w:t>
      </w:r>
      <w:r>
        <w:rPr>
          <w:rFonts w:ascii="Times New Roman" w:hAnsi="Times New Roman"/>
          <w:i/>
          <w:sz w:val="24"/>
        </w:rPr>
        <w:t xml:space="preserve">“business as usual” </w:t>
      </w:r>
      <w:r>
        <w:rPr>
          <w:rFonts w:ascii="Times New Roman" w:hAnsi="Times New Roman"/>
          <w:sz w:val="24"/>
        </w:rPr>
        <w:t>option).  Once the respondent</w:t>
      </w:r>
      <w:r w:rsidR="00136BBE">
        <w:rPr>
          <w:rFonts w:ascii="Times New Roman" w:hAnsi="Times New Roman"/>
          <w:sz w:val="24"/>
        </w:rPr>
        <w:t>s</w:t>
      </w:r>
      <w:r>
        <w:rPr>
          <w:rFonts w:ascii="Times New Roman" w:hAnsi="Times New Roman"/>
          <w:sz w:val="24"/>
        </w:rPr>
        <w:t xml:space="preserve"> selected five reasonable options, the applicant argued that the reasonable alternatives had to be assessed at the same level and on the same basis as the preferred option in order to facilitate a proper comparison between them.</w:t>
      </w:r>
    </w:p>
    <w:p w14:paraId="701FCBE1" w14:textId="50A3D281" w:rsidR="00D742F4" w:rsidRPr="0016586A" w:rsidRDefault="0016586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trial judge was not satisfied that the wording of Article 5 of the SEA Directive mandated a comparable level of assessment of the reasonable alternatives and the preferred option.  He accepted the argument of the respondents that when one looks at the legislation as a whole, it is clear that the requirement to carry out a full SEA only relates to the plan which it is proposed to adopt.  </w:t>
      </w:r>
      <w:r w:rsidR="00D06631">
        <w:rPr>
          <w:rFonts w:ascii="Times New Roman" w:hAnsi="Times New Roman"/>
          <w:sz w:val="24"/>
        </w:rPr>
        <w:t xml:space="preserve">He held that Annex </w:t>
      </w:r>
      <w:r w:rsidR="00DA01FB">
        <w:rPr>
          <w:rFonts w:ascii="Times New Roman" w:hAnsi="Times New Roman"/>
          <w:sz w:val="24"/>
        </w:rPr>
        <w:t>I</w:t>
      </w:r>
      <w:r w:rsidR="00D06631">
        <w:rPr>
          <w:rFonts w:ascii="Times New Roman" w:hAnsi="Times New Roman"/>
          <w:sz w:val="24"/>
        </w:rPr>
        <w:t>(h</w:t>
      </w:r>
      <w:r>
        <w:rPr>
          <w:rFonts w:ascii="Times New Roman" w:hAnsi="Times New Roman"/>
          <w:sz w:val="24"/>
        </w:rPr>
        <w:t>) of the SEA Directive makes clear that an outline of the reasons for selecting the alternatives dealt with and a description of how the assessment was und</w:t>
      </w:r>
      <w:r w:rsidR="00D06631">
        <w:rPr>
          <w:rFonts w:ascii="Times New Roman" w:hAnsi="Times New Roman"/>
          <w:sz w:val="24"/>
        </w:rPr>
        <w:t>ertaken</w:t>
      </w:r>
      <w:r>
        <w:rPr>
          <w:rFonts w:ascii="Times New Roman" w:hAnsi="Times New Roman"/>
          <w:sz w:val="24"/>
        </w:rPr>
        <w:t>, including</w:t>
      </w:r>
      <w:r w:rsidR="00D06631">
        <w:rPr>
          <w:rFonts w:ascii="Times New Roman" w:hAnsi="Times New Roman"/>
          <w:sz w:val="24"/>
        </w:rPr>
        <w:t xml:space="preserve"> any difficulties (such as technical difficulties or lack of know</w:t>
      </w:r>
      <w:r w:rsidR="00F86886">
        <w:rPr>
          <w:rFonts w:ascii="Times New Roman" w:hAnsi="Times New Roman"/>
          <w:sz w:val="24"/>
        </w:rPr>
        <w:t>-</w:t>
      </w:r>
      <w:r w:rsidR="00D06631">
        <w:rPr>
          <w:rFonts w:ascii="Times New Roman" w:hAnsi="Times New Roman"/>
          <w:sz w:val="24"/>
        </w:rPr>
        <w:t xml:space="preserve">how) encountered in complying the required information was what was required to be included in the environmental report.  He declined to follow decisions </w:t>
      </w:r>
      <w:r w:rsidR="00396284">
        <w:rPr>
          <w:rFonts w:ascii="Times New Roman" w:hAnsi="Times New Roman"/>
          <w:sz w:val="24"/>
        </w:rPr>
        <w:t>cited</w:t>
      </w:r>
      <w:r w:rsidR="00D06631">
        <w:rPr>
          <w:rFonts w:ascii="Times New Roman" w:hAnsi="Times New Roman"/>
          <w:sz w:val="24"/>
        </w:rPr>
        <w:t xml:space="preserve"> to him from courts in England and Wales and held that the Guidance Document issued by the </w:t>
      </w:r>
      <w:r w:rsidR="00396284">
        <w:rPr>
          <w:rFonts w:ascii="Times New Roman" w:hAnsi="Times New Roman"/>
          <w:sz w:val="24"/>
        </w:rPr>
        <w:t xml:space="preserve">EU </w:t>
      </w:r>
      <w:r w:rsidR="00D06631">
        <w:rPr>
          <w:rFonts w:ascii="Times New Roman" w:hAnsi="Times New Roman"/>
          <w:sz w:val="24"/>
        </w:rPr>
        <w:t xml:space="preserve">Commission </w:t>
      </w:r>
      <w:r w:rsidR="00E64EC1">
        <w:rPr>
          <w:rFonts w:ascii="Times New Roman" w:hAnsi="Times New Roman"/>
          <w:sz w:val="24"/>
        </w:rPr>
        <w:t>(</w:t>
      </w:r>
      <w:r w:rsidR="007531CA">
        <w:rPr>
          <w:rFonts w:ascii="Times New Roman" w:hAnsi="Times New Roman"/>
          <w:sz w:val="24"/>
        </w:rPr>
        <w:t xml:space="preserve">the </w:t>
      </w:r>
      <w:r w:rsidR="000F30BD" w:rsidRPr="000F30BD">
        <w:rPr>
          <w:rFonts w:ascii="Times New Roman" w:hAnsi="Times New Roman"/>
          <w:sz w:val="24"/>
        </w:rPr>
        <w:t xml:space="preserve">Implementation </w:t>
      </w:r>
      <w:r w:rsidR="000F30BD">
        <w:rPr>
          <w:rFonts w:ascii="Times New Roman" w:hAnsi="Times New Roman"/>
          <w:sz w:val="24"/>
        </w:rPr>
        <w:t>o</w:t>
      </w:r>
      <w:r w:rsidR="000F30BD" w:rsidRPr="000F30BD">
        <w:rPr>
          <w:rFonts w:ascii="Times New Roman" w:hAnsi="Times New Roman"/>
          <w:sz w:val="24"/>
        </w:rPr>
        <w:t xml:space="preserve">f Directive 2001/42 </w:t>
      </w:r>
      <w:r w:rsidR="000F30BD">
        <w:rPr>
          <w:rFonts w:ascii="Times New Roman" w:hAnsi="Times New Roman"/>
          <w:sz w:val="24"/>
        </w:rPr>
        <w:t>o</w:t>
      </w:r>
      <w:r w:rsidR="000F30BD" w:rsidRPr="000F30BD">
        <w:rPr>
          <w:rFonts w:ascii="Times New Roman" w:hAnsi="Times New Roman"/>
          <w:sz w:val="24"/>
        </w:rPr>
        <w:t xml:space="preserve">n </w:t>
      </w:r>
      <w:r w:rsidR="000F30BD">
        <w:rPr>
          <w:rFonts w:ascii="Times New Roman" w:hAnsi="Times New Roman"/>
          <w:sz w:val="24"/>
        </w:rPr>
        <w:t>t</w:t>
      </w:r>
      <w:r w:rsidR="000F30BD" w:rsidRPr="000F30BD">
        <w:rPr>
          <w:rFonts w:ascii="Times New Roman" w:hAnsi="Times New Roman"/>
          <w:sz w:val="24"/>
        </w:rPr>
        <w:t xml:space="preserve">he </w:t>
      </w:r>
      <w:r w:rsidR="000F30BD">
        <w:rPr>
          <w:rFonts w:ascii="Times New Roman" w:hAnsi="Times New Roman"/>
          <w:sz w:val="24"/>
        </w:rPr>
        <w:t>a</w:t>
      </w:r>
      <w:r w:rsidR="000F30BD" w:rsidRPr="000F30BD">
        <w:rPr>
          <w:rFonts w:ascii="Times New Roman" w:hAnsi="Times New Roman"/>
          <w:sz w:val="24"/>
        </w:rPr>
        <w:t xml:space="preserve">ssessment </w:t>
      </w:r>
      <w:r w:rsidR="000F30BD">
        <w:rPr>
          <w:rFonts w:ascii="Times New Roman" w:hAnsi="Times New Roman"/>
          <w:sz w:val="24"/>
        </w:rPr>
        <w:t>o</w:t>
      </w:r>
      <w:r w:rsidR="000F30BD" w:rsidRPr="000F30BD">
        <w:rPr>
          <w:rFonts w:ascii="Times New Roman" w:hAnsi="Times New Roman"/>
          <w:sz w:val="24"/>
        </w:rPr>
        <w:t xml:space="preserve">f </w:t>
      </w:r>
      <w:r w:rsidR="000F30BD">
        <w:rPr>
          <w:rFonts w:ascii="Times New Roman" w:hAnsi="Times New Roman"/>
          <w:sz w:val="24"/>
        </w:rPr>
        <w:t>t</w:t>
      </w:r>
      <w:r w:rsidR="000F30BD" w:rsidRPr="000F30BD">
        <w:rPr>
          <w:rFonts w:ascii="Times New Roman" w:hAnsi="Times New Roman"/>
          <w:sz w:val="24"/>
        </w:rPr>
        <w:t xml:space="preserve">he </w:t>
      </w:r>
      <w:r w:rsidR="000F30BD">
        <w:rPr>
          <w:rFonts w:ascii="Times New Roman" w:hAnsi="Times New Roman"/>
          <w:sz w:val="24"/>
        </w:rPr>
        <w:t>e</w:t>
      </w:r>
      <w:r w:rsidR="000F30BD" w:rsidRPr="000F30BD">
        <w:rPr>
          <w:rFonts w:ascii="Times New Roman" w:hAnsi="Times New Roman"/>
          <w:sz w:val="24"/>
        </w:rPr>
        <w:t xml:space="preserve">ffects </w:t>
      </w:r>
      <w:r w:rsidR="000F30BD">
        <w:rPr>
          <w:rFonts w:ascii="Times New Roman" w:hAnsi="Times New Roman"/>
          <w:sz w:val="24"/>
        </w:rPr>
        <w:t>o</w:t>
      </w:r>
      <w:r w:rsidR="000F30BD" w:rsidRPr="000F30BD">
        <w:rPr>
          <w:rFonts w:ascii="Times New Roman" w:hAnsi="Times New Roman"/>
          <w:sz w:val="24"/>
        </w:rPr>
        <w:t xml:space="preserve">f </w:t>
      </w:r>
      <w:r w:rsidR="000F30BD">
        <w:rPr>
          <w:rFonts w:ascii="Times New Roman" w:hAnsi="Times New Roman"/>
          <w:sz w:val="24"/>
        </w:rPr>
        <w:t>c</w:t>
      </w:r>
      <w:r w:rsidR="000F30BD" w:rsidRPr="000F30BD">
        <w:rPr>
          <w:rFonts w:ascii="Times New Roman" w:hAnsi="Times New Roman"/>
          <w:sz w:val="24"/>
        </w:rPr>
        <w:t xml:space="preserve">ertain </w:t>
      </w:r>
      <w:r w:rsidR="000F30BD">
        <w:rPr>
          <w:rFonts w:ascii="Times New Roman" w:hAnsi="Times New Roman"/>
          <w:sz w:val="24"/>
        </w:rPr>
        <w:t>p</w:t>
      </w:r>
      <w:r w:rsidR="000F30BD" w:rsidRPr="000F30BD">
        <w:rPr>
          <w:rFonts w:ascii="Times New Roman" w:hAnsi="Times New Roman"/>
          <w:sz w:val="24"/>
        </w:rPr>
        <w:t xml:space="preserve">lans </w:t>
      </w:r>
      <w:r w:rsidR="000F30BD">
        <w:rPr>
          <w:rFonts w:ascii="Times New Roman" w:hAnsi="Times New Roman"/>
          <w:sz w:val="24"/>
        </w:rPr>
        <w:t>a</w:t>
      </w:r>
      <w:r w:rsidR="000F30BD" w:rsidRPr="000F30BD">
        <w:rPr>
          <w:rFonts w:ascii="Times New Roman" w:hAnsi="Times New Roman"/>
          <w:sz w:val="24"/>
        </w:rPr>
        <w:t xml:space="preserve">nd </w:t>
      </w:r>
      <w:r w:rsidR="000F30BD">
        <w:rPr>
          <w:rFonts w:ascii="Times New Roman" w:hAnsi="Times New Roman"/>
          <w:sz w:val="24"/>
        </w:rPr>
        <w:t>p</w:t>
      </w:r>
      <w:r w:rsidR="000F30BD" w:rsidRPr="000F30BD">
        <w:rPr>
          <w:rFonts w:ascii="Times New Roman" w:hAnsi="Times New Roman"/>
          <w:sz w:val="24"/>
        </w:rPr>
        <w:t xml:space="preserve">rogrammes </w:t>
      </w:r>
      <w:r w:rsidR="000F30BD">
        <w:rPr>
          <w:rFonts w:ascii="Times New Roman" w:hAnsi="Times New Roman"/>
          <w:sz w:val="24"/>
        </w:rPr>
        <w:t>o</w:t>
      </w:r>
      <w:r w:rsidR="000F30BD" w:rsidRPr="000F30BD">
        <w:rPr>
          <w:rFonts w:ascii="Times New Roman" w:hAnsi="Times New Roman"/>
          <w:sz w:val="24"/>
        </w:rPr>
        <w:t xml:space="preserve">n </w:t>
      </w:r>
      <w:r w:rsidR="000F30BD">
        <w:rPr>
          <w:rFonts w:ascii="Times New Roman" w:hAnsi="Times New Roman"/>
          <w:sz w:val="24"/>
        </w:rPr>
        <w:t>t</w:t>
      </w:r>
      <w:r w:rsidR="000F30BD" w:rsidRPr="000F30BD">
        <w:rPr>
          <w:rFonts w:ascii="Times New Roman" w:hAnsi="Times New Roman"/>
          <w:sz w:val="24"/>
        </w:rPr>
        <w:t xml:space="preserve">he </w:t>
      </w:r>
      <w:r w:rsidR="000F30BD">
        <w:rPr>
          <w:rFonts w:ascii="Times New Roman" w:hAnsi="Times New Roman"/>
          <w:sz w:val="24"/>
        </w:rPr>
        <w:t>e</w:t>
      </w:r>
      <w:r w:rsidR="000F30BD" w:rsidRPr="000F30BD">
        <w:rPr>
          <w:rFonts w:ascii="Times New Roman" w:hAnsi="Times New Roman"/>
          <w:sz w:val="24"/>
        </w:rPr>
        <w:t>nvironment</w:t>
      </w:r>
      <w:r w:rsidR="00E54539">
        <w:rPr>
          <w:rFonts w:ascii="Times New Roman" w:hAnsi="Times New Roman"/>
          <w:sz w:val="24"/>
        </w:rPr>
        <w:t xml:space="preserve"> (2003)</w:t>
      </w:r>
      <w:r w:rsidR="007531CA">
        <w:rPr>
          <w:rFonts w:ascii="Times New Roman" w:hAnsi="Times New Roman"/>
          <w:sz w:val="24"/>
        </w:rPr>
        <w:t>)</w:t>
      </w:r>
      <w:r w:rsidR="00E64EC1">
        <w:rPr>
          <w:rFonts w:ascii="Times New Roman" w:hAnsi="Times New Roman"/>
          <w:sz w:val="24"/>
        </w:rPr>
        <w:t xml:space="preserve"> </w:t>
      </w:r>
      <w:r w:rsidR="00D06631">
        <w:rPr>
          <w:rFonts w:ascii="Times New Roman" w:hAnsi="Times New Roman"/>
          <w:sz w:val="24"/>
        </w:rPr>
        <w:t xml:space="preserve">was not binding on the court.  He was of the view that it </w:t>
      </w:r>
      <w:r w:rsidR="00D06631" w:rsidRPr="0024491A">
        <w:rPr>
          <w:rFonts w:ascii="Times New Roman" w:hAnsi="Times New Roman"/>
          <w:i/>
          <w:iCs/>
          <w:sz w:val="24"/>
        </w:rPr>
        <w:t>“</w:t>
      </w:r>
      <w:r w:rsidR="00D06631" w:rsidRPr="00D06631">
        <w:rPr>
          <w:rFonts w:ascii="Times New Roman" w:hAnsi="Times New Roman"/>
          <w:i/>
          <w:sz w:val="24"/>
        </w:rPr>
        <w:t>appears to deal with projects or plans that are far more concrete in nature, rather than being guidance relevant to a high level policy document such as the NPF</w:t>
      </w:r>
      <w:r w:rsidR="00D06631" w:rsidRPr="0024491A">
        <w:rPr>
          <w:rFonts w:ascii="Times New Roman" w:hAnsi="Times New Roman"/>
          <w:i/>
          <w:iCs/>
          <w:sz w:val="24"/>
        </w:rPr>
        <w:t xml:space="preserve">”. </w:t>
      </w:r>
      <w:r w:rsidR="00D06631">
        <w:rPr>
          <w:rFonts w:ascii="Times New Roman" w:hAnsi="Times New Roman"/>
          <w:sz w:val="24"/>
        </w:rPr>
        <w:t xml:space="preserve"> </w:t>
      </w:r>
      <w:r w:rsidR="006A1AEC">
        <w:rPr>
          <w:rFonts w:ascii="Times New Roman" w:hAnsi="Times New Roman"/>
          <w:sz w:val="24"/>
        </w:rPr>
        <w:t>He was of the view that the wording of Article 5</w:t>
      </w:r>
      <w:r w:rsidR="00597A12">
        <w:rPr>
          <w:rFonts w:ascii="Times New Roman" w:hAnsi="Times New Roman"/>
          <w:sz w:val="24"/>
        </w:rPr>
        <w:t>(</w:t>
      </w:r>
      <w:r w:rsidR="006A1AEC">
        <w:rPr>
          <w:rFonts w:ascii="Times New Roman" w:hAnsi="Times New Roman"/>
          <w:sz w:val="24"/>
        </w:rPr>
        <w:t>1</w:t>
      </w:r>
      <w:r w:rsidR="00597A12">
        <w:rPr>
          <w:rFonts w:ascii="Times New Roman" w:hAnsi="Times New Roman"/>
          <w:sz w:val="24"/>
        </w:rPr>
        <w:t>)</w:t>
      </w:r>
      <w:r w:rsidR="006A1AEC">
        <w:rPr>
          <w:rFonts w:ascii="Times New Roman" w:hAnsi="Times New Roman"/>
          <w:sz w:val="24"/>
        </w:rPr>
        <w:t xml:space="preserve"> of the Directive allowed the court to have regard to the fact that the NPF is a high</w:t>
      </w:r>
      <w:r w:rsidR="00CD08CE">
        <w:rPr>
          <w:rFonts w:ascii="Times New Roman" w:hAnsi="Times New Roman"/>
          <w:sz w:val="24"/>
        </w:rPr>
        <w:t>-</w:t>
      </w:r>
      <w:r w:rsidR="006A1AEC">
        <w:rPr>
          <w:rFonts w:ascii="Times New Roman" w:hAnsi="Times New Roman"/>
          <w:sz w:val="24"/>
        </w:rPr>
        <w:t xml:space="preserve">level strategic policy document which does not give permission for any particular project or land use.  He concluded that the assessment carried out in the Environmental Report was a reasonable and logical interpretation of the obligation on the </w:t>
      </w:r>
      <w:r w:rsidR="0024491A">
        <w:rPr>
          <w:rFonts w:ascii="Times New Roman" w:hAnsi="Times New Roman"/>
          <w:sz w:val="24"/>
        </w:rPr>
        <w:t>g</w:t>
      </w:r>
      <w:r w:rsidR="006A1AEC">
        <w:rPr>
          <w:rFonts w:ascii="Times New Roman" w:hAnsi="Times New Roman"/>
          <w:sz w:val="24"/>
        </w:rPr>
        <w:t xml:space="preserve">overnment; that the </w:t>
      </w:r>
      <w:r w:rsidR="006A1AEC">
        <w:rPr>
          <w:rFonts w:ascii="Times New Roman" w:hAnsi="Times New Roman"/>
          <w:sz w:val="24"/>
        </w:rPr>
        <w:lastRenderedPageBreak/>
        <w:t xml:space="preserve">Environmental Report looked at a number of options including the option of </w:t>
      </w:r>
      <w:r w:rsidR="006A1AEC">
        <w:rPr>
          <w:rFonts w:ascii="Times New Roman" w:hAnsi="Times New Roman"/>
          <w:i/>
          <w:sz w:val="24"/>
        </w:rPr>
        <w:t>“business as usual”</w:t>
      </w:r>
      <w:r w:rsidR="006A1AEC">
        <w:rPr>
          <w:rFonts w:ascii="Times New Roman" w:hAnsi="Times New Roman"/>
          <w:sz w:val="24"/>
        </w:rPr>
        <w:t>; and that the document set out clear reasons why, at a strategic level, the preferred option was chosen over the other reasonable alternatives.  He held that the reasons giv</w:t>
      </w:r>
      <w:r w:rsidR="00660035">
        <w:rPr>
          <w:rFonts w:ascii="Times New Roman" w:hAnsi="Times New Roman"/>
          <w:sz w:val="24"/>
        </w:rPr>
        <w:t>en</w:t>
      </w:r>
      <w:r w:rsidR="006A1AEC">
        <w:rPr>
          <w:rFonts w:ascii="Times New Roman" w:hAnsi="Times New Roman"/>
          <w:sz w:val="24"/>
        </w:rPr>
        <w:t xml:space="preserve"> were logical and understandable and that he was satisfied that </w:t>
      </w:r>
      <w:r w:rsidR="006A1AEC">
        <w:rPr>
          <w:rFonts w:ascii="Times New Roman" w:hAnsi="Times New Roman"/>
          <w:i/>
          <w:sz w:val="24"/>
        </w:rPr>
        <w:t>“sufficient information was given in relation to reasonable alternatives and there was sufficient assessment thereof, to enable members of the public and other stakeholders to comment in a meaningful way on the draft NPF and the Environmental Report accompanying it.”</w:t>
      </w:r>
    </w:p>
    <w:p w14:paraId="0EDD6C3B" w14:textId="11D51D0B" w:rsidR="00451353" w:rsidRDefault="00953BC3"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Barr J.</w:t>
      </w:r>
      <w:r w:rsidR="006A1AEC">
        <w:rPr>
          <w:rFonts w:ascii="Times New Roman" w:hAnsi="Times New Roman"/>
          <w:sz w:val="24"/>
        </w:rPr>
        <w:t xml:space="preserve"> rejected the argument that the manner in which the reasonable options were set out with an assessment matrix merely ascribing </w:t>
      </w:r>
      <w:r w:rsidR="006A1AEC">
        <w:rPr>
          <w:rFonts w:ascii="Times New Roman" w:hAnsi="Times New Roman"/>
          <w:i/>
          <w:sz w:val="24"/>
        </w:rPr>
        <w:t>“</w:t>
      </w:r>
      <w:r w:rsidR="00396284">
        <w:rPr>
          <w:rFonts w:ascii="Times New Roman" w:hAnsi="Times New Roman"/>
          <w:i/>
          <w:sz w:val="24"/>
        </w:rPr>
        <w:t>+</w:t>
      </w:r>
      <w:r w:rsidR="00451353">
        <w:rPr>
          <w:rFonts w:ascii="Times New Roman" w:hAnsi="Times New Roman"/>
          <w:i/>
          <w:sz w:val="24"/>
        </w:rPr>
        <w:t>”</w:t>
      </w:r>
      <w:r w:rsidR="00451353">
        <w:rPr>
          <w:rFonts w:ascii="Times New Roman" w:hAnsi="Times New Roman"/>
          <w:sz w:val="24"/>
        </w:rPr>
        <w:t xml:space="preserve">, </w:t>
      </w:r>
      <w:r w:rsidR="00451353">
        <w:rPr>
          <w:rFonts w:ascii="Times New Roman" w:hAnsi="Times New Roman"/>
          <w:i/>
          <w:sz w:val="24"/>
        </w:rPr>
        <w:t>“</w:t>
      </w:r>
      <w:r w:rsidR="00A85543">
        <w:rPr>
          <w:rFonts w:ascii="Times New Roman" w:hAnsi="Times New Roman"/>
          <w:i/>
          <w:sz w:val="24"/>
        </w:rPr>
        <w:t>–</w:t>
      </w:r>
      <w:r w:rsidR="00451353">
        <w:rPr>
          <w:rFonts w:ascii="Times New Roman" w:hAnsi="Times New Roman"/>
          <w:i/>
          <w:sz w:val="24"/>
        </w:rPr>
        <w:t xml:space="preserve">” </w:t>
      </w:r>
      <w:r w:rsidR="00451353">
        <w:rPr>
          <w:rFonts w:ascii="Times New Roman" w:hAnsi="Times New Roman"/>
          <w:sz w:val="24"/>
        </w:rPr>
        <w:t xml:space="preserve">and </w:t>
      </w:r>
      <w:r w:rsidR="00451353">
        <w:rPr>
          <w:rFonts w:ascii="Times New Roman" w:hAnsi="Times New Roman"/>
          <w:i/>
          <w:sz w:val="24"/>
        </w:rPr>
        <w:t>“</w:t>
      </w:r>
      <w:r w:rsidR="00396284">
        <w:rPr>
          <w:rFonts w:ascii="Times New Roman" w:hAnsi="Times New Roman"/>
          <w:i/>
          <w:sz w:val="24"/>
        </w:rPr>
        <w:t>0</w:t>
      </w:r>
      <w:r w:rsidR="00451353">
        <w:rPr>
          <w:rFonts w:ascii="Times New Roman" w:hAnsi="Times New Roman"/>
          <w:i/>
          <w:sz w:val="24"/>
        </w:rPr>
        <w:t>”</w:t>
      </w:r>
      <w:r w:rsidR="00451353">
        <w:rPr>
          <w:rFonts w:ascii="Times New Roman" w:hAnsi="Times New Roman"/>
          <w:sz w:val="24"/>
        </w:rPr>
        <w:t xml:space="preserve"> to each of the headings to indicate either a positive impact, a negative impact or a zero impact was </w:t>
      </w:r>
      <w:r>
        <w:rPr>
          <w:rFonts w:ascii="Times New Roman" w:hAnsi="Times New Roman"/>
          <w:sz w:val="24"/>
        </w:rPr>
        <w:t xml:space="preserve">either </w:t>
      </w:r>
      <w:r w:rsidR="00451353">
        <w:rPr>
          <w:rFonts w:ascii="Times New Roman" w:hAnsi="Times New Roman"/>
          <w:sz w:val="24"/>
        </w:rPr>
        <w:t>entirely incomprehensible and</w:t>
      </w:r>
      <w:r w:rsidR="00945CCC">
        <w:rPr>
          <w:rFonts w:ascii="Times New Roman" w:hAnsi="Times New Roman"/>
          <w:sz w:val="24"/>
        </w:rPr>
        <w:t>/or</w:t>
      </w:r>
      <w:r w:rsidR="00451353">
        <w:rPr>
          <w:rFonts w:ascii="Times New Roman" w:hAnsi="Times New Roman"/>
          <w:sz w:val="24"/>
        </w:rPr>
        <w:t xml:space="preserve"> inadequate.  He accepted the point made by Mr. Hogan in his affidavits that one had to read the matri</w:t>
      </w:r>
      <w:r w:rsidR="00660035">
        <w:rPr>
          <w:rFonts w:ascii="Times New Roman" w:hAnsi="Times New Roman"/>
          <w:sz w:val="24"/>
        </w:rPr>
        <w:t>ces</w:t>
      </w:r>
      <w:r w:rsidR="00451353">
        <w:rPr>
          <w:rFonts w:ascii="Times New Roman" w:hAnsi="Times New Roman"/>
          <w:sz w:val="24"/>
        </w:rPr>
        <w:t xml:space="preserve"> in the context of the narrative that accompanie</w:t>
      </w:r>
      <w:r w:rsidR="00396284">
        <w:rPr>
          <w:rFonts w:ascii="Times New Roman" w:hAnsi="Times New Roman"/>
          <w:sz w:val="24"/>
        </w:rPr>
        <w:t>s</w:t>
      </w:r>
      <w:r w:rsidR="00451353">
        <w:rPr>
          <w:rFonts w:ascii="Times New Roman" w:hAnsi="Times New Roman"/>
          <w:sz w:val="24"/>
        </w:rPr>
        <w:t xml:space="preserve"> them and the trial judge was satisfied that when both were read together there </w:t>
      </w:r>
      <w:r>
        <w:rPr>
          <w:rFonts w:ascii="Times New Roman" w:hAnsi="Times New Roman"/>
          <w:sz w:val="24"/>
        </w:rPr>
        <w:t>was</w:t>
      </w:r>
      <w:r w:rsidR="00451353">
        <w:rPr>
          <w:rFonts w:ascii="Times New Roman" w:hAnsi="Times New Roman"/>
          <w:sz w:val="24"/>
        </w:rPr>
        <w:t xml:space="preserve"> a reasonable and comprehensive assessment that is understandable and logical of each of the reasonable alternatives.  </w:t>
      </w:r>
    </w:p>
    <w:p w14:paraId="5F8DBFB7" w14:textId="3BE5E7D2" w:rsidR="00D742F4" w:rsidRDefault="00953BC3"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At</w:t>
      </w:r>
      <w:r w:rsidR="00451353">
        <w:rPr>
          <w:rFonts w:ascii="Times New Roman" w:hAnsi="Times New Roman"/>
          <w:sz w:val="24"/>
        </w:rPr>
        <w:t xml:space="preserve"> paras. 70-87 of his judgment</w:t>
      </w:r>
      <w:r w:rsidR="000D0053">
        <w:rPr>
          <w:rFonts w:ascii="Times New Roman" w:hAnsi="Times New Roman"/>
          <w:sz w:val="24"/>
        </w:rPr>
        <w:t>,</w:t>
      </w:r>
      <w:r w:rsidR="00451353">
        <w:rPr>
          <w:rFonts w:ascii="Times New Roman" w:hAnsi="Times New Roman"/>
          <w:sz w:val="24"/>
        </w:rPr>
        <w:t xml:space="preserve"> the trial judge addressed the argument that the respondents failed to comply with the provisions of Regulation 17 of the </w:t>
      </w:r>
      <w:r w:rsidR="00396284">
        <w:rPr>
          <w:rFonts w:ascii="Times New Roman" w:hAnsi="Times New Roman"/>
          <w:sz w:val="24"/>
        </w:rPr>
        <w:t>SEA</w:t>
      </w:r>
      <w:r w:rsidR="00451353">
        <w:rPr>
          <w:rFonts w:ascii="Times New Roman" w:hAnsi="Times New Roman"/>
          <w:sz w:val="24"/>
        </w:rPr>
        <w:t xml:space="preserve"> Regulations, in relation to monitoring of the effects of the NPF.  Regulation 17 provides that the </w:t>
      </w:r>
      <w:r w:rsidR="00396284">
        <w:rPr>
          <w:rFonts w:ascii="Times New Roman" w:hAnsi="Times New Roman"/>
          <w:sz w:val="24"/>
        </w:rPr>
        <w:t>“c</w:t>
      </w:r>
      <w:r w:rsidR="00451353">
        <w:rPr>
          <w:rFonts w:ascii="Times New Roman" w:hAnsi="Times New Roman"/>
          <w:sz w:val="24"/>
        </w:rPr>
        <w:t>ompetent authority</w:t>
      </w:r>
      <w:r w:rsidR="00396284">
        <w:rPr>
          <w:rFonts w:ascii="Times New Roman" w:hAnsi="Times New Roman"/>
          <w:sz w:val="24"/>
        </w:rPr>
        <w:t>”</w:t>
      </w:r>
      <w:r w:rsidR="00451353">
        <w:rPr>
          <w:rFonts w:ascii="Times New Roman" w:hAnsi="Times New Roman"/>
          <w:sz w:val="24"/>
        </w:rPr>
        <w:t xml:space="preserve"> shall monitor the significant environmental effects of implementation of the plan or program</w:t>
      </w:r>
      <w:r w:rsidR="00396284">
        <w:rPr>
          <w:rFonts w:ascii="Times New Roman" w:hAnsi="Times New Roman"/>
          <w:sz w:val="24"/>
        </w:rPr>
        <w:t>me</w:t>
      </w:r>
      <w:r w:rsidR="00451353">
        <w:rPr>
          <w:rFonts w:ascii="Times New Roman" w:hAnsi="Times New Roman"/>
          <w:sz w:val="24"/>
        </w:rPr>
        <w:t xml:space="preserve"> in order</w:t>
      </w:r>
      <w:r w:rsidR="00375D8D">
        <w:rPr>
          <w:rFonts w:ascii="Times New Roman" w:hAnsi="Times New Roman"/>
          <w:sz w:val="24"/>
        </w:rPr>
        <w:t>,</w:t>
      </w:r>
      <w:r w:rsidR="00451353">
        <w:rPr>
          <w:rFonts w:ascii="Times New Roman" w:hAnsi="Times New Roman"/>
          <w:sz w:val="24"/>
        </w:rPr>
        <w:t xml:space="preserve"> </w:t>
      </w:r>
      <w:r w:rsidR="00451353">
        <w:rPr>
          <w:rFonts w:ascii="Times New Roman" w:hAnsi="Times New Roman"/>
          <w:i/>
          <w:sz w:val="24"/>
        </w:rPr>
        <w:t>inter alia</w:t>
      </w:r>
      <w:r w:rsidR="00375D8D">
        <w:rPr>
          <w:rFonts w:ascii="Times New Roman" w:hAnsi="Times New Roman"/>
          <w:iCs/>
          <w:sz w:val="24"/>
        </w:rPr>
        <w:t>,</w:t>
      </w:r>
      <w:r w:rsidR="00451353">
        <w:rPr>
          <w:rFonts w:ascii="Times New Roman" w:hAnsi="Times New Roman"/>
          <w:i/>
          <w:sz w:val="24"/>
        </w:rPr>
        <w:t xml:space="preserve"> </w:t>
      </w:r>
      <w:r w:rsidR="00451353">
        <w:rPr>
          <w:rFonts w:ascii="Times New Roman" w:hAnsi="Times New Roman"/>
          <w:sz w:val="24"/>
        </w:rPr>
        <w:t>to identify at an early sta</w:t>
      </w:r>
      <w:r w:rsidR="00396284">
        <w:rPr>
          <w:rFonts w:ascii="Times New Roman" w:hAnsi="Times New Roman"/>
          <w:sz w:val="24"/>
        </w:rPr>
        <w:t>g</w:t>
      </w:r>
      <w:r w:rsidR="00451353">
        <w:rPr>
          <w:rFonts w:ascii="Times New Roman" w:hAnsi="Times New Roman"/>
          <w:sz w:val="24"/>
        </w:rPr>
        <w:t xml:space="preserve">e unforeseen adverse effects and to be able to undertake appropriate remedial action and, for this purpose, existing monitoring arrangements may be used, if appropriate, with a view to avoiding duplication of monitoring.  It was submitted by the applicant that the NPF includes no adequate provision for monitoring of the significant environmental effects of the implementation of the NPF and/or had no adequate provision for the identification at an </w:t>
      </w:r>
      <w:r w:rsidR="00451353">
        <w:rPr>
          <w:rFonts w:ascii="Times New Roman" w:hAnsi="Times New Roman"/>
          <w:sz w:val="24"/>
        </w:rPr>
        <w:lastRenderedPageBreak/>
        <w:t xml:space="preserve">early stage of unforeseen adverse effects, or appropriate remedial action to be taken in reference thereto.  </w:t>
      </w:r>
      <w:r w:rsidR="00451353">
        <w:rPr>
          <w:rFonts w:ascii="Times New Roman" w:hAnsi="Times New Roman"/>
          <w:i/>
          <w:sz w:val="24"/>
        </w:rPr>
        <w:t xml:space="preserve"> </w:t>
      </w:r>
    </w:p>
    <w:p w14:paraId="5C00B6BB" w14:textId="4C1D612B" w:rsidR="00433AA1" w:rsidRDefault="00433AA1"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trial judge said he must look at the SEA </w:t>
      </w:r>
      <w:r w:rsidR="00396284">
        <w:rPr>
          <w:rFonts w:ascii="Times New Roman" w:hAnsi="Times New Roman"/>
          <w:sz w:val="24"/>
        </w:rPr>
        <w:t>S</w:t>
      </w:r>
      <w:r>
        <w:rPr>
          <w:rFonts w:ascii="Times New Roman" w:hAnsi="Times New Roman"/>
          <w:sz w:val="24"/>
        </w:rPr>
        <w:t>tatement and the NPF as a whole to determine if the obligation relat</w:t>
      </w:r>
      <w:r w:rsidR="00396284">
        <w:rPr>
          <w:rFonts w:ascii="Times New Roman" w:hAnsi="Times New Roman"/>
          <w:sz w:val="24"/>
        </w:rPr>
        <w:t>ing</w:t>
      </w:r>
      <w:r>
        <w:rPr>
          <w:rFonts w:ascii="Times New Roman" w:hAnsi="Times New Roman"/>
          <w:sz w:val="24"/>
        </w:rPr>
        <w:t xml:space="preserve"> to monitoring had been complied with.  He noted that the NPF provides for the establishment of the O</w:t>
      </w:r>
      <w:r w:rsidR="00BB6687">
        <w:rPr>
          <w:rFonts w:ascii="Times New Roman" w:hAnsi="Times New Roman"/>
          <w:sz w:val="24"/>
        </w:rPr>
        <w:t xml:space="preserve">ffice of the </w:t>
      </w:r>
      <w:r>
        <w:rPr>
          <w:rFonts w:ascii="Times New Roman" w:hAnsi="Times New Roman"/>
          <w:sz w:val="24"/>
        </w:rPr>
        <w:t>P</w:t>
      </w:r>
      <w:r w:rsidR="00BB6687">
        <w:rPr>
          <w:rFonts w:ascii="Times New Roman" w:hAnsi="Times New Roman"/>
          <w:sz w:val="24"/>
        </w:rPr>
        <w:t xml:space="preserve">lanning </w:t>
      </w:r>
      <w:r>
        <w:rPr>
          <w:rFonts w:ascii="Times New Roman" w:hAnsi="Times New Roman"/>
          <w:sz w:val="24"/>
        </w:rPr>
        <w:t>R</w:t>
      </w:r>
      <w:r w:rsidR="00BB6687">
        <w:rPr>
          <w:rFonts w:ascii="Times New Roman" w:hAnsi="Times New Roman"/>
          <w:sz w:val="24"/>
        </w:rPr>
        <w:t>egulator</w:t>
      </w:r>
      <w:r>
        <w:rPr>
          <w:rFonts w:ascii="Times New Roman" w:hAnsi="Times New Roman"/>
          <w:sz w:val="24"/>
        </w:rPr>
        <w:t xml:space="preserve"> </w:t>
      </w:r>
      <w:r w:rsidR="004B42BF">
        <w:rPr>
          <w:rFonts w:ascii="Times New Roman" w:hAnsi="Times New Roman"/>
          <w:sz w:val="24"/>
        </w:rPr>
        <w:t xml:space="preserve">(the OPR) </w:t>
      </w:r>
      <w:r>
        <w:rPr>
          <w:rFonts w:ascii="Times New Roman" w:hAnsi="Times New Roman"/>
          <w:sz w:val="24"/>
        </w:rPr>
        <w:t xml:space="preserve">which will monitor the overall implementation of the NPF itself; the SEA </w:t>
      </w:r>
      <w:r w:rsidR="00396284">
        <w:rPr>
          <w:rFonts w:ascii="Times New Roman" w:hAnsi="Times New Roman"/>
          <w:sz w:val="24"/>
        </w:rPr>
        <w:t>S</w:t>
      </w:r>
      <w:r>
        <w:rPr>
          <w:rFonts w:ascii="Times New Roman" w:hAnsi="Times New Roman"/>
          <w:sz w:val="24"/>
        </w:rPr>
        <w:t>tatement provides that the monitoring of the various objectives will be carried out by the Department and that its job would be to coordinate the monitoring that is carried out by other bodies within their particular fields of expertise.  The trial judge held that this was specifically provided for in the Directive and the Regulations and that</w:t>
      </w:r>
      <w:r w:rsidR="00C71A7A">
        <w:rPr>
          <w:rFonts w:ascii="Times New Roman" w:hAnsi="Times New Roman"/>
          <w:sz w:val="24"/>
        </w:rPr>
        <w:t>,</w:t>
      </w:r>
      <w:r>
        <w:rPr>
          <w:rFonts w:ascii="Times New Roman" w:hAnsi="Times New Roman"/>
          <w:sz w:val="24"/>
        </w:rPr>
        <w:t xml:space="preserve"> when one looks at the contents of Table 7.1 of the SEA Statement</w:t>
      </w:r>
      <w:r w:rsidR="00C71A7A">
        <w:rPr>
          <w:rFonts w:ascii="Times New Roman" w:hAnsi="Times New Roman"/>
          <w:sz w:val="24"/>
        </w:rPr>
        <w:t>,</w:t>
      </w:r>
      <w:r>
        <w:rPr>
          <w:rFonts w:ascii="Times New Roman" w:hAnsi="Times New Roman"/>
          <w:sz w:val="24"/>
        </w:rPr>
        <w:t xml:space="preserve"> it is clear that in respect of each of the objectives identified in the first column there are targets set out for that objective in the second column</w:t>
      </w:r>
      <w:r w:rsidR="00375D8D">
        <w:rPr>
          <w:rFonts w:ascii="Times New Roman" w:hAnsi="Times New Roman"/>
          <w:sz w:val="24"/>
        </w:rPr>
        <w:t>,</w:t>
      </w:r>
      <w:r>
        <w:rPr>
          <w:rFonts w:ascii="Times New Roman" w:hAnsi="Times New Roman"/>
          <w:sz w:val="24"/>
        </w:rPr>
        <w:t xml:space="preserve"> together with indications for assessing the achievement of the objective in the third column.  The fourth column identifies each of the entities that will be responsible for monitoring the achievement of the particular targets.  He held it was </w:t>
      </w:r>
      <w:r>
        <w:rPr>
          <w:rFonts w:ascii="Times New Roman" w:hAnsi="Times New Roman"/>
          <w:i/>
          <w:sz w:val="24"/>
        </w:rPr>
        <w:t>“entirely reasonable”</w:t>
      </w:r>
      <w:r>
        <w:rPr>
          <w:rFonts w:ascii="Times New Roman" w:hAnsi="Times New Roman"/>
          <w:sz w:val="24"/>
        </w:rPr>
        <w:t xml:space="preserve"> that the SEA Statement should make provision for an overall monitoring position to be held by the Department relying on the expertise and experience of the bodies which have specific jurisdiction over the monitoring of various aspects</w:t>
      </w:r>
      <w:r w:rsidR="00C71A7A">
        <w:rPr>
          <w:rFonts w:ascii="Times New Roman" w:hAnsi="Times New Roman"/>
          <w:sz w:val="24"/>
        </w:rPr>
        <w:t>,</w:t>
      </w:r>
      <w:r>
        <w:rPr>
          <w:rFonts w:ascii="Times New Roman" w:hAnsi="Times New Roman"/>
          <w:sz w:val="24"/>
        </w:rPr>
        <w:t xml:space="preserve"> such as air quality, water quality</w:t>
      </w:r>
      <w:r w:rsidR="00375D8D">
        <w:rPr>
          <w:rFonts w:ascii="Times New Roman" w:hAnsi="Times New Roman"/>
          <w:sz w:val="24"/>
        </w:rPr>
        <w:t>,</w:t>
      </w:r>
      <w:r>
        <w:rPr>
          <w:rFonts w:ascii="Times New Roman" w:hAnsi="Times New Roman"/>
          <w:sz w:val="24"/>
        </w:rPr>
        <w:t xml:space="preserve"> etc.  He noted that provision was made that the Department would coordinate the monitoring of the various areas set out in Table 7.1 and will take action if unforeseen adverse effects emerge.  </w:t>
      </w:r>
    </w:p>
    <w:p w14:paraId="226F0950" w14:textId="64056FD3" w:rsidR="006A1AEC" w:rsidRDefault="00433AA1"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He emphasised that individual projects will require planning permission which will be subject to assessment by the relevant </w:t>
      </w:r>
      <w:r w:rsidR="00660035">
        <w:rPr>
          <w:rFonts w:ascii="Times New Roman" w:hAnsi="Times New Roman"/>
          <w:sz w:val="24"/>
        </w:rPr>
        <w:t>p</w:t>
      </w:r>
      <w:r>
        <w:rPr>
          <w:rFonts w:ascii="Times New Roman" w:hAnsi="Times New Roman"/>
          <w:sz w:val="24"/>
        </w:rPr>
        <w:t xml:space="preserve">lanning </w:t>
      </w:r>
      <w:r w:rsidR="00660035">
        <w:rPr>
          <w:rFonts w:ascii="Times New Roman" w:hAnsi="Times New Roman"/>
          <w:sz w:val="24"/>
        </w:rPr>
        <w:t>a</w:t>
      </w:r>
      <w:r>
        <w:rPr>
          <w:rFonts w:ascii="Times New Roman" w:hAnsi="Times New Roman"/>
          <w:sz w:val="24"/>
        </w:rPr>
        <w:t>uthorities</w:t>
      </w:r>
      <w:r w:rsidR="00C71A7A">
        <w:rPr>
          <w:rFonts w:ascii="Times New Roman" w:hAnsi="Times New Roman"/>
          <w:sz w:val="24"/>
        </w:rPr>
        <w:t>,</w:t>
      </w:r>
      <w:r>
        <w:rPr>
          <w:rFonts w:ascii="Times New Roman" w:hAnsi="Times New Roman"/>
          <w:sz w:val="24"/>
        </w:rPr>
        <w:t xml:space="preserve"> and the relevant assessments will be carried out </w:t>
      </w:r>
      <w:r w:rsidR="00660035">
        <w:rPr>
          <w:rFonts w:ascii="Times New Roman" w:hAnsi="Times New Roman"/>
          <w:sz w:val="24"/>
        </w:rPr>
        <w:t>of</w:t>
      </w:r>
      <w:r w:rsidR="00EE1FBC">
        <w:rPr>
          <w:rFonts w:ascii="Times New Roman" w:hAnsi="Times New Roman"/>
          <w:sz w:val="24"/>
        </w:rPr>
        <w:t xml:space="preserve"> individual project</w:t>
      </w:r>
      <w:r w:rsidR="00660035">
        <w:rPr>
          <w:rFonts w:ascii="Times New Roman" w:hAnsi="Times New Roman"/>
          <w:sz w:val="24"/>
        </w:rPr>
        <w:t>s</w:t>
      </w:r>
      <w:r w:rsidR="00EE1FBC">
        <w:rPr>
          <w:rFonts w:ascii="Times New Roman" w:hAnsi="Times New Roman"/>
          <w:sz w:val="24"/>
        </w:rPr>
        <w:t xml:space="preserve"> at that level</w:t>
      </w:r>
      <w:r w:rsidR="00375D8D">
        <w:rPr>
          <w:rFonts w:ascii="Times New Roman" w:hAnsi="Times New Roman"/>
          <w:sz w:val="24"/>
        </w:rPr>
        <w:t>,</w:t>
      </w:r>
      <w:r w:rsidR="00EE1FBC">
        <w:rPr>
          <w:rFonts w:ascii="Times New Roman" w:hAnsi="Times New Roman"/>
          <w:sz w:val="24"/>
        </w:rPr>
        <w:t xml:space="preserve"> and that this would incorporate the views of statutory bodies</w:t>
      </w:r>
      <w:r w:rsidR="00C71A7A">
        <w:rPr>
          <w:rFonts w:ascii="Times New Roman" w:hAnsi="Times New Roman"/>
          <w:sz w:val="24"/>
        </w:rPr>
        <w:t>,</w:t>
      </w:r>
      <w:r w:rsidR="00EE1FBC">
        <w:rPr>
          <w:rFonts w:ascii="Times New Roman" w:hAnsi="Times New Roman"/>
          <w:sz w:val="24"/>
        </w:rPr>
        <w:t xml:space="preserve"> such as the EPA</w:t>
      </w:r>
      <w:r w:rsidR="00C71A7A">
        <w:rPr>
          <w:rFonts w:ascii="Times New Roman" w:hAnsi="Times New Roman"/>
          <w:sz w:val="24"/>
        </w:rPr>
        <w:t>,</w:t>
      </w:r>
      <w:r w:rsidR="00EE1FBC">
        <w:rPr>
          <w:rFonts w:ascii="Times New Roman" w:hAnsi="Times New Roman"/>
          <w:sz w:val="24"/>
        </w:rPr>
        <w:t xml:space="preserve"> in relation to water quality, air quality and </w:t>
      </w:r>
      <w:r w:rsidR="00EE1FBC">
        <w:rPr>
          <w:rFonts w:ascii="Times New Roman" w:hAnsi="Times New Roman"/>
          <w:sz w:val="24"/>
        </w:rPr>
        <w:lastRenderedPageBreak/>
        <w:t>other such matters.  In the circumstances, he was satisfied that the monitoring provided for in Chapter 7 of the SEA Statement and</w:t>
      </w:r>
      <w:r w:rsidR="00660035">
        <w:rPr>
          <w:rFonts w:ascii="Times New Roman" w:hAnsi="Times New Roman"/>
          <w:sz w:val="24"/>
        </w:rPr>
        <w:t>,</w:t>
      </w:r>
      <w:r w:rsidR="00EE1FBC">
        <w:rPr>
          <w:rFonts w:ascii="Times New Roman" w:hAnsi="Times New Roman"/>
          <w:sz w:val="24"/>
        </w:rPr>
        <w:t xml:space="preserve"> in particular</w:t>
      </w:r>
      <w:r w:rsidR="00660035">
        <w:rPr>
          <w:rFonts w:ascii="Times New Roman" w:hAnsi="Times New Roman"/>
          <w:sz w:val="24"/>
        </w:rPr>
        <w:t>,</w:t>
      </w:r>
      <w:r w:rsidR="00EE1FBC">
        <w:rPr>
          <w:rFonts w:ascii="Times New Roman" w:hAnsi="Times New Roman"/>
          <w:sz w:val="24"/>
        </w:rPr>
        <w:t xml:space="preserve"> the monitoring provisions outlined in Table 7.1 was sufficient to compl</w:t>
      </w:r>
      <w:r w:rsidR="00660035">
        <w:rPr>
          <w:rFonts w:ascii="Times New Roman" w:hAnsi="Times New Roman"/>
          <w:sz w:val="24"/>
        </w:rPr>
        <w:t>y</w:t>
      </w:r>
      <w:r w:rsidR="00EE1FBC">
        <w:rPr>
          <w:rFonts w:ascii="Times New Roman" w:hAnsi="Times New Roman"/>
          <w:sz w:val="24"/>
        </w:rPr>
        <w:t xml:space="preserve"> with the obligations in respect of the monitoring imposed upon the respondents by the Directive and the Regulations. </w:t>
      </w:r>
      <w:r>
        <w:rPr>
          <w:rFonts w:ascii="Times New Roman" w:hAnsi="Times New Roman"/>
          <w:sz w:val="24"/>
        </w:rPr>
        <w:t xml:space="preserve"> </w:t>
      </w:r>
    </w:p>
    <w:p w14:paraId="18C512B0" w14:textId="70936F57" w:rsidR="00151478" w:rsidRDefault="00151478"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trial judge then addressed the applicant’s argument that the SEA Statement fails to assess the effects of the NPF on climate change and the contention that there had been inadequate consideration of the submissions of the applicant prior to the adoption</w:t>
      </w:r>
      <w:r w:rsidR="00C71A7A">
        <w:rPr>
          <w:rFonts w:ascii="Times New Roman" w:hAnsi="Times New Roman"/>
          <w:sz w:val="24"/>
        </w:rPr>
        <w:t>,</w:t>
      </w:r>
      <w:r>
        <w:rPr>
          <w:rFonts w:ascii="Times New Roman" w:hAnsi="Times New Roman"/>
          <w:sz w:val="24"/>
        </w:rPr>
        <w:t xml:space="preserve"> or purported adoption</w:t>
      </w:r>
      <w:r w:rsidR="00C71A7A">
        <w:rPr>
          <w:rFonts w:ascii="Times New Roman" w:hAnsi="Times New Roman"/>
          <w:sz w:val="24"/>
        </w:rPr>
        <w:t>,</w:t>
      </w:r>
      <w:r>
        <w:rPr>
          <w:rFonts w:ascii="Times New Roman" w:hAnsi="Times New Roman"/>
          <w:sz w:val="24"/>
        </w:rPr>
        <w:t xml:space="preserve"> of the NPF and NDP.  He rejected the complaints of the</w:t>
      </w:r>
      <w:r w:rsidR="00396284">
        <w:rPr>
          <w:rFonts w:ascii="Times New Roman" w:hAnsi="Times New Roman"/>
          <w:sz w:val="24"/>
        </w:rPr>
        <w:t xml:space="preserve"> applicant under each of these h</w:t>
      </w:r>
      <w:r>
        <w:rPr>
          <w:rFonts w:ascii="Times New Roman" w:hAnsi="Times New Roman"/>
          <w:sz w:val="24"/>
        </w:rPr>
        <w:t xml:space="preserve">eads of </w:t>
      </w:r>
      <w:r w:rsidR="00396284">
        <w:rPr>
          <w:rFonts w:ascii="Times New Roman" w:hAnsi="Times New Roman"/>
          <w:sz w:val="24"/>
        </w:rPr>
        <w:t>c</w:t>
      </w:r>
      <w:r>
        <w:rPr>
          <w:rFonts w:ascii="Times New Roman" w:hAnsi="Times New Roman"/>
          <w:sz w:val="24"/>
        </w:rPr>
        <w:t xml:space="preserve">hallenge.  </w:t>
      </w:r>
    </w:p>
    <w:p w14:paraId="5B6AAE7F" w14:textId="7D34212E" w:rsidR="00283A21" w:rsidRDefault="00151478"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Finally, the trial judge addressed the applicant’s allegation that the respondents failed to carry out a</w:t>
      </w:r>
      <w:r w:rsidR="00821B28">
        <w:rPr>
          <w:rFonts w:ascii="Times New Roman" w:hAnsi="Times New Roman"/>
          <w:sz w:val="24"/>
        </w:rPr>
        <w:t>n</w:t>
      </w:r>
      <w:r>
        <w:rPr>
          <w:rFonts w:ascii="Times New Roman" w:hAnsi="Times New Roman"/>
          <w:sz w:val="24"/>
        </w:rPr>
        <w:t xml:space="preserve"> S</w:t>
      </w:r>
      <w:r w:rsidR="00B0139C">
        <w:rPr>
          <w:rFonts w:ascii="Times New Roman" w:hAnsi="Times New Roman"/>
          <w:sz w:val="24"/>
        </w:rPr>
        <w:t>E</w:t>
      </w:r>
      <w:r>
        <w:rPr>
          <w:rFonts w:ascii="Times New Roman" w:hAnsi="Times New Roman"/>
          <w:sz w:val="24"/>
        </w:rPr>
        <w:t xml:space="preserve">A or an AA of the </w:t>
      </w:r>
      <w:r w:rsidR="00B0139C">
        <w:rPr>
          <w:rFonts w:ascii="Times New Roman" w:hAnsi="Times New Roman"/>
          <w:sz w:val="24"/>
        </w:rPr>
        <w:t>NDP</w:t>
      </w:r>
      <w:r>
        <w:rPr>
          <w:rFonts w:ascii="Times New Roman" w:hAnsi="Times New Roman"/>
          <w:sz w:val="24"/>
        </w:rPr>
        <w:t>.  The applicant</w:t>
      </w:r>
      <w:r w:rsidR="00B0139C">
        <w:rPr>
          <w:rFonts w:ascii="Times New Roman" w:hAnsi="Times New Roman"/>
          <w:sz w:val="24"/>
        </w:rPr>
        <w:t xml:space="preserve"> </w:t>
      </w:r>
      <w:r>
        <w:rPr>
          <w:rFonts w:ascii="Times New Roman" w:hAnsi="Times New Roman"/>
          <w:sz w:val="24"/>
        </w:rPr>
        <w:t xml:space="preserve">submitted that the NDP should have been assessed for the purposes of the SEA Directive because the NDP was an infrastructure and spatial planning document designed to </w:t>
      </w:r>
      <w:r>
        <w:rPr>
          <w:rFonts w:ascii="Times New Roman" w:hAnsi="Times New Roman"/>
          <w:i/>
          <w:sz w:val="24"/>
        </w:rPr>
        <w:t>“drive Ireland’s economic environmental and social progress over the next decade”</w:t>
      </w:r>
      <w:r>
        <w:rPr>
          <w:rFonts w:ascii="Times New Roman" w:hAnsi="Times New Roman"/>
          <w:sz w:val="24"/>
        </w:rPr>
        <w:t xml:space="preserve">.  It identified priority areas for spatial planning and development and included initiatives designed to promote regional and rural connectivity.  It shared precisely the same priority </w:t>
      </w:r>
      <w:r w:rsidR="002443E8">
        <w:rPr>
          <w:rFonts w:ascii="Times New Roman" w:hAnsi="Times New Roman"/>
          <w:sz w:val="24"/>
        </w:rPr>
        <w:t>N</w:t>
      </w:r>
      <w:r w:rsidR="00320785">
        <w:rPr>
          <w:rFonts w:ascii="Times New Roman" w:hAnsi="Times New Roman"/>
          <w:sz w:val="24"/>
        </w:rPr>
        <w:t xml:space="preserve">ational </w:t>
      </w:r>
      <w:r w:rsidR="002443E8">
        <w:rPr>
          <w:rFonts w:ascii="Times New Roman" w:hAnsi="Times New Roman"/>
          <w:sz w:val="24"/>
        </w:rPr>
        <w:t>S</w:t>
      </w:r>
      <w:r w:rsidR="00320785">
        <w:rPr>
          <w:rFonts w:ascii="Times New Roman" w:hAnsi="Times New Roman"/>
          <w:sz w:val="24"/>
        </w:rPr>
        <w:t xml:space="preserve">trategic </w:t>
      </w:r>
      <w:r w:rsidR="002443E8">
        <w:rPr>
          <w:rFonts w:ascii="Times New Roman" w:hAnsi="Times New Roman"/>
          <w:sz w:val="24"/>
        </w:rPr>
        <w:t>O</w:t>
      </w:r>
      <w:r w:rsidR="00320785">
        <w:rPr>
          <w:rFonts w:ascii="Times New Roman" w:hAnsi="Times New Roman"/>
          <w:sz w:val="24"/>
        </w:rPr>
        <w:t>utcomes (“</w:t>
      </w:r>
      <w:r>
        <w:rPr>
          <w:rFonts w:ascii="Times New Roman" w:hAnsi="Times New Roman"/>
          <w:sz w:val="24"/>
        </w:rPr>
        <w:t>NSOs</w:t>
      </w:r>
      <w:r w:rsidR="00320785">
        <w:rPr>
          <w:rFonts w:ascii="Times New Roman" w:hAnsi="Times New Roman"/>
          <w:sz w:val="24"/>
        </w:rPr>
        <w:t>”)</w:t>
      </w:r>
      <w:r>
        <w:rPr>
          <w:rFonts w:ascii="Times New Roman" w:hAnsi="Times New Roman"/>
          <w:sz w:val="24"/>
        </w:rPr>
        <w:t xml:space="preserve"> </w:t>
      </w:r>
      <w:r w:rsidR="00283A21">
        <w:rPr>
          <w:rFonts w:ascii="Times New Roman" w:hAnsi="Times New Roman"/>
          <w:sz w:val="24"/>
        </w:rPr>
        <w:t>as the NPF</w:t>
      </w:r>
      <w:r w:rsidR="00B0139C">
        <w:rPr>
          <w:rFonts w:ascii="Times New Roman" w:hAnsi="Times New Roman"/>
          <w:sz w:val="24"/>
        </w:rPr>
        <w:t xml:space="preserve">.  </w:t>
      </w:r>
      <w:r w:rsidR="00283A21">
        <w:rPr>
          <w:rFonts w:ascii="Times New Roman" w:hAnsi="Times New Roman"/>
          <w:sz w:val="24"/>
        </w:rPr>
        <w:t xml:space="preserve"> It identified specific projects and set a framework for future development consents of the projects.  The NPD essentially comprised the infrastructure investment strategy for the NPF</w:t>
      </w:r>
      <w:r w:rsidR="005F08AB">
        <w:rPr>
          <w:rFonts w:ascii="Times New Roman" w:hAnsi="Times New Roman"/>
          <w:sz w:val="24"/>
        </w:rPr>
        <w:t>,</w:t>
      </w:r>
      <w:r w:rsidR="00283A21">
        <w:rPr>
          <w:rFonts w:ascii="Times New Roman" w:hAnsi="Times New Roman"/>
          <w:sz w:val="24"/>
        </w:rPr>
        <w:t xml:space="preserve"> while the NPF was the spatial development strategy for the NDP.  It </w:t>
      </w:r>
      <w:r w:rsidR="006C7100">
        <w:rPr>
          <w:rFonts w:ascii="Times New Roman" w:hAnsi="Times New Roman"/>
          <w:sz w:val="24"/>
        </w:rPr>
        <w:t>had been</w:t>
      </w:r>
      <w:r w:rsidR="00283A21">
        <w:rPr>
          <w:rFonts w:ascii="Times New Roman" w:hAnsi="Times New Roman"/>
          <w:sz w:val="24"/>
        </w:rPr>
        <w:t xml:space="preserve"> submitted </w:t>
      </w:r>
      <w:r w:rsidR="006C7100">
        <w:rPr>
          <w:rFonts w:ascii="Times New Roman" w:hAnsi="Times New Roman"/>
          <w:sz w:val="24"/>
        </w:rPr>
        <w:t xml:space="preserve">by the applicant </w:t>
      </w:r>
      <w:r w:rsidR="00283A21">
        <w:rPr>
          <w:rFonts w:ascii="Times New Roman" w:hAnsi="Times New Roman"/>
          <w:sz w:val="24"/>
        </w:rPr>
        <w:t xml:space="preserve">that both documents were inseparable and were effectively two sides of the same coin.  It was </w:t>
      </w:r>
      <w:r w:rsidR="006C7100">
        <w:rPr>
          <w:rFonts w:ascii="Times New Roman" w:hAnsi="Times New Roman"/>
          <w:sz w:val="24"/>
        </w:rPr>
        <w:t xml:space="preserve">also </w:t>
      </w:r>
      <w:r w:rsidR="00283A21">
        <w:rPr>
          <w:rFonts w:ascii="Times New Roman" w:hAnsi="Times New Roman"/>
          <w:sz w:val="24"/>
        </w:rPr>
        <w:t>submitted that</w:t>
      </w:r>
      <w:r w:rsidR="0008395C">
        <w:rPr>
          <w:rFonts w:ascii="Times New Roman" w:hAnsi="Times New Roman"/>
          <w:sz w:val="24"/>
        </w:rPr>
        <w:t>,</w:t>
      </w:r>
      <w:r w:rsidR="00283A21">
        <w:rPr>
          <w:rFonts w:ascii="Times New Roman" w:hAnsi="Times New Roman"/>
          <w:sz w:val="24"/>
        </w:rPr>
        <w:t xml:space="preserve"> giv</w:t>
      </w:r>
      <w:r w:rsidR="00B0139C">
        <w:rPr>
          <w:rFonts w:ascii="Times New Roman" w:hAnsi="Times New Roman"/>
          <w:sz w:val="24"/>
        </w:rPr>
        <w:t>e</w:t>
      </w:r>
      <w:r w:rsidR="00283A21">
        <w:rPr>
          <w:rFonts w:ascii="Times New Roman" w:hAnsi="Times New Roman"/>
          <w:sz w:val="24"/>
        </w:rPr>
        <w:t>n the degree of integration and interdependency between the plans</w:t>
      </w:r>
      <w:r w:rsidR="0008395C">
        <w:rPr>
          <w:rFonts w:ascii="Times New Roman" w:hAnsi="Times New Roman"/>
          <w:sz w:val="24"/>
        </w:rPr>
        <w:t>,</w:t>
      </w:r>
      <w:r w:rsidR="00283A21">
        <w:rPr>
          <w:rFonts w:ascii="Times New Roman" w:hAnsi="Times New Roman"/>
          <w:sz w:val="24"/>
        </w:rPr>
        <w:t xml:space="preserve"> they constituted a single plan or programme for the purposes of the SEA Directive and therefore the respondent</w:t>
      </w:r>
      <w:r w:rsidR="002A5FCA">
        <w:rPr>
          <w:rFonts w:ascii="Times New Roman" w:hAnsi="Times New Roman"/>
          <w:sz w:val="24"/>
        </w:rPr>
        <w:t>s</w:t>
      </w:r>
      <w:r w:rsidR="00283A21">
        <w:rPr>
          <w:rFonts w:ascii="Times New Roman" w:hAnsi="Times New Roman"/>
          <w:sz w:val="24"/>
        </w:rPr>
        <w:t xml:space="preserve"> w</w:t>
      </w:r>
      <w:r w:rsidR="002A5FCA">
        <w:rPr>
          <w:rFonts w:ascii="Times New Roman" w:hAnsi="Times New Roman"/>
          <w:sz w:val="24"/>
        </w:rPr>
        <w:t>ere</w:t>
      </w:r>
      <w:r w:rsidR="00283A21">
        <w:rPr>
          <w:rFonts w:ascii="Times New Roman" w:hAnsi="Times New Roman"/>
          <w:sz w:val="24"/>
        </w:rPr>
        <w:t xml:space="preserve"> obliged to subject both elements to assessment.  </w:t>
      </w:r>
    </w:p>
    <w:p w14:paraId="26B51FB2" w14:textId="53E9D45A" w:rsidR="0074771F" w:rsidRDefault="00283A21"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The trial judge rejected the </w:t>
      </w:r>
      <w:r w:rsidR="00455502">
        <w:rPr>
          <w:rFonts w:ascii="Times New Roman" w:hAnsi="Times New Roman"/>
          <w:sz w:val="24"/>
        </w:rPr>
        <w:t>argument</w:t>
      </w:r>
      <w:r>
        <w:rPr>
          <w:rFonts w:ascii="Times New Roman" w:hAnsi="Times New Roman"/>
          <w:sz w:val="24"/>
        </w:rPr>
        <w:t xml:space="preserve"> that the NDP was a plan or program</w:t>
      </w:r>
      <w:r w:rsidR="00B0139C">
        <w:rPr>
          <w:rFonts w:ascii="Times New Roman" w:hAnsi="Times New Roman"/>
          <w:sz w:val="24"/>
        </w:rPr>
        <w:t>me</w:t>
      </w:r>
      <w:r>
        <w:rPr>
          <w:rFonts w:ascii="Times New Roman" w:hAnsi="Times New Roman"/>
          <w:sz w:val="24"/>
        </w:rPr>
        <w:t xml:space="preserve"> within the definition of a plan or program</w:t>
      </w:r>
      <w:r w:rsidR="00B0139C">
        <w:rPr>
          <w:rFonts w:ascii="Times New Roman" w:hAnsi="Times New Roman"/>
          <w:sz w:val="24"/>
        </w:rPr>
        <w:t>me</w:t>
      </w:r>
      <w:r>
        <w:rPr>
          <w:rFonts w:ascii="Times New Roman" w:hAnsi="Times New Roman"/>
          <w:sz w:val="24"/>
        </w:rPr>
        <w:t xml:space="preserve"> in the SEA Directive.  In particular, he held it d</w:t>
      </w:r>
      <w:r w:rsidR="006C7100">
        <w:rPr>
          <w:rFonts w:ascii="Times New Roman" w:hAnsi="Times New Roman"/>
          <w:sz w:val="24"/>
        </w:rPr>
        <w:t xml:space="preserve">id </w:t>
      </w:r>
      <w:r>
        <w:rPr>
          <w:rFonts w:ascii="Times New Roman" w:hAnsi="Times New Roman"/>
          <w:sz w:val="24"/>
        </w:rPr>
        <w:t>not define the criteria and detail</w:t>
      </w:r>
      <w:r w:rsidR="005F08AB">
        <w:rPr>
          <w:rFonts w:ascii="Times New Roman" w:hAnsi="Times New Roman"/>
          <w:sz w:val="24"/>
        </w:rPr>
        <w:t>ed</w:t>
      </w:r>
      <w:r w:rsidR="0074771F">
        <w:rPr>
          <w:rFonts w:ascii="Times New Roman" w:hAnsi="Times New Roman"/>
          <w:sz w:val="24"/>
        </w:rPr>
        <w:t xml:space="preserve"> rules for the development of land or for consent in relation to particular projects.  The trial judge was satisfied that </w:t>
      </w:r>
      <w:r w:rsidR="00384679">
        <w:rPr>
          <w:rFonts w:ascii="Times New Roman" w:hAnsi="Times New Roman"/>
          <w:sz w:val="24"/>
        </w:rPr>
        <w:t>it</w:t>
      </w:r>
      <w:r w:rsidR="0074771F">
        <w:rPr>
          <w:rFonts w:ascii="Times New Roman" w:hAnsi="Times New Roman"/>
          <w:sz w:val="24"/>
        </w:rPr>
        <w:t xml:space="preserve"> was a budgetary plan which provided that certain designated projects are compatible with the NSOs set out in the NPF and the NDP</w:t>
      </w:r>
      <w:r w:rsidR="005F08AB">
        <w:rPr>
          <w:rFonts w:ascii="Times New Roman" w:hAnsi="Times New Roman"/>
          <w:sz w:val="24"/>
        </w:rPr>
        <w:t>,</w:t>
      </w:r>
      <w:r w:rsidR="0074771F">
        <w:rPr>
          <w:rFonts w:ascii="Times New Roman" w:hAnsi="Times New Roman"/>
          <w:sz w:val="24"/>
        </w:rPr>
        <w:t xml:space="preserve"> and as such may be considered appropriate for public funding.</w:t>
      </w:r>
    </w:p>
    <w:p w14:paraId="0D8DB62D" w14:textId="4D4ACD2A" w:rsidR="0074771F" w:rsidRDefault="0074771F"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trial judge held that the NDP </w:t>
      </w:r>
      <w:r w:rsidR="00384679">
        <w:rPr>
          <w:rFonts w:ascii="Times New Roman" w:hAnsi="Times New Roman"/>
          <w:sz w:val="24"/>
        </w:rPr>
        <w:t>was</w:t>
      </w:r>
      <w:r>
        <w:rPr>
          <w:rFonts w:ascii="Times New Roman" w:hAnsi="Times New Roman"/>
          <w:sz w:val="24"/>
        </w:rPr>
        <w:t xml:space="preserve"> a financial or budgetary plan which falls within the exception to SEA provided for in Article 3</w:t>
      </w:r>
      <w:r w:rsidR="00C71A7A">
        <w:rPr>
          <w:rFonts w:ascii="Times New Roman" w:hAnsi="Times New Roman"/>
          <w:sz w:val="24"/>
        </w:rPr>
        <w:t>(</w:t>
      </w:r>
      <w:r>
        <w:rPr>
          <w:rFonts w:ascii="Times New Roman" w:hAnsi="Times New Roman"/>
          <w:sz w:val="24"/>
        </w:rPr>
        <w:t>8</w:t>
      </w:r>
      <w:r w:rsidR="00C71A7A">
        <w:rPr>
          <w:rFonts w:ascii="Times New Roman" w:hAnsi="Times New Roman"/>
          <w:sz w:val="24"/>
        </w:rPr>
        <w:t>)</w:t>
      </w:r>
      <w:r>
        <w:rPr>
          <w:rFonts w:ascii="Times New Roman" w:hAnsi="Times New Roman"/>
          <w:sz w:val="24"/>
        </w:rPr>
        <w:t xml:space="preserve"> of the SEA Directive.  The court accepted </w:t>
      </w:r>
      <w:r w:rsidR="00384679">
        <w:rPr>
          <w:rFonts w:ascii="Times New Roman" w:hAnsi="Times New Roman"/>
          <w:sz w:val="24"/>
        </w:rPr>
        <w:t>and followed the decision of</w:t>
      </w:r>
      <w:r>
        <w:rPr>
          <w:rFonts w:ascii="Times New Roman" w:hAnsi="Times New Roman"/>
          <w:sz w:val="24"/>
        </w:rPr>
        <w:t xml:space="preserve"> Smyth J. in </w:t>
      </w:r>
      <w:r>
        <w:rPr>
          <w:rFonts w:ascii="Times New Roman" w:hAnsi="Times New Roman"/>
          <w:i/>
          <w:sz w:val="24"/>
        </w:rPr>
        <w:t xml:space="preserve">Kavanagh v. Ireland </w:t>
      </w:r>
      <w:r w:rsidR="0008395C">
        <w:rPr>
          <w:rFonts w:ascii="Times New Roman" w:hAnsi="Times New Roman"/>
          <w:i/>
          <w:sz w:val="24"/>
        </w:rPr>
        <w:t xml:space="preserve">[2007] IEHC 296 </w:t>
      </w:r>
      <w:r>
        <w:rPr>
          <w:rFonts w:ascii="Times New Roman" w:hAnsi="Times New Roman"/>
          <w:sz w:val="24"/>
        </w:rPr>
        <w:t>in respect of the previous NDP</w:t>
      </w:r>
      <w:r w:rsidR="001D166D">
        <w:rPr>
          <w:rFonts w:ascii="Times New Roman" w:hAnsi="Times New Roman"/>
          <w:sz w:val="24"/>
        </w:rPr>
        <w:t xml:space="preserve"> </w:t>
      </w:r>
      <w:r>
        <w:rPr>
          <w:rFonts w:ascii="Times New Roman" w:hAnsi="Times New Roman"/>
          <w:sz w:val="24"/>
        </w:rPr>
        <w:t xml:space="preserve">and made a similar finding in relation to the NDP in the current case.  </w:t>
      </w:r>
    </w:p>
    <w:p w14:paraId="10928CE8" w14:textId="354B3F5B" w:rsidR="00A45FD7" w:rsidRDefault="0074771F" w:rsidP="0017140E">
      <w:pPr>
        <w:pStyle w:val="ListParagraph"/>
        <w:numPr>
          <w:ilvl w:val="0"/>
          <w:numId w:val="1"/>
        </w:numPr>
        <w:tabs>
          <w:tab w:val="left" w:pos="567"/>
        </w:tabs>
        <w:spacing w:line="480" w:lineRule="auto"/>
        <w:ind w:left="0" w:firstLine="0"/>
        <w:jc w:val="left"/>
        <w:rPr>
          <w:rFonts w:ascii="Times New Roman" w:hAnsi="Times New Roman"/>
          <w:sz w:val="24"/>
        </w:rPr>
      </w:pPr>
      <w:r w:rsidRPr="0017140E">
        <w:rPr>
          <w:rFonts w:ascii="Times New Roman" w:hAnsi="Times New Roman"/>
          <w:sz w:val="24"/>
        </w:rPr>
        <w:t>Accordingly, the court held that the applicant had not made out an entitlement to any of the relief</w:t>
      </w:r>
      <w:r w:rsidR="002A1D9C">
        <w:rPr>
          <w:rFonts w:ascii="Times New Roman" w:hAnsi="Times New Roman"/>
          <w:sz w:val="24"/>
        </w:rPr>
        <w:t>s</w:t>
      </w:r>
      <w:r w:rsidRPr="0017140E">
        <w:rPr>
          <w:rFonts w:ascii="Times New Roman" w:hAnsi="Times New Roman"/>
          <w:sz w:val="24"/>
        </w:rPr>
        <w:t xml:space="preserve"> sought in the </w:t>
      </w:r>
      <w:r w:rsidR="00EA2622">
        <w:rPr>
          <w:rFonts w:ascii="Times New Roman" w:hAnsi="Times New Roman"/>
          <w:sz w:val="24"/>
        </w:rPr>
        <w:t>s</w:t>
      </w:r>
      <w:r w:rsidRPr="0017140E">
        <w:rPr>
          <w:rFonts w:ascii="Times New Roman" w:hAnsi="Times New Roman"/>
          <w:sz w:val="24"/>
        </w:rPr>
        <w:t xml:space="preserve">tatement of </w:t>
      </w:r>
      <w:r w:rsidR="00EA2622">
        <w:rPr>
          <w:rFonts w:ascii="Times New Roman" w:hAnsi="Times New Roman"/>
          <w:sz w:val="24"/>
        </w:rPr>
        <w:t>g</w:t>
      </w:r>
      <w:r w:rsidRPr="0017140E">
        <w:rPr>
          <w:rFonts w:ascii="Times New Roman" w:hAnsi="Times New Roman"/>
          <w:sz w:val="24"/>
        </w:rPr>
        <w:t xml:space="preserve">rounds and therefore dismissed the application for judicial review.  </w:t>
      </w:r>
      <w:r w:rsidR="0017140E" w:rsidRPr="0017140E">
        <w:rPr>
          <w:rFonts w:ascii="Times New Roman" w:hAnsi="Times New Roman"/>
          <w:sz w:val="24"/>
        </w:rPr>
        <w:t xml:space="preserve"> </w:t>
      </w:r>
    </w:p>
    <w:p w14:paraId="6134485E" w14:textId="77777777" w:rsidR="00193B3E" w:rsidRPr="00193B3E" w:rsidRDefault="00193B3E" w:rsidP="00542FF7">
      <w:pPr>
        <w:pStyle w:val="ListParagraph"/>
        <w:tabs>
          <w:tab w:val="left" w:pos="567"/>
        </w:tabs>
        <w:spacing w:line="276" w:lineRule="auto"/>
        <w:ind w:left="0"/>
        <w:jc w:val="left"/>
        <w:rPr>
          <w:rFonts w:ascii="Times New Roman" w:hAnsi="Times New Roman"/>
          <w:sz w:val="24"/>
        </w:rPr>
      </w:pPr>
    </w:p>
    <w:p w14:paraId="2DC91ECF" w14:textId="4342F44F" w:rsidR="0017140E" w:rsidRPr="0017140E" w:rsidRDefault="0074771F" w:rsidP="0017140E">
      <w:pPr>
        <w:pStyle w:val="ListParagraph"/>
        <w:tabs>
          <w:tab w:val="left" w:pos="567"/>
        </w:tabs>
        <w:spacing w:line="480" w:lineRule="auto"/>
        <w:ind w:left="0"/>
        <w:jc w:val="left"/>
        <w:rPr>
          <w:rFonts w:ascii="Times New Roman" w:hAnsi="Times New Roman"/>
          <w:sz w:val="24"/>
        </w:rPr>
      </w:pPr>
      <w:r w:rsidRPr="0017140E">
        <w:rPr>
          <w:rFonts w:ascii="Times New Roman" w:hAnsi="Times New Roman"/>
          <w:b/>
          <w:sz w:val="24"/>
          <w:u w:val="single"/>
        </w:rPr>
        <w:t xml:space="preserve">The </w:t>
      </w:r>
      <w:r w:rsidR="00D61A60">
        <w:rPr>
          <w:rFonts w:ascii="Times New Roman" w:hAnsi="Times New Roman"/>
          <w:b/>
          <w:sz w:val="24"/>
          <w:u w:val="single"/>
        </w:rPr>
        <w:t>issues in th</w:t>
      </w:r>
      <w:r w:rsidR="005607C0">
        <w:rPr>
          <w:rFonts w:ascii="Times New Roman" w:hAnsi="Times New Roman"/>
          <w:b/>
          <w:sz w:val="24"/>
          <w:u w:val="single"/>
        </w:rPr>
        <w:t>is</w:t>
      </w:r>
      <w:r w:rsidR="00D61A60">
        <w:rPr>
          <w:rFonts w:ascii="Times New Roman" w:hAnsi="Times New Roman"/>
          <w:b/>
          <w:sz w:val="24"/>
          <w:u w:val="single"/>
        </w:rPr>
        <w:t xml:space="preserve"> appeal</w:t>
      </w:r>
      <w:r w:rsidRPr="0017140E">
        <w:rPr>
          <w:rFonts w:ascii="Times New Roman" w:hAnsi="Times New Roman"/>
          <w:b/>
          <w:sz w:val="24"/>
          <w:u w:val="single"/>
        </w:rPr>
        <w:t xml:space="preserve"> </w:t>
      </w:r>
    </w:p>
    <w:p w14:paraId="17AFAAD1" w14:textId="3BEB28D4" w:rsidR="00A45FD7" w:rsidRDefault="00A45FD7"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identified </w:t>
      </w:r>
      <w:r w:rsidR="00C71A7A">
        <w:rPr>
          <w:rFonts w:ascii="Times New Roman" w:hAnsi="Times New Roman"/>
          <w:sz w:val="24"/>
        </w:rPr>
        <w:t xml:space="preserve">five issues </w:t>
      </w:r>
      <w:r w:rsidR="005607C0">
        <w:rPr>
          <w:rFonts w:ascii="Times New Roman" w:hAnsi="Times New Roman"/>
          <w:sz w:val="24"/>
        </w:rPr>
        <w:t>in its written submissions it said arose from the judgment of Barr J.</w:t>
      </w:r>
      <w:r>
        <w:rPr>
          <w:rFonts w:ascii="Times New Roman" w:hAnsi="Times New Roman"/>
          <w:sz w:val="24"/>
        </w:rPr>
        <w:t xml:space="preserve">  These are:</w:t>
      </w:r>
    </w:p>
    <w:p w14:paraId="4938CF92" w14:textId="19855D41" w:rsidR="0017140E" w:rsidRDefault="00A45FD7" w:rsidP="003763A0">
      <w:pPr>
        <w:pStyle w:val="ListParagraph"/>
        <w:numPr>
          <w:ilvl w:val="0"/>
          <w:numId w:val="4"/>
        </w:numPr>
        <w:spacing w:line="480" w:lineRule="auto"/>
        <w:ind w:left="1134" w:hanging="567"/>
        <w:jc w:val="left"/>
        <w:rPr>
          <w:rFonts w:ascii="Times New Roman" w:hAnsi="Times New Roman"/>
          <w:sz w:val="24"/>
        </w:rPr>
      </w:pPr>
      <w:r>
        <w:rPr>
          <w:rFonts w:ascii="Times New Roman" w:hAnsi="Times New Roman"/>
          <w:sz w:val="24"/>
        </w:rPr>
        <w:t>Whether the AA of the NPF and the NDP was lawful</w:t>
      </w:r>
      <w:r w:rsidR="002A1D9C">
        <w:rPr>
          <w:rFonts w:ascii="Times New Roman" w:hAnsi="Times New Roman"/>
          <w:sz w:val="24"/>
        </w:rPr>
        <w:t xml:space="preserve">; </w:t>
      </w:r>
      <w:r w:rsidR="00D05752">
        <w:rPr>
          <w:rFonts w:ascii="Times New Roman" w:hAnsi="Times New Roman"/>
          <w:sz w:val="24"/>
        </w:rPr>
        <w:t xml:space="preserve">whether the required AA determination was taken prior to adoption of the NPF and NDP; </w:t>
      </w:r>
    </w:p>
    <w:p w14:paraId="237FDDFF" w14:textId="77777777" w:rsidR="00A45FD7" w:rsidRDefault="00A45FD7" w:rsidP="003763A0">
      <w:pPr>
        <w:pStyle w:val="ListParagraph"/>
        <w:numPr>
          <w:ilvl w:val="0"/>
          <w:numId w:val="4"/>
        </w:numPr>
        <w:spacing w:line="480" w:lineRule="auto"/>
        <w:ind w:left="1134" w:hanging="567"/>
        <w:jc w:val="left"/>
        <w:rPr>
          <w:rFonts w:ascii="Times New Roman" w:hAnsi="Times New Roman"/>
          <w:sz w:val="24"/>
        </w:rPr>
      </w:pPr>
      <w:r>
        <w:rPr>
          <w:rFonts w:ascii="Times New Roman" w:hAnsi="Times New Roman"/>
          <w:sz w:val="24"/>
        </w:rPr>
        <w:t xml:space="preserve">Whether the SEA is flawed because the Environmental Report did not give comparable consideration to the </w:t>
      </w:r>
      <w:r>
        <w:rPr>
          <w:rFonts w:ascii="Times New Roman" w:hAnsi="Times New Roman"/>
          <w:i/>
          <w:sz w:val="24"/>
        </w:rPr>
        <w:t xml:space="preserve">“reasonable alternatives” </w:t>
      </w:r>
      <w:r>
        <w:rPr>
          <w:rFonts w:ascii="Times New Roman" w:hAnsi="Times New Roman"/>
          <w:sz w:val="24"/>
        </w:rPr>
        <w:t>as to the preferred option;</w:t>
      </w:r>
    </w:p>
    <w:p w14:paraId="7B743DD3" w14:textId="77777777" w:rsidR="00A45FD7" w:rsidRDefault="00A45FD7" w:rsidP="003763A0">
      <w:pPr>
        <w:pStyle w:val="ListParagraph"/>
        <w:numPr>
          <w:ilvl w:val="0"/>
          <w:numId w:val="4"/>
        </w:numPr>
        <w:spacing w:line="480" w:lineRule="auto"/>
        <w:ind w:left="1134" w:hanging="567"/>
        <w:jc w:val="left"/>
        <w:rPr>
          <w:rFonts w:ascii="Times New Roman" w:hAnsi="Times New Roman"/>
          <w:sz w:val="24"/>
        </w:rPr>
      </w:pPr>
      <w:r>
        <w:rPr>
          <w:rFonts w:ascii="Times New Roman" w:hAnsi="Times New Roman"/>
          <w:sz w:val="24"/>
        </w:rPr>
        <w:t xml:space="preserve">Whether the SEA is flawed because the SEA Statement does not comply with the requirement concerning </w:t>
      </w:r>
      <w:r>
        <w:rPr>
          <w:rFonts w:ascii="Times New Roman" w:hAnsi="Times New Roman"/>
          <w:i/>
          <w:sz w:val="24"/>
        </w:rPr>
        <w:t>“monitoring”</w:t>
      </w:r>
      <w:r>
        <w:rPr>
          <w:rFonts w:ascii="Times New Roman" w:hAnsi="Times New Roman"/>
          <w:sz w:val="24"/>
        </w:rPr>
        <w:t>;</w:t>
      </w:r>
    </w:p>
    <w:p w14:paraId="3574BEB7" w14:textId="77777777" w:rsidR="00A45FD7" w:rsidRDefault="00A45FD7" w:rsidP="003763A0">
      <w:pPr>
        <w:pStyle w:val="ListParagraph"/>
        <w:numPr>
          <w:ilvl w:val="0"/>
          <w:numId w:val="4"/>
        </w:numPr>
        <w:spacing w:line="480" w:lineRule="auto"/>
        <w:ind w:left="1134" w:hanging="567"/>
        <w:jc w:val="left"/>
        <w:rPr>
          <w:rFonts w:ascii="Times New Roman" w:hAnsi="Times New Roman"/>
          <w:sz w:val="24"/>
        </w:rPr>
      </w:pPr>
      <w:r>
        <w:rPr>
          <w:rFonts w:ascii="Times New Roman" w:hAnsi="Times New Roman"/>
          <w:sz w:val="24"/>
        </w:rPr>
        <w:lastRenderedPageBreak/>
        <w:t>Whether the SEA is flawed because of the failure to assess the effects on climate change of implementation of the plans;</w:t>
      </w:r>
    </w:p>
    <w:p w14:paraId="5AC53E15" w14:textId="77777777" w:rsidR="00A45FD7" w:rsidRDefault="00A45FD7" w:rsidP="003763A0">
      <w:pPr>
        <w:pStyle w:val="ListParagraph"/>
        <w:numPr>
          <w:ilvl w:val="0"/>
          <w:numId w:val="4"/>
        </w:numPr>
        <w:spacing w:line="480" w:lineRule="auto"/>
        <w:ind w:left="1134" w:hanging="567"/>
        <w:jc w:val="left"/>
        <w:rPr>
          <w:rFonts w:ascii="Times New Roman" w:hAnsi="Times New Roman"/>
          <w:sz w:val="24"/>
        </w:rPr>
      </w:pPr>
      <w:r>
        <w:rPr>
          <w:rFonts w:ascii="Times New Roman" w:hAnsi="Times New Roman"/>
          <w:sz w:val="24"/>
        </w:rPr>
        <w:t xml:space="preserve">Whether the NDP should have </w:t>
      </w:r>
      <w:r w:rsidR="00CA58AD">
        <w:rPr>
          <w:rFonts w:ascii="Times New Roman" w:hAnsi="Times New Roman"/>
          <w:sz w:val="24"/>
        </w:rPr>
        <w:t>been assessed under the Directives.</w:t>
      </w:r>
    </w:p>
    <w:p w14:paraId="5BEB9008" w14:textId="2FEEB714" w:rsidR="00CA58AD" w:rsidRDefault="00CA58AD"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addition, the applicant alleged that the SEA was flawed</w:t>
      </w:r>
      <w:r w:rsidR="00193B3E">
        <w:rPr>
          <w:rFonts w:ascii="Times New Roman" w:hAnsi="Times New Roman"/>
          <w:sz w:val="24"/>
        </w:rPr>
        <w:t xml:space="preserve"> because</w:t>
      </w:r>
      <w:r>
        <w:rPr>
          <w:rFonts w:ascii="Times New Roman" w:hAnsi="Times New Roman"/>
          <w:sz w:val="24"/>
        </w:rPr>
        <w:t xml:space="preserve"> the reasons for selecting the preferred option were opaque</w:t>
      </w:r>
      <w:r w:rsidR="00193B3E">
        <w:rPr>
          <w:rFonts w:ascii="Times New Roman" w:hAnsi="Times New Roman"/>
          <w:sz w:val="24"/>
        </w:rPr>
        <w:t>,</w:t>
      </w:r>
      <w:r>
        <w:rPr>
          <w:rFonts w:ascii="Times New Roman" w:hAnsi="Times New Roman"/>
          <w:sz w:val="24"/>
        </w:rPr>
        <w:t xml:space="preserve"> as the assessment matrix adopted </w:t>
      </w:r>
      <w:r w:rsidR="00193B3E">
        <w:rPr>
          <w:rFonts w:ascii="Times New Roman" w:hAnsi="Times New Roman"/>
          <w:sz w:val="24"/>
        </w:rPr>
        <w:t xml:space="preserve">in the SEA Environmental Report </w:t>
      </w:r>
      <w:r>
        <w:rPr>
          <w:rFonts w:ascii="Times New Roman" w:hAnsi="Times New Roman"/>
          <w:sz w:val="24"/>
        </w:rPr>
        <w:t xml:space="preserve">was </w:t>
      </w:r>
      <w:r w:rsidR="005607C0">
        <w:rPr>
          <w:rFonts w:ascii="Times New Roman" w:hAnsi="Times New Roman"/>
          <w:sz w:val="24"/>
        </w:rPr>
        <w:t xml:space="preserve">(as it described it) </w:t>
      </w:r>
      <w:r>
        <w:rPr>
          <w:rFonts w:ascii="Times New Roman" w:hAnsi="Times New Roman"/>
          <w:sz w:val="24"/>
        </w:rPr>
        <w:t xml:space="preserve">entirely incomprehensible.  </w:t>
      </w:r>
    </w:p>
    <w:p w14:paraId="77016C07" w14:textId="478A2907" w:rsidR="00CA58AD" w:rsidRDefault="00193B3E"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the respondents</w:t>
      </w:r>
      <w:r w:rsidR="002A1D9C">
        <w:rPr>
          <w:rFonts w:ascii="Times New Roman" w:hAnsi="Times New Roman"/>
          <w:sz w:val="24"/>
        </w:rPr>
        <w:t>’</w:t>
      </w:r>
      <w:r>
        <w:rPr>
          <w:rFonts w:ascii="Times New Roman" w:hAnsi="Times New Roman"/>
          <w:sz w:val="24"/>
        </w:rPr>
        <w:t xml:space="preserve"> notice, the </w:t>
      </w:r>
      <w:r w:rsidR="00193945">
        <w:rPr>
          <w:rFonts w:ascii="Times New Roman" w:hAnsi="Times New Roman"/>
          <w:sz w:val="24"/>
        </w:rPr>
        <w:t>respondents</w:t>
      </w:r>
      <w:r>
        <w:rPr>
          <w:rFonts w:ascii="Times New Roman" w:hAnsi="Times New Roman"/>
          <w:sz w:val="24"/>
        </w:rPr>
        <w:t xml:space="preserve"> cross</w:t>
      </w:r>
      <w:r w:rsidR="00EA2622">
        <w:rPr>
          <w:rFonts w:ascii="Times New Roman" w:hAnsi="Times New Roman"/>
          <w:sz w:val="24"/>
        </w:rPr>
        <w:t>-</w:t>
      </w:r>
      <w:r>
        <w:rPr>
          <w:rFonts w:ascii="Times New Roman" w:hAnsi="Times New Roman"/>
          <w:sz w:val="24"/>
        </w:rPr>
        <w:t xml:space="preserve">appealed the decision of the trial judge to permit the applicant to argue that the </w:t>
      </w:r>
      <w:r w:rsidR="00193945">
        <w:rPr>
          <w:rFonts w:ascii="Times New Roman" w:hAnsi="Times New Roman"/>
          <w:sz w:val="24"/>
        </w:rPr>
        <w:t>decision to adopt the NPF failed to satisfy the requirements of the SEA Directive because the preferred option and the reasonable alternatives were not subject to a comparable level of assessment</w:t>
      </w:r>
      <w:r w:rsidR="00320785">
        <w:rPr>
          <w:rFonts w:ascii="Times New Roman" w:hAnsi="Times New Roman"/>
          <w:sz w:val="24"/>
        </w:rPr>
        <w:t>,</w:t>
      </w:r>
      <w:r w:rsidR="00193945">
        <w:rPr>
          <w:rFonts w:ascii="Times New Roman" w:hAnsi="Times New Roman"/>
          <w:sz w:val="24"/>
        </w:rPr>
        <w:t xml:space="preserve"> in circumstances where the point had not been pleaded adequately</w:t>
      </w:r>
      <w:r w:rsidR="00C435E7">
        <w:rPr>
          <w:rFonts w:ascii="Times New Roman" w:hAnsi="Times New Roman"/>
          <w:sz w:val="24"/>
        </w:rPr>
        <w:t>,</w:t>
      </w:r>
      <w:r w:rsidR="00193945">
        <w:rPr>
          <w:rFonts w:ascii="Times New Roman" w:hAnsi="Times New Roman"/>
          <w:sz w:val="24"/>
        </w:rPr>
        <w:t xml:space="preserve"> or at all</w:t>
      </w:r>
      <w:r w:rsidR="00C435E7">
        <w:rPr>
          <w:rFonts w:ascii="Times New Roman" w:hAnsi="Times New Roman"/>
          <w:sz w:val="24"/>
        </w:rPr>
        <w:t>,</w:t>
      </w:r>
      <w:r w:rsidR="00193945">
        <w:rPr>
          <w:rFonts w:ascii="Times New Roman" w:hAnsi="Times New Roman"/>
          <w:sz w:val="24"/>
        </w:rPr>
        <w:t xml:space="preserve"> and there had been no application to amend the statement of grounds to include this argument. </w:t>
      </w:r>
      <w:r w:rsidR="00EA2622">
        <w:rPr>
          <w:rFonts w:ascii="Times New Roman" w:hAnsi="Times New Roman"/>
          <w:sz w:val="24"/>
        </w:rPr>
        <w:t xml:space="preserve"> </w:t>
      </w:r>
      <w:r w:rsidR="00193945">
        <w:rPr>
          <w:rFonts w:ascii="Times New Roman" w:hAnsi="Times New Roman"/>
          <w:sz w:val="24"/>
        </w:rPr>
        <w:t>In addition, d</w:t>
      </w:r>
      <w:r w:rsidR="00CA58AD">
        <w:rPr>
          <w:rFonts w:ascii="Times New Roman" w:hAnsi="Times New Roman"/>
          <w:sz w:val="24"/>
        </w:rPr>
        <w:t>uring the course of argument, counsel for the respondents raised the issue whether or not the NPF came within the scope of the SEA Directive at all</w:t>
      </w:r>
      <w:r w:rsidR="00C52062">
        <w:rPr>
          <w:rFonts w:ascii="Times New Roman" w:hAnsi="Times New Roman"/>
          <w:sz w:val="24"/>
        </w:rPr>
        <w:t>,</w:t>
      </w:r>
      <w:r w:rsidR="00CA58AD">
        <w:rPr>
          <w:rFonts w:ascii="Times New Roman" w:hAnsi="Times New Roman"/>
          <w:sz w:val="24"/>
        </w:rPr>
        <w:t xml:space="preserve"> and this too is an issue in the appeal.  </w:t>
      </w:r>
    </w:p>
    <w:p w14:paraId="0C9A42AE" w14:textId="62020952" w:rsidR="00CA58AD" w:rsidRDefault="00CA58AD" w:rsidP="00A44DD8">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Finally, the applicant raised an issue concerning the respondent</w:t>
      </w:r>
      <w:r w:rsidR="002A1D9C">
        <w:rPr>
          <w:rFonts w:ascii="Times New Roman" w:hAnsi="Times New Roman"/>
          <w:sz w:val="24"/>
        </w:rPr>
        <w:t>s’</w:t>
      </w:r>
      <w:r>
        <w:rPr>
          <w:rFonts w:ascii="Times New Roman" w:hAnsi="Times New Roman"/>
          <w:sz w:val="24"/>
        </w:rPr>
        <w:t xml:space="preserve"> alleged want of candour in </w:t>
      </w:r>
      <w:r w:rsidR="002A1D9C">
        <w:rPr>
          <w:rFonts w:ascii="Times New Roman" w:hAnsi="Times New Roman"/>
          <w:sz w:val="24"/>
        </w:rPr>
        <w:t>their</w:t>
      </w:r>
      <w:r>
        <w:rPr>
          <w:rFonts w:ascii="Times New Roman" w:hAnsi="Times New Roman"/>
          <w:sz w:val="24"/>
        </w:rPr>
        <w:t xml:space="preserve"> </w:t>
      </w:r>
      <w:r w:rsidR="002A1D9C">
        <w:rPr>
          <w:rFonts w:ascii="Times New Roman" w:hAnsi="Times New Roman"/>
          <w:sz w:val="24"/>
        </w:rPr>
        <w:t xml:space="preserve">(lack of) </w:t>
      </w:r>
      <w:r>
        <w:rPr>
          <w:rFonts w:ascii="Times New Roman" w:hAnsi="Times New Roman"/>
          <w:sz w:val="24"/>
        </w:rPr>
        <w:t xml:space="preserve">response to the applicant prior to the issuing of the proceedings and in </w:t>
      </w:r>
      <w:r w:rsidR="002A1D9C">
        <w:rPr>
          <w:rFonts w:ascii="Times New Roman" w:hAnsi="Times New Roman"/>
          <w:sz w:val="24"/>
        </w:rPr>
        <w:t>their</w:t>
      </w:r>
      <w:r>
        <w:rPr>
          <w:rFonts w:ascii="Times New Roman" w:hAnsi="Times New Roman"/>
          <w:sz w:val="24"/>
        </w:rPr>
        <w:t xml:space="preserve"> opposition </w:t>
      </w:r>
      <w:r w:rsidR="002A1D9C">
        <w:rPr>
          <w:rFonts w:ascii="Times New Roman" w:hAnsi="Times New Roman"/>
          <w:sz w:val="24"/>
        </w:rPr>
        <w:t>to</w:t>
      </w:r>
      <w:r>
        <w:rPr>
          <w:rFonts w:ascii="Times New Roman" w:hAnsi="Times New Roman"/>
          <w:sz w:val="24"/>
        </w:rPr>
        <w:t xml:space="preserve"> the applicant’s case.</w:t>
      </w:r>
    </w:p>
    <w:p w14:paraId="032C7F1C" w14:textId="77777777" w:rsidR="00F70E09" w:rsidRPr="00193945" w:rsidRDefault="00F70E09" w:rsidP="00542FF7">
      <w:pPr>
        <w:pStyle w:val="ListParagraph"/>
        <w:tabs>
          <w:tab w:val="left" w:pos="567"/>
        </w:tabs>
        <w:spacing w:line="276" w:lineRule="auto"/>
        <w:ind w:left="0"/>
        <w:jc w:val="left"/>
        <w:rPr>
          <w:rFonts w:ascii="Times New Roman" w:hAnsi="Times New Roman"/>
          <w:sz w:val="24"/>
        </w:rPr>
      </w:pPr>
    </w:p>
    <w:p w14:paraId="3FEBEC70" w14:textId="1A54CD7C" w:rsidR="00651355" w:rsidRPr="00C52062" w:rsidRDefault="00CA58AD" w:rsidP="00542FF7">
      <w:pPr>
        <w:spacing w:line="480" w:lineRule="auto"/>
      </w:pPr>
      <w:r w:rsidRPr="00542FF7">
        <w:rPr>
          <w:b/>
          <w:u w:val="single"/>
        </w:rPr>
        <w:t>Preliminary Issue</w:t>
      </w:r>
      <w:r w:rsidR="005607C0" w:rsidRPr="00542FF7">
        <w:rPr>
          <w:b/>
          <w:u w:val="single"/>
        </w:rPr>
        <w:t xml:space="preserve"> </w:t>
      </w:r>
    </w:p>
    <w:p w14:paraId="6C1DA620" w14:textId="54612BC2" w:rsidR="00C52062" w:rsidRPr="001F23E7" w:rsidRDefault="00C52062" w:rsidP="00A44DD8">
      <w:pPr>
        <w:pStyle w:val="ListParagraph"/>
        <w:numPr>
          <w:ilvl w:val="0"/>
          <w:numId w:val="1"/>
        </w:numPr>
        <w:tabs>
          <w:tab w:val="left" w:pos="567"/>
        </w:tabs>
        <w:spacing w:line="480" w:lineRule="auto"/>
        <w:ind w:left="0" w:firstLine="0"/>
        <w:jc w:val="left"/>
        <w:rPr>
          <w:rFonts w:ascii="Times New Roman" w:hAnsi="Times New Roman"/>
          <w:i/>
          <w:sz w:val="24"/>
        </w:rPr>
      </w:pPr>
      <w:r>
        <w:rPr>
          <w:rFonts w:ascii="Times New Roman" w:hAnsi="Times New Roman"/>
          <w:sz w:val="24"/>
        </w:rPr>
        <w:t>It is appropriate to deal first with the question whether the NPF is within the scope of the SEA Directive at all.</w:t>
      </w:r>
      <w:r w:rsidRPr="00C52062">
        <w:rPr>
          <w:rFonts w:ascii="Times New Roman" w:hAnsi="Times New Roman"/>
          <w:sz w:val="24"/>
        </w:rPr>
        <w:t xml:space="preserve"> </w:t>
      </w:r>
      <w:r w:rsidR="00834EF0">
        <w:rPr>
          <w:rFonts w:ascii="Times New Roman" w:hAnsi="Times New Roman"/>
          <w:sz w:val="24"/>
        </w:rPr>
        <w:t xml:space="preserve"> </w:t>
      </w:r>
      <w:r>
        <w:rPr>
          <w:rFonts w:ascii="Times New Roman" w:hAnsi="Times New Roman"/>
          <w:sz w:val="24"/>
        </w:rPr>
        <w:t xml:space="preserve">If it is not, then most of the arguments of the applicant fall away. This point emerged during submissions to the </w:t>
      </w:r>
      <w:r w:rsidR="00834EF0">
        <w:rPr>
          <w:rFonts w:ascii="Times New Roman" w:hAnsi="Times New Roman"/>
          <w:sz w:val="24"/>
        </w:rPr>
        <w:t>c</w:t>
      </w:r>
      <w:r>
        <w:rPr>
          <w:rFonts w:ascii="Times New Roman" w:hAnsi="Times New Roman"/>
          <w:sz w:val="24"/>
        </w:rPr>
        <w:t xml:space="preserve">ourt when debating the legislative basis for the adoption of the plan.  The SEA Directive applies to plans or programmes within the meaning of the Directive. </w:t>
      </w:r>
      <w:r w:rsidR="00834EF0">
        <w:rPr>
          <w:rFonts w:ascii="Times New Roman" w:hAnsi="Times New Roman"/>
          <w:sz w:val="24"/>
        </w:rPr>
        <w:t xml:space="preserve"> </w:t>
      </w:r>
      <w:r>
        <w:rPr>
          <w:rFonts w:ascii="Times New Roman" w:hAnsi="Times New Roman"/>
          <w:sz w:val="24"/>
        </w:rPr>
        <w:t xml:space="preserve">Article 2 provides that </w:t>
      </w:r>
      <w:r>
        <w:rPr>
          <w:rFonts w:ascii="Times New Roman" w:hAnsi="Times New Roman"/>
          <w:i/>
          <w:sz w:val="24"/>
        </w:rPr>
        <w:t xml:space="preserve">“plans and programmes” </w:t>
      </w:r>
      <w:r>
        <w:rPr>
          <w:rFonts w:ascii="Times New Roman" w:hAnsi="Times New Roman"/>
          <w:sz w:val="24"/>
        </w:rPr>
        <w:t xml:space="preserve">means plans and programmes </w:t>
      </w:r>
      <w:r>
        <w:rPr>
          <w:rFonts w:ascii="Times New Roman" w:hAnsi="Times New Roman"/>
          <w:i/>
          <w:sz w:val="24"/>
        </w:rPr>
        <w:t>“which are subject to preparation and/or adoption by an authority at national</w:t>
      </w:r>
      <w:r w:rsidR="00834EF0">
        <w:rPr>
          <w:rFonts w:ascii="Times New Roman" w:hAnsi="Times New Roman"/>
          <w:i/>
          <w:sz w:val="24"/>
        </w:rPr>
        <w:t xml:space="preserve"> </w:t>
      </w:r>
      <w:r>
        <w:rPr>
          <w:rFonts w:ascii="Times New Roman" w:hAnsi="Times New Roman"/>
          <w:i/>
          <w:sz w:val="24"/>
        </w:rPr>
        <w:t>…</w:t>
      </w:r>
      <w:r w:rsidR="00834EF0">
        <w:rPr>
          <w:rFonts w:ascii="Times New Roman" w:hAnsi="Times New Roman"/>
          <w:i/>
          <w:sz w:val="24"/>
        </w:rPr>
        <w:t xml:space="preserve"> </w:t>
      </w:r>
      <w:r>
        <w:rPr>
          <w:rFonts w:ascii="Times New Roman" w:hAnsi="Times New Roman"/>
          <w:i/>
          <w:sz w:val="24"/>
        </w:rPr>
        <w:t xml:space="preserve">level or which are prepared by an authority for adoption, through a legislative </w:t>
      </w:r>
      <w:r>
        <w:rPr>
          <w:rFonts w:ascii="Times New Roman" w:hAnsi="Times New Roman"/>
          <w:i/>
          <w:sz w:val="24"/>
        </w:rPr>
        <w:lastRenderedPageBreak/>
        <w:t>procedure by</w:t>
      </w:r>
      <w:r w:rsidR="00834EF0">
        <w:rPr>
          <w:rFonts w:ascii="Times New Roman" w:hAnsi="Times New Roman"/>
          <w:i/>
          <w:sz w:val="24"/>
        </w:rPr>
        <w:t xml:space="preserve"> </w:t>
      </w:r>
      <w:r>
        <w:rPr>
          <w:rFonts w:ascii="Times New Roman" w:hAnsi="Times New Roman"/>
          <w:i/>
          <w:sz w:val="24"/>
        </w:rPr>
        <w:t>…</w:t>
      </w:r>
      <w:r w:rsidR="00834EF0">
        <w:rPr>
          <w:rFonts w:ascii="Times New Roman" w:hAnsi="Times New Roman"/>
          <w:i/>
          <w:sz w:val="24"/>
        </w:rPr>
        <w:t xml:space="preserve"> </w:t>
      </w:r>
      <w:r>
        <w:rPr>
          <w:rFonts w:ascii="Times New Roman" w:hAnsi="Times New Roman"/>
          <w:i/>
          <w:sz w:val="24"/>
        </w:rPr>
        <w:t>government, and which are required by legislative</w:t>
      </w:r>
      <w:r w:rsidR="00834EF0">
        <w:rPr>
          <w:rFonts w:ascii="Times New Roman" w:hAnsi="Times New Roman"/>
          <w:i/>
          <w:sz w:val="24"/>
        </w:rPr>
        <w:t xml:space="preserve"> </w:t>
      </w:r>
      <w:r>
        <w:rPr>
          <w:rFonts w:ascii="Times New Roman" w:hAnsi="Times New Roman"/>
          <w:i/>
          <w:sz w:val="24"/>
        </w:rPr>
        <w:t>…</w:t>
      </w:r>
      <w:r w:rsidR="00834EF0">
        <w:rPr>
          <w:rFonts w:ascii="Times New Roman" w:hAnsi="Times New Roman"/>
          <w:i/>
          <w:sz w:val="24"/>
        </w:rPr>
        <w:t xml:space="preserve"> </w:t>
      </w:r>
      <w:r>
        <w:rPr>
          <w:rFonts w:ascii="Times New Roman" w:hAnsi="Times New Roman"/>
          <w:i/>
          <w:sz w:val="24"/>
        </w:rPr>
        <w:t xml:space="preserve">provisions.”  </w:t>
      </w:r>
      <w:r>
        <w:rPr>
          <w:rFonts w:ascii="Times New Roman" w:hAnsi="Times New Roman"/>
          <w:sz w:val="24"/>
        </w:rPr>
        <w:t xml:space="preserve">The NPF replaces the </w:t>
      </w:r>
      <w:r w:rsidR="00C73C5A">
        <w:rPr>
          <w:rFonts w:ascii="Times New Roman" w:hAnsi="Times New Roman"/>
          <w:sz w:val="24"/>
        </w:rPr>
        <w:t>NSS</w:t>
      </w:r>
      <w:r>
        <w:rPr>
          <w:rFonts w:ascii="Times New Roman" w:hAnsi="Times New Roman"/>
          <w:sz w:val="24"/>
        </w:rPr>
        <w:t xml:space="preserve"> which is defined in s.</w:t>
      </w:r>
      <w:r w:rsidR="00834EF0">
        <w:rPr>
          <w:rFonts w:ascii="Times New Roman" w:hAnsi="Times New Roman"/>
          <w:sz w:val="24"/>
        </w:rPr>
        <w:t xml:space="preserve"> </w:t>
      </w:r>
      <w:r>
        <w:rPr>
          <w:rFonts w:ascii="Times New Roman" w:hAnsi="Times New Roman"/>
          <w:sz w:val="24"/>
        </w:rPr>
        <w:t>2 of the PDA 2000 as amended.  It was submitted that this did not bring the NPF within the meaning of the definition of plans and programmes to which the SEA Directive applied.</w:t>
      </w:r>
    </w:p>
    <w:p w14:paraId="58DA52B0" w14:textId="5B898924" w:rsidR="004C2499" w:rsidRPr="0007744E" w:rsidRDefault="005607C0" w:rsidP="003763A0">
      <w:pPr>
        <w:pStyle w:val="ListParagraph"/>
        <w:numPr>
          <w:ilvl w:val="0"/>
          <w:numId w:val="1"/>
        </w:numPr>
        <w:tabs>
          <w:tab w:val="left" w:pos="567"/>
        </w:tabs>
        <w:spacing w:line="480" w:lineRule="auto"/>
        <w:ind w:left="0" w:firstLine="0"/>
        <w:jc w:val="left"/>
        <w:rPr>
          <w:rFonts w:ascii="Times New Roman" w:hAnsi="Times New Roman"/>
          <w:i/>
          <w:sz w:val="24"/>
        </w:rPr>
      </w:pPr>
      <w:r>
        <w:rPr>
          <w:rFonts w:ascii="Times New Roman" w:hAnsi="Times New Roman"/>
          <w:sz w:val="24"/>
        </w:rPr>
        <w:t xml:space="preserve">Although noting that the issue was in the first instance raised by the </w:t>
      </w:r>
      <w:r w:rsidR="002F19DE">
        <w:rPr>
          <w:rFonts w:ascii="Times New Roman" w:hAnsi="Times New Roman"/>
          <w:sz w:val="24"/>
        </w:rPr>
        <w:t>c</w:t>
      </w:r>
      <w:r>
        <w:rPr>
          <w:rFonts w:ascii="Times New Roman" w:hAnsi="Times New Roman"/>
          <w:sz w:val="24"/>
        </w:rPr>
        <w:t>ourt, it is my view that the contention that the NPF does not fall within the SEA Directive</w:t>
      </w:r>
      <w:r w:rsidR="00651355" w:rsidRPr="0007744E">
        <w:rPr>
          <w:rFonts w:ascii="Times New Roman" w:hAnsi="Times New Roman"/>
          <w:sz w:val="24"/>
        </w:rPr>
        <w:t xml:space="preserve"> may be shortly rejected.  The SEA Scoping Report advised that SEA should be applied</w:t>
      </w:r>
      <w:r w:rsidR="008E1C9C">
        <w:rPr>
          <w:rFonts w:ascii="Times New Roman" w:hAnsi="Times New Roman"/>
          <w:sz w:val="24"/>
        </w:rPr>
        <w:t>,</w:t>
      </w:r>
      <w:r w:rsidR="00651355" w:rsidRPr="0007744E">
        <w:rPr>
          <w:rFonts w:ascii="Times New Roman" w:hAnsi="Times New Roman"/>
          <w:sz w:val="24"/>
        </w:rPr>
        <w:t xml:space="preserve"> and this was accepted by the Department</w:t>
      </w:r>
      <w:r w:rsidR="008E1C9C">
        <w:rPr>
          <w:rFonts w:ascii="Times New Roman" w:hAnsi="Times New Roman"/>
          <w:sz w:val="24"/>
        </w:rPr>
        <w:t xml:space="preserve"> and subsequently the Minister and the government</w:t>
      </w:r>
      <w:r w:rsidR="00651355" w:rsidRPr="0007744E">
        <w:rPr>
          <w:rFonts w:ascii="Times New Roman" w:hAnsi="Times New Roman"/>
          <w:sz w:val="24"/>
        </w:rPr>
        <w:t>.  The process proceeded on the basis that the NPF was subject to the requirements of the SEA Directive</w:t>
      </w:r>
      <w:r w:rsidR="008E1C9C" w:rsidRPr="0007744E">
        <w:rPr>
          <w:rFonts w:ascii="Times New Roman" w:hAnsi="Times New Roman"/>
          <w:i/>
          <w:sz w:val="24"/>
        </w:rPr>
        <w:t xml:space="preserve">. </w:t>
      </w:r>
      <w:r w:rsidR="008E1C9C" w:rsidRPr="0007744E">
        <w:rPr>
          <w:rFonts w:ascii="Times New Roman" w:hAnsi="Times New Roman"/>
          <w:sz w:val="24"/>
        </w:rPr>
        <w:t xml:space="preserve"> The issue was not pleaded in the </w:t>
      </w:r>
      <w:r w:rsidR="002F19DE">
        <w:rPr>
          <w:rFonts w:ascii="Times New Roman" w:hAnsi="Times New Roman"/>
          <w:sz w:val="24"/>
        </w:rPr>
        <w:t>s</w:t>
      </w:r>
      <w:r w:rsidR="008E1C9C" w:rsidRPr="0007744E">
        <w:rPr>
          <w:rFonts w:ascii="Times New Roman" w:hAnsi="Times New Roman"/>
          <w:sz w:val="24"/>
        </w:rPr>
        <w:t xml:space="preserve">tatement of </w:t>
      </w:r>
      <w:r w:rsidR="002F19DE">
        <w:rPr>
          <w:rFonts w:ascii="Times New Roman" w:hAnsi="Times New Roman"/>
          <w:sz w:val="24"/>
        </w:rPr>
        <w:t>o</w:t>
      </w:r>
      <w:r w:rsidR="008E1C9C" w:rsidRPr="0007744E">
        <w:rPr>
          <w:rFonts w:ascii="Times New Roman" w:hAnsi="Times New Roman"/>
          <w:sz w:val="24"/>
        </w:rPr>
        <w:t xml:space="preserve">pposition.  </w:t>
      </w:r>
      <w:r w:rsidR="0007744E">
        <w:rPr>
          <w:rFonts w:ascii="Times New Roman" w:hAnsi="Times New Roman"/>
          <w:sz w:val="24"/>
        </w:rPr>
        <w:t>There is no reference to this point in the respondent</w:t>
      </w:r>
      <w:r w:rsidR="002A1D9C">
        <w:rPr>
          <w:rFonts w:ascii="Times New Roman" w:hAnsi="Times New Roman"/>
          <w:sz w:val="24"/>
        </w:rPr>
        <w:t>s’</w:t>
      </w:r>
      <w:r w:rsidR="0007744E">
        <w:rPr>
          <w:rFonts w:ascii="Times New Roman" w:hAnsi="Times New Roman"/>
          <w:sz w:val="24"/>
        </w:rPr>
        <w:t xml:space="preserve"> </w:t>
      </w:r>
      <w:r w:rsidR="002A1D9C">
        <w:rPr>
          <w:rFonts w:ascii="Times New Roman" w:hAnsi="Times New Roman"/>
          <w:sz w:val="24"/>
        </w:rPr>
        <w:t>n</w:t>
      </w:r>
      <w:r w:rsidR="0007744E">
        <w:rPr>
          <w:rFonts w:ascii="Times New Roman" w:hAnsi="Times New Roman"/>
          <w:sz w:val="24"/>
        </w:rPr>
        <w:t>otice and there is no cross-appeal in relation to the judgment of the High Court</w:t>
      </w:r>
      <w:r w:rsidR="002A1D9C">
        <w:rPr>
          <w:rFonts w:ascii="Times New Roman" w:hAnsi="Times New Roman"/>
          <w:sz w:val="24"/>
        </w:rPr>
        <w:t xml:space="preserve"> on this point</w:t>
      </w:r>
      <w:r w:rsidR="0007744E">
        <w:rPr>
          <w:rFonts w:ascii="Times New Roman" w:hAnsi="Times New Roman"/>
          <w:sz w:val="24"/>
        </w:rPr>
        <w:t xml:space="preserve">.  Indeed, as the issue was not raised in the High Court, it is not raised in the judgment.  </w:t>
      </w:r>
    </w:p>
    <w:p w14:paraId="4AA30726" w14:textId="46347F65" w:rsidR="008E1C9C" w:rsidRPr="008E1C9C" w:rsidRDefault="0007744E" w:rsidP="00F01840">
      <w:pPr>
        <w:pStyle w:val="ListParagraph"/>
        <w:numPr>
          <w:ilvl w:val="0"/>
          <w:numId w:val="1"/>
        </w:numPr>
        <w:tabs>
          <w:tab w:val="left" w:pos="567"/>
        </w:tabs>
        <w:spacing w:line="480" w:lineRule="auto"/>
        <w:ind w:left="0" w:firstLine="0"/>
        <w:jc w:val="left"/>
        <w:rPr>
          <w:rFonts w:ascii="Times New Roman" w:hAnsi="Times New Roman"/>
          <w:i/>
          <w:sz w:val="24"/>
        </w:rPr>
      </w:pPr>
      <w:r w:rsidRPr="008E1C9C">
        <w:rPr>
          <w:rFonts w:ascii="Times New Roman" w:hAnsi="Times New Roman"/>
          <w:sz w:val="24"/>
        </w:rPr>
        <w:t xml:space="preserve">The </w:t>
      </w:r>
      <w:r w:rsidR="002F19DE">
        <w:rPr>
          <w:rFonts w:ascii="Times New Roman" w:hAnsi="Times New Roman"/>
          <w:sz w:val="24"/>
        </w:rPr>
        <w:t>c</w:t>
      </w:r>
      <w:r w:rsidRPr="008E1C9C">
        <w:rPr>
          <w:rFonts w:ascii="Times New Roman" w:hAnsi="Times New Roman"/>
          <w:sz w:val="24"/>
        </w:rPr>
        <w:t xml:space="preserve">ourt is not required to decide this issue as a matter of EU law because if </w:t>
      </w:r>
      <w:r w:rsidR="002F19DE">
        <w:rPr>
          <w:rFonts w:ascii="Times New Roman" w:hAnsi="Times New Roman"/>
          <w:sz w:val="24"/>
        </w:rPr>
        <w:t>a</w:t>
      </w:r>
      <w:r w:rsidR="00AF4796">
        <w:rPr>
          <w:rFonts w:ascii="Times New Roman" w:hAnsi="Times New Roman"/>
          <w:sz w:val="24"/>
        </w:rPr>
        <w:t>n</w:t>
      </w:r>
      <w:r w:rsidR="002F19DE">
        <w:rPr>
          <w:rFonts w:ascii="Times New Roman" w:hAnsi="Times New Roman"/>
          <w:sz w:val="24"/>
        </w:rPr>
        <w:t xml:space="preserve"> </w:t>
      </w:r>
      <w:r w:rsidRPr="008E1C9C">
        <w:rPr>
          <w:rFonts w:ascii="Times New Roman" w:hAnsi="Times New Roman"/>
          <w:sz w:val="24"/>
        </w:rPr>
        <w:t>SEA of the NP</w:t>
      </w:r>
      <w:r w:rsidR="002A1D9C">
        <w:rPr>
          <w:rFonts w:ascii="Times New Roman" w:hAnsi="Times New Roman"/>
          <w:sz w:val="24"/>
        </w:rPr>
        <w:t>F</w:t>
      </w:r>
      <w:r w:rsidRPr="008E1C9C">
        <w:rPr>
          <w:rFonts w:ascii="Times New Roman" w:hAnsi="Times New Roman"/>
          <w:sz w:val="24"/>
        </w:rPr>
        <w:t xml:space="preserve"> is not in fact required, what has occurred merely results in </w:t>
      </w:r>
      <w:r w:rsidRPr="008E1C9C">
        <w:rPr>
          <w:rFonts w:ascii="Times New Roman" w:hAnsi="Times New Roman"/>
          <w:i/>
          <w:sz w:val="24"/>
        </w:rPr>
        <w:t>“over enforcement”</w:t>
      </w:r>
      <w:r w:rsidRPr="008E1C9C">
        <w:rPr>
          <w:rFonts w:ascii="Times New Roman" w:hAnsi="Times New Roman"/>
          <w:sz w:val="24"/>
        </w:rPr>
        <w:t xml:space="preserve">.  It is not a case where it could be said that there could be any threat to the environment through failure to enforce EU environmental law such that the </w:t>
      </w:r>
      <w:r w:rsidR="002F19DE">
        <w:rPr>
          <w:rFonts w:ascii="Times New Roman" w:hAnsi="Times New Roman"/>
          <w:sz w:val="24"/>
        </w:rPr>
        <w:t>c</w:t>
      </w:r>
      <w:r w:rsidRPr="008E1C9C">
        <w:rPr>
          <w:rFonts w:ascii="Times New Roman" w:hAnsi="Times New Roman"/>
          <w:sz w:val="24"/>
        </w:rPr>
        <w:t xml:space="preserve">ourt is obliged to decide the issue.  </w:t>
      </w:r>
      <w:r w:rsidR="008E1C9C">
        <w:rPr>
          <w:rFonts w:ascii="Times New Roman" w:hAnsi="Times New Roman"/>
          <w:sz w:val="24"/>
        </w:rPr>
        <w:t>Therefore</w:t>
      </w:r>
      <w:r w:rsidR="00513314">
        <w:rPr>
          <w:rFonts w:ascii="Times New Roman" w:hAnsi="Times New Roman"/>
          <w:sz w:val="24"/>
        </w:rPr>
        <w:t>,</w:t>
      </w:r>
      <w:r w:rsidR="008E1C9C">
        <w:rPr>
          <w:rFonts w:ascii="Times New Roman" w:hAnsi="Times New Roman"/>
          <w:sz w:val="24"/>
        </w:rPr>
        <w:t xml:space="preserve"> there is no requirement fo</w:t>
      </w:r>
      <w:r w:rsidR="00513314">
        <w:rPr>
          <w:rFonts w:ascii="Times New Roman" w:hAnsi="Times New Roman"/>
          <w:sz w:val="24"/>
        </w:rPr>
        <w:t>r the court to consider</w:t>
      </w:r>
      <w:r w:rsidR="002A1D9C">
        <w:rPr>
          <w:rFonts w:ascii="Times New Roman" w:hAnsi="Times New Roman"/>
          <w:sz w:val="24"/>
        </w:rPr>
        <w:t xml:space="preserve"> this point further.</w:t>
      </w:r>
    </w:p>
    <w:p w14:paraId="0A5A8E14" w14:textId="360FEA2D" w:rsidR="006C4284" w:rsidRPr="00C33C5F" w:rsidRDefault="006C4284" w:rsidP="005E487A">
      <w:pPr>
        <w:pStyle w:val="ListParagraph"/>
        <w:tabs>
          <w:tab w:val="left" w:pos="567"/>
        </w:tabs>
        <w:spacing w:line="276" w:lineRule="auto"/>
        <w:ind w:left="0"/>
        <w:jc w:val="left"/>
        <w:rPr>
          <w:rFonts w:ascii="Times New Roman" w:hAnsi="Times New Roman"/>
          <w:b/>
          <w:sz w:val="24"/>
        </w:rPr>
      </w:pPr>
    </w:p>
    <w:p w14:paraId="1B97A07C" w14:textId="58A909AF" w:rsidR="00EB755F" w:rsidRPr="004A56E3" w:rsidRDefault="00F70E09" w:rsidP="008E1C9C">
      <w:pPr>
        <w:pStyle w:val="ListParagraph"/>
        <w:tabs>
          <w:tab w:val="left" w:pos="567"/>
        </w:tabs>
        <w:spacing w:line="480" w:lineRule="auto"/>
        <w:ind w:left="0"/>
        <w:jc w:val="left"/>
        <w:rPr>
          <w:rFonts w:ascii="Times New Roman" w:hAnsi="Times New Roman"/>
          <w:b/>
          <w:sz w:val="24"/>
          <w:u w:val="single"/>
        </w:rPr>
      </w:pPr>
      <w:r>
        <w:rPr>
          <w:rFonts w:ascii="Times New Roman" w:hAnsi="Times New Roman"/>
          <w:b/>
          <w:sz w:val="24"/>
          <w:u w:val="single"/>
        </w:rPr>
        <w:t xml:space="preserve">Issue One: </w:t>
      </w:r>
      <w:r w:rsidR="00EB755F" w:rsidRPr="004A56E3">
        <w:rPr>
          <w:rFonts w:ascii="Times New Roman" w:hAnsi="Times New Roman"/>
          <w:b/>
          <w:sz w:val="24"/>
          <w:u w:val="single"/>
        </w:rPr>
        <w:t>Appropriate Assessment</w:t>
      </w:r>
    </w:p>
    <w:p w14:paraId="6B561525" w14:textId="01BF654E" w:rsidR="0007744E" w:rsidRPr="006C4284" w:rsidRDefault="00A3586A" w:rsidP="008E1C9C">
      <w:pPr>
        <w:pStyle w:val="ListParagraph"/>
        <w:tabs>
          <w:tab w:val="left" w:pos="567"/>
        </w:tabs>
        <w:spacing w:line="480" w:lineRule="auto"/>
        <w:ind w:left="0"/>
        <w:jc w:val="left"/>
        <w:rPr>
          <w:rFonts w:ascii="Times New Roman" w:hAnsi="Times New Roman"/>
          <w:i/>
          <w:iCs/>
          <w:sz w:val="24"/>
        </w:rPr>
      </w:pPr>
      <w:r>
        <w:rPr>
          <w:rFonts w:ascii="Times New Roman" w:hAnsi="Times New Roman"/>
          <w:b/>
          <w:i/>
          <w:iCs/>
          <w:sz w:val="24"/>
        </w:rPr>
        <w:t xml:space="preserve">AA – </w:t>
      </w:r>
      <w:r w:rsidR="004C17FB" w:rsidRPr="004A56E3">
        <w:rPr>
          <w:rFonts w:ascii="Times New Roman" w:hAnsi="Times New Roman"/>
          <w:b/>
          <w:i/>
          <w:iCs/>
          <w:sz w:val="24"/>
        </w:rPr>
        <w:t>16 February 2018</w:t>
      </w:r>
    </w:p>
    <w:p w14:paraId="60760C33" w14:textId="1BF184AF" w:rsidR="00513314" w:rsidRDefault="008622A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It is common case that the NDP was not subject to AA.  I </w:t>
      </w:r>
      <w:r w:rsidR="00513314">
        <w:rPr>
          <w:rFonts w:ascii="Times New Roman" w:hAnsi="Times New Roman"/>
          <w:sz w:val="24"/>
        </w:rPr>
        <w:t>will</w:t>
      </w:r>
      <w:r>
        <w:rPr>
          <w:rFonts w:ascii="Times New Roman" w:hAnsi="Times New Roman"/>
          <w:sz w:val="24"/>
        </w:rPr>
        <w:t xml:space="preserve"> consider the implications, if any, </w:t>
      </w:r>
      <w:r w:rsidR="00513314">
        <w:rPr>
          <w:rFonts w:ascii="Times New Roman" w:hAnsi="Times New Roman"/>
          <w:sz w:val="24"/>
        </w:rPr>
        <w:t xml:space="preserve">of this </w:t>
      </w:r>
      <w:r>
        <w:rPr>
          <w:rFonts w:ascii="Times New Roman" w:hAnsi="Times New Roman"/>
          <w:sz w:val="24"/>
        </w:rPr>
        <w:t xml:space="preserve">when considering the </w:t>
      </w:r>
      <w:r w:rsidR="00513314">
        <w:rPr>
          <w:rFonts w:ascii="Times New Roman" w:hAnsi="Times New Roman"/>
          <w:sz w:val="24"/>
        </w:rPr>
        <w:t xml:space="preserve">arguments about the </w:t>
      </w:r>
      <w:r>
        <w:rPr>
          <w:rFonts w:ascii="Times New Roman" w:hAnsi="Times New Roman"/>
          <w:sz w:val="24"/>
        </w:rPr>
        <w:t>NDP.  At this point</w:t>
      </w:r>
      <w:r w:rsidR="002F19DE">
        <w:rPr>
          <w:rFonts w:ascii="Times New Roman" w:hAnsi="Times New Roman"/>
          <w:sz w:val="24"/>
        </w:rPr>
        <w:t>,</w:t>
      </w:r>
      <w:r>
        <w:rPr>
          <w:rFonts w:ascii="Times New Roman" w:hAnsi="Times New Roman"/>
          <w:sz w:val="24"/>
        </w:rPr>
        <w:t xml:space="preserve"> I shall confine the analysis to the NPF. </w:t>
      </w:r>
    </w:p>
    <w:p w14:paraId="2BBEDFC3" w14:textId="6D233525" w:rsidR="00F6627A" w:rsidRDefault="008622A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A valid AA is an essential pre-condition to the lawful adoption of the NPF in accordance with the provisions of Article 6(3) of the Habitats Directive and Regulation 42 of the Habitats Regulation</w:t>
      </w:r>
      <w:r w:rsidR="009249A1">
        <w:rPr>
          <w:rFonts w:ascii="Times New Roman" w:hAnsi="Times New Roman"/>
          <w:sz w:val="24"/>
        </w:rPr>
        <w:t>s</w:t>
      </w:r>
      <w:r>
        <w:rPr>
          <w:rFonts w:ascii="Times New Roman" w:hAnsi="Times New Roman"/>
          <w:sz w:val="24"/>
        </w:rPr>
        <w:t xml:space="preserve">.  Absent a valid determination that a plan or project will not </w:t>
      </w:r>
      <w:r w:rsidR="009249A1">
        <w:rPr>
          <w:rFonts w:ascii="Times New Roman" w:hAnsi="Times New Roman"/>
          <w:sz w:val="24"/>
        </w:rPr>
        <w:t xml:space="preserve">adversely </w:t>
      </w:r>
      <w:r>
        <w:rPr>
          <w:rFonts w:ascii="Times New Roman" w:hAnsi="Times New Roman"/>
          <w:sz w:val="24"/>
        </w:rPr>
        <w:t>affect the integrity of a European site, the decision maker lacks jurisdiction to take a decision to approve, undertake or adopt a plan or project (</w:t>
      </w:r>
      <w:r w:rsidR="002F19DE">
        <w:rPr>
          <w:rFonts w:ascii="Times New Roman" w:hAnsi="Times New Roman"/>
          <w:sz w:val="24"/>
        </w:rPr>
        <w:t>s</w:t>
      </w:r>
      <w:r>
        <w:rPr>
          <w:rFonts w:ascii="Times New Roman" w:hAnsi="Times New Roman"/>
          <w:sz w:val="24"/>
        </w:rPr>
        <w:t>ee</w:t>
      </w:r>
      <w:r w:rsidR="002F19DE">
        <w:rPr>
          <w:rFonts w:ascii="Times New Roman" w:hAnsi="Times New Roman"/>
          <w:sz w:val="24"/>
        </w:rPr>
        <w:t>,</w:t>
      </w:r>
      <w:r>
        <w:rPr>
          <w:rFonts w:ascii="Times New Roman" w:hAnsi="Times New Roman"/>
          <w:sz w:val="24"/>
        </w:rPr>
        <w:t xml:space="preserve"> </w:t>
      </w:r>
      <w:r w:rsidR="00F6627A">
        <w:rPr>
          <w:rFonts w:ascii="Times New Roman" w:hAnsi="Times New Roman"/>
          <w:i/>
          <w:sz w:val="24"/>
        </w:rPr>
        <w:t xml:space="preserve">Kelly v. An Bord Pleanála </w:t>
      </w:r>
      <w:r w:rsidR="00F6627A">
        <w:rPr>
          <w:rFonts w:ascii="Times New Roman" w:hAnsi="Times New Roman"/>
          <w:sz w:val="24"/>
        </w:rPr>
        <w:t xml:space="preserve">and </w:t>
      </w:r>
      <w:r w:rsidR="00F6627A">
        <w:rPr>
          <w:rFonts w:ascii="Times New Roman" w:hAnsi="Times New Roman"/>
          <w:i/>
          <w:sz w:val="24"/>
        </w:rPr>
        <w:t>Connolly v. An Bord Pleanála)</w:t>
      </w:r>
      <w:r w:rsidR="00F6627A">
        <w:rPr>
          <w:rFonts w:ascii="Times New Roman" w:hAnsi="Times New Roman"/>
          <w:sz w:val="24"/>
        </w:rPr>
        <w:t>.  The draft NPF was screened for AA and it was deemed that it should be subject to AA.  No issue was taken with the screening process</w:t>
      </w:r>
      <w:r w:rsidR="009249A1">
        <w:rPr>
          <w:rFonts w:ascii="Times New Roman" w:hAnsi="Times New Roman"/>
          <w:sz w:val="24"/>
        </w:rPr>
        <w:t xml:space="preserve"> or decision</w:t>
      </w:r>
      <w:r w:rsidR="00F6627A">
        <w:rPr>
          <w:rFonts w:ascii="Times New Roman" w:hAnsi="Times New Roman"/>
          <w:sz w:val="24"/>
        </w:rPr>
        <w:t>.</w:t>
      </w:r>
    </w:p>
    <w:p w14:paraId="549B1082" w14:textId="6A0D75E9" w:rsidR="00F6627A" w:rsidRPr="006E6101" w:rsidRDefault="00F6627A" w:rsidP="00F8022C">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AA determination must be </w:t>
      </w:r>
      <w:r w:rsidR="002C5E1D">
        <w:rPr>
          <w:rFonts w:ascii="Times New Roman" w:hAnsi="Times New Roman"/>
          <w:sz w:val="24"/>
        </w:rPr>
        <w:t>made</w:t>
      </w:r>
      <w:r>
        <w:rPr>
          <w:rFonts w:ascii="Times New Roman" w:hAnsi="Times New Roman"/>
          <w:sz w:val="24"/>
        </w:rPr>
        <w:t xml:space="preserve"> prior to the decision to adopt the plan</w:t>
      </w:r>
      <w:r w:rsidR="0024391A">
        <w:rPr>
          <w:rFonts w:ascii="Times New Roman" w:hAnsi="Times New Roman"/>
          <w:sz w:val="24"/>
        </w:rPr>
        <w:t xml:space="preserve"> (Article 6 (3) and Regulation 42)</w:t>
      </w:r>
      <w:r>
        <w:rPr>
          <w:rFonts w:ascii="Times New Roman" w:hAnsi="Times New Roman"/>
          <w:sz w:val="24"/>
        </w:rPr>
        <w:t>.  On 16 February 2018</w:t>
      </w:r>
      <w:r w:rsidR="002F19DE">
        <w:rPr>
          <w:rFonts w:ascii="Times New Roman" w:hAnsi="Times New Roman"/>
          <w:sz w:val="24"/>
        </w:rPr>
        <w:t>,</w:t>
      </w:r>
      <w:r>
        <w:rPr>
          <w:rFonts w:ascii="Times New Roman" w:hAnsi="Times New Roman"/>
          <w:sz w:val="24"/>
        </w:rPr>
        <w:t xml:space="preserve"> the </w:t>
      </w:r>
      <w:r w:rsidR="002C5E1D">
        <w:rPr>
          <w:rFonts w:ascii="Times New Roman" w:hAnsi="Times New Roman"/>
          <w:sz w:val="24"/>
        </w:rPr>
        <w:t>g</w:t>
      </w:r>
      <w:r>
        <w:rPr>
          <w:rFonts w:ascii="Times New Roman" w:hAnsi="Times New Roman"/>
          <w:sz w:val="24"/>
        </w:rPr>
        <w:t>overnment purported to adopt the NPF.  It could only do so if there was a prior valid AA determination satisfying the requirements of Article 6</w:t>
      </w:r>
      <w:r w:rsidR="008E61DC">
        <w:rPr>
          <w:rFonts w:ascii="Times New Roman" w:hAnsi="Times New Roman"/>
          <w:sz w:val="24"/>
        </w:rPr>
        <w:t>(</w:t>
      </w:r>
      <w:r>
        <w:rPr>
          <w:rFonts w:ascii="Times New Roman" w:hAnsi="Times New Roman"/>
          <w:sz w:val="24"/>
        </w:rPr>
        <w:t>3</w:t>
      </w:r>
      <w:r w:rsidR="008E61DC">
        <w:rPr>
          <w:rFonts w:ascii="Times New Roman" w:hAnsi="Times New Roman"/>
          <w:sz w:val="24"/>
        </w:rPr>
        <w:t>)</w:t>
      </w:r>
      <w:r>
        <w:rPr>
          <w:rFonts w:ascii="Times New Roman" w:hAnsi="Times New Roman"/>
          <w:sz w:val="24"/>
        </w:rPr>
        <w:t xml:space="preserve"> and Regulation 42.  </w:t>
      </w:r>
      <w:r w:rsidR="006E6101">
        <w:rPr>
          <w:rFonts w:ascii="Times New Roman" w:hAnsi="Times New Roman"/>
          <w:sz w:val="24"/>
        </w:rPr>
        <w:t xml:space="preserve">The trial judge acknowledged that a </w:t>
      </w:r>
      <w:r w:rsidR="002C5E1D">
        <w:rPr>
          <w:rFonts w:ascii="Times New Roman" w:hAnsi="Times New Roman"/>
          <w:sz w:val="24"/>
        </w:rPr>
        <w:t>d</w:t>
      </w:r>
      <w:r w:rsidR="006E6101">
        <w:rPr>
          <w:rFonts w:ascii="Times New Roman" w:hAnsi="Times New Roman"/>
          <w:sz w:val="24"/>
        </w:rPr>
        <w:t xml:space="preserve">etermination for the purposes of the Habitats Directive is a necessary prerequisite to a valid AA and that it must satisfy the criteria set out in </w:t>
      </w:r>
      <w:r w:rsidR="006E6101">
        <w:rPr>
          <w:rFonts w:ascii="Times New Roman" w:hAnsi="Times New Roman"/>
          <w:i/>
          <w:sz w:val="24"/>
        </w:rPr>
        <w:t xml:space="preserve">Kelly.  </w:t>
      </w:r>
      <w:r w:rsidR="006E6101">
        <w:rPr>
          <w:rFonts w:ascii="Times New Roman" w:hAnsi="Times New Roman"/>
          <w:sz w:val="24"/>
        </w:rPr>
        <w:t xml:space="preserve">He held that there had been a </w:t>
      </w:r>
      <w:r w:rsidR="002C5E1D">
        <w:rPr>
          <w:rFonts w:ascii="Times New Roman" w:hAnsi="Times New Roman"/>
          <w:sz w:val="24"/>
        </w:rPr>
        <w:t>d</w:t>
      </w:r>
      <w:r w:rsidR="006E6101">
        <w:rPr>
          <w:rFonts w:ascii="Times New Roman" w:hAnsi="Times New Roman"/>
          <w:sz w:val="24"/>
        </w:rPr>
        <w:t xml:space="preserve">etermination by the Minister in advance of 16 February 2018 and he referred to the pre-consultation NIS.  He accepted that the </w:t>
      </w:r>
      <w:r w:rsidR="002C5E1D">
        <w:rPr>
          <w:rFonts w:ascii="Times New Roman" w:hAnsi="Times New Roman"/>
          <w:sz w:val="24"/>
        </w:rPr>
        <w:t>d</w:t>
      </w:r>
      <w:r w:rsidR="006E6101">
        <w:rPr>
          <w:rFonts w:ascii="Times New Roman" w:hAnsi="Times New Roman"/>
          <w:sz w:val="24"/>
        </w:rPr>
        <w:t xml:space="preserve">etermination must be in writing but held that it does not have to be reduced to writing prior to taking the decision </w:t>
      </w:r>
      <w:r w:rsidR="002C5E1D">
        <w:rPr>
          <w:rFonts w:ascii="Times New Roman" w:hAnsi="Times New Roman"/>
          <w:sz w:val="24"/>
        </w:rPr>
        <w:t xml:space="preserve">to adopt or authorise a plan or project </w:t>
      </w:r>
      <w:r w:rsidR="006E6101">
        <w:rPr>
          <w:rFonts w:ascii="Times New Roman" w:hAnsi="Times New Roman"/>
          <w:sz w:val="24"/>
        </w:rPr>
        <w:t xml:space="preserve">based upon the positive AA </w:t>
      </w:r>
      <w:r w:rsidR="003611EE">
        <w:rPr>
          <w:rFonts w:ascii="Times New Roman" w:hAnsi="Times New Roman"/>
          <w:sz w:val="24"/>
        </w:rPr>
        <w:t>d</w:t>
      </w:r>
      <w:r w:rsidR="006E6101">
        <w:rPr>
          <w:rFonts w:ascii="Times New Roman" w:hAnsi="Times New Roman"/>
          <w:sz w:val="24"/>
        </w:rPr>
        <w:t xml:space="preserve">etermination.  He did not explain how an unwritten AA </w:t>
      </w:r>
      <w:r w:rsidR="003611EE">
        <w:rPr>
          <w:rFonts w:ascii="Times New Roman" w:hAnsi="Times New Roman"/>
          <w:sz w:val="24"/>
        </w:rPr>
        <w:t>d</w:t>
      </w:r>
      <w:r w:rsidR="006E6101">
        <w:rPr>
          <w:rFonts w:ascii="Times New Roman" w:hAnsi="Times New Roman"/>
          <w:sz w:val="24"/>
        </w:rPr>
        <w:t>etermination c</w:t>
      </w:r>
      <w:r w:rsidR="002C5E1D">
        <w:rPr>
          <w:rFonts w:ascii="Times New Roman" w:hAnsi="Times New Roman"/>
          <w:sz w:val="24"/>
        </w:rPr>
        <w:t>ould</w:t>
      </w:r>
      <w:r w:rsidR="006E6101">
        <w:rPr>
          <w:rFonts w:ascii="Times New Roman" w:hAnsi="Times New Roman"/>
          <w:sz w:val="24"/>
        </w:rPr>
        <w:t xml:space="preserve"> satisfy the </w:t>
      </w:r>
      <w:r w:rsidR="006E6101">
        <w:rPr>
          <w:rFonts w:ascii="Times New Roman" w:hAnsi="Times New Roman"/>
          <w:i/>
          <w:sz w:val="24"/>
        </w:rPr>
        <w:t xml:space="preserve">Kelly </w:t>
      </w:r>
      <w:r w:rsidR="006E6101">
        <w:rPr>
          <w:rFonts w:ascii="Times New Roman" w:hAnsi="Times New Roman"/>
          <w:sz w:val="24"/>
        </w:rPr>
        <w:t>criteria</w:t>
      </w:r>
      <w:r w:rsidR="002C5E1D">
        <w:rPr>
          <w:rFonts w:ascii="Times New Roman" w:hAnsi="Times New Roman"/>
          <w:sz w:val="24"/>
        </w:rPr>
        <w:t xml:space="preserve">, as he acknowledged </w:t>
      </w:r>
      <w:r w:rsidR="00480101">
        <w:rPr>
          <w:rFonts w:ascii="Times New Roman" w:hAnsi="Times New Roman"/>
          <w:sz w:val="24"/>
        </w:rPr>
        <w:t xml:space="preserve">that </w:t>
      </w:r>
      <w:r w:rsidR="002C5E1D">
        <w:rPr>
          <w:rFonts w:ascii="Times New Roman" w:hAnsi="Times New Roman"/>
          <w:sz w:val="24"/>
        </w:rPr>
        <w:t>was mandatory.</w:t>
      </w:r>
      <w:r w:rsidR="006E6101">
        <w:rPr>
          <w:rFonts w:ascii="Times New Roman" w:hAnsi="Times New Roman"/>
          <w:sz w:val="24"/>
        </w:rPr>
        <w:t xml:space="preserve">  He held as a fact that there was no written </w:t>
      </w:r>
      <w:r w:rsidR="003611EE">
        <w:rPr>
          <w:rFonts w:ascii="Times New Roman" w:hAnsi="Times New Roman"/>
          <w:sz w:val="24"/>
        </w:rPr>
        <w:t>d</w:t>
      </w:r>
      <w:r w:rsidR="006E6101">
        <w:rPr>
          <w:rFonts w:ascii="Times New Roman" w:hAnsi="Times New Roman"/>
          <w:sz w:val="24"/>
        </w:rPr>
        <w:t xml:space="preserve">etermination by the Minister prior to 16 February </w:t>
      </w:r>
      <w:r w:rsidR="002C5E1D">
        <w:rPr>
          <w:rFonts w:ascii="Times New Roman" w:hAnsi="Times New Roman"/>
          <w:sz w:val="24"/>
        </w:rPr>
        <w:t xml:space="preserve">2018 </w:t>
      </w:r>
      <w:r w:rsidR="006E6101">
        <w:rPr>
          <w:rFonts w:ascii="Times New Roman" w:hAnsi="Times New Roman"/>
          <w:sz w:val="24"/>
        </w:rPr>
        <w:t xml:space="preserve">and </w:t>
      </w:r>
      <w:r w:rsidR="002C5E1D">
        <w:rPr>
          <w:rFonts w:ascii="Times New Roman" w:hAnsi="Times New Roman"/>
          <w:sz w:val="24"/>
        </w:rPr>
        <w:t xml:space="preserve">he </w:t>
      </w:r>
      <w:r w:rsidR="006E6101">
        <w:rPr>
          <w:rFonts w:ascii="Times New Roman" w:hAnsi="Times New Roman"/>
          <w:sz w:val="24"/>
        </w:rPr>
        <w:t xml:space="preserve">was satisfied that the </w:t>
      </w:r>
      <w:r w:rsidR="003611EE">
        <w:rPr>
          <w:rFonts w:ascii="Times New Roman" w:hAnsi="Times New Roman"/>
          <w:sz w:val="24"/>
        </w:rPr>
        <w:t>d</w:t>
      </w:r>
      <w:r w:rsidR="006E6101">
        <w:rPr>
          <w:rFonts w:ascii="Times New Roman" w:hAnsi="Times New Roman"/>
          <w:sz w:val="24"/>
        </w:rPr>
        <w:t xml:space="preserve">etermination of 14 May 2018 constituted a </w:t>
      </w:r>
      <w:r w:rsidR="003611EE">
        <w:rPr>
          <w:rFonts w:ascii="Times New Roman" w:hAnsi="Times New Roman"/>
          <w:sz w:val="24"/>
        </w:rPr>
        <w:t>d</w:t>
      </w:r>
      <w:r w:rsidR="006E6101">
        <w:rPr>
          <w:rFonts w:ascii="Times New Roman" w:hAnsi="Times New Roman"/>
          <w:sz w:val="24"/>
        </w:rPr>
        <w:t xml:space="preserve">etermination and reflected a </w:t>
      </w:r>
      <w:r w:rsidR="003611EE">
        <w:rPr>
          <w:rFonts w:ascii="Times New Roman" w:hAnsi="Times New Roman"/>
          <w:sz w:val="24"/>
        </w:rPr>
        <w:t>d</w:t>
      </w:r>
      <w:r w:rsidR="006E6101">
        <w:rPr>
          <w:rFonts w:ascii="Times New Roman" w:hAnsi="Times New Roman"/>
          <w:sz w:val="24"/>
        </w:rPr>
        <w:t>e</w:t>
      </w:r>
      <w:r w:rsidR="001A16D9">
        <w:rPr>
          <w:rFonts w:ascii="Times New Roman" w:hAnsi="Times New Roman"/>
          <w:sz w:val="24"/>
        </w:rPr>
        <w:t>cision</w:t>
      </w:r>
      <w:r w:rsidR="006E6101">
        <w:rPr>
          <w:rFonts w:ascii="Times New Roman" w:hAnsi="Times New Roman"/>
          <w:sz w:val="24"/>
        </w:rPr>
        <w:t xml:space="preserve"> which had been made by the Minister prior to 16 February 2018.  He held that the determination must be made by a </w:t>
      </w:r>
      <w:r w:rsidR="002C5E1D">
        <w:rPr>
          <w:rFonts w:ascii="Times New Roman" w:hAnsi="Times New Roman"/>
          <w:sz w:val="24"/>
        </w:rPr>
        <w:t>p</w:t>
      </w:r>
      <w:r w:rsidR="006E6101">
        <w:rPr>
          <w:rFonts w:ascii="Times New Roman" w:hAnsi="Times New Roman"/>
          <w:sz w:val="24"/>
        </w:rPr>
        <w:t xml:space="preserve">ublic </w:t>
      </w:r>
      <w:r w:rsidR="002C5E1D">
        <w:rPr>
          <w:rFonts w:ascii="Times New Roman" w:hAnsi="Times New Roman"/>
          <w:sz w:val="24"/>
        </w:rPr>
        <w:t>a</w:t>
      </w:r>
      <w:r w:rsidR="006E6101">
        <w:rPr>
          <w:rFonts w:ascii="Times New Roman" w:hAnsi="Times New Roman"/>
          <w:sz w:val="24"/>
        </w:rPr>
        <w:t xml:space="preserve">uthority under the Habitats Regulations and noted that the definition of a </w:t>
      </w:r>
      <w:r w:rsidR="002C5E1D">
        <w:rPr>
          <w:rFonts w:ascii="Times New Roman" w:hAnsi="Times New Roman"/>
          <w:sz w:val="24"/>
        </w:rPr>
        <w:t>p</w:t>
      </w:r>
      <w:r w:rsidR="006E6101">
        <w:rPr>
          <w:rFonts w:ascii="Times New Roman" w:hAnsi="Times New Roman"/>
          <w:sz w:val="24"/>
        </w:rPr>
        <w:t xml:space="preserve">ublic </w:t>
      </w:r>
      <w:r w:rsidR="002C5E1D">
        <w:rPr>
          <w:rFonts w:ascii="Times New Roman" w:hAnsi="Times New Roman"/>
          <w:sz w:val="24"/>
        </w:rPr>
        <w:t>a</w:t>
      </w:r>
      <w:r w:rsidR="006E6101">
        <w:rPr>
          <w:rFonts w:ascii="Times New Roman" w:hAnsi="Times New Roman"/>
          <w:sz w:val="24"/>
        </w:rPr>
        <w:t xml:space="preserve">uthority in the Regulations included a </w:t>
      </w:r>
      <w:r w:rsidR="002C5E1D">
        <w:rPr>
          <w:rFonts w:ascii="Times New Roman" w:hAnsi="Times New Roman"/>
          <w:sz w:val="24"/>
        </w:rPr>
        <w:t>m</w:t>
      </w:r>
      <w:r w:rsidR="006E6101">
        <w:rPr>
          <w:rFonts w:ascii="Times New Roman" w:hAnsi="Times New Roman"/>
          <w:sz w:val="24"/>
        </w:rPr>
        <w:t xml:space="preserve">inister of </w:t>
      </w:r>
      <w:r w:rsidR="002C5E1D">
        <w:rPr>
          <w:rFonts w:ascii="Times New Roman" w:hAnsi="Times New Roman"/>
          <w:sz w:val="24"/>
        </w:rPr>
        <w:t>g</w:t>
      </w:r>
      <w:r w:rsidR="006E6101">
        <w:rPr>
          <w:rFonts w:ascii="Times New Roman" w:hAnsi="Times New Roman"/>
          <w:sz w:val="24"/>
        </w:rPr>
        <w:t xml:space="preserve">overnment but did not include the </w:t>
      </w:r>
      <w:r w:rsidR="002C5E1D">
        <w:rPr>
          <w:rFonts w:ascii="Times New Roman" w:hAnsi="Times New Roman"/>
          <w:sz w:val="24"/>
        </w:rPr>
        <w:t>g</w:t>
      </w:r>
      <w:r w:rsidR="006E6101">
        <w:rPr>
          <w:rFonts w:ascii="Times New Roman" w:hAnsi="Times New Roman"/>
          <w:sz w:val="24"/>
        </w:rPr>
        <w:t xml:space="preserve">overnment itself.  </w:t>
      </w:r>
      <w:r w:rsidR="006E6101">
        <w:rPr>
          <w:rFonts w:ascii="Times New Roman" w:hAnsi="Times New Roman"/>
          <w:sz w:val="24"/>
        </w:rPr>
        <w:lastRenderedPageBreak/>
        <w:t xml:space="preserve">Nonetheless he held that the Minister’s </w:t>
      </w:r>
      <w:r w:rsidR="003611EE">
        <w:rPr>
          <w:rFonts w:ascii="Times New Roman" w:hAnsi="Times New Roman"/>
          <w:sz w:val="24"/>
        </w:rPr>
        <w:t>d</w:t>
      </w:r>
      <w:r w:rsidR="006E6101">
        <w:rPr>
          <w:rFonts w:ascii="Times New Roman" w:hAnsi="Times New Roman"/>
          <w:sz w:val="24"/>
        </w:rPr>
        <w:t xml:space="preserve">etermination was </w:t>
      </w:r>
      <w:r w:rsidR="006E6101">
        <w:rPr>
          <w:rFonts w:ascii="Times New Roman" w:hAnsi="Times New Roman"/>
          <w:i/>
          <w:sz w:val="24"/>
        </w:rPr>
        <w:t xml:space="preserve">“effectively” </w:t>
      </w:r>
      <w:r w:rsidR="006E6101">
        <w:rPr>
          <w:rFonts w:ascii="Times New Roman" w:hAnsi="Times New Roman"/>
          <w:sz w:val="24"/>
        </w:rPr>
        <w:t xml:space="preserve">a </w:t>
      </w:r>
      <w:r w:rsidR="002C5E1D">
        <w:rPr>
          <w:rFonts w:ascii="Times New Roman" w:hAnsi="Times New Roman"/>
          <w:sz w:val="24"/>
        </w:rPr>
        <w:t>d</w:t>
      </w:r>
      <w:r w:rsidR="006E6101">
        <w:rPr>
          <w:rFonts w:ascii="Times New Roman" w:hAnsi="Times New Roman"/>
          <w:sz w:val="24"/>
        </w:rPr>
        <w:t xml:space="preserve">etermination by the </w:t>
      </w:r>
      <w:r w:rsidR="002C5E1D">
        <w:rPr>
          <w:rFonts w:ascii="Times New Roman" w:hAnsi="Times New Roman"/>
          <w:sz w:val="24"/>
        </w:rPr>
        <w:t>g</w:t>
      </w:r>
      <w:r w:rsidR="006E6101">
        <w:rPr>
          <w:rFonts w:ascii="Times New Roman" w:hAnsi="Times New Roman"/>
          <w:sz w:val="24"/>
        </w:rPr>
        <w:t xml:space="preserve">overnment.  </w:t>
      </w:r>
    </w:p>
    <w:p w14:paraId="5BD52ECE" w14:textId="3784C3C5" w:rsidR="008E61DC" w:rsidRDefault="00F6627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my opinion, the trial judge </w:t>
      </w:r>
      <w:r w:rsidR="00E972DE">
        <w:rPr>
          <w:rFonts w:ascii="Times New Roman" w:hAnsi="Times New Roman"/>
          <w:sz w:val="24"/>
        </w:rPr>
        <w:t>made a number of errors in reaching these conclusions and</w:t>
      </w:r>
      <w:r>
        <w:rPr>
          <w:rFonts w:ascii="Times New Roman" w:hAnsi="Times New Roman"/>
          <w:sz w:val="24"/>
        </w:rPr>
        <w:t xml:space="preserve"> in holding</w:t>
      </w:r>
      <w:r w:rsidR="002C5E1D">
        <w:rPr>
          <w:rFonts w:ascii="Times New Roman" w:hAnsi="Times New Roman"/>
          <w:sz w:val="24"/>
        </w:rPr>
        <w:t>,</w:t>
      </w:r>
      <w:r>
        <w:rPr>
          <w:rFonts w:ascii="Times New Roman" w:hAnsi="Times New Roman"/>
          <w:sz w:val="24"/>
        </w:rPr>
        <w:t xml:space="preserve"> </w:t>
      </w:r>
      <w:r w:rsidR="00E972DE">
        <w:rPr>
          <w:rFonts w:ascii="Times New Roman" w:hAnsi="Times New Roman"/>
          <w:sz w:val="24"/>
        </w:rPr>
        <w:t>as a result</w:t>
      </w:r>
      <w:r w:rsidR="002C5E1D">
        <w:rPr>
          <w:rFonts w:ascii="Times New Roman" w:hAnsi="Times New Roman"/>
          <w:sz w:val="24"/>
        </w:rPr>
        <w:t>,</w:t>
      </w:r>
      <w:r w:rsidR="00E972DE">
        <w:rPr>
          <w:rFonts w:ascii="Times New Roman" w:hAnsi="Times New Roman"/>
          <w:sz w:val="24"/>
        </w:rPr>
        <w:t xml:space="preserve"> </w:t>
      </w:r>
      <w:r>
        <w:rPr>
          <w:rFonts w:ascii="Times New Roman" w:hAnsi="Times New Roman"/>
          <w:sz w:val="24"/>
        </w:rPr>
        <w:t xml:space="preserve">that the decision of </w:t>
      </w:r>
      <w:r w:rsidR="006E6101">
        <w:rPr>
          <w:rFonts w:ascii="Times New Roman" w:hAnsi="Times New Roman"/>
          <w:sz w:val="24"/>
        </w:rPr>
        <w:t xml:space="preserve">the government on </w:t>
      </w:r>
      <w:r>
        <w:rPr>
          <w:rFonts w:ascii="Times New Roman" w:hAnsi="Times New Roman"/>
          <w:sz w:val="24"/>
        </w:rPr>
        <w:t>16 February 2018</w:t>
      </w:r>
      <w:r w:rsidR="001D3CB4">
        <w:rPr>
          <w:rFonts w:ascii="Times New Roman" w:hAnsi="Times New Roman"/>
          <w:sz w:val="24"/>
        </w:rPr>
        <w:t>,</w:t>
      </w:r>
      <w:r>
        <w:rPr>
          <w:rFonts w:ascii="Times New Roman" w:hAnsi="Times New Roman"/>
          <w:sz w:val="24"/>
        </w:rPr>
        <w:t xml:space="preserve"> </w:t>
      </w:r>
      <w:r w:rsidR="006E6101">
        <w:rPr>
          <w:rFonts w:ascii="Times New Roman" w:hAnsi="Times New Roman"/>
          <w:sz w:val="24"/>
        </w:rPr>
        <w:t>to adopt the NPF</w:t>
      </w:r>
      <w:r w:rsidR="001D3CB4">
        <w:rPr>
          <w:rFonts w:ascii="Times New Roman" w:hAnsi="Times New Roman"/>
          <w:sz w:val="24"/>
        </w:rPr>
        <w:t>,</w:t>
      </w:r>
      <w:r w:rsidR="006E6101">
        <w:rPr>
          <w:rFonts w:ascii="Times New Roman" w:hAnsi="Times New Roman"/>
          <w:sz w:val="24"/>
        </w:rPr>
        <w:t xml:space="preserve"> satisfied the requirements of the Habitats Directive and the Regula</w:t>
      </w:r>
      <w:r w:rsidR="00C21CF4">
        <w:rPr>
          <w:rFonts w:ascii="Times New Roman" w:hAnsi="Times New Roman"/>
          <w:sz w:val="24"/>
        </w:rPr>
        <w:t>tions.</w:t>
      </w:r>
      <w:r>
        <w:rPr>
          <w:rFonts w:ascii="Times New Roman" w:hAnsi="Times New Roman"/>
          <w:sz w:val="24"/>
        </w:rPr>
        <w:t xml:space="preserve">  Firstly, and most importantly, the only evidence of the adoption of the NPF on that date is the affidavit of Mr. Hogan.  He is the Senior Planning Advisor in the Department.  He was not present at the special </w:t>
      </w:r>
      <w:r w:rsidR="008E61DC">
        <w:rPr>
          <w:rFonts w:ascii="Times New Roman" w:hAnsi="Times New Roman"/>
          <w:sz w:val="24"/>
        </w:rPr>
        <w:t>c</w:t>
      </w:r>
      <w:r>
        <w:rPr>
          <w:rFonts w:ascii="Times New Roman" w:hAnsi="Times New Roman"/>
          <w:sz w:val="24"/>
        </w:rPr>
        <w:t xml:space="preserve">abinet </w:t>
      </w:r>
      <w:r w:rsidR="008E61DC">
        <w:rPr>
          <w:rFonts w:ascii="Times New Roman" w:hAnsi="Times New Roman"/>
          <w:sz w:val="24"/>
        </w:rPr>
        <w:t>m</w:t>
      </w:r>
      <w:r>
        <w:rPr>
          <w:rFonts w:ascii="Times New Roman" w:hAnsi="Times New Roman"/>
          <w:sz w:val="24"/>
        </w:rPr>
        <w:t>eeting on 16 February 2018.  His statement as to what occurred at that meeting and</w:t>
      </w:r>
      <w:r w:rsidR="008E61DC">
        <w:rPr>
          <w:rFonts w:ascii="Times New Roman" w:hAnsi="Times New Roman"/>
          <w:sz w:val="24"/>
        </w:rPr>
        <w:t>,</w:t>
      </w:r>
      <w:r>
        <w:rPr>
          <w:rFonts w:ascii="Times New Roman" w:hAnsi="Times New Roman"/>
          <w:sz w:val="24"/>
        </w:rPr>
        <w:t xml:space="preserve"> in particular</w:t>
      </w:r>
      <w:r w:rsidR="008E61DC">
        <w:rPr>
          <w:rFonts w:ascii="Times New Roman" w:hAnsi="Times New Roman"/>
          <w:sz w:val="24"/>
        </w:rPr>
        <w:t>,</w:t>
      </w:r>
      <w:r>
        <w:rPr>
          <w:rFonts w:ascii="Times New Roman" w:hAnsi="Times New Roman"/>
          <w:sz w:val="24"/>
        </w:rPr>
        <w:t xml:space="preserve"> the matters said to </w:t>
      </w:r>
      <w:r w:rsidR="008E61DC">
        <w:rPr>
          <w:rFonts w:ascii="Times New Roman" w:hAnsi="Times New Roman"/>
          <w:sz w:val="24"/>
        </w:rPr>
        <w:t xml:space="preserve">have </w:t>
      </w:r>
      <w:r>
        <w:rPr>
          <w:rFonts w:ascii="Times New Roman" w:hAnsi="Times New Roman"/>
          <w:sz w:val="24"/>
        </w:rPr>
        <w:t>be</w:t>
      </w:r>
      <w:r w:rsidR="008E61DC">
        <w:rPr>
          <w:rFonts w:ascii="Times New Roman" w:hAnsi="Times New Roman"/>
          <w:sz w:val="24"/>
        </w:rPr>
        <w:t>en</w:t>
      </w:r>
      <w:r>
        <w:rPr>
          <w:rFonts w:ascii="Times New Roman" w:hAnsi="Times New Roman"/>
          <w:sz w:val="24"/>
        </w:rPr>
        <w:t xml:space="preserve"> considered by the </w:t>
      </w:r>
      <w:r w:rsidR="002C5E1D">
        <w:rPr>
          <w:rFonts w:ascii="Times New Roman" w:hAnsi="Times New Roman"/>
          <w:sz w:val="24"/>
        </w:rPr>
        <w:t>g</w:t>
      </w:r>
      <w:r>
        <w:rPr>
          <w:rFonts w:ascii="Times New Roman" w:hAnsi="Times New Roman"/>
          <w:sz w:val="24"/>
        </w:rPr>
        <w:t>overnment and tak</w:t>
      </w:r>
      <w:r w:rsidR="008E61DC">
        <w:rPr>
          <w:rFonts w:ascii="Times New Roman" w:hAnsi="Times New Roman"/>
          <w:sz w:val="24"/>
        </w:rPr>
        <w:t>en</w:t>
      </w:r>
      <w:r>
        <w:rPr>
          <w:rFonts w:ascii="Times New Roman" w:hAnsi="Times New Roman"/>
          <w:sz w:val="24"/>
        </w:rPr>
        <w:t xml:space="preserve"> into account before adopting and publishing the NPF are inadmissible hearsay.  </w:t>
      </w:r>
    </w:p>
    <w:p w14:paraId="1C717E0A" w14:textId="21716B66" w:rsidR="00F6627A" w:rsidRDefault="00F6627A"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Order 40, r.</w:t>
      </w:r>
      <w:r w:rsidR="00713C06">
        <w:rPr>
          <w:rFonts w:ascii="Times New Roman" w:hAnsi="Times New Roman"/>
          <w:sz w:val="24"/>
        </w:rPr>
        <w:t xml:space="preserve"> 8</w:t>
      </w:r>
      <w:r>
        <w:rPr>
          <w:rFonts w:ascii="Times New Roman" w:hAnsi="Times New Roman"/>
          <w:sz w:val="24"/>
        </w:rPr>
        <w:t xml:space="preserve"> </w:t>
      </w:r>
      <w:r w:rsidR="001D3CB4">
        <w:rPr>
          <w:rFonts w:ascii="Times New Roman" w:hAnsi="Times New Roman"/>
          <w:sz w:val="24"/>
        </w:rPr>
        <w:t xml:space="preserve">of the RSC </w:t>
      </w:r>
      <w:r>
        <w:rPr>
          <w:rFonts w:ascii="Times New Roman" w:hAnsi="Times New Roman"/>
          <w:sz w:val="24"/>
        </w:rPr>
        <w:t>provides that:</w:t>
      </w:r>
      <w:r w:rsidR="00713C06">
        <w:rPr>
          <w:rFonts w:ascii="Times New Roman" w:hAnsi="Times New Roman"/>
          <w:sz w:val="24"/>
        </w:rPr>
        <w:t>-</w:t>
      </w:r>
    </w:p>
    <w:p w14:paraId="48FCFA02" w14:textId="77777777" w:rsidR="004C2499" w:rsidRDefault="00F6627A" w:rsidP="00F6627A">
      <w:pPr>
        <w:pStyle w:val="ListParagraph"/>
        <w:spacing w:line="480" w:lineRule="auto"/>
        <w:ind w:left="567"/>
        <w:jc w:val="left"/>
        <w:rPr>
          <w:rFonts w:ascii="Times New Roman" w:hAnsi="Times New Roman"/>
          <w:sz w:val="24"/>
        </w:rPr>
      </w:pPr>
      <w:r>
        <w:rPr>
          <w:rFonts w:ascii="Times New Roman" w:hAnsi="Times New Roman"/>
          <w:i/>
          <w:sz w:val="24"/>
        </w:rPr>
        <w:t>“</w:t>
      </w:r>
      <w:r w:rsidR="00644B5B" w:rsidRPr="00644B5B">
        <w:rPr>
          <w:rFonts w:ascii="Times New Roman" w:hAnsi="Times New Roman"/>
          <w:i/>
          <w:sz w:val="24"/>
        </w:rPr>
        <w:t>Affidavits shall be confined to such facts as the witness is able of his own knowledge to prove, and shall state his means of knowledge thereof, except on interlocutory motions, on which statements as to his belief, with the grounds thereof, may be admitted.</w:t>
      </w:r>
      <w:r w:rsidR="00644B5B">
        <w:rPr>
          <w:rFonts w:ascii="Times New Roman" w:hAnsi="Times New Roman"/>
          <w:i/>
          <w:sz w:val="24"/>
        </w:rPr>
        <w:t>”</w:t>
      </w:r>
      <w:r w:rsidR="00644B5B" w:rsidRPr="00644B5B">
        <w:rPr>
          <w:rFonts w:ascii="Times New Roman" w:hAnsi="Times New Roman"/>
          <w:i/>
          <w:sz w:val="24"/>
        </w:rPr>
        <w:t xml:space="preserve"> </w:t>
      </w:r>
    </w:p>
    <w:p w14:paraId="2C0FF74B" w14:textId="2DAE2DD0" w:rsidR="0007744E" w:rsidRPr="008E61DC" w:rsidRDefault="00644B5B" w:rsidP="008E61DC">
      <w:pPr>
        <w:tabs>
          <w:tab w:val="left" w:pos="567"/>
        </w:tabs>
        <w:spacing w:line="480" w:lineRule="auto"/>
      </w:pPr>
      <w:r w:rsidRPr="008E61DC">
        <w:t xml:space="preserve">Mr. Hogan’s two affidavits </w:t>
      </w:r>
      <w:r w:rsidR="007C78F2">
        <w:t>were not</w:t>
      </w:r>
      <w:r w:rsidRPr="008E61DC">
        <w:t xml:space="preserve"> sworn </w:t>
      </w:r>
      <w:r w:rsidR="007C78F2">
        <w:t xml:space="preserve">in </w:t>
      </w:r>
      <w:r w:rsidRPr="008E61DC">
        <w:t>interlocutory motions</w:t>
      </w:r>
      <w:r w:rsidR="008E61DC">
        <w:t>; rather they are relied upon for the determination on the merits of the issues in the proceedings</w:t>
      </w:r>
      <w:r w:rsidRPr="008E61DC">
        <w:t>.  It is abundantly clear therefore that this evidence was inadmissible</w:t>
      </w:r>
      <w:r w:rsidR="008E61DC">
        <w:t>,</w:t>
      </w:r>
      <w:r w:rsidRPr="008E61DC">
        <w:t xml:space="preserve"> and the trial judge erred in rejecting the applicant’s objections to the admissibility of his evidence.  That being so, there is no evidence of alleged compliance by the respondents with the mandatory requirements of the Habitats Directive</w:t>
      </w:r>
      <w:r w:rsidR="007D45FD">
        <w:t>,</w:t>
      </w:r>
      <w:r w:rsidRPr="008E61DC">
        <w:t xml:space="preserve"> and on this ground alone the applicant was entitled to the relief it sought.  </w:t>
      </w:r>
    </w:p>
    <w:p w14:paraId="7B8EC68B" w14:textId="72C1F3E8" w:rsidR="00644B5B" w:rsidRDefault="00644B5B"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Furthermore, no document has been exhibited on behalf of the respondent</w:t>
      </w:r>
      <w:r w:rsidR="008E61DC">
        <w:rPr>
          <w:rFonts w:ascii="Times New Roman" w:hAnsi="Times New Roman"/>
          <w:sz w:val="24"/>
        </w:rPr>
        <w:t>s</w:t>
      </w:r>
      <w:r>
        <w:rPr>
          <w:rFonts w:ascii="Times New Roman" w:hAnsi="Times New Roman"/>
          <w:sz w:val="24"/>
        </w:rPr>
        <w:t xml:space="preserve"> </w:t>
      </w:r>
      <w:r w:rsidR="008E61DC">
        <w:rPr>
          <w:rFonts w:ascii="Times New Roman" w:hAnsi="Times New Roman"/>
          <w:sz w:val="24"/>
        </w:rPr>
        <w:t>purporting to</w:t>
      </w:r>
      <w:r>
        <w:rPr>
          <w:rFonts w:ascii="Times New Roman" w:hAnsi="Times New Roman"/>
          <w:sz w:val="24"/>
        </w:rPr>
        <w:t xml:space="preserve"> </w:t>
      </w:r>
      <w:r w:rsidR="008E61DC">
        <w:rPr>
          <w:rFonts w:ascii="Times New Roman" w:hAnsi="Times New Roman"/>
          <w:sz w:val="24"/>
        </w:rPr>
        <w:t>record</w:t>
      </w:r>
      <w:r>
        <w:rPr>
          <w:rFonts w:ascii="Times New Roman" w:hAnsi="Times New Roman"/>
          <w:sz w:val="24"/>
        </w:rPr>
        <w:t xml:space="preserve"> the AA determination which must be made prior to the adoption of the </w:t>
      </w:r>
      <w:r w:rsidR="008E61DC">
        <w:rPr>
          <w:rFonts w:ascii="Times New Roman" w:hAnsi="Times New Roman"/>
          <w:sz w:val="24"/>
        </w:rPr>
        <w:lastRenderedPageBreak/>
        <w:t>NPF</w:t>
      </w:r>
      <w:r>
        <w:rPr>
          <w:rFonts w:ascii="Times New Roman" w:hAnsi="Times New Roman"/>
          <w:sz w:val="24"/>
        </w:rPr>
        <w:t>.  The documents relied upon do not contain the AA determination, as I have set out at para</w:t>
      </w:r>
      <w:r w:rsidR="000F7829">
        <w:rPr>
          <w:rFonts w:ascii="Times New Roman" w:hAnsi="Times New Roman"/>
          <w:sz w:val="24"/>
        </w:rPr>
        <w:t>s</w:t>
      </w:r>
      <w:r>
        <w:rPr>
          <w:rFonts w:ascii="Times New Roman" w:hAnsi="Times New Roman"/>
          <w:sz w:val="24"/>
        </w:rPr>
        <w:t xml:space="preserve">. </w:t>
      </w:r>
      <w:r w:rsidR="000F7829">
        <w:rPr>
          <w:rFonts w:ascii="Times New Roman" w:hAnsi="Times New Roman"/>
          <w:sz w:val="24"/>
        </w:rPr>
        <w:t>35-37</w:t>
      </w:r>
      <w:r>
        <w:rPr>
          <w:rFonts w:ascii="Times New Roman" w:hAnsi="Times New Roman"/>
          <w:sz w:val="24"/>
        </w:rPr>
        <w:t xml:space="preserve">.  The documents certainly do not contain </w:t>
      </w:r>
      <w:r w:rsidR="008E61DC">
        <w:rPr>
          <w:rFonts w:ascii="Times New Roman" w:hAnsi="Times New Roman"/>
          <w:sz w:val="24"/>
        </w:rPr>
        <w:t>a decision</w:t>
      </w:r>
      <w:r>
        <w:rPr>
          <w:rFonts w:ascii="Times New Roman" w:hAnsi="Times New Roman"/>
          <w:sz w:val="24"/>
        </w:rPr>
        <w:t xml:space="preserve"> which meets the requirements set out in </w:t>
      </w:r>
      <w:r>
        <w:rPr>
          <w:rFonts w:ascii="Times New Roman" w:hAnsi="Times New Roman"/>
          <w:i/>
          <w:sz w:val="24"/>
        </w:rPr>
        <w:t>Kelly</w:t>
      </w:r>
      <w:r>
        <w:rPr>
          <w:rFonts w:ascii="Times New Roman" w:hAnsi="Times New Roman"/>
          <w:sz w:val="24"/>
        </w:rPr>
        <w:t xml:space="preserve">.  The </w:t>
      </w:r>
      <w:r w:rsidR="008E61DC">
        <w:rPr>
          <w:rFonts w:ascii="Times New Roman" w:hAnsi="Times New Roman"/>
          <w:sz w:val="24"/>
        </w:rPr>
        <w:t xml:space="preserve">respondents rely upon </w:t>
      </w:r>
      <w:r>
        <w:rPr>
          <w:rFonts w:ascii="Times New Roman" w:hAnsi="Times New Roman"/>
          <w:sz w:val="24"/>
        </w:rPr>
        <w:t xml:space="preserve">two sentences in para. 3.5 of the SEA Environmental Report in respect of the draft NPF </w:t>
      </w:r>
      <w:r w:rsidR="008E61DC">
        <w:rPr>
          <w:rFonts w:ascii="Times New Roman" w:hAnsi="Times New Roman"/>
          <w:sz w:val="24"/>
        </w:rPr>
        <w:t xml:space="preserve">as satisfying this requirement. </w:t>
      </w:r>
      <w:r w:rsidR="00713C06">
        <w:rPr>
          <w:rFonts w:ascii="Times New Roman" w:hAnsi="Times New Roman"/>
          <w:sz w:val="24"/>
        </w:rPr>
        <w:t xml:space="preserve"> </w:t>
      </w:r>
      <w:r w:rsidR="008E61DC">
        <w:rPr>
          <w:rFonts w:ascii="Times New Roman" w:hAnsi="Times New Roman"/>
          <w:sz w:val="24"/>
        </w:rPr>
        <w:t xml:space="preserve">The report states </w:t>
      </w:r>
      <w:r>
        <w:rPr>
          <w:rFonts w:ascii="Times New Roman" w:hAnsi="Times New Roman"/>
          <w:sz w:val="24"/>
        </w:rPr>
        <w:t>that:</w:t>
      </w:r>
      <w:r w:rsidR="00713C06">
        <w:rPr>
          <w:rFonts w:ascii="Times New Roman" w:hAnsi="Times New Roman"/>
          <w:sz w:val="24"/>
        </w:rPr>
        <w:t>-</w:t>
      </w:r>
    </w:p>
    <w:p w14:paraId="2F63BB95" w14:textId="52AE5733" w:rsidR="00644B5B" w:rsidRPr="008E61DC" w:rsidRDefault="00644B5B" w:rsidP="00644B5B">
      <w:pPr>
        <w:pStyle w:val="ListParagraph"/>
        <w:spacing w:line="480" w:lineRule="auto"/>
        <w:ind w:left="567"/>
        <w:jc w:val="left"/>
        <w:rPr>
          <w:rFonts w:ascii="Times New Roman" w:hAnsi="Times New Roman"/>
          <w:sz w:val="24"/>
        </w:rPr>
      </w:pPr>
      <w:r>
        <w:rPr>
          <w:rFonts w:ascii="Times New Roman" w:hAnsi="Times New Roman"/>
          <w:i/>
          <w:sz w:val="24"/>
        </w:rPr>
        <w:t>“</w:t>
      </w:r>
      <w:r w:rsidR="00713C06">
        <w:rPr>
          <w:rFonts w:ascii="Times New Roman" w:hAnsi="Times New Roman"/>
          <w:i/>
          <w:sz w:val="24"/>
        </w:rPr>
        <w:t>B</w:t>
      </w:r>
      <w:r w:rsidRPr="00644B5B">
        <w:rPr>
          <w:rFonts w:ascii="Times New Roman" w:hAnsi="Times New Roman"/>
          <w:i/>
          <w:sz w:val="24"/>
        </w:rPr>
        <w:t>ased on the NIS</w:t>
      </w:r>
      <w:r w:rsidR="003763A0">
        <w:rPr>
          <w:rFonts w:ascii="Times New Roman" w:hAnsi="Times New Roman"/>
          <w:i/>
          <w:sz w:val="24"/>
        </w:rPr>
        <w:t>,</w:t>
      </w:r>
      <w:r w:rsidRPr="00644B5B">
        <w:rPr>
          <w:rFonts w:ascii="Times New Roman" w:hAnsi="Times New Roman"/>
          <w:i/>
          <w:sz w:val="24"/>
        </w:rPr>
        <w:t xml:space="preserve"> and with reference to the scope of the NPF, the </w:t>
      </w:r>
      <w:r w:rsidR="003763A0">
        <w:rPr>
          <w:rFonts w:ascii="Times New Roman" w:hAnsi="Times New Roman"/>
          <w:i/>
          <w:sz w:val="24"/>
        </w:rPr>
        <w:t>[</w:t>
      </w:r>
      <w:r w:rsidRPr="00644B5B">
        <w:rPr>
          <w:rFonts w:ascii="Times New Roman" w:hAnsi="Times New Roman"/>
          <w:i/>
          <w:sz w:val="24"/>
        </w:rPr>
        <w:t>Department</w:t>
      </w:r>
      <w:r w:rsidR="003763A0">
        <w:rPr>
          <w:rFonts w:ascii="Times New Roman" w:hAnsi="Times New Roman"/>
          <w:i/>
          <w:sz w:val="24"/>
        </w:rPr>
        <w:t>] ha</w:t>
      </w:r>
      <w:r w:rsidR="00713C06">
        <w:rPr>
          <w:rFonts w:ascii="Times New Roman" w:hAnsi="Times New Roman"/>
          <w:i/>
          <w:sz w:val="24"/>
        </w:rPr>
        <w:t>s</w:t>
      </w:r>
      <w:r w:rsidRPr="00644B5B">
        <w:rPr>
          <w:rFonts w:ascii="Times New Roman" w:hAnsi="Times New Roman"/>
          <w:i/>
          <w:sz w:val="24"/>
        </w:rPr>
        <w:t xml:space="preserve"> determined that the NPF </w:t>
      </w:r>
      <w:r w:rsidR="003763A0">
        <w:rPr>
          <w:rFonts w:ascii="Times New Roman" w:hAnsi="Times New Roman"/>
          <w:i/>
          <w:sz w:val="24"/>
        </w:rPr>
        <w:t>is</w:t>
      </w:r>
      <w:r w:rsidRPr="00644B5B">
        <w:rPr>
          <w:rFonts w:ascii="Times New Roman" w:hAnsi="Times New Roman"/>
          <w:i/>
          <w:sz w:val="24"/>
        </w:rPr>
        <w:t xml:space="preserve"> compliant with the requirements of Article 6 of the EU Habitats Directive as transposed into Irish law.  </w:t>
      </w:r>
      <w:r w:rsidR="003763A0">
        <w:rPr>
          <w:rFonts w:ascii="Times New Roman" w:hAnsi="Times New Roman"/>
          <w:i/>
          <w:sz w:val="24"/>
        </w:rPr>
        <w:t>T</w:t>
      </w:r>
      <w:r w:rsidRPr="00644B5B">
        <w:rPr>
          <w:rFonts w:ascii="Times New Roman" w:hAnsi="Times New Roman"/>
          <w:i/>
          <w:sz w:val="24"/>
        </w:rPr>
        <w:t>h</w:t>
      </w:r>
      <w:r w:rsidR="003763A0">
        <w:rPr>
          <w:rFonts w:ascii="Times New Roman" w:hAnsi="Times New Roman"/>
          <w:i/>
          <w:sz w:val="24"/>
        </w:rPr>
        <w:t>is</w:t>
      </w:r>
      <w:r w:rsidRPr="00644B5B">
        <w:rPr>
          <w:rFonts w:ascii="Times New Roman" w:hAnsi="Times New Roman"/>
          <w:i/>
          <w:sz w:val="24"/>
        </w:rPr>
        <w:t xml:space="preserve"> determination </w:t>
      </w:r>
      <w:r w:rsidR="003763A0">
        <w:rPr>
          <w:rFonts w:ascii="Times New Roman" w:hAnsi="Times New Roman"/>
          <w:i/>
          <w:sz w:val="24"/>
        </w:rPr>
        <w:t xml:space="preserve">will </w:t>
      </w:r>
      <w:r w:rsidRPr="00644B5B">
        <w:rPr>
          <w:rFonts w:ascii="Times New Roman" w:hAnsi="Times New Roman"/>
          <w:i/>
          <w:sz w:val="24"/>
        </w:rPr>
        <w:t>be made available for public information</w:t>
      </w:r>
      <w:r w:rsidR="003763A0">
        <w:rPr>
          <w:rFonts w:ascii="Times New Roman" w:hAnsi="Times New Roman"/>
          <w:i/>
          <w:sz w:val="24"/>
        </w:rPr>
        <w:t>”</w:t>
      </w:r>
      <w:r w:rsidRPr="00644B5B">
        <w:rPr>
          <w:rFonts w:ascii="Times New Roman" w:hAnsi="Times New Roman"/>
          <w:i/>
          <w:sz w:val="24"/>
        </w:rPr>
        <w:t xml:space="preserve"> </w:t>
      </w:r>
    </w:p>
    <w:p w14:paraId="20200AFD" w14:textId="69E3FBD9" w:rsidR="003763A0" w:rsidRPr="006C6D62" w:rsidRDefault="003763A0" w:rsidP="00F8022C">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This is insufficient to satisfy the requirements set out in </w:t>
      </w:r>
      <w:r>
        <w:rPr>
          <w:rFonts w:ascii="Times New Roman" w:hAnsi="Times New Roman"/>
          <w:i/>
          <w:sz w:val="24"/>
        </w:rPr>
        <w:t>Kelly</w:t>
      </w:r>
      <w:r>
        <w:rPr>
          <w:rFonts w:ascii="Times New Roman" w:hAnsi="Times New Roman"/>
          <w:sz w:val="24"/>
        </w:rPr>
        <w:t xml:space="preserve"> and no such determination</w:t>
      </w:r>
      <w:r w:rsidR="00D05752">
        <w:rPr>
          <w:rFonts w:ascii="Times New Roman" w:hAnsi="Times New Roman"/>
          <w:sz w:val="24"/>
        </w:rPr>
        <w:t>, if it</w:t>
      </w:r>
      <w:r w:rsidR="008E61DC">
        <w:rPr>
          <w:rFonts w:ascii="Times New Roman" w:hAnsi="Times New Roman"/>
          <w:sz w:val="24"/>
        </w:rPr>
        <w:t xml:space="preserve"> was </w:t>
      </w:r>
      <w:r>
        <w:rPr>
          <w:rFonts w:ascii="Times New Roman" w:hAnsi="Times New Roman"/>
          <w:sz w:val="24"/>
        </w:rPr>
        <w:t>reached prior to 16 February 2018</w:t>
      </w:r>
      <w:r w:rsidR="00D05752">
        <w:rPr>
          <w:rFonts w:ascii="Times New Roman" w:hAnsi="Times New Roman"/>
          <w:sz w:val="24"/>
        </w:rPr>
        <w:t>,</w:t>
      </w:r>
      <w:r>
        <w:rPr>
          <w:rFonts w:ascii="Times New Roman" w:hAnsi="Times New Roman"/>
          <w:sz w:val="24"/>
        </w:rPr>
        <w:t xml:space="preserve"> was made available for public information</w:t>
      </w:r>
      <w:r w:rsidR="008E61DC">
        <w:rPr>
          <w:rFonts w:ascii="Times New Roman" w:hAnsi="Times New Roman"/>
          <w:sz w:val="24"/>
        </w:rPr>
        <w:t xml:space="preserve"> and inspection</w:t>
      </w:r>
      <w:r>
        <w:rPr>
          <w:rFonts w:ascii="Times New Roman" w:hAnsi="Times New Roman"/>
          <w:sz w:val="24"/>
        </w:rPr>
        <w:t>, despite the express requests of the solicitors for the applica</w:t>
      </w:r>
      <w:r w:rsidR="008E61DC">
        <w:rPr>
          <w:rFonts w:ascii="Times New Roman" w:hAnsi="Times New Roman"/>
          <w:sz w:val="24"/>
        </w:rPr>
        <w:t>n</w:t>
      </w:r>
      <w:r>
        <w:rPr>
          <w:rFonts w:ascii="Times New Roman" w:hAnsi="Times New Roman"/>
          <w:sz w:val="24"/>
        </w:rPr>
        <w:t>t</w:t>
      </w:r>
      <w:r w:rsidR="008E61DC">
        <w:rPr>
          <w:rFonts w:ascii="Times New Roman" w:hAnsi="Times New Roman"/>
          <w:sz w:val="24"/>
        </w:rPr>
        <w:t xml:space="preserve"> </w:t>
      </w:r>
      <w:r>
        <w:rPr>
          <w:rFonts w:ascii="Times New Roman" w:hAnsi="Times New Roman"/>
          <w:sz w:val="24"/>
        </w:rPr>
        <w:t>for same.</w:t>
      </w:r>
      <w:r w:rsidR="0037576E">
        <w:rPr>
          <w:rFonts w:ascii="Times New Roman" w:hAnsi="Times New Roman"/>
          <w:sz w:val="24"/>
        </w:rPr>
        <w:t xml:space="preserve"> </w:t>
      </w:r>
      <w:r>
        <w:rPr>
          <w:rFonts w:ascii="Times New Roman" w:hAnsi="Times New Roman"/>
          <w:sz w:val="24"/>
        </w:rPr>
        <w:t xml:space="preserve"> </w:t>
      </w:r>
      <w:r w:rsidR="004C17FB" w:rsidRPr="00A618A4">
        <w:rPr>
          <w:rFonts w:ascii="Times New Roman" w:hAnsi="Times New Roman"/>
          <w:sz w:val="24"/>
        </w:rPr>
        <w:t xml:space="preserve">The finding of the trial judge that </w:t>
      </w:r>
      <w:r w:rsidR="004C17FB" w:rsidRPr="00A618A4">
        <w:rPr>
          <w:rFonts w:ascii="Times New Roman" w:hAnsi="Times New Roman"/>
          <w:i/>
          <w:sz w:val="24"/>
        </w:rPr>
        <w:t>“in reality the necessary determination had been made by the Minister in advance of the Government meeting on 16 February 2018</w:t>
      </w:r>
      <w:r w:rsidR="00F903EF">
        <w:rPr>
          <w:rFonts w:ascii="Times New Roman" w:hAnsi="Times New Roman"/>
          <w:i/>
          <w:sz w:val="24"/>
        </w:rPr>
        <w:t>”</w:t>
      </w:r>
      <w:r w:rsidR="004C17FB">
        <w:rPr>
          <w:rFonts w:ascii="Times New Roman" w:hAnsi="Times New Roman"/>
          <w:i/>
          <w:sz w:val="24"/>
        </w:rPr>
        <w:t xml:space="preserve"> </w:t>
      </w:r>
      <w:r w:rsidR="004C17FB" w:rsidRPr="0070512E">
        <w:rPr>
          <w:rFonts w:ascii="Times New Roman" w:hAnsi="Times New Roman"/>
          <w:sz w:val="24"/>
        </w:rPr>
        <w:t>is unsupported by the evidence</w:t>
      </w:r>
      <w:r w:rsidR="004C17FB">
        <w:rPr>
          <w:rFonts w:ascii="Times New Roman" w:hAnsi="Times New Roman"/>
          <w:sz w:val="24"/>
        </w:rPr>
        <w:t xml:space="preserve"> and therefore cannot stand.</w:t>
      </w:r>
      <w:r w:rsidR="00E972DE" w:rsidRPr="00E972DE">
        <w:rPr>
          <w:rFonts w:ascii="Times New Roman" w:hAnsi="Times New Roman"/>
          <w:sz w:val="24"/>
        </w:rPr>
        <w:t xml:space="preserve"> </w:t>
      </w:r>
      <w:r w:rsidR="00F903EF">
        <w:rPr>
          <w:rFonts w:ascii="Times New Roman" w:hAnsi="Times New Roman"/>
          <w:sz w:val="24"/>
        </w:rPr>
        <w:t xml:space="preserve"> </w:t>
      </w:r>
      <w:r w:rsidR="00E972DE">
        <w:rPr>
          <w:rFonts w:ascii="Times New Roman" w:hAnsi="Times New Roman"/>
          <w:sz w:val="24"/>
        </w:rPr>
        <w:t xml:space="preserve">There was no evidence that the Minister made any </w:t>
      </w:r>
      <w:r w:rsidR="002C5E1D">
        <w:rPr>
          <w:rFonts w:ascii="Times New Roman" w:hAnsi="Times New Roman"/>
          <w:sz w:val="24"/>
        </w:rPr>
        <w:t xml:space="preserve">unwritten </w:t>
      </w:r>
      <w:r w:rsidR="00E972DE">
        <w:rPr>
          <w:rFonts w:ascii="Times New Roman" w:hAnsi="Times New Roman"/>
          <w:sz w:val="24"/>
        </w:rPr>
        <w:t>AA determination in advance of 16 February 2018</w:t>
      </w:r>
      <w:r w:rsidR="002C5E1D">
        <w:rPr>
          <w:rFonts w:ascii="Times New Roman" w:hAnsi="Times New Roman"/>
          <w:sz w:val="24"/>
        </w:rPr>
        <w:t xml:space="preserve"> and the trial judge found as a fact that he made none in writing prior to that date</w:t>
      </w:r>
      <w:r w:rsidR="00E972DE">
        <w:rPr>
          <w:rFonts w:ascii="Times New Roman" w:hAnsi="Times New Roman"/>
          <w:sz w:val="24"/>
        </w:rPr>
        <w:t>.  Therefore, the issue whether it could subsequently be reduced to writing could not, even if correct, lead to the conclusion that the decision of 16 February 2018 was valid</w:t>
      </w:r>
      <w:r w:rsidR="006C6D62">
        <w:rPr>
          <w:rFonts w:ascii="Times New Roman" w:hAnsi="Times New Roman"/>
          <w:sz w:val="24"/>
        </w:rPr>
        <w:t>, as was argued by the respondents</w:t>
      </w:r>
    </w:p>
    <w:p w14:paraId="085246CF" w14:textId="68A896F8" w:rsidR="006E6101" w:rsidRPr="006E6101" w:rsidRDefault="006C6D62" w:rsidP="00506A83">
      <w:pPr>
        <w:pStyle w:val="ListParagraph"/>
        <w:numPr>
          <w:ilvl w:val="0"/>
          <w:numId w:val="1"/>
        </w:numPr>
        <w:tabs>
          <w:tab w:val="left" w:pos="567"/>
        </w:tabs>
        <w:spacing w:line="480" w:lineRule="auto"/>
        <w:ind w:left="0" w:firstLine="0"/>
        <w:jc w:val="left"/>
      </w:pPr>
      <w:r>
        <w:rPr>
          <w:rFonts w:ascii="Times New Roman" w:hAnsi="Times New Roman"/>
          <w:sz w:val="24"/>
        </w:rPr>
        <w:t>T</w:t>
      </w:r>
      <w:r w:rsidR="003763A0">
        <w:rPr>
          <w:rFonts w:ascii="Times New Roman" w:hAnsi="Times New Roman"/>
          <w:sz w:val="24"/>
        </w:rPr>
        <w:t xml:space="preserve">he respondents </w:t>
      </w:r>
      <w:r>
        <w:rPr>
          <w:rFonts w:ascii="Times New Roman" w:hAnsi="Times New Roman"/>
          <w:sz w:val="24"/>
        </w:rPr>
        <w:t>submitted</w:t>
      </w:r>
      <w:r w:rsidR="003763A0">
        <w:rPr>
          <w:rFonts w:ascii="Times New Roman" w:hAnsi="Times New Roman"/>
          <w:sz w:val="24"/>
        </w:rPr>
        <w:t xml:space="preserve"> that a decision maker could comply with the requirements of the </w:t>
      </w:r>
      <w:r w:rsidR="008E61DC">
        <w:rPr>
          <w:rFonts w:ascii="Times New Roman" w:hAnsi="Times New Roman"/>
          <w:sz w:val="24"/>
        </w:rPr>
        <w:t xml:space="preserve">Habitats </w:t>
      </w:r>
      <w:r w:rsidR="003763A0">
        <w:rPr>
          <w:rFonts w:ascii="Times New Roman" w:hAnsi="Times New Roman"/>
          <w:sz w:val="24"/>
        </w:rPr>
        <w:t>Directive and the Regulations by making a determination which was not reduced to writing prior to adopting the plan or reaching the decision and t</w:t>
      </w:r>
      <w:r w:rsidR="008E61DC">
        <w:rPr>
          <w:rFonts w:ascii="Times New Roman" w:hAnsi="Times New Roman"/>
          <w:sz w:val="24"/>
        </w:rPr>
        <w:t>hen</w:t>
      </w:r>
      <w:r w:rsidR="00A436CA">
        <w:rPr>
          <w:rFonts w:ascii="Times New Roman" w:hAnsi="Times New Roman"/>
          <w:sz w:val="24"/>
        </w:rPr>
        <w:t>,</w:t>
      </w:r>
      <w:r w:rsidR="003763A0">
        <w:rPr>
          <w:rFonts w:ascii="Times New Roman" w:hAnsi="Times New Roman"/>
          <w:sz w:val="24"/>
        </w:rPr>
        <w:t xml:space="preserve"> subsequently</w:t>
      </w:r>
      <w:r w:rsidR="00A436CA">
        <w:rPr>
          <w:rFonts w:ascii="Times New Roman" w:hAnsi="Times New Roman"/>
          <w:sz w:val="24"/>
        </w:rPr>
        <w:t>,</w:t>
      </w:r>
      <w:r w:rsidR="003763A0">
        <w:rPr>
          <w:rFonts w:ascii="Times New Roman" w:hAnsi="Times New Roman"/>
          <w:sz w:val="24"/>
        </w:rPr>
        <w:t xml:space="preserve"> </w:t>
      </w:r>
      <w:r w:rsidR="008E61DC">
        <w:rPr>
          <w:rFonts w:ascii="Times New Roman" w:hAnsi="Times New Roman"/>
          <w:sz w:val="24"/>
        </w:rPr>
        <w:t xml:space="preserve">the </w:t>
      </w:r>
      <w:r w:rsidR="006E6101">
        <w:rPr>
          <w:rFonts w:ascii="Times New Roman" w:hAnsi="Times New Roman"/>
          <w:sz w:val="24"/>
        </w:rPr>
        <w:t>decision</w:t>
      </w:r>
      <w:r w:rsidR="008E61DC">
        <w:rPr>
          <w:rFonts w:ascii="Times New Roman" w:hAnsi="Times New Roman"/>
          <w:sz w:val="24"/>
        </w:rPr>
        <w:t xml:space="preserve"> maker </w:t>
      </w:r>
      <w:r w:rsidR="006E6101">
        <w:rPr>
          <w:rFonts w:ascii="Times New Roman" w:hAnsi="Times New Roman"/>
          <w:sz w:val="24"/>
        </w:rPr>
        <w:t xml:space="preserve">could </w:t>
      </w:r>
      <w:r w:rsidR="003763A0">
        <w:rPr>
          <w:rFonts w:ascii="Times New Roman" w:hAnsi="Times New Roman"/>
          <w:sz w:val="24"/>
        </w:rPr>
        <w:t xml:space="preserve">reduce the </w:t>
      </w:r>
      <w:r w:rsidR="006E6101">
        <w:rPr>
          <w:rFonts w:ascii="Times New Roman" w:hAnsi="Times New Roman"/>
          <w:sz w:val="24"/>
        </w:rPr>
        <w:t xml:space="preserve">unwritten </w:t>
      </w:r>
      <w:r w:rsidR="003763A0">
        <w:rPr>
          <w:rFonts w:ascii="Times New Roman" w:hAnsi="Times New Roman"/>
          <w:sz w:val="24"/>
        </w:rPr>
        <w:t xml:space="preserve">AA determination to writing. </w:t>
      </w:r>
      <w:r w:rsidR="006E6101" w:rsidRPr="00CE02C2">
        <w:rPr>
          <w:rFonts w:ascii="Times New Roman" w:hAnsi="Times New Roman" w:cs="Times New Roman"/>
          <w:sz w:val="24"/>
          <w:szCs w:val="24"/>
        </w:rPr>
        <w:t xml:space="preserve">The trial judge accepted the submissions of the respondents to the effect that Regulation </w:t>
      </w:r>
      <w:r w:rsidR="006E6101" w:rsidRPr="00CE02C2">
        <w:rPr>
          <w:rFonts w:ascii="Times New Roman" w:hAnsi="Times New Roman" w:cs="Times New Roman"/>
          <w:sz w:val="24"/>
          <w:szCs w:val="24"/>
        </w:rPr>
        <w:lastRenderedPageBreak/>
        <w:t>42(18)(a) permits the determination</w:t>
      </w:r>
      <w:r w:rsidR="00F903EF">
        <w:rPr>
          <w:rFonts w:ascii="Times New Roman" w:hAnsi="Times New Roman" w:cs="Times New Roman"/>
          <w:sz w:val="24"/>
          <w:szCs w:val="24"/>
        </w:rPr>
        <w:t>,</w:t>
      </w:r>
      <w:r w:rsidR="006E6101" w:rsidRPr="00CE02C2">
        <w:rPr>
          <w:rFonts w:ascii="Times New Roman" w:hAnsi="Times New Roman" w:cs="Times New Roman"/>
          <w:sz w:val="24"/>
          <w:szCs w:val="24"/>
        </w:rPr>
        <w:t xml:space="preserve"> and the reasons for making the determination</w:t>
      </w:r>
      <w:r w:rsidR="00F903EF">
        <w:rPr>
          <w:rFonts w:ascii="Times New Roman" w:hAnsi="Times New Roman" w:cs="Times New Roman"/>
          <w:sz w:val="24"/>
          <w:szCs w:val="24"/>
        </w:rPr>
        <w:t>,</w:t>
      </w:r>
      <w:r w:rsidR="006E6101" w:rsidRPr="00CE02C2">
        <w:rPr>
          <w:rFonts w:ascii="Times New Roman" w:hAnsi="Times New Roman" w:cs="Times New Roman"/>
          <w:sz w:val="24"/>
          <w:szCs w:val="24"/>
        </w:rPr>
        <w:t xml:space="preserve"> to be reduced to writing after the date on which it is made.  The Regulation provides:</w:t>
      </w:r>
      <w:r w:rsidR="00F903EF">
        <w:rPr>
          <w:rFonts w:ascii="Times New Roman" w:hAnsi="Times New Roman" w:cs="Times New Roman"/>
          <w:sz w:val="24"/>
          <w:szCs w:val="24"/>
        </w:rPr>
        <w:t>-</w:t>
      </w:r>
    </w:p>
    <w:p w14:paraId="57731DD5" w14:textId="04F2E6A9" w:rsidR="006E6101" w:rsidRDefault="006E6101" w:rsidP="006E6101">
      <w:pPr>
        <w:pStyle w:val="ListParagraph"/>
        <w:spacing w:line="480" w:lineRule="auto"/>
        <w:ind w:left="567"/>
        <w:jc w:val="left"/>
        <w:rPr>
          <w:rFonts w:ascii="Times New Roman" w:hAnsi="Times New Roman"/>
          <w:sz w:val="24"/>
        </w:rPr>
      </w:pPr>
      <w:r>
        <w:rPr>
          <w:rFonts w:ascii="Times New Roman" w:hAnsi="Times New Roman"/>
          <w:i/>
          <w:sz w:val="24"/>
        </w:rPr>
        <w:t xml:space="preserve">“(18)(a) </w:t>
      </w:r>
      <w:r w:rsidR="00F903EF">
        <w:rPr>
          <w:rFonts w:ascii="Times New Roman" w:hAnsi="Times New Roman"/>
          <w:i/>
          <w:sz w:val="24"/>
        </w:rPr>
        <w:t>A p</w:t>
      </w:r>
      <w:r>
        <w:rPr>
          <w:rFonts w:ascii="Times New Roman" w:hAnsi="Times New Roman"/>
          <w:i/>
          <w:sz w:val="24"/>
        </w:rPr>
        <w:t xml:space="preserve">ublic </w:t>
      </w:r>
      <w:r w:rsidR="00F903EF">
        <w:rPr>
          <w:rFonts w:ascii="Times New Roman" w:hAnsi="Times New Roman"/>
          <w:i/>
          <w:sz w:val="24"/>
        </w:rPr>
        <w:t>a</w:t>
      </w:r>
      <w:r>
        <w:rPr>
          <w:rFonts w:ascii="Times New Roman" w:hAnsi="Times New Roman"/>
          <w:i/>
          <w:sz w:val="24"/>
        </w:rPr>
        <w:t>uthority shall make available for inspection any determination that it makes in relation to a plan</w:t>
      </w:r>
      <w:r w:rsidR="00F903EF">
        <w:rPr>
          <w:rFonts w:ascii="Times New Roman" w:hAnsi="Times New Roman"/>
          <w:i/>
          <w:sz w:val="24"/>
        </w:rPr>
        <w:t xml:space="preserve"> </w:t>
      </w:r>
      <w:r>
        <w:rPr>
          <w:rFonts w:ascii="Times New Roman" w:hAnsi="Times New Roman"/>
          <w:i/>
          <w:sz w:val="24"/>
        </w:rPr>
        <w:t>…</w:t>
      </w:r>
      <w:r w:rsidR="00F903EF">
        <w:rPr>
          <w:rFonts w:ascii="Times New Roman" w:hAnsi="Times New Roman"/>
          <w:i/>
          <w:sz w:val="24"/>
        </w:rPr>
        <w:t xml:space="preserve"> </w:t>
      </w:r>
      <w:r>
        <w:rPr>
          <w:rFonts w:ascii="Times New Roman" w:hAnsi="Times New Roman"/>
          <w:i/>
          <w:sz w:val="24"/>
        </w:rPr>
        <w:t>and provide reasons for that determination, as soon as may be after the making of the determination</w:t>
      </w:r>
      <w:r w:rsidR="00F903EF">
        <w:rPr>
          <w:rFonts w:ascii="Times New Roman" w:hAnsi="Times New Roman"/>
          <w:i/>
          <w:sz w:val="24"/>
        </w:rPr>
        <w:t xml:space="preserve"> </w:t>
      </w:r>
      <w:r>
        <w:rPr>
          <w:rFonts w:ascii="Times New Roman" w:hAnsi="Times New Roman"/>
          <w:i/>
          <w:sz w:val="24"/>
        </w:rPr>
        <w:t>… by members of the public</w:t>
      </w:r>
      <w:r w:rsidR="00F903EF">
        <w:rPr>
          <w:rFonts w:ascii="Times New Roman" w:hAnsi="Times New Roman"/>
          <w:i/>
          <w:sz w:val="24"/>
        </w:rPr>
        <w:t xml:space="preserve"> </w:t>
      </w:r>
      <w:r>
        <w:rPr>
          <w:rFonts w:ascii="Times New Roman" w:hAnsi="Times New Roman"/>
          <w:i/>
          <w:sz w:val="24"/>
        </w:rPr>
        <w:t>…</w:t>
      </w:r>
      <w:r w:rsidR="00F903EF">
        <w:rPr>
          <w:rFonts w:ascii="Times New Roman" w:hAnsi="Times New Roman"/>
          <w:i/>
          <w:sz w:val="24"/>
        </w:rPr>
        <w:t xml:space="preserve"> </w:t>
      </w:r>
      <w:r>
        <w:rPr>
          <w:rFonts w:ascii="Times New Roman" w:hAnsi="Times New Roman"/>
          <w:i/>
          <w:sz w:val="24"/>
        </w:rPr>
        <w:t>and shall also make the determination</w:t>
      </w:r>
      <w:r w:rsidR="00F903EF">
        <w:rPr>
          <w:rFonts w:ascii="Times New Roman" w:hAnsi="Times New Roman"/>
          <w:i/>
          <w:sz w:val="24"/>
        </w:rPr>
        <w:t xml:space="preserve"> </w:t>
      </w:r>
      <w:r>
        <w:rPr>
          <w:rFonts w:ascii="Times New Roman" w:hAnsi="Times New Roman"/>
          <w:i/>
          <w:sz w:val="24"/>
        </w:rPr>
        <w:t>…</w:t>
      </w:r>
      <w:r w:rsidR="00F903EF">
        <w:rPr>
          <w:rFonts w:ascii="Times New Roman" w:hAnsi="Times New Roman"/>
          <w:i/>
          <w:sz w:val="24"/>
        </w:rPr>
        <w:t xml:space="preserve"> </w:t>
      </w:r>
      <w:r>
        <w:rPr>
          <w:rFonts w:ascii="Times New Roman" w:hAnsi="Times New Roman"/>
          <w:i/>
          <w:sz w:val="24"/>
        </w:rPr>
        <w:t>available in electronic form.”</w:t>
      </w:r>
      <w:r>
        <w:rPr>
          <w:rFonts w:ascii="Times New Roman" w:hAnsi="Times New Roman"/>
          <w:sz w:val="24"/>
        </w:rPr>
        <w:t xml:space="preserve"> </w:t>
      </w:r>
    </w:p>
    <w:p w14:paraId="764C5BC7" w14:textId="758797DD" w:rsidR="006E6101" w:rsidRPr="006E6101" w:rsidRDefault="006E6101" w:rsidP="006E6101">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 agree with the submission of the applicant that the determination to be made available for inspection under Regulation 42(18)(a) is the determination that has been made</w:t>
      </w:r>
      <w:r w:rsidR="001838CD">
        <w:rPr>
          <w:rFonts w:ascii="Times New Roman" w:hAnsi="Times New Roman"/>
          <w:sz w:val="24"/>
        </w:rPr>
        <w:t>,</w:t>
      </w:r>
      <w:r>
        <w:rPr>
          <w:rFonts w:ascii="Times New Roman" w:hAnsi="Times New Roman"/>
          <w:sz w:val="24"/>
        </w:rPr>
        <w:t xml:space="preserve"> </w:t>
      </w:r>
      <w:r w:rsidRPr="004A56E3">
        <w:rPr>
          <w:rFonts w:ascii="Times New Roman" w:hAnsi="Times New Roman"/>
          <w:i/>
          <w:iCs/>
          <w:sz w:val="24"/>
        </w:rPr>
        <w:t>i.e.</w:t>
      </w:r>
      <w:r>
        <w:rPr>
          <w:rFonts w:ascii="Times New Roman" w:hAnsi="Times New Roman"/>
          <w:sz w:val="24"/>
        </w:rPr>
        <w:t xml:space="preserve"> the determination which must be carried out before the decision is taken to adopt the plan.  A determination which is not in writing is not amenable to inspection.  There is nothing in the provisions of Regulation 42(18)(a) which suggests that a written determination may be made </w:t>
      </w:r>
      <w:r>
        <w:rPr>
          <w:rFonts w:ascii="Times New Roman" w:hAnsi="Times New Roman"/>
          <w:i/>
          <w:sz w:val="24"/>
        </w:rPr>
        <w:t>ex post facto</w:t>
      </w:r>
      <w:r>
        <w:rPr>
          <w:rFonts w:ascii="Times New Roman" w:hAnsi="Times New Roman"/>
          <w:sz w:val="24"/>
        </w:rPr>
        <w:t xml:space="preserve"> and then published.  Furthermore, the nature of the assessment, as explained in </w:t>
      </w:r>
      <w:r>
        <w:rPr>
          <w:rFonts w:ascii="Times New Roman" w:hAnsi="Times New Roman"/>
          <w:i/>
          <w:sz w:val="24"/>
        </w:rPr>
        <w:t>Kelly</w:t>
      </w:r>
      <w:r>
        <w:rPr>
          <w:rFonts w:ascii="Times New Roman" w:hAnsi="Times New Roman"/>
          <w:sz w:val="24"/>
        </w:rPr>
        <w:t xml:space="preserve">, requires that the determination be in writing.  As </w:t>
      </w:r>
      <w:r w:rsidR="002C5E1D">
        <w:rPr>
          <w:rFonts w:ascii="Times New Roman" w:hAnsi="Times New Roman"/>
          <w:sz w:val="24"/>
        </w:rPr>
        <w:t>this</w:t>
      </w:r>
      <w:r>
        <w:rPr>
          <w:rFonts w:ascii="Times New Roman" w:hAnsi="Times New Roman"/>
          <w:sz w:val="24"/>
        </w:rPr>
        <w:t xml:space="preserve"> is a matter of jurisdiction, there must be clarity as to the </w:t>
      </w:r>
      <w:r>
        <w:rPr>
          <w:rFonts w:ascii="Times New Roman" w:hAnsi="Times New Roman"/>
          <w:i/>
          <w:sz w:val="24"/>
        </w:rPr>
        <w:t xml:space="preserve">“complete, precise and definitive findings and conclusions” </w:t>
      </w:r>
      <w:r>
        <w:rPr>
          <w:rFonts w:ascii="Times New Roman" w:hAnsi="Times New Roman"/>
          <w:sz w:val="24"/>
        </w:rPr>
        <w:t xml:space="preserve">which do not have any </w:t>
      </w:r>
      <w:r>
        <w:rPr>
          <w:rFonts w:ascii="Times New Roman" w:hAnsi="Times New Roman"/>
          <w:i/>
          <w:sz w:val="24"/>
        </w:rPr>
        <w:t xml:space="preserve">“lacunae or gaps” </w:t>
      </w:r>
      <w:r>
        <w:rPr>
          <w:rFonts w:ascii="Times New Roman" w:hAnsi="Times New Roman"/>
          <w:sz w:val="24"/>
        </w:rPr>
        <w:t xml:space="preserve">which supports the conclusion that </w:t>
      </w:r>
      <w:r>
        <w:rPr>
          <w:rFonts w:ascii="Times New Roman" w:hAnsi="Times New Roman"/>
          <w:i/>
          <w:sz w:val="24"/>
        </w:rPr>
        <w:t>“no reasonable scientific doubt remains”</w:t>
      </w:r>
      <w:r>
        <w:rPr>
          <w:rFonts w:ascii="Times New Roman" w:hAnsi="Times New Roman"/>
          <w:sz w:val="24"/>
        </w:rPr>
        <w:t xml:space="preserve">. </w:t>
      </w:r>
      <w:r w:rsidR="001838CD">
        <w:rPr>
          <w:rFonts w:ascii="Times New Roman" w:hAnsi="Times New Roman"/>
          <w:sz w:val="24"/>
        </w:rPr>
        <w:t xml:space="preserve"> </w:t>
      </w:r>
      <w:r>
        <w:rPr>
          <w:rFonts w:ascii="Times New Roman" w:hAnsi="Times New Roman"/>
          <w:sz w:val="24"/>
        </w:rPr>
        <w:t>This is not possible if the determination is not in writing.</w:t>
      </w:r>
    </w:p>
    <w:p w14:paraId="6A69D49B" w14:textId="3CCC87F4" w:rsidR="003763A0" w:rsidRDefault="003763A0" w:rsidP="003763A0">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AA determination is a substantive requirement going to the jurisdiction of the decision maker to reach the decision in question.  It is essential as a matter of proper administrative procedures that such determination be reduced to writing before, or at the very least, simultaneously with, the adoption of the plan or the making of the relevant decision.  It certainly</w:t>
      </w:r>
      <w:r w:rsidR="00E91264">
        <w:rPr>
          <w:rFonts w:ascii="Times New Roman" w:hAnsi="Times New Roman"/>
          <w:sz w:val="24"/>
        </w:rPr>
        <w:t xml:space="preserve"> cannot</w:t>
      </w:r>
      <w:r>
        <w:rPr>
          <w:rFonts w:ascii="Times New Roman" w:hAnsi="Times New Roman"/>
          <w:sz w:val="24"/>
        </w:rPr>
        <w:t xml:space="preserve"> be produce</w:t>
      </w:r>
      <w:r w:rsidR="00343ADE">
        <w:rPr>
          <w:rFonts w:ascii="Times New Roman" w:hAnsi="Times New Roman"/>
          <w:sz w:val="24"/>
        </w:rPr>
        <w:t>d</w:t>
      </w:r>
      <w:r>
        <w:rPr>
          <w:rFonts w:ascii="Times New Roman" w:hAnsi="Times New Roman"/>
          <w:sz w:val="24"/>
        </w:rPr>
        <w:t xml:space="preserve"> </w:t>
      </w:r>
      <w:r>
        <w:rPr>
          <w:rFonts w:ascii="Times New Roman" w:hAnsi="Times New Roman"/>
          <w:i/>
          <w:sz w:val="24"/>
        </w:rPr>
        <w:t>ex post facto</w:t>
      </w:r>
      <w:r>
        <w:rPr>
          <w:rFonts w:ascii="Times New Roman" w:hAnsi="Times New Roman"/>
          <w:sz w:val="24"/>
        </w:rPr>
        <w:t>.  T</w:t>
      </w:r>
      <w:r w:rsidR="00343ADE">
        <w:rPr>
          <w:rFonts w:ascii="Times New Roman" w:hAnsi="Times New Roman"/>
          <w:sz w:val="24"/>
        </w:rPr>
        <w:t>o permit such a process</w:t>
      </w:r>
      <w:r>
        <w:rPr>
          <w:rFonts w:ascii="Times New Roman" w:hAnsi="Times New Roman"/>
          <w:sz w:val="24"/>
        </w:rPr>
        <w:t xml:space="preserve"> would be to circumvent the requirements of the Directive and therefore to defeat its purpose.  It is completely contrary to the normal requirements of administrative procedures and law.  </w:t>
      </w:r>
    </w:p>
    <w:p w14:paraId="790E2D20" w14:textId="26B49E8F" w:rsidR="003611EE" w:rsidRPr="00343ADE" w:rsidRDefault="003611EE" w:rsidP="00343ADE">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sz w:val="24"/>
        </w:rPr>
        <w:lastRenderedPageBreak/>
        <w:t>In my judgment</w:t>
      </w:r>
      <w:r w:rsidR="0055244D">
        <w:rPr>
          <w:rFonts w:ascii="Times New Roman" w:hAnsi="Times New Roman"/>
          <w:sz w:val="24"/>
        </w:rPr>
        <w:t>,</w:t>
      </w:r>
      <w:r>
        <w:rPr>
          <w:rFonts w:ascii="Times New Roman" w:hAnsi="Times New Roman"/>
          <w:sz w:val="24"/>
        </w:rPr>
        <w:t xml:space="preserve"> the trial judge erred in holding that there was a</w:t>
      </w:r>
      <w:r w:rsidR="00343ADE">
        <w:rPr>
          <w:rFonts w:ascii="Times New Roman" w:hAnsi="Times New Roman"/>
          <w:sz w:val="24"/>
        </w:rPr>
        <w:t>n</w:t>
      </w:r>
      <w:r>
        <w:rPr>
          <w:rFonts w:ascii="Times New Roman" w:hAnsi="Times New Roman"/>
          <w:sz w:val="24"/>
        </w:rPr>
        <w:t xml:space="preserve"> AA determination by the Minister prior to 16 February 2018, albeit an unwritten one. </w:t>
      </w:r>
      <w:r w:rsidR="0055244D">
        <w:rPr>
          <w:rFonts w:ascii="Times New Roman" w:hAnsi="Times New Roman"/>
          <w:sz w:val="24"/>
        </w:rPr>
        <w:t xml:space="preserve"> </w:t>
      </w:r>
      <w:r>
        <w:rPr>
          <w:rFonts w:ascii="Times New Roman" w:hAnsi="Times New Roman"/>
          <w:sz w:val="24"/>
        </w:rPr>
        <w:t>There was no evidence of such a determination</w:t>
      </w:r>
      <w:r w:rsidR="00343ADE">
        <w:rPr>
          <w:rFonts w:ascii="Times New Roman" w:hAnsi="Times New Roman"/>
          <w:sz w:val="24"/>
        </w:rPr>
        <w:t>,</w:t>
      </w:r>
      <w:r>
        <w:rPr>
          <w:rFonts w:ascii="Times New Roman" w:hAnsi="Times New Roman"/>
          <w:sz w:val="24"/>
        </w:rPr>
        <w:t xml:space="preserve"> as I have explained. </w:t>
      </w:r>
      <w:r w:rsidR="0055244D">
        <w:rPr>
          <w:rFonts w:ascii="Times New Roman" w:hAnsi="Times New Roman"/>
          <w:sz w:val="24"/>
        </w:rPr>
        <w:t xml:space="preserve"> </w:t>
      </w:r>
      <w:r>
        <w:rPr>
          <w:rFonts w:ascii="Times New Roman" w:hAnsi="Times New Roman"/>
          <w:sz w:val="24"/>
        </w:rPr>
        <w:t>In addition,</w:t>
      </w:r>
      <w:r w:rsidRPr="003611EE">
        <w:rPr>
          <w:rFonts w:ascii="Times New Roman" w:hAnsi="Times New Roman"/>
          <w:sz w:val="24"/>
        </w:rPr>
        <w:t xml:space="preserve"> </w:t>
      </w:r>
      <w:r>
        <w:rPr>
          <w:rFonts w:ascii="Times New Roman" w:hAnsi="Times New Roman"/>
          <w:sz w:val="24"/>
        </w:rPr>
        <w:t xml:space="preserve">I do not accept that the determination of the Minister (assuming there to have been one) was </w:t>
      </w:r>
      <w:r>
        <w:rPr>
          <w:rFonts w:ascii="Times New Roman" w:hAnsi="Times New Roman"/>
          <w:i/>
          <w:sz w:val="24"/>
        </w:rPr>
        <w:t xml:space="preserve">“effectively” </w:t>
      </w:r>
      <w:r>
        <w:rPr>
          <w:rFonts w:ascii="Times New Roman" w:hAnsi="Times New Roman"/>
          <w:sz w:val="24"/>
        </w:rPr>
        <w:t xml:space="preserve">a determination by the </w:t>
      </w:r>
      <w:r w:rsidR="00343ADE">
        <w:rPr>
          <w:rFonts w:ascii="Times New Roman" w:hAnsi="Times New Roman"/>
          <w:sz w:val="24"/>
        </w:rPr>
        <w:t>g</w:t>
      </w:r>
      <w:r>
        <w:rPr>
          <w:rFonts w:ascii="Times New Roman" w:hAnsi="Times New Roman"/>
          <w:sz w:val="24"/>
        </w:rPr>
        <w:t xml:space="preserve">overnment. </w:t>
      </w:r>
      <w:r w:rsidR="00A436CA">
        <w:rPr>
          <w:rFonts w:ascii="Times New Roman" w:hAnsi="Times New Roman"/>
          <w:sz w:val="24"/>
        </w:rPr>
        <w:t xml:space="preserve"> </w:t>
      </w:r>
      <w:r w:rsidR="00E479EB">
        <w:rPr>
          <w:rFonts w:ascii="Times New Roman" w:hAnsi="Times New Roman"/>
          <w:sz w:val="24"/>
        </w:rPr>
        <w:t xml:space="preserve">There was no admissible evidence that the </w:t>
      </w:r>
      <w:r w:rsidR="00343ADE">
        <w:rPr>
          <w:rFonts w:ascii="Times New Roman" w:hAnsi="Times New Roman"/>
          <w:sz w:val="24"/>
        </w:rPr>
        <w:t>g</w:t>
      </w:r>
      <w:r w:rsidR="00E479EB">
        <w:rPr>
          <w:rFonts w:ascii="Times New Roman" w:hAnsi="Times New Roman"/>
          <w:sz w:val="24"/>
        </w:rPr>
        <w:t xml:space="preserve">overnment </w:t>
      </w:r>
      <w:r w:rsidR="00E479EB">
        <w:rPr>
          <w:rFonts w:ascii="Times New Roman" w:hAnsi="Times New Roman"/>
          <w:i/>
          <w:sz w:val="24"/>
        </w:rPr>
        <w:t>“were adopting not only the [NPF and the NDP], but also the determination made by the Minister on their behalf in advance of adopting the plans.”</w:t>
      </w:r>
      <w:r w:rsidR="00E479EB" w:rsidRPr="00A618A4">
        <w:rPr>
          <w:rFonts w:ascii="Times New Roman" w:hAnsi="Times New Roman"/>
          <w:sz w:val="24"/>
        </w:rPr>
        <w:t xml:space="preserve">  </w:t>
      </w:r>
      <w:r w:rsidRPr="00343ADE">
        <w:rPr>
          <w:rFonts w:ascii="Times New Roman" w:hAnsi="Times New Roman" w:cs="Times New Roman"/>
          <w:sz w:val="24"/>
          <w:szCs w:val="24"/>
        </w:rPr>
        <w:t>It was not open to the trial judge on the facts in evidence before him to reach this conclusion</w:t>
      </w:r>
      <w:r w:rsidR="00343ADE">
        <w:rPr>
          <w:rFonts w:ascii="Times New Roman" w:hAnsi="Times New Roman" w:cs="Times New Roman"/>
          <w:sz w:val="24"/>
          <w:szCs w:val="24"/>
        </w:rPr>
        <w:t>.</w:t>
      </w:r>
      <w:r w:rsidRPr="00343ADE">
        <w:rPr>
          <w:rFonts w:ascii="Times New Roman" w:hAnsi="Times New Roman" w:cs="Times New Roman"/>
          <w:sz w:val="24"/>
          <w:szCs w:val="24"/>
        </w:rPr>
        <w:t xml:space="preserve"> </w:t>
      </w:r>
    </w:p>
    <w:p w14:paraId="69F89443" w14:textId="5E929EBD" w:rsidR="0055244D" w:rsidRPr="004F4F38" w:rsidRDefault="004C17FB" w:rsidP="004A56E3">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F01840">
        <w:rPr>
          <w:rFonts w:ascii="Times New Roman" w:hAnsi="Times New Roman"/>
          <w:sz w:val="24"/>
        </w:rPr>
        <w:t>For these reasons</w:t>
      </w:r>
      <w:r w:rsidR="00F01840">
        <w:rPr>
          <w:rFonts w:ascii="Times New Roman" w:hAnsi="Times New Roman"/>
          <w:sz w:val="24"/>
        </w:rPr>
        <w:t>, in my view,</w:t>
      </w:r>
      <w:r w:rsidRPr="00F01840">
        <w:rPr>
          <w:rFonts w:ascii="Times New Roman" w:hAnsi="Times New Roman"/>
          <w:sz w:val="24"/>
        </w:rPr>
        <w:t xml:space="preserve"> the trial judge erred when he rejected the applicant’s claim </w:t>
      </w:r>
      <w:r w:rsidR="00F01840" w:rsidRPr="00F01840">
        <w:rPr>
          <w:rFonts w:ascii="Times New Roman" w:hAnsi="Times New Roman"/>
          <w:sz w:val="24"/>
        </w:rPr>
        <w:t xml:space="preserve">to an order of </w:t>
      </w:r>
      <w:r w:rsidR="00773D30">
        <w:rPr>
          <w:rFonts w:ascii="Times New Roman" w:hAnsi="Times New Roman" w:cs="Times New Roman"/>
          <w:i/>
          <w:iCs/>
          <w:sz w:val="24"/>
          <w:szCs w:val="24"/>
        </w:rPr>
        <w:t xml:space="preserve">certiorari </w:t>
      </w:r>
      <w:r w:rsidR="00F01840" w:rsidRPr="00F01840">
        <w:rPr>
          <w:rFonts w:ascii="Times New Roman" w:hAnsi="Times New Roman"/>
          <w:sz w:val="24"/>
        </w:rPr>
        <w:t>quashing</w:t>
      </w:r>
      <w:r w:rsidRPr="00F01840">
        <w:rPr>
          <w:rFonts w:ascii="Times New Roman" w:hAnsi="Times New Roman"/>
          <w:sz w:val="24"/>
        </w:rPr>
        <w:t xml:space="preserve"> the decision to adopt the NPF on 16 February 2018</w:t>
      </w:r>
      <w:r w:rsidR="00343ADE">
        <w:rPr>
          <w:rFonts w:ascii="Times New Roman" w:hAnsi="Times New Roman"/>
          <w:sz w:val="24"/>
        </w:rPr>
        <w:t>.</w:t>
      </w:r>
    </w:p>
    <w:p w14:paraId="0120DCDD" w14:textId="7463CAC8" w:rsidR="00544972" w:rsidRPr="004A56E3" w:rsidRDefault="00A3586A" w:rsidP="00F01840">
      <w:pPr>
        <w:pStyle w:val="ListParagraph"/>
        <w:tabs>
          <w:tab w:val="left" w:pos="567"/>
        </w:tabs>
        <w:spacing w:line="480" w:lineRule="auto"/>
        <w:ind w:left="0"/>
        <w:jc w:val="left"/>
        <w:rPr>
          <w:rFonts w:ascii="Times New Roman" w:hAnsi="Times New Roman"/>
          <w:b/>
          <w:i/>
          <w:iCs/>
          <w:sz w:val="24"/>
        </w:rPr>
      </w:pPr>
      <w:r>
        <w:rPr>
          <w:rFonts w:ascii="Times New Roman" w:hAnsi="Times New Roman"/>
          <w:b/>
          <w:i/>
          <w:iCs/>
          <w:sz w:val="24"/>
        </w:rPr>
        <w:t xml:space="preserve">AA – </w:t>
      </w:r>
      <w:r w:rsidR="00A94648" w:rsidRPr="004A56E3">
        <w:rPr>
          <w:rFonts w:ascii="Times New Roman" w:hAnsi="Times New Roman"/>
          <w:b/>
          <w:i/>
          <w:iCs/>
          <w:sz w:val="24"/>
        </w:rPr>
        <w:t>29 May 2018</w:t>
      </w:r>
    </w:p>
    <w:p w14:paraId="64C5B2D2" w14:textId="2D5E1632" w:rsidR="00A45FD7" w:rsidRDefault="00A94648"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14 May 2018</w:t>
      </w:r>
      <w:r w:rsidR="0055244D">
        <w:rPr>
          <w:rFonts w:ascii="Times New Roman" w:hAnsi="Times New Roman"/>
          <w:sz w:val="24"/>
        </w:rPr>
        <w:t>,</w:t>
      </w:r>
      <w:r>
        <w:rPr>
          <w:rFonts w:ascii="Times New Roman" w:hAnsi="Times New Roman"/>
          <w:sz w:val="24"/>
        </w:rPr>
        <w:t xml:space="preserve"> the Minister determined</w:t>
      </w:r>
      <w:r w:rsidR="0055244D">
        <w:rPr>
          <w:rFonts w:ascii="Times New Roman" w:hAnsi="Times New Roman"/>
          <w:sz w:val="24"/>
        </w:rPr>
        <w:t>,</w:t>
      </w:r>
      <w:r>
        <w:rPr>
          <w:rFonts w:ascii="Times New Roman" w:hAnsi="Times New Roman"/>
          <w:sz w:val="24"/>
        </w:rPr>
        <w:t xml:space="preserve"> pursuant to Regulation 42 of the Habitats Regulations and for the purposes of Article 6(3) of the Habitats Directive</w:t>
      </w:r>
      <w:r w:rsidR="0055244D">
        <w:rPr>
          <w:rFonts w:ascii="Times New Roman" w:hAnsi="Times New Roman"/>
          <w:sz w:val="24"/>
        </w:rPr>
        <w:t>,</w:t>
      </w:r>
      <w:r>
        <w:rPr>
          <w:rFonts w:ascii="Times New Roman" w:hAnsi="Times New Roman"/>
          <w:sz w:val="24"/>
        </w:rPr>
        <w:t xml:space="preserve"> </w:t>
      </w:r>
      <w:r>
        <w:rPr>
          <w:rFonts w:ascii="Times New Roman" w:hAnsi="Times New Roman"/>
          <w:i/>
          <w:sz w:val="24"/>
        </w:rPr>
        <w:t xml:space="preserve">“that the adoption and publication of the </w:t>
      </w:r>
      <w:r w:rsidR="004C17FB">
        <w:rPr>
          <w:rFonts w:ascii="Times New Roman" w:hAnsi="Times New Roman"/>
          <w:i/>
          <w:sz w:val="24"/>
        </w:rPr>
        <w:t>N</w:t>
      </w:r>
      <w:r>
        <w:rPr>
          <w:rFonts w:ascii="Times New Roman" w:hAnsi="Times New Roman"/>
          <w:i/>
          <w:sz w:val="24"/>
        </w:rPr>
        <w:t xml:space="preserve">PF as a replacement of the </w:t>
      </w:r>
      <w:r w:rsidR="0055244D">
        <w:rPr>
          <w:rFonts w:ascii="Times New Roman" w:hAnsi="Times New Roman"/>
          <w:i/>
          <w:sz w:val="24"/>
        </w:rPr>
        <w:t>‘</w:t>
      </w:r>
      <w:r>
        <w:rPr>
          <w:rFonts w:ascii="Times New Roman" w:hAnsi="Times New Roman"/>
          <w:i/>
          <w:sz w:val="24"/>
        </w:rPr>
        <w:t>National Spatial Strategy</w:t>
      </w:r>
      <w:r w:rsidR="0055244D">
        <w:rPr>
          <w:rFonts w:ascii="Times New Roman" w:hAnsi="Times New Roman"/>
          <w:i/>
          <w:sz w:val="24"/>
        </w:rPr>
        <w:t>’</w:t>
      </w:r>
      <w:r>
        <w:rPr>
          <w:rFonts w:ascii="Times New Roman" w:hAnsi="Times New Roman"/>
          <w:i/>
          <w:sz w:val="24"/>
        </w:rPr>
        <w:t xml:space="preserve"> for the purposes of s</w:t>
      </w:r>
      <w:r w:rsidR="0055244D">
        <w:rPr>
          <w:rFonts w:ascii="Times New Roman" w:hAnsi="Times New Roman"/>
          <w:i/>
          <w:sz w:val="24"/>
        </w:rPr>
        <w:t xml:space="preserve">ection </w:t>
      </w:r>
      <w:r>
        <w:rPr>
          <w:rFonts w:ascii="Times New Roman" w:hAnsi="Times New Roman"/>
          <w:i/>
          <w:sz w:val="24"/>
        </w:rPr>
        <w:t xml:space="preserve">2 of the </w:t>
      </w:r>
      <w:r w:rsidR="0055244D">
        <w:rPr>
          <w:rFonts w:ascii="Times New Roman" w:hAnsi="Times New Roman"/>
          <w:i/>
          <w:sz w:val="24"/>
        </w:rPr>
        <w:t>[</w:t>
      </w:r>
      <w:r>
        <w:rPr>
          <w:rFonts w:ascii="Times New Roman" w:hAnsi="Times New Roman"/>
          <w:i/>
          <w:sz w:val="24"/>
        </w:rPr>
        <w:t>PDA 2000</w:t>
      </w:r>
      <w:r w:rsidR="0055244D">
        <w:rPr>
          <w:rFonts w:ascii="Times New Roman" w:hAnsi="Times New Roman"/>
          <w:i/>
          <w:sz w:val="24"/>
        </w:rPr>
        <w:t>]</w:t>
      </w:r>
      <w:r>
        <w:rPr>
          <w:rFonts w:ascii="Times New Roman" w:hAnsi="Times New Roman"/>
          <w:i/>
          <w:sz w:val="24"/>
        </w:rPr>
        <w:t xml:space="preserve"> will not either individually or in combination </w:t>
      </w:r>
      <w:r w:rsidR="0055244D">
        <w:rPr>
          <w:rFonts w:ascii="Times New Roman" w:hAnsi="Times New Roman"/>
          <w:i/>
          <w:sz w:val="24"/>
        </w:rPr>
        <w:t xml:space="preserve">with </w:t>
      </w:r>
      <w:r>
        <w:rPr>
          <w:rFonts w:ascii="Times New Roman" w:hAnsi="Times New Roman"/>
          <w:i/>
          <w:sz w:val="24"/>
        </w:rPr>
        <w:t>any other plan or project adversely affect the integrity of any European Site (as defined)”</w:t>
      </w:r>
      <w:r>
        <w:rPr>
          <w:rFonts w:ascii="Times New Roman" w:hAnsi="Times New Roman"/>
          <w:sz w:val="24"/>
        </w:rPr>
        <w:t>.</w:t>
      </w:r>
    </w:p>
    <w:p w14:paraId="0F6A0666" w14:textId="75EEB269" w:rsidR="00A94648" w:rsidRDefault="00A94648"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reasons for his determination </w:t>
      </w:r>
      <w:r>
        <w:rPr>
          <w:rFonts w:ascii="Times New Roman" w:hAnsi="Times New Roman"/>
          <w:i/>
          <w:sz w:val="24"/>
        </w:rPr>
        <w:t xml:space="preserve">“are set out in the Appropriate Assessment Conclusion Statement, the reasoning and conclusions of which have been adopted in full by the Minister.” </w:t>
      </w:r>
      <w:r w:rsidR="0055244D">
        <w:rPr>
          <w:rFonts w:ascii="Times New Roman" w:hAnsi="Times New Roman"/>
          <w:i/>
          <w:sz w:val="24"/>
        </w:rPr>
        <w:t xml:space="preserve"> </w:t>
      </w:r>
      <w:r>
        <w:rPr>
          <w:rFonts w:ascii="Times New Roman" w:hAnsi="Times New Roman"/>
          <w:sz w:val="24"/>
        </w:rPr>
        <w:t>The Appropriate Assessment Conclusion Statement was published together with his determination.  Th</w:t>
      </w:r>
      <w:r w:rsidR="004C17FB">
        <w:rPr>
          <w:rFonts w:ascii="Times New Roman" w:hAnsi="Times New Roman"/>
          <w:sz w:val="24"/>
        </w:rPr>
        <w:t>ese two documents</w:t>
      </w:r>
      <w:r>
        <w:rPr>
          <w:rFonts w:ascii="Times New Roman" w:hAnsi="Times New Roman"/>
          <w:sz w:val="24"/>
        </w:rPr>
        <w:t xml:space="preserve"> constitute admissible evidence of an AA determination in respect of the NPF by the Minister on 14 May 2018.  </w:t>
      </w:r>
    </w:p>
    <w:p w14:paraId="71842967" w14:textId="17E892E0" w:rsidR="00312873" w:rsidRDefault="00A94648"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29 May 2018</w:t>
      </w:r>
      <w:r w:rsidR="0055244D">
        <w:rPr>
          <w:rFonts w:ascii="Times New Roman" w:hAnsi="Times New Roman"/>
          <w:sz w:val="24"/>
        </w:rPr>
        <w:t>,</w:t>
      </w:r>
      <w:r>
        <w:rPr>
          <w:rFonts w:ascii="Times New Roman" w:hAnsi="Times New Roman"/>
          <w:sz w:val="24"/>
        </w:rPr>
        <w:t xml:space="preserve"> the </w:t>
      </w:r>
      <w:r w:rsidR="00343ADE">
        <w:rPr>
          <w:rFonts w:ascii="Times New Roman" w:hAnsi="Times New Roman"/>
          <w:sz w:val="24"/>
        </w:rPr>
        <w:t>g</w:t>
      </w:r>
      <w:r>
        <w:rPr>
          <w:rFonts w:ascii="Times New Roman" w:hAnsi="Times New Roman"/>
          <w:sz w:val="24"/>
        </w:rPr>
        <w:t xml:space="preserve">overnment agreed </w:t>
      </w:r>
      <w:r>
        <w:rPr>
          <w:rFonts w:ascii="Times New Roman" w:hAnsi="Times New Roman"/>
          <w:i/>
          <w:sz w:val="24"/>
        </w:rPr>
        <w:t xml:space="preserve">“to adopt the Appropriate Assessment Determination made by the Minister…for the purposes of </w:t>
      </w:r>
      <w:r w:rsidRPr="000D3EB6">
        <w:rPr>
          <w:rFonts w:ascii="Times New Roman" w:hAnsi="Times New Roman"/>
          <w:i/>
          <w:sz w:val="24"/>
        </w:rPr>
        <w:t>Article</w:t>
      </w:r>
      <w:r>
        <w:rPr>
          <w:rFonts w:ascii="Times New Roman" w:hAnsi="Times New Roman"/>
          <w:i/>
          <w:sz w:val="24"/>
        </w:rPr>
        <w:t xml:space="preserve"> 6.3 of the Habitats </w:t>
      </w:r>
      <w:r>
        <w:rPr>
          <w:rFonts w:ascii="Times New Roman" w:hAnsi="Times New Roman"/>
          <w:i/>
          <w:sz w:val="24"/>
        </w:rPr>
        <w:lastRenderedPageBreak/>
        <w:t>Directive”</w:t>
      </w:r>
      <w:r>
        <w:rPr>
          <w:rFonts w:ascii="Times New Roman" w:hAnsi="Times New Roman"/>
          <w:sz w:val="24"/>
        </w:rPr>
        <w:t xml:space="preserve">.  The record of this decision of the </w:t>
      </w:r>
      <w:r w:rsidR="00343ADE">
        <w:rPr>
          <w:rFonts w:ascii="Times New Roman" w:hAnsi="Times New Roman"/>
          <w:sz w:val="24"/>
        </w:rPr>
        <w:t>g</w:t>
      </w:r>
      <w:r w:rsidR="000D3EB6">
        <w:rPr>
          <w:rFonts w:ascii="Times New Roman" w:hAnsi="Times New Roman"/>
          <w:sz w:val="24"/>
        </w:rPr>
        <w:t xml:space="preserve">overnment was exhibited by Mr. Tony Lowes, a director of the applicant. </w:t>
      </w:r>
      <w:r w:rsidR="00751440">
        <w:rPr>
          <w:rFonts w:ascii="Times New Roman" w:hAnsi="Times New Roman"/>
          <w:sz w:val="24"/>
        </w:rPr>
        <w:t xml:space="preserve"> </w:t>
      </w:r>
      <w:r w:rsidR="00343ADE">
        <w:rPr>
          <w:rFonts w:ascii="Times New Roman" w:hAnsi="Times New Roman"/>
          <w:sz w:val="24"/>
        </w:rPr>
        <w:t>T</w:t>
      </w:r>
      <w:r w:rsidR="000D3EB6">
        <w:rPr>
          <w:rFonts w:ascii="Times New Roman" w:hAnsi="Times New Roman"/>
          <w:sz w:val="24"/>
        </w:rPr>
        <w:t xml:space="preserve">he document was furnished to the applicant’s solicitors by the </w:t>
      </w:r>
      <w:r w:rsidR="000F3B78">
        <w:rPr>
          <w:rFonts w:ascii="Times New Roman" w:hAnsi="Times New Roman"/>
          <w:sz w:val="24"/>
        </w:rPr>
        <w:t>CSSO</w:t>
      </w:r>
      <w:r w:rsidR="000D3EB6">
        <w:rPr>
          <w:rFonts w:ascii="Times New Roman" w:hAnsi="Times New Roman"/>
          <w:sz w:val="24"/>
        </w:rPr>
        <w:t xml:space="preserve"> following a request for discovery and thus may be regarded as a document furnished on discovery.  While documents furnished on discovery are not thereby </w:t>
      </w:r>
      <w:r w:rsidR="00F140B7">
        <w:rPr>
          <w:rFonts w:ascii="Times New Roman" w:hAnsi="Times New Roman"/>
          <w:sz w:val="24"/>
        </w:rPr>
        <w:t>proved</w:t>
      </w:r>
      <w:r w:rsidR="000D3EB6">
        <w:rPr>
          <w:rFonts w:ascii="Times New Roman" w:hAnsi="Times New Roman"/>
          <w:sz w:val="24"/>
        </w:rPr>
        <w:t xml:space="preserve"> in evidenc</w:t>
      </w:r>
      <w:r w:rsidR="00F140B7">
        <w:rPr>
          <w:rFonts w:ascii="Times New Roman" w:hAnsi="Times New Roman"/>
          <w:sz w:val="24"/>
        </w:rPr>
        <w:t>e</w:t>
      </w:r>
      <w:r w:rsidR="000D3EB6">
        <w:rPr>
          <w:rFonts w:ascii="Times New Roman" w:hAnsi="Times New Roman"/>
          <w:sz w:val="24"/>
        </w:rPr>
        <w:t xml:space="preserve">, this is a formal record of the decision reached </w:t>
      </w:r>
      <w:r w:rsidR="00343ADE">
        <w:rPr>
          <w:rFonts w:ascii="Times New Roman" w:hAnsi="Times New Roman"/>
          <w:sz w:val="24"/>
        </w:rPr>
        <w:t xml:space="preserve">by the </w:t>
      </w:r>
      <w:r w:rsidR="000D3EB6">
        <w:rPr>
          <w:rFonts w:ascii="Times New Roman" w:hAnsi="Times New Roman"/>
          <w:sz w:val="24"/>
        </w:rPr>
        <w:t xml:space="preserve"> </w:t>
      </w:r>
      <w:r w:rsidR="00343ADE">
        <w:rPr>
          <w:rFonts w:ascii="Times New Roman" w:hAnsi="Times New Roman"/>
          <w:sz w:val="24"/>
        </w:rPr>
        <w:t>g</w:t>
      </w:r>
      <w:r w:rsidR="000D3EB6">
        <w:rPr>
          <w:rFonts w:ascii="Times New Roman" w:hAnsi="Times New Roman"/>
          <w:sz w:val="24"/>
        </w:rPr>
        <w:t>overnment and it would be inappropriate in the context of the case</w:t>
      </w:r>
      <w:r w:rsidR="007F4A5E">
        <w:rPr>
          <w:rFonts w:ascii="Times New Roman" w:hAnsi="Times New Roman"/>
          <w:sz w:val="24"/>
        </w:rPr>
        <w:t>,</w:t>
      </w:r>
      <w:r w:rsidR="000D3EB6">
        <w:rPr>
          <w:rFonts w:ascii="Times New Roman" w:hAnsi="Times New Roman"/>
          <w:sz w:val="24"/>
        </w:rPr>
        <w:t xml:space="preserve"> and the debate concerning the validity of this decision</w:t>
      </w:r>
      <w:r w:rsidR="007F4A5E">
        <w:rPr>
          <w:rFonts w:ascii="Times New Roman" w:hAnsi="Times New Roman"/>
          <w:sz w:val="24"/>
        </w:rPr>
        <w:t>,</w:t>
      </w:r>
      <w:r w:rsidR="000D3EB6">
        <w:rPr>
          <w:rFonts w:ascii="Times New Roman" w:hAnsi="Times New Roman"/>
          <w:sz w:val="24"/>
        </w:rPr>
        <w:t xml:space="preserve"> for this </w:t>
      </w:r>
      <w:r w:rsidR="007F4A5E">
        <w:rPr>
          <w:rFonts w:ascii="Times New Roman" w:hAnsi="Times New Roman"/>
          <w:sz w:val="24"/>
        </w:rPr>
        <w:t>c</w:t>
      </w:r>
      <w:r w:rsidR="000D3EB6">
        <w:rPr>
          <w:rFonts w:ascii="Times New Roman" w:hAnsi="Times New Roman"/>
          <w:sz w:val="24"/>
        </w:rPr>
        <w:t xml:space="preserve">ourt to reject the document on the basis that it was not formally placed in evidence by the </w:t>
      </w:r>
      <w:r w:rsidR="007F4A5E">
        <w:rPr>
          <w:rFonts w:ascii="Times New Roman" w:hAnsi="Times New Roman"/>
          <w:sz w:val="24"/>
        </w:rPr>
        <w:t>s</w:t>
      </w:r>
      <w:r w:rsidR="000D3EB6">
        <w:rPr>
          <w:rFonts w:ascii="Times New Roman" w:hAnsi="Times New Roman"/>
          <w:sz w:val="24"/>
        </w:rPr>
        <w:t xml:space="preserve">ecretary to the </w:t>
      </w:r>
      <w:r w:rsidR="007F4A5E">
        <w:rPr>
          <w:rFonts w:ascii="Times New Roman" w:hAnsi="Times New Roman"/>
          <w:sz w:val="24"/>
        </w:rPr>
        <w:t>g</w:t>
      </w:r>
      <w:r w:rsidR="000D3EB6">
        <w:rPr>
          <w:rFonts w:ascii="Times New Roman" w:hAnsi="Times New Roman"/>
          <w:sz w:val="24"/>
        </w:rPr>
        <w:t>overnment</w:t>
      </w:r>
      <w:r w:rsidR="0086023B">
        <w:rPr>
          <w:rFonts w:ascii="Times New Roman" w:hAnsi="Times New Roman"/>
          <w:sz w:val="24"/>
        </w:rPr>
        <w:t>,</w:t>
      </w:r>
      <w:r w:rsidR="000D3EB6">
        <w:rPr>
          <w:rFonts w:ascii="Times New Roman" w:hAnsi="Times New Roman"/>
          <w:sz w:val="24"/>
        </w:rPr>
        <w:t xml:space="preserve"> or s</w:t>
      </w:r>
      <w:r w:rsidR="00F140B7">
        <w:rPr>
          <w:rFonts w:ascii="Times New Roman" w:hAnsi="Times New Roman"/>
          <w:sz w:val="24"/>
        </w:rPr>
        <w:t>ome</w:t>
      </w:r>
      <w:r w:rsidR="000D3EB6">
        <w:rPr>
          <w:rFonts w:ascii="Times New Roman" w:hAnsi="Times New Roman"/>
          <w:sz w:val="24"/>
        </w:rPr>
        <w:t xml:space="preserve"> other person who was present at the </w:t>
      </w:r>
      <w:r w:rsidR="007F4A5E">
        <w:rPr>
          <w:rFonts w:ascii="Times New Roman" w:hAnsi="Times New Roman"/>
          <w:sz w:val="24"/>
        </w:rPr>
        <w:t>c</w:t>
      </w:r>
      <w:r w:rsidR="000D3EB6">
        <w:rPr>
          <w:rFonts w:ascii="Times New Roman" w:hAnsi="Times New Roman"/>
          <w:sz w:val="24"/>
        </w:rPr>
        <w:t>abinet meeting when the decision was reached.  No objection was tak</w:t>
      </w:r>
      <w:r w:rsidR="00312873">
        <w:rPr>
          <w:rFonts w:ascii="Times New Roman" w:hAnsi="Times New Roman"/>
          <w:sz w:val="24"/>
        </w:rPr>
        <w:t>en</w:t>
      </w:r>
      <w:r w:rsidR="000D3EB6">
        <w:rPr>
          <w:rFonts w:ascii="Times New Roman" w:hAnsi="Times New Roman"/>
          <w:sz w:val="24"/>
        </w:rPr>
        <w:t xml:space="preserve"> </w:t>
      </w:r>
      <w:r w:rsidR="00F140B7">
        <w:rPr>
          <w:rFonts w:ascii="Times New Roman" w:hAnsi="Times New Roman"/>
          <w:sz w:val="24"/>
        </w:rPr>
        <w:t xml:space="preserve">by any party </w:t>
      </w:r>
      <w:r w:rsidR="000D3EB6">
        <w:rPr>
          <w:rFonts w:ascii="Times New Roman" w:hAnsi="Times New Roman"/>
          <w:sz w:val="24"/>
        </w:rPr>
        <w:t>to the admissibility of this record</w:t>
      </w:r>
      <w:r w:rsidR="00312873">
        <w:rPr>
          <w:rFonts w:ascii="Times New Roman" w:hAnsi="Times New Roman"/>
          <w:sz w:val="24"/>
        </w:rPr>
        <w:t xml:space="preserve"> of the decision of the </w:t>
      </w:r>
      <w:r w:rsidR="00343ADE">
        <w:rPr>
          <w:rFonts w:ascii="Times New Roman" w:hAnsi="Times New Roman"/>
          <w:sz w:val="24"/>
        </w:rPr>
        <w:t>g</w:t>
      </w:r>
      <w:r w:rsidR="00312873">
        <w:rPr>
          <w:rFonts w:ascii="Times New Roman" w:hAnsi="Times New Roman"/>
          <w:sz w:val="24"/>
        </w:rPr>
        <w:t>overnment and I am prepared to treat it as admissible evidence of the decision tak</w:t>
      </w:r>
      <w:r w:rsidR="00F140B7">
        <w:rPr>
          <w:rFonts w:ascii="Times New Roman" w:hAnsi="Times New Roman"/>
          <w:sz w:val="24"/>
        </w:rPr>
        <w:t>en</w:t>
      </w:r>
      <w:r w:rsidR="00312873">
        <w:rPr>
          <w:rFonts w:ascii="Times New Roman" w:hAnsi="Times New Roman"/>
          <w:sz w:val="24"/>
        </w:rPr>
        <w:t xml:space="preserve"> by the </w:t>
      </w:r>
      <w:r w:rsidR="00343ADE">
        <w:rPr>
          <w:rFonts w:ascii="Times New Roman" w:hAnsi="Times New Roman"/>
          <w:sz w:val="24"/>
        </w:rPr>
        <w:t>g</w:t>
      </w:r>
      <w:r w:rsidR="00312873">
        <w:rPr>
          <w:rFonts w:ascii="Times New Roman" w:hAnsi="Times New Roman"/>
          <w:sz w:val="24"/>
        </w:rPr>
        <w:t xml:space="preserve">overnment in these proceedings.  </w:t>
      </w:r>
    </w:p>
    <w:p w14:paraId="76355704" w14:textId="65CEAA10" w:rsidR="00312873" w:rsidRDefault="0031287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my opinion</w:t>
      </w:r>
      <w:r w:rsidR="007F4A5E">
        <w:rPr>
          <w:rFonts w:ascii="Times New Roman" w:hAnsi="Times New Roman"/>
          <w:sz w:val="24"/>
        </w:rPr>
        <w:t>,</w:t>
      </w:r>
      <w:r>
        <w:rPr>
          <w:rFonts w:ascii="Times New Roman" w:hAnsi="Times New Roman"/>
          <w:sz w:val="24"/>
        </w:rPr>
        <w:t xml:space="preserve"> there is evidence of a</w:t>
      </w:r>
      <w:r w:rsidR="006D1220">
        <w:rPr>
          <w:rFonts w:ascii="Times New Roman" w:hAnsi="Times New Roman"/>
          <w:sz w:val="24"/>
        </w:rPr>
        <w:t>n</w:t>
      </w:r>
      <w:r>
        <w:rPr>
          <w:rFonts w:ascii="Times New Roman" w:hAnsi="Times New Roman"/>
          <w:sz w:val="24"/>
        </w:rPr>
        <w:t xml:space="preserve"> AA </w:t>
      </w:r>
      <w:r w:rsidR="006D1220">
        <w:rPr>
          <w:rFonts w:ascii="Times New Roman" w:hAnsi="Times New Roman"/>
          <w:sz w:val="24"/>
        </w:rPr>
        <w:t>d</w:t>
      </w:r>
      <w:r>
        <w:rPr>
          <w:rFonts w:ascii="Times New Roman" w:hAnsi="Times New Roman"/>
          <w:sz w:val="24"/>
        </w:rPr>
        <w:t xml:space="preserve">etermination by the Minister which was formally adopted by the </w:t>
      </w:r>
      <w:r w:rsidR="00343ADE">
        <w:rPr>
          <w:rFonts w:ascii="Times New Roman" w:hAnsi="Times New Roman"/>
          <w:sz w:val="24"/>
        </w:rPr>
        <w:t>g</w:t>
      </w:r>
      <w:r>
        <w:rPr>
          <w:rFonts w:ascii="Times New Roman" w:hAnsi="Times New Roman"/>
          <w:sz w:val="24"/>
        </w:rPr>
        <w:t>overnment</w:t>
      </w:r>
      <w:r w:rsidR="006D1220">
        <w:rPr>
          <w:rFonts w:ascii="Times New Roman" w:hAnsi="Times New Roman"/>
          <w:sz w:val="24"/>
        </w:rPr>
        <w:t xml:space="preserve"> prior to its decision of 29 May 2018</w:t>
      </w:r>
      <w:r>
        <w:rPr>
          <w:rFonts w:ascii="Times New Roman" w:hAnsi="Times New Roman"/>
          <w:sz w:val="24"/>
        </w:rPr>
        <w:t>.</w:t>
      </w:r>
    </w:p>
    <w:p w14:paraId="7758255E" w14:textId="50574BB4" w:rsidR="00312873" w:rsidRPr="006D1220" w:rsidRDefault="0031287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submitted that the decision of the </w:t>
      </w:r>
      <w:r w:rsidR="00343ADE">
        <w:rPr>
          <w:rFonts w:ascii="Times New Roman" w:hAnsi="Times New Roman"/>
          <w:sz w:val="24"/>
        </w:rPr>
        <w:t>g</w:t>
      </w:r>
      <w:r>
        <w:rPr>
          <w:rFonts w:ascii="Times New Roman" w:hAnsi="Times New Roman"/>
          <w:sz w:val="24"/>
        </w:rPr>
        <w:t xml:space="preserve">overnment of 29 May 2018 to </w:t>
      </w:r>
      <w:r w:rsidR="007F4A5E">
        <w:rPr>
          <w:rFonts w:ascii="Times New Roman" w:hAnsi="Times New Roman"/>
          <w:sz w:val="24"/>
        </w:rPr>
        <w:t xml:space="preserve">    </w:t>
      </w:r>
      <w:r w:rsidR="005F7E30" w:rsidRPr="005E3859">
        <w:rPr>
          <w:rFonts w:ascii="Times New Roman" w:hAnsi="Times New Roman"/>
          <w:i/>
          <w:sz w:val="24"/>
        </w:rPr>
        <w:t>“</w:t>
      </w:r>
      <w:r w:rsidRPr="005E3859">
        <w:rPr>
          <w:rFonts w:ascii="Times New Roman" w:hAnsi="Times New Roman"/>
          <w:i/>
          <w:sz w:val="24"/>
        </w:rPr>
        <w:t>reaffirm</w:t>
      </w:r>
      <w:r w:rsidR="005F7E30" w:rsidRPr="005E3859">
        <w:rPr>
          <w:rFonts w:ascii="Times New Roman" w:hAnsi="Times New Roman"/>
          <w:i/>
          <w:sz w:val="24"/>
        </w:rPr>
        <w:t>”</w:t>
      </w:r>
      <w:r>
        <w:rPr>
          <w:rFonts w:ascii="Times New Roman" w:hAnsi="Times New Roman"/>
          <w:sz w:val="24"/>
        </w:rPr>
        <w:t xml:space="preserve"> the previous decision to adopt and publish the N</w:t>
      </w:r>
      <w:r w:rsidR="006D1220">
        <w:rPr>
          <w:rFonts w:ascii="Times New Roman" w:hAnsi="Times New Roman"/>
          <w:sz w:val="24"/>
        </w:rPr>
        <w:t>PF</w:t>
      </w:r>
      <w:r>
        <w:rPr>
          <w:rFonts w:ascii="Times New Roman" w:hAnsi="Times New Roman"/>
          <w:sz w:val="24"/>
        </w:rPr>
        <w:t xml:space="preserve"> did not constitute a valid adoption of the NPF</w:t>
      </w:r>
      <w:r w:rsidR="006D1220">
        <w:rPr>
          <w:rFonts w:ascii="Times New Roman" w:hAnsi="Times New Roman"/>
          <w:sz w:val="24"/>
        </w:rPr>
        <w:t xml:space="preserve">. </w:t>
      </w:r>
      <w:r w:rsidR="007F4A5E">
        <w:rPr>
          <w:rFonts w:ascii="Times New Roman" w:hAnsi="Times New Roman"/>
          <w:sz w:val="24"/>
        </w:rPr>
        <w:t xml:space="preserve"> </w:t>
      </w:r>
      <w:r w:rsidR="006D1220">
        <w:rPr>
          <w:rFonts w:ascii="Times New Roman" w:hAnsi="Times New Roman"/>
          <w:sz w:val="24"/>
        </w:rPr>
        <w:t>This submission was</w:t>
      </w:r>
      <w:r>
        <w:rPr>
          <w:rFonts w:ascii="Times New Roman" w:hAnsi="Times New Roman"/>
          <w:sz w:val="24"/>
        </w:rPr>
        <w:t xml:space="preserve"> based on the wording of the decision of 29 May 2018 and the contention that </w:t>
      </w:r>
      <w:r w:rsidR="006D1220">
        <w:rPr>
          <w:rFonts w:ascii="Times New Roman" w:hAnsi="Times New Roman"/>
          <w:sz w:val="24"/>
        </w:rPr>
        <w:t>only</w:t>
      </w:r>
      <w:r>
        <w:rPr>
          <w:rFonts w:ascii="Times New Roman" w:hAnsi="Times New Roman"/>
          <w:sz w:val="24"/>
        </w:rPr>
        <w:t xml:space="preserve"> the </w:t>
      </w:r>
      <w:r w:rsidR="006D1220">
        <w:rPr>
          <w:rFonts w:ascii="Times New Roman" w:hAnsi="Times New Roman"/>
          <w:sz w:val="24"/>
        </w:rPr>
        <w:t>p</w:t>
      </w:r>
      <w:r>
        <w:rPr>
          <w:rFonts w:ascii="Times New Roman" w:hAnsi="Times New Roman"/>
          <w:sz w:val="24"/>
        </w:rPr>
        <w:t xml:space="preserve">ublic </w:t>
      </w:r>
      <w:r w:rsidR="006D1220">
        <w:rPr>
          <w:rFonts w:ascii="Times New Roman" w:hAnsi="Times New Roman"/>
          <w:sz w:val="24"/>
        </w:rPr>
        <w:t>a</w:t>
      </w:r>
      <w:r>
        <w:rPr>
          <w:rFonts w:ascii="Times New Roman" w:hAnsi="Times New Roman"/>
          <w:sz w:val="24"/>
        </w:rPr>
        <w:t xml:space="preserve">uthority </w:t>
      </w:r>
      <w:r w:rsidR="008F0E17">
        <w:rPr>
          <w:rFonts w:ascii="Times New Roman" w:hAnsi="Times New Roman"/>
          <w:sz w:val="24"/>
        </w:rPr>
        <w:t xml:space="preserve">that </w:t>
      </w:r>
      <w:r w:rsidR="006D1220">
        <w:rPr>
          <w:rFonts w:ascii="Times New Roman" w:hAnsi="Times New Roman"/>
          <w:sz w:val="24"/>
        </w:rPr>
        <w:t xml:space="preserve">was adopting the plan could </w:t>
      </w:r>
      <w:r>
        <w:rPr>
          <w:rFonts w:ascii="Times New Roman" w:hAnsi="Times New Roman"/>
          <w:sz w:val="24"/>
        </w:rPr>
        <w:t xml:space="preserve">make the AA </w:t>
      </w:r>
      <w:r w:rsidR="006D1220">
        <w:rPr>
          <w:rFonts w:ascii="Times New Roman" w:hAnsi="Times New Roman"/>
          <w:sz w:val="24"/>
        </w:rPr>
        <w:t>d</w:t>
      </w:r>
      <w:r>
        <w:rPr>
          <w:rFonts w:ascii="Times New Roman" w:hAnsi="Times New Roman"/>
          <w:sz w:val="24"/>
        </w:rPr>
        <w:t xml:space="preserve">etermination </w:t>
      </w:r>
      <w:r w:rsidR="006D1220">
        <w:rPr>
          <w:rFonts w:ascii="Times New Roman" w:hAnsi="Times New Roman"/>
          <w:sz w:val="24"/>
        </w:rPr>
        <w:t xml:space="preserve">in respect of the proposed plan. The </w:t>
      </w:r>
      <w:r w:rsidR="00751440">
        <w:rPr>
          <w:rFonts w:ascii="Times New Roman" w:hAnsi="Times New Roman"/>
          <w:sz w:val="24"/>
        </w:rPr>
        <w:t xml:space="preserve">applicant stressed that while the </w:t>
      </w:r>
      <w:r w:rsidR="006D1220">
        <w:rPr>
          <w:rFonts w:ascii="Times New Roman" w:hAnsi="Times New Roman"/>
          <w:sz w:val="24"/>
        </w:rPr>
        <w:t>government adopted the plan</w:t>
      </w:r>
      <w:r w:rsidR="00F01840">
        <w:rPr>
          <w:rFonts w:ascii="Times New Roman" w:hAnsi="Times New Roman"/>
          <w:sz w:val="24"/>
        </w:rPr>
        <w:t>,</w:t>
      </w:r>
      <w:r w:rsidR="00751440">
        <w:rPr>
          <w:rFonts w:ascii="Times New Roman" w:hAnsi="Times New Roman"/>
          <w:sz w:val="24"/>
        </w:rPr>
        <w:t xml:space="preserve"> </w:t>
      </w:r>
      <w:r w:rsidR="006D1220">
        <w:rPr>
          <w:rFonts w:ascii="Times New Roman" w:hAnsi="Times New Roman"/>
          <w:sz w:val="24"/>
        </w:rPr>
        <w:t xml:space="preserve">it was not a public authority </w:t>
      </w:r>
      <w:r>
        <w:rPr>
          <w:rFonts w:ascii="Times New Roman" w:hAnsi="Times New Roman"/>
          <w:sz w:val="24"/>
        </w:rPr>
        <w:t xml:space="preserve">within the meaning of the </w:t>
      </w:r>
      <w:r w:rsidR="00F25180">
        <w:rPr>
          <w:rFonts w:ascii="Times New Roman" w:hAnsi="Times New Roman"/>
          <w:sz w:val="24"/>
        </w:rPr>
        <w:t xml:space="preserve">Habitats </w:t>
      </w:r>
      <w:r>
        <w:rPr>
          <w:rFonts w:ascii="Times New Roman" w:hAnsi="Times New Roman"/>
          <w:sz w:val="24"/>
        </w:rPr>
        <w:t>Regulations</w:t>
      </w:r>
      <w:r w:rsidR="006D1220">
        <w:rPr>
          <w:rFonts w:ascii="Times New Roman" w:hAnsi="Times New Roman"/>
          <w:sz w:val="24"/>
        </w:rPr>
        <w:t xml:space="preserve"> and therefore it could not make the necessary determination under </w:t>
      </w:r>
      <w:r w:rsidR="00F25180">
        <w:rPr>
          <w:rFonts w:ascii="Times New Roman" w:hAnsi="Times New Roman"/>
          <w:sz w:val="24"/>
        </w:rPr>
        <w:t xml:space="preserve">those </w:t>
      </w:r>
      <w:r w:rsidR="006D1220">
        <w:rPr>
          <w:rFonts w:ascii="Times New Roman" w:hAnsi="Times New Roman"/>
          <w:sz w:val="24"/>
        </w:rPr>
        <w:t>Regulations</w:t>
      </w:r>
      <w:r>
        <w:rPr>
          <w:rFonts w:ascii="Times New Roman" w:hAnsi="Times New Roman"/>
          <w:sz w:val="24"/>
        </w:rPr>
        <w:t>.</w:t>
      </w:r>
    </w:p>
    <w:p w14:paraId="0B9E7D2A" w14:textId="48A4ED57" w:rsidR="0018738E" w:rsidRDefault="0018738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Minister was competent to make the AA </w:t>
      </w:r>
      <w:r w:rsidR="0086023B">
        <w:rPr>
          <w:rFonts w:ascii="Times New Roman" w:hAnsi="Times New Roman"/>
          <w:sz w:val="24"/>
        </w:rPr>
        <w:t>d</w:t>
      </w:r>
      <w:r>
        <w:rPr>
          <w:rFonts w:ascii="Times New Roman" w:hAnsi="Times New Roman"/>
          <w:sz w:val="24"/>
        </w:rPr>
        <w:t xml:space="preserve">etermination as he is a </w:t>
      </w:r>
      <w:r w:rsidR="006D1220">
        <w:rPr>
          <w:rFonts w:ascii="Times New Roman" w:hAnsi="Times New Roman"/>
          <w:sz w:val="24"/>
        </w:rPr>
        <w:t>p</w:t>
      </w:r>
      <w:r>
        <w:rPr>
          <w:rFonts w:ascii="Times New Roman" w:hAnsi="Times New Roman"/>
          <w:sz w:val="24"/>
        </w:rPr>
        <w:t xml:space="preserve">ublic </w:t>
      </w:r>
      <w:r w:rsidR="006D1220">
        <w:rPr>
          <w:rFonts w:ascii="Times New Roman" w:hAnsi="Times New Roman"/>
          <w:sz w:val="24"/>
        </w:rPr>
        <w:t>a</w:t>
      </w:r>
      <w:r>
        <w:rPr>
          <w:rFonts w:ascii="Times New Roman" w:hAnsi="Times New Roman"/>
          <w:sz w:val="24"/>
        </w:rPr>
        <w:t xml:space="preserve">uthority as defined in the </w:t>
      </w:r>
      <w:r w:rsidR="00F25180">
        <w:rPr>
          <w:rFonts w:ascii="Times New Roman" w:hAnsi="Times New Roman"/>
          <w:sz w:val="24"/>
        </w:rPr>
        <w:t xml:space="preserve">Habitats </w:t>
      </w:r>
      <w:r>
        <w:rPr>
          <w:rFonts w:ascii="Times New Roman" w:hAnsi="Times New Roman"/>
          <w:sz w:val="24"/>
        </w:rPr>
        <w:t>Regulations.  But</w:t>
      </w:r>
      <w:r w:rsidR="00054B77">
        <w:rPr>
          <w:rFonts w:ascii="Times New Roman" w:hAnsi="Times New Roman"/>
          <w:sz w:val="24"/>
        </w:rPr>
        <w:t>,</w:t>
      </w:r>
      <w:r>
        <w:rPr>
          <w:rFonts w:ascii="Times New Roman" w:hAnsi="Times New Roman"/>
          <w:sz w:val="24"/>
        </w:rPr>
        <w:t xml:space="preserve"> the Minister was not the </w:t>
      </w:r>
      <w:r w:rsidR="00B240A6">
        <w:rPr>
          <w:rFonts w:ascii="Times New Roman" w:hAnsi="Times New Roman"/>
          <w:sz w:val="24"/>
        </w:rPr>
        <w:t>p</w:t>
      </w:r>
      <w:r>
        <w:rPr>
          <w:rFonts w:ascii="Times New Roman" w:hAnsi="Times New Roman"/>
          <w:sz w:val="24"/>
        </w:rPr>
        <w:t xml:space="preserve">ublic </w:t>
      </w:r>
      <w:r w:rsidR="00B240A6">
        <w:rPr>
          <w:rFonts w:ascii="Times New Roman" w:hAnsi="Times New Roman"/>
          <w:sz w:val="24"/>
        </w:rPr>
        <w:t>a</w:t>
      </w:r>
      <w:r>
        <w:rPr>
          <w:rFonts w:ascii="Times New Roman" w:hAnsi="Times New Roman"/>
          <w:sz w:val="24"/>
        </w:rPr>
        <w:t xml:space="preserve">uthority who adopted the NPF: the NPF was adopted by the </w:t>
      </w:r>
      <w:r w:rsidR="00B240A6">
        <w:rPr>
          <w:rFonts w:ascii="Times New Roman" w:hAnsi="Times New Roman"/>
          <w:sz w:val="24"/>
        </w:rPr>
        <w:t>g</w:t>
      </w:r>
      <w:r>
        <w:rPr>
          <w:rFonts w:ascii="Times New Roman" w:hAnsi="Times New Roman"/>
          <w:sz w:val="24"/>
        </w:rPr>
        <w:t xml:space="preserve">overnment.  The </w:t>
      </w:r>
      <w:r w:rsidR="00B240A6">
        <w:rPr>
          <w:rFonts w:ascii="Times New Roman" w:hAnsi="Times New Roman"/>
          <w:sz w:val="24"/>
        </w:rPr>
        <w:lastRenderedPageBreak/>
        <w:t>g</w:t>
      </w:r>
      <w:r>
        <w:rPr>
          <w:rFonts w:ascii="Times New Roman" w:hAnsi="Times New Roman"/>
          <w:sz w:val="24"/>
        </w:rPr>
        <w:t xml:space="preserve">overnment adopted the Minister’s </w:t>
      </w:r>
      <w:r w:rsidR="0086023B">
        <w:rPr>
          <w:rFonts w:ascii="Times New Roman" w:hAnsi="Times New Roman"/>
          <w:sz w:val="24"/>
        </w:rPr>
        <w:t>d</w:t>
      </w:r>
      <w:r>
        <w:rPr>
          <w:rFonts w:ascii="Times New Roman" w:hAnsi="Times New Roman"/>
          <w:sz w:val="24"/>
        </w:rPr>
        <w:t>etermination</w:t>
      </w:r>
      <w:r w:rsidR="00054B77">
        <w:rPr>
          <w:rFonts w:ascii="Times New Roman" w:hAnsi="Times New Roman"/>
          <w:sz w:val="24"/>
        </w:rPr>
        <w:t>,</w:t>
      </w:r>
      <w:r>
        <w:rPr>
          <w:rFonts w:ascii="Times New Roman" w:hAnsi="Times New Roman"/>
          <w:sz w:val="24"/>
        </w:rPr>
        <w:t xml:space="preserve"> as competent </w:t>
      </w:r>
      <w:r w:rsidR="006D1220">
        <w:rPr>
          <w:rFonts w:ascii="Times New Roman" w:hAnsi="Times New Roman"/>
          <w:sz w:val="24"/>
        </w:rPr>
        <w:t>a</w:t>
      </w:r>
      <w:r>
        <w:rPr>
          <w:rFonts w:ascii="Times New Roman" w:hAnsi="Times New Roman"/>
          <w:sz w:val="24"/>
        </w:rPr>
        <w:t>uthority</w:t>
      </w:r>
      <w:r w:rsidR="00054B77">
        <w:rPr>
          <w:rFonts w:ascii="Times New Roman" w:hAnsi="Times New Roman"/>
          <w:sz w:val="24"/>
        </w:rPr>
        <w:t>,</w:t>
      </w:r>
      <w:r>
        <w:rPr>
          <w:rFonts w:ascii="Times New Roman" w:hAnsi="Times New Roman"/>
          <w:sz w:val="24"/>
        </w:rPr>
        <w:t xml:space="preserve"> for the purposes of Article 6</w:t>
      </w:r>
      <w:r w:rsidR="00054B77">
        <w:rPr>
          <w:rFonts w:ascii="Times New Roman" w:hAnsi="Times New Roman"/>
          <w:sz w:val="24"/>
        </w:rPr>
        <w:t>(</w:t>
      </w:r>
      <w:r>
        <w:rPr>
          <w:rFonts w:ascii="Times New Roman" w:hAnsi="Times New Roman"/>
          <w:sz w:val="24"/>
        </w:rPr>
        <w:t>3</w:t>
      </w:r>
      <w:r w:rsidR="00054B77">
        <w:rPr>
          <w:rFonts w:ascii="Times New Roman" w:hAnsi="Times New Roman"/>
          <w:sz w:val="24"/>
        </w:rPr>
        <w:t>)</w:t>
      </w:r>
      <w:r>
        <w:rPr>
          <w:rFonts w:ascii="Times New Roman" w:hAnsi="Times New Roman"/>
          <w:sz w:val="24"/>
        </w:rPr>
        <w:t xml:space="preserve"> of the Habitats Directive by its decision of 29 May 2018.  Thus, as a matter of fact, the </w:t>
      </w:r>
      <w:r w:rsidR="007D444A">
        <w:rPr>
          <w:rFonts w:ascii="Times New Roman" w:hAnsi="Times New Roman"/>
          <w:sz w:val="24"/>
        </w:rPr>
        <w:t>g</w:t>
      </w:r>
      <w:r>
        <w:rPr>
          <w:rFonts w:ascii="Times New Roman" w:hAnsi="Times New Roman"/>
          <w:sz w:val="24"/>
        </w:rPr>
        <w:t xml:space="preserve">overnment ascertained that the NPF would not adversely affect the integrity of a European site prior to adopting the NPF on 29 May 2018.  </w:t>
      </w:r>
    </w:p>
    <w:p w14:paraId="5A346B07" w14:textId="2FCEF6D2" w:rsidR="0018738E" w:rsidRDefault="0018738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question then is whether the fact that the </w:t>
      </w:r>
      <w:r w:rsidR="007D444A">
        <w:rPr>
          <w:rFonts w:ascii="Times New Roman" w:hAnsi="Times New Roman"/>
          <w:sz w:val="24"/>
        </w:rPr>
        <w:t>g</w:t>
      </w:r>
      <w:r>
        <w:rPr>
          <w:rFonts w:ascii="Times New Roman" w:hAnsi="Times New Roman"/>
          <w:sz w:val="24"/>
        </w:rPr>
        <w:t xml:space="preserve">overnment is not defined as a </w:t>
      </w:r>
      <w:r w:rsidR="0054218D">
        <w:rPr>
          <w:rFonts w:ascii="Times New Roman" w:hAnsi="Times New Roman"/>
          <w:sz w:val="24"/>
        </w:rPr>
        <w:t>p</w:t>
      </w:r>
      <w:r>
        <w:rPr>
          <w:rFonts w:ascii="Times New Roman" w:hAnsi="Times New Roman"/>
          <w:sz w:val="24"/>
        </w:rPr>
        <w:t xml:space="preserve">ublic </w:t>
      </w:r>
      <w:r w:rsidR="0054218D">
        <w:rPr>
          <w:rFonts w:ascii="Times New Roman" w:hAnsi="Times New Roman"/>
          <w:sz w:val="24"/>
        </w:rPr>
        <w:t>a</w:t>
      </w:r>
      <w:r>
        <w:rPr>
          <w:rFonts w:ascii="Times New Roman" w:hAnsi="Times New Roman"/>
          <w:sz w:val="24"/>
        </w:rPr>
        <w:t xml:space="preserve">uthority within the meaning of the </w:t>
      </w:r>
      <w:r w:rsidR="00F25180">
        <w:rPr>
          <w:rFonts w:ascii="Times New Roman" w:hAnsi="Times New Roman"/>
          <w:sz w:val="24"/>
        </w:rPr>
        <w:t xml:space="preserve">Habitats </w:t>
      </w:r>
      <w:r>
        <w:rPr>
          <w:rFonts w:ascii="Times New Roman" w:hAnsi="Times New Roman"/>
          <w:sz w:val="24"/>
        </w:rPr>
        <w:t xml:space="preserve">Regulations creates a difficulty; specifically, does it mean that the </w:t>
      </w:r>
      <w:r w:rsidR="007D444A">
        <w:rPr>
          <w:rFonts w:ascii="Times New Roman" w:hAnsi="Times New Roman"/>
          <w:sz w:val="24"/>
        </w:rPr>
        <w:t>g</w:t>
      </w:r>
      <w:r>
        <w:rPr>
          <w:rFonts w:ascii="Times New Roman" w:hAnsi="Times New Roman"/>
          <w:sz w:val="24"/>
        </w:rPr>
        <w:t xml:space="preserve">overnment has no power to make an AA </w:t>
      </w:r>
      <w:r w:rsidR="006D1220">
        <w:rPr>
          <w:rFonts w:ascii="Times New Roman" w:hAnsi="Times New Roman"/>
          <w:sz w:val="24"/>
        </w:rPr>
        <w:t>d</w:t>
      </w:r>
      <w:r>
        <w:rPr>
          <w:rFonts w:ascii="Times New Roman" w:hAnsi="Times New Roman"/>
          <w:sz w:val="24"/>
        </w:rPr>
        <w:t xml:space="preserve">etermination and, in turn, if it lacks that power, does it follow, that it lacks the power to adopt a plan or project subject to the Habitats Directive?  Article 6(3) of the Directive refers to the </w:t>
      </w:r>
      <w:r w:rsidR="006D1220">
        <w:rPr>
          <w:rFonts w:ascii="Times New Roman" w:hAnsi="Times New Roman"/>
          <w:sz w:val="24"/>
        </w:rPr>
        <w:t>c</w:t>
      </w:r>
      <w:r>
        <w:rPr>
          <w:rFonts w:ascii="Times New Roman" w:hAnsi="Times New Roman"/>
          <w:sz w:val="24"/>
        </w:rPr>
        <w:t xml:space="preserve">ompetent </w:t>
      </w:r>
      <w:r w:rsidR="006D1220">
        <w:rPr>
          <w:rFonts w:ascii="Times New Roman" w:hAnsi="Times New Roman"/>
          <w:sz w:val="24"/>
        </w:rPr>
        <w:t>n</w:t>
      </w:r>
      <w:r>
        <w:rPr>
          <w:rFonts w:ascii="Times New Roman" w:hAnsi="Times New Roman"/>
          <w:sz w:val="24"/>
        </w:rPr>
        <w:t xml:space="preserve">ational </w:t>
      </w:r>
      <w:r w:rsidR="006D1220">
        <w:rPr>
          <w:rFonts w:ascii="Times New Roman" w:hAnsi="Times New Roman"/>
          <w:sz w:val="24"/>
        </w:rPr>
        <w:t>a</w:t>
      </w:r>
      <w:r>
        <w:rPr>
          <w:rFonts w:ascii="Times New Roman" w:hAnsi="Times New Roman"/>
          <w:sz w:val="24"/>
        </w:rPr>
        <w:t>uthorities.  These are not defined</w:t>
      </w:r>
      <w:r w:rsidR="0054218D">
        <w:rPr>
          <w:rFonts w:ascii="Times New Roman" w:hAnsi="Times New Roman"/>
          <w:sz w:val="24"/>
        </w:rPr>
        <w:t>,</w:t>
      </w:r>
      <w:r>
        <w:rPr>
          <w:rFonts w:ascii="Times New Roman" w:hAnsi="Times New Roman"/>
          <w:sz w:val="24"/>
        </w:rPr>
        <w:t xml:space="preserve"> and it is a matter therefore for each </w:t>
      </w:r>
      <w:r w:rsidR="007D444A">
        <w:rPr>
          <w:rFonts w:ascii="Times New Roman" w:hAnsi="Times New Roman"/>
          <w:sz w:val="24"/>
        </w:rPr>
        <w:t>m</w:t>
      </w:r>
      <w:r>
        <w:rPr>
          <w:rFonts w:ascii="Times New Roman" w:hAnsi="Times New Roman"/>
          <w:sz w:val="24"/>
        </w:rPr>
        <w:t xml:space="preserve">ember </w:t>
      </w:r>
      <w:r w:rsidR="007D444A">
        <w:rPr>
          <w:rFonts w:ascii="Times New Roman" w:hAnsi="Times New Roman"/>
          <w:sz w:val="24"/>
        </w:rPr>
        <w:t>s</w:t>
      </w:r>
      <w:r>
        <w:rPr>
          <w:rFonts w:ascii="Times New Roman" w:hAnsi="Times New Roman"/>
          <w:sz w:val="24"/>
        </w:rPr>
        <w:t xml:space="preserve">tate to determine </w:t>
      </w:r>
      <w:r>
        <w:rPr>
          <w:rFonts w:ascii="Times New Roman" w:hAnsi="Times New Roman"/>
          <w:i/>
          <w:sz w:val="24"/>
        </w:rPr>
        <w:t xml:space="preserve">“the </w:t>
      </w:r>
      <w:r w:rsidR="0054218D">
        <w:rPr>
          <w:rFonts w:ascii="Times New Roman" w:hAnsi="Times New Roman"/>
          <w:i/>
          <w:sz w:val="24"/>
        </w:rPr>
        <w:t>c</w:t>
      </w:r>
      <w:r>
        <w:rPr>
          <w:rFonts w:ascii="Times New Roman" w:hAnsi="Times New Roman"/>
          <w:i/>
          <w:sz w:val="24"/>
        </w:rPr>
        <w:t xml:space="preserve">ompetent </w:t>
      </w:r>
      <w:r w:rsidR="0054218D">
        <w:rPr>
          <w:rFonts w:ascii="Times New Roman" w:hAnsi="Times New Roman"/>
          <w:i/>
          <w:sz w:val="24"/>
        </w:rPr>
        <w:t>n</w:t>
      </w:r>
      <w:r>
        <w:rPr>
          <w:rFonts w:ascii="Times New Roman" w:hAnsi="Times New Roman"/>
          <w:i/>
          <w:sz w:val="24"/>
        </w:rPr>
        <w:t xml:space="preserve">ational </w:t>
      </w:r>
      <w:r w:rsidR="0054218D">
        <w:rPr>
          <w:rFonts w:ascii="Times New Roman" w:hAnsi="Times New Roman"/>
          <w:i/>
          <w:sz w:val="24"/>
        </w:rPr>
        <w:t>a</w:t>
      </w:r>
      <w:r>
        <w:rPr>
          <w:rFonts w:ascii="Times New Roman" w:hAnsi="Times New Roman"/>
          <w:i/>
          <w:sz w:val="24"/>
        </w:rPr>
        <w:t>uthority”</w:t>
      </w:r>
      <w:r w:rsidR="009E59BE">
        <w:rPr>
          <w:rFonts w:ascii="Times New Roman" w:hAnsi="Times New Roman"/>
          <w:i/>
          <w:sz w:val="24"/>
        </w:rPr>
        <w:t xml:space="preserve"> </w:t>
      </w:r>
      <w:r w:rsidR="009E59BE">
        <w:rPr>
          <w:rFonts w:ascii="Times New Roman" w:hAnsi="Times New Roman"/>
          <w:sz w:val="24"/>
        </w:rPr>
        <w:t xml:space="preserve">in question.  The </w:t>
      </w:r>
      <w:r w:rsidR="007D444A">
        <w:rPr>
          <w:rFonts w:ascii="Times New Roman" w:hAnsi="Times New Roman"/>
          <w:sz w:val="24"/>
        </w:rPr>
        <w:t>g</w:t>
      </w:r>
      <w:r w:rsidR="009E59BE">
        <w:rPr>
          <w:rFonts w:ascii="Times New Roman" w:hAnsi="Times New Roman"/>
          <w:sz w:val="24"/>
        </w:rPr>
        <w:t xml:space="preserve">overnment is a </w:t>
      </w:r>
      <w:r w:rsidR="0054218D">
        <w:rPr>
          <w:rFonts w:ascii="Times New Roman" w:hAnsi="Times New Roman"/>
          <w:sz w:val="24"/>
        </w:rPr>
        <w:t>n</w:t>
      </w:r>
      <w:r w:rsidR="009E59BE">
        <w:rPr>
          <w:rFonts w:ascii="Times New Roman" w:hAnsi="Times New Roman"/>
          <w:sz w:val="24"/>
        </w:rPr>
        <w:t xml:space="preserve">ational </w:t>
      </w:r>
      <w:r w:rsidR="0054218D">
        <w:rPr>
          <w:rFonts w:ascii="Times New Roman" w:hAnsi="Times New Roman"/>
          <w:sz w:val="24"/>
        </w:rPr>
        <w:t>a</w:t>
      </w:r>
      <w:r w:rsidR="009E59BE">
        <w:rPr>
          <w:rFonts w:ascii="Times New Roman" w:hAnsi="Times New Roman"/>
          <w:sz w:val="24"/>
        </w:rPr>
        <w:t xml:space="preserve">uthority which is competent to adopt the NPF in succession to the NSS.  Certainly, it cannot be said to be excluded from the parameters of the Habitats Directive.  It is common case that the Habitats Directive applies to the adoption of the NPF by the </w:t>
      </w:r>
      <w:r w:rsidR="007D444A">
        <w:rPr>
          <w:rFonts w:ascii="Times New Roman" w:hAnsi="Times New Roman"/>
          <w:sz w:val="24"/>
        </w:rPr>
        <w:t>g</w:t>
      </w:r>
      <w:r w:rsidR="009E59BE">
        <w:rPr>
          <w:rFonts w:ascii="Times New Roman" w:hAnsi="Times New Roman"/>
          <w:sz w:val="24"/>
        </w:rPr>
        <w:t xml:space="preserve">overnment.  However, the logical consequence of a strict </w:t>
      </w:r>
      <w:r w:rsidR="00706678">
        <w:rPr>
          <w:rFonts w:ascii="Times New Roman" w:hAnsi="Times New Roman"/>
          <w:sz w:val="24"/>
        </w:rPr>
        <w:t xml:space="preserve">literal </w:t>
      </w:r>
      <w:r w:rsidR="009E59BE">
        <w:rPr>
          <w:rFonts w:ascii="Times New Roman" w:hAnsi="Times New Roman"/>
          <w:sz w:val="24"/>
        </w:rPr>
        <w:t xml:space="preserve">construction of the definition of </w:t>
      </w:r>
      <w:r w:rsidR="00706678">
        <w:rPr>
          <w:rFonts w:ascii="Times New Roman" w:hAnsi="Times New Roman"/>
          <w:sz w:val="24"/>
        </w:rPr>
        <w:t>p</w:t>
      </w:r>
      <w:r w:rsidR="009E59BE">
        <w:rPr>
          <w:rFonts w:ascii="Times New Roman" w:hAnsi="Times New Roman"/>
          <w:sz w:val="24"/>
        </w:rPr>
        <w:t xml:space="preserve">ublic </w:t>
      </w:r>
      <w:r w:rsidR="00706678">
        <w:rPr>
          <w:rFonts w:ascii="Times New Roman" w:hAnsi="Times New Roman"/>
          <w:sz w:val="24"/>
        </w:rPr>
        <w:t>a</w:t>
      </w:r>
      <w:r w:rsidR="009E59BE">
        <w:rPr>
          <w:rFonts w:ascii="Times New Roman" w:hAnsi="Times New Roman"/>
          <w:sz w:val="24"/>
        </w:rPr>
        <w:t xml:space="preserve">uthority in the Habitats Regulations is that it cannot lawfully adopt the NPF because it cannot make an AA </w:t>
      </w:r>
      <w:r w:rsidR="00706678">
        <w:rPr>
          <w:rFonts w:ascii="Times New Roman" w:hAnsi="Times New Roman"/>
          <w:sz w:val="24"/>
        </w:rPr>
        <w:t>d</w:t>
      </w:r>
      <w:r w:rsidR="009E59BE">
        <w:rPr>
          <w:rFonts w:ascii="Times New Roman" w:hAnsi="Times New Roman"/>
          <w:sz w:val="24"/>
        </w:rPr>
        <w:t xml:space="preserve">etermination in accordance with </w:t>
      </w:r>
      <w:r w:rsidR="00F25180">
        <w:rPr>
          <w:rFonts w:ascii="Times New Roman" w:hAnsi="Times New Roman"/>
          <w:sz w:val="24"/>
        </w:rPr>
        <w:t xml:space="preserve">those </w:t>
      </w:r>
      <w:r w:rsidR="009E59BE">
        <w:rPr>
          <w:rFonts w:ascii="Times New Roman" w:hAnsi="Times New Roman"/>
          <w:sz w:val="24"/>
        </w:rPr>
        <w:t xml:space="preserve">Regulations. </w:t>
      </w:r>
    </w:p>
    <w:p w14:paraId="27FAE348" w14:textId="7A320F2C" w:rsidR="009E59BE" w:rsidRDefault="009E59B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suggest</w:t>
      </w:r>
      <w:r w:rsidR="007D444A">
        <w:rPr>
          <w:rFonts w:ascii="Times New Roman" w:hAnsi="Times New Roman"/>
          <w:sz w:val="24"/>
        </w:rPr>
        <w:t>ed</w:t>
      </w:r>
      <w:r>
        <w:rPr>
          <w:rFonts w:ascii="Times New Roman" w:hAnsi="Times New Roman"/>
          <w:sz w:val="24"/>
        </w:rPr>
        <w:t xml:space="preserve"> that, in the context of a plan being adopted by the </w:t>
      </w:r>
      <w:r w:rsidR="007D444A">
        <w:rPr>
          <w:rFonts w:ascii="Times New Roman" w:hAnsi="Times New Roman"/>
          <w:sz w:val="24"/>
        </w:rPr>
        <w:t>g</w:t>
      </w:r>
      <w:r>
        <w:rPr>
          <w:rFonts w:ascii="Times New Roman" w:hAnsi="Times New Roman"/>
          <w:sz w:val="24"/>
        </w:rPr>
        <w:t xml:space="preserve">overnment which requires AA, the Habitats Directive requires the definition of </w:t>
      </w:r>
      <w:r>
        <w:rPr>
          <w:rFonts w:ascii="Times New Roman" w:hAnsi="Times New Roman"/>
          <w:i/>
          <w:sz w:val="24"/>
        </w:rPr>
        <w:t>“</w:t>
      </w:r>
      <w:r w:rsidR="00706678">
        <w:rPr>
          <w:rFonts w:ascii="Times New Roman" w:hAnsi="Times New Roman"/>
          <w:i/>
          <w:sz w:val="24"/>
        </w:rPr>
        <w:t>p</w:t>
      </w:r>
      <w:r>
        <w:rPr>
          <w:rFonts w:ascii="Times New Roman" w:hAnsi="Times New Roman"/>
          <w:i/>
          <w:sz w:val="24"/>
        </w:rPr>
        <w:t xml:space="preserve">ublic </w:t>
      </w:r>
      <w:r w:rsidR="00706678">
        <w:rPr>
          <w:rFonts w:ascii="Times New Roman" w:hAnsi="Times New Roman"/>
          <w:i/>
          <w:sz w:val="24"/>
        </w:rPr>
        <w:t>a</w:t>
      </w:r>
      <w:r>
        <w:rPr>
          <w:rFonts w:ascii="Times New Roman" w:hAnsi="Times New Roman"/>
          <w:i/>
          <w:sz w:val="24"/>
        </w:rPr>
        <w:t xml:space="preserve">uthority” </w:t>
      </w:r>
      <w:r>
        <w:rPr>
          <w:rFonts w:ascii="Times New Roman" w:hAnsi="Times New Roman"/>
          <w:sz w:val="24"/>
        </w:rPr>
        <w:t xml:space="preserve">in the </w:t>
      </w:r>
      <w:r w:rsidR="00F25180">
        <w:rPr>
          <w:rFonts w:ascii="Times New Roman" w:hAnsi="Times New Roman"/>
          <w:sz w:val="24"/>
        </w:rPr>
        <w:t xml:space="preserve">Habitats </w:t>
      </w:r>
      <w:r>
        <w:rPr>
          <w:rFonts w:ascii="Times New Roman" w:hAnsi="Times New Roman"/>
          <w:sz w:val="24"/>
        </w:rPr>
        <w:t xml:space="preserve">Regulations to be widened to include the </w:t>
      </w:r>
      <w:r w:rsidR="007D444A">
        <w:rPr>
          <w:rFonts w:ascii="Times New Roman" w:hAnsi="Times New Roman"/>
          <w:sz w:val="24"/>
        </w:rPr>
        <w:t>g</w:t>
      </w:r>
      <w:r>
        <w:rPr>
          <w:rFonts w:ascii="Times New Roman" w:hAnsi="Times New Roman"/>
          <w:sz w:val="24"/>
        </w:rPr>
        <w:t xml:space="preserve">overnment.  It submits that this solution succeeds in giving effect to the Directive and is to be preferred and the alternative is to disapply the </w:t>
      </w:r>
      <w:r w:rsidR="00F25180">
        <w:rPr>
          <w:rFonts w:ascii="Times New Roman" w:hAnsi="Times New Roman"/>
          <w:sz w:val="24"/>
        </w:rPr>
        <w:t xml:space="preserve">Habitats </w:t>
      </w:r>
      <w:r>
        <w:rPr>
          <w:rFonts w:ascii="Times New Roman" w:hAnsi="Times New Roman"/>
          <w:sz w:val="24"/>
        </w:rPr>
        <w:t>Regulations entirely, a position never adopted by the respondent</w:t>
      </w:r>
      <w:r w:rsidR="00706678">
        <w:rPr>
          <w:rFonts w:ascii="Times New Roman" w:hAnsi="Times New Roman"/>
          <w:sz w:val="24"/>
        </w:rPr>
        <w:t>s</w:t>
      </w:r>
      <w:r>
        <w:rPr>
          <w:rFonts w:ascii="Times New Roman" w:hAnsi="Times New Roman"/>
          <w:sz w:val="24"/>
        </w:rPr>
        <w:t xml:space="preserve"> or the trial judge.  </w:t>
      </w:r>
    </w:p>
    <w:p w14:paraId="5EEDFEAC" w14:textId="10A37618" w:rsidR="009E59BE" w:rsidRPr="00B04BD2" w:rsidRDefault="008C74EE" w:rsidP="00B04BD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While there are legal authorities in which the </w:t>
      </w:r>
      <w:r w:rsidR="00416652">
        <w:rPr>
          <w:rFonts w:ascii="Times New Roman" w:hAnsi="Times New Roman"/>
          <w:sz w:val="24"/>
        </w:rPr>
        <w:t>g</w:t>
      </w:r>
      <w:r>
        <w:rPr>
          <w:rFonts w:ascii="Times New Roman" w:hAnsi="Times New Roman"/>
          <w:sz w:val="24"/>
        </w:rPr>
        <w:t xml:space="preserve">overnment has been sued without objection, it has </w:t>
      </w:r>
      <w:r w:rsidR="00416652">
        <w:rPr>
          <w:rFonts w:ascii="Times New Roman" w:hAnsi="Times New Roman"/>
          <w:i/>
          <w:iCs/>
          <w:sz w:val="24"/>
        </w:rPr>
        <w:t>“</w:t>
      </w:r>
      <w:r>
        <w:rPr>
          <w:rFonts w:ascii="Times New Roman" w:hAnsi="Times New Roman"/>
          <w:i/>
          <w:sz w:val="24"/>
        </w:rPr>
        <w:t xml:space="preserve">a less complete legal personality than its individual members, as </w:t>
      </w:r>
      <w:r>
        <w:rPr>
          <w:rFonts w:ascii="Times New Roman" w:hAnsi="Times New Roman"/>
          <w:i/>
          <w:sz w:val="24"/>
        </w:rPr>
        <w:lastRenderedPageBreak/>
        <w:t>Ministers, possess</w:t>
      </w:r>
      <w:r w:rsidR="00416652">
        <w:rPr>
          <w:rFonts w:ascii="Times New Roman" w:hAnsi="Times New Roman"/>
          <w:i/>
          <w:sz w:val="24"/>
        </w:rPr>
        <w:t>”</w:t>
      </w:r>
      <w:r>
        <w:rPr>
          <w:rFonts w:ascii="Times New Roman" w:hAnsi="Times New Roman"/>
          <w:i/>
          <w:sz w:val="24"/>
        </w:rPr>
        <w:t xml:space="preserve"> </w:t>
      </w:r>
      <w:r>
        <w:rPr>
          <w:rFonts w:ascii="Times New Roman" w:hAnsi="Times New Roman"/>
          <w:sz w:val="24"/>
        </w:rPr>
        <w:t xml:space="preserve">(Kelly and </w:t>
      </w:r>
      <w:proofErr w:type="spellStart"/>
      <w:r>
        <w:rPr>
          <w:rFonts w:ascii="Times New Roman" w:hAnsi="Times New Roman"/>
          <w:sz w:val="24"/>
        </w:rPr>
        <w:t>ors</w:t>
      </w:r>
      <w:proofErr w:type="spellEnd"/>
      <w:r w:rsidR="00416652">
        <w:rPr>
          <w:rFonts w:ascii="Times New Roman" w:hAnsi="Times New Roman"/>
          <w:sz w:val="24"/>
        </w:rPr>
        <w:t>.</w:t>
      </w:r>
      <w:r>
        <w:rPr>
          <w:rFonts w:ascii="Times New Roman" w:hAnsi="Times New Roman"/>
          <w:sz w:val="24"/>
        </w:rPr>
        <w:t xml:space="preserve"> </w:t>
      </w:r>
      <w:r>
        <w:rPr>
          <w:rFonts w:ascii="Times New Roman" w:hAnsi="Times New Roman"/>
          <w:i/>
          <w:sz w:val="24"/>
        </w:rPr>
        <w:t>The Irish Constitution</w:t>
      </w:r>
      <w:r w:rsidR="00C42EB6">
        <w:rPr>
          <w:rFonts w:ascii="Times New Roman" w:hAnsi="Times New Roman"/>
          <w:i/>
          <w:sz w:val="24"/>
        </w:rPr>
        <w:t xml:space="preserve"> </w:t>
      </w:r>
      <w:r w:rsidR="00C42EB6">
        <w:rPr>
          <w:rFonts w:ascii="Times New Roman" w:hAnsi="Times New Roman"/>
          <w:iCs/>
          <w:sz w:val="24"/>
        </w:rPr>
        <w:t>(</w:t>
      </w:r>
      <w:r>
        <w:rPr>
          <w:rFonts w:ascii="Times New Roman" w:hAnsi="Times New Roman"/>
          <w:sz w:val="24"/>
        </w:rPr>
        <w:t>5</w:t>
      </w:r>
      <w:r w:rsidRPr="005E3859">
        <w:rPr>
          <w:rFonts w:ascii="Times New Roman" w:hAnsi="Times New Roman"/>
          <w:sz w:val="24"/>
          <w:vertAlign w:val="superscript"/>
        </w:rPr>
        <w:t>th</w:t>
      </w:r>
      <w:r>
        <w:rPr>
          <w:rFonts w:ascii="Times New Roman" w:hAnsi="Times New Roman"/>
          <w:sz w:val="24"/>
        </w:rPr>
        <w:t xml:space="preserve"> </w:t>
      </w:r>
      <w:r w:rsidR="00C42EB6">
        <w:rPr>
          <w:rFonts w:ascii="Times New Roman" w:hAnsi="Times New Roman"/>
          <w:sz w:val="24"/>
        </w:rPr>
        <w:t>e</w:t>
      </w:r>
      <w:r>
        <w:rPr>
          <w:rFonts w:ascii="Times New Roman" w:hAnsi="Times New Roman"/>
          <w:sz w:val="24"/>
        </w:rPr>
        <w:t>d.</w:t>
      </w:r>
      <w:r w:rsidR="00C42EB6">
        <w:rPr>
          <w:rFonts w:ascii="Times New Roman" w:hAnsi="Times New Roman"/>
          <w:sz w:val="24"/>
        </w:rPr>
        <w:t>, Bloomsbury Professional, 2018, at p</w:t>
      </w:r>
      <w:r>
        <w:rPr>
          <w:rFonts w:ascii="Times New Roman" w:hAnsi="Times New Roman"/>
          <w:sz w:val="24"/>
        </w:rPr>
        <w:t>ara. 5.1.06</w:t>
      </w:r>
      <w:r w:rsidR="003C3B16">
        <w:rPr>
          <w:rFonts w:ascii="Times New Roman" w:hAnsi="Times New Roman"/>
          <w:sz w:val="24"/>
        </w:rPr>
        <w:t>)</w:t>
      </w:r>
      <w:r w:rsidR="00AB599B">
        <w:rPr>
          <w:rFonts w:ascii="Times New Roman" w:hAnsi="Times New Roman"/>
          <w:sz w:val="24"/>
        </w:rPr>
        <w:t>)</w:t>
      </w:r>
      <w:r w:rsidR="003C3B16">
        <w:rPr>
          <w:rFonts w:ascii="Times New Roman" w:hAnsi="Times New Roman"/>
          <w:sz w:val="24"/>
        </w:rPr>
        <w:t xml:space="preserve">. </w:t>
      </w:r>
      <w:r>
        <w:rPr>
          <w:rFonts w:ascii="Times New Roman" w:hAnsi="Times New Roman"/>
          <w:sz w:val="24"/>
        </w:rPr>
        <w:t xml:space="preserve"> Pursuant to Article 28.1 of the Constitution</w:t>
      </w:r>
      <w:r w:rsidR="002E0A02">
        <w:rPr>
          <w:rFonts w:ascii="Times New Roman" w:hAnsi="Times New Roman"/>
          <w:sz w:val="24"/>
        </w:rPr>
        <w:t>,</w:t>
      </w:r>
      <w:r>
        <w:rPr>
          <w:rFonts w:ascii="Times New Roman" w:hAnsi="Times New Roman"/>
          <w:sz w:val="24"/>
        </w:rPr>
        <w:t xml:space="preserve"> the noun has </w:t>
      </w:r>
      <w:r w:rsidR="00AB599B">
        <w:rPr>
          <w:rFonts w:ascii="Times New Roman" w:hAnsi="Times New Roman"/>
          <w:i/>
          <w:iCs/>
          <w:sz w:val="24"/>
        </w:rPr>
        <w:t>“</w:t>
      </w:r>
      <w:r w:rsidRPr="00AB599B">
        <w:rPr>
          <w:rFonts w:ascii="Times New Roman" w:hAnsi="Times New Roman"/>
          <w:i/>
          <w:iCs/>
          <w:sz w:val="24"/>
        </w:rPr>
        <w:t>a</w:t>
      </w:r>
      <w:r>
        <w:rPr>
          <w:rFonts w:ascii="Times New Roman" w:hAnsi="Times New Roman"/>
          <w:i/>
          <w:sz w:val="24"/>
        </w:rPr>
        <w:t xml:space="preserve"> precise and technical meaning, equivalent to ‘Cabinet’ in other systems</w:t>
      </w:r>
      <w:r w:rsidR="00AB599B">
        <w:rPr>
          <w:rFonts w:ascii="Times New Roman" w:hAnsi="Times New Roman"/>
          <w:i/>
          <w:sz w:val="24"/>
        </w:rPr>
        <w:t>”</w:t>
      </w:r>
      <w:r>
        <w:rPr>
          <w:rFonts w:ascii="Times New Roman" w:hAnsi="Times New Roman"/>
          <w:i/>
          <w:sz w:val="24"/>
        </w:rPr>
        <w:t xml:space="preserve"> </w:t>
      </w:r>
      <w:r>
        <w:rPr>
          <w:rFonts w:ascii="Times New Roman" w:hAnsi="Times New Roman"/>
          <w:sz w:val="24"/>
        </w:rPr>
        <w:t>(Casey</w:t>
      </w:r>
      <w:r w:rsidR="00DC2907">
        <w:rPr>
          <w:rFonts w:ascii="Times New Roman" w:hAnsi="Times New Roman"/>
          <w:sz w:val="24"/>
        </w:rPr>
        <w:t>,</w:t>
      </w:r>
      <w:r>
        <w:rPr>
          <w:rFonts w:ascii="Times New Roman" w:hAnsi="Times New Roman"/>
          <w:sz w:val="24"/>
        </w:rPr>
        <w:t xml:space="preserve"> </w:t>
      </w:r>
      <w:r>
        <w:rPr>
          <w:rFonts w:ascii="Times New Roman" w:hAnsi="Times New Roman"/>
          <w:i/>
          <w:sz w:val="24"/>
        </w:rPr>
        <w:t xml:space="preserve">Constitutional Law </w:t>
      </w:r>
      <w:r w:rsidRPr="00DC2907">
        <w:rPr>
          <w:rFonts w:ascii="Times New Roman" w:hAnsi="Times New Roman"/>
          <w:i/>
          <w:sz w:val="24"/>
        </w:rPr>
        <w:t xml:space="preserve">in </w:t>
      </w:r>
      <w:r w:rsidRPr="004A56E3">
        <w:rPr>
          <w:rFonts w:ascii="Times New Roman" w:hAnsi="Times New Roman"/>
          <w:i/>
          <w:sz w:val="24"/>
        </w:rPr>
        <w:t>Ireland</w:t>
      </w:r>
      <w:r>
        <w:rPr>
          <w:rFonts w:ascii="Times New Roman" w:hAnsi="Times New Roman"/>
          <w:sz w:val="24"/>
        </w:rPr>
        <w:t xml:space="preserve"> (3</w:t>
      </w:r>
      <w:r w:rsidRPr="005E3859">
        <w:rPr>
          <w:rFonts w:ascii="Times New Roman" w:hAnsi="Times New Roman"/>
          <w:sz w:val="24"/>
          <w:vertAlign w:val="superscript"/>
        </w:rPr>
        <w:t>rd</w:t>
      </w:r>
      <w:r>
        <w:rPr>
          <w:rFonts w:ascii="Times New Roman" w:hAnsi="Times New Roman"/>
          <w:sz w:val="24"/>
        </w:rPr>
        <w:t xml:space="preserve"> </w:t>
      </w:r>
      <w:r w:rsidR="00DC2907">
        <w:rPr>
          <w:rFonts w:ascii="Times New Roman" w:hAnsi="Times New Roman"/>
          <w:sz w:val="24"/>
        </w:rPr>
        <w:t>e</w:t>
      </w:r>
      <w:r>
        <w:rPr>
          <w:rFonts w:ascii="Times New Roman" w:hAnsi="Times New Roman"/>
          <w:sz w:val="24"/>
        </w:rPr>
        <w:t>d</w:t>
      </w:r>
      <w:r w:rsidR="00DC2907">
        <w:rPr>
          <w:rFonts w:ascii="Times New Roman" w:hAnsi="Times New Roman"/>
          <w:sz w:val="24"/>
        </w:rPr>
        <w:t>.</w:t>
      </w:r>
      <w:r>
        <w:rPr>
          <w:rFonts w:ascii="Times New Roman" w:hAnsi="Times New Roman"/>
          <w:sz w:val="24"/>
        </w:rPr>
        <w:t>,</w:t>
      </w:r>
      <w:r w:rsidR="00DC2907">
        <w:rPr>
          <w:rFonts w:ascii="Times New Roman" w:hAnsi="Times New Roman"/>
          <w:sz w:val="24"/>
        </w:rPr>
        <w:t xml:space="preserve"> Round Hall, 2000,</w:t>
      </w:r>
      <w:r>
        <w:rPr>
          <w:rFonts w:ascii="Times New Roman" w:hAnsi="Times New Roman"/>
          <w:sz w:val="24"/>
        </w:rPr>
        <w:t xml:space="preserve"> p</w:t>
      </w:r>
      <w:r w:rsidR="00DC2907">
        <w:rPr>
          <w:rFonts w:ascii="Times New Roman" w:hAnsi="Times New Roman"/>
          <w:sz w:val="24"/>
        </w:rPr>
        <w:t>.</w:t>
      </w:r>
      <w:r>
        <w:rPr>
          <w:rFonts w:ascii="Times New Roman" w:hAnsi="Times New Roman"/>
          <w:sz w:val="24"/>
        </w:rPr>
        <w:t xml:space="preserve"> 153)</w:t>
      </w:r>
      <w:r w:rsidR="00AB599B">
        <w:rPr>
          <w:rFonts w:ascii="Times New Roman" w:hAnsi="Times New Roman"/>
          <w:sz w:val="24"/>
        </w:rPr>
        <w:t>)</w:t>
      </w:r>
      <w:r>
        <w:rPr>
          <w:rFonts w:ascii="Times New Roman" w:hAnsi="Times New Roman"/>
          <w:sz w:val="24"/>
        </w:rPr>
        <w:t xml:space="preserve">.   Functionally, the </w:t>
      </w:r>
      <w:r w:rsidR="008979CB">
        <w:rPr>
          <w:rFonts w:ascii="Times New Roman" w:hAnsi="Times New Roman"/>
          <w:sz w:val="24"/>
        </w:rPr>
        <w:t>g</w:t>
      </w:r>
      <w:r>
        <w:rPr>
          <w:rFonts w:ascii="Times New Roman" w:hAnsi="Times New Roman"/>
          <w:sz w:val="24"/>
        </w:rPr>
        <w:t>overnment is, consequent upon that constitutional description, a co</w:t>
      </w:r>
      <w:r w:rsidR="00B04BD2">
        <w:rPr>
          <w:rFonts w:ascii="Times New Roman" w:hAnsi="Times New Roman"/>
          <w:sz w:val="24"/>
        </w:rPr>
        <w:t>mmittee</w:t>
      </w:r>
      <w:r>
        <w:rPr>
          <w:rFonts w:ascii="Times New Roman" w:hAnsi="Times New Roman"/>
          <w:sz w:val="24"/>
        </w:rPr>
        <w:t xml:space="preserve"> of Ministers</w:t>
      </w:r>
      <w:r w:rsidR="003C3B16">
        <w:rPr>
          <w:rFonts w:ascii="Times New Roman" w:hAnsi="Times New Roman"/>
          <w:sz w:val="24"/>
        </w:rPr>
        <w:t xml:space="preserve">, bearing collective responsibility for all the Departments of State which are administered by individual members of the </w:t>
      </w:r>
      <w:r w:rsidR="008979CB">
        <w:rPr>
          <w:rFonts w:ascii="Times New Roman" w:hAnsi="Times New Roman"/>
          <w:sz w:val="24"/>
        </w:rPr>
        <w:t>g</w:t>
      </w:r>
      <w:r w:rsidR="003C3B16">
        <w:rPr>
          <w:rFonts w:ascii="Times New Roman" w:hAnsi="Times New Roman"/>
          <w:sz w:val="24"/>
        </w:rPr>
        <w:t>overnment (Article 28.4.2</w:t>
      </w:r>
      <w:r w:rsidR="00AB599B">
        <w:rPr>
          <w:rFonts w:ascii="Times New Roman" w:hAnsi="Times New Roman"/>
          <w:sz w:val="24"/>
        </w:rPr>
        <w:t xml:space="preserve"> of the Constitution</w:t>
      </w:r>
      <w:r w:rsidR="003C3B16">
        <w:rPr>
          <w:rFonts w:ascii="Times New Roman" w:hAnsi="Times New Roman"/>
          <w:sz w:val="24"/>
        </w:rPr>
        <w:t xml:space="preserve">).  </w:t>
      </w:r>
      <w:r w:rsidR="00B04BD2">
        <w:rPr>
          <w:rFonts w:ascii="Times New Roman" w:hAnsi="Times New Roman"/>
          <w:sz w:val="24"/>
        </w:rPr>
        <w:t xml:space="preserve">While noting that it has been held that the </w:t>
      </w:r>
      <w:r w:rsidR="008979CB">
        <w:rPr>
          <w:rFonts w:ascii="Times New Roman" w:hAnsi="Times New Roman"/>
          <w:sz w:val="24"/>
        </w:rPr>
        <w:t>g</w:t>
      </w:r>
      <w:r w:rsidR="00B04BD2">
        <w:rPr>
          <w:rFonts w:ascii="Times New Roman" w:hAnsi="Times New Roman"/>
          <w:sz w:val="24"/>
        </w:rPr>
        <w:t xml:space="preserve">overnment cannot be generally equated to a </w:t>
      </w:r>
      <w:r w:rsidR="000054F8" w:rsidRPr="004A56E3">
        <w:rPr>
          <w:rFonts w:ascii="Times New Roman" w:hAnsi="Times New Roman"/>
          <w:i/>
          <w:iCs/>
          <w:sz w:val="24"/>
        </w:rPr>
        <w:t>“</w:t>
      </w:r>
      <w:r w:rsidR="00B04BD2">
        <w:rPr>
          <w:rFonts w:ascii="Times New Roman" w:hAnsi="Times New Roman"/>
          <w:i/>
          <w:sz w:val="24"/>
        </w:rPr>
        <w:t>Government Department</w:t>
      </w:r>
      <w:r w:rsidR="000054F8">
        <w:rPr>
          <w:rFonts w:ascii="Times New Roman" w:hAnsi="Times New Roman"/>
          <w:i/>
          <w:sz w:val="24"/>
        </w:rPr>
        <w:t>”</w:t>
      </w:r>
      <w:r w:rsidR="00B04BD2">
        <w:rPr>
          <w:rFonts w:ascii="Times New Roman" w:hAnsi="Times New Roman"/>
          <w:i/>
          <w:sz w:val="24"/>
        </w:rPr>
        <w:t xml:space="preserve"> </w:t>
      </w:r>
      <w:r w:rsidR="00B04BD2">
        <w:rPr>
          <w:rFonts w:ascii="Times New Roman" w:hAnsi="Times New Roman"/>
          <w:sz w:val="24"/>
        </w:rPr>
        <w:t>for the purposes of a statute using that term</w:t>
      </w:r>
      <w:r w:rsidR="00B04BD2">
        <w:rPr>
          <w:rFonts w:ascii="Times New Roman" w:hAnsi="Times New Roman"/>
          <w:i/>
          <w:sz w:val="24"/>
        </w:rPr>
        <w:t xml:space="preserve"> </w:t>
      </w:r>
      <w:r w:rsidR="00B04BD2" w:rsidRPr="00B04BD2">
        <w:rPr>
          <w:rFonts w:ascii="Times New Roman" w:hAnsi="Times New Roman"/>
          <w:sz w:val="24"/>
        </w:rPr>
        <w:t>(</w:t>
      </w:r>
      <w:proofErr w:type="spellStart"/>
      <w:r w:rsidR="00B04BD2" w:rsidRPr="00B04BD2">
        <w:rPr>
          <w:rFonts w:ascii="Times New Roman" w:hAnsi="Times New Roman"/>
          <w:i/>
          <w:sz w:val="24"/>
        </w:rPr>
        <w:t>Comyn</w:t>
      </w:r>
      <w:proofErr w:type="spellEnd"/>
      <w:r w:rsidR="00B04BD2" w:rsidRPr="00B04BD2">
        <w:rPr>
          <w:rFonts w:ascii="Times New Roman" w:hAnsi="Times New Roman"/>
          <w:i/>
          <w:sz w:val="24"/>
        </w:rPr>
        <w:t xml:space="preserve"> v. Attorney General </w:t>
      </w:r>
      <w:r w:rsidR="00B04BD2" w:rsidRPr="00B04BD2">
        <w:rPr>
          <w:rFonts w:ascii="Times New Roman" w:hAnsi="Times New Roman"/>
          <w:sz w:val="24"/>
        </w:rPr>
        <w:t>[1950] I</w:t>
      </w:r>
      <w:r w:rsidR="00416652">
        <w:rPr>
          <w:rFonts w:ascii="Times New Roman" w:hAnsi="Times New Roman"/>
          <w:sz w:val="24"/>
        </w:rPr>
        <w:t>.</w:t>
      </w:r>
      <w:r w:rsidR="00B04BD2" w:rsidRPr="00B04BD2">
        <w:rPr>
          <w:rFonts w:ascii="Times New Roman" w:hAnsi="Times New Roman"/>
          <w:sz w:val="24"/>
        </w:rPr>
        <w:t>R</w:t>
      </w:r>
      <w:r w:rsidR="00416652">
        <w:rPr>
          <w:rFonts w:ascii="Times New Roman" w:hAnsi="Times New Roman"/>
          <w:sz w:val="24"/>
        </w:rPr>
        <w:t>.</w:t>
      </w:r>
      <w:r w:rsidR="00B04BD2" w:rsidRPr="00B04BD2">
        <w:rPr>
          <w:rFonts w:ascii="Times New Roman" w:hAnsi="Times New Roman"/>
          <w:sz w:val="24"/>
        </w:rPr>
        <w:t xml:space="preserve"> 142) </w:t>
      </w:r>
      <w:r w:rsidR="00B04BD2">
        <w:rPr>
          <w:rFonts w:ascii="Times New Roman" w:hAnsi="Times New Roman"/>
          <w:sz w:val="24"/>
        </w:rPr>
        <w:t xml:space="preserve">this appears to have been in contradistinction to </w:t>
      </w:r>
      <w:r w:rsidR="000054F8">
        <w:rPr>
          <w:rFonts w:ascii="Times New Roman" w:hAnsi="Times New Roman"/>
          <w:i/>
          <w:iCs/>
          <w:sz w:val="24"/>
        </w:rPr>
        <w:t>“</w:t>
      </w:r>
      <w:r w:rsidR="00B04BD2">
        <w:rPr>
          <w:rFonts w:ascii="Times New Roman" w:hAnsi="Times New Roman"/>
          <w:i/>
          <w:sz w:val="24"/>
        </w:rPr>
        <w:t>a Ministry</w:t>
      </w:r>
      <w:r w:rsidR="000054F8">
        <w:rPr>
          <w:rFonts w:ascii="Times New Roman" w:hAnsi="Times New Roman"/>
          <w:i/>
          <w:sz w:val="24"/>
        </w:rPr>
        <w:t>”</w:t>
      </w:r>
      <w:r w:rsidR="00B04BD2">
        <w:rPr>
          <w:rFonts w:ascii="Times New Roman" w:hAnsi="Times New Roman"/>
          <w:i/>
          <w:sz w:val="24"/>
        </w:rPr>
        <w:t xml:space="preserve"> </w:t>
      </w:r>
      <w:r w:rsidR="00B04BD2">
        <w:rPr>
          <w:rFonts w:ascii="Times New Roman" w:hAnsi="Times New Roman"/>
          <w:sz w:val="24"/>
        </w:rPr>
        <w:t xml:space="preserve">of which the Cabinet was </w:t>
      </w:r>
      <w:r w:rsidR="000054F8">
        <w:rPr>
          <w:rFonts w:ascii="Times New Roman" w:hAnsi="Times New Roman"/>
          <w:i/>
          <w:iCs/>
          <w:sz w:val="24"/>
        </w:rPr>
        <w:t>“</w:t>
      </w:r>
      <w:r w:rsidR="00B04BD2">
        <w:rPr>
          <w:rFonts w:ascii="Times New Roman" w:hAnsi="Times New Roman"/>
          <w:i/>
          <w:sz w:val="24"/>
        </w:rPr>
        <w:t>its committee</w:t>
      </w:r>
      <w:r w:rsidR="000054F8">
        <w:rPr>
          <w:rFonts w:ascii="Times New Roman" w:hAnsi="Times New Roman"/>
          <w:i/>
          <w:sz w:val="24"/>
        </w:rPr>
        <w:t>”</w:t>
      </w:r>
      <w:r w:rsidR="00B04BD2">
        <w:rPr>
          <w:rFonts w:ascii="Times New Roman" w:hAnsi="Times New Roman"/>
          <w:i/>
          <w:sz w:val="24"/>
        </w:rPr>
        <w:t xml:space="preserve"> </w:t>
      </w:r>
      <w:r w:rsidR="00B04BD2">
        <w:rPr>
          <w:rFonts w:ascii="Times New Roman" w:hAnsi="Times New Roman"/>
          <w:sz w:val="24"/>
        </w:rPr>
        <w:t>(</w:t>
      </w:r>
      <w:r w:rsidR="000054F8">
        <w:rPr>
          <w:rFonts w:ascii="Times New Roman" w:hAnsi="Times New Roman"/>
          <w:sz w:val="24"/>
        </w:rPr>
        <w:t>p</w:t>
      </w:r>
      <w:r w:rsidR="00B04BD2">
        <w:rPr>
          <w:rFonts w:ascii="Times New Roman" w:hAnsi="Times New Roman"/>
          <w:sz w:val="24"/>
        </w:rPr>
        <w:t>. 155).  Either way, in the case of the provisions in issue here</w:t>
      </w:r>
      <w:r w:rsidR="00773D30">
        <w:rPr>
          <w:rFonts w:ascii="Times New Roman" w:hAnsi="Times New Roman"/>
          <w:sz w:val="24"/>
        </w:rPr>
        <w:t>,</w:t>
      </w:r>
      <w:r w:rsidR="00B04BD2">
        <w:rPr>
          <w:rFonts w:ascii="Times New Roman" w:hAnsi="Times New Roman"/>
          <w:sz w:val="24"/>
        </w:rPr>
        <w:t xml:space="preserve"> which must be afforded a functional and purposive construction in accordance with EU law, I am firmly of the view that n</w:t>
      </w:r>
      <w:r w:rsidRPr="00B04BD2">
        <w:rPr>
          <w:rFonts w:ascii="Times New Roman" w:hAnsi="Times New Roman"/>
          <w:sz w:val="24"/>
        </w:rPr>
        <w:t xml:space="preserve">o sensible construction of a provision such as the Habitats Regulations could lead to the conclusion that while a Minister of the </w:t>
      </w:r>
      <w:r w:rsidR="008979CB">
        <w:rPr>
          <w:rFonts w:ascii="Times New Roman" w:hAnsi="Times New Roman"/>
          <w:sz w:val="24"/>
        </w:rPr>
        <w:t>g</w:t>
      </w:r>
      <w:r w:rsidRPr="00B04BD2">
        <w:rPr>
          <w:rFonts w:ascii="Times New Roman" w:hAnsi="Times New Roman"/>
          <w:sz w:val="24"/>
        </w:rPr>
        <w:t>overnment is a ‘</w:t>
      </w:r>
      <w:r w:rsidRPr="00B04BD2">
        <w:rPr>
          <w:rFonts w:ascii="Times New Roman" w:hAnsi="Times New Roman"/>
          <w:i/>
          <w:sz w:val="24"/>
        </w:rPr>
        <w:t>public authority’</w:t>
      </w:r>
      <w:r w:rsidR="003C3B16" w:rsidRPr="00B04BD2">
        <w:rPr>
          <w:rFonts w:ascii="Times New Roman" w:hAnsi="Times New Roman"/>
          <w:i/>
          <w:sz w:val="24"/>
        </w:rPr>
        <w:t xml:space="preserve"> </w:t>
      </w:r>
      <w:r w:rsidR="003C3B16" w:rsidRPr="00B04BD2">
        <w:rPr>
          <w:rFonts w:ascii="Times New Roman" w:hAnsi="Times New Roman"/>
          <w:sz w:val="24"/>
        </w:rPr>
        <w:t>for its purposes</w:t>
      </w:r>
      <w:r w:rsidR="00416652">
        <w:rPr>
          <w:rFonts w:ascii="Times New Roman" w:hAnsi="Times New Roman"/>
          <w:sz w:val="24"/>
        </w:rPr>
        <w:t>,</w:t>
      </w:r>
      <w:r w:rsidRPr="00B04BD2">
        <w:rPr>
          <w:rFonts w:ascii="Times New Roman" w:hAnsi="Times New Roman"/>
          <w:i/>
          <w:sz w:val="24"/>
        </w:rPr>
        <w:t xml:space="preserve"> </w:t>
      </w:r>
      <w:r w:rsidRPr="00B04BD2">
        <w:rPr>
          <w:rFonts w:ascii="Times New Roman" w:hAnsi="Times New Roman"/>
          <w:sz w:val="24"/>
        </w:rPr>
        <w:t xml:space="preserve">the collective of Ministers comprising the </w:t>
      </w:r>
      <w:r w:rsidR="00416652">
        <w:rPr>
          <w:rFonts w:ascii="Times New Roman" w:hAnsi="Times New Roman"/>
          <w:sz w:val="24"/>
        </w:rPr>
        <w:t>g</w:t>
      </w:r>
      <w:r w:rsidRPr="00B04BD2">
        <w:rPr>
          <w:rFonts w:ascii="Times New Roman" w:hAnsi="Times New Roman"/>
          <w:sz w:val="24"/>
        </w:rPr>
        <w:t xml:space="preserve">overnment, is not.  </w:t>
      </w:r>
      <w:r w:rsidR="009E59BE" w:rsidRPr="00B04BD2">
        <w:rPr>
          <w:rFonts w:ascii="Times New Roman" w:hAnsi="Times New Roman"/>
          <w:sz w:val="24"/>
        </w:rPr>
        <w:t xml:space="preserve">Thus, notwithstanding the omission of the </w:t>
      </w:r>
      <w:r w:rsidR="007D444A" w:rsidRPr="00B04BD2">
        <w:rPr>
          <w:rFonts w:ascii="Times New Roman" w:hAnsi="Times New Roman"/>
          <w:sz w:val="24"/>
        </w:rPr>
        <w:t>g</w:t>
      </w:r>
      <w:r w:rsidR="009E59BE" w:rsidRPr="00B04BD2">
        <w:rPr>
          <w:rFonts w:ascii="Times New Roman" w:hAnsi="Times New Roman"/>
          <w:sz w:val="24"/>
        </w:rPr>
        <w:t xml:space="preserve">overnment from the definition of </w:t>
      </w:r>
      <w:r w:rsidR="00706678" w:rsidRPr="00B04BD2">
        <w:rPr>
          <w:rFonts w:ascii="Times New Roman" w:hAnsi="Times New Roman"/>
          <w:sz w:val="24"/>
        </w:rPr>
        <w:t>p</w:t>
      </w:r>
      <w:r w:rsidR="009E59BE" w:rsidRPr="00B04BD2">
        <w:rPr>
          <w:rFonts w:ascii="Times New Roman" w:hAnsi="Times New Roman"/>
          <w:sz w:val="24"/>
        </w:rPr>
        <w:t xml:space="preserve">ublic </w:t>
      </w:r>
      <w:r w:rsidR="00706678" w:rsidRPr="00B04BD2">
        <w:rPr>
          <w:rFonts w:ascii="Times New Roman" w:hAnsi="Times New Roman"/>
          <w:sz w:val="24"/>
        </w:rPr>
        <w:t>a</w:t>
      </w:r>
      <w:r w:rsidR="009E59BE" w:rsidRPr="00B04BD2">
        <w:rPr>
          <w:rFonts w:ascii="Times New Roman" w:hAnsi="Times New Roman"/>
          <w:sz w:val="24"/>
        </w:rPr>
        <w:t xml:space="preserve">uthority, it is possible to construe the </w:t>
      </w:r>
      <w:r w:rsidR="00F25180" w:rsidRPr="00B04BD2">
        <w:rPr>
          <w:rFonts w:ascii="Times New Roman" w:hAnsi="Times New Roman"/>
          <w:sz w:val="24"/>
        </w:rPr>
        <w:t xml:space="preserve">Habitats </w:t>
      </w:r>
      <w:r w:rsidR="009E59BE" w:rsidRPr="00B04BD2">
        <w:rPr>
          <w:rFonts w:ascii="Times New Roman" w:hAnsi="Times New Roman"/>
          <w:sz w:val="24"/>
        </w:rPr>
        <w:t xml:space="preserve">Regulations as including the </w:t>
      </w:r>
      <w:r w:rsidR="007D444A" w:rsidRPr="00B04BD2">
        <w:rPr>
          <w:rFonts w:ascii="Times New Roman" w:hAnsi="Times New Roman"/>
          <w:sz w:val="24"/>
        </w:rPr>
        <w:t>g</w:t>
      </w:r>
      <w:r w:rsidR="009E59BE" w:rsidRPr="00B04BD2">
        <w:rPr>
          <w:rFonts w:ascii="Times New Roman" w:hAnsi="Times New Roman"/>
          <w:sz w:val="24"/>
        </w:rPr>
        <w:t xml:space="preserve">overnment as a </w:t>
      </w:r>
      <w:r w:rsidR="00706678" w:rsidRPr="00B04BD2">
        <w:rPr>
          <w:rFonts w:ascii="Times New Roman" w:hAnsi="Times New Roman"/>
          <w:sz w:val="24"/>
        </w:rPr>
        <w:t>p</w:t>
      </w:r>
      <w:r w:rsidR="009E59BE" w:rsidRPr="00B04BD2">
        <w:rPr>
          <w:rFonts w:ascii="Times New Roman" w:hAnsi="Times New Roman"/>
          <w:sz w:val="24"/>
        </w:rPr>
        <w:t xml:space="preserve">ublic </w:t>
      </w:r>
      <w:r w:rsidR="00706678" w:rsidRPr="00B04BD2">
        <w:rPr>
          <w:rFonts w:ascii="Times New Roman" w:hAnsi="Times New Roman"/>
          <w:sz w:val="24"/>
        </w:rPr>
        <w:t>a</w:t>
      </w:r>
      <w:r w:rsidR="009E59BE" w:rsidRPr="00B04BD2">
        <w:rPr>
          <w:rFonts w:ascii="Times New Roman" w:hAnsi="Times New Roman"/>
          <w:sz w:val="24"/>
        </w:rPr>
        <w:t>uthority based on the provisions of the Interpretation Act</w:t>
      </w:r>
      <w:r w:rsidR="003E5F80">
        <w:rPr>
          <w:rFonts w:ascii="Times New Roman" w:hAnsi="Times New Roman"/>
          <w:sz w:val="24"/>
        </w:rPr>
        <w:t xml:space="preserve"> 2015</w:t>
      </w:r>
      <w:r w:rsidR="009E59BE" w:rsidRPr="00B04BD2">
        <w:rPr>
          <w:rFonts w:ascii="Times New Roman" w:hAnsi="Times New Roman"/>
          <w:sz w:val="24"/>
        </w:rPr>
        <w:t xml:space="preserve">.  This is the appropriate interpretation of these </w:t>
      </w:r>
      <w:r w:rsidR="00F25180" w:rsidRPr="00B04BD2">
        <w:rPr>
          <w:rFonts w:ascii="Times New Roman" w:hAnsi="Times New Roman"/>
          <w:sz w:val="24"/>
        </w:rPr>
        <w:t xml:space="preserve">Habitats </w:t>
      </w:r>
      <w:r w:rsidR="009E59BE" w:rsidRPr="00B04BD2">
        <w:rPr>
          <w:rFonts w:ascii="Times New Roman" w:hAnsi="Times New Roman"/>
          <w:sz w:val="24"/>
        </w:rPr>
        <w:t>Regulations</w:t>
      </w:r>
      <w:r w:rsidR="007D444A" w:rsidRPr="00B04BD2">
        <w:rPr>
          <w:rFonts w:ascii="Times New Roman" w:hAnsi="Times New Roman"/>
          <w:sz w:val="24"/>
        </w:rPr>
        <w:t>,</w:t>
      </w:r>
      <w:r w:rsidR="009E59BE" w:rsidRPr="00B04BD2">
        <w:rPr>
          <w:rFonts w:ascii="Times New Roman" w:hAnsi="Times New Roman"/>
          <w:sz w:val="24"/>
        </w:rPr>
        <w:t xml:space="preserve"> as they are the means whereby the Habitats Directive is transposed into Irish law and</w:t>
      </w:r>
      <w:r w:rsidR="00F94D7B">
        <w:rPr>
          <w:rFonts w:ascii="Times New Roman" w:hAnsi="Times New Roman"/>
          <w:sz w:val="24"/>
        </w:rPr>
        <w:t>,</w:t>
      </w:r>
      <w:r w:rsidR="009E59BE" w:rsidRPr="00B04BD2">
        <w:rPr>
          <w:rFonts w:ascii="Times New Roman" w:hAnsi="Times New Roman"/>
          <w:sz w:val="24"/>
        </w:rPr>
        <w:t xml:space="preserve"> accordingly</w:t>
      </w:r>
      <w:r w:rsidR="00F94D7B">
        <w:rPr>
          <w:rFonts w:ascii="Times New Roman" w:hAnsi="Times New Roman"/>
          <w:sz w:val="24"/>
        </w:rPr>
        <w:t>,</w:t>
      </w:r>
      <w:r w:rsidR="009E59BE" w:rsidRPr="00B04BD2">
        <w:rPr>
          <w:rFonts w:ascii="Times New Roman" w:hAnsi="Times New Roman"/>
          <w:sz w:val="24"/>
        </w:rPr>
        <w:t xml:space="preserve"> they should be given a purpos</w:t>
      </w:r>
      <w:r w:rsidR="007D444A" w:rsidRPr="00B04BD2">
        <w:rPr>
          <w:rFonts w:ascii="Times New Roman" w:hAnsi="Times New Roman"/>
          <w:sz w:val="24"/>
        </w:rPr>
        <w:t>ive</w:t>
      </w:r>
      <w:r w:rsidR="009E59BE" w:rsidRPr="00B04BD2">
        <w:rPr>
          <w:rFonts w:ascii="Times New Roman" w:hAnsi="Times New Roman"/>
          <w:sz w:val="24"/>
        </w:rPr>
        <w:t xml:space="preserve"> interpretation. </w:t>
      </w:r>
      <w:r w:rsidR="00F94D7B">
        <w:rPr>
          <w:rFonts w:ascii="Times New Roman" w:hAnsi="Times New Roman"/>
          <w:sz w:val="24"/>
        </w:rPr>
        <w:t xml:space="preserve"> </w:t>
      </w:r>
      <w:r w:rsidR="00706678" w:rsidRPr="00B04BD2">
        <w:rPr>
          <w:rFonts w:ascii="Times New Roman" w:hAnsi="Times New Roman"/>
          <w:sz w:val="24"/>
        </w:rPr>
        <w:t xml:space="preserve">Such an interpretation </w:t>
      </w:r>
      <w:r w:rsidR="007D444A" w:rsidRPr="00B04BD2">
        <w:rPr>
          <w:rFonts w:ascii="Times New Roman" w:hAnsi="Times New Roman"/>
          <w:sz w:val="24"/>
        </w:rPr>
        <w:t>brings</w:t>
      </w:r>
      <w:r w:rsidR="00706678" w:rsidRPr="00B04BD2">
        <w:rPr>
          <w:rFonts w:ascii="Times New Roman" w:hAnsi="Times New Roman"/>
          <w:sz w:val="24"/>
        </w:rPr>
        <w:t xml:space="preserve"> the adoption of the NPF by the </w:t>
      </w:r>
      <w:r w:rsidR="007D444A" w:rsidRPr="00B04BD2">
        <w:rPr>
          <w:rFonts w:ascii="Times New Roman" w:hAnsi="Times New Roman"/>
          <w:sz w:val="24"/>
        </w:rPr>
        <w:t>g</w:t>
      </w:r>
      <w:r w:rsidR="00706678" w:rsidRPr="00B04BD2">
        <w:rPr>
          <w:rFonts w:ascii="Times New Roman" w:hAnsi="Times New Roman"/>
          <w:sz w:val="24"/>
        </w:rPr>
        <w:t>overnment</w:t>
      </w:r>
      <w:r w:rsidR="007D444A" w:rsidRPr="00B04BD2">
        <w:rPr>
          <w:rFonts w:ascii="Times New Roman" w:hAnsi="Times New Roman"/>
          <w:sz w:val="24"/>
        </w:rPr>
        <w:t xml:space="preserve"> within the scope of the Habitats Regulations and ensures that the application of the Directive is not (accidentally) avoided by an inadequate transposition of the Directive by the </w:t>
      </w:r>
      <w:r w:rsidR="00F25180" w:rsidRPr="00B04BD2">
        <w:rPr>
          <w:rFonts w:ascii="Times New Roman" w:hAnsi="Times New Roman"/>
          <w:sz w:val="24"/>
        </w:rPr>
        <w:t xml:space="preserve">Habitats </w:t>
      </w:r>
      <w:r w:rsidR="007D444A" w:rsidRPr="00B04BD2">
        <w:rPr>
          <w:rFonts w:ascii="Times New Roman" w:hAnsi="Times New Roman"/>
          <w:sz w:val="24"/>
        </w:rPr>
        <w:t>Regulations</w:t>
      </w:r>
      <w:r w:rsidR="00706678" w:rsidRPr="00B04BD2">
        <w:rPr>
          <w:rFonts w:ascii="Times New Roman" w:hAnsi="Times New Roman"/>
          <w:sz w:val="24"/>
        </w:rPr>
        <w:t>.</w:t>
      </w:r>
      <w:r w:rsidR="009E59BE" w:rsidRPr="00B04BD2">
        <w:rPr>
          <w:rFonts w:ascii="Times New Roman" w:hAnsi="Times New Roman"/>
          <w:sz w:val="24"/>
        </w:rPr>
        <w:t xml:space="preserve"> </w:t>
      </w:r>
    </w:p>
    <w:p w14:paraId="6B4FEB31" w14:textId="32C1AA8B" w:rsidR="007D0F26" w:rsidRDefault="009E59B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Excessive formalism in the context of the Habitats Directive is inconsistent with the spirit and purpose of EU environmental law.  In the context of the EIA Directive, in Case C-128/09 </w:t>
      </w:r>
      <w:proofErr w:type="spellStart"/>
      <w:r>
        <w:rPr>
          <w:rFonts w:ascii="Times New Roman" w:hAnsi="Times New Roman"/>
          <w:i/>
          <w:sz w:val="24"/>
        </w:rPr>
        <w:t>Boxus</w:t>
      </w:r>
      <w:proofErr w:type="spellEnd"/>
      <w:r>
        <w:rPr>
          <w:rFonts w:ascii="Times New Roman" w:hAnsi="Times New Roman"/>
          <w:i/>
          <w:sz w:val="24"/>
        </w:rPr>
        <w:t xml:space="preserve"> v. </w:t>
      </w:r>
      <w:proofErr w:type="spellStart"/>
      <w:r>
        <w:rPr>
          <w:rFonts w:ascii="Times New Roman" w:hAnsi="Times New Roman"/>
          <w:i/>
          <w:sz w:val="24"/>
        </w:rPr>
        <w:t>R</w:t>
      </w:r>
      <w:r>
        <w:rPr>
          <w:rFonts w:ascii="Times New Roman" w:hAnsi="Times New Roman" w:cs="Times New Roman"/>
          <w:i/>
          <w:sz w:val="24"/>
        </w:rPr>
        <w:t>é</w:t>
      </w:r>
      <w:r>
        <w:rPr>
          <w:rFonts w:ascii="Times New Roman" w:hAnsi="Times New Roman"/>
          <w:i/>
          <w:sz w:val="24"/>
        </w:rPr>
        <w:t>gion</w:t>
      </w:r>
      <w:proofErr w:type="spellEnd"/>
      <w:r>
        <w:rPr>
          <w:rFonts w:ascii="Times New Roman" w:hAnsi="Times New Roman"/>
          <w:i/>
          <w:sz w:val="24"/>
        </w:rPr>
        <w:t xml:space="preserve"> </w:t>
      </w:r>
      <w:proofErr w:type="spellStart"/>
      <w:r w:rsidR="00706678">
        <w:rPr>
          <w:rFonts w:ascii="Times New Roman" w:hAnsi="Times New Roman"/>
          <w:i/>
          <w:sz w:val="24"/>
        </w:rPr>
        <w:t>w</w:t>
      </w:r>
      <w:r>
        <w:rPr>
          <w:rFonts w:ascii="Times New Roman" w:hAnsi="Times New Roman"/>
          <w:i/>
          <w:sz w:val="24"/>
        </w:rPr>
        <w:t>allonne</w:t>
      </w:r>
      <w:proofErr w:type="spellEnd"/>
      <w:r w:rsidR="00F94D7B">
        <w:rPr>
          <w:rFonts w:ascii="Times New Roman" w:hAnsi="Times New Roman"/>
          <w:iCs/>
          <w:sz w:val="24"/>
        </w:rPr>
        <w:t>,</w:t>
      </w:r>
      <w:r>
        <w:rPr>
          <w:rFonts w:ascii="Times New Roman" w:hAnsi="Times New Roman"/>
          <w:i/>
          <w:sz w:val="24"/>
        </w:rPr>
        <w:t xml:space="preserve"> </w:t>
      </w:r>
      <w:r>
        <w:rPr>
          <w:rFonts w:ascii="Times New Roman" w:hAnsi="Times New Roman"/>
          <w:sz w:val="24"/>
        </w:rPr>
        <w:t xml:space="preserve">Advocate </w:t>
      </w:r>
      <w:r w:rsidR="00180B08">
        <w:rPr>
          <w:rFonts w:ascii="Times New Roman" w:hAnsi="Times New Roman"/>
          <w:sz w:val="24"/>
        </w:rPr>
        <w:t xml:space="preserve">General </w:t>
      </w:r>
      <w:proofErr w:type="spellStart"/>
      <w:r w:rsidR="00180B08">
        <w:rPr>
          <w:rFonts w:ascii="Times New Roman" w:hAnsi="Times New Roman"/>
          <w:sz w:val="24"/>
        </w:rPr>
        <w:t>Sharpston</w:t>
      </w:r>
      <w:proofErr w:type="spellEnd"/>
      <w:r w:rsidR="00180B08">
        <w:rPr>
          <w:rFonts w:ascii="Times New Roman" w:hAnsi="Times New Roman"/>
          <w:sz w:val="24"/>
        </w:rPr>
        <w:t xml:space="preserve"> stated that</w:t>
      </w:r>
      <w:r w:rsidR="007D0F26">
        <w:rPr>
          <w:rFonts w:ascii="Times New Roman" w:hAnsi="Times New Roman"/>
          <w:sz w:val="24"/>
        </w:rPr>
        <w:t>:</w:t>
      </w:r>
      <w:r w:rsidR="003E5F80">
        <w:rPr>
          <w:rFonts w:ascii="Times New Roman" w:hAnsi="Times New Roman"/>
          <w:sz w:val="24"/>
        </w:rPr>
        <w:t>-</w:t>
      </w:r>
    </w:p>
    <w:p w14:paraId="73FEA76A" w14:textId="2416ADD4" w:rsidR="00B41EF5" w:rsidRDefault="00180B08" w:rsidP="00CE02C2">
      <w:pPr>
        <w:pStyle w:val="ListParagraph"/>
        <w:spacing w:line="480" w:lineRule="auto"/>
        <w:ind w:left="567"/>
        <w:jc w:val="left"/>
        <w:rPr>
          <w:rFonts w:ascii="Times New Roman" w:hAnsi="Times New Roman"/>
          <w:sz w:val="24"/>
        </w:rPr>
      </w:pPr>
      <w:r>
        <w:rPr>
          <w:rFonts w:ascii="Times New Roman" w:hAnsi="Times New Roman"/>
          <w:i/>
          <w:sz w:val="24"/>
        </w:rPr>
        <w:t>“</w:t>
      </w:r>
      <w:r w:rsidR="003E5F80">
        <w:rPr>
          <w:rFonts w:ascii="Times New Roman" w:hAnsi="Times New Roman"/>
          <w:i/>
          <w:sz w:val="24"/>
        </w:rPr>
        <w:t xml:space="preserve">… </w:t>
      </w:r>
      <w:r>
        <w:rPr>
          <w:rFonts w:ascii="Times New Roman" w:hAnsi="Times New Roman"/>
          <w:i/>
          <w:sz w:val="24"/>
        </w:rPr>
        <w:t>[t]</w:t>
      </w:r>
      <w:r w:rsidR="00706678">
        <w:rPr>
          <w:rFonts w:ascii="Times New Roman" w:hAnsi="Times New Roman"/>
          <w:i/>
          <w:sz w:val="24"/>
        </w:rPr>
        <w:t>he</w:t>
      </w:r>
      <w:r>
        <w:rPr>
          <w:rFonts w:ascii="Times New Roman" w:hAnsi="Times New Roman"/>
          <w:i/>
          <w:sz w:val="24"/>
        </w:rPr>
        <w:t xml:space="preserve"> </w:t>
      </w:r>
      <w:r w:rsidR="007D0F26">
        <w:rPr>
          <w:rFonts w:ascii="Times New Roman" w:hAnsi="Times New Roman"/>
          <w:i/>
          <w:sz w:val="24"/>
        </w:rPr>
        <w:t>EIA</w:t>
      </w:r>
      <w:r w:rsidR="007D0F26" w:rsidRPr="007D0F26">
        <w:rPr>
          <w:rFonts w:ascii="Times New Roman" w:hAnsi="Times New Roman"/>
          <w:i/>
          <w:sz w:val="24"/>
        </w:rPr>
        <w:t xml:space="preserve"> Directive is not about formalism. It is concerned with providing effective EIAs for all major projects; and, in its amended form, with ensuring adequate public participation in the decision-making process.</w:t>
      </w:r>
      <w:r w:rsidR="007D0F26">
        <w:rPr>
          <w:rFonts w:ascii="Times New Roman" w:hAnsi="Times New Roman"/>
          <w:i/>
          <w:sz w:val="24"/>
        </w:rPr>
        <w:t xml:space="preserve">” </w:t>
      </w:r>
    </w:p>
    <w:p w14:paraId="0B698E03" w14:textId="619BD764" w:rsidR="00D063B5" w:rsidRPr="00D063B5" w:rsidRDefault="007D0F2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Cases C-43/18 </w:t>
      </w:r>
      <w:r w:rsidR="005C35DD">
        <w:rPr>
          <w:rFonts w:ascii="Times New Roman" w:hAnsi="Times New Roman"/>
          <w:bCs/>
          <w:i/>
          <w:sz w:val="24"/>
        </w:rPr>
        <w:t xml:space="preserve">CFE SA v. </w:t>
      </w:r>
      <w:proofErr w:type="spellStart"/>
      <w:r w:rsidR="005C35DD" w:rsidRPr="003E5F80">
        <w:rPr>
          <w:rFonts w:ascii="Times New Roman" w:hAnsi="Times New Roman"/>
          <w:bCs/>
          <w:i/>
          <w:sz w:val="24"/>
        </w:rPr>
        <w:t>Région</w:t>
      </w:r>
      <w:proofErr w:type="spellEnd"/>
      <w:r w:rsidR="005C35DD" w:rsidRPr="003E5F80">
        <w:rPr>
          <w:rFonts w:ascii="Times New Roman" w:hAnsi="Times New Roman"/>
          <w:bCs/>
          <w:i/>
          <w:sz w:val="24"/>
        </w:rPr>
        <w:t xml:space="preserve"> de </w:t>
      </w:r>
      <w:proofErr w:type="spellStart"/>
      <w:r w:rsidR="005C35DD" w:rsidRPr="003E5F80">
        <w:rPr>
          <w:rFonts w:ascii="Times New Roman" w:hAnsi="Times New Roman"/>
          <w:bCs/>
          <w:i/>
          <w:sz w:val="24"/>
        </w:rPr>
        <w:t>Bruxelles-Capitale</w:t>
      </w:r>
      <w:proofErr w:type="spellEnd"/>
      <w:r w:rsidR="005C35DD">
        <w:rPr>
          <w:rFonts w:ascii="Times New Roman" w:hAnsi="Times New Roman"/>
          <w:bCs/>
          <w:i/>
          <w:sz w:val="24"/>
        </w:rPr>
        <w:t xml:space="preserve"> </w:t>
      </w:r>
      <w:r>
        <w:rPr>
          <w:rFonts w:ascii="Times New Roman" w:hAnsi="Times New Roman"/>
          <w:sz w:val="24"/>
        </w:rPr>
        <w:t xml:space="preserve">and C-321/18 </w:t>
      </w:r>
      <w:r w:rsidR="00D063B5">
        <w:rPr>
          <w:rFonts w:ascii="Times New Roman" w:hAnsi="Times New Roman"/>
          <w:bCs/>
          <w:i/>
          <w:sz w:val="24"/>
        </w:rPr>
        <w:t xml:space="preserve">Terre </w:t>
      </w:r>
      <w:proofErr w:type="spellStart"/>
      <w:r w:rsidR="00D063B5">
        <w:rPr>
          <w:rFonts w:ascii="Times New Roman" w:hAnsi="Times New Roman"/>
          <w:bCs/>
          <w:i/>
          <w:sz w:val="24"/>
        </w:rPr>
        <w:t>wallone</w:t>
      </w:r>
      <w:proofErr w:type="spellEnd"/>
      <w:r w:rsidR="005C35DD">
        <w:rPr>
          <w:rFonts w:ascii="Times New Roman" w:hAnsi="Times New Roman"/>
          <w:bCs/>
          <w:i/>
          <w:sz w:val="24"/>
        </w:rPr>
        <w:t xml:space="preserve"> ASBL</w:t>
      </w:r>
      <w:r w:rsidR="003E5F80">
        <w:rPr>
          <w:rFonts w:ascii="Times New Roman" w:hAnsi="Times New Roman"/>
          <w:bCs/>
          <w:i/>
          <w:sz w:val="24"/>
        </w:rPr>
        <w:t xml:space="preserve"> </w:t>
      </w:r>
      <w:r w:rsidR="005C35DD">
        <w:rPr>
          <w:rFonts w:ascii="Times New Roman" w:hAnsi="Times New Roman"/>
          <w:bCs/>
          <w:i/>
          <w:sz w:val="24"/>
        </w:rPr>
        <w:t xml:space="preserve">v. </w:t>
      </w:r>
      <w:proofErr w:type="spellStart"/>
      <w:r w:rsidR="003E5F80" w:rsidRPr="003E5F80">
        <w:rPr>
          <w:rFonts w:ascii="Times New Roman" w:hAnsi="Times New Roman"/>
          <w:bCs/>
          <w:i/>
          <w:sz w:val="24"/>
        </w:rPr>
        <w:t>Région</w:t>
      </w:r>
      <w:proofErr w:type="spellEnd"/>
      <w:r w:rsidR="003E5F80" w:rsidRPr="003E5F80">
        <w:rPr>
          <w:rFonts w:ascii="Times New Roman" w:hAnsi="Times New Roman"/>
          <w:bCs/>
          <w:i/>
          <w:sz w:val="24"/>
        </w:rPr>
        <w:t xml:space="preserve"> </w:t>
      </w:r>
      <w:proofErr w:type="spellStart"/>
      <w:r w:rsidR="003E5F80" w:rsidRPr="003E5F80">
        <w:rPr>
          <w:rFonts w:ascii="Times New Roman" w:hAnsi="Times New Roman"/>
          <w:bCs/>
          <w:i/>
          <w:sz w:val="24"/>
        </w:rPr>
        <w:t>wallonne</w:t>
      </w:r>
      <w:proofErr w:type="spellEnd"/>
      <w:r w:rsidR="00706678">
        <w:rPr>
          <w:rFonts w:ascii="Times New Roman" w:hAnsi="Times New Roman"/>
          <w:bCs/>
          <w:i/>
          <w:sz w:val="24"/>
        </w:rPr>
        <w:t>,</w:t>
      </w:r>
      <w:r w:rsidR="007D444A">
        <w:rPr>
          <w:rFonts w:ascii="Times New Roman" w:hAnsi="Times New Roman"/>
          <w:bCs/>
          <w:i/>
          <w:sz w:val="24"/>
        </w:rPr>
        <w:t xml:space="preserve"> </w:t>
      </w:r>
      <w:r w:rsidR="00D063B5">
        <w:rPr>
          <w:rFonts w:ascii="Times New Roman" w:hAnsi="Times New Roman"/>
          <w:bCs/>
          <w:sz w:val="24"/>
        </w:rPr>
        <w:t xml:space="preserve">Advocate General </w:t>
      </w:r>
      <w:proofErr w:type="spellStart"/>
      <w:r w:rsidR="00D063B5">
        <w:rPr>
          <w:rFonts w:ascii="Times New Roman" w:hAnsi="Times New Roman"/>
          <w:bCs/>
          <w:sz w:val="24"/>
        </w:rPr>
        <w:t>Kokott</w:t>
      </w:r>
      <w:proofErr w:type="spellEnd"/>
      <w:r w:rsidR="00D063B5">
        <w:rPr>
          <w:rFonts w:ascii="Times New Roman" w:hAnsi="Times New Roman"/>
          <w:bCs/>
          <w:sz w:val="24"/>
        </w:rPr>
        <w:t xml:space="preserve"> was of the view that designation of European sites ought to have been the subject of an Environmental Assessment under the SEA Directive but nonetheless held</w:t>
      </w:r>
      <w:r w:rsidR="00F94D7B">
        <w:rPr>
          <w:rFonts w:ascii="Times New Roman" w:hAnsi="Times New Roman"/>
          <w:bCs/>
          <w:sz w:val="24"/>
        </w:rPr>
        <w:t>, at para. 104</w:t>
      </w:r>
      <w:r w:rsidR="00D063B5">
        <w:rPr>
          <w:rFonts w:ascii="Times New Roman" w:hAnsi="Times New Roman"/>
          <w:bCs/>
          <w:sz w:val="24"/>
        </w:rPr>
        <w:t xml:space="preserve"> that:</w:t>
      </w:r>
      <w:r w:rsidR="005C35DD">
        <w:rPr>
          <w:rFonts w:ascii="Times New Roman" w:hAnsi="Times New Roman"/>
          <w:bCs/>
          <w:sz w:val="24"/>
        </w:rPr>
        <w:t>-</w:t>
      </w:r>
    </w:p>
    <w:p w14:paraId="6B79D058" w14:textId="340D0220" w:rsidR="00527206" w:rsidRDefault="00D063B5" w:rsidP="00CE02C2">
      <w:pPr>
        <w:pStyle w:val="ListParagraph"/>
        <w:spacing w:line="480" w:lineRule="auto"/>
        <w:ind w:left="567"/>
        <w:jc w:val="left"/>
        <w:rPr>
          <w:rFonts w:ascii="Times New Roman" w:hAnsi="Times New Roman"/>
          <w:sz w:val="24"/>
        </w:rPr>
      </w:pPr>
      <w:r>
        <w:rPr>
          <w:rFonts w:ascii="Times New Roman" w:hAnsi="Times New Roman"/>
          <w:bCs/>
          <w:i/>
          <w:sz w:val="24"/>
        </w:rPr>
        <w:t>“…</w:t>
      </w:r>
      <w:r w:rsidRPr="00D063B5">
        <w:rPr>
          <w:rFonts w:ascii="Times New Roman" w:hAnsi="Times New Roman"/>
          <w:bCs/>
          <w:i/>
          <w:sz w:val="24"/>
        </w:rPr>
        <w:t xml:space="preserve">it will have to be examined in any case whether or not the requirements of the SEA Directive </w:t>
      </w:r>
      <w:r>
        <w:rPr>
          <w:rFonts w:ascii="Times New Roman" w:hAnsi="Times New Roman"/>
          <w:bCs/>
          <w:i/>
          <w:sz w:val="24"/>
        </w:rPr>
        <w:t>were nevertheless complied with…”</w:t>
      </w:r>
      <w:r w:rsidR="005C35DD">
        <w:rPr>
          <w:rFonts w:ascii="Times New Roman" w:hAnsi="Times New Roman"/>
          <w:bCs/>
          <w:sz w:val="24"/>
        </w:rPr>
        <w:t>.</w:t>
      </w:r>
      <w:r>
        <w:rPr>
          <w:rFonts w:ascii="Times New Roman" w:hAnsi="Times New Roman"/>
          <w:bCs/>
          <w:sz w:val="24"/>
        </w:rPr>
        <w:t xml:space="preserve"> </w:t>
      </w:r>
    </w:p>
    <w:p w14:paraId="3B3AB635" w14:textId="3428FB49" w:rsidR="00D063B5" w:rsidRDefault="00D063B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She had regard to the purpose of the SEA Directive and emphasised that what was important was examining the substance of what was done, rather than quashing decisions on the basis of formulistic non-compliance with any EU </w:t>
      </w:r>
      <w:r w:rsidR="007664C1">
        <w:rPr>
          <w:rFonts w:ascii="Times New Roman" w:hAnsi="Times New Roman"/>
          <w:sz w:val="24"/>
        </w:rPr>
        <w:t>e</w:t>
      </w:r>
      <w:r>
        <w:rPr>
          <w:rFonts w:ascii="Times New Roman" w:hAnsi="Times New Roman"/>
          <w:sz w:val="24"/>
        </w:rPr>
        <w:t xml:space="preserve">nvironmental </w:t>
      </w:r>
      <w:r w:rsidR="007664C1">
        <w:rPr>
          <w:rFonts w:ascii="Times New Roman" w:hAnsi="Times New Roman"/>
          <w:sz w:val="24"/>
        </w:rPr>
        <w:t>a</w:t>
      </w:r>
      <w:r>
        <w:rPr>
          <w:rFonts w:ascii="Times New Roman" w:hAnsi="Times New Roman"/>
          <w:sz w:val="24"/>
        </w:rPr>
        <w:t xml:space="preserve">ssessment </w:t>
      </w:r>
      <w:r w:rsidR="007664C1">
        <w:rPr>
          <w:rFonts w:ascii="Times New Roman" w:hAnsi="Times New Roman"/>
          <w:sz w:val="24"/>
        </w:rPr>
        <w:t>r</w:t>
      </w:r>
      <w:r>
        <w:rPr>
          <w:rFonts w:ascii="Times New Roman" w:hAnsi="Times New Roman"/>
          <w:sz w:val="24"/>
        </w:rPr>
        <w:t xml:space="preserve">equirement.  </w:t>
      </w:r>
    </w:p>
    <w:p w14:paraId="566CDB01" w14:textId="7262B0AE" w:rsidR="00635E1A" w:rsidRDefault="00D063B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rejection of formulism has been followed in the High Court.  In </w:t>
      </w:r>
      <w:proofErr w:type="spellStart"/>
      <w:r w:rsidR="008B475A">
        <w:rPr>
          <w:rFonts w:ascii="Times New Roman" w:hAnsi="Times New Roman" w:cs="Times New Roman"/>
          <w:i/>
          <w:sz w:val="24"/>
        </w:rPr>
        <w:t>Ó</w:t>
      </w:r>
      <w:r w:rsidR="008B475A">
        <w:rPr>
          <w:rFonts w:ascii="Times New Roman" w:hAnsi="Times New Roman"/>
          <w:i/>
          <w:sz w:val="24"/>
        </w:rPr>
        <w:t>’</w:t>
      </w:r>
      <w:r>
        <w:rPr>
          <w:rFonts w:ascii="Times New Roman" w:hAnsi="Times New Roman"/>
          <w:i/>
          <w:sz w:val="24"/>
        </w:rPr>
        <w:t>Gr</w:t>
      </w:r>
      <w:r w:rsidR="008B475A">
        <w:rPr>
          <w:rFonts w:ascii="Times New Roman" w:hAnsi="Times New Roman" w:cs="Times New Roman"/>
          <w:i/>
          <w:sz w:val="24"/>
        </w:rPr>
        <w:t>í</w:t>
      </w:r>
      <w:r>
        <w:rPr>
          <w:rFonts w:ascii="Times New Roman" w:hAnsi="Times New Roman"/>
          <w:i/>
          <w:sz w:val="24"/>
        </w:rPr>
        <w:t>anna</w:t>
      </w:r>
      <w:proofErr w:type="spellEnd"/>
      <w:r>
        <w:rPr>
          <w:rFonts w:ascii="Times New Roman" w:hAnsi="Times New Roman"/>
          <w:i/>
          <w:sz w:val="24"/>
        </w:rPr>
        <w:t xml:space="preserve"> v. An Bord Pleanála (No. 2) </w:t>
      </w:r>
      <w:r>
        <w:rPr>
          <w:rFonts w:ascii="Times New Roman" w:hAnsi="Times New Roman"/>
          <w:sz w:val="24"/>
        </w:rPr>
        <w:t>[2017] IE</w:t>
      </w:r>
      <w:r w:rsidR="00635E1A">
        <w:rPr>
          <w:rFonts w:ascii="Times New Roman" w:hAnsi="Times New Roman"/>
          <w:sz w:val="24"/>
        </w:rPr>
        <w:t>HC 7</w:t>
      </w:r>
      <w:r w:rsidR="005C35DD">
        <w:rPr>
          <w:rFonts w:ascii="Times New Roman" w:hAnsi="Times New Roman"/>
          <w:sz w:val="24"/>
        </w:rPr>
        <w:t>,</w:t>
      </w:r>
      <w:r w:rsidR="00635E1A">
        <w:rPr>
          <w:rFonts w:ascii="Times New Roman" w:hAnsi="Times New Roman"/>
          <w:sz w:val="24"/>
        </w:rPr>
        <w:t xml:space="preserve"> McGovern J. stated:</w:t>
      </w:r>
      <w:r w:rsidR="005C35DD">
        <w:rPr>
          <w:rFonts w:ascii="Times New Roman" w:hAnsi="Times New Roman"/>
          <w:sz w:val="24"/>
        </w:rPr>
        <w:t>-</w:t>
      </w:r>
    </w:p>
    <w:p w14:paraId="291AA7B5" w14:textId="40054CB7" w:rsidR="007D0F26" w:rsidRDefault="00635E1A" w:rsidP="00CE02C2">
      <w:pPr>
        <w:pStyle w:val="ListParagraph"/>
        <w:spacing w:line="480" w:lineRule="auto"/>
        <w:ind w:left="567"/>
        <w:jc w:val="left"/>
        <w:rPr>
          <w:rFonts w:ascii="Times New Roman" w:hAnsi="Times New Roman"/>
          <w:sz w:val="24"/>
        </w:rPr>
      </w:pPr>
      <w:r>
        <w:rPr>
          <w:rFonts w:ascii="Times New Roman" w:hAnsi="Times New Roman"/>
          <w:i/>
          <w:sz w:val="24"/>
        </w:rPr>
        <w:t>“</w:t>
      </w:r>
      <w:r w:rsidRPr="00635E1A">
        <w:rPr>
          <w:rFonts w:ascii="Times New Roman" w:hAnsi="Times New Roman"/>
          <w:i/>
          <w:sz w:val="24"/>
        </w:rPr>
        <w:t xml:space="preserve">I entirely agree with the opinion of Advocate General </w:t>
      </w:r>
      <w:proofErr w:type="spellStart"/>
      <w:r w:rsidRPr="00635E1A">
        <w:rPr>
          <w:rFonts w:ascii="Times New Roman" w:hAnsi="Times New Roman"/>
          <w:i/>
          <w:sz w:val="24"/>
        </w:rPr>
        <w:t>Sharpston</w:t>
      </w:r>
      <w:proofErr w:type="spellEnd"/>
      <w:r w:rsidRPr="00635E1A">
        <w:rPr>
          <w:rFonts w:ascii="Times New Roman" w:hAnsi="Times New Roman"/>
          <w:i/>
          <w:sz w:val="24"/>
        </w:rPr>
        <w:t xml:space="preserve"> in Antoine </w:t>
      </w:r>
      <w:proofErr w:type="spellStart"/>
      <w:r w:rsidRPr="00635E1A">
        <w:rPr>
          <w:rFonts w:ascii="Times New Roman" w:hAnsi="Times New Roman"/>
          <w:i/>
          <w:sz w:val="24"/>
        </w:rPr>
        <w:t>Boxus</w:t>
      </w:r>
      <w:proofErr w:type="spellEnd"/>
      <w:r w:rsidRPr="00635E1A">
        <w:rPr>
          <w:rFonts w:ascii="Times New Roman" w:hAnsi="Times New Roman"/>
          <w:i/>
          <w:sz w:val="24"/>
        </w:rPr>
        <w:t xml:space="preserve"> and Ors. v. </w:t>
      </w:r>
      <w:proofErr w:type="spellStart"/>
      <w:r w:rsidRPr="00635E1A">
        <w:rPr>
          <w:rFonts w:ascii="Times New Roman" w:hAnsi="Times New Roman"/>
          <w:i/>
          <w:sz w:val="24"/>
        </w:rPr>
        <w:t>Région</w:t>
      </w:r>
      <w:proofErr w:type="spellEnd"/>
      <w:r w:rsidRPr="00635E1A">
        <w:rPr>
          <w:rFonts w:ascii="Times New Roman" w:hAnsi="Times New Roman"/>
          <w:i/>
          <w:sz w:val="24"/>
        </w:rPr>
        <w:t xml:space="preserve"> </w:t>
      </w:r>
      <w:proofErr w:type="spellStart"/>
      <w:r w:rsidRPr="00635E1A">
        <w:rPr>
          <w:rFonts w:ascii="Times New Roman" w:hAnsi="Times New Roman"/>
          <w:i/>
          <w:sz w:val="24"/>
        </w:rPr>
        <w:t>wallonne</w:t>
      </w:r>
      <w:proofErr w:type="spellEnd"/>
      <w:r w:rsidRPr="00635E1A">
        <w:rPr>
          <w:rFonts w:ascii="Times New Roman" w:hAnsi="Times New Roman"/>
          <w:i/>
          <w:sz w:val="24"/>
        </w:rPr>
        <w:t xml:space="preserve"> where she stated that the E.I.A. Directive is not about formalism but is concerned with providing effective E.I.A</w:t>
      </w:r>
      <w:r w:rsidR="00F25180">
        <w:rPr>
          <w:rFonts w:ascii="Times New Roman" w:hAnsi="Times New Roman"/>
          <w:i/>
          <w:sz w:val="24"/>
        </w:rPr>
        <w:t>.</w:t>
      </w:r>
      <w:r w:rsidRPr="00635E1A">
        <w:rPr>
          <w:rFonts w:ascii="Times New Roman" w:hAnsi="Times New Roman"/>
          <w:i/>
          <w:sz w:val="24"/>
        </w:rPr>
        <w:t>s for all major projects and with ensuring adequate public participation in the decision making process. The principle of effectiveness is not a mandate for construing the Directive in the most onerous manner possible. This involves the courts being astute to ensure the objectives of the Directive are met but not in an overly pedantic way.</w:t>
      </w:r>
      <w:r>
        <w:rPr>
          <w:rFonts w:ascii="Times New Roman" w:hAnsi="Times New Roman"/>
          <w:i/>
          <w:sz w:val="24"/>
        </w:rPr>
        <w:t>”</w:t>
      </w:r>
      <w:r w:rsidR="00D063B5">
        <w:rPr>
          <w:rFonts w:ascii="Times New Roman" w:hAnsi="Times New Roman"/>
          <w:i/>
          <w:sz w:val="24"/>
        </w:rPr>
        <w:t xml:space="preserve"> </w:t>
      </w:r>
      <w:r w:rsidR="00D063B5">
        <w:rPr>
          <w:rFonts w:ascii="Times New Roman" w:hAnsi="Times New Roman"/>
          <w:sz w:val="24"/>
        </w:rPr>
        <w:t xml:space="preserve"> </w:t>
      </w:r>
    </w:p>
    <w:p w14:paraId="7EA08545" w14:textId="4F2105A9" w:rsidR="000336AF" w:rsidRDefault="000336A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In </w:t>
      </w:r>
      <w:r>
        <w:rPr>
          <w:rFonts w:ascii="Times New Roman" w:hAnsi="Times New Roman"/>
          <w:i/>
          <w:sz w:val="24"/>
        </w:rPr>
        <w:t xml:space="preserve">Kelly v. </w:t>
      </w:r>
      <w:r w:rsidRPr="000336AF">
        <w:rPr>
          <w:rFonts w:ascii="Times New Roman" w:hAnsi="Times New Roman"/>
          <w:i/>
          <w:sz w:val="24"/>
        </w:rPr>
        <w:t>An Bord Pleanála</w:t>
      </w:r>
      <w:r>
        <w:rPr>
          <w:rFonts w:ascii="Times New Roman" w:hAnsi="Times New Roman"/>
          <w:i/>
          <w:sz w:val="24"/>
        </w:rPr>
        <w:t xml:space="preserve"> </w:t>
      </w:r>
      <w:r>
        <w:rPr>
          <w:rFonts w:ascii="Times New Roman" w:hAnsi="Times New Roman"/>
          <w:sz w:val="24"/>
        </w:rPr>
        <w:t>[2019] IEHC 84</w:t>
      </w:r>
      <w:r w:rsidR="007664C1">
        <w:rPr>
          <w:rFonts w:ascii="Times New Roman" w:hAnsi="Times New Roman"/>
          <w:sz w:val="24"/>
        </w:rPr>
        <w:t>,</w:t>
      </w:r>
      <w:r>
        <w:rPr>
          <w:rFonts w:ascii="Times New Roman" w:hAnsi="Times New Roman"/>
          <w:sz w:val="24"/>
        </w:rPr>
        <w:t xml:space="preserve"> Barniville J. agreed with the dicta of McGovern J. rejecting </w:t>
      </w:r>
      <w:r>
        <w:rPr>
          <w:rFonts w:ascii="Times New Roman" w:hAnsi="Times New Roman"/>
          <w:i/>
          <w:sz w:val="24"/>
        </w:rPr>
        <w:t xml:space="preserve">“an excessive degree of formalism” </w:t>
      </w:r>
      <w:r>
        <w:rPr>
          <w:rFonts w:ascii="Times New Roman" w:hAnsi="Times New Roman"/>
          <w:sz w:val="24"/>
        </w:rPr>
        <w:t xml:space="preserve">in favour </w:t>
      </w:r>
      <w:r w:rsidR="008B475A">
        <w:rPr>
          <w:rFonts w:ascii="Times New Roman" w:hAnsi="Times New Roman"/>
          <w:sz w:val="24"/>
        </w:rPr>
        <w:t xml:space="preserve">of </w:t>
      </w:r>
      <w:r>
        <w:rPr>
          <w:rFonts w:ascii="Times New Roman" w:hAnsi="Times New Roman"/>
          <w:sz w:val="24"/>
        </w:rPr>
        <w:t xml:space="preserve">looking at the substance of an AA Screening Report and the details of the Inspector’s Report. </w:t>
      </w:r>
      <w:r w:rsidR="004574F1">
        <w:rPr>
          <w:rFonts w:ascii="Times New Roman" w:hAnsi="Times New Roman"/>
          <w:sz w:val="24"/>
        </w:rPr>
        <w:t xml:space="preserve"> </w:t>
      </w:r>
      <w:r w:rsidR="00706678">
        <w:rPr>
          <w:rFonts w:ascii="Times New Roman" w:hAnsi="Times New Roman"/>
          <w:sz w:val="24"/>
        </w:rPr>
        <w:t xml:space="preserve">I accept that the approach of the High Court to the EIA Directive and the Habitats Directive was correct and </w:t>
      </w:r>
      <w:r w:rsidR="006C3CB4">
        <w:rPr>
          <w:rFonts w:ascii="Times New Roman" w:hAnsi="Times New Roman"/>
          <w:sz w:val="24"/>
        </w:rPr>
        <w:t>I adopt it here</w:t>
      </w:r>
      <w:r w:rsidR="00706678">
        <w:rPr>
          <w:rFonts w:ascii="Times New Roman" w:hAnsi="Times New Roman"/>
          <w:sz w:val="24"/>
        </w:rPr>
        <w:t>.</w:t>
      </w:r>
    </w:p>
    <w:p w14:paraId="6F25A2F2" w14:textId="40E30760" w:rsidR="000336AF" w:rsidRDefault="000336A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w:t>
      </w:r>
      <w:r w:rsidR="00706678">
        <w:rPr>
          <w:rFonts w:ascii="Times New Roman" w:hAnsi="Times New Roman"/>
          <w:sz w:val="24"/>
        </w:rPr>
        <w:t>t follows</w:t>
      </w:r>
      <w:r>
        <w:rPr>
          <w:rFonts w:ascii="Times New Roman" w:hAnsi="Times New Roman"/>
          <w:sz w:val="24"/>
        </w:rPr>
        <w:t xml:space="preserve"> that the proper interpretation of </w:t>
      </w:r>
      <w:r>
        <w:rPr>
          <w:rFonts w:ascii="Times New Roman" w:hAnsi="Times New Roman"/>
          <w:i/>
          <w:sz w:val="24"/>
        </w:rPr>
        <w:t>“</w:t>
      </w:r>
      <w:r w:rsidR="00706678">
        <w:rPr>
          <w:rFonts w:ascii="Times New Roman" w:hAnsi="Times New Roman"/>
          <w:i/>
          <w:sz w:val="24"/>
        </w:rPr>
        <w:t>p</w:t>
      </w:r>
      <w:r>
        <w:rPr>
          <w:rFonts w:ascii="Times New Roman" w:hAnsi="Times New Roman"/>
          <w:i/>
          <w:sz w:val="24"/>
        </w:rPr>
        <w:t xml:space="preserve">ublic </w:t>
      </w:r>
      <w:r w:rsidR="00706678">
        <w:rPr>
          <w:rFonts w:ascii="Times New Roman" w:hAnsi="Times New Roman"/>
          <w:i/>
          <w:sz w:val="24"/>
        </w:rPr>
        <w:t>a</w:t>
      </w:r>
      <w:r>
        <w:rPr>
          <w:rFonts w:ascii="Times New Roman" w:hAnsi="Times New Roman"/>
          <w:i/>
          <w:sz w:val="24"/>
        </w:rPr>
        <w:t xml:space="preserve">uthority” </w:t>
      </w:r>
      <w:r>
        <w:rPr>
          <w:rFonts w:ascii="Times New Roman" w:hAnsi="Times New Roman"/>
          <w:sz w:val="24"/>
        </w:rPr>
        <w:t xml:space="preserve">in the Habitats Regulations includes the </w:t>
      </w:r>
      <w:r w:rsidR="006C3CB4">
        <w:rPr>
          <w:rFonts w:ascii="Times New Roman" w:hAnsi="Times New Roman"/>
          <w:sz w:val="24"/>
        </w:rPr>
        <w:t>g</w:t>
      </w:r>
      <w:r>
        <w:rPr>
          <w:rFonts w:ascii="Times New Roman" w:hAnsi="Times New Roman"/>
          <w:sz w:val="24"/>
        </w:rPr>
        <w:t xml:space="preserve">overnment and thus the </w:t>
      </w:r>
      <w:r w:rsidR="006C3CB4">
        <w:rPr>
          <w:rFonts w:ascii="Times New Roman" w:hAnsi="Times New Roman"/>
          <w:sz w:val="24"/>
        </w:rPr>
        <w:t>g</w:t>
      </w:r>
      <w:r>
        <w:rPr>
          <w:rFonts w:ascii="Times New Roman" w:hAnsi="Times New Roman"/>
          <w:sz w:val="24"/>
        </w:rPr>
        <w:t xml:space="preserve">overnment had competence under the Regulations to make the AA </w:t>
      </w:r>
      <w:r w:rsidR="007664C1">
        <w:rPr>
          <w:rFonts w:ascii="Times New Roman" w:hAnsi="Times New Roman"/>
          <w:sz w:val="24"/>
        </w:rPr>
        <w:t>d</w:t>
      </w:r>
      <w:r>
        <w:rPr>
          <w:rFonts w:ascii="Times New Roman" w:hAnsi="Times New Roman"/>
          <w:sz w:val="24"/>
        </w:rPr>
        <w:t xml:space="preserve">etermination prior to adopting the NPF on 29 May 2018. </w:t>
      </w:r>
      <w:r w:rsidR="00706678">
        <w:rPr>
          <w:rFonts w:ascii="Times New Roman" w:hAnsi="Times New Roman"/>
          <w:sz w:val="24"/>
        </w:rPr>
        <w:t>This ground of objection to the validity of the decision of 29 May 2018 must be rejected.</w:t>
      </w:r>
      <w:r>
        <w:rPr>
          <w:rFonts w:ascii="Times New Roman" w:hAnsi="Times New Roman"/>
          <w:sz w:val="24"/>
        </w:rPr>
        <w:t xml:space="preserve"> </w:t>
      </w:r>
    </w:p>
    <w:p w14:paraId="11E919EC" w14:textId="2A53D161" w:rsidR="000336AF" w:rsidRDefault="00706678"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Separately, t</w:t>
      </w:r>
      <w:r w:rsidR="000336AF">
        <w:rPr>
          <w:rFonts w:ascii="Times New Roman" w:hAnsi="Times New Roman"/>
          <w:sz w:val="24"/>
        </w:rPr>
        <w:t xml:space="preserve">he applicant argues that the decision of 29 May 2018 is not a decision to </w:t>
      </w:r>
      <w:r w:rsidR="000336AF" w:rsidRPr="006C3CB4">
        <w:rPr>
          <w:rFonts w:ascii="Times New Roman" w:hAnsi="Times New Roman"/>
          <w:i/>
          <w:sz w:val="24"/>
        </w:rPr>
        <w:t>adopt</w:t>
      </w:r>
      <w:r w:rsidR="000336AF">
        <w:rPr>
          <w:rFonts w:ascii="Times New Roman" w:hAnsi="Times New Roman"/>
          <w:sz w:val="24"/>
        </w:rPr>
        <w:t xml:space="preserve"> the NPF as it is expressly a decision to </w:t>
      </w:r>
      <w:r w:rsidR="000336AF">
        <w:rPr>
          <w:rFonts w:ascii="Times New Roman" w:hAnsi="Times New Roman"/>
          <w:i/>
          <w:sz w:val="24"/>
        </w:rPr>
        <w:t>“reaffirm the previous Government decision of 16 February 2018 to adopt and publish the [NPF]”</w:t>
      </w:r>
      <w:r w:rsidR="000336AF">
        <w:rPr>
          <w:rFonts w:ascii="Times New Roman" w:hAnsi="Times New Roman"/>
          <w:sz w:val="24"/>
        </w:rPr>
        <w:t>.  It submits that</w:t>
      </w:r>
      <w:r w:rsidR="007664C1">
        <w:rPr>
          <w:rFonts w:ascii="Times New Roman" w:hAnsi="Times New Roman"/>
          <w:sz w:val="24"/>
        </w:rPr>
        <w:t>,</w:t>
      </w:r>
      <w:r w:rsidR="000336AF">
        <w:rPr>
          <w:rFonts w:ascii="Times New Roman" w:hAnsi="Times New Roman"/>
          <w:sz w:val="24"/>
        </w:rPr>
        <w:t xml:space="preserve"> as the decision of 16 February 2018 is void, the reaffirmation of a void decision is likewise void.</w:t>
      </w:r>
    </w:p>
    <w:p w14:paraId="36943DE3" w14:textId="2BB94524" w:rsidR="00D063B5" w:rsidRDefault="000336A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decision on 29 May 2018 to </w:t>
      </w:r>
      <w:r>
        <w:rPr>
          <w:rFonts w:ascii="Times New Roman" w:hAnsi="Times New Roman"/>
          <w:i/>
          <w:sz w:val="24"/>
        </w:rPr>
        <w:t xml:space="preserve">“reaffirm” </w:t>
      </w:r>
      <w:r>
        <w:rPr>
          <w:rFonts w:ascii="Times New Roman" w:hAnsi="Times New Roman"/>
          <w:sz w:val="24"/>
        </w:rPr>
        <w:t xml:space="preserve">the NPF adopted by the </w:t>
      </w:r>
      <w:r w:rsidR="006C3CB4">
        <w:rPr>
          <w:rFonts w:ascii="Times New Roman" w:hAnsi="Times New Roman"/>
          <w:sz w:val="24"/>
        </w:rPr>
        <w:t>g</w:t>
      </w:r>
      <w:r>
        <w:rPr>
          <w:rFonts w:ascii="Times New Roman" w:hAnsi="Times New Roman"/>
          <w:sz w:val="24"/>
        </w:rPr>
        <w:t xml:space="preserve">overnment on 16 February 2018 is to be seen in the context of what occurred post-16 February 2018.  The very fact that the matter was put back on the </w:t>
      </w:r>
      <w:r w:rsidR="006C3CB4">
        <w:rPr>
          <w:rFonts w:ascii="Times New Roman" w:hAnsi="Times New Roman"/>
          <w:sz w:val="24"/>
        </w:rPr>
        <w:t>go</w:t>
      </w:r>
      <w:r>
        <w:rPr>
          <w:rFonts w:ascii="Times New Roman" w:hAnsi="Times New Roman"/>
          <w:sz w:val="24"/>
        </w:rPr>
        <w:t xml:space="preserve">vernment agenda for a further decision indicates that </w:t>
      </w:r>
      <w:r w:rsidR="00706678">
        <w:rPr>
          <w:rFonts w:ascii="Times New Roman" w:hAnsi="Times New Roman"/>
          <w:sz w:val="24"/>
        </w:rPr>
        <w:t xml:space="preserve">it </w:t>
      </w:r>
      <w:r>
        <w:rPr>
          <w:rFonts w:ascii="Times New Roman" w:hAnsi="Times New Roman"/>
          <w:sz w:val="24"/>
        </w:rPr>
        <w:t>is in fact a fresh decision.  The a</w:t>
      </w:r>
      <w:r w:rsidR="00706678">
        <w:rPr>
          <w:rFonts w:ascii="Times New Roman" w:hAnsi="Times New Roman"/>
          <w:sz w:val="24"/>
        </w:rPr>
        <w:t>p</w:t>
      </w:r>
      <w:r>
        <w:rPr>
          <w:rFonts w:ascii="Times New Roman" w:hAnsi="Times New Roman"/>
          <w:sz w:val="24"/>
        </w:rPr>
        <w:t>p</w:t>
      </w:r>
      <w:r w:rsidR="00706678">
        <w:rPr>
          <w:rFonts w:ascii="Times New Roman" w:hAnsi="Times New Roman"/>
          <w:sz w:val="24"/>
        </w:rPr>
        <w:t>lic</w:t>
      </w:r>
      <w:r>
        <w:rPr>
          <w:rFonts w:ascii="Times New Roman" w:hAnsi="Times New Roman"/>
          <w:sz w:val="24"/>
        </w:rPr>
        <w:t xml:space="preserve">ant’s argument is overly technical and devoid of merit.  As the application of EU law is at </w:t>
      </w:r>
      <w:r w:rsidR="00706678">
        <w:rPr>
          <w:rFonts w:ascii="Times New Roman" w:hAnsi="Times New Roman"/>
          <w:sz w:val="24"/>
        </w:rPr>
        <w:t>issue</w:t>
      </w:r>
      <w:r w:rsidR="004574F1">
        <w:rPr>
          <w:rFonts w:ascii="Times New Roman" w:hAnsi="Times New Roman"/>
          <w:sz w:val="24"/>
        </w:rPr>
        <w:t>,</w:t>
      </w:r>
      <w:r>
        <w:rPr>
          <w:rFonts w:ascii="Times New Roman" w:hAnsi="Times New Roman"/>
          <w:sz w:val="24"/>
        </w:rPr>
        <w:t xml:space="preserve"> this </w:t>
      </w:r>
      <w:r w:rsidR="004574F1">
        <w:rPr>
          <w:rFonts w:ascii="Times New Roman" w:hAnsi="Times New Roman"/>
          <w:sz w:val="24"/>
        </w:rPr>
        <w:t>c</w:t>
      </w:r>
      <w:r>
        <w:rPr>
          <w:rFonts w:ascii="Times New Roman" w:hAnsi="Times New Roman"/>
          <w:sz w:val="24"/>
        </w:rPr>
        <w:t>ourt should look at the substance of the decision.  The trial judge was correct to treat the decision of 29 May 2018 as a fresh</w:t>
      </w:r>
      <w:r w:rsidR="007664C1">
        <w:rPr>
          <w:rFonts w:ascii="Times New Roman" w:hAnsi="Times New Roman"/>
          <w:sz w:val="24"/>
        </w:rPr>
        <w:t>,</w:t>
      </w:r>
      <w:r>
        <w:rPr>
          <w:rFonts w:ascii="Times New Roman" w:hAnsi="Times New Roman"/>
          <w:sz w:val="24"/>
        </w:rPr>
        <w:t xml:space="preserve"> standalone decision to make an AA </w:t>
      </w:r>
      <w:r w:rsidR="00E972DE">
        <w:rPr>
          <w:rFonts w:ascii="Times New Roman" w:hAnsi="Times New Roman"/>
          <w:sz w:val="24"/>
        </w:rPr>
        <w:t>d</w:t>
      </w:r>
      <w:r>
        <w:rPr>
          <w:rFonts w:ascii="Times New Roman" w:hAnsi="Times New Roman"/>
          <w:sz w:val="24"/>
        </w:rPr>
        <w:t>etermination and to adopt the NPF.  This is so</w:t>
      </w:r>
      <w:r w:rsidR="00E972DE">
        <w:rPr>
          <w:rFonts w:ascii="Times New Roman" w:hAnsi="Times New Roman"/>
          <w:sz w:val="24"/>
        </w:rPr>
        <w:t>,</w:t>
      </w:r>
      <w:r>
        <w:rPr>
          <w:rFonts w:ascii="Times New Roman" w:hAnsi="Times New Roman"/>
          <w:sz w:val="24"/>
        </w:rPr>
        <w:t xml:space="preserve"> regardless of the fact that the decision of the 16 February 2018 is invalid.  In my judgment, for the purposes of the Habitats Directive, the </w:t>
      </w:r>
      <w:r w:rsidR="006C3CB4">
        <w:rPr>
          <w:rFonts w:ascii="Times New Roman" w:hAnsi="Times New Roman"/>
          <w:sz w:val="24"/>
        </w:rPr>
        <w:t>g</w:t>
      </w:r>
      <w:r>
        <w:rPr>
          <w:rFonts w:ascii="Times New Roman" w:hAnsi="Times New Roman"/>
          <w:sz w:val="24"/>
        </w:rPr>
        <w:t xml:space="preserve">overnment validly adopted the NPF by its decision of 29 May 2018.  The fact that in subsequent </w:t>
      </w:r>
      <w:r w:rsidR="004574F1">
        <w:rPr>
          <w:rFonts w:ascii="Times New Roman" w:hAnsi="Times New Roman"/>
          <w:sz w:val="24"/>
        </w:rPr>
        <w:t>c</w:t>
      </w:r>
      <w:r>
        <w:rPr>
          <w:rFonts w:ascii="Times New Roman" w:hAnsi="Times New Roman"/>
          <w:sz w:val="24"/>
        </w:rPr>
        <w:t xml:space="preserve">irculars or </w:t>
      </w:r>
      <w:r w:rsidR="004574F1">
        <w:rPr>
          <w:rFonts w:ascii="Times New Roman" w:hAnsi="Times New Roman"/>
          <w:sz w:val="24"/>
        </w:rPr>
        <w:t>p</w:t>
      </w:r>
      <w:r>
        <w:rPr>
          <w:rFonts w:ascii="Times New Roman" w:hAnsi="Times New Roman"/>
          <w:sz w:val="24"/>
        </w:rPr>
        <w:t xml:space="preserve">ress </w:t>
      </w:r>
      <w:r w:rsidR="004574F1">
        <w:rPr>
          <w:rFonts w:ascii="Times New Roman" w:hAnsi="Times New Roman"/>
          <w:sz w:val="24"/>
        </w:rPr>
        <w:t>s</w:t>
      </w:r>
      <w:r>
        <w:rPr>
          <w:rFonts w:ascii="Times New Roman" w:hAnsi="Times New Roman"/>
          <w:sz w:val="24"/>
        </w:rPr>
        <w:t>tatements</w:t>
      </w:r>
      <w:r w:rsidR="004574F1">
        <w:rPr>
          <w:rFonts w:ascii="Times New Roman" w:hAnsi="Times New Roman"/>
          <w:sz w:val="24"/>
        </w:rPr>
        <w:t>,</w:t>
      </w:r>
      <w:r>
        <w:rPr>
          <w:rFonts w:ascii="Times New Roman" w:hAnsi="Times New Roman"/>
          <w:sz w:val="24"/>
        </w:rPr>
        <w:t xml:space="preserve"> or indeed submissions to </w:t>
      </w:r>
      <w:r w:rsidR="004574F1">
        <w:rPr>
          <w:rFonts w:ascii="Times New Roman" w:hAnsi="Times New Roman"/>
          <w:sz w:val="24"/>
        </w:rPr>
        <w:t>c</w:t>
      </w:r>
      <w:r>
        <w:rPr>
          <w:rFonts w:ascii="Times New Roman" w:hAnsi="Times New Roman"/>
          <w:sz w:val="24"/>
        </w:rPr>
        <w:t>ourt</w:t>
      </w:r>
      <w:r w:rsidR="004574F1">
        <w:rPr>
          <w:rFonts w:ascii="Times New Roman" w:hAnsi="Times New Roman"/>
          <w:sz w:val="24"/>
        </w:rPr>
        <w:t>,</w:t>
      </w:r>
      <w:r>
        <w:rPr>
          <w:rFonts w:ascii="Times New Roman" w:hAnsi="Times New Roman"/>
          <w:sz w:val="24"/>
        </w:rPr>
        <w:t xml:space="preserve"> alternate or indeed conflicting positions were adopted</w:t>
      </w:r>
      <w:r w:rsidR="00E972DE">
        <w:rPr>
          <w:rFonts w:ascii="Times New Roman" w:hAnsi="Times New Roman"/>
          <w:sz w:val="24"/>
        </w:rPr>
        <w:t xml:space="preserve"> does not alter this conclusion</w:t>
      </w:r>
      <w:r>
        <w:rPr>
          <w:rFonts w:ascii="Times New Roman" w:hAnsi="Times New Roman"/>
          <w:sz w:val="24"/>
        </w:rPr>
        <w:t xml:space="preserve">.  These </w:t>
      </w:r>
      <w:r w:rsidR="00E972DE">
        <w:rPr>
          <w:rFonts w:ascii="Times New Roman" w:hAnsi="Times New Roman"/>
          <w:sz w:val="24"/>
        </w:rPr>
        <w:t xml:space="preserve">subsequent statements on behalf of the </w:t>
      </w:r>
      <w:r w:rsidR="006C3CB4">
        <w:rPr>
          <w:rFonts w:ascii="Times New Roman" w:hAnsi="Times New Roman"/>
          <w:sz w:val="24"/>
        </w:rPr>
        <w:lastRenderedPageBreak/>
        <w:t>g</w:t>
      </w:r>
      <w:r w:rsidR="00E972DE">
        <w:rPr>
          <w:rFonts w:ascii="Times New Roman" w:hAnsi="Times New Roman"/>
          <w:sz w:val="24"/>
        </w:rPr>
        <w:t xml:space="preserve">overnment and the respondents </w:t>
      </w:r>
      <w:r>
        <w:rPr>
          <w:rFonts w:ascii="Times New Roman" w:hAnsi="Times New Roman"/>
          <w:sz w:val="24"/>
        </w:rPr>
        <w:t xml:space="preserve">do not impact the correct interpretation of the actions of the Minister and the </w:t>
      </w:r>
      <w:r w:rsidR="006C3CB4">
        <w:rPr>
          <w:rFonts w:ascii="Times New Roman" w:hAnsi="Times New Roman"/>
          <w:sz w:val="24"/>
        </w:rPr>
        <w:t>g</w:t>
      </w:r>
      <w:r>
        <w:rPr>
          <w:rFonts w:ascii="Times New Roman" w:hAnsi="Times New Roman"/>
          <w:sz w:val="24"/>
        </w:rPr>
        <w:t xml:space="preserve">overnment up to and including 29 May 2018.   </w:t>
      </w:r>
      <w:r w:rsidR="00D063B5">
        <w:rPr>
          <w:rFonts w:ascii="Times New Roman" w:hAnsi="Times New Roman"/>
          <w:sz w:val="24"/>
        </w:rPr>
        <w:t xml:space="preserve"> </w:t>
      </w:r>
    </w:p>
    <w:p w14:paraId="21372E4F" w14:textId="5C41D139" w:rsidR="004574F1" w:rsidRDefault="00E972DE" w:rsidP="004574F1">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Therefore, in my judgment, the trial judge was correct to hold that the decision of the </w:t>
      </w:r>
      <w:r w:rsidR="002C2450">
        <w:rPr>
          <w:rFonts w:ascii="Times New Roman" w:hAnsi="Times New Roman"/>
          <w:sz w:val="24"/>
        </w:rPr>
        <w:t>g</w:t>
      </w:r>
      <w:r>
        <w:rPr>
          <w:rFonts w:ascii="Times New Roman" w:hAnsi="Times New Roman"/>
          <w:sz w:val="24"/>
        </w:rPr>
        <w:t>overnment to reaffirm the decision of 16 February 2018</w:t>
      </w:r>
      <w:r w:rsidR="00D063B5" w:rsidRPr="000336AF">
        <w:rPr>
          <w:rFonts w:ascii="Times New Roman" w:hAnsi="Times New Roman"/>
          <w:sz w:val="24"/>
        </w:rPr>
        <w:t xml:space="preserve"> </w:t>
      </w:r>
      <w:r>
        <w:rPr>
          <w:rFonts w:ascii="Times New Roman" w:hAnsi="Times New Roman"/>
          <w:sz w:val="24"/>
        </w:rPr>
        <w:t>adopting the NPF constituted a valid decision</w:t>
      </w:r>
      <w:r w:rsidR="007664C1">
        <w:rPr>
          <w:rFonts w:ascii="Times New Roman" w:hAnsi="Times New Roman"/>
          <w:sz w:val="24"/>
        </w:rPr>
        <w:t>,</w:t>
      </w:r>
      <w:r>
        <w:rPr>
          <w:rFonts w:ascii="Times New Roman" w:hAnsi="Times New Roman"/>
          <w:sz w:val="24"/>
        </w:rPr>
        <w:t xml:space="preserve"> for the purposes of the Habitats Directive and the Habitats Regulations</w:t>
      </w:r>
      <w:r w:rsidR="007664C1">
        <w:rPr>
          <w:rFonts w:ascii="Times New Roman" w:hAnsi="Times New Roman"/>
          <w:sz w:val="24"/>
        </w:rPr>
        <w:t>,</w:t>
      </w:r>
      <w:r>
        <w:rPr>
          <w:rFonts w:ascii="Times New Roman" w:hAnsi="Times New Roman"/>
          <w:sz w:val="24"/>
        </w:rPr>
        <w:t xml:space="preserve"> to adopt the NPF from that date.</w:t>
      </w:r>
    </w:p>
    <w:p w14:paraId="15B23CDB" w14:textId="79FA100E" w:rsidR="004574F1" w:rsidRDefault="004574F1" w:rsidP="005E487A">
      <w:pPr>
        <w:tabs>
          <w:tab w:val="left" w:pos="567"/>
        </w:tabs>
        <w:spacing w:line="276" w:lineRule="auto"/>
      </w:pPr>
    </w:p>
    <w:p w14:paraId="3F9120B9" w14:textId="53B5C3FA" w:rsidR="00B41EF5" w:rsidRDefault="004F4F38" w:rsidP="00CE02C2">
      <w:pPr>
        <w:tabs>
          <w:tab w:val="left" w:pos="567"/>
        </w:tabs>
        <w:spacing w:line="480" w:lineRule="auto"/>
        <w:rPr>
          <w:b/>
          <w:u w:val="single"/>
        </w:rPr>
      </w:pPr>
      <w:r w:rsidRPr="008370C6">
        <w:rPr>
          <w:b/>
          <w:bCs/>
          <w:u w:val="single"/>
        </w:rPr>
        <w:t>Issue Two:</w:t>
      </w:r>
      <w:r w:rsidR="00424F31">
        <w:rPr>
          <w:b/>
          <w:u w:val="single"/>
        </w:rPr>
        <w:t xml:space="preserve"> </w:t>
      </w:r>
      <w:r w:rsidR="00F01840" w:rsidRPr="0006635B">
        <w:rPr>
          <w:b/>
          <w:u w:val="single"/>
        </w:rPr>
        <w:t>The S</w:t>
      </w:r>
      <w:r w:rsidR="00AD12B3">
        <w:rPr>
          <w:b/>
          <w:u w:val="single"/>
        </w:rPr>
        <w:t>EA</w:t>
      </w:r>
      <w:r w:rsidR="00F01840" w:rsidRPr="0006635B">
        <w:rPr>
          <w:b/>
          <w:u w:val="single"/>
        </w:rPr>
        <w:t xml:space="preserve"> Directive</w:t>
      </w:r>
      <w:r w:rsidR="00977024">
        <w:rPr>
          <w:b/>
          <w:u w:val="single"/>
        </w:rPr>
        <w:t xml:space="preserve"> –</w:t>
      </w:r>
      <w:r w:rsidR="00F01840" w:rsidRPr="0006635B">
        <w:rPr>
          <w:b/>
          <w:u w:val="single"/>
        </w:rPr>
        <w:t xml:space="preserve"> comparable assessment of the reasonable alternatives</w:t>
      </w:r>
    </w:p>
    <w:p w14:paraId="3DA12ACE" w14:textId="5BE630F8" w:rsidR="009E1503" w:rsidRPr="009E1503" w:rsidRDefault="009E1503" w:rsidP="00CE02C2">
      <w:pPr>
        <w:tabs>
          <w:tab w:val="left" w:pos="567"/>
        </w:tabs>
        <w:spacing w:line="480" w:lineRule="auto"/>
        <w:rPr>
          <w:b/>
          <w:i/>
        </w:rPr>
      </w:pPr>
      <w:r w:rsidRPr="009E1503">
        <w:rPr>
          <w:b/>
          <w:i/>
        </w:rPr>
        <w:t>Is it open to the applicant to advance the argument?</w:t>
      </w:r>
    </w:p>
    <w:p w14:paraId="6AF3F341" w14:textId="6CBB4451" w:rsidR="004C17FB" w:rsidRDefault="00F0184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submitted that the SEA Directive </w:t>
      </w:r>
      <w:r w:rsidR="001C4257">
        <w:rPr>
          <w:rFonts w:ascii="Times New Roman" w:hAnsi="Times New Roman"/>
          <w:sz w:val="24"/>
        </w:rPr>
        <w:t>obliges decision makers to conduct</w:t>
      </w:r>
      <w:r>
        <w:rPr>
          <w:rFonts w:ascii="Times New Roman" w:hAnsi="Times New Roman"/>
          <w:sz w:val="24"/>
        </w:rPr>
        <w:t xml:space="preserve"> comparable assessment</w:t>
      </w:r>
      <w:r w:rsidR="001C4257">
        <w:rPr>
          <w:rFonts w:ascii="Times New Roman" w:hAnsi="Times New Roman"/>
          <w:sz w:val="24"/>
        </w:rPr>
        <w:t>s</w:t>
      </w:r>
      <w:r>
        <w:rPr>
          <w:rFonts w:ascii="Times New Roman" w:hAnsi="Times New Roman"/>
          <w:sz w:val="24"/>
        </w:rPr>
        <w:t xml:space="preserve"> of the preferred plan or programme and the reasonable alternatives. </w:t>
      </w:r>
      <w:r w:rsidR="00F152E2">
        <w:rPr>
          <w:rFonts w:ascii="Times New Roman" w:hAnsi="Times New Roman"/>
          <w:sz w:val="24"/>
        </w:rPr>
        <w:t xml:space="preserve"> </w:t>
      </w:r>
      <w:r>
        <w:rPr>
          <w:rFonts w:ascii="Times New Roman" w:hAnsi="Times New Roman"/>
          <w:sz w:val="24"/>
        </w:rPr>
        <w:t>It says that this did not occur and</w:t>
      </w:r>
      <w:r w:rsidR="00DF51A0">
        <w:rPr>
          <w:rFonts w:ascii="Times New Roman" w:hAnsi="Times New Roman"/>
          <w:sz w:val="24"/>
        </w:rPr>
        <w:t>,</w:t>
      </w:r>
      <w:r>
        <w:rPr>
          <w:rFonts w:ascii="Times New Roman" w:hAnsi="Times New Roman"/>
          <w:sz w:val="24"/>
        </w:rPr>
        <w:t xml:space="preserve"> accordingly</w:t>
      </w:r>
      <w:r w:rsidR="00DF51A0">
        <w:rPr>
          <w:rFonts w:ascii="Times New Roman" w:hAnsi="Times New Roman"/>
          <w:sz w:val="24"/>
        </w:rPr>
        <w:t>,</w:t>
      </w:r>
      <w:r>
        <w:rPr>
          <w:rFonts w:ascii="Times New Roman" w:hAnsi="Times New Roman"/>
          <w:sz w:val="24"/>
        </w:rPr>
        <w:t xml:space="preserve"> there was a failure to comply with the requirem</w:t>
      </w:r>
      <w:r w:rsidR="001C4257">
        <w:rPr>
          <w:rFonts w:ascii="Times New Roman" w:hAnsi="Times New Roman"/>
          <w:sz w:val="24"/>
        </w:rPr>
        <w:t xml:space="preserve">ents of the SEA Directive and therefore the decision to adopt the NPF should be quashed. </w:t>
      </w:r>
      <w:r w:rsidR="005B500F">
        <w:rPr>
          <w:rFonts w:ascii="Times New Roman" w:hAnsi="Times New Roman"/>
          <w:sz w:val="24"/>
        </w:rPr>
        <w:t xml:space="preserve"> </w:t>
      </w:r>
      <w:r>
        <w:rPr>
          <w:rFonts w:ascii="Times New Roman" w:hAnsi="Times New Roman"/>
          <w:sz w:val="24"/>
        </w:rPr>
        <w:t>The respondents objected to the applicant raising th</w:t>
      </w:r>
      <w:r w:rsidR="005B500F">
        <w:rPr>
          <w:rFonts w:ascii="Times New Roman" w:hAnsi="Times New Roman"/>
          <w:sz w:val="24"/>
        </w:rPr>
        <w:t>is</w:t>
      </w:r>
      <w:r>
        <w:rPr>
          <w:rFonts w:ascii="Times New Roman" w:hAnsi="Times New Roman"/>
          <w:sz w:val="24"/>
        </w:rPr>
        <w:t xml:space="preserve"> point in its submissions. </w:t>
      </w:r>
      <w:r w:rsidR="005B500F">
        <w:rPr>
          <w:rFonts w:ascii="Times New Roman" w:hAnsi="Times New Roman"/>
          <w:sz w:val="24"/>
        </w:rPr>
        <w:t xml:space="preserve"> </w:t>
      </w:r>
      <w:r>
        <w:rPr>
          <w:rFonts w:ascii="Times New Roman" w:hAnsi="Times New Roman"/>
          <w:sz w:val="24"/>
        </w:rPr>
        <w:t>They argue</w:t>
      </w:r>
      <w:r w:rsidR="001C4257">
        <w:rPr>
          <w:rFonts w:ascii="Times New Roman" w:hAnsi="Times New Roman"/>
          <w:sz w:val="24"/>
        </w:rPr>
        <w:t>d</w:t>
      </w:r>
      <w:r>
        <w:rPr>
          <w:rFonts w:ascii="Times New Roman" w:hAnsi="Times New Roman"/>
          <w:sz w:val="24"/>
        </w:rPr>
        <w:t xml:space="preserve"> that it was not pleaded in the </w:t>
      </w:r>
      <w:r w:rsidR="005B500F">
        <w:rPr>
          <w:rFonts w:ascii="Times New Roman" w:hAnsi="Times New Roman"/>
          <w:sz w:val="24"/>
        </w:rPr>
        <w:t>s</w:t>
      </w:r>
      <w:r>
        <w:rPr>
          <w:rFonts w:ascii="Times New Roman" w:hAnsi="Times New Roman"/>
          <w:sz w:val="24"/>
        </w:rPr>
        <w:t xml:space="preserve">tatement of </w:t>
      </w:r>
      <w:r w:rsidR="005B500F">
        <w:rPr>
          <w:rFonts w:ascii="Times New Roman" w:hAnsi="Times New Roman"/>
          <w:sz w:val="24"/>
        </w:rPr>
        <w:t>g</w:t>
      </w:r>
      <w:r>
        <w:rPr>
          <w:rFonts w:ascii="Times New Roman" w:hAnsi="Times New Roman"/>
          <w:sz w:val="24"/>
        </w:rPr>
        <w:t xml:space="preserve">rounds, </w:t>
      </w:r>
      <w:r w:rsidR="00DF51A0">
        <w:rPr>
          <w:rFonts w:ascii="Times New Roman" w:hAnsi="Times New Roman"/>
          <w:sz w:val="24"/>
        </w:rPr>
        <w:t xml:space="preserve">that </w:t>
      </w:r>
      <w:r>
        <w:rPr>
          <w:rFonts w:ascii="Times New Roman" w:hAnsi="Times New Roman"/>
          <w:sz w:val="24"/>
        </w:rPr>
        <w:t xml:space="preserve">leave to seek judicial review was not granted in respect of this point, </w:t>
      </w:r>
      <w:r w:rsidR="00DF51A0">
        <w:rPr>
          <w:rFonts w:ascii="Times New Roman" w:hAnsi="Times New Roman"/>
          <w:sz w:val="24"/>
        </w:rPr>
        <w:t xml:space="preserve">that </w:t>
      </w:r>
      <w:r>
        <w:rPr>
          <w:rFonts w:ascii="Times New Roman" w:hAnsi="Times New Roman"/>
          <w:sz w:val="24"/>
        </w:rPr>
        <w:t>it was introduced into the case too late</w:t>
      </w:r>
      <w:r w:rsidR="005B500F">
        <w:rPr>
          <w:rFonts w:ascii="Times New Roman" w:hAnsi="Times New Roman"/>
          <w:sz w:val="24"/>
        </w:rPr>
        <w:t>,</w:t>
      </w:r>
      <w:r>
        <w:rPr>
          <w:rFonts w:ascii="Times New Roman" w:hAnsi="Times New Roman"/>
          <w:sz w:val="24"/>
        </w:rPr>
        <w:t xml:space="preserve"> and without leave to amend the </w:t>
      </w:r>
      <w:r w:rsidR="001C4257">
        <w:rPr>
          <w:rFonts w:ascii="Times New Roman" w:hAnsi="Times New Roman"/>
          <w:sz w:val="24"/>
        </w:rPr>
        <w:t xml:space="preserve">statement of </w:t>
      </w:r>
      <w:r>
        <w:rPr>
          <w:rFonts w:ascii="Times New Roman" w:hAnsi="Times New Roman"/>
          <w:sz w:val="24"/>
        </w:rPr>
        <w:t>grounds</w:t>
      </w:r>
      <w:r w:rsidR="005B500F">
        <w:rPr>
          <w:rFonts w:ascii="Times New Roman" w:hAnsi="Times New Roman"/>
          <w:sz w:val="24"/>
        </w:rPr>
        <w:t>,</w:t>
      </w:r>
      <w:r>
        <w:rPr>
          <w:rFonts w:ascii="Times New Roman" w:hAnsi="Times New Roman"/>
          <w:sz w:val="24"/>
        </w:rPr>
        <w:t xml:space="preserve"> and </w:t>
      </w:r>
      <w:r w:rsidR="00DF51A0">
        <w:rPr>
          <w:rFonts w:ascii="Times New Roman" w:hAnsi="Times New Roman"/>
          <w:sz w:val="24"/>
        </w:rPr>
        <w:t xml:space="preserve">that </w:t>
      </w:r>
      <w:r>
        <w:rPr>
          <w:rFonts w:ascii="Times New Roman" w:hAnsi="Times New Roman"/>
          <w:sz w:val="24"/>
        </w:rPr>
        <w:t>the trial judge erred in reject</w:t>
      </w:r>
      <w:r w:rsidR="002C2450">
        <w:rPr>
          <w:rFonts w:ascii="Times New Roman" w:hAnsi="Times New Roman"/>
          <w:sz w:val="24"/>
        </w:rPr>
        <w:t>ing</w:t>
      </w:r>
      <w:r>
        <w:rPr>
          <w:rFonts w:ascii="Times New Roman" w:hAnsi="Times New Roman"/>
          <w:sz w:val="24"/>
        </w:rPr>
        <w:t xml:space="preserve"> their objection to any consideration of the arguments advanced</w:t>
      </w:r>
      <w:r w:rsidR="001C4257">
        <w:rPr>
          <w:rFonts w:ascii="Times New Roman" w:hAnsi="Times New Roman"/>
          <w:sz w:val="24"/>
        </w:rPr>
        <w:t>.</w:t>
      </w:r>
      <w:r w:rsidR="005B500F">
        <w:rPr>
          <w:rFonts w:ascii="Times New Roman" w:hAnsi="Times New Roman"/>
          <w:sz w:val="24"/>
        </w:rPr>
        <w:t xml:space="preserve"> </w:t>
      </w:r>
      <w:r w:rsidR="001C4257">
        <w:rPr>
          <w:rFonts w:ascii="Times New Roman" w:hAnsi="Times New Roman"/>
          <w:sz w:val="24"/>
        </w:rPr>
        <w:t xml:space="preserve"> They cross</w:t>
      </w:r>
      <w:r w:rsidR="005B500F">
        <w:rPr>
          <w:rFonts w:ascii="Times New Roman" w:hAnsi="Times New Roman"/>
          <w:sz w:val="24"/>
        </w:rPr>
        <w:t>-</w:t>
      </w:r>
      <w:r w:rsidR="001C4257">
        <w:rPr>
          <w:rFonts w:ascii="Times New Roman" w:hAnsi="Times New Roman"/>
          <w:sz w:val="24"/>
        </w:rPr>
        <w:t>appealed on this point.</w:t>
      </w:r>
      <w:r>
        <w:rPr>
          <w:rFonts w:ascii="Times New Roman" w:hAnsi="Times New Roman"/>
          <w:sz w:val="24"/>
        </w:rPr>
        <w:t xml:space="preserve"> </w:t>
      </w:r>
    </w:p>
    <w:p w14:paraId="2BC7FD53" w14:textId="09451DCB" w:rsidR="005E4D2B" w:rsidRDefault="005E4D2B"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the </w:t>
      </w:r>
      <w:r w:rsidR="005B500F">
        <w:rPr>
          <w:rFonts w:ascii="Times New Roman" w:hAnsi="Times New Roman"/>
          <w:sz w:val="24"/>
        </w:rPr>
        <w:t>s</w:t>
      </w:r>
      <w:r>
        <w:rPr>
          <w:rFonts w:ascii="Times New Roman" w:hAnsi="Times New Roman"/>
          <w:sz w:val="24"/>
        </w:rPr>
        <w:t xml:space="preserve">tatement of </w:t>
      </w:r>
      <w:r w:rsidR="005B500F">
        <w:rPr>
          <w:rFonts w:ascii="Times New Roman" w:hAnsi="Times New Roman"/>
          <w:sz w:val="24"/>
        </w:rPr>
        <w:t>g</w:t>
      </w:r>
      <w:r>
        <w:rPr>
          <w:rFonts w:ascii="Times New Roman" w:hAnsi="Times New Roman"/>
          <w:sz w:val="24"/>
        </w:rPr>
        <w:t>rounds</w:t>
      </w:r>
      <w:r w:rsidR="002C2450">
        <w:rPr>
          <w:rFonts w:ascii="Times New Roman" w:hAnsi="Times New Roman"/>
          <w:sz w:val="24"/>
        </w:rPr>
        <w:t>,</w:t>
      </w:r>
      <w:r>
        <w:rPr>
          <w:rFonts w:ascii="Times New Roman" w:hAnsi="Times New Roman"/>
          <w:sz w:val="24"/>
        </w:rPr>
        <w:t xml:space="preserve"> the applicant pleads in para. 7 that there was no </w:t>
      </w:r>
      <w:r w:rsidRPr="0067174B">
        <w:rPr>
          <w:rFonts w:ascii="Times New Roman" w:hAnsi="Times New Roman"/>
          <w:i/>
          <w:sz w:val="24"/>
        </w:rPr>
        <w:t>adequate</w:t>
      </w:r>
      <w:r>
        <w:rPr>
          <w:rFonts w:ascii="Times New Roman" w:hAnsi="Times New Roman"/>
          <w:sz w:val="24"/>
        </w:rPr>
        <w:t xml:space="preserve"> environmental assessment of the likely significant effects of implementing the NPF.  Referring to the SEA Environmental Report, at para</w:t>
      </w:r>
      <w:r w:rsidR="009B3446">
        <w:rPr>
          <w:rFonts w:ascii="Times New Roman" w:hAnsi="Times New Roman"/>
          <w:sz w:val="24"/>
        </w:rPr>
        <w:t>s</w:t>
      </w:r>
      <w:r>
        <w:rPr>
          <w:rFonts w:ascii="Times New Roman" w:hAnsi="Times New Roman"/>
          <w:sz w:val="24"/>
        </w:rPr>
        <w:t>. 9</w:t>
      </w:r>
      <w:r w:rsidR="009B3446">
        <w:rPr>
          <w:rFonts w:ascii="Times New Roman" w:hAnsi="Times New Roman"/>
          <w:sz w:val="24"/>
        </w:rPr>
        <w:t>-12</w:t>
      </w:r>
      <w:r>
        <w:rPr>
          <w:rFonts w:ascii="Times New Roman" w:hAnsi="Times New Roman"/>
          <w:sz w:val="24"/>
        </w:rPr>
        <w:t>, it pleads:</w:t>
      </w:r>
      <w:r w:rsidR="005B500F">
        <w:rPr>
          <w:rFonts w:ascii="Times New Roman" w:hAnsi="Times New Roman"/>
          <w:sz w:val="24"/>
        </w:rPr>
        <w:t>-</w:t>
      </w:r>
    </w:p>
    <w:p w14:paraId="7ADF24C6" w14:textId="6155BF38" w:rsidR="007270B4" w:rsidRPr="00042D6A" w:rsidRDefault="005E4D2B" w:rsidP="00A752C0">
      <w:pPr>
        <w:pStyle w:val="ListParagraph"/>
        <w:spacing w:line="480" w:lineRule="auto"/>
        <w:ind w:left="567"/>
        <w:jc w:val="left"/>
      </w:pPr>
      <w:r>
        <w:rPr>
          <w:rFonts w:ascii="Times New Roman" w:hAnsi="Times New Roman"/>
          <w:i/>
          <w:sz w:val="24"/>
        </w:rPr>
        <w:t>“</w:t>
      </w:r>
      <w:r w:rsidR="007270B4">
        <w:rPr>
          <w:rFonts w:ascii="Times New Roman" w:hAnsi="Times New Roman"/>
          <w:i/>
          <w:sz w:val="24"/>
        </w:rPr>
        <w:t xml:space="preserve">9.  </w:t>
      </w:r>
      <w:r>
        <w:rPr>
          <w:rFonts w:ascii="Times New Roman" w:hAnsi="Times New Roman"/>
          <w:i/>
          <w:sz w:val="24"/>
        </w:rPr>
        <w:t xml:space="preserve">The Environmental Report goes on to consider alternatives and the assessment of the preferred scenario.  The various alternatives are identified at Chapter 7 of the Environmental Report in which five alternatives are identified.  These are each </w:t>
      </w:r>
      <w:r>
        <w:rPr>
          <w:rFonts w:ascii="Times New Roman" w:hAnsi="Times New Roman"/>
          <w:i/>
          <w:sz w:val="24"/>
        </w:rPr>
        <w:lastRenderedPageBreak/>
        <w:t xml:space="preserve">briefly described, and a tabular format appended where, for each environmental issue, each alternative is given either a </w:t>
      </w:r>
      <w:r w:rsidR="007270B4">
        <w:rPr>
          <w:rFonts w:ascii="Times New Roman" w:hAnsi="Times New Roman"/>
          <w:i/>
          <w:sz w:val="24"/>
        </w:rPr>
        <w:t>0/</w:t>
      </w:r>
      <w:r w:rsidR="00A85543">
        <w:rPr>
          <w:rFonts w:ascii="Times New Roman" w:hAnsi="Times New Roman"/>
          <w:i/>
          <w:sz w:val="24"/>
        </w:rPr>
        <w:t>–</w:t>
      </w:r>
      <w:r w:rsidR="009B3446">
        <w:rPr>
          <w:rFonts w:ascii="Times New Roman" w:hAnsi="Times New Roman"/>
          <w:i/>
          <w:sz w:val="24"/>
        </w:rPr>
        <w:t>/+</w:t>
      </w:r>
      <w:r w:rsidR="007270B4">
        <w:rPr>
          <w:rFonts w:ascii="Times New Roman" w:hAnsi="Times New Roman"/>
          <w:i/>
          <w:sz w:val="24"/>
        </w:rPr>
        <w:t xml:space="preserve"> or in many cases a combination of these.  These are intended to indicate potential </w:t>
      </w:r>
      <w:r w:rsidR="009B3446">
        <w:rPr>
          <w:rFonts w:ascii="Times New Roman" w:hAnsi="Times New Roman"/>
          <w:i/>
          <w:sz w:val="24"/>
        </w:rPr>
        <w:t>neutral</w:t>
      </w:r>
      <w:r w:rsidR="007270B4">
        <w:rPr>
          <w:rFonts w:ascii="Times New Roman" w:hAnsi="Times New Roman"/>
          <w:i/>
          <w:sz w:val="24"/>
        </w:rPr>
        <w:t>, negative and positive effects of the alternatives.  There is no explanation of how these assessments were made or how or for what reason these values were assigned or the qualitative or quantitative basis for their inclusion.  There is no indication as to whether or not, or to what degree</w:t>
      </w:r>
      <w:r w:rsidR="009B3446">
        <w:rPr>
          <w:rFonts w:ascii="Times New Roman" w:hAnsi="Times New Roman"/>
          <w:i/>
          <w:sz w:val="24"/>
        </w:rPr>
        <w:t>,</w:t>
      </w:r>
      <w:r w:rsidR="007270B4">
        <w:rPr>
          <w:rFonts w:ascii="Times New Roman" w:hAnsi="Times New Roman"/>
          <w:i/>
          <w:sz w:val="24"/>
        </w:rPr>
        <w:t xml:space="preserve"> the targets (identified in Chapter 6 for each environmental issue) are expected to be achieved by each alternative under consideration (singly </w:t>
      </w:r>
      <w:r w:rsidR="009B3446">
        <w:rPr>
          <w:rFonts w:ascii="Times New Roman" w:hAnsi="Times New Roman"/>
          <w:i/>
          <w:sz w:val="24"/>
        </w:rPr>
        <w:t xml:space="preserve">(sic) </w:t>
      </w:r>
      <w:r w:rsidR="007270B4">
        <w:rPr>
          <w:rFonts w:ascii="Times New Roman" w:hAnsi="Times New Roman"/>
          <w:i/>
          <w:sz w:val="24"/>
        </w:rPr>
        <w:t xml:space="preserve">or in combination).  These targets are not referred to in the </w:t>
      </w:r>
      <w:r w:rsidR="009B3446">
        <w:rPr>
          <w:rFonts w:ascii="Times New Roman" w:hAnsi="Times New Roman"/>
          <w:i/>
          <w:sz w:val="24"/>
        </w:rPr>
        <w:t>a</w:t>
      </w:r>
      <w:r w:rsidR="007270B4">
        <w:rPr>
          <w:rFonts w:ascii="Times New Roman" w:hAnsi="Times New Roman"/>
          <w:i/>
          <w:sz w:val="24"/>
        </w:rPr>
        <w:t xml:space="preserve">lternatives or </w:t>
      </w:r>
      <w:r w:rsidR="009B3446">
        <w:rPr>
          <w:rFonts w:ascii="Times New Roman" w:hAnsi="Times New Roman"/>
          <w:i/>
          <w:sz w:val="24"/>
        </w:rPr>
        <w:t>a</w:t>
      </w:r>
      <w:r w:rsidR="007270B4">
        <w:rPr>
          <w:rFonts w:ascii="Times New Roman" w:hAnsi="Times New Roman"/>
          <w:i/>
          <w:sz w:val="24"/>
        </w:rPr>
        <w:t>ssessment sections and only reappear when monitoring is being discussed.  In those circumstances there is no adequate description or evaluation of the likely significant environmental effects of each of the alternatives identified in the Environmental Report.</w:t>
      </w:r>
    </w:p>
    <w:p w14:paraId="5FA883B4" w14:textId="59296222" w:rsidR="007270B4" w:rsidRPr="00042D6A" w:rsidRDefault="007270B4" w:rsidP="00A752C0">
      <w:pPr>
        <w:pStyle w:val="ListParagraph"/>
        <w:spacing w:line="480" w:lineRule="auto"/>
        <w:ind w:left="567"/>
        <w:jc w:val="left"/>
      </w:pPr>
      <w:r>
        <w:rPr>
          <w:rFonts w:ascii="Times New Roman" w:hAnsi="Times New Roman"/>
          <w:i/>
          <w:sz w:val="24"/>
        </w:rPr>
        <w:t>10.  It is the applicant’s case that the respondents failed to consider, adequately or at all, the reasonable alternatives to the option selected, failed to identi</w:t>
      </w:r>
      <w:r w:rsidR="002C2450">
        <w:rPr>
          <w:rFonts w:ascii="Times New Roman" w:hAnsi="Times New Roman"/>
          <w:i/>
          <w:sz w:val="24"/>
        </w:rPr>
        <w:t>f</w:t>
      </w:r>
      <w:r>
        <w:rPr>
          <w:rFonts w:ascii="Times New Roman" w:hAnsi="Times New Roman"/>
          <w:i/>
          <w:sz w:val="24"/>
        </w:rPr>
        <w:t xml:space="preserve">y, describe or evaluate adequately or at all the likely significant environmental effects of the alternatives and failed to specify any or any adequate reasons for its preferred option over </w:t>
      </w:r>
      <w:r w:rsidR="009B3446">
        <w:rPr>
          <w:rFonts w:ascii="Times New Roman" w:hAnsi="Times New Roman"/>
          <w:i/>
          <w:sz w:val="24"/>
        </w:rPr>
        <w:t>o</w:t>
      </w:r>
      <w:r>
        <w:rPr>
          <w:rFonts w:ascii="Times New Roman" w:hAnsi="Times New Roman"/>
          <w:i/>
          <w:sz w:val="24"/>
        </w:rPr>
        <w:t>ptions 1, 3, 4 and 5.</w:t>
      </w:r>
    </w:p>
    <w:p w14:paraId="256BEE02" w14:textId="04ABB842" w:rsidR="009D4921" w:rsidRPr="00042D6A" w:rsidRDefault="007270B4" w:rsidP="00EE3890">
      <w:pPr>
        <w:pStyle w:val="ListParagraph"/>
        <w:spacing w:line="480" w:lineRule="auto"/>
        <w:ind w:left="567"/>
        <w:jc w:val="left"/>
      </w:pPr>
      <w:r>
        <w:rPr>
          <w:rFonts w:ascii="Times New Roman" w:hAnsi="Times New Roman"/>
          <w:i/>
          <w:sz w:val="24"/>
        </w:rPr>
        <w:t>11.  In para</w:t>
      </w:r>
      <w:r w:rsidR="009B3446">
        <w:rPr>
          <w:rFonts w:ascii="Times New Roman" w:hAnsi="Times New Roman"/>
          <w:i/>
          <w:sz w:val="24"/>
        </w:rPr>
        <w:t>graph</w:t>
      </w:r>
      <w:r>
        <w:rPr>
          <w:rFonts w:ascii="Times New Roman" w:hAnsi="Times New Roman"/>
          <w:i/>
          <w:sz w:val="24"/>
        </w:rPr>
        <w:t xml:space="preserve"> 7.3 the respondents simply state a preference for “Op</w:t>
      </w:r>
      <w:r w:rsidR="0067174B">
        <w:rPr>
          <w:rFonts w:ascii="Times New Roman" w:hAnsi="Times New Roman"/>
          <w:i/>
          <w:sz w:val="24"/>
        </w:rPr>
        <w:t>t</w:t>
      </w:r>
      <w:r>
        <w:rPr>
          <w:rFonts w:ascii="Times New Roman" w:hAnsi="Times New Roman"/>
          <w:i/>
          <w:sz w:val="24"/>
        </w:rPr>
        <w:t xml:space="preserve">ion 2 – Regional Effectiveness &amp; </w:t>
      </w:r>
      <w:r w:rsidR="009D4921">
        <w:rPr>
          <w:rFonts w:ascii="Times New Roman" w:hAnsi="Times New Roman"/>
          <w:i/>
          <w:sz w:val="24"/>
        </w:rPr>
        <w:t>Settlement Diversity” on the basis that it is the alternative allegedly most likely to achieve these strategic environmental objectives in relation to public transport, higher densit</w:t>
      </w:r>
      <w:r w:rsidR="00E877C0">
        <w:rPr>
          <w:rFonts w:ascii="Times New Roman" w:hAnsi="Times New Roman"/>
          <w:i/>
          <w:sz w:val="24"/>
        </w:rPr>
        <w:t>ies</w:t>
      </w:r>
      <w:r w:rsidR="009D4921">
        <w:rPr>
          <w:rFonts w:ascii="Times New Roman" w:hAnsi="Times New Roman"/>
          <w:i/>
          <w:sz w:val="24"/>
        </w:rPr>
        <w:t xml:space="preserve"> in city areas and focusing managed growth in supported settlements.  However, no objective qualitative or quantitative basis is provided for this </w:t>
      </w:r>
      <w:r w:rsidR="00E877C0">
        <w:rPr>
          <w:rFonts w:ascii="Times New Roman" w:hAnsi="Times New Roman"/>
          <w:i/>
          <w:sz w:val="24"/>
        </w:rPr>
        <w:t xml:space="preserve">selection </w:t>
      </w:r>
      <w:r w:rsidR="009D4921">
        <w:rPr>
          <w:rFonts w:ascii="Times New Roman" w:hAnsi="Times New Roman"/>
          <w:i/>
          <w:sz w:val="24"/>
        </w:rPr>
        <w:t>and it is simply baldly stated without further explanation.</w:t>
      </w:r>
    </w:p>
    <w:p w14:paraId="38969599" w14:textId="439E2A19" w:rsidR="007270B4" w:rsidRPr="005E4D2B" w:rsidRDefault="009D4921" w:rsidP="005E4D2B">
      <w:pPr>
        <w:pStyle w:val="ListParagraph"/>
        <w:spacing w:line="480" w:lineRule="auto"/>
        <w:ind w:left="567"/>
        <w:jc w:val="left"/>
        <w:rPr>
          <w:rFonts w:ascii="Times New Roman" w:hAnsi="Times New Roman"/>
          <w:i/>
          <w:sz w:val="24"/>
        </w:rPr>
      </w:pPr>
      <w:r>
        <w:rPr>
          <w:rFonts w:ascii="Times New Roman" w:hAnsi="Times New Roman"/>
          <w:i/>
          <w:sz w:val="24"/>
        </w:rPr>
        <w:lastRenderedPageBreak/>
        <w:t>12.  Subsequently in Chapter 8 of the Environmental Report there is what is described as an assessment of the preferred scenario i.e. the proposed approach actually adopted in the [NPF].  As with the consideration of alternatives, there is no reference to the target</w:t>
      </w:r>
      <w:r w:rsidR="00E877C0">
        <w:rPr>
          <w:rFonts w:ascii="Times New Roman" w:hAnsi="Times New Roman"/>
          <w:i/>
          <w:sz w:val="24"/>
        </w:rPr>
        <w:t>s</w:t>
      </w:r>
      <w:r>
        <w:rPr>
          <w:rFonts w:ascii="Times New Roman" w:hAnsi="Times New Roman"/>
          <w:i/>
          <w:sz w:val="24"/>
        </w:rPr>
        <w:t xml:space="preserve"> specified in Chapter 3 and no assessment of the degree to which the preferred scenario will or will not lead to the targets being meet.  The assessment of the preferred scenario appears to be limited to short discursive sections.” </w:t>
      </w:r>
    </w:p>
    <w:p w14:paraId="03F5E461" w14:textId="4AC85C32" w:rsidR="0067174B" w:rsidRDefault="009D492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the respondent</w:t>
      </w:r>
      <w:r w:rsidR="0067174B">
        <w:rPr>
          <w:rFonts w:ascii="Times New Roman" w:hAnsi="Times New Roman"/>
          <w:sz w:val="24"/>
        </w:rPr>
        <w:t>s’</w:t>
      </w:r>
      <w:r>
        <w:rPr>
          <w:rFonts w:ascii="Times New Roman" w:hAnsi="Times New Roman"/>
          <w:sz w:val="24"/>
        </w:rPr>
        <w:t xml:space="preserve"> </w:t>
      </w:r>
      <w:r w:rsidR="00C432A2">
        <w:rPr>
          <w:rFonts w:ascii="Times New Roman" w:hAnsi="Times New Roman"/>
          <w:sz w:val="24"/>
        </w:rPr>
        <w:t>n</w:t>
      </w:r>
      <w:r>
        <w:rPr>
          <w:rFonts w:ascii="Times New Roman" w:hAnsi="Times New Roman"/>
          <w:sz w:val="24"/>
        </w:rPr>
        <w:t>otice</w:t>
      </w:r>
      <w:r w:rsidR="00C432A2">
        <w:rPr>
          <w:rFonts w:ascii="Times New Roman" w:hAnsi="Times New Roman"/>
          <w:sz w:val="24"/>
        </w:rPr>
        <w:t>,</w:t>
      </w:r>
      <w:r>
        <w:rPr>
          <w:rFonts w:ascii="Times New Roman" w:hAnsi="Times New Roman"/>
          <w:sz w:val="24"/>
        </w:rPr>
        <w:t xml:space="preserve"> they complain that the applicant’s submission </w:t>
      </w:r>
      <w:r w:rsidR="00A32757">
        <w:rPr>
          <w:rFonts w:ascii="Times New Roman" w:hAnsi="Times New Roman"/>
          <w:sz w:val="24"/>
        </w:rPr>
        <w:t xml:space="preserve">at the public consultation stage </w:t>
      </w:r>
      <w:r>
        <w:rPr>
          <w:rFonts w:ascii="Times New Roman" w:hAnsi="Times New Roman"/>
          <w:sz w:val="24"/>
        </w:rPr>
        <w:t>in respect of the draft NPF</w:t>
      </w:r>
      <w:r w:rsidR="006079BE">
        <w:rPr>
          <w:rFonts w:ascii="Times New Roman" w:hAnsi="Times New Roman"/>
          <w:sz w:val="24"/>
        </w:rPr>
        <w:t>,</w:t>
      </w:r>
      <w:r>
        <w:rPr>
          <w:rFonts w:ascii="Times New Roman" w:hAnsi="Times New Roman"/>
          <w:sz w:val="24"/>
        </w:rPr>
        <w:t xml:space="preserve"> dated 10 November 2017</w:t>
      </w:r>
      <w:r w:rsidR="006079BE">
        <w:rPr>
          <w:rFonts w:ascii="Times New Roman" w:hAnsi="Times New Roman"/>
          <w:sz w:val="24"/>
        </w:rPr>
        <w:t>,</w:t>
      </w:r>
      <w:r>
        <w:rPr>
          <w:rFonts w:ascii="Times New Roman" w:hAnsi="Times New Roman"/>
          <w:sz w:val="24"/>
        </w:rPr>
        <w:t xml:space="preserve"> did not raise the alleged failure in the SEA of the NPF to consider or assess reasonable alternatives and</w:t>
      </w:r>
      <w:r w:rsidR="00DF51A0">
        <w:rPr>
          <w:rFonts w:ascii="Times New Roman" w:hAnsi="Times New Roman"/>
          <w:sz w:val="24"/>
        </w:rPr>
        <w:t>,</w:t>
      </w:r>
      <w:r>
        <w:rPr>
          <w:rFonts w:ascii="Times New Roman" w:hAnsi="Times New Roman"/>
          <w:sz w:val="24"/>
        </w:rPr>
        <w:t xml:space="preserve"> to that extent</w:t>
      </w:r>
      <w:r w:rsidR="00DF51A0">
        <w:rPr>
          <w:rFonts w:ascii="Times New Roman" w:hAnsi="Times New Roman"/>
          <w:sz w:val="24"/>
        </w:rPr>
        <w:t>,</w:t>
      </w:r>
      <w:r>
        <w:rPr>
          <w:rFonts w:ascii="Times New Roman" w:hAnsi="Times New Roman"/>
          <w:sz w:val="24"/>
        </w:rPr>
        <w:t xml:space="preserve"> </w:t>
      </w:r>
      <w:r w:rsidR="0067174B">
        <w:rPr>
          <w:rFonts w:ascii="Times New Roman" w:hAnsi="Times New Roman"/>
          <w:sz w:val="24"/>
        </w:rPr>
        <w:t>they</w:t>
      </w:r>
      <w:r>
        <w:rPr>
          <w:rFonts w:ascii="Times New Roman" w:hAnsi="Times New Roman"/>
          <w:sz w:val="24"/>
        </w:rPr>
        <w:t xml:space="preserve"> assert </w:t>
      </w:r>
      <w:r w:rsidR="0067174B">
        <w:rPr>
          <w:rFonts w:ascii="Times New Roman" w:hAnsi="Times New Roman"/>
          <w:sz w:val="24"/>
        </w:rPr>
        <w:t>that the applicant</w:t>
      </w:r>
      <w:r>
        <w:rPr>
          <w:rFonts w:ascii="Times New Roman" w:hAnsi="Times New Roman"/>
          <w:sz w:val="24"/>
        </w:rPr>
        <w:t xml:space="preserve"> cannot now raise th</w:t>
      </w:r>
      <w:r w:rsidR="0067174B">
        <w:rPr>
          <w:rFonts w:ascii="Times New Roman" w:hAnsi="Times New Roman"/>
          <w:sz w:val="24"/>
        </w:rPr>
        <w:t>is argument</w:t>
      </w:r>
      <w:r>
        <w:rPr>
          <w:rFonts w:ascii="Times New Roman" w:hAnsi="Times New Roman"/>
          <w:sz w:val="24"/>
        </w:rPr>
        <w:t xml:space="preserve"> in these proceedings.  The respondents deny the allegation that there was no adequate description or evaluation of the likely significant environmental effects of implementing the various alternatives identified in the SEA </w:t>
      </w:r>
      <w:r w:rsidR="0067174B">
        <w:rPr>
          <w:rFonts w:ascii="Times New Roman" w:hAnsi="Times New Roman"/>
          <w:sz w:val="24"/>
        </w:rPr>
        <w:t xml:space="preserve">Environmental </w:t>
      </w:r>
      <w:r>
        <w:rPr>
          <w:rFonts w:ascii="Times New Roman" w:hAnsi="Times New Roman"/>
          <w:sz w:val="24"/>
        </w:rPr>
        <w:t xml:space="preserve">Report.  They plead that the SEA Environmental Report </w:t>
      </w:r>
      <w:r w:rsidR="004C6CCA">
        <w:rPr>
          <w:rFonts w:ascii="Times New Roman" w:hAnsi="Times New Roman"/>
          <w:sz w:val="24"/>
        </w:rPr>
        <w:t>adequately described the qualitative assessment carried out by the respondents.  In relation to the assessment of the reasonable alternatives, at para. 40</w:t>
      </w:r>
      <w:r w:rsidR="00DF51A0">
        <w:rPr>
          <w:rFonts w:ascii="Times New Roman" w:hAnsi="Times New Roman"/>
          <w:sz w:val="24"/>
        </w:rPr>
        <w:t>,</w:t>
      </w:r>
      <w:r w:rsidR="004C6CCA">
        <w:rPr>
          <w:rFonts w:ascii="Times New Roman" w:hAnsi="Times New Roman"/>
          <w:sz w:val="24"/>
        </w:rPr>
        <w:t xml:space="preserve"> they plead</w:t>
      </w:r>
      <w:r w:rsidR="006079BE">
        <w:rPr>
          <w:rFonts w:ascii="Times New Roman" w:hAnsi="Times New Roman"/>
          <w:sz w:val="24"/>
        </w:rPr>
        <w:t>:-</w:t>
      </w:r>
      <w:r w:rsidR="004C6CCA">
        <w:rPr>
          <w:rFonts w:ascii="Times New Roman" w:hAnsi="Times New Roman"/>
          <w:sz w:val="24"/>
        </w:rPr>
        <w:t xml:space="preserve"> </w:t>
      </w:r>
    </w:p>
    <w:p w14:paraId="0B470FE5" w14:textId="33D6C292" w:rsidR="005E4D2B" w:rsidRDefault="004C6CCA" w:rsidP="0067174B">
      <w:pPr>
        <w:pStyle w:val="ListParagraph"/>
        <w:tabs>
          <w:tab w:val="left" w:pos="567"/>
        </w:tabs>
        <w:spacing w:line="480" w:lineRule="auto"/>
        <w:ind w:left="567"/>
        <w:jc w:val="left"/>
        <w:rPr>
          <w:rFonts w:ascii="Times New Roman" w:hAnsi="Times New Roman"/>
          <w:sz w:val="24"/>
        </w:rPr>
      </w:pPr>
      <w:r w:rsidRPr="004C6CCA">
        <w:rPr>
          <w:rFonts w:ascii="Times New Roman" w:hAnsi="Times New Roman"/>
          <w:i/>
          <w:sz w:val="24"/>
        </w:rPr>
        <w:t>“</w:t>
      </w:r>
      <w:r w:rsidR="006079BE">
        <w:rPr>
          <w:rFonts w:ascii="Times New Roman" w:hAnsi="Times New Roman"/>
          <w:i/>
          <w:sz w:val="24"/>
        </w:rPr>
        <w:t xml:space="preserve">… </w:t>
      </w:r>
      <w:r w:rsidRPr="004C6CCA">
        <w:rPr>
          <w:rFonts w:ascii="Times New Roman" w:hAnsi="Times New Roman"/>
          <w:i/>
          <w:sz w:val="24"/>
        </w:rPr>
        <w:t>Chapter 7 of the SEA Environmental Report outlines in some detail the various alternatives considered and the reason that the preferred option</w:t>
      </w:r>
      <w:r w:rsidR="006079BE">
        <w:rPr>
          <w:rFonts w:ascii="Times New Roman" w:hAnsi="Times New Roman"/>
          <w:i/>
          <w:sz w:val="24"/>
        </w:rPr>
        <w:t xml:space="preserve"> </w:t>
      </w:r>
      <w:r w:rsidRPr="004C6CCA">
        <w:rPr>
          <w:rFonts w:ascii="Times New Roman" w:hAnsi="Times New Roman"/>
          <w:i/>
          <w:sz w:val="24"/>
        </w:rPr>
        <w:t>…was chosen</w:t>
      </w:r>
      <w:r w:rsidR="006079BE">
        <w:rPr>
          <w:rFonts w:ascii="Times New Roman" w:hAnsi="Times New Roman"/>
          <w:i/>
          <w:sz w:val="24"/>
        </w:rPr>
        <w:t xml:space="preserve">. </w:t>
      </w:r>
      <w:r w:rsidRPr="004C6CCA">
        <w:rPr>
          <w:rFonts w:ascii="Times New Roman" w:hAnsi="Times New Roman"/>
          <w:i/>
          <w:sz w:val="24"/>
        </w:rPr>
        <w:t>…  For this, six strateg</w:t>
      </w:r>
      <w:r w:rsidR="006079BE">
        <w:rPr>
          <w:rFonts w:ascii="Times New Roman" w:hAnsi="Times New Roman"/>
          <w:i/>
          <w:sz w:val="24"/>
        </w:rPr>
        <w:t>y</w:t>
      </w:r>
      <w:r w:rsidRPr="004C6CCA">
        <w:rPr>
          <w:rFonts w:ascii="Times New Roman" w:hAnsi="Times New Roman"/>
          <w:i/>
          <w:sz w:val="24"/>
        </w:rPr>
        <w:t xml:space="preserve"> alternatives (Option 1-6) were developed which were strategic in nature and </w:t>
      </w:r>
      <w:r w:rsidR="006079BE">
        <w:rPr>
          <w:rFonts w:ascii="Times New Roman" w:hAnsi="Times New Roman"/>
          <w:i/>
          <w:sz w:val="24"/>
        </w:rPr>
        <w:t>within</w:t>
      </w:r>
      <w:r w:rsidRPr="004C6CCA">
        <w:rPr>
          <w:rFonts w:ascii="Times New Roman" w:hAnsi="Times New Roman"/>
          <w:i/>
          <w:sz w:val="24"/>
        </w:rPr>
        <w:t xml:space="preserve"> the competence of the respondents.  The qualitative assessment was carried out on each option comparing the likely impacts against the SEOs.  Therefore, a qualitative assessment based on expert judgment was carried out on the alternatives, contrary to the applicant’s claim.</w:t>
      </w:r>
      <w:r>
        <w:rPr>
          <w:rFonts w:ascii="Times New Roman" w:hAnsi="Times New Roman"/>
          <w:i/>
          <w:sz w:val="24"/>
        </w:rPr>
        <w:t>”</w:t>
      </w:r>
      <w:r w:rsidR="005E4D2B">
        <w:rPr>
          <w:rFonts w:ascii="Times New Roman" w:hAnsi="Times New Roman"/>
          <w:sz w:val="24"/>
        </w:rPr>
        <w:t xml:space="preserve"> </w:t>
      </w:r>
      <w:r w:rsidR="009D4921">
        <w:rPr>
          <w:rFonts w:ascii="Times New Roman" w:hAnsi="Times New Roman"/>
          <w:sz w:val="24"/>
        </w:rPr>
        <w:t xml:space="preserve"> </w:t>
      </w:r>
    </w:p>
    <w:p w14:paraId="40396F93" w14:textId="588AD1A0" w:rsidR="009D4921" w:rsidRDefault="004C6CCA"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Leave to seek judicial review was granted on 14 May 2018 and the </w:t>
      </w:r>
      <w:r w:rsidR="006079BE">
        <w:rPr>
          <w:rFonts w:ascii="Times New Roman" w:hAnsi="Times New Roman"/>
          <w:sz w:val="24"/>
        </w:rPr>
        <w:t>s</w:t>
      </w:r>
      <w:r>
        <w:rPr>
          <w:rFonts w:ascii="Times New Roman" w:hAnsi="Times New Roman"/>
          <w:sz w:val="24"/>
        </w:rPr>
        <w:t xml:space="preserve">tatement of </w:t>
      </w:r>
      <w:r w:rsidR="006079BE">
        <w:rPr>
          <w:rFonts w:ascii="Times New Roman" w:hAnsi="Times New Roman"/>
          <w:sz w:val="24"/>
        </w:rPr>
        <w:t>g</w:t>
      </w:r>
      <w:r>
        <w:rPr>
          <w:rFonts w:ascii="Times New Roman" w:hAnsi="Times New Roman"/>
          <w:sz w:val="24"/>
        </w:rPr>
        <w:t xml:space="preserve">rounds were amended on </w:t>
      </w:r>
      <w:r w:rsidR="006079BE">
        <w:rPr>
          <w:rFonts w:ascii="Times New Roman" w:hAnsi="Times New Roman"/>
          <w:bCs/>
          <w:sz w:val="24"/>
        </w:rPr>
        <w:t>23 November 2018</w:t>
      </w:r>
      <w:r>
        <w:rPr>
          <w:rFonts w:ascii="Times New Roman" w:hAnsi="Times New Roman"/>
          <w:sz w:val="24"/>
        </w:rPr>
        <w:t xml:space="preserve">.  </w:t>
      </w:r>
      <w:r w:rsidR="00A32008">
        <w:rPr>
          <w:rFonts w:ascii="Times New Roman" w:hAnsi="Times New Roman"/>
          <w:sz w:val="24"/>
        </w:rPr>
        <w:t>N</w:t>
      </w:r>
      <w:r>
        <w:rPr>
          <w:rFonts w:ascii="Times New Roman" w:hAnsi="Times New Roman"/>
          <w:sz w:val="24"/>
        </w:rPr>
        <w:t>early two years after the proceedings commenced</w:t>
      </w:r>
      <w:r w:rsidR="006079BE">
        <w:rPr>
          <w:rFonts w:ascii="Times New Roman" w:hAnsi="Times New Roman"/>
          <w:sz w:val="24"/>
        </w:rPr>
        <w:t>,</w:t>
      </w:r>
      <w:r>
        <w:rPr>
          <w:rFonts w:ascii="Times New Roman" w:hAnsi="Times New Roman"/>
          <w:sz w:val="24"/>
        </w:rPr>
        <w:t xml:space="preserve"> the applicant delivered its written submissions dated 10 February 2020.  For the first time</w:t>
      </w:r>
      <w:r w:rsidR="00814545">
        <w:rPr>
          <w:rFonts w:ascii="Times New Roman" w:hAnsi="Times New Roman"/>
          <w:sz w:val="24"/>
        </w:rPr>
        <w:t>,</w:t>
      </w:r>
      <w:r>
        <w:rPr>
          <w:rFonts w:ascii="Times New Roman" w:hAnsi="Times New Roman"/>
          <w:sz w:val="24"/>
        </w:rPr>
        <w:t xml:space="preserve"> </w:t>
      </w:r>
      <w:r w:rsidR="0011278E">
        <w:rPr>
          <w:rFonts w:ascii="Times New Roman" w:hAnsi="Times New Roman"/>
          <w:sz w:val="24"/>
        </w:rPr>
        <w:t>the applicant ma</w:t>
      </w:r>
      <w:r w:rsidR="00A32008">
        <w:rPr>
          <w:rFonts w:ascii="Times New Roman" w:hAnsi="Times New Roman"/>
          <w:sz w:val="24"/>
        </w:rPr>
        <w:t>d</w:t>
      </w:r>
      <w:r w:rsidR="0011278E">
        <w:rPr>
          <w:rFonts w:ascii="Times New Roman" w:hAnsi="Times New Roman"/>
          <w:sz w:val="24"/>
        </w:rPr>
        <w:t xml:space="preserve">e the case that it was a requirement of the SEA Directive that all reasonable alternatives must be subjected to </w:t>
      </w:r>
      <w:r w:rsidR="00A32008">
        <w:rPr>
          <w:rFonts w:ascii="Times New Roman" w:hAnsi="Times New Roman"/>
          <w:sz w:val="24"/>
        </w:rPr>
        <w:t xml:space="preserve">assessment </w:t>
      </w:r>
      <w:r w:rsidR="0011278E">
        <w:rPr>
          <w:rFonts w:ascii="Times New Roman" w:hAnsi="Times New Roman"/>
          <w:sz w:val="24"/>
        </w:rPr>
        <w:t xml:space="preserve">comparable </w:t>
      </w:r>
      <w:r w:rsidR="00A32008">
        <w:rPr>
          <w:rFonts w:ascii="Times New Roman" w:hAnsi="Times New Roman"/>
          <w:sz w:val="24"/>
        </w:rPr>
        <w:t>to</w:t>
      </w:r>
      <w:r w:rsidR="0011278E">
        <w:rPr>
          <w:rFonts w:ascii="Times New Roman" w:hAnsi="Times New Roman"/>
          <w:sz w:val="24"/>
        </w:rPr>
        <w:t xml:space="preserve"> </w:t>
      </w:r>
      <w:r w:rsidR="00A32008">
        <w:rPr>
          <w:rFonts w:ascii="Times New Roman" w:hAnsi="Times New Roman"/>
          <w:sz w:val="24"/>
        </w:rPr>
        <w:t xml:space="preserve">that of </w:t>
      </w:r>
      <w:r w:rsidR="0011278E">
        <w:rPr>
          <w:rFonts w:ascii="Times New Roman" w:hAnsi="Times New Roman"/>
          <w:sz w:val="24"/>
        </w:rPr>
        <w:t xml:space="preserve">the preferred option.  </w:t>
      </w:r>
      <w:r w:rsidR="00A32008">
        <w:rPr>
          <w:rFonts w:ascii="Times New Roman" w:hAnsi="Times New Roman"/>
          <w:sz w:val="24"/>
        </w:rPr>
        <w:t>It</w:t>
      </w:r>
      <w:r w:rsidR="0011278E">
        <w:rPr>
          <w:rFonts w:ascii="Times New Roman" w:hAnsi="Times New Roman"/>
          <w:sz w:val="24"/>
        </w:rPr>
        <w:t xml:space="preserve"> submi</w:t>
      </w:r>
      <w:r w:rsidR="00A32008">
        <w:rPr>
          <w:rFonts w:ascii="Times New Roman" w:hAnsi="Times New Roman"/>
          <w:sz w:val="24"/>
        </w:rPr>
        <w:t>tted</w:t>
      </w:r>
      <w:r w:rsidR="0011278E">
        <w:rPr>
          <w:rFonts w:ascii="Times New Roman" w:hAnsi="Times New Roman"/>
          <w:sz w:val="24"/>
        </w:rPr>
        <w:t xml:space="preserve"> that the European Commission Implementation Guidelines for the Directive (2003)</w:t>
      </w:r>
      <w:r w:rsidR="000637EC">
        <w:rPr>
          <w:rFonts w:ascii="Times New Roman" w:hAnsi="Times New Roman"/>
          <w:sz w:val="24"/>
        </w:rPr>
        <w:t xml:space="preserve">, </w:t>
      </w:r>
      <w:r w:rsidR="0011278E">
        <w:rPr>
          <w:rFonts w:ascii="Times New Roman" w:hAnsi="Times New Roman"/>
          <w:sz w:val="24"/>
        </w:rPr>
        <w:t>at para. 5.12</w:t>
      </w:r>
      <w:r w:rsidR="000637EC">
        <w:rPr>
          <w:rFonts w:ascii="Times New Roman" w:hAnsi="Times New Roman"/>
          <w:sz w:val="24"/>
        </w:rPr>
        <w:t>,</w:t>
      </w:r>
      <w:r w:rsidR="0011278E">
        <w:rPr>
          <w:rFonts w:ascii="Times New Roman" w:hAnsi="Times New Roman"/>
          <w:sz w:val="24"/>
        </w:rPr>
        <w:t xml:space="preserve"> makes no distinction between the assessment requirements for the draft plan or program</w:t>
      </w:r>
      <w:r w:rsidR="00D3168B">
        <w:rPr>
          <w:rFonts w:ascii="Times New Roman" w:hAnsi="Times New Roman"/>
          <w:sz w:val="24"/>
        </w:rPr>
        <w:t>me</w:t>
      </w:r>
      <w:r w:rsidR="0011278E">
        <w:rPr>
          <w:rFonts w:ascii="Times New Roman" w:hAnsi="Times New Roman"/>
          <w:sz w:val="24"/>
        </w:rPr>
        <w:t xml:space="preserve"> and for the alternatives</w:t>
      </w:r>
      <w:r w:rsidR="00DF51A0">
        <w:rPr>
          <w:rFonts w:ascii="Times New Roman" w:hAnsi="Times New Roman"/>
          <w:sz w:val="24"/>
        </w:rPr>
        <w:t>,</w:t>
      </w:r>
      <w:r w:rsidR="0011278E">
        <w:rPr>
          <w:rFonts w:ascii="Times New Roman" w:hAnsi="Times New Roman"/>
          <w:sz w:val="24"/>
        </w:rPr>
        <w:t xml:space="preserve"> and the alternatives must be identified, described and evaluat</w:t>
      </w:r>
      <w:r w:rsidR="00081A42">
        <w:rPr>
          <w:rFonts w:ascii="Times New Roman" w:hAnsi="Times New Roman"/>
          <w:sz w:val="24"/>
        </w:rPr>
        <w:t>ed</w:t>
      </w:r>
      <w:r w:rsidR="0011278E">
        <w:rPr>
          <w:rFonts w:ascii="Times New Roman" w:hAnsi="Times New Roman"/>
          <w:sz w:val="24"/>
        </w:rPr>
        <w:t xml:space="preserve"> in a comparable way.  They say that the requirements in Article 5(2) and Annex </w:t>
      </w:r>
      <w:r w:rsidR="00DA01FB">
        <w:rPr>
          <w:rFonts w:ascii="Times New Roman" w:hAnsi="Times New Roman"/>
          <w:sz w:val="24"/>
        </w:rPr>
        <w:t>I</w:t>
      </w:r>
      <w:r w:rsidR="0011278E">
        <w:rPr>
          <w:rFonts w:ascii="Times New Roman" w:hAnsi="Times New Roman"/>
          <w:sz w:val="24"/>
        </w:rPr>
        <w:t xml:space="preserve"> of the Directive</w:t>
      </w:r>
      <w:r w:rsidR="00DF51A0">
        <w:rPr>
          <w:rFonts w:ascii="Times New Roman" w:hAnsi="Times New Roman"/>
          <w:sz w:val="24"/>
        </w:rPr>
        <w:t>,</w:t>
      </w:r>
      <w:r w:rsidR="0011278E">
        <w:rPr>
          <w:rFonts w:ascii="Times New Roman" w:hAnsi="Times New Roman"/>
          <w:sz w:val="24"/>
        </w:rPr>
        <w:t xml:space="preserve"> concerning the scope and level of detail for the information in the Environmental Report</w:t>
      </w:r>
      <w:r w:rsidR="00DF51A0">
        <w:rPr>
          <w:rFonts w:ascii="Times New Roman" w:hAnsi="Times New Roman"/>
          <w:sz w:val="24"/>
        </w:rPr>
        <w:t>,</w:t>
      </w:r>
      <w:r w:rsidR="0011278E">
        <w:rPr>
          <w:rFonts w:ascii="Times New Roman" w:hAnsi="Times New Roman"/>
          <w:sz w:val="24"/>
        </w:rPr>
        <w:t xml:space="preserve"> apply to the assessment of alternatives as well.  </w:t>
      </w:r>
      <w:r>
        <w:rPr>
          <w:rFonts w:ascii="Times New Roman" w:hAnsi="Times New Roman"/>
          <w:sz w:val="24"/>
        </w:rPr>
        <w:t xml:space="preserve"> </w:t>
      </w:r>
    </w:p>
    <w:p w14:paraId="767A3AC2" w14:textId="6098DB7D" w:rsidR="0011278E" w:rsidRDefault="0011278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sa</w:t>
      </w:r>
      <w:r w:rsidR="00A32008">
        <w:rPr>
          <w:rFonts w:ascii="Times New Roman" w:hAnsi="Times New Roman"/>
          <w:sz w:val="24"/>
        </w:rPr>
        <w:t>id</w:t>
      </w:r>
      <w:r>
        <w:rPr>
          <w:rFonts w:ascii="Times New Roman" w:hAnsi="Times New Roman"/>
          <w:sz w:val="24"/>
        </w:rPr>
        <w:t xml:space="preserve"> that this is reflected in the Irish Guidelines published by the Department of the Environment, Heritage and Local Government (2004) and they rel</w:t>
      </w:r>
      <w:r w:rsidR="00A32008">
        <w:rPr>
          <w:rFonts w:ascii="Times New Roman" w:hAnsi="Times New Roman"/>
          <w:sz w:val="24"/>
        </w:rPr>
        <w:t>ied</w:t>
      </w:r>
      <w:r>
        <w:rPr>
          <w:rFonts w:ascii="Times New Roman" w:hAnsi="Times New Roman"/>
          <w:sz w:val="24"/>
        </w:rPr>
        <w:t xml:space="preserve"> upon decisions of the </w:t>
      </w:r>
      <w:r w:rsidR="000637EC">
        <w:rPr>
          <w:rFonts w:ascii="Times New Roman" w:hAnsi="Times New Roman"/>
          <w:sz w:val="24"/>
        </w:rPr>
        <w:t>c</w:t>
      </w:r>
      <w:r>
        <w:rPr>
          <w:rFonts w:ascii="Times New Roman" w:hAnsi="Times New Roman"/>
          <w:sz w:val="24"/>
        </w:rPr>
        <w:t xml:space="preserve">ourts of </w:t>
      </w:r>
      <w:r w:rsidR="00A32008">
        <w:rPr>
          <w:rFonts w:ascii="Times New Roman" w:hAnsi="Times New Roman"/>
          <w:sz w:val="24"/>
        </w:rPr>
        <w:t>England and Wales</w:t>
      </w:r>
      <w:r>
        <w:rPr>
          <w:rFonts w:ascii="Times New Roman" w:hAnsi="Times New Roman"/>
          <w:sz w:val="24"/>
        </w:rPr>
        <w:t xml:space="preserve"> which, according to the applicant, interpreted the Directive (and the transposing </w:t>
      </w:r>
      <w:r w:rsidR="00A32008">
        <w:rPr>
          <w:rFonts w:ascii="Times New Roman" w:hAnsi="Times New Roman"/>
          <w:sz w:val="24"/>
        </w:rPr>
        <w:t>r</w:t>
      </w:r>
      <w:r>
        <w:rPr>
          <w:rFonts w:ascii="Times New Roman" w:hAnsi="Times New Roman"/>
          <w:sz w:val="24"/>
        </w:rPr>
        <w:t>egulations) in th</w:t>
      </w:r>
      <w:r w:rsidR="00A32008">
        <w:rPr>
          <w:rFonts w:ascii="Times New Roman" w:hAnsi="Times New Roman"/>
          <w:sz w:val="24"/>
        </w:rPr>
        <w:t>ese terms</w:t>
      </w:r>
      <w:r>
        <w:rPr>
          <w:rFonts w:ascii="Times New Roman" w:hAnsi="Times New Roman"/>
          <w:sz w:val="24"/>
        </w:rPr>
        <w:t xml:space="preserve">.  In particular, </w:t>
      </w:r>
      <w:r w:rsidR="00A32008">
        <w:rPr>
          <w:rFonts w:ascii="Times New Roman" w:hAnsi="Times New Roman"/>
          <w:sz w:val="24"/>
        </w:rPr>
        <w:t>it</w:t>
      </w:r>
      <w:r>
        <w:rPr>
          <w:rFonts w:ascii="Times New Roman" w:hAnsi="Times New Roman"/>
          <w:sz w:val="24"/>
        </w:rPr>
        <w:t xml:space="preserve"> refer</w:t>
      </w:r>
      <w:r w:rsidR="00A32008">
        <w:rPr>
          <w:rFonts w:ascii="Times New Roman" w:hAnsi="Times New Roman"/>
          <w:sz w:val="24"/>
        </w:rPr>
        <w:t>red</w:t>
      </w:r>
      <w:r>
        <w:rPr>
          <w:rFonts w:ascii="Times New Roman" w:hAnsi="Times New Roman"/>
          <w:sz w:val="24"/>
        </w:rPr>
        <w:t xml:space="preserve"> to the cases of </w:t>
      </w:r>
      <w:r>
        <w:rPr>
          <w:rFonts w:ascii="Times New Roman" w:hAnsi="Times New Roman"/>
          <w:i/>
          <w:sz w:val="24"/>
        </w:rPr>
        <w:t>Sa</w:t>
      </w:r>
      <w:r w:rsidR="00A32008">
        <w:rPr>
          <w:rFonts w:ascii="Times New Roman" w:hAnsi="Times New Roman"/>
          <w:i/>
          <w:sz w:val="24"/>
        </w:rPr>
        <w:t>v</w:t>
      </w:r>
      <w:r>
        <w:rPr>
          <w:rFonts w:ascii="Times New Roman" w:hAnsi="Times New Roman"/>
          <w:i/>
          <w:sz w:val="24"/>
        </w:rPr>
        <w:t xml:space="preserve">e Historic Newmarket </w:t>
      </w:r>
      <w:r w:rsidR="00A32008">
        <w:rPr>
          <w:rFonts w:ascii="Times New Roman" w:hAnsi="Times New Roman"/>
          <w:i/>
          <w:sz w:val="24"/>
        </w:rPr>
        <w:t>Ltd.</w:t>
      </w:r>
      <w:r w:rsidR="00081A42">
        <w:rPr>
          <w:rFonts w:ascii="Times New Roman" w:hAnsi="Times New Roman"/>
          <w:i/>
          <w:sz w:val="24"/>
        </w:rPr>
        <w:t xml:space="preserve"> </w:t>
      </w:r>
      <w:r>
        <w:rPr>
          <w:rFonts w:ascii="Times New Roman" w:hAnsi="Times New Roman"/>
          <w:i/>
          <w:sz w:val="24"/>
        </w:rPr>
        <w:t xml:space="preserve">v. Forest Heath District Council </w:t>
      </w:r>
      <w:r>
        <w:rPr>
          <w:rFonts w:ascii="Times New Roman" w:hAnsi="Times New Roman"/>
          <w:sz w:val="24"/>
        </w:rPr>
        <w:t xml:space="preserve">[2011] EWHC 606 and </w:t>
      </w:r>
      <w:r>
        <w:rPr>
          <w:rFonts w:ascii="Times New Roman" w:hAnsi="Times New Roman"/>
          <w:i/>
          <w:sz w:val="24"/>
        </w:rPr>
        <w:t xml:space="preserve">Calverton </w:t>
      </w:r>
      <w:r w:rsidR="004F14A7">
        <w:rPr>
          <w:rFonts w:ascii="Times New Roman" w:hAnsi="Times New Roman"/>
          <w:i/>
          <w:sz w:val="24"/>
        </w:rPr>
        <w:t xml:space="preserve">Parish Council v. Nottingham City Council </w:t>
      </w:r>
      <w:r w:rsidR="004F14A7">
        <w:rPr>
          <w:rFonts w:ascii="Times New Roman" w:hAnsi="Times New Roman"/>
          <w:sz w:val="24"/>
        </w:rPr>
        <w:t>[2015] EWHC 1078.</w:t>
      </w:r>
    </w:p>
    <w:p w14:paraId="4A2D14F2" w14:textId="77777777" w:rsidR="004F14A7" w:rsidRDefault="004F14A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filed replying submissions dated 6 March 2020 and they addressed this new point raised for the first time in paras. 39 and 40</w:t>
      </w:r>
      <w:r w:rsidR="00A32008">
        <w:rPr>
          <w:rFonts w:ascii="Times New Roman" w:hAnsi="Times New Roman"/>
          <w:sz w:val="24"/>
        </w:rPr>
        <w:t xml:space="preserve"> of their submissions</w:t>
      </w:r>
      <w:r>
        <w:rPr>
          <w:rFonts w:ascii="Times New Roman" w:hAnsi="Times New Roman"/>
          <w:sz w:val="24"/>
        </w:rPr>
        <w:t xml:space="preserve">.  They addressed the Commission’s </w:t>
      </w:r>
      <w:r w:rsidR="00A32008">
        <w:rPr>
          <w:rFonts w:ascii="Times New Roman" w:hAnsi="Times New Roman"/>
          <w:sz w:val="24"/>
        </w:rPr>
        <w:t>G</w:t>
      </w:r>
      <w:r>
        <w:rPr>
          <w:rFonts w:ascii="Times New Roman" w:hAnsi="Times New Roman"/>
          <w:sz w:val="24"/>
        </w:rPr>
        <w:t xml:space="preserve">uidance on the implementation of the Directive and referred to a further English case, </w:t>
      </w:r>
      <w:r>
        <w:rPr>
          <w:rFonts w:ascii="Times New Roman" w:hAnsi="Times New Roman"/>
          <w:i/>
          <w:sz w:val="24"/>
        </w:rPr>
        <w:t>R (The Friends of the Earth, England, Wales and Northern Ireland</w:t>
      </w:r>
      <w:r w:rsidR="00A32008">
        <w:rPr>
          <w:rFonts w:ascii="Times New Roman" w:hAnsi="Times New Roman"/>
          <w:i/>
          <w:sz w:val="24"/>
        </w:rPr>
        <w:t>)</w:t>
      </w:r>
      <w:r>
        <w:rPr>
          <w:rFonts w:ascii="Times New Roman" w:hAnsi="Times New Roman"/>
          <w:i/>
          <w:sz w:val="24"/>
        </w:rPr>
        <w:t xml:space="preserve"> v. </w:t>
      </w:r>
      <w:r w:rsidR="00A32008">
        <w:rPr>
          <w:rFonts w:ascii="Times New Roman" w:hAnsi="Times New Roman"/>
          <w:i/>
          <w:sz w:val="24"/>
        </w:rPr>
        <w:t>T</w:t>
      </w:r>
      <w:r>
        <w:rPr>
          <w:rFonts w:ascii="Times New Roman" w:hAnsi="Times New Roman"/>
          <w:i/>
          <w:sz w:val="24"/>
        </w:rPr>
        <w:t xml:space="preserve">he Welsh Ministers </w:t>
      </w:r>
      <w:r w:rsidRPr="004F14A7">
        <w:rPr>
          <w:rFonts w:ascii="Times New Roman" w:hAnsi="Times New Roman"/>
          <w:sz w:val="24"/>
        </w:rPr>
        <w:t>[2015] EWHC 776</w:t>
      </w:r>
      <w:r>
        <w:rPr>
          <w:rFonts w:ascii="Times New Roman" w:hAnsi="Times New Roman"/>
          <w:i/>
          <w:sz w:val="24"/>
        </w:rPr>
        <w:t>.</w:t>
      </w:r>
    </w:p>
    <w:p w14:paraId="3E89541E" w14:textId="7FE9A23D" w:rsidR="004F14A7" w:rsidRDefault="004F14A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The respondents argued that the applicant had failed to comply with the requirements of O.</w:t>
      </w:r>
      <w:r w:rsidR="006E08E9">
        <w:rPr>
          <w:rFonts w:ascii="Times New Roman" w:hAnsi="Times New Roman"/>
          <w:sz w:val="24"/>
        </w:rPr>
        <w:t xml:space="preserve"> </w:t>
      </w:r>
      <w:r>
        <w:rPr>
          <w:rFonts w:ascii="Times New Roman" w:hAnsi="Times New Roman"/>
          <w:sz w:val="24"/>
        </w:rPr>
        <w:t>84, r. 20(3) of the Rules of the Superior Courts by not pleading its case with appropriate particularity.  But th</w:t>
      </w:r>
      <w:r w:rsidR="00A32008">
        <w:rPr>
          <w:rFonts w:ascii="Times New Roman" w:hAnsi="Times New Roman"/>
          <w:sz w:val="24"/>
        </w:rPr>
        <w:t>is</w:t>
      </w:r>
      <w:r>
        <w:rPr>
          <w:rFonts w:ascii="Times New Roman" w:hAnsi="Times New Roman"/>
          <w:sz w:val="24"/>
        </w:rPr>
        <w:t xml:space="preserve"> was in respect of the claim relating to climate change and allegations of interference with personal constitutional rights</w:t>
      </w:r>
      <w:r w:rsidR="00A32008">
        <w:rPr>
          <w:rFonts w:ascii="Times New Roman" w:hAnsi="Times New Roman"/>
          <w:sz w:val="24"/>
        </w:rPr>
        <w:t>; i</w:t>
      </w:r>
      <w:r>
        <w:rPr>
          <w:rFonts w:ascii="Times New Roman" w:hAnsi="Times New Roman"/>
          <w:sz w:val="24"/>
        </w:rPr>
        <w:t xml:space="preserve">t was not in respect of the plea of comparable assessment of reasonable alternatives.  </w:t>
      </w:r>
    </w:p>
    <w:p w14:paraId="356CD253" w14:textId="40315985" w:rsidR="00F12A4F" w:rsidRDefault="004F14A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hearing took place</w:t>
      </w:r>
      <w:r w:rsidR="008D2662">
        <w:rPr>
          <w:rFonts w:ascii="Times New Roman" w:hAnsi="Times New Roman"/>
          <w:sz w:val="24"/>
        </w:rPr>
        <w:t xml:space="preserve"> </w:t>
      </w:r>
      <w:r w:rsidR="006E08E9">
        <w:rPr>
          <w:rFonts w:ascii="Times New Roman" w:hAnsi="Times New Roman"/>
          <w:sz w:val="24"/>
        </w:rPr>
        <w:t xml:space="preserve">from </w:t>
      </w:r>
      <w:r>
        <w:rPr>
          <w:rFonts w:ascii="Times New Roman" w:hAnsi="Times New Roman"/>
          <w:sz w:val="24"/>
        </w:rPr>
        <w:t>10</w:t>
      </w:r>
      <w:r w:rsidR="008D2662">
        <w:rPr>
          <w:rFonts w:ascii="Times New Roman" w:hAnsi="Times New Roman"/>
          <w:sz w:val="24"/>
        </w:rPr>
        <w:t>-</w:t>
      </w:r>
      <w:r>
        <w:rPr>
          <w:rFonts w:ascii="Times New Roman" w:hAnsi="Times New Roman"/>
          <w:sz w:val="24"/>
        </w:rPr>
        <w:t xml:space="preserve">13 March and </w:t>
      </w:r>
      <w:r w:rsidR="006E08E9">
        <w:rPr>
          <w:rFonts w:ascii="Times New Roman" w:hAnsi="Times New Roman"/>
          <w:sz w:val="24"/>
        </w:rPr>
        <w:t xml:space="preserve">on </w:t>
      </w:r>
      <w:r>
        <w:rPr>
          <w:rFonts w:ascii="Times New Roman" w:hAnsi="Times New Roman"/>
          <w:sz w:val="24"/>
        </w:rPr>
        <w:t xml:space="preserve">20 March </w:t>
      </w:r>
      <w:r w:rsidR="008D2662">
        <w:rPr>
          <w:rFonts w:ascii="Times New Roman" w:hAnsi="Times New Roman"/>
          <w:sz w:val="24"/>
        </w:rPr>
        <w:t>2020</w:t>
      </w:r>
      <w:r w:rsidR="00841E81">
        <w:rPr>
          <w:rFonts w:ascii="Times New Roman" w:hAnsi="Times New Roman"/>
          <w:sz w:val="24"/>
        </w:rPr>
        <w:t>,</w:t>
      </w:r>
      <w:r w:rsidR="008D2662">
        <w:rPr>
          <w:rFonts w:ascii="Times New Roman" w:hAnsi="Times New Roman"/>
          <w:sz w:val="24"/>
        </w:rPr>
        <w:t xml:space="preserve"> </w:t>
      </w:r>
      <w:r>
        <w:rPr>
          <w:rFonts w:ascii="Times New Roman" w:hAnsi="Times New Roman"/>
          <w:sz w:val="24"/>
        </w:rPr>
        <w:t xml:space="preserve">and the </w:t>
      </w:r>
      <w:r w:rsidR="008D2662">
        <w:rPr>
          <w:rFonts w:ascii="Times New Roman" w:hAnsi="Times New Roman"/>
          <w:sz w:val="24"/>
        </w:rPr>
        <w:t>parties</w:t>
      </w:r>
      <w:r>
        <w:rPr>
          <w:rFonts w:ascii="Times New Roman" w:hAnsi="Times New Roman"/>
          <w:sz w:val="24"/>
        </w:rPr>
        <w:t xml:space="preserve"> elaborated </w:t>
      </w:r>
      <w:r w:rsidR="008D2662">
        <w:rPr>
          <w:rFonts w:ascii="Times New Roman" w:hAnsi="Times New Roman"/>
          <w:sz w:val="24"/>
        </w:rPr>
        <w:t xml:space="preserve">their respective arguments on comparable assessment of the reasonable alternatives </w:t>
      </w:r>
      <w:r>
        <w:rPr>
          <w:rFonts w:ascii="Times New Roman" w:hAnsi="Times New Roman"/>
          <w:sz w:val="24"/>
        </w:rPr>
        <w:t xml:space="preserve">in oral submissions.  This occurred one month after the respondents had notice of this refinement </w:t>
      </w:r>
      <w:r w:rsidR="008D2662">
        <w:rPr>
          <w:rFonts w:ascii="Times New Roman" w:hAnsi="Times New Roman"/>
          <w:sz w:val="24"/>
        </w:rPr>
        <w:t>– or amendment</w:t>
      </w:r>
      <w:r w:rsidR="006E08E9">
        <w:rPr>
          <w:rFonts w:ascii="Times New Roman" w:hAnsi="Times New Roman"/>
          <w:sz w:val="24"/>
        </w:rPr>
        <w:t xml:space="preserve"> –</w:t>
      </w:r>
      <w:r w:rsidR="008D2662">
        <w:rPr>
          <w:rFonts w:ascii="Times New Roman" w:hAnsi="Times New Roman"/>
          <w:sz w:val="24"/>
        </w:rPr>
        <w:t xml:space="preserve"> </w:t>
      </w:r>
      <w:r>
        <w:rPr>
          <w:rFonts w:ascii="Times New Roman" w:hAnsi="Times New Roman"/>
          <w:sz w:val="24"/>
        </w:rPr>
        <w:t xml:space="preserve">of the arguments of the applicant.  The respondents objected to the applicant raising this argument </w:t>
      </w:r>
      <w:r w:rsidR="008D2662">
        <w:rPr>
          <w:rFonts w:ascii="Times New Roman" w:hAnsi="Times New Roman"/>
          <w:sz w:val="24"/>
        </w:rPr>
        <w:t>at all</w:t>
      </w:r>
      <w:r w:rsidR="006E08E9">
        <w:rPr>
          <w:rFonts w:ascii="Times New Roman" w:hAnsi="Times New Roman"/>
          <w:sz w:val="24"/>
        </w:rPr>
        <w:t>,</w:t>
      </w:r>
      <w:r w:rsidR="008D2662">
        <w:rPr>
          <w:rFonts w:ascii="Times New Roman" w:hAnsi="Times New Roman"/>
          <w:sz w:val="24"/>
        </w:rPr>
        <w:t xml:space="preserve"> </w:t>
      </w:r>
      <w:r>
        <w:rPr>
          <w:rFonts w:ascii="Times New Roman" w:hAnsi="Times New Roman"/>
          <w:sz w:val="24"/>
        </w:rPr>
        <w:t xml:space="preserve">and at para. 62 of his judgment the trial judge found that there was no substance to the objection.  He accepted that </w:t>
      </w:r>
      <w:r>
        <w:rPr>
          <w:rFonts w:ascii="Times New Roman" w:hAnsi="Times New Roman"/>
          <w:i/>
          <w:sz w:val="24"/>
        </w:rPr>
        <w:t xml:space="preserve">“this </w:t>
      </w:r>
      <w:r w:rsidR="00F12A4F" w:rsidRPr="00F12A4F">
        <w:rPr>
          <w:rFonts w:ascii="Times New Roman" w:hAnsi="Times New Roman"/>
          <w:i/>
          <w:sz w:val="24"/>
        </w:rPr>
        <w:t>aspect of the case in the statement of grounds may not entirely cover the argument put forward</w:t>
      </w:r>
      <w:r w:rsidR="00F12A4F">
        <w:rPr>
          <w:rFonts w:ascii="Times New Roman" w:hAnsi="Times New Roman"/>
          <w:i/>
          <w:sz w:val="24"/>
        </w:rPr>
        <w:t>”</w:t>
      </w:r>
      <w:r w:rsidR="00F12A4F">
        <w:rPr>
          <w:rFonts w:ascii="Times New Roman" w:hAnsi="Times New Roman"/>
          <w:sz w:val="24"/>
        </w:rPr>
        <w:t xml:space="preserve"> but he referred to the fact that the respondents were afforded the opportunity to file </w:t>
      </w:r>
      <w:r w:rsidR="00F12A4F" w:rsidRPr="00F12A4F">
        <w:rPr>
          <w:rFonts w:ascii="Times New Roman" w:hAnsi="Times New Roman"/>
          <w:sz w:val="24"/>
        </w:rPr>
        <w:t>supplemental submissions on any additional aspects that ha</w:t>
      </w:r>
      <w:r w:rsidR="00116A39">
        <w:rPr>
          <w:rFonts w:ascii="Times New Roman" w:hAnsi="Times New Roman"/>
          <w:sz w:val="24"/>
        </w:rPr>
        <w:t>d</w:t>
      </w:r>
      <w:r w:rsidR="00F12A4F" w:rsidRPr="00F12A4F">
        <w:rPr>
          <w:rFonts w:ascii="Times New Roman" w:hAnsi="Times New Roman"/>
          <w:sz w:val="24"/>
        </w:rPr>
        <w:t xml:space="preserve"> been raised by the applicant in the course of its submissions or in its oral reply to the respondent</w:t>
      </w:r>
      <w:r w:rsidR="00116A39">
        <w:rPr>
          <w:rFonts w:ascii="Times New Roman" w:hAnsi="Times New Roman"/>
          <w:sz w:val="24"/>
        </w:rPr>
        <w:t>s’</w:t>
      </w:r>
      <w:r w:rsidR="00F12A4F" w:rsidRPr="00F12A4F">
        <w:rPr>
          <w:rFonts w:ascii="Times New Roman" w:hAnsi="Times New Roman"/>
          <w:sz w:val="24"/>
        </w:rPr>
        <w:t xml:space="preserve"> case.</w:t>
      </w:r>
      <w:r w:rsidR="00F12A4F">
        <w:rPr>
          <w:rFonts w:ascii="Times New Roman" w:hAnsi="Times New Roman"/>
          <w:sz w:val="24"/>
        </w:rPr>
        <w:t xml:space="preserve">  The respondents filed further submissions on 27 March 202</w:t>
      </w:r>
      <w:r w:rsidR="006E08E9">
        <w:rPr>
          <w:rFonts w:ascii="Times New Roman" w:hAnsi="Times New Roman"/>
          <w:sz w:val="24"/>
        </w:rPr>
        <w:t>0</w:t>
      </w:r>
      <w:r w:rsidR="00F12A4F">
        <w:rPr>
          <w:rFonts w:ascii="Times New Roman" w:hAnsi="Times New Roman"/>
          <w:sz w:val="24"/>
        </w:rPr>
        <w:t>.  They dealt with the issue of the assessment of reasonable alternatives over seven pages and</w:t>
      </w:r>
      <w:r w:rsidR="00DF51A0">
        <w:rPr>
          <w:rFonts w:ascii="Times New Roman" w:hAnsi="Times New Roman"/>
          <w:sz w:val="24"/>
        </w:rPr>
        <w:t>,</w:t>
      </w:r>
      <w:r w:rsidR="00F12A4F">
        <w:rPr>
          <w:rFonts w:ascii="Times New Roman" w:hAnsi="Times New Roman"/>
          <w:sz w:val="24"/>
        </w:rPr>
        <w:t xml:space="preserve"> accordingly</w:t>
      </w:r>
      <w:r w:rsidR="00DF51A0">
        <w:rPr>
          <w:rFonts w:ascii="Times New Roman" w:hAnsi="Times New Roman"/>
          <w:sz w:val="24"/>
        </w:rPr>
        <w:t>,</w:t>
      </w:r>
      <w:r w:rsidR="00F12A4F">
        <w:rPr>
          <w:rFonts w:ascii="Times New Roman" w:hAnsi="Times New Roman"/>
          <w:sz w:val="24"/>
        </w:rPr>
        <w:t xml:space="preserve"> the trial judge held that the respondents had had an adequate opportunity to address this aspect of the case. </w:t>
      </w:r>
    </w:p>
    <w:p w14:paraId="2ACD824F" w14:textId="40442C24" w:rsidR="00130A13" w:rsidRDefault="00F12A4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cross</w:t>
      </w:r>
      <w:r w:rsidR="006E08E9">
        <w:rPr>
          <w:rFonts w:ascii="Times New Roman" w:hAnsi="Times New Roman"/>
          <w:sz w:val="24"/>
        </w:rPr>
        <w:t>-</w:t>
      </w:r>
      <w:r>
        <w:rPr>
          <w:rFonts w:ascii="Times New Roman" w:hAnsi="Times New Roman"/>
          <w:sz w:val="24"/>
        </w:rPr>
        <w:t xml:space="preserve">appealed this finding </w:t>
      </w:r>
      <w:r w:rsidR="00130A13">
        <w:rPr>
          <w:rFonts w:ascii="Times New Roman" w:hAnsi="Times New Roman"/>
          <w:sz w:val="24"/>
        </w:rPr>
        <w:t>on the basis that the applicant had not been given leave to advance the new argument and</w:t>
      </w:r>
      <w:r w:rsidR="00DF51A0">
        <w:rPr>
          <w:rFonts w:ascii="Times New Roman" w:hAnsi="Times New Roman"/>
          <w:sz w:val="24"/>
        </w:rPr>
        <w:t>,</w:t>
      </w:r>
      <w:r w:rsidR="00130A13">
        <w:rPr>
          <w:rFonts w:ascii="Times New Roman" w:hAnsi="Times New Roman"/>
          <w:sz w:val="24"/>
        </w:rPr>
        <w:t xml:space="preserve"> in accordance with O.</w:t>
      </w:r>
      <w:r w:rsidR="006E08E9">
        <w:rPr>
          <w:rFonts w:ascii="Times New Roman" w:hAnsi="Times New Roman"/>
          <w:sz w:val="24"/>
        </w:rPr>
        <w:t xml:space="preserve"> </w:t>
      </w:r>
      <w:r w:rsidR="00130A13">
        <w:rPr>
          <w:rFonts w:ascii="Times New Roman" w:hAnsi="Times New Roman"/>
          <w:sz w:val="24"/>
        </w:rPr>
        <w:t>84, r.</w:t>
      </w:r>
      <w:r w:rsidR="006E08E9">
        <w:rPr>
          <w:rFonts w:ascii="Times New Roman" w:hAnsi="Times New Roman"/>
          <w:sz w:val="24"/>
        </w:rPr>
        <w:t xml:space="preserve"> </w:t>
      </w:r>
      <w:r w:rsidR="00130A13">
        <w:rPr>
          <w:rFonts w:ascii="Times New Roman" w:hAnsi="Times New Roman"/>
          <w:sz w:val="24"/>
        </w:rPr>
        <w:t>20</w:t>
      </w:r>
      <w:r w:rsidR="00DF51A0">
        <w:rPr>
          <w:rFonts w:ascii="Times New Roman" w:hAnsi="Times New Roman"/>
          <w:sz w:val="24"/>
        </w:rPr>
        <w:t xml:space="preserve"> RSC,</w:t>
      </w:r>
      <w:r w:rsidR="00130A13">
        <w:rPr>
          <w:rFonts w:ascii="Times New Roman" w:hAnsi="Times New Roman"/>
          <w:sz w:val="24"/>
        </w:rPr>
        <w:t xml:space="preserve"> it was confined to those grounds upon which leave had been granted.  </w:t>
      </w:r>
    </w:p>
    <w:p w14:paraId="290CE778" w14:textId="7828800A" w:rsidR="00F12A4F" w:rsidRDefault="00130A1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support of their cross</w:t>
      </w:r>
      <w:r w:rsidR="006E08E9">
        <w:rPr>
          <w:rFonts w:ascii="Times New Roman" w:hAnsi="Times New Roman"/>
          <w:sz w:val="24"/>
        </w:rPr>
        <w:t>-</w:t>
      </w:r>
      <w:r>
        <w:rPr>
          <w:rFonts w:ascii="Times New Roman" w:hAnsi="Times New Roman"/>
          <w:sz w:val="24"/>
        </w:rPr>
        <w:t>appeal</w:t>
      </w:r>
      <w:r w:rsidR="006E08E9">
        <w:rPr>
          <w:rFonts w:ascii="Times New Roman" w:hAnsi="Times New Roman"/>
          <w:sz w:val="24"/>
        </w:rPr>
        <w:t>,</w:t>
      </w:r>
      <w:r>
        <w:rPr>
          <w:rFonts w:ascii="Times New Roman" w:hAnsi="Times New Roman"/>
          <w:sz w:val="24"/>
        </w:rPr>
        <w:t xml:space="preserve"> the respondents relied upon the decision of the Supreme Court in </w:t>
      </w:r>
      <w:r>
        <w:rPr>
          <w:rFonts w:ascii="Times New Roman" w:hAnsi="Times New Roman"/>
          <w:i/>
          <w:sz w:val="24"/>
        </w:rPr>
        <w:t xml:space="preserve">AP v. DPP </w:t>
      </w:r>
      <w:r>
        <w:rPr>
          <w:rFonts w:ascii="Times New Roman" w:hAnsi="Times New Roman"/>
          <w:sz w:val="24"/>
        </w:rPr>
        <w:t>[2011] 1 I</w:t>
      </w:r>
      <w:r w:rsidR="00B56EC8">
        <w:rPr>
          <w:rFonts w:ascii="Times New Roman" w:hAnsi="Times New Roman"/>
          <w:sz w:val="24"/>
        </w:rPr>
        <w:t>.</w:t>
      </w:r>
      <w:r>
        <w:rPr>
          <w:rFonts w:ascii="Times New Roman" w:hAnsi="Times New Roman"/>
          <w:sz w:val="24"/>
        </w:rPr>
        <w:t>R</w:t>
      </w:r>
      <w:r w:rsidR="00B56EC8">
        <w:rPr>
          <w:rFonts w:ascii="Times New Roman" w:hAnsi="Times New Roman"/>
          <w:sz w:val="24"/>
        </w:rPr>
        <w:t>.</w:t>
      </w:r>
      <w:r>
        <w:rPr>
          <w:rFonts w:ascii="Times New Roman" w:hAnsi="Times New Roman"/>
          <w:sz w:val="24"/>
        </w:rPr>
        <w:t xml:space="preserve"> 729.  Murray C.J. at p. 732, para. 5, said that it was </w:t>
      </w:r>
      <w:r w:rsidR="00B56EC8">
        <w:rPr>
          <w:rFonts w:ascii="Times New Roman" w:hAnsi="Times New Roman"/>
          <w:sz w:val="24"/>
        </w:rPr>
        <w:t>essential that</w:t>
      </w:r>
      <w:r>
        <w:rPr>
          <w:rFonts w:ascii="Times New Roman" w:hAnsi="Times New Roman"/>
          <w:sz w:val="24"/>
        </w:rPr>
        <w:t xml:space="preserve"> an applicant for judicial review </w:t>
      </w:r>
      <w:r>
        <w:rPr>
          <w:rFonts w:ascii="Times New Roman" w:hAnsi="Times New Roman"/>
          <w:i/>
          <w:sz w:val="24"/>
        </w:rPr>
        <w:t>“</w:t>
      </w:r>
      <w:r w:rsidRPr="00130A13">
        <w:rPr>
          <w:rFonts w:ascii="Times New Roman" w:hAnsi="Times New Roman"/>
          <w:i/>
          <w:sz w:val="24"/>
        </w:rPr>
        <w:t>set</w:t>
      </w:r>
      <w:r w:rsidR="00B56EC8">
        <w:rPr>
          <w:rFonts w:ascii="Times New Roman" w:hAnsi="Times New Roman"/>
          <w:i/>
          <w:sz w:val="24"/>
        </w:rPr>
        <w:t>s</w:t>
      </w:r>
      <w:r w:rsidRPr="00130A13">
        <w:rPr>
          <w:rFonts w:ascii="Times New Roman" w:hAnsi="Times New Roman"/>
          <w:i/>
          <w:sz w:val="24"/>
        </w:rPr>
        <w:t xml:space="preserve"> out clearly and precisely each and </w:t>
      </w:r>
      <w:r w:rsidRPr="00130A13">
        <w:rPr>
          <w:rFonts w:ascii="Times New Roman" w:hAnsi="Times New Roman"/>
          <w:i/>
          <w:sz w:val="24"/>
        </w:rPr>
        <w:lastRenderedPageBreak/>
        <w:t>every ground upon which such relief is sought</w:t>
      </w:r>
      <w:r>
        <w:rPr>
          <w:rFonts w:ascii="Times New Roman" w:hAnsi="Times New Roman"/>
          <w:i/>
          <w:sz w:val="24"/>
        </w:rPr>
        <w:t>”</w:t>
      </w:r>
      <w:r>
        <w:rPr>
          <w:rFonts w:ascii="Times New Roman" w:hAnsi="Times New Roman"/>
          <w:sz w:val="24"/>
        </w:rPr>
        <w:t xml:space="preserve">.  </w:t>
      </w:r>
      <w:r w:rsidR="00B56EC8">
        <w:rPr>
          <w:rFonts w:ascii="Times New Roman" w:hAnsi="Times New Roman"/>
          <w:sz w:val="24"/>
        </w:rPr>
        <w:t xml:space="preserve">At p. 793, para. 43, </w:t>
      </w:r>
      <w:r>
        <w:rPr>
          <w:rFonts w:ascii="Times New Roman" w:hAnsi="Times New Roman"/>
          <w:sz w:val="24"/>
        </w:rPr>
        <w:t xml:space="preserve">Hardiman J. referred to </w:t>
      </w:r>
      <w:r>
        <w:rPr>
          <w:rFonts w:ascii="Times New Roman" w:hAnsi="Times New Roman"/>
          <w:i/>
          <w:sz w:val="24"/>
        </w:rPr>
        <w:t>“the absolute necessity for a precise defining of the grounds on which relief is sought”</w:t>
      </w:r>
      <w:r>
        <w:rPr>
          <w:rFonts w:ascii="Times New Roman" w:hAnsi="Times New Roman"/>
          <w:sz w:val="24"/>
        </w:rPr>
        <w:t>.  Order 84, r.</w:t>
      </w:r>
      <w:r w:rsidR="00607DFB">
        <w:rPr>
          <w:rFonts w:ascii="Times New Roman" w:hAnsi="Times New Roman"/>
          <w:sz w:val="24"/>
        </w:rPr>
        <w:t xml:space="preserve"> </w:t>
      </w:r>
      <w:r>
        <w:rPr>
          <w:rFonts w:ascii="Times New Roman" w:hAnsi="Times New Roman"/>
          <w:sz w:val="24"/>
        </w:rPr>
        <w:t xml:space="preserve">20(3) requires an applicant to </w:t>
      </w:r>
      <w:r>
        <w:rPr>
          <w:rFonts w:ascii="Times New Roman" w:hAnsi="Times New Roman"/>
          <w:i/>
          <w:sz w:val="24"/>
        </w:rPr>
        <w:t>“state precisely each such ground</w:t>
      </w:r>
      <w:r w:rsidR="00607DFB">
        <w:rPr>
          <w:rFonts w:ascii="Times New Roman" w:hAnsi="Times New Roman"/>
          <w:i/>
          <w:sz w:val="24"/>
        </w:rPr>
        <w:t>,</w:t>
      </w:r>
      <w:r>
        <w:rPr>
          <w:rFonts w:ascii="Times New Roman" w:hAnsi="Times New Roman"/>
          <w:i/>
          <w:sz w:val="24"/>
        </w:rPr>
        <w:t xml:space="preserve"> giving particulars where appropriate, and identify in respect of each ground the facts or matters relied upon as supporting that ground</w:t>
      </w:r>
      <w:r w:rsidR="00607DFB">
        <w:rPr>
          <w:rFonts w:ascii="Times New Roman" w:hAnsi="Times New Roman"/>
          <w:i/>
          <w:sz w:val="24"/>
        </w:rPr>
        <w:t>.</w:t>
      </w:r>
      <w:r>
        <w:rPr>
          <w:rFonts w:ascii="Times New Roman" w:hAnsi="Times New Roman"/>
          <w:i/>
          <w:sz w:val="24"/>
        </w:rPr>
        <w:t>”</w:t>
      </w:r>
    </w:p>
    <w:p w14:paraId="6F18A71B" w14:textId="44C50262" w:rsidR="00130A13" w:rsidRDefault="00130A1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w:t>
      </w:r>
      <w:r>
        <w:rPr>
          <w:rFonts w:ascii="Times New Roman" w:hAnsi="Times New Roman"/>
          <w:i/>
          <w:sz w:val="24"/>
        </w:rPr>
        <w:t>F</w:t>
      </w:r>
      <w:r w:rsidR="00607DFB">
        <w:rPr>
          <w:rFonts w:ascii="Times New Roman" w:hAnsi="Times New Roman"/>
          <w:i/>
          <w:sz w:val="24"/>
        </w:rPr>
        <w:t>.</w:t>
      </w:r>
      <w:r>
        <w:rPr>
          <w:rFonts w:ascii="Times New Roman" w:hAnsi="Times New Roman"/>
          <w:i/>
          <w:sz w:val="24"/>
        </w:rPr>
        <w:t>B</w:t>
      </w:r>
      <w:r w:rsidR="00607DFB">
        <w:rPr>
          <w:rFonts w:ascii="Times New Roman" w:hAnsi="Times New Roman"/>
          <w:i/>
          <w:sz w:val="24"/>
        </w:rPr>
        <w:t>.</w:t>
      </w:r>
      <w:r>
        <w:rPr>
          <w:rFonts w:ascii="Times New Roman" w:hAnsi="Times New Roman"/>
          <w:i/>
          <w:sz w:val="24"/>
        </w:rPr>
        <w:t xml:space="preserve"> v. Minister for Justice and Equality </w:t>
      </w:r>
      <w:r>
        <w:rPr>
          <w:rFonts w:ascii="Times New Roman" w:hAnsi="Times New Roman"/>
          <w:sz w:val="24"/>
        </w:rPr>
        <w:t xml:space="preserve">[2020] </w:t>
      </w:r>
      <w:r w:rsidR="00827B61">
        <w:rPr>
          <w:rFonts w:ascii="Times New Roman" w:hAnsi="Times New Roman"/>
          <w:sz w:val="24"/>
        </w:rPr>
        <w:t xml:space="preserve">IECA </w:t>
      </w:r>
      <w:r>
        <w:rPr>
          <w:rFonts w:ascii="Times New Roman" w:hAnsi="Times New Roman"/>
          <w:sz w:val="24"/>
        </w:rPr>
        <w:t>89</w:t>
      </w:r>
      <w:r w:rsidR="00607DFB">
        <w:rPr>
          <w:rFonts w:ascii="Times New Roman" w:hAnsi="Times New Roman"/>
          <w:sz w:val="24"/>
        </w:rPr>
        <w:t>,</w:t>
      </w:r>
      <w:r>
        <w:rPr>
          <w:rFonts w:ascii="Times New Roman" w:hAnsi="Times New Roman"/>
          <w:sz w:val="24"/>
        </w:rPr>
        <w:t xml:space="preserve"> Collins J.</w:t>
      </w:r>
      <w:r w:rsidR="00607DFB">
        <w:rPr>
          <w:rFonts w:ascii="Times New Roman" w:hAnsi="Times New Roman"/>
          <w:sz w:val="24"/>
        </w:rPr>
        <w:t>,</w:t>
      </w:r>
      <w:r>
        <w:rPr>
          <w:rFonts w:ascii="Times New Roman" w:hAnsi="Times New Roman"/>
          <w:sz w:val="24"/>
        </w:rPr>
        <w:t xml:space="preserve"> speaking for the </w:t>
      </w:r>
      <w:r w:rsidR="00607DFB">
        <w:rPr>
          <w:rFonts w:ascii="Times New Roman" w:hAnsi="Times New Roman"/>
          <w:sz w:val="24"/>
        </w:rPr>
        <w:t>c</w:t>
      </w:r>
      <w:r>
        <w:rPr>
          <w:rFonts w:ascii="Times New Roman" w:hAnsi="Times New Roman"/>
          <w:sz w:val="24"/>
        </w:rPr>
        <w:t>ourt</w:t>
      </w:r>
      <w:r w:rsidR="00607DFB">
        <w:rPr>
          <w:rFonts w:ascii="Times New Roman" w:hAnsi="Times New Roman"/>
          <w:sz w:val="24"/>
        </w:rPr>
        <w:t>,</w:t>
      </w:r>
      <w:r>
        <w:rPr>
          <w:rFonts w:ascii="Times New Roman" w:hAnsi="Times New Roman"/>
          <w:sz w:val="24"/>
        </w:rPr>
        <w:t xml:space="preserve"> allowed the appeal on the basis that the High Court quashed a decision of the Minister on a ground which was not pleaded and thus in respect of which leave was not granted, but also because it was not advanced in the High Court and therefore the respondents had no opportunity to address the issue.</w:t>
      </w:r>
    </w:p>
    <w:p w14:paraId="1FCF9FB6" w14:textId="3CDADCEC" w:rsidR="00130A13" w:rsidRDefault="00130A1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respondents </w:t>
      </w:r>
      <w:r w:rsidR="00116A39">
        <w:rPr>
          <w:rFonts w:ascii="Times New Roman" w:hAnsi="Times New Roman"/>
          <w:sz w:val="24"/>
        </w:rPr>
        <w:t xml:space="preserve">also </w:t>
      </w:r>
      <w:r>
        <w:rPr>
          <w:rFonts w:ascii="Times New Roman" w:hAnsi="Times New Roman"/>
          <w:sz w:val="24"/>
        </w:rPr>
        <w:t xml:space="preserve">relied upon the decision in </w:t>
      </w:r>
      <w:proofErr w:type="spellStart"/>
      <w:r>
        <w:rPr>
          <w:rFonts w:ascii="Times New Roman" w:hAnsi="Times New Roman"/>
          <w:i/>
          <w:sz w:val="24"/>
        </w:rPr>
        <w:t>Rushe</w:t>
      </w:r>
      <w:proofErr w:type="spellEnd"/>
      <w:r>
        <w:rPr>
          <w:rFonts w:ascii="Times New Roman" w:hAnsi="Times New Roman"/>
          <w:i/>
          <w:sz w:val="24"/>
        </w:rPr>
        <w:t xml:space="preserve"> v. An Bord Pleanála </w:t>
      </w:r>
      <w:r>
        <w:rPr>
          <w:rFonts w:ascii="Times New Roman" w:hAnsi="Times New Roman"/>
          <w:sz w:val="24"/>
        </w:rPr>
        <w:t xml:space="preserve">[2020] IEHC 122 (Barniville J.) which emphasised the particular importance of precise pleadings in cases raising complex issues under EU Directives </w:t>
      </w:r>
      <w:r>
        <w:rPr>
          <w:rFonts w:ascii="Times New Roman" w:hAnsi="Times New Roman"/>
          <w:i/>
          <w:sz w:val="24"/>
        </w:rPr>
        <w:t>“such as the Habitats Directive and the EIA Directive”</w:t>
      </w:r>
      <w:r>
        <w:rPr>
          <w:rFonts w:ascii="Times New Roman" w:hAnsi="Times New Roman"/>
          <w:sz w:val="24"/>
        </w:rPr>
        <w:t>.  Barniville J. referred to the fact that a particular point was neither pleaded nor addressed in written submissions in advance of the hearing.  At para. 113 of his judgment he held:</w:t>
      </w:r>
      <w:r w:rsidR="00607DFB">
        <w:rPr>
          <w:rFonts w:ascii="Times New Roman" w:hAnsi="Times New Roman"/>
          <w:sz w:val="24"/>
        </w:rPr>
        <w:t>-</w:t>
      </w:r>
    </w:p>
    <w:p w14:paraId="7B2EC7FB" w14:textId="337D52EE" w:rsidR="004C6CCA" w:rsidRDefault="00D75989" w:rsidP="00130A13">
      <w:pPr>
        <w:pStyle w:val="ListParagraph"/>
        <w:spacing w:line="480" w:lineRule="auto"/>
        <w:ind w:left="567"/>
        <w:jc w:val="left"/>
        <w:rPr>
          <w:rFonts w:ascii="Times New Roman" w:hAnsi="Times New Roman"/>
          <w:sz w:val="24"/>
        </w:rPr>
      </w:pPr>
      <w:r>
        <w:rPr>
          <w:rFonts w:ascii="Times New Roman" w:hAnsi="Times New Roman"/>
          <w:i/>
          <w:sz w:val="24"/>
        </w:rPr>
        <w:t>“</w:t>
      </w:r>
      <w:r w:rsidR="00FD724A">
        <w:rPr>
          <w:rFonts w:ascii="Times New Roman" w:hAnsi="Times New Roman"/>
          <w:i/>
          <w:sz w:val="24"/>
        </w:rPr>
        <w:t xml:space="preserve">… </w:t>
      </w:r>
      <w:r w:rsidRPr="00D75989">
        <w:rPr>
          <w:rFonts w:ascii="Times New Roman" w:hAnsi="Times New Roman"/>
          <w:i/>
          <w:sz w:val="24"/>
        </w:rPr>
        <w:t>It is especially important in those types of cases,</w:t>
      </w:r>
      <w:r>
        <w:rPr>
          <w:rFonts w:ascii="Times New Roman" w:hAnsi="Times New Roman"/>
          <w:i/>
          <w:sz w:val="24"/>
        </w:rPr>
        <w:t xml:space="preserve"> </w:t>
      </w:r>
      <w:r w:rsidRPr="00D75989">
        <w:rPr>
          <w:rFonts w:ascii="Times New Roman" w:hAnsi="Times New Roman"/>
          <w:i/>
          <w:sz w:val="24"/>
        </w:rPr>
        <w:t>involving such complex issues, that the applicant’s case is clearly and precisely pleaded in</w:t>
      </w:r>
      <w:r>
        <w:rPr>
          <w:rFonts w:ascii="Times New Roman" w:hAnsi="Times New Roman"/>
          <w:i/>
          <w:sz w:val="24"/>
        </w:rPr>
        <w:t xml:space="preserve"> </w:t>
      </w:r>
      <w:r w:rsidRPr="00D75989">
        <w:rPr>
          <w:rFonts w:ascii="Times New Roman" w:hAnsi="Times New Roman"/>
          <w:i/>
          <w:sz w:val="24"/>
        </w:rPr>
        <w:t>order that the parties opposing the application (whether they be the respondents or the</w:t>
      </w:r>
      <w:r>
        <w:rPr>
          <w:rFonts w:ascii="Times New Roman" w:hAnsi="Times New Roman"/>
          <w:i/>
          <w:sz w:val="24"/>
        </w:rPr>
        <w:t xml:space="preserve"> </w:t>
      </w:r>
      <w:r w:rsidRPr="00D75989">
        <w:rPr>
          <w:rFonts w:ascii="Times New Roman" w:hAnsi="Times New Roman"/>
          <w:i/>
          <w:sz w:val="24"/>
        </w:rPr>
        <w:t>notice parties or both) are clearly aware prior to the hearing of the application for judicial</w:t>
      </w:r>
      <w:r>
        <w:rPr>
          <w:rFonts w:ascii="Times New Roman" w:hAnsi="Times New Roman"/>
          <w:i/>
          <w:sz w:val="24"/>
        </w:rPr>
        <w:t xml:space="preserve"> r</w:t>
      </w:r>
      <w:r w:rsidRPr="00D75989">
        <w:rPr>
          <w:rFonts w:ascii="Times New Roman" w:hAnsi="Times New Roman"/>
          <w:i/>
          <w:sz w:val="24"/>
        </w:rPr>
        <w:t>eview of what precisely the case is. Such precision is also required, as Murray C.J.</w:t>
      </w:r>
      <w:r>
        <w:rPr>
          <w:rFonts w:ascii="Times New Roman" w:hAnsi="Times New Roman"/>
          <w:i/>
          <w:sz w:val="24"/>
        </w:rPr>
        <w:t xml:space="preserve"> </w:t>
      </w:r>
      <w:r w:rsidRPr="00D75989">
        <w:rPr>
          <w:rFonts w:ascii="Times New Roman" w:hAnsi="Times New Roman"/>
          <w:i/>
          <w:sz w:val="24"/>
        </w:rPr>
        <w:t>pointed out in AP, to ensure that there is no doubt, ambiguity or confusion as to what the</w:t>
      </w:r>
      <w:r>
        <w:rPr>
          <w:rFonts w:ascii="Times New Roman" w:hAnsi="Times New Roman"/>
          <w:i/>
          <w:sz w:val="24"/>
        </w:rPr>
        <w:t xml:space="preserve"> </w:t>
      </w:r>
      <w:r w:rsidRPr="00D75989">
        <w:rPr>
          <w:rFonts w:ascii="Times New Roman" w:hAnsi="Times New Roman"/>
          <w:i/>
          <w:sz w:val="24"/>
        </w:rPr>
        <w:t>applicant</w:t>
      </w:r>
      <w:r w:rsidRPr="00D75989">
        <w:rPr>
          <w:rFonts w:ascii="Times New Roman" w:hAnsi="Times New Roman" w:cs="Times New Roman"/>
          <w:i/>
          <w:sz w:val="24"/>
        </w:rPr>
        <w:t>’</w:t>
      </w:r>
      <w:r w:rsidRPr="00D75989">
        <w:rPr>
          <w:rFonts w:ascii="Times New Roman" w:hAnsi="Times New Roman"/>
          <w:i/>
          <w:sz w:val="24"/>
        </w:rPr>
        <w:t xml:space="preserve">s case is before the High Court, in the context of any appeal from the </w:t>
      </w:r>
      <w:r w:rsidR="00FD724A">
        <w:rPr>
          <w:rFonts w:ascii="Times New Roman" w:hAnsi="Times New Roman"/>
          <w:i/>
          <w:sz w:val="24"/>
        </w:rPr>
        <w:t xml:space="preserve">judgment of that </w:t>
      </w:r>
      <w:r>
        <w:rPr>
          <w:rFonts w:ascii="Times New Roman" w:hAnsi="Times New Roman"/>
          <w:i/>
          <w:sz w:val="24"/>
        </w:rPr>
        <w:t>Court to the</w:t>
      </w:r>
      <w:r w:rsidRPr="00D75989">
        <w:rPr>
          <w:rFonts w:ascii="Times New Roman" w:hAnsi="Times New Roman"/>
          <w:i/>
          <w:sz w:val="24"/>
        </w:rPr>
        <w:t xml:space="preserve"> Court of Appeal or the Supreme Court. It is not appropriate that a</w:t>
      </w:r>
      <w:r>
        <w:rPr>
          <w:rFonts w:ascii="Times New Roman" w:hAnsi="Times New Roman"/>
          <w:i/>
          <w:sz w:val="24"/>
        </w:rPr>
        <w:t xml:space="preserve"> </w:t>
      </w:r>
      <w:r w:rsidRPr="00D75989">
        <w:rPr>
          <w:rFonts w:ascii="Times New Roman" w:hAnsi="Times New Roman"/>
          <w:i/>
          <w:sz w:val="24"/>
        </w:rPr>
        <w:t xml:space="preserve">case brought on a particular basis, in which reliefs are sought on </w:t>
      </w:r>
      <w:r w:rsidRPr="00D75989">
        <w:rPr>
          <w:rFonts w:ascii="Times New Roman" w:hAnsi="Times New Roman"/>
          <w:i/>
          <w:sz w:val="24"/>
        </w:rPr>
        <w:lastRenderedPageBreak/>
        <w:t>stated grounds is, when</w:t>
      </w:r>
      <w:r>
        <w:rPr>
          <w:rFonts w:ascii="Times New Roman" w:hAnsi="Times New Roman"/>
          <w:i/>
          <w:sz w:val="24"/>
        </w:rPr>
        <w:t xml:space="preserve"> </w:t>
      </w:r>
      <w:r w:rsidRPr="00D75989">
        <w:rPr>
          <w:rFonts w:ascii="Times New Roman" w:hAnsi="Times New Roman"/>
          <w:i/>
          <w:sz w:val="24"/>
        </w:rPr>
        <w:t>the case comes on for hearing, transformed into one in which different or additional</w:t>
      </w:r>
      <w:r>
        <w:rPr>
          <w:rFonts w:ascii="Times New Roman" w:hAnsi="Times New Roman"/>
          <w:i/>
          <w:sz w:val="24"/>
        </w:rPr>
        <w:t xml:space="preserve"> </w:t>
      </w:r>
      <w:r w:rsidRPr="00D75989">
        <w:rPr>
          <w:rFonts w:ascii="Times New Roman" w:hAnsi="Times New Roman"/>
          <w:i/>
          <w:sz w:val="24"/>
        </w:rPr>
        <w:t>grounds are sought to be advanced in support of the reliefs sought or new and additional</w:t>
      </w:r>
      <w:r>
        <w:rPr>
          <w:rFonts w:ascii="Times New Roman" w:hAnsi="Times New Roman"/>
          <w:i/>
          <w:sz w:val="24"/>
        </w:rPr>
        <w:t xml:space="preserve"> </w:t>
      </w:r>
      <w:r w:rsidRPr="00D75989">
        <w:rPr>
          <w:rFonts w:ascii="Times New Roman" w:hAnsi="Times New Roman"/>
          <w:i/>
          <w:sz w:val="24"/>
        </w:rPr>
        <w:t>reliefs are sought. Such a course would be unfair on the parties opposing the application</w:t>
      </w:r>
      <w:r>
        <w:rPr>
          <w:rFonts w:ascii="Times New Roman" w:hAnsi="Times New Roman"/>
          <w:i/>
          <w:sz w:val="24"/>
        </w:rPr>
        <w:t xml:space="preserve"> </w:t>
      </w:r>
      <w:r w:rsidRPr="00D75989">
        <w:rPr>
          <w:rFonts w:ascii="Times New Roman" w:hAnsi="Times New Roman"/>
          <w:i/>
          <w:sz w:val="24"/>
        </w:rPr>
        <w:t>for judicial review and on the court</w:t>
      </w:r>
      <w:r>
        <w:rPr>
          <w:rFonts w:ascii="Times New Roman" w:hAnsi="Times New Roman"/>
          <w:i/>
          <w:sz w:val="24"/>
        </w:rPr>
        <w:t>.”</w:t>
      </w:r>
      <w:r w:rsidR="00130A13">
        <w:rPr>
          <w:rFonts w:ascii="Times New Roman" w:hAnsi="Times New Roman"/>
          <w:i/>
          <w:sz w:val="24"/>
        </w:rPr>
        <w:t xml:space="preserve"> </w:t>
      </w:r>
      <w:r w:rsidR="00130A13">
        <w:rPr>
          <w:rFonts w:ascii="Times New Roman" w:hAnsi="Times New Roman"/>
          <w:sz w:val="24"/>
        </w:rPr>
        <w:t xml:space="preserve"> </w:t>
      </w:r>
    </w:p>
    <w:p w14:paraId="4CBAD13C" w14:textId="748A1631" w:rsidR="00D75989" w:rsidRDefault="00D7598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submitted that the applicant raised this point for the first time in oral submissions in March 20</w:t>
      </w:r>
      <w:r w:rsidR="00FD724A">
        <w:rPr>
          <w:rFonts w:ascii="Times New Roman" w:hAnsi="Times New Roman"/>
          <w:sz w:val="24"/>
        </w:rPr>
        <w:t>20,</w:t>
      </w:r>
      <w:r>
        <w:rPr>
          <w:rFonts w:ascii="Times New Roman" w:hAnsi="Times New Roman"/>
          <w:sz w:val="24"/>
        </w:rPr>
        <w:t xml:space="preserve"> more than two years after the decision of 16 February 2018</w:t>
      </w:r>
      <w:r w:rsidR="00DF51A0">
        <w:rPr>
          <w:rFonts w:ascii="Times New Roman" w:hAnsi="Times New Roman"/>
          <w:sz w:val="24"/>
        </w:rPr>
        <w:t>,</w:t>
      </w:r>
      <w:r>
        <w:rPr>
          <w:rFonts w:ascii="Times New Roman" w:hAnsi="Times New Roman"/>
          <w:sz w:val="24"/>
        </w:rPr>
        <w:t xml:space="preserve"> and twenty months after leave to seek judicial review was granted</w:t>
      </w:r>
      <w:r w:rsidR="00DF51A0">
        <w:rPr>
          <w:rFonts w:ascii="Times New Roman" w:hAnsi="Times New Roman"/>
          <w:sz w:val="24"/>
        </w:rPr>
        <w:t>,</w:t>
      </w:r>
      <w:r>
        <w:rPr>
          <w:rFonts w:ascii="Times New Roman" w:hAnsi="Times New Roman"/>
          <w:sz w:val="24"/>
        </w:rPr>
        <w:t xml:space="preserve"> and accordingly</w:t>
      </w:r>
      <w:r w:rsidR="00FD724A">
        <w:rPr>
          <w:rFonts w:ascii="Times New Roman" w:hAnsi="Times New Roman"/>
          <w:sz w:val="24"/>
        </w:rPr>
        <w:t>,</w:t>
      </w:r>
      <w:r>
        <w:rPr>
          <w:rFonts w:ascii="Times New Roman" w:hAnsi="Times New Roman"/>
          <w:sz w:val="24"/>
        </w:rPr>
        <w:t xml:space="preserve"> was well outside the three-month time limit for raising such a point.  It argued that at the oral hearing the case was transformed into one in which different or additional grounds were sought to be advanced in support of the reliefs sought</w:t>
      </w:r>
      <w:r w:rsidR="000100CE">
        <w:rPr>
          <w:rFonts w:ascii="Times New Roman" w:hAnsi="Times New Roman"/>
          <w:sz w:val="24"/>
        </w:rPr>
        <w:t>,</w:t>
      </w:r>
      <w:r>
        <w:rPr>
          <w:rFonts w:ascii="Times New Roman" w:hAnsi="Times New Roman"/>
          <w:sz w:val="24"/>
        </w:rPr>
        <w:t xml:space="preserve"> without obtaining the leave of the </w:t>
      </w:r>
      <w:r w:rsidR="000100CE">
        <w:rPr>
          <w:rFonts w:ascii="Times New Roman" w:hAnsi="Times New Roman"/>
          <w:sz w:val="24"/>
        </w:rPr>
        <w:t>c</w:t>
      </w:r>
      <w:r>
        <w:rPr>
          <w:rFonts w:ascii="Times New Roman" w:hAnsi="Times New Roman"/>
          <w:sz w:val="24"/>
        </w:rPr>
        <w:t>ourt and that this was in breach of the rules, unfair on the respondents and set at nought the principle of legal certain</w:t>
      </w:r>
      <w:r w:rsidR="000100CE">
        <w:rPr>
          <w:rFonts w:ascii="Times New Roman" w:hAnsi="Times New Roman"/>
          <w:sz w:val="24"/>
        </w:rPr>
        <w:t>t</w:t>
      </w:r>
      <w:r>
        <w:rPr>
          <w:rFonts w:ascii="Times New Roman" w:hAnsi="Times New Roman"/>
          <w:sz w:val="24"/>
        </w:rPr>
        <w:t xml:space="preserve">y which </w:t>
      </w:r>
      <w:r>
        <w:rPr>
          <w:rFonts w:ascii="Times New Roman" w:hAnsi="Times New Roman"/>
          <w:i/>
          <w:sz w:val="24"/>
        </w:rPr>
        <w:t>“demands that time</w:t>
      </w:r>
      <w:r w:rsidR="000100CE">
        <w:rPr>
          <w:rFonts w:ascii="Times New Roman" w:hAnsi="Times New Roman"/>
          <w:i/>
          <w:sz w:val="24"/>
        </w:rPr>
        <w:t>-</w:t>
      </w:r>
      <w:r>
        <w:rPr>
          <w:rFonts w:ascii="Times New Roman" w:hAnsi="Times New Roman"/>
          <w:i/>
          <w:sz w:val="24"/>
        </w:rPr>
        <w:t>limits for raising grounds of challenge against such a plan [as the NPF] be properly observed</w:t>
      </w:r>
      <w:r w:rsidR="000100CE">
        <w:rPr>
          <w:rFonts w:ascii="Times New Roman" w:hAnsi="Times New Roman"/>
          <w:i/>
          <w:sz w:val="24"/>
        </w:rPr>
        <w:t>.</w:t>
      </w:r>
      <w:r>
        <w:rPr>
          <w:rFonts w:ascii="Times New Roman" w:hAnsi="Times New Roman"/>
          <w:i/>
          <w:sz w:val="24"/>
        </w:rPr>
        <w:t>”</w:t>
      </w:r>
    </w:p>
    <w:p w14:paraId="35F9B7C0" w14:textId="4F39436E" w:rsidR="00254371" w:rsidRDefault="00081A42"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reply to this point</w:t>
      </w:r>
      <w:r w:rsidR="000100CE">
        <w:rPr>
          <w:rFonts w:ascii="Times New Roman" w:hAnsi="Times New Roman"/>
          <w:sz w:val="24"/>
        </w:rPr>
        <w:t>,</w:t>
      </w:r>
      <w:r>
        <w:rPr>
          <w:rFonts w:ascii="Times New Roman" w:hAnsi="Times New Roman"/>
          <w:sz w:val="24"/>
        </w:rPr>
        <w:t xml:space="preserve"> t</w:t>
      </w:r>
      <w:r w:rsidR="00D75989">
        <w:rPr>
          <w:rFonts w:ascii="Times New Roman" w:hAnsi="Times New Roman"/>
          <w:sz w:val="24"/>
        </w:rPr>
        <w:t xml:space="preserve">he </w:t>
      </w:r>
      <w:r w:rsidR="00116A39">
        <w:rPr>
          <w:rFonts w:ascii="Times New Roman" w:hAnsi="Times New Roman"/>
          <w:sz w:val="24"/>
        </w:rPr>
        <w:t>applicant</w:t>
      </w:r>
      <w:r w:rsidR="00D75989">
        <w:rPr>
          <w:rFonts w:ascii="Times New Roman" w:hAnsi="Times New Roman"/>
          <w:sz w:val="24"/>
        </w:rPr>
        <w:t xml:space="preserve"> referred</w:t>
      </w:r>
      <w:r w:rsidR="00116A39">
        <w:rPr>
          <w:rFonts w:ascii="Times New Roman" w:hAnsi="Times New Roman"/>
          <w:sz w:val="24"/>
        </w:rPr>
        <w:t xml:space="preserve"> to</w:t>
      </w:r>
      <w:r w:rsidR="00D75989">
        <w:rPr>
          <w:rFonts w:ascii="Times New Roman" w:hAnsi="Times New Roman"/>
          <w:sz w:val="24"/>
        </w:rPr>
        <w:t xml:space="preserve"> </w:t>
      </w:r>
      <w:r w:rsidR="00D75989">
        <w:rPr>
          <w:rFonts w:ascii="Times New Roman" w:hAnsi="Times New Roman"/>
          <w:i/>
          <w:sz w:val="24"/>
        </w:rPr>
        <w:t xml:space="preserve">Halpin v. An Bord Pleanála </w:t>
      </w:r>
      <w:r w:rsidR="00D75989">
        <w:rPr>
          <w:rFonts w:ascii="Times New Roman" w:hAnsi="Times New Roman"/>
          <w:sz w:val="24"/>
        </w:rPr>
        <w:t>[2019] IEHC 352.  In that case</w:t>
      </w:r>
      <w:r w:rsidR="000100CE">
        <w:rPr>
          <w:rFonts w:ascii="Times New Roman" w:hAnsi="Times New Roman"/>
          <w:sz w:val="24"/>
        </w:rPr>
        <w:t>,</w:t>
      </w:r>
      <w:r w:rsidR="00D75989">
        <w:rPr>
          <w:rFonts w:ascii="Times New Roman" w:hAnsi="Times New Roman"/>
          <w:sz w:val="24"/>
        </w:rPr>
        <w:t xml:space="preserve"> objection was tak</w:t>
      </w:r>
      <w:r w:rsidR="00116A39">
        <w:rPr>
          <w:rFonts w:ascii="Times New Roman" w:hAnsi="Times New Roman"/>
          <w:sz w:val="24"/>
        </w:rPr>
        <w:t>en</w:t>
      </w:r>
      <w:r w:rsidR="00CE1F5B">
        <w:rPr>
          <w:rFonts w:ascii="Times New Roman" w:hAnsi="Times New Roman"/>
          <w:sz w:val="24"/>
        </w:rPr>
        <w:t xml:space="preserve"> to arguments being advanced</w:t>
      </w:r>
      <w:r w:rsidR="00254371">
        <w:rPr>
          <w:rFonts w:ascii="Times New Roman" w:hAnsi="Times New Roman"/>
          <w:sz w:val="24"/>
        </w:rPr>
        <w:t xml:space="preserve"> by the applicant which went beyond the claim as actually pleaded in the </w:t>
      </w:r>
      <w:r w:rsidR="000100CE">
        <w:rPr>
          <w:rFonts w:ascii="Times New Roman" w:hAnsi="Times New Roman"/>
          <w:sz w:val="24"/>
        </w:rPr>
        <w:t>s</w:t>
      </w:r>
      <w:r w:rsidR="00254371">
        <w:rPr>
          <w:rFonts w:ascii="Times New Roman" w:hAnsi="Times New Roman"/>
          <w:sz w:val="24"/>
        </w:rPr>
        <w:t xml:space="preserve">tatement of </w:t>
      </w:r>
      <w:r w:rsidR="000100CE">
        <w:rPr>
          <w:rFonts w:ascii="Times New Roman" w:hAnsi="Times New Roman"/>
          <w:sz w:val="24"/>
        </w:rPr>
        <w:t>g</w:t>
      </w:r>
      <w:r w:rsidR="00254371">
        <w:rPr>
          <w:rFonts w:ascii="Times New Roman" w:hAnsi="Times New Roman"/>
          <w:sz w:val="24"/>
        </w:rPr>
        <w:t xml:space="preserve">rounds.  Simons J. accepted that </w:t>
      </w:r>
      <w:r w:rsidR="000100CE">
        <w:rPr>
          <w:rFonts w:ascii="Times New Roman" w:hAnsi="Times New Roman"/>
          <w:sz w:val="24"/>
        </w:rPr>
        <w:t xml:space="preserve">the </w:t>
      </w:r>
      <w:r w:rsidR="00254371">
        <w:rPr>
          <w:rFonts w:ascii="Times New Roman" w:hAnsi="Times New Roman"/>
          <w:sz w:val="24"/>
        </w:rPr>
        <w:t>applicant w</w:t>
      </w:r>
      <w:r w:rsidR="000C7647">
        <w:rPr>
          <w:rFonts w:ascii="Times New Roman" w:hAnsi="Times New Roman"/>
          <w:sz w:val="24"/>
        </w:rPr>
        <w:t>as</w:t>
      </w:r>
      <w:r w:rsidR="00254371">
        <w:rPr>
          <w:rFonts w:ascii="Times New Roman" w:hAnsi="Times New Roman"/>
          <w:sz w:val="24"/>
        </w:rPr>
        <w:t xml:space="preserve"> not entitled to rely on general pleas to advance a specific and detailed complaint which had not been pleaded contrary to O.</w:t>
      </w:r>
      <w:r w:rsidR="000100CE">
        <w:rPr>
          <w:rFonts w:ascii="Times New Roman" w:hAnsi="Times New Roman"/>
          <w:sz w:val="24"/>
        </w:rPr>
        <w:t xml:space="preserve"> </w:t>
      </w:r>
      <w:r w:rsidR="00254371">
        <w:rPr>
          <w:rFonts w:ascii="Times New Roman" w:hAnsi="Times New Roman"/>
          <w:sz w:val="24"/>
        </w:rPr>
        <w:t>84, r.</w:t>
      </w:r>
      <w:r w:rsidR="000100CE">
        <w:rPr>
          <w:rFonts w:ascii="Times New Roman" w:hAnsi="Times New Roman"/>
          <w:sz w:val="24"/>
        </w:rPr>
        <w:t xml:space="preserve"> </w:t>
      </w:r>
      <w:r w:rsidR="00254371">
        <w:rPr>
          <w:rFonts w:ascii="Times New Roman" w:hAnsi="Times New Roman"/>
          <w:sz w:val="24"/>
        </w:rPr>
        <w:t xml:space="preserve">20(3).  He accepted the unreported decision of the High Court in </w:t>
      </w:r>
      <w:r w:rsidR="00254371">
        <w:rPr>
          <w:rFonts w:ascii="Times New Roman" w:hAnsi="Times New Roman"/>
          <w:i/>
          <w:sz w:val="24"/>
        </w:rPr>
        <w:t xml:space="preserve">McEntee v. An Bord </w:t>
      </w:r>
      <w:proofErr w:type="spellStart"/>
      <w:r w:rsidR="00254371">
        <w:rPr>
          <w:rFonts w:ascii="Times New Roman" w:hAnsi="Times New Roman"/>
          <w:i/>
          <w:sz w:val="24"/>
        </w:rPr>
        <w:t>Pleanála</w:t>
      </w:r>
      <w:proofErr w:type="spellEnd"/>
      <w:r w:rsidR="00254371">
        <w:rPr>
          <w:rFonts w:ascii="Times New Roman" w:hAnsi="Times New Roman"/>
          <w:i/>
          <w:sz w:val="24"/>
        </w:rPr>
        <w:t xml:space="preserve"> </w:t>
      </w:r>
      <w:r w:rsidR="00254371">
        <w:rPr>
          <w:rFonts w:ascii="Times New Roman" w:hAnsi="Times New Roman"/>
          <w:sz w:val="24"/>
        </w:rPr>
        <w:t>(</w:t>
      </w:r>
      <w:proofErr w:type="spellStart"/>
      <w:r w:rsidR="00254371">
        <w:rPr>
          <w:rFonts w:ascii="Times New Roman" w:hAnsi="Times New Roman"/>
          <w:sz w:val="24"/>
        </w:rPr>
        <w:t>Moriarity</w:t>
      </w:r>
      <w:proofErr w:type="spellEnd"/>
      <w:r w:rsidR="00254371">
        <w:rPr>
          <w:rFonts w:ascii="Times New Roman" w:hAnsi="Times New Roman"/>
          <w:sz w:val="24"/>
        </w:rPr>
        <w:t xml:space="preserve"> J.</w:t>
      </w:r>
      <w:r>
        <w:rPr>
          <w:rFonts w:ascii="Times New Roman" w:hAnsi="Times New Roman"/>
          <w:sz w:val="24"/>
        </w:rPr>
        <w:t>, High Court</w:t>
      </w:r>
      <w:r w:rsidR="00254371">
        <w:rPr>
          <w:rFonts w:ascii="Times New Roman" w:hAnsi="Times New Roman"/>
          <w:sz w:val="24"/>
        </w:rPr>
        <w:t xml:space="preserve">, 10 July 2015).  Simons J. summarised the observations of </w:t>
      </w:r>
      <w:proofErr w:type="spellStart"/>
      <w:r w:rsidR="00254371">
        <w:rPr>
          <w:rFonts w:ascii="Times New Roman" w:hAnsi="Times New Roman"/>
          <w:sz w:val="24"/>
        </w:rPr>
        <w:t>Moriarity</w:t>
      </w:r>
      <w:proofErr w:type="spellEnd"/>
      <w:r w:rsidR="00254371">
        <w:rPr>
          <w:rFonts w:ascii="Times New Roman" w:hAnsi="Times New Roman"/>
          <w:sz w:val="24"/>
        </w:rPr>
        <w:t xml:space="preserve"> J. in para. 62:</w:t>
      </w:r>
      <w:r w:rsidR="000100CE">
        <w:rPr>
          <w:rFonts w:ascii="Times New Roman" w:hAnsi="Times New Roman"/>
          <w:sz w:val="24"/>
        </w:rPr>
        <w:t>-</w:t>
      </w:r>
    </w:p>
    <w:p w14:paraId="480B0921" w14:textId="41A2602C" w:rsidR="00D75989" w:rsidRDefault="0053446D" w:rsidP="0053446D">
      <w:pPr>
        <w:pStyle w:val="ListParagraph"/>
        <w:spacing w:line="480" w:lineRule="auto"/>
        <w:ind w:left="567"/>
        <w:jc w:val="left"/>
        <w:rPr>
          <w:rFonts w:ascii="Times New Roman" w:hAnsi="Times New Roman"/>
          <w:sz w:val="24"/>
        </w:rPr>
      </w:pPr>
      <w:r>
        <w:rPr>
          <w:rFonts w:ascii="Times New Roman" w:hAnsi="Times New Roman"/>
          <w:i/>
          <w:sz w:val="24"/>
        </w:rPr>
        <w:t>“</w:t>
      </w:r>
      <w:r w:rsidR="000100CE">
        <w:rPr>
          <w:rFonts w:ascii="Times New Roman" w:hAnsi="Times New Roman"/>
          <w:i/>
          <w:sz w:val="24"/>
        </w:rPr>
        <w:t xml:space="preserve">… </w:t>
      </w:r>
      <w:r>
        <w:rPr>
          <w:rFonts w:ascii="Times New Roman" w:hAnsi="Times New Roman"/>
          <w:i/>
          <w:sz w:val="24"/>
        </w:rPr>
        <w:t xml:space="preserve">The judge went on to say that – in determining whether an argument had been properly pleaded – the </w:t>
      </w:r>
      <w:r w:rsidR="000100CE">
        <w:rPr>
          <w:rFonts w:ascii="Times New Roman" w:hAnsi="Times New Roman"/>
          <w:i/>
          <w:sz w:val="24"/>
        </w:rPr>
        <w:t>c</w:t>
      </w:r>
      <w:r>
        <w:rPr>
          <w:rFonts w:ascii="Times New Roman" w:hAnsi="Times New Roman"/>
          <w:i/>
          <w:sz w:val="24"/>
        </w:rPr>
        <w:t xml:space="preserve">ourt should adopt a </w:t>
      </w:r>
      <w:r w:rsidR="000100CE">
        <w:rPr>
          <w:rFonts w:ascii="Times New Roman" w:hAnsi="Times New Roman"/>
          <w:i/>
          <w:sz w:val="24"/>
        </w:rPr>
        <w:t>‘</w:t>
      </w:r>
      <w:r>
        <w:rPr>
          <w:rFonts w:ascii="Times New Roman" w:hAnsi="Times New Roman"/>
          <w:i/>
          <w:sz w:val="24"/>
        </w:rPr>
        <w:t>fair and reasonable</w:t>
      </w:r>
      <w:r w:rsidR="000100CE">
        <w:rPr>
          <w:rFonts w:ascii="Times New Roman" w:hAnsi="Times New Roman"/>
          <w:i/>
          <w:sz w:val="24"/>
        </w:rPr>
        <w:t>’</w:t>
      </w:r>
      <w:r>
        <w:rPr>
          <w:rFonts w:ascii="Times New Roman" w:hAnsi="Times New Roman"/>
          <w:i/>
          <w:sz w:val="24"/>
        </w:rPr>
        <w:t xml:space="preserve"> reading of</w:t>
      </w:r>
      <w:r w:rsidR="000100CE">
        <w:rPr>
          <w:rFonts w:ascii="Times New Roman" w:hAnsi="Times New Roman"/>
          <w:i/>
          <w:sz w:val="24"/>
        </w:rPr>
        <w:t>,</w:t>
      </w:r>
      <w:r>
        <w:rPr>
          <w:rFonts w:ascii="Times New Roman" w:hAnsi="Times New Roman"/>
          <w:i/>
          <w:sz w:val="24"/>
        </w:rPr>
        <w:t xml:space="preserve"> and conduct a thorough and objective examination</w:t>
      </w:r>
      <w:r w:rsidR="000100CE">
        <w:rPr>
          <w:rFonts w:ascii="Times New Roman" w:hAnsi="Times New Roman"/>
          <w:i/>
          <w:sz w:val="24"/>
        </w:rPr>
        <w:t xml:space="preserve"> of,</w:t>
      </w:r>
      <w:r>
        <w:rPr>
          <w:rFonts w:ascii="Times New Roman" w:hAnsi="Times New Roman"/>
          <w:i/>
          <w:sz w:val="24"/>
        </w:rPr>
        <w:t xml:space="preserve"> the </w:t>
      </w:r>
      <w:r w:rsidR="000100CE">
        <w:rPr>
          <w:rFonts w:ascii="Times New Roman" w:hAnsi="Times New Roman"/>
          <w:i/>
          <w:sz w:val="24"/>
        </w:rPr>
        <w:t>s</w:t>
      </w:r>
      <w:r>
        <w:rPr>
          <w:rFonts w:ascii="Times New Roman" w:hAnsi="Times New Roman"/>
          <w:i/>
          <w:sz w:val="24"/>
        </w:rPr>
        <w:t xml:space="preserve">tatement of </w:t>
      </w:r>
      <w:r w:rsidR="000100CE">
        <w:rPr>
          <w:rFonts w:ascii="Times New Roman" w:hAnsi="Times New Roman"/>
          <w:i/>
          <w:sz w:val="24"/>
        </w:rPr>
        <w:t>g</w:t>
      </w:r>
      <w:r>
        <w:rPr>
          <w:rFonts w:ascii="Times New Roman" w:hAnsi="Times New Roman"/>
          <w:i/>
          <w:sz w:val="24"/>
        </w:rPr>
        <w:t>rounds</w:t>
      </w:r>
      <w:r w:rsidR="000100CE">
        <w:rPr>
          <w:rFonts w:ascii="Times New Roman" w:hAnsi="Times New Roman"/>
          <w:i/>
          <w:sz w:val="24"/>
        </w:rPr>
        <w:t>.</w:t>
      </w:r>
      <w:r>
        <w:rPr>
          <w:rFonts w:ascii="Times New Roman" w:hAnsi="Times New Roman"/>
          <w:i/>
          <w:sz w:val="24"/>
        </w:rPr>
        <w:t>”</w:t>
      </w:r>
      <w:r>
        <w:rPr>
          <w:rFonts w:ascii="Times New Roman" w:hAnsi="Times New Roman"/>
          <w:sz w:val="24"/>
        </w:rPr>
        <w:t xml:space="preserve"> </w:t>
      </w:r>
    </w:p>
    <w:p w14:paraId="6A6A22A8" w14:textId="11FDA73B" w:rsidR="0053446D" w:rsidRDefault="0053446D"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Simons J. applied the fair and reasonable test to the Statement of Grounds </w:t>
      </w:r>
      <w:r w:rsidR="00081A42">
        <w:rPr>
          <w:rFonts w:ascii="Times New Roman" w:hAnsi="Times New Roman"/>
          <w:sz w:val="24"/>
        </w:rPr>
        <w:t xml:space="preserve">in the case before him </w:t>
      </w:r>
      <w:r>
        <w:rPr>
          <w:rFonts w:ascii="Times New Roman" w:hAnsi="Times New Roman"/>
          <w:sz w:val="24"/>
        </w:rPr>
        <w:t>and concluded</w:t>
      </w:r>
      <w:r w:rsidR="00081A42">
        <w:rPr>
          <w:rFonts w:ascii="Times New Roman" w:hAnsi="Times New Roman"/>
          <w:sz w:val="24"/>
        </w:rPr>
        <w:t xml:space="preserve"> </w:t>
      </w:r>
      <w:r>
        <w:rPr>
          <w:rFonts w:ascii="Times New Roman" w:hAnsi="Times New Roman"/>
          <w:sz w:val="24"/>
        </w:rPr>
        <w:t>that the case as pleaded was broad enough to encompass the argument advanced at the hearing.  At para. 66 he held:</w:t>
      </w:r>
      <w:r w:rsidR="000100CE">
        <w:rPr>
          <w:rFonts w:ascii="Times New Roman" w:hAnsi="Times New Roman"/>
          <w:sz w:val="24"/>
        </w:rPr>
        <w:t>-</w:t>
      </w:r>
    </w:p>
    <w:p w14:paraId="04C087E9" w14:textId="77777777" w:rsidR="0053446D" w:rsidRPr="0053446D" w:rsidRDefault="0053446D" w:rsidP="0053446D">
      <w:pPr>
        <w:pStyle w:val="ListParagraph"/>
        <w:spacing w:line="480" w:lineRule="auto"/>
        <w:ind w:left="567"/>
        <w:jc w:val="left"/>
        <w:rPr>
          <w:rFonts w:ascii="Times New Roman" w:hAnsi="Times New Roman"/>
          <w:i/>
          <w:sz w:val="24"/>
        </w:rPr>
      </w:pPr>
      <w:r>
        <w:rPr>
          <w:rFonts w:ascii="Times New Roman" w:hAnsi="Times New Roman"/>
          <w:i/>
          <w:sz w:val="24"/>
        </w:rPr>
        <w:t xml:space="preserve">“In interpreting the Statement of Grounds, some regard must be had to the fact that the argument advanced by the applicant would – if well founded – result in a finding that An Bord Pleanála had not properly complied with an important piece of European environmental legislation, namely the Seveso III Directive.  The applicant should not be shut out from even making this argument by an overly strict reading of the Statement of Grounds.”  </w:t>
      </w:r>
    </w:p>
    <w:p w14:paraId="692AB94D" w14:textId="2A7B0B61" w:rsidR="001F2043" w:rsidRDefault="0053446D"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this case</w:t>
      </w:r>
      <w:r w:rsidR="00E861D9">
        <w:rPr>
          <w:rFonts w:ascii="Times New Roman" w:hAnsi="Times New Roman"/>
          <w:sz w:val="24"/>
        </w:rPr>
        <w:t>,</w:t>
      </w:r>
      <w:r>
        <w:rPr>
          <w:rFonts w:ascii="Times New Roman" w:hAnsi="Times New Roman"/>
          <w:sz w:val="24"/>
        </w:rPr>
        <w:t xml:space="preserve"> the applicant raises an important argument in relation to the application of the SEA Directive and the issue whether it has been properly </w:t>
      </w:r>
      <w:r w:rsidR="000C7647">
        <w:rPr>
          <w:rFonts w:ascii="Times New Roman" w:hAnsi="Times New Roman"/>
          <w:sz w:val="24"/>
        </w:rPr>
        <w:t>complied with</w:t>
      </w:r>
      <w:r>
        <w:rPr>
          <w:rFonts w:ascii="Times New Roman" w:hAnsi="Times New Roman"/>
          <w:sz w:val="24"/>
        </w:rPr>
        <w:t xml:space="preserve"> in the adoption </w:t>
      </w:r>
      <w:r w:rsidR="000C7647">
        <w:rPr>
          <w:rFonts w:ascii="Times New Roman" w:hAnsi="Times New Roman"/>
          <w:sz w:val="24"/>
        </w:rPr>
        <w:t>of the NPF</w:t>
      </w:r>
      <w:r w:rsidR="00E861D9">
        <w:rPr>
          <w:rFonts w:ascii="Times New Roman" w:hAnsi="Times New Roman"/>
          <w:sz w:val="24"/>
        </w:rPr>
        <w:t>,</w:t>
      </w:r>
      <w:r w:rsidR="000C7647">
        <w:rPr>
          <w:rFonts w:ascii="Times New Roman" w:hAnsi="Times New Roman"/>
          <w:sz w:val="24"/>
        </w:rPr>
        <w:t xml:space="preserve"> </w:t>
      </w:r>
      <w:r>
        <w:rPr>
          <w:rFonts w:ascii="Times New Roman" w:hAnsi="Times New Roman"/>
          <w:sz w:val="24"/>
        </w:rPr>
        <w:t xml:space="preserve">which sits at the apex of all plans for development within the </w:t>
      </w:r>
      <w:r w:rsidR="004D245F">
        <w:rPr>
          <w:rFonts w:ascii="Times New Roman" w:hAnsi="Times New Roman"/>
          <w:sz w:val="24"/>
        </w:rPr>
        <w:t>s</w:t>
      </w:r>
      <w:r>
        <w:rPr>
          <w:rFonts w:ascii="Times New Roman" w:hAnsi="Times New Roman"/>
          <w:sz w:val="24"/>
        </w:rPr>
        <w:t xml:space="preserve">tate and which is to </w:t>
      </w:r>
      <w:r w:rsidR="000C7647">
        <w:rPr>
          <w:rFonts w:ascii="Times New Roman" w:hAnsi="Times New Roman"/>
          <w:sz w:val="24"/>
        </w:rPr>
        <w:t>govern development decisions throughout the state</w:t>
      </w:r>
      <w:r>
        <w:rPr>
          <w:rFonts w:ascii="Times New Roman" w:hAnsi="Times New Roman"/>
          <w:sz w:val="24"/>
        </w:rPr>
        <w:t xml:space="preserve"> for the next 20 years.  While I accept that the issue whether the reasonable alternatives </w:t>
      </w:r>
      <w:r w:rsidRPr="000C7647">
        <w:rPr>
          <w:rFonts w:ascii="Times New Roman" w:hAnsi="Times New Roman"/>
          <w:i/>
          <w:sz w:val="24"/>
        </w:rPr>
        <w:t>were assessed to a</w:t>
      </w:r>
      <w:r>
        <w:rPr>
          <w:rFonts w:ascii="Times New Roman" w:hAnsi="Times New Roman"/>
          <w:sz w:val="24"/>
        </w:rPr>
        <w:t xml:space="preserve"> </w:t>
      </w:r>
      <w:r w:rsidRPr="000C7647">
        <w:rPr>
          <w:rFonts w:ascii="Times New Roman" w:hAnsi="Times New Roman"/>
          <w:i/>
          <w:sz w:val="24"/>
        </w:rPr>
        <w:t>comparable extent</w:t>
      </w:r>
      <w:r>
        <w:rPr>
          <w:rFonts w:ascii="Times New Roman" w:hAnsi="Times New Roman"/>
          <w:sz w:val="24"/>
        </w:rPr>
        <w:t xml:space="preserve"> as the preferred option was not expressly pleaded in the </w:t>
      </w:r>
      <w:r w:rsidR="00E861D9">
        <w:rPr>
          <w:rFonts w:ascii="Times New Roman" w:hAnsi="Times New Roman"/>
          <w:sz w:val="24"/>
        </w:rPr>
        <w:t>s</w:t>
      </w:r>
      <w:r>
        <w:rPr>
          <w:rFonts w:ascii="Times New Roman" w:hAnsi="Times New Roman"/>
          <w:sz w:val="24"/>
        </w:rPr>
        <w:t xml:space="preserve">tatement of </w:t>
      </w:r>
      <w:r w:rsidR="00E861D9">
        <w:rPr>
          <w:rFonts w:ascii="Times New Roman" w:hAnsi="Times New Roman"/>
          <w:sz w:val="24"/>
        </w:rPr>
        <w:t>g</w:t>
      </w:r>
      <w:r>
        <w:rPr>
          <w:rFonts w:ascii="Times New Roman" w:hAnsi="Times New Roman"/>
          <w:sz w:val="24"/>
        </w:rPr>
        <w:t xml:space="preserve">rounds – and therefore not the subject of an order for leave to seek judicial review </w:t>
      </w:r>
      <w:r w:rsidR="001F2043">
        <w:rPr>
          <w:rFonts w:ascii="Times New Roman" w:hAnsi="Times New Roman"/>
          <w:sz w:val="24"/>
        </w:rPr>
        <w:t>–</w:t>
      </w:r>
      <w:r>
        <w:rPr>
          <w:rFonts w:ascii="Times New Roman" w:hAnsi="Times New Roman"/>
          <w:sz w:val="24"/>
        </w:rPr>
        <w:t xml:space="preserve"> </w:t>
      </w:r>
      <w:r w:rsidR="001F2043">
        <w:rPr>
          <w:rFonts w:ascii="Times New Roman" w:hAnsi="Times New Roman"/>
          <w:sz w:val="24"/>
        </w:rPr>
        <w:t xml:space="preserve">a related argument – namely the </w:t>
      </w:r>
      <w:r w:rsidR="001F2043" w:rsidRPr="000C7647">
        <w:rPr>
          <w:rFonts w:ascii="Times New Roman" w:hAnsi="Times New Roman"/>
          <w:i/>
          <w:sz w:val="24"/>
        </w:rPr>
        <w:t>adequacy</w:t>
      </w:r>
      <w:r w:rsidR="001F2043">
        <w:rPr>
          <w:rFonts w:ascii="Times New Roman" w:hAnsi="Times New Roman"/>
          <w:sz w:val="24"/>
        </w:rPr>
        <w:t xml:space="preserve"> of the assessment of the reasonable alternatives – was clearly part of the case from the beginning</w:t>
      </w:r>
      <w:r w:rsidR="00E861D9">
        <w:rPr>
          <w:rFonts w:ascii="Times New Roman" w:hAnsi="Times New Roman"/>
          <w:sz w:val="24"/>
        </w:rPr>
        <w:t>,</w:t>
      </w:r>
      <w:r w:rsidR="001F2043">
        <w:rPr>
          <w:rFonts w:ascii="Times New Roman" w:hAnsi="Times New Roman"/>
          <w:sz w:val="24"/>
        </w:rPr>
        <w:t xml:space="preserve"> and the ground to which objection is now tak</w:t>
      </w:r>
      <w:r w:rsidR="004D245F">
        <w:rPr>
          <w:rFonts w:ascii="Times New Roman" w:hAnsi="Times New Roman"/>
          <w:sz w:val="24"/>
        </w:rPr>
        <w:t>en</w:t>
      </w:r>
      <w:r w:rsidR="001F2043">
        <w:rPr>
          <w:rFonts w:ascii="Times New Roman" w:hAnsi="Times New Roman"/>
          <w:sz w:val="24"/>
        </w:rPr>
        <w:t xml:space="preserve"> was clearly raised in written submission a month before the case came to trial.  The respondents had the opportunity to respond in their written submissions of 6 March 2020, in oral submissions and in their supplemental written submissions.  On balance</w:t>
      </w:r>
      <w:r w:rsidR="00E861D9">
        <w:rPr>
          <w:rFonts w:ascii="Times New Roman" w:hAnsi="Times New Roman"/>
          <w:sz w:val="24"/>
        </w:rPr>
        <w:t>,</w:t>
      </w:r>
      <w:r w:rsidR="001F2043">
        <w:rPr>
          <w:rFonts w:ascii="Times New Roman" w:hAnsi="Times New Roman"/>
          <w:sz w:val="24"/>
        </w:rPr>
        <w:t xml:space="preserve"> I am satisfied that the impugned pleading is not of the generic nature which was criticised in the authorities relied upon by the respondents and, while it undoubtedly would have been preferable if an application for leave to amend the </w:t>
      </w:r>
      <w:r w:rsidR="00E861D9">
        <w:rPr>
          <w:rFonts w:ascii="Times New Roman" w:hAnsi="Times New Roman"/>
          <w:sz w:val="24"/>
        </w:rPr>
        <w:t>s</w:t>
      </w:r>
      <w:r w:rsidR="001F2043">
        <w:rPr>
          <w:rFonts w:ascii="Times New Roman" w:hAnsi="Times New Roman"/>
          <w:sz w:val="24"/>
        </w:rPr>
        <w:t xml:space="preserve">tatement of </w:t>
      </w:r>
      <w:r w:rsidR="00E861D9">
        <w:rPr>
          <w:rFonts w:ascii="Times New Roman" w:hAnsi="Times New Roman"/>
          <w:sz w:val="24"/>
        </w:rPr>
        <w:t>g</w:t>
      </w:r>
      <w:r w:rsidR="001F2043">
        <w:rPr>
          <w:rFonts w:ascii="Times New Roman" w:hAnsi="Times New Roman"/>
          <w:sz w:val="24"/>
        </w:rPr>
        <w:t xml:space="preserve">rounds had been brought, I agree with the observations </w:t>
      </w:r>
      <w:r w:rsidR="00E861D9">
        <w:rPr>
          <w:rFonts w:ascii="Times New Roman" w:hAnsi="Times New Roman"/>
          <w:sz w:val="24"/>
        </w:rPr>
        <w:t xml:space="preserve">of </w:t>
      </w:r>
      <w:r w:rsidR="001F2043">
        <w:rPr>
          <w:rFonts w:ascii="Times New Roman" w:hAnsi="Times New Roman"/>
          <w:sz w:val="24"/>
        </w:rPr>
        <w:t xml:space="preserve">Simons J. in </w:t>
      </w:r>
      <w:r w:rsidR="001F2043">
        <w:rPr>
          <w:rFonts w:ascii="Times New Roman" w:hAnsi="Times New Roman"/>
          <w:i/>
          <w:sz w:val="24"/>
        </w:rPr>
        <w:t>Halpin</w:t>
      </w:r>
      <w:r w:rsidR="00E861D9">
        <w:rPr>
          <w:rFonts w:ascii="Times New Roman" w:hAnsi="Times New Roman"/>
          <w:sz w:val="24"/>
        </w:rPr>
        <w:t>;</w:t>
      </w:r>
      <w:r w:rsidR="001F2043">
        <w:rPr>
          <w:rFonts w:ascii="Times New Roman" w:hAnsi="Times New Roman"/>
          <w:sz w:val="24"/>
        </w:rPr>
        <w:t xml:space="preserve"> it would not be appropriate</w:t>
      </w:r>
      <w:r w:rsidR="00E861D9">
        <w:rPr>
          <w:rFonts w:ascii="Times New Roman" w:hAnsi="Times New Roman"/>
          <w:sz w:val="24"/>
        </w:rPr>
        <w:t>,</w:t>
      </w:r>
      <w:r w:rsidR="001F2043">
        <w:rPr>
          <w:rFonts w:ascii="Times New Roman" w:hAnsi="Times New Roman"/>
          <w:sz w:val="24"/>
        </w:rPr>
        <w:t xml:space="preserve"> on a </w:t>
      </w:r>
      <w:r w:rsidR="001F2043">
        <w:rPr>
          <w:rFonts w:ascii="Times New Roman" w:hAnsi="Times New Roman"/>
          <w:sz w:val="24"/>
        </w:rPr>
        <w:lastRenderedPageBreak/>
        <w:t>pleading point</w:t>
      </w:r>
      <w:r w:rsidR="00E861D9">
        <w:rPr>
          <w:rFonts w:ascii="Times New Roman" w:hAnsi="Times New Roman"/>
          <w:sz w:val="24"/>
        </w:rPr>
        <w:t>,</w:t>
      </w:r>
      <w:r w:rsidR="001F2043">
        <w:rPr>
          <w:rFonts w:ascii="Times New Roman" w:hAnsi="Times New Roman"/>
          <w:sz w:val="24"/>
        </w:rPr>
        <w:t xml:space="preserve"> to prevent the applicant from advancing an argument in relation to the application of a significant EU environmental provision where the respondents have pointed to no prejudice in meeting the point </w:t>
      </w:r>
      <w:r w:rsidR="004D245F">
        <w:rPr>
          <w:rFonts w:ascii="Times New Roman" w:hAnsi="Times New Roman"/>
          <w:sz w:val="24"/>
        </w:rPr>
        <w:t>in question</w:t>
      </w:r>
      <w:r w:rsidR="001F2043">
        <w:rPr>
          <w:rFonts w:ascii="Times New Roman" w:hAnsi="Times New Roman"/>
          <w:sz w:val="24"/>
        </w:rPr>
        <w:t>.  In this regard</w:t>
      </w:r>
      <w:r w:rsidR="00E861D9">
        <w:rPr>
          <w:rFonts w:ascii="Times New Roman" w:hAnsi="Times New Roman"/>
          <w:sz w:val="24"/>
        </w:rPr>
        <w:t>,</w:t>
      </w:r>
      <w:r w:rsidR="001F2043">
        <w:rPr>
          <w:rFonts w:ascii="Times New Roman" w:hAnsi="Times New Roman"/>
          <w:sz w:val="24"/>
        </w:rPr>
        <w:t xml:space="preserve"> I note that there was no application to file a supplemental affidavit by the respondents upon receipt of the written submissions on 10 February 2020</w:t>
      </w:r>
      <w:r w:rsidR="00E861D9">
        <w:rPr>
          <w:rFonts w:ascii="Times New Roman" w:hAnsi="Times New Roman"/>
          <w:sz w:val="24"/>
        </w:rPr>
        <w:t>,</w:t>
      </w:r>
      <w:r w:rsidR="009159D6">
        <w:rPr>
          <w:rFonts w:ascii="Times New Roman" w:hAnsi="Times New Roman"/>
          <w:sz w:val="24"/>
        </w:rPr>
        <w:t xml:space="preserve"> nor was there any suggestion that there was any relevant evidence which they could have adduced had the point been expressly pleaded in the statement of grounds</w:t>
      </w:r>
      <w:r w:rsidR="00E861D9">
        <w:rPr>
          <w:rFonts w:ascii="Times New Roman" w:hAnsi="Times New Roman"/>
          <w:sz w:val="24"/>
        </w:rPr>
        <w:t>,</w:t>
      </w:r>
      <w:r w:rsidR="004D245F">
        <w:rPr>
          <w:rFonts w:ascii="Times New Roman" w:hAnsi="Times New Roman"/>
          <w:sz w:val="24"/>
        </w:rPr>
        <w:t xml:space="preserve"> nor was it suggested that it was a ground upon which the applicant would not have been granted leave to seek judicial review had it been raised when leave was initially sought</w:t>
      </w:r>
      <w:r w:rsidR="001F2043">
        <w:rPr>
          <w:rFonts w:ascii="Times New Roman" w:hAnsi="Times New Roman"/>
          <w:sz w:val="24"/>
        </w:rPr>
        <w:t xml:space="preserve">. </w:t>
      </w:r>
    </w:p>
    <w:p w14:paraId="5F167466" w14:textId="662867B8" w:rsidR="00697ACE" w:rsidRPr="005E487A" w:rsidRDefault="001F2043" w:rsidP="004A56E3">
      <w:pPr>
        <w:pStyle w:val="ListParagraph"/>
        <w:numPr>
          <w:ilvl w:val="0"/>
          <w:numId w:val="1"/>
        </w:numPr>
        <w:tabs>
          <w:tab w:val="left" w:pos="567"/>
        </w:tabs>
        <w:spacing w:line="480" w:lineRule="auto"/>
        <w:ind w:left="0" w:firstLine="0"/>
        <w:jc w:val="left"/>
        <w:rPr>
          <w:rFonts w:ascii="Times New Roman" w:hAnsi="Times New Roman"/>
          <w:b/>
          <w:i/>
          <w:sz w:val="24"/>
        </w:rPr>
      </w:pPr>
      <w:r>
        <w:rPr>
          <w:rFonts w:ascii="Times New Roman" w:hAnsi="Times New Roman"/>
          <w:sz w:val="24"/>
        </w:rPr>
        <w:t xml:space="preserve">For these reasons, I would reject </w:t>
      </w:r>
      <w:r w:rsidR="004D245F">
        <w:rPr>
          <w:rFonts w:ascii="Times New Roman" w:hAnsi="Times New Roman"/>
          <w:sz w:val="24"/>
        </w:rPr>
        <w:t>the</w:t>
      </w:r>
      <w:r>
        <w:rPr>
          <w:rFonts w:ascii="Times New Roman" w:hAnsi="Times New Roman"/>
          <w:sz w:val="24"/>
        </w:rPr>
        <w:t xml:space="preserve"> cross-appeal and agree with the trial </w:t>
      </w:r>
      <w:r w:rsidR="003D2EC0">
        <w:rPr>
          <w:rFonts w:ascii="Times New Roman" w:hAnsi="Times New Roman"/>
          <w:sz w:val="24"/>
        </w:rPr>
        <w:t>judge</w:t>
      </w:r>
      <w:r>
        <w:rPr>
          <w:rFonts w:ascii="Times New Roman" w:hAnsi="Times New Roman"/>
          <w:sz w:val="24"/>
        </w:rPr>
        <w:t xml:space="preserve"> that the applicant should not be prevented fr</w:t>
      </w:r>
      <w:r w:rsidR="00E861D9">
        <w:rPr>
          <w:rFonts w:ascii="Times New Roman" w:hAnsi="Times New Roman"/>
          <w:sz w:val="24"/>
        </w:rPr>
        <w:t>om</w:t>
      </w:r>
      <w:r>
        <w:rPr>
          <w:rFonts w:ascii="Times New Roman" w:hAnsi="Times New Roman"/>
          <w:sz w:val="24"/>
        </w:rPr>
        <w:t xml:space="preserve"> advancing the argument in relation to comparable assessment in this case.   </w:t>
      </w:r>
      <w:r w:rsidR="005E4D2B">
        <w:rPr>
          <w:rFonts w:ascii="Times New Roman" w:hAnsi="Times New Roman"/>
          <w:sz w:val="24"/>
        </w:rPr>
        <w:t xml:space="preserve"> </w:t>
      </w:r>
      <w:r w:rsidR="0053446D">
        <w:rPr>
          <w:rFonts w:ascii="Times New Roman" w:hAnsi="Times New Roman"/>
          <w:sz w:val="24"/>
        </w:rPr>
        <w:t xml:space="preserve"> </w:t>
      </w:r>
    </w:p>
    <w:p w14:paraId="3BB99199" w14:textId="5E5F86B0" w:rsidR="00BE70B7" w:rsidRPr="009E1503" w:rsidRDefault="009E1503" w:rsidP="00152CC6">
      <w:pPr>
        <w:pStyle w:val="ListParagraph"/>
        <w:tabs>
          <w:tab w:val="left" w:pos="567"/>
        </w:tabs>
        <w:spacing w:line="480" w:lineRule="auto"/>
        <w:ind w:left="0"/>
        <w:jc w:val="left"/>
        <w:rPr>
          <w:rFonts w:ascii="Times New Roman" w:hAnsi="Times New Roman"/>
          <w:i/>
          <w:sz w:val="24"/>
        </w:rPr>
      </w:pPr>
      <w:r>
        <w:rPr>
          <w:rFonts w:ascii="Times New Roman" w:hAnsi="Times New Roman"/>
          <w:b/>
          <w:i/>
          <w:sz w:val="24"/>
        </w:rPr>
        <w:t>Is c</w:t>
      </w:r>
      <w:r w:rsidR="00152CC6" w:rsidRPr="009E1503">
        <w:rPr>
          <w:rFonts w:ascii="Times New Roman" w:hAnsi="Times New Roman"/>
          <w:b/>
          <w:i/>
          <w:sz w:val="24"/>
        </w:rPr>
        <w:t>omparable assessment of reasonable alternatives</w:t>
      </w:r>
      <w:r>
        <w:rPr>
          <w:rFonts w:ascii="Times New Roman" w:hAnsi="Times New Roman"/>
          <w:b/>
          <w:i/>
          <w:sz w:val="24"/>
        </w:rPr>
        <w:t xml:space="preserve"> a requirement of the SEA Directive?</w:t>
      </w:r>
      <w:r w:rsidR="00BE70B7" w:rsidRPr="009E1503">
        <w:rPr>
          <w:rFonts w:ascii="Times New Roman" w:hAnsi="Times New Roman"/>
          <w:i/>
          <w:sz w:val="24"/>
        </w:rPr>
        <w:t xml:space="preserve"> </w:t>
      </w:r>
    </w:p>
    <w:p w14:paraId="59136D00" w14:textId="77C8139A" w:rsidR="00BE70B7" w:rsidRDefault="00152CC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applicant’s case is based upon the provisions of Article 5</w:t>
      </w:r>
      <w:r w:rsidR="00E861D9">
        <w:rPr>
          <w:rFonts w:ascii="Times New Roman" w:hAnsi="Times New Roman"/>
          <w:sz w:val="24"/>
        </w:rPr>
        <w:t>(</w:t>
      </w:r>
      <w:r>
        <w:rPr>
          <w:rFonts w:ascii="Times New Roman" w:hAnsi="Times New Roman"/>
          <w:sz w:val="24"/>
        </w:rPr>
        <w:t>1</w:t>
      </w:r>
      <w:r w:rsidR="00E861D9">
        <w:rPr>
          <w:rFonts w:ascii="Times New Roman" w:hAnsi="Times New Roman"/>
          <w:sz w:val="24"/>
        </w:rPr>
        <w:t>)</w:t>
      </w:r>
      <w:r>
        <w:rPr>
          <w:rFonts w:ascii="Times New Roman" w:hAnsi="Times New Roman"/>
          <w:sz w:val="24"/>
        </w:rPr>
        <w:t xml:space="preserve"> of the SEA Directive.  I rep</w:t>
      </w:r>
      <w:r w:rsidR="00B65EAD">
        <w:rPr>
          <w:rFonts w:ascii="Times New Roman" w:hAnsi="Times New Roman"/>
          <w:sz w:val="24"/>
        </w:rPr>
        <w:t>eat</w:t>
      </w:r>
      <w:r>
        <w:rPr>
          <w:rFonts w:ascii="Times New Roman" w:hAnsi="Times New Roman"/>
          <w:sz w:val="24"/>
        </w:rPr>
        <w:t xml:space="preserve"> the provision </w:t>
      </w:r>
      <w:r w:rsidR="00B65EAD">
        <w:rPr>
          <w:rFonts w:ascii="Times New Roman" w:hAnsi="Times New Roman"/>
          <w:sz w:val="24"/>
        </w:rPr>
        <w:t>here</w:t>
      </w:r>
      <w:r>
        <w:rPr>
          <w:rFonts w:ascii="Times New Roman" w:hAnsi="Times New Roman"/>
          <w:sz w:val="24"/>
        </w:rPr>
        <w:t>:</w:t>
      </w:r>
      <w:r w:rsidR="00E861D9">
        <w:rPr>
          <w:rFonts w:ascii="Times New Roman" w:hAnsi="Times New Roman"/>
          <w:sz w:val="24"/>
        </w:rPr>
        <w:t>-</w:t>
      </w:r>
    </w:p>
    <w:p w14:paraId="594991B5" w14:textId="1C9270BE" w:rsidR="00152CC6" w:rsidRPr="00152CC6" w:rsidRDefault="00152CC6" w:rsidP="00152CC6">
      <w:pPr>
        <w:pStyle w:val="ListParagraph"/>
        <w:spacing w:line="480" w:lineRule="auto"/>
        <w:ind w:left="567"/>
        <w:jc w:val="left"/>
        <w:rPr>
          <w:rFonts w:ascii="Times New Roman" w:hAnsi="Times New Roman"/>
          <w:i/>
          <w:sz w:val="24"/>
        </w:rPr>
      </w:pPr>
      <w:r>
        <w:rPr>
          <w:rFonts w:ascii="Times New Roman" w:hAnsi="Times New Roman"/>
          <w:i/>
          <w:sz w:val="24"/>
        </w:rPr>
        <w:t>“1. Where an environmental assessment is required under Article 3(1), an environmental report shall be prepared in which the likely significant effects on the environment of implementing the plan or program</w:t>
      </w:r>
      <w:r w:rsidR="00D3168B">
        <w:rPr>
          <w:rFonts w:ascii="Times New Roman" w:hAnsi="Times New Roman"/>
          <w:i/>
          <w:sz w:val="24"/>
        </w:rPr>
        <w:t>me</w:t>
      </w:r>
      <w:r>
        <w:rPr>
          <w:rFonts w:ascii="Times New Roman" w:hAnsi="Times New Roman"/>
          <w:i/>
          <w:sz w:val="24"/>
        </w:rPr>
        <w:t xml:space="preserve">, and reasonable alternatives taking into account the objectives and </w:t>
      </w:r>
      <w:r w:rsidR="00597A12">
        <w:rPr>
          <w:rFonts w:ascii="Times New Roman" w:hAnsi="Times New Roman"/>
          <w:i/>
          <w:sz w:val="24"/>
        </w:rPr>
        <w:t xml:space="preserve">the </w:t>
      </w:r>
      <w:r>
        <w:rPr>
          <w:rFonts w:ascii="Times New Roman" w:hAnsi="Times New Roman"/>
          <w:i/>
          <w:sz w:val="24"/>
        </w:rPr>
        <w:t>geographical scope of the plan</w:t>
      </w:r>
      <w:r w:rsidR="00597A12">
        <w:rPr>
          <w:rFonts w:ascii="Times New Roman" w:hAnsi="Times New Roman"/>
          <w:i/>
          <w:sz w:val="24"/>
        </w:rPr>
        <w:t xml:space="preserve"> or</w:t>
      </w:r>
      <w:r>
        <w:rPr>
          <w:rFonts w:ascii="Times New Roman" w:hAnsi="Times New Roman"/>
          <w:i/>
          <w:sz w:val="24"/>
        </w:rPr>
        <w:t xml:space="preserve"> programme, are identified, described and evaluated.  The information to be given for this purpose is referred to in Annex </w:t>
      </w:r>
      <w:r w:rsidR="00605183">
        <w:rPr>
          <w:rFonts w:ascii="Times New Roman" w:hAnsi="Times New Roman"/>
          <w:i/>
          <w:sz w:val="24"/>
        </w:rPr>
        <w:t>I</w:t>
      </w:r>
      <w:r>
        <w:rPr>
          <w:rFonts w:ascii="Times New Roman" w:hAnsi="Times New Roman"/>
          <w:i/>
          <w:sz w:val="24"/>
        </w:rPr>
        <w:t>.”</w:t>
      </w:r>
    </w:p>
    <w:p w14:paraId="7667BE7E" w14:textId="33971188" w:rsidR="00BE70B7" w:rsidRDefault="00152CC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decision maker is given considerable latitude in setting the objectives of the plan or program</w:t>
      </w:r>
      <w:r w:rsidR="00D3168B">
        <w:rPr>
          <w:rFonts w:ascii="Times New Roman" w:hAnsi="Times New Roman"/>
          <w:sz w:val="24"/>
        </w:rPr>
        <w:t>me</w:t>
      </w:r>
      <w:r w:rsidR="00FF59E9">
        <w:rPr>
          <w:rFonts w:ascii="Times New Roman" w:hAnsi="Times New Roman"/>
          <w:sz w:val="24"/>
        </w:rPr>
        <w:t>,</w:t>
      </w:r>
      <w:r>
        <w:rPr>
          <w:rFonts w:ascii="Times New Roman" w:hAnsi="Times New Roman"/>
          <w:sz w:val="24"/>
        </w:rPr>
        <w:t xml:space="preserve"> and thus in determining the reasonable alternatives which meet the objectives so set.  However, once an option is identified as a reasonable alternative, it </w:t>
      </w:r>
      <w:r>
        <w:rPr>
          <w:rFonts w:ascii="Times New Roman" w:hAnsi="Times New Roman"/>
          <w:sz w:val="24"/>
        </w:rPr>
        <w:lastRenderedPageBreak/>
        <w:t>comes within the scope of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It is common case that five reasonable alternatives were identified in the SEA Environmental Report.  Each of these, together with the </w:t>
      </w:r>
      <w:r>
        <w:rPr>
          <w:rFonts w:ascii="Times New Roman" w:hAnsi="Times New Roman"/>
          <w:i/>
          <w:sz w:val="24"/>
        </w:rPr>
        <w:t xml:space="preserve">“business as usual” </w:t>
      </w:r>
      <w:r>
        <w:rPr>
          <w:rFonts w:ascii="Times New Roman" w:hAnsi="Times New Roman"/>
          <w:sz w:val="24"/>
        </w:rPr>
        <w:t>option,</w:t>
      </w:r>
      <w:r w:rsidR="00FF59E9">
        <w:rPr>
          <w:rFonts w:ascii="Times New Roman" w:hAnsi="Times New Roman"/>
          <w:sz w:val="24"/>
        </w:rPr>
        <w:t xml:space="preserve"> were</w:t>
      </w:r>
      <w:r>
        <w:rPr>
          <w:rFonts w:ascii="Times New Roman" w:hAnsi="Times New Roman"/>
          <w:sz w:val="24"/>
        </w:rPr>
        <w:t xml:space="preserve"> required to be identified, described and evaluated.  The environmental assessment was set out in the SEA Environmental Report of the </w:t>
      </w:r>
      <w:r w:rsidR="00D618EF">
        <w:rPr>
          <w:rFonts w:ascii="Times New Roman" w:hAnsi="Times New Roman"/>
          <w:sz w:val="24"/>
        </w:rPr>
        <w:t xml:space="preserve">draft NPF which was published on 26 September 2017.  This was </w:t>
      </w:r>
      <w:r w:rsidR="009E1503">
        <w:rPr>
          <w:rFonts w:ascii="Times New Roman" w:hAnsi="Times New Roman"/>
          <w:sz w:val="24"/>
        </w:rPr>
        <w:t xml:space="preserve">published </w:t>
      </w:r>
      <w:r w:rsidR="00D618EF">
        <w:rPr>
          <w:rFonts w:ascii="Times New Roman" w:hAnsi="Times New Roman"/>
          <w:sz w:val="24"/>
        </w:rPr>
        <w:t>to</w:t>
      </w:r>
      <w:r w:rsidR="00B65EAD">
        <w:rPr>
          <w:rFonts w:ascii="Times New Roman" w:hAnsi="Times New Roman"/>
          <w:sz w:val="24"/>
        </w:rPr>
        <w:t xml:space="preserve"> facilitate</w:t>
      </w:r>
      <w:r w:rsidR="00D618EF">
        <w:rPr>
          <w:rFonts w:ascii="Times New Roman" w:hAnsi="Times New Roman"/>
          <w:sz w:val="24"/>
        </w:rPr>
        <w:t xml:space="preserve"> public consultation in respect of the preferred option and the reasonable alternatives.  </w:t>
      </w:r>
      <w:r w:rsidR="00BC7D1B">
        <w:rPr>
          <w:rFonts w:ascii="Times New Roman" w:hAnsi="Times New Roman"/>
          <w:sz w:val="24"/>
        </w:rPr>
        <w:t>Thereafter</w:t>
      </w:r>
      <w:r w:rsidR="00D618EF">
        <w:rPr>
          <w:rFonts w:ascii="Times New Roman" w:hAnsi="Times New Roman"/>
          <w:sz w:val="24"/>
        </w:rPr>
        <w:t>, once the NPF was finalised, the SEA Conclusion Statement was prepared at the end of the public consultation</w:t>
      </w:r>
      <w:r w:rsidR="009E1503">
        <w:rPr>
          <w:rFonts w:ascii="Times New Roman" w:hAnsi="Times New Roman"/>
          <w:sz w:val="24"/>
        </w:rPr>
        <w:t xml:space="preserve"> </w:t>
      </w:r>
      <w:r w:rsidR="0002232C">
        <w:rPr>
          <w:rFonts w:ascii="Times New Roman" w:hAnsi="Times New Roman"/>
          <w:sz w:val="24"/>
        </w:rPr>
        <w:t xml:space="preserve">phase </w:t>
      </w:r>
      <w:r w:rsidR="009E1503">
        <w:rPr>
          <w:rFonts w:ascii="Times New Roman" w:hAnsi="Times New Roman"/>
          <w:sz w:val="24"/>
        </w:rPr>
        <w:t>and reflected the conclusion of the process</w:t>
      </w:r>
      <w:r w:rsidR="00D618EF">
        <w:rPr>
          <w:rFonts w:ascii="Times New Roman" w:hAnsi="Times New Roman"/>
          <w:sz w:val="24"/>
        </w:rPr>
        <w:t xml:space="preserve">. </w:t>
      </w:r>
      <w:r w:rsidR="00FF59E9">
        <w:rPr>
          <w:rFonts w:ascii="Times New Roman" w:hAnsi="Times New Roman"/>
          <w:sz w:val="24"/>
        </w:rPr>
        <w:t xml:space="preserve"> </w:t>
      </w:r>
      <w:r w:rsidR="00D618EF">
        <w:rPr>
          <w:rFonts w:ascii="Times New Roman" w:hAnsi="Times New Roman"/>
          <w:sz w:val="24"/>
        </w:rPr>
        <w:t xml:space="preserve">The applicant says that proper public consultation </w:t>
      </w:r>
      <w:r w:rsidR="009E1503">
        <w:rPr>
          <w:rFonts w:ascii="Times New Roman" w:hAnsi="Times New Roman"/>
          <w:sz w:val="24"/>
        </w:rPr>
        <w:t xml:space="preserve">requires </w:t>
      </w:r>
      <w:r w:rsidR="00D618EF">
        <w:rPr>
          <w:rFonts w:ascii="Times New Roman" w:hAnsi="Times New Roman"/>
          <w:sz w:val="24"/>
        </w:rPr>
        <w:t xml:space="preserve">the assessment of the reasonable alternatives </w:t>
      </w:r>
      <w:r w:rsidR="009E1503">
        <w:rPr>
          <w:rFonts w:ascii="Times New Roman" w:hAnsi="Times New Roman"/>
          <w:sz w:val="24"/>
        </w:rPr>
        <w:t>at</w:t>
      </w:r>
      <w:r w:rsidR="00D618EF">
        <w:rPr>
          <w:rFonts w:ascii="Times New Roman" w:hAnsi="Times New Roman"/>
          <w:sz w:val="24"/>
        </w:rPr>
        <w:t xml:space="preserve"> a  level of detail </w:t>
      </w:r>
      <w:r w:rsidR="00B65EAD">
        <w:rPr>
          <w:rFonts w:ascii="Times New Roman" w:hAnsi="Times New Roman"/>
          <w:sz w:val="24"/>
        </w:rPr>
        <w:t>comparable to that of</w:t>
      </w:r>
      <w:r w:rsidR="00D618EF">
        <w:rPr>
          <w:rFonts w:ascii="Times New Roman" w:hAnsi="Times New Roman"/>
          <w:sz w:val="24"/>
        </w:rPr>
        <w:t xml:space="preserve"> the preferred option identified in the report.  It says that this did not occur and accordingly there has been a failure to comply with the requirements of Article 5</w:t>
      </w:r>
      <w:r w:rsidR="00597A12">
        <w:rPr>
          <w:rFonts w:ascii="Times New Roman" w:hAnsi="Times New Roman"/>
          <w:sz w:val="24"/>
        </w:rPr>
        <w:t>(</w:t>
      </w:r>
      <w:r w:rsidR="00D618EF">
        <w:rPr>
          <w:rFonts w:ascii="Times New Roman" w:hAnsi="Times New Roman"/>
          <w:sz w:val="24"/>
        </w:rPr>
        <w:t>1</w:t>
      </w:r>
      <w:r w:rsidR="00597A12">
        <w:rPr>
          <w:rFonts w:ascii="Times New Roman" w:hAnsi="Times New Roman"/>
          <w:sz w:val="24"/>
        </w:rPr>
        <w:t>)</w:t>
      </w:r>
      <w:r w:rsidR="00D618EF">
        <w:rPr>
          <w:rFonts w:ascii="Times New Roman" w:hAnsi="Times New Roman"/>
          <w:sz w:val="24"/>
        </w:rPr>
        <w:t xml:space="preserve"> of the SEA Directive.  </w:t>
      </w:r>
    </w:p>
    <w:p w14:paraId="0503DDA4" w14:textId="7BD3BDCD" w:rsidR="00D618EF" w:rsidRDefault="00D618EF" w:rsidP="00D618EF">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w:t>
      </w:r>
      <w:r w:rsidR="009E1503">
        <w:rPr>
          <w:rFonts w:ascii="Times New Roman" w:hAnsi="Times New Roman"/>
          <w:sz w:val="24"/>
        </w:rPr>
        <w:t>’</w:t>
      </w:r>
      <w:r>
        <w:rPr>
          <w:rFonts w:ascii="Times New Roman" w:hAnsi="Times New Roman"/>
          <w:sz w:val="24"/>
        </w:rPr>
        <w:t xml:space="preserve"> position is that the alternatives were assessed on a comparable basis to the preferred option in Chapter 7</w:t>
      </w:r>
      <w:r w:rsidR="0002232C">
        <w:rPr>
          <w:rFonts w:ascii="Times New Roman" w:hAnsi="Times New Roman"/>
          <w:sz w:val="24"/>
        </w:rPr>
        <w:t xml:space="preserve"> of the SEA Environmental Report</w:t>
      </w:r>
      <w:r>
        <w:rPr>
          <w:rFonts w:ascii="Times New Roman" w:hAnsi="Times New Roman"/>
          <w:sz w:val="24"/>
        </w:rPr>
        <w:t>.  The fact that the preferred option was further developed in Chapter 8 does not d</w:t>
      </w:r>
      <w:r w:rsidR="009E1503">
        <w:rPr>
          <w:rFonts w:ascii="Times New Roman" w:hAnsi="Times New Roman"/>
          <w:sz w:val="24"/>
        </w:rPr>
        <w:t>e</w:t>
      </w:r>
      <w:r>
        <w:rPr>
          <w:rFonts w:ascii="Times New Roman" w:hAnsi="Times New Roman"/>
          <w:sz w:val="24"/>
        </w:rPr>
        <w:t>tract from this</w:t>
      </w:r>
      <w:r w:rsidR="009E1503">
        <w:rPr>
          <w:rFonts w:ascii="Times New Roman" w:hAnsi="Times New Roman"/>
          <w:sz w:val="24"/>
        </w:rPr>
        <w:t xml:space="preserve">. </w:t>
      </w:r>
      <w:r w:rsidR="0000203D">
        <w:rPr>
          <w:rFonts w:ascii="Times New Roman" w:hAnsi="Times New Roman"/>
          <w:sz w:val="24"/>
        </w:rPr>
        <w:t xml:space="preserve"> </w:t>
      </w:r>
      <w:r w:rsidR="009E1503">
        <w:rPr>
          <w:rFonts w:ascii="Times New Roman" w:hAnsi="Times New Roman"/>
          <w:sz w:val="24"/>
        </w:rPr>
        <w:t>T</w:t>
      </w:r>
      <w:r>
        <w:rPr>
          <w:rFonts w:ascii="Times New Roman" w:hAnsi="Times New Roman"/>
          <w:sz w:val="24"/>
        </w:rPr>
        <w:t>he</w:t>
      </w:r>
      <w:r w:rsidR="0002232C">
        <w:rPr>
          <w:rFonts w:ascii="Times New Roman" w:hAnsi="Times New Roman"/>
          <w:sz w:val="24"/>
        </w:rPr>
        <w:t>y submit that the</w:t>
      </w:r>
      <w:r>
        <w:rPr>
          <w:rFonts w:ascii="Times New Roman" w:hAnsi="Times New Roman"/>
          <w:sz w:val="24"/>
        </w:rPr>
        <w:t xml:space="preserve"> level of detail of the SEA Environmental Report</w:t>
      </w:r>
      <w:r w:rsidR="0002232C">
        <w:rPr>
          <w:rFonts w:ascii="Times New Roman" w:hAnsi="Times New Roman"/>
          <w:sz w:val="24"/>
        </w:rPr>
        <w:t xml:space="preserve"> is </w:t>
      </w:r>
      <w:r>
        <w:rPr>
          <w:rFonts w:ascii="Times New Roman" w:hAnsi="Times New Roman"/>
          <w:sz w:val="24"/>
        </w:rPr>
        <w:t xml:space="preserve">a matter for the decision maker.  The respondents say that the SEA Directive does not require alternatives to be subjected to </w:t>
      </w:r>
      <w:r>
        <w:rPr>
          <w:rFonts w:ascii="Times New Roman" w:hAnsi="Times New Roman"/>
          <w:i/>
          <w:sz w:val="24"/>
        </w:rPr>
        <w:t xml:space="preserve">“full </w:t>
      </w:r>
      <w:r w:rsidR="009E1503">
        <w:rPr>
          <w:rFonts w:ascii="Times New Roman" w:hAnsi="Times New Roman"/>
          <w:i/>
          <w:sz w:val="24"/>
        </w:rPr>
        <w:t xml:space="preserve">SEA assessment” </w:t>
      </w:r>
      <w:r>
        <w:rPr>
          <w:rFonts w:ascii="Times New Roman" w:hAnsi="Times New Roman"/>
          <w:sz w:val="24"/>
        </w:rPr>
        <w:t>as</w:t>
      </w:r>
      <w:r w:rsidR="009E1503">
        <w:rPr>
          <w:rFonts w:ascii="Times New Roman" w:hAnsi="Times New Roman"/>
          <w:sz w:val="24"/>
        </w:rPr>
        <w:t xml:space="preserve"> was carried out of</w:t>
      </w:r>
      <w:r>
        <w:rPr>
          <w:rFonts w:ascii="Times New Roman" w:hAnsi="Times New Roman"/>
          <w:sz w:val="24"/>
        </w:rPr>
        <w:t xml:space="preserve"> the preferred option in Chapter 8.  In other words, if Chapter 8 had been omitted from the SEA Environmental Report, the applicant could have had no complaint</w:t>
      </w:r>
      <w:r w:rsidR="009E1503">
        <w:rPr>
          <w:rFonts w:ascii="Times New Roman" w:hAnsi="Times New Roman"/>
          <w:sz w:val="24"/>
        </w:rPr>
        <w:t>,</w:t>
      </w:r>
      <w:r>
        <w:rPr>
          <w:rFonts w:ascii="Times New Roman" w:hAnsi="Times New Roman"/>
          <w:sz w:val="24"/>
        </w:rPr>
        <w:t xml:space="preserve"> as all options were treated alike in Chapter 7.</w:t>
      </w:r>
    </w:p>
    <w:p w14:paraId="005A856B" w14:textId="1C4513DF" w:rsidR="00D916D0" w:rsidRDefault="00D618EF" w:rsidP="00D618EF">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w:t>
      </w:r>
      <w:r w:rsidR="009004B2">
        <w:rPr>
          <w:rFonts w:ascii="Times New Roman" w:hAnsi="Times New Roman"/>
          <w:sz w:val="24"/>
        </w:rPr>
        <w:t xml:space="preserve"> application of the Directive</w:t>
      </w:r>
      <w:r>
        <w:rPr>
          <w:rFonts w:ascii="Times New Roman" w:hAnsi="Times New Roman"/>
          <w:sz w:val="24"/>
        </w:rPr>
        <w:t xml:space="preserve"> is addressed in the Commission Guidance Document.  The </w:t>
      </w:r>
      <w:r w:rsidR="001C3EEB">
        <w:rPr>
          <w:rFonts w:ascii="Times New Roman" w:hAnsi="Times New Roman"/>
          <w:sz w:val="24"/>
        </w:rPr>
        <w:t xml:space="preserve">Commission </w:t>
      </w:r>
      <w:r>
        <w:rPr>
          <w:rFonts w:ascii="Times New Roman" w:hAnsi="Times New Roman"/>
          <w:sz w:val="24"/>
        </w:rPr>
        <w:t>note</w:t>
      </w:r>
      <w:r w:rsidR="001C3EEB">
        <w:rPr>
          <w:rFonts w:ascii="Times New Roman" w:hAnsi="Times New Roman"/>
          <w:sz w:val="24"/>
        </w:rPr>
        <w:t>s</w:t>
      </w:r>
      <w:r>
        <w:rPr>
          <w:rFonts w:ascii="Times New Roman" w:hAnsi="Times New Roman"/>
          <w:sz w:val="24"/>
        </w:rPr>
        <w:t xml:space="preserve"> that prior to the adoption of the SEA Directive major projects likely to have an impact on the environment were assessed under the EIA Directive at a time when options for significant change were often limited.  For example, </w:t>
      </w:r>
      <w:r w:rsidR="00D916D0">
        <w:rPr>
          <w:rFonts w:ascii="Times New Roman" w:hAnsi="Times New Roman"/>
          <w:sz w:val="24"/>
        </w:rPr>
        <w:t xml:space="preserve">the site of the project or the choice of alternatives may already have been taken in the </w:t>
      </w:r>
      <w:r w:rsidR="00D916D0">
        <w:rPr>
          <w:rFonts w:ascii="Times New Roman" w:hAnsi="Times New Roman"/>
          <w:sz w:val="24"/>
        </w:rPr>
        <w:lastRenderedPageBreak/>
        <w:t>context of plans for a whole sector or geographical area.</w:t>
      </w:r>
      <w:r w:rsidR="0000203D">
        <w:rPr>
          <w:rFonts w:ascii="Times New Roman" w:hAnsi="Times New Roman"/>
          <w:sz w:val="24"/>
        </w:rPr>
        <w:t xml:space="preserve"> </w:t>
      </w:r>
      <w:r w:rsidR="00D916D0">
        <w:rPr>
          <w:rFonts w:ascii="Times New Roman" w:hAnsi="Times New Roman"/>
          <w:sz w:val="24"/>
        </w:rPr>
        <w:t xml:space="preserve"> The SEA Directive </w:t>
      </w:r>
      <w:r w:rsidR="00D916D0">
        <w:rPr>
          <w:rFonts w:ascii="Times New Roman" w:hAnsi="Times New Roman"/>
          <w:i/>
          <w:sz w:val="24"/>
        </w:rPr>
        <w:t xml:space="preserve">“plugs this gap” </w:t>
      </w:r>
      <w:r w:rsidR="00D916D0">
        <w:rPr>
          <w:rFonts w:ascii="Times New Roman" w:hAnsi="Times New Roman"/>
          <w:sz w:val="24"/>
        </w:rPr>
        <w:t>by requiring the environmental effects of a broad range of plans and program</w:t>
      </w:r>
      <w:r w:rsidR="00B31C31">
        <w:rPr>
          <w:rFonts w:ascii="Times New Roman" w:hAnsi="Times New Roman"/>
          <w:sz w:val="24"/>
        </w:rPr>
        <w:t>me</w:t>
      </w:r>
      <w:r w:rsidR="00D916D0">
        <w:rPr>
          <w:rFonts w:ascii="Times New Roman" w:hAnsi="Times New Roman"/>
          <w:sz w:val="24"/>
        </w:rPr>
        <w:t>s to be assessed at a time when the plans are actually being developed</w:t>
      </w:r>
      <w:r w:rsidR="0000203D">
        <w:rPr>
          <w:rFonts w:ascii="Times New Roman" w:hAnsi="Times New Roman"/>
          <w:sz w:val="24"/>
        </w:rPr>
        <w:t>,</w:t>
      </w:r>
      <w:r w:rsidR="00D916D0">
        <w:rPr>
          <w:rFonts w:ascii="Times New Roman" w:hAnsi="Times New Roman"/>
          <w:sz w:val="24"/>
        </w:rPr>
        <w:t xml:space="preserve"> and in due course adopted.  At para. 5.6 the </w:t>
      </w:r>
      <w:r w:rsidR="00D166C1">
        <w:rPr>
          <w:rFonts w:ascii="Times New Roman" w:hAnsi="Times New Roman"/>
          <w:sz w:val="24"/>
        </w:rPr>
        <w:t>Commission</w:t>
      </w:r>
      <w:r w:rsidR="00D916D0">
        <w:rPr>
          <w:rFonts w:ascii="Times New Roman" w:hAnsi="Times New Roman"/>
          <w:sz w:val="24"/>
        </w:rPr>
        <w:t xml:space="preserve"> state</w:t>
      </w:r>
      <w:r w:rsidR="00D166C1">
        <w:rPr>
          <w:rFonts w:ascii="Times New Roman" w:hAnsi="Times New Roman"/>
          <w:sz w:val="24"/>
        </w:rPr>
        <w:t>s</w:t>
      </w:r>
      <w:r w:rsidR="00D916D0">
        <w:rPr>
          <w:rFonts w:ascii="Times New Roman" w:hAnsi="Times New Roman"/>
          <w:sz w:val="24"/>
        </w:rPr>
        <w:t>:</w:t>
      </w:r>
      <w:r w:rsidR="0000203D">
        <w:rPr>
          <w:rFonts w:ascii="Times New Roman" w:hAnsi="Times New Roman"/>
          <w:sz w:val="24"/>
        </w:rPr>
        <w:t>-</w:t>
      </w:r>
    </w:p>
    <w:p w14:paraId="2BBD0D20" w14:textId="09BD5B6E" w:rsidR="00D618EF" w:rsidRPr="00D618EF" w:rsidRDefault="00D916D0" w:rsidP="00D916D0">
      <w:pPr>
        <w:pStyle w:val="ListParagraph"/>
        <w:spacing w:line="480" w:lineRule="auto"/>
        <w:ind w:left="567"/>
        <w:jc w:val="left"/>
        <w:rPr>
          <w:rFonts w:ascii="Times New Roman" w:hAnsi="Times New Roman"/>
          <w:sz w:val="24"/>
        </w:rPr>
      </w:pPr>
      <w:r>
        <w:rPr>
          <w:rFonts w:ascii="Times New Roman" w:hAnsi="Times New Roman"/>
          <w:i/>
          <w:sz w:val="24"/>
        </w:rPr>
        <w:t xml:space="preserve">“Article 5(1) gives the basic requirements for the </w:t>
      </w:r>
      <w:r w:rsidR="0000203D">
        <w:rPr>
          <w:rFonts w:ascii="Times New Roman" w:hAnsi="Times New Roman"/>
          <w:i/>
          <w:sz w:val="24"/>
        </w:rPr>
        <w:t>e</w:t>
      </w:r>
      <w:r>
        <w:rPr>
          <w:rFonts w:ascii="Times New Roman" w:hAnsi="Times New Roman"/>
          <w:i/>
          <w:sz w:val="24"/>
        </w:rPr>
        <w:t xml:space="preserve">nvironmental </w:t>
      </w:r>
      <w:r w:rsidR="0000203D">
        <w:rPr>
          <w:rFonts w:ascii="Times New Roman" w:hAnsi="Times New Roman"/>
          <w:i/>
          <w:sz w:val="24"/>
        </w:rPr>
        <w:t>r</w:t>
      </w:r>
      <w:r>
        <w:rPr>
          <w:rFonts w:ascii="Times New Roman" w:hAnsi="Times New Roman"/>
          <w:i/>
          <w:sz w:val="24"/>
        </w:rPr>
        <w:t>eport.  The tasks of the report are to identify, describe and evaluate the likely significant effects on the environment of the plan or program</w:t>
      </w:r>
      <w:r w:rsidR="00B31C31">
        <w:rPr>
          <w:rFonts w:ascii="Times New Roman" w:hAnsi="Times New Roman"/>
          <w:i/>
          <w:sz w:val="24"/>
        </w:rPr>
        <w:t>me</w:t>
      </w:r>
      <w:r>
        <w:rPr>
          <w:rFonts w:ascii="Times New Roman" w:hAnsi="Times New Roman"/>
          <w:i/>
          <w:sz w:val="24"/>
        </w:rPr>
        <w:t xml:space="preserve"> and its reasonable alternatives.  Annex </w:t>
      </w:r>
      <w:r w:rsidR="00DA01FB">
        <w:rPr>
          <w:rFonts w:ascii="Times New Roman" w:hAnsi="Times New Roman"/>
          <w:i/>
          <w:sz w:val="24"/>
        </w:rPr>
        <w:t>I</w:t>
      </w:r>
      <w:r>
        <w:rPr>
          <w:rFonts w:ascii="Times New Roman" w:hAnsi="Times New Roman"/>
          <w:i/>
          <w:sz w:val="24"/>
        </w:rPr>
        <w:t xml:space="preserve"> gives further provisions on which information </w:t>
      </w:r>
      <w:r w:rsidR="0000203D">
        <w:rPr>
          <w:rFonts w:ascii="Times New Roman" w:hAnsi="Times New Roman"/>
          <w:i/>
          <w:sz w:val="24"/>
        </w:rPr>
        <w:t xml:space="preserve">must </w:t>
      </w:r>
      <w:r>
        <w:rPr>
          <w:rFonts w:ascii="Times New Roman" w:hAnsi="Times New Roman"/>
          <w:i/>
          <w:sz w:val="24"/>
        </w:rPr>
        <w:t>be provided concerning these effects.  The studying of alternatives is an important element of the assessment and the Directive calls for a more comprehensive assessment of them than does the EIA Directive</w:t>
      </w:r>
      <w:r w:rsidR="0000203D">
        <w:rPr>
          <w:rFonts w:ascii="Times New Roman" w:hAnsi="Times New Roman"/>
          <w:i/>
          <w:sz w:val="24"/>
        </w:rPr>
        <w:t>.</w:t>
      </w:r>
      <w:r>
        <w:rPr>
          <w:rFonts w:ascii="Times New Roman" w:hAnsi="Times New Roman"/>
          <w:i/>
          <w:sz w:val="24"/>
        </w:rPr>
        <w:t>”</w:t>
      </w:r>
      <w:r w:rsidR="00D618EF" w:rsidRPr="00D618EF">
        <w:rPr>
          <w:rFonts w:ascii="Times New Roman" w:hAnsi="Times New Roman"/>
          <w:sz w:val="24"/>
        </w:rPr>
        <w:t xml:space="preserve"> </w:t>
      </w:r>
    </w:p>
    <w:p w14:paraId="0EAD4166" w14:textId="027BDF03" w:rsidR="00330116" w:rsidRDefault="00D916D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Under the heading </w:t>
      </w:r>
      <w:r>
        <w:rPr>
          <w:rFonts w:ascii="Times New Roman" w:hAnsi="Times New Roman"/>
          <w:i/>
          <w:sz w:val="24"/>
        </w:rPr>
        <w:t xml:space="preserve">“Alternatives” </w:t>
      </w:r>
      <w:r>
        <w:rPr>
          <w:rFonts w:ascii="Times New Roman" w:hAnsi="Times New Roman"/>
          <w:sz w:val="24"/>
        </w:rPr>
        <w:t>the document provides</w:t>
      </w:r>
      <w:r w:rsidR="00330116">
        <w:rPr>
          <w:rFonts w:ascii="Times New Roman" w:hAnsi="Times New Roman"/>
          <w:sz w:val="24"/>
        </w:rPr>
        <w:t>:</w:t>
      </w:r>
      <w:r w:rsidR="0000203D">
        <w:rPr>
          <w:rFonts w:ascii="Times New Roman" w:hAnsi="Times New Roman"/>
          <w:sz w:val="24"/>
        </w:rPr>
        <w:t>-</w:t>
      </w:r>
    </w:p>
    <w:p w14:paraId="27B28D78" w14:textId="77777777" w:rsidR="00330116" w:rsidRDefault="00330116" w:rsidP="00330116">
      <w:pPr>
        <w:pStyle w:val="ListParagraph"/>
        <w:spacing w:line="480" w:lineRule="auto"/>
        <w:ind w:left="567"/>
        <w:jc w:val="left"/>
        <w:rPr>
          <w:rFonts w:ascii="Times New Roman" w:hAnsi="Times New Roman"/>
          <w:i/>
          <w:sz w:val="24"/>
        </w:rPr>
      </w:pPr>
      <w:r>
        <w:rPr>
          <w:rFonts w:ascii="Times New Roman" w:hAnsi="Times New Roman"/>
          <w:i/>
          <w:sz w:val="24"/>
        </w:rPr>
        <w:t>“5.11.  The obligation to identify, describe and evaluate reasonable alternatives must be read in the context of the objective of the Directive which is to ensure that the effects of implementing plans and program</w:t>
      </w:r>
      <w:r w:rsidR="00B31C31">
        <w:rPr>
          <w:rFonts w:ascii="Times New Roman" w:hAnsi="Times New Roman"/>
          <w:i/>
          <w:sz w:val="24"/>
        </w:rPr>
        <w:t>me</w:t>
      </w:r>
      <w:r>
        <w:rPr>
          <w:rFonts w:ascii="Times New Roman" w:hAnsi="Times New Roman"/>
          <w:i/>
          <w:sz w:val="24"/>
        </w:rPr>
        <w:t>s are tak</w:t>
      </w:r>
      <w:r w:rsidR="0002232C">
        <w:rPr>
          <w:rFonts w:ascii="Times New Roman" w:hAnsi="Times New Roman"/>
          <w:i/>
          <w:sz w:val="24"/>
        </w:rPr>
        <w:t>en</w:t>
      </w:r>
      <w:r>
        <w:rPr>
          <w:rFonts w:ascii="Times New Roman" w:hAnsi="Times New Roman"/>
          <w:i/>
          <w:sz w:val="24"/>
        </w:rPr>
        <w:t xml:space="preserve"> into account during their preparation and before their adoption.</w:t>
      </w:r>
    </w:p>
    <w:p w14:paraId="07E9FCE7" w14:textId="77777777" w:rsidR="00330116" w:rsidRDefault="00330116" w:rsidP="00330116">
      <w:pPr>
        <w:pStyle w:val="ListParagraph"/>
        <w:spacing w:line="480" w:lineRule="auto"/>
        <w:ind w:left="567"/>
        <w:jc w:val="left"/>
        <w:rPr>
          <w:rFonts w:ascii="Times New Roman" w:hAnsi="Times New Roman"/>
          <w:i/>
          <w:sz w:val="24"/>
        </w:rPr>
      </w:pPr>
    </w:p>
    <w:p w14:paraId="3697E842" w14:textId="784B56AF" w:rsidR="00152CC6" w:rsidRDefault="00330116" w:rsidP="00330116">
      <w:pPr>
        <w:pStyle w:val="ListParagraph"/>
        <w:spacing w:line="480" w:lineRule="auto"/>
        <w:ind w:left="567"/>
        <w:jc w:val="left"/>
        <w:rPr>
          <w:rFonts w:ascii="Times New Roman" w:hAnsi="Times New Roman"/>
          <w:sz w:val="24"/>
        </w:rPr>
      </w:pPr>
      <w:r>
        <w:rPr>
          <w:rFonts w:ascii="Times New Roman" w:hAnsi="Times New Roman"/>
          <w:i/>
          <w:sz w:val="24"/>
        </w:rPr>
        <w:t xml:space="preserve">5.12.  </w:t>
      </w:r>
      <w:r w:rsidRPr="00605183">
        <w:rPr>
          <w:rFonts w:ascii="Times New Roman" w:hAnsi="Times New Roman"/>
          <w:bCs/>
          <w:i/>
          <w:sz w:val="24"/>
          <w:u w:val="single"/>
        </w:rPr>
        <w:t>In requiring the likely significant environmental effects of reasonable alternatives to be identified, described and evaluated, the Directive makes no distinction between the assessment requirements for the draft plan or program</w:t>
      </w:r>
      <w:r w:rsidR="00B31C31" w:rsidRPr="00605183">
        <w:rPr>
          <w:rFonts w:ascii="Times New Roman" w:hAnsi="Times New Roman"/>
          <w:bCs/>
          <w:i/>
          <w:sz w:val="24"/>
          <w:u w:val="single"/>
        </w:rPr>
        <w:t>me</w:t>
      </w:r>
      <w:r w:rsidRPr="00605183">
        <w:rPr>
          <w:rFonts w:ascii="Times New Roman" w:hAnsi="Times New Roman"/>
          <w:bCs/>
          <w:i/>
          <w:sz w:val="24"/>
          <w:u w:val="single"/>
        </w:rPr>
        <w:t xml:space="preserve"> and for the alternatives.</w:t>
      </w:r>
      <w:r>
        <w:rPr>
          <w:rFonts w:ascii="Times New Roman" w:hAnsi="Times New Roman"/>
          <w:i/>
          <w:sz w:val="24"/>
        </w:rPr>
        <w:t xml:space="preserve">  The essential thing is that the likely significant effects of the plan or program</w:t>
      </w:r>
      <w:r w:rsidR="00B31C31">
        <w:rPr>
          <w:rFonts w:ascii="Times New Roman" w:hAnsi="Times New Roman"/>
          <w:i/>
          <w:sz w:val="24"/>
        </w:rPr>
        <w:t>me</w:t>
      </w:r>
      <w:r>
        <w:rPr>
          <w:rFonts w:ascii="Times New Roman" w:hAnsi="Times New Roman"/>
          <w:i/>
          <w:sz w:val="24"/>
        </w:rPr>
        <w:t xml:space="preserve"> and the alternatives are identified, described and evaluated in a comparable way.  The requirements in Article 5(2) concerning scope and level of detail for the information in the report apply to the assessment of alternatives as well.  It is essential that the authority or parliament responsible for the adoption of </w:t>
      </w:r>
      <w:r>
        <w:rPr>
          <w:rFonts w:ascii="Times New Roman" w:hAnsi="Times New Roman"/>
          <w:i/>
          <w:sz w:val="24"/>
        </w:rPr>
        <w:lastRenderedPageBreak/>
        <w:t>the plan or programme as well as the authorities and the public consulted, are presented with an accurate picture of what reasonable alternatives there are and why they are not considered to be the best option</w:t>
      </w:r>
      <w:r w:rsidRPr="00605183">
        <w:rPr>
          <w:rFonts w:ascii="Times New Roman" w:hAnsi="Times New Roman"/>
          <w:i/>
          <w:sz w:val="24"/>
        </w:rPr>
        <w:t xml:space="preserve">.  </w:t>
      </w:r>
      <w:r w:rsidRPr="00605183">
        <w:rPr>
          <w:rFonts w:ascii="Times New Roman" w:hAnsi="Times New Roman"/>
          <w:i/>
          <w:sz w:val="24"/>
          <w:u w:val="single"/>
        </w:rPr>
        <w:t xml:space="preserve">The information referred to in Annex </w:t>
      </w:r>
      <w:r w:rsidR="00E0702B" w:rsidRPr="00605183">
        <w:rPr>
          <w:rFonts w:ascii="Times New Roman" w:hAnsi="Times New Roman"/>
          <w:i/>
          <w:sz w:val="24"/>
          <w:u w:val="single"/>
        </w:rPr>
        <w:t>I</w:t>
      </w:r>
      <w:r w:rsidRPr="00605183">
        <w:rPr>
          <w:rFonts w:ascii="Times New Roman" w:hAnsi="Times New Roman"/>
          <w:i/>
          <w:sz w:val="24"/>
          <w:u w:val="single"/>
        </w:rPr>
        <w:t xml:space="preserve"> should thus be provided for the alternatives chosen.</w:t>
      </w:r>
      <w:r>
        <w:rPr>
          <w:rFonts w:ascii="Times New Roman" w:hAnsi="Times New Roman"/>
          <w:i/>
          <w:sz w:val="24"/>
        </w:rPr>
        <w:t xml:space="preserve">  This includes for example the information for Annex </w:t>
      </w:r>
      <w:r w:rsidR="00E0702B">
        <w:rPr>
          <w:rFonts w:ascii="Times New Roman" w:hAnsi="Times New Roman"/>
          <w:i/>
          <w:sz w:val="24"/>
        </w:rPr>
        <w:t>I</w:t>
      </w:r>
      <w:r>
        <w:rPr>
          <w:rFonts w:ascii="Times New Roman" w:hAnsi="Times New Roman"/>
          <w:i/>
          <w:sz w:val="24"/>
        </w:rPr>
        <w:t xml:space="preserve">(b) on the likely evolution of the current state of the environment without the implementation of the alternatives.  That evolution could be another one than that related to the plan or </w:t>
      </w:r>
      <w:r w:rsidR="00B31C31">
        <w:rPr>
          <w:rFonts w:ascii="Times New Roman" w:hAnsi="Times New Roman"/>
          <w:i/>
          <w:sz w:val="24"/>
        </w:rPr>
        <w:t xml:space="preserve">programme </w:t>
      </w:r>
      <w:r>
        <w:rPr>
          <w:rFonts w:ascii="Times New Roman" w:hAnsi="Times New Roman"/>
          <w:i/>
          <w:sz w:val="24"/>
        </w:rPr>
        <w:t xml:space="preserve">in cases when </w:t>
      </w:r>
      <w:r w:rsidR="00E0702B">
        <w:rPr>
          <w:rFonts w:ascii="Times New Roman" w:hAnsi="Times New Roman"/>
          <w:i/>
          <w:sz w:val="24"/>
        </w:rPr>
        <w:t xml:space="preserve">it </w:t>
      </w:r>
      <w:r>
        <w:rPr>
          <w:rFonts w:ascii="Times New Roman" w:hAnsi="Times New Roman"/>
          <w:i/>
          <w:sz w:val="24"/>
        </w:rPr>
        <w:t xml:space="preserve">concerns different areas or aspects.” </w:t>
      </w:r>
      <w:r w:rsidR="0002232C">
        <w:rPr>
          <w:rFonts w:ascii="Times New Roman" w:hAnsi="Times New Roman"/>
          <w:sz w:val="24"/>
        </w:rPr>
        <w:t>(emphasis added)</w:t>
      </w:r>
    </w:p>
    <w:p w14:paraId="7CB60A9C" w14:textId="7D4976A6" w:rsidR="004B40E0" w:rsidRDefault="0033011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noting that the Directive makes no distinction between the assessment requirements for the draft plan or program</w:t>
      </w:r>
      <w:r w:rsidR="00B31C31">
        <w:rPr>
          <w:rFonts w:ascii="Times New Roman" w:hAnsi="Times New Roman"/>
          <w:sz w:val="24"/>
        </w:rPr>
        <w:t>me</w:t>
      </w:r>
      <w:r>
        <w:rPr>
          <w:rFonts w:ascii="Times New Roman" w:hAnsi="Times New Roman"/>
          <w:sz w:val="24"/>
        </w:rPr>
        <w:t xml:space="preserve"> and for the reasonable alternatives, the Commission contrasts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of the SEA Directive with Article 5(3) and Annex </w:t>
      </w:r>
      <w:r w:rsidR="004B40E0">
        <w:rPr>
          <w:rFonts w:ascii="Times New Roman" w:hAnsi="Times New Roman"/>
          <w:sz w:val="24"/>
        </w:rPr>
        <w:t xml:space="preserve">IV of the EIA Directive which require the developer to provide an </w:t>
      </w:r>
      <w:r w:rsidR="004B40E0" w:rsidRPr="0002232C">
        <w:rPr>
          <w:rFonts w:ascii="Times New Roman" w:hAnsi="Times New Roman"/>
          <w:i/>
          <w:sz w:val="24"/>
        </w:rPr>
        <w:t>outline</w:t>
      </w:r>
      <w:r w:rsidR="004B40E0">
        <w:rPr>
          <w:rFonts w:ascii="Times New Roman" w:hAnsi="Times New Roman"/>
          <w:sz w:val="24"/>
        </w:rPr>
        <w:t xml:space="preserve"> of the main alternatives studied and an indication of the main reasons for the developer’s choice, taking into account the environmental effects.  </w:t>
      </w:r>
    </w:p>
    <w:p w14:paraId="6EC1EC51" w14:textId="381DFFBB" w:rsidR="004B40E0" w:rsidRDefault="004B40E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Commission Guidance Document is not binding on the </w:t>
      </w:r>
      <w:r w:rsidR="004D4563">
        <w:rPr>
          <w:rFonts w:ascii="Times New Roman" w:hAnsi="Times New Roman"/>
          <w:sz w:val="24"/>
        </w:rPr>
        <w:t>c</w:t>
      </w:r>
      <w:r>
        <w:rPr>
          <w:rFonts w:ascii="Times New Roman" w:hAnsi="Times New Roman"/>
          <w:sz w:val="24"/>
        </w:rPr>
        <w:t xml:space="preserve">ourt, as was observed by the trial judge in para. 65.  However, that does not mean that the </w:t>
      </w:r>
      <w:r w:rsidR="004D4563">
        <w:rPr>
          <w:rFonts w:ascii="Times New Roman" w:hAnsi="Times New Roman"/>
          <w:sz w:val="24"/>
        </w:rPr>
        <w:t>c</w:t>
      </w:r>
      <w:r>
        <w:rPr>
          <w:rFonts w:ascii="Times New Roman" w:hAnsi="Times New Roman"/>
          <w:sz w:val="24"/>
        </w:rPr>
        <w:t xml:space="preserve">ourt should not engage with the reasoning set out and explain why, if this be the case, the </w:t>
      </w:r>
      <w:r w:rsidR="004D4563">
        <w:rPr>
          <w:rFonts w:ascii="Times New Roman" w:hAnsi="Times New Roman"/>
          <w:sz w:val="24"/>
        </w:rPr>
        <w:t>c</w:t>
      </w:r>
      <w:r>
        <w:rPr>
          <w:rFonts w:ascii="Times New Roman" w:hAnsi="Times New Roman"/>
          <w:sz w:val="24"/>
        </w:rPr>
        <w:t xml:space="preserve">ourt disagrees with the opinion of the Commission.  The trial judge simply observed that the guidance appeared to deal with projects or plans that were </w:t>
      </w:r>
      <w:r>
        <w:rPr>
          <w:rFonts w:ascii="Times New Roman" w:hAnsi="Times New Roman"/>
          <w:i/>
          <w:sz w:val="24"/>
        </w:rPr>
        <w:t xml:space="preserve">“far more concrete in nature” </w:t>
      </w:r>
      <w:r>
        <w:rPr>
          <w:rFonts w:ascii="Times New Roman" w:hAnsi="Times New Roman"/>
          <w:sz w:val="24"/>
        </w:rPr>
        <w:t>than a high</w:t>
      </w:r>
      <w:r w:rsidR="00CD08CE">
        <w:rPr>
          <w:rFonts w:ascii="Times New Roman" w:hAnsi="Times New Roman"/>
          <w:sz w:val="24"/>
        </w:rPr>
        <w:t>-</w:t>
      </w:r>
      <w:r>
        <w:rPr>
          <w:rFonts w:ascii="Times New Roman" w:hAnsi="Times New Roman"/>
          <w:sz w:val="24"/>
        </w:rPr>
        <w:t>level policy document such as the NPF.  With respect to the trial judge, there is nothing in the SEA Directive which suggests that different criteria apply to different plans or pro</w:t>
      </w:r>
      <w:r w:rsidR="0002232C">
        <w:rPr>
          <w:rFonts w:ascii="Times New Roman" w:hAnsi="Times New Roman"/>
          <w:sz w:val="24"/>
        </w:rPr>
        <w:t>grammes</w:t>
      </w:r>
      <w:r>
        <w:rPr>
          <w:rFonts w:ascii="Times New Roman" w:hAnsi="Times New Roman"/>
          <w:sz w:val="24"/>
        </w:rPr>
        <w:t>.  On the contrary, once a plan or program</w:t>
      </w:r>
      <w:r w:rsidR="00B31C31">
        <w:rPr>
          <w:rFonts w:ascii="Times New Roman" w:hAnsi="Times New Roman"/>
          <w:sz w:val="24"/>
        </w:rPr>
        <w:t>me</w:t>
      </w:r>
      <w:r>
        <w:rPr>
          <w:rFonts w:ascii="Times New Roman" w:hAnsi="Times New Roman"/>
          <w:sz w:val="24"/>
        </w:rPr>
        <w:t xml:space="preserve"> comes within the scope of the SEA Directive, then, regardless of whether it is more or less concrete or of a </w:t>
      </w:r>
      <w:r w:rsidR="001B4782">
        <w:rPr>
          <w:rFonts w:ascii="Times New Roman" w:hAnsi="Times New Roman"/>
          <w:sz w:val="24"/>
        </w:rPr>
        <w:t xml:space="preserve">higher </w:t>
      </w:r>
      <w:r>
        <w:rPr>
          <w:rFonts w:ascii="Times New Roman" w:hAnsi="Times New Roman"/>
          <w:sz w:val="24"/>
        </w:rPr>
        <w:t>or l</w:t>
      </w:r>
      <w:r w:rsidR="001B4782">
        <w:rPr>
          <w:rFonts w:ascii="Times New Roman" w:hAnsi="Times New Roman"/>
          <w:sz w:val="24"/>
        </w:rPr>
        <w:t>ow</w:t>
      </w:r>
      <w:r>
        <w:rPr>
          <w:rFonts w:ascii="Times New Roman" w:hAnsi="Times New Roman"/>
          <w:sz w:val="24"/>
        </w:rPr>
        <w:t>er level of policy, it is subject to environmental assessment in accordance with the terms of the Directive and</w:t>
      </w:r>
      <w:r w:rsidR="001B4782">
        <w:rPr>
          <w:rFonts w:ascii="Times New Roman" w:hAnsi="Times New Roman"/>
          <w:sz w:val="24"/>
        </w:rPr>
        <w:t>,</w:t>
      </w:r>
      <w:r>
        <w:rPr>
          <w:rFonts w:ascii="Times New Roman" w:hAnsi="Times New Roman"/>
          <w:sz w:val="24"/>
        </w:rPr>
        <w:t xml:space="preserve"> in particular</w:t>
      </w:r>
      <w:r w:rsidR="001B4782">
        <w:rPr>
          <w:rFonts w:ascii="Times New Roman" w:hAnsi="Times New Roman"/>
          <w:sz w:val="24"/>
        </w:rPr>
        <w:t>,</w:t>
      </w:r>
      <w:r>
        <w:rPr>
          <w:rFonts w:ascii="Times New Roman" w:hAnsi="Times New Roman"/>
          <w:sz w:val="24"/>
        </w:rPr>
        <w:t xml:space="preserve"> the process of adopting the plan or program</w:t>
      </w:r>
      <w:r w:rsidR="00B31C31">
        <w:rPr>
          <w:rFonts w:ascii="Times New Roman" w:hAnsi="Times New Roman"/>
          <w:sz w:val="24"/>
        </w:rPr>
        <w:t>me</w:t>
      </w:r>
      <w:r>
        <w:rPr>
          <w:rFonts w:ascii="Times New Roman" w:hAnsi="Times New Roman"/>
          <w:sz w:val="24"/>
        </w:rPr>
        <w:t xml:space="preserve"> </w:t>
      </w:r>
      <w:r>
        <w:rPr>
          <w:rFonts w:ascii="Times New Roman" w:hAnsi="Times New Roman"/>
          <w:sz w:val="24"/>
        </w:rPr>
        <w:lastRenderedPageBreak/>
        <w:t>must</w:t>
      </w:r>
      <w:r w:rsidR="004D4563">
        <w:rPr>
          <w:rFonts w:ascii="Times New Roman" w:hAnsi="Times New Roman"/>
          <w:sz w:val="24"/>
        </w:rPr>
        <w:t>,</w:t>
      </w:r>
      <w:r>
        <w:rPr>
          <w:rFonts w:ascii="Times New Roman" w:hAnsi="Times New Roman"/>
          <w:sz w:val="24"/>
        </w:rPr>
        <w:t xml:space="preserve"> </w:t>
      </w:r>
      <w:r>
        <w:rPr>
          <w:rFonts w:ascii="Times New Roman" w:hAnsi="Times New Roman"/>
          <w:i/>
          <w:sz w:val="24"/>
        </w:rPr>
        <w:t>inter alia</w:t>
      </w:r>
      <w:r w:rsidR="004D4563">
        <w:rPr>
          <w:rFonts w:ascii="Times New Roman" w:hAnsi="Times New Roman"/>
          <w:iCs/>
          <w:sz w:val="24"/>
        </w:rPr>
        <w:t>,</w:t>
      </w:r>
      <w:r>
        <w:rPr>
          <w:rFonts w:ascii="Times New Roman" w:hAnsi="Times New Roman"/>
          <w:i/>
          <w:sz w:val="24"/>
        </w:rPr>
        <w:t xml:space="preserve"> </w:t>
      </w:r>
      <w:r>
        <w:rPr>
          <w:rFonts w:ascii="Times New Roman" w:hAnsi="Times New Roman"/>
          <w:sz w:val="24"/>
        </w:rPr>
        <w:t>comply with the requirements of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w:t>
      </w:r>
      <w:r w:rsidR="001649CA">
        <w:rPr>
          <w:rFonts w:ascii="Times New Roman" w:hAnsi="Times New Roman"/>
          <w:sz w:val="24"/>
        </w:rPr>
        <w:t>In my judgment</w:t>
      </w:r>
      <w:r w:rsidR="004D4563">
        <w:rPr>
          <w:rFonts w:ascii="Times New Roman" w:hAnsi="Times New Roman"/>
          <w:sz w:val="24"/>
        </w:rPr>
        <w:t>,</w:t>
      </w:r>
      <w:r w:rsidR="001649CA">
        <w:rPr>
          <w:rFonts w:ascii="Times New Roman" w:hAnsi="Times New Roman"/>
          <w:sz w:val="24"/>
        </w:rPr>
        <w:t xml:space="preserve"> the trial judge erred in his </w:t>
      </w:r>
      <w:r w:rsidR="009004B2">
        <w:rPr>
          <w:rFonts w:ascii="Times New Roman" w:hAnsi="Times New Roman"/>
          <w:sz w:val="24"/>
        </w:rPr>
        <w:t>dismissal of the Commission’s guidance on the assessment of the reasonable alternatives to the preferred option.</w:t>
      </w:r>
      <w:r w:rsidR="004D4563">
        <w:rPr>
          <w:rFonts w:ascii="Times New Roman" w:hAnsi="Times New Roman"/>
          <w:sz w:val="24"/>
        </w:rPr>
        <w:t xml:space="preserve"> </w:t>
      </w:r>
      <w:r w:rsidR="009004B2">
        <w:rPr>
          <w:rFonts w:ascii="Times New Roman" w:hAnsi="Times New Roman"/>
          <w:sz w:val="24"/>
        </w:rPr>
        <w:t xml:space="preserve"> It is a persuasive authority to which all courts are required to have regard and his reason</w:t>
      </w:r>
      <w:r w:rsidR="00D166C1">
        <w:rPr>
          <w:rFonts w:ascii="Times New Roman" w:hAnsi="Times New Roman"/>
          <w:sz w:val="24"/>
        </w:rPr>
        <w:t>s</w:t>
      </w:r>
      <w:r w:rsidR="009004B2">
        <w:rPr>
          <w:rFonts w:ascii="Times New Roman" w:hAnsi="Times New Roman"/>
          <w:sz w:val="24"/>
        </w:rPr>
        <w:t xml:space="preserve"> for rejecting</w:t>
      </w:r>
      <w:r w:rsidR="00C31E02">
        <w:rPr>
          <w:rFonts w:ascii="Times New Roman" w:hAnsi="Times New Roman"/>
          <w:sz w:val="24"/>
        </w:rPr>
        <w:t xml:space="preserve"> </w:t>
      </w:r>
      <w:r w:rsidR="004D4563">
        <w:rPr>
          <w:rFonts w:ascii="Times New Roman" w:hAnsi="Times New Roman"/>
          <w:sz w:val="24"/>
        </w:rPr>
        <w:t xml:space="preserve">it </w:t>
      </w:r>
      <w:r w:rsidR="00C31E02">
        <w:rPr>
          <w:rFonts w:ascii="Times New Roman" w:hAnsi="Times New Roman"/>
          <w:sz w:val="24"/>
        </w:rPr>
        <w:t>are</w:t>
      </w:r>
      <w:r w:rsidR="004D4563">
        <w:rPr>
          <w:rFonts w:ascii="Times New Roman" w:hAnsi="Times New Roman"/>
          <w:sz w:val="24"/>
        </w:rPr>
        <w:t>,</w:t>
      </w:r>
      <w:r w:rsidR="00C31E02">
        <w:rPr>
          <w:rFonts w:ascii="Times New Roman" w:hAnsi="Times New Roman"/>
          <w:sz w:val="24"/>
        </w:rPr>
        <w:t xml:space="preserve"> in my view</w:t>
      </w:r>
      <w:r w:rsidR="004D4563">
        <w:rPr>
          <w:rFonts w:ascii="Times New Roman" w:hAnsi="Times New Roman"/>
          <w:sz w:val="24"/>
        </w:rPr>
        <w:t>,</w:t>
      </w:r>
      <w:r w:rsidR="00C31E02">
        <w:rPr>
          <w:rFonts w:ascii="Times New Roman" w:hAnsi="Times New Roman"/>
          <w:sz w:val="24"/>
        </w:rPr>
        <w:t xml:space="preserve"> misplaced</w:t>
      </w:r>
      <w:r w:rsidR="009004B2">
        <w:rPr>
          <w:rFonts w:ascii="Times New Roman" w:hAnsi="Times New Roman"/>
          <w:sz w:val="24"/>
        </w:rPr>
        <w:t xml:space="preserve">. </w:t>
      </w:r>
    </w:p>
    <w:p w14:paraId="2093E420" w14:textId="27FCDF09" w:rsidR="00D166C1" w:rsidRDefault="004B40E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w:t>
      </w:r>
      <w:r w:rsidR="001B4782">
        <w:rPr>
          <w:rFonts w:ascii="Times New Roman" w:hAnsi="Times New Roman"/>
          <w:sz w:val="24"/>
        </w:rPr>
        <w:t>’</w:t>
      </w:r>
      <w:r>
        <w:rPr>
          <w:rFonts w:ascii="Times New Roman" w:hAnsi="Times New Roman"/>
          <w:sz w:val="24"/>
        </w:rPr>
        <w:t xml:space="preserve"> case is that the consideration of alternatives required by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is referable </w:t>
      </w:r>
      <w:r>
        <w:rPr>
          <w:rFonts w:ascii="Times New Roman" w:hAnsi="Times New Roman"/>
          <w:i/>
          <w:sz w:val="24"/>
        </w:rPr>
        <w:t>“to the extent to which options had been developed at the time a selection was made</w:t>
      </w:r>
      <w:r w:rsidR="004D4563">
        <w:rPr>
          <w:rFonts w:ascii="Times New Roman" w:hAnsi="Times New Roman"/>
          <w:i/>
          <w:sz w:val="24"/>
        </w:rPr>
        <w:t>.</w:t>
      </w:r>
      <w:r>
        <w:rPr>
          <w:rFonts w:ascii="Times New Roman" w:hAnsi="Times New Roman"/>
          <w:i/>
          <w:sz w:val="24"/>
        </w:rPr>
        <w:t>”</w:t>
      </w:r>
      <w:r>
        <w:rPr>
          <w:rFonts w:ascii="Times New Roman" w:hAnsi="Times New Roman"/>
          <w:sz w:val="24"/>
        </w:rPr>
        <w:t xml:space="preserve">   </w:t>
      </w:r>
    </w:p>
    <w:p w14:paraId="64A36D79" w14:textId="1839434D" w:rsidR="004B40E0" w:rsidRDefault="004B40E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observe that</w:t>
      </w:r>
      <w:r w:rsidRPr="001B4782">
        <w:rPr>
          <w:rFonts w:ascii="Times New Roman" w:hAnsi="Times New Roman"/>
          <w:i/>
          <w:sz w:val="24"/>
        </w:rPr>
        <w:t xml:space="preserve"> </w:t>
      </w:r>
      <w:r w:rsidRPr="00190A30">
        <w:rPr>
          <w:rFonts w:ascii="Times New Roman" w:hAnsi="Times New Roman"/>
          <w:sz w:val="24"/>
        </w:rPr>
        <w:t>thereafter</w:t>
      </w:r>
      <w:r>
        <w:rPr>
          <w:rFonts w:ascii="Times New Roman" w:hAnsi="Times New Roman"/>
          <w:sz w:val="24"/>
        </w:rPr>
        <w:t xml:space="preserve"> the chosen option was developed in further detail and subject to further assessment of its likely environmental effects in Chapter 8 of the SEA Environmental Report.  They submit that this is consistent with the terms of the Directive itself.  Article 1 sets out the objective as being:</w:t>
      </w:r>
      <w:r w:rsidR="00581B0B">
        <w:rPr>
          <w:rFonts w:ascii="Times New Roman" w:hAnsi="Times New Roman"/>
          <w:sz w:val="24"/>
        </w:rPr>
        <w:t>-</w:t>
      </w:r>
    </w:p>
    <w:p w14:paraId="6CABB098" w14:textId="01FF6197" w:rsidR="00BE70B7" w:rsidRDefault="004B40E0" w:rsidP="004B40E0">
      <w:pPr>
        <w:pStyle w:val="ListParagraph"/>
        <w:spacing w:line="480" w:lineRule="auto"/>
        <w:ind w:left="567"/>
        <w:jc w:val="left"/>
        <w:rPr>
          <w:rFonts w:ascii="Times New Roman" w:hAnsi="Times New Roman"/>
          <w:sz w:val="24"/>
        </w:rPr>
      </w:pPr>
      <w:r>
        <w:rPr>
          <w:rFonts w:ascii="Times New Roman" w:hAnsi="Times New Roman"/>
          <w:i/>
          <w:sz w:val="24"/>
        </w:rPr>
        <w:t>“…</w:t>
      </w:r>
      <w:r w:rsidR="00581B0B">
        <w:rPr>
          <w:rFonts w:ascii="Times New Roman" w:hAnsi="Times New Roman"/>
          <w:i/>
          <w:sz w:val="24"/>
        </w:rPr>
        <w:t xml:space="preserve"> </w:t>
      </w:r>
      <w:r>
        <w:rPr>
          <w:rFonts w:ascii="Times New Roman" w:hAnsi="Times New Roman"/>
          <w:i/>
          <w:sz w:val="24"/>
        </w:rPr>
        <w:t>to provide for a high level of protection of the environment and to contribute to the integration of environmental considerations in</w:t>
      </w:r>
      <w:r w:rsidR="00D3168B">
        <w:rPr>
          <w:rFonts w:ascii="Times New Roman" w:hAnsi="Times New Roman"/>
          <w:i/>
          <w:sz w:val="24"/>
        </w:rPr>
        <w:t>to the preparation and adoption of plans and program</w:t>
      </w:r>
      <w:r w:rsidR="00B31C31">
        <w:rPr>
          <w:rFonts w:ascii="Times New Roman" w:hAnsi="Times New Roman"/>
          <w:i/>
          <w:sz w:val="24"/>
        </w:rPr>
        <w:t>me</w:t>
      </w:r>
      <w:r w:rsidR="00D3168B">
        <w:rPr>
          <w:rFonts w:ascii="Times New Roman" w:hAnsi="Times New Roman"/>
          <w:i/>
          <w:sz w:val="24"/>
        </w:rPr>
        <w:t xml:space="preserve">s </w:t>
      </w:r>
      <w:r w:rsidR="00581B0B">
        <w:rPr>
          <w:rFonts w:ascii="Times New Roman" w:hAnsi="Times New Roman"/>
          <w:i/>
          <w:sz w:val="24"/>
        </w:rPr>
        <w:t xml:space="preserve">with </w:t>
      </w:r>
      <w:r w:rsidR="00D3168B">
        <w:rPr>
          <w:rFonts w:ascii="Times New Roman" w:hAnsi="Times New Roman"/>
          <w:i/>
          <w:sz w:val="24"/>
        </w:rPr>
        <w:t>a view to promoting sustainable development, by ensuring that, in accordance with this Directive</w:t>
      </w:r>
      <w:r w:rsidR="00581B0B">
        <w:rPr>
          <w:rFonts w:ascii="Times New Roman" w:hAnsi="Times New Roman"/>
          <w:i/>
          <w:sz w:val="24"/>
        </w:rPr>
        <w:t>,</w:t>
      </w:r>
      <w:r w:rsidR="00D3168B">
        <w:rPr>
          <w:rFonts w:ascii="Times New Roman" w:hAnsi="Times New Roman"/>
          <w:i/>
          <w:sz w:val="24"/>
        </w:rPr>
        <w:t xml:space="preserve"> </w:t>
      </w:r>
      <w:r w:rsidR="00D3168B">
        <w:rPr>
          <w:rFonts w:ascii="Times New Roman" w:hAnsi="Times New Roman"/>
          <w:i/>
          <w:sz w:val="24"/>
          <w:u w:val="single"/>
        </w:rPr>
        <w:t>an environmental assessment is carried out o</w:t>
      </w:r>
      <w:r w:rsidR="00581B0B">
        <w:rPr>
          <w:rFonts w:ascii="Times New Roman" w:hAnsi="Times New Roman"/>
          <w:i/>
          <w:sz w:val="24"/>
          <w:u w:val="single"/>
        </w:rPr>
        <w:t>f</w:t>
      </w:r>
      <w:r w:rsidR="00D3168B">
        <w:rPr>
          <w:rFonts w:ascii="Times New Roman" w:hAnsi="Times New Roman"/>
          <w:i/>
          <w:sz w:val="24"/>
          <w:u w:val="single"/>
        </w:rPr>
        <w:t xml:space="preserve"> certain plans and program</w:t>
      </w:r>
      <w:r w:rsidR="00B31C31">
        <w:rPr>
          <w:rFonts w:ascii="Times New Roman" w:hAnsi="Times New Roman"/>
          <w:i/>
          <w:sz w:val="24"/>
          <w:u w:val="single"/>
        </w:rPr>
        <w:t>me</w:t>
      </w:r>
      <w:r w:rsidR="00D3168B">
        <w:rPr>
          <w:rFonts w:ascii="Times New Roman" w:hAnsi="Times New Roman"/>
          <w:i/>
          <w:sz w:val="24"/>
          <w:u w:val="single"/>
        </w:rPr>
        <w:t>s which are likely to have significant effects on the environment</w:t>
      </w:r>
      <w:r w:rsidR="00D3168B">
        <w:rPr>
          <w:rFonts w:ascii="Times New Roman" w:hAnsi="Times New Roman"/>
          <w:i/>
          <w:sz w:val="24"/>
        </w:rPr>
        <w:t>.”</w:t>
      </w:r>
      <w:r w:rsidR="00D3168B">
        <w:rPr>
          <w:rFonts w:ascii="Times New Roman" w:hAnsi="Times New Roman"/>
          <w:sz w:val="24"/>
        </w:rPr>
        <w:t xml:space="preserve"> (emphasis added)</w:t>
      </w:r>
      <w:r w:rsidR="00D3168B">
        <w:rPr>
          <w:rFonts w:ascii="Times New Roman" w:hAnsi="Times New Roman"/>
          <w:i/>
          <w:sz w:val="24"/>
        </w:rPr>
        <w:t xml:space="preserve"> </w:t>
      </w:r>
      <w:r>
        <w:rPr>
          <w:rFonts w:ascii="Times New Roman" w:hAnsi="Times New Roman"/>
          <w:sz w:val="24"/>
        </w:rPr>
        <w:t xml:space="preserve"> </w:t>
      </w:r>
      <w:r w:rsidR="00BE70B7">
        <w:rPr>
          <w:rFonts w:ascii="Times New Roman" w:hAnsi="Times New Roman"/>
          <w:sz w:val="24"/>
        </w:rPr>
        <w:t xml:space="preserve"> </w:t>
      </w:r>
      <w:r w:rsidR="00330116">
        <w:rPr>
          <w:rFonts w:ascii="Times New Roman" w:hAnsi="Times New Roman"/>
          <w:sz w:val="24"/>
        </w:rPr>
        <w:t xml:space="preserve"> </w:t>
      </w:r>
    </w:p>
    <w:p w14:paraId="11A297CE" w14:textId="3188F0C0" w:rsidR="00D3168B" w:rsidRDefault="00D3168B"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say that this shows that SEA is only required of the actual plan or program</w:t>
      </w:r>
      <w:r w:rsidR="00B31C31">
        <w:rPr>
          <w:rFonts w:ascii="Times New Roman" w:hAnsi="Times New Roman"/>
          <w:sz w:val="24"/>
        </w:rPr>
        <w:t>me</w:t>
      </w:r>
      <w:r>
        <w:rPr>
          <w:rFonts w:ascii="Times New Roman" w:hAnsi="Times New Roman"/>
          <w:sz w:val="24"/>
        </w:rPr>
        <w:t xml:space="preserve"> to be adopted.  They submit that this is reinforced by the terms of Article 3(1)</w:t>
      </w:r>
      <w:r w:rsidR="00581B0B">
        <w:rPr>
          <w:rFonts w:ascii="Times New Roman" w:hAnsi="Times New Roman"/>
          <w:sz w:val="24"/>
        </w:rPr>
        <w:t>,</w:t>
      </w:r>
      <w:r>
        <w:rPr>
          <w:rFonts w:ascii="Times New Roman" w:hAnsi="Times New Roman"/>
          <w:sz w:val="24"/>
        </w:rPr>
        <w:t xml:space="preserve"> the scope of the Directive:</w:t>
      </w:r>
      <w:r w:rsidR="00581B0B">
        <w:rPr>
          <w:rFonts w:ascii="Times New Roman" w:hAnsi="Times New Roman"/>
          <w:sz w:val="24"/>
        </w:rPr>
        <w:t>-</w:t>
      </w:r>
    </w:p>
    <w:p w14:paraId="25A6728F" w14:textId="2F39CA8E" w:rsidR="00330116" w:rsidRDefault="00D3168B" w:rsidP="00D3168B">
      <w:pPr>
        <w:pStyle w:val="ListParagraph"/>
        <w:spacing w:line="480" w:lineRule="auto"/>
        <w:ind w:left="567"/>
        <w:jc w:val="left"/>
        <w:rPr>
          <w:rFonts w:ascii="Times New Roman" w:hAnsi="Times New Roman"/>
          <w:sz w:val="24"/>
        </w:rPr>
      </w:pPr>
      <w:r>
        <w:rPr>
          <w:rFonts w:ascii="Times New Roman" w:hAnsi="Times New Roman"/>
          <w:i/>
          <w:sz w:val="24"/>
        </w:rPr>
        <w:t>“</w:t>
      </w:r>
      <w:r w:rsidR="00581B0B">
        <w:rPr>
          <w:rFonts w:ascii="Times New Roman" w:hAnsi="Times New Roman"/>
          <w:i/>
          <w:sz w:val="24"/>
        </w:rPr>
        <w:t>A</w:t>
      </w:r>
      <w:r>
        <w:rPr>
          <w:rFonts w:ascii="Times New Roman" w:hAnsi="Times New Roman"/>
          <w:i/>
          <w:sz w:val="24"/>
        </w:rPr>
        <w:t>n environmental assessment, in accordance with Articles 4 to 9, shall be carried out for plans and program</w:t>
      </w:r>
      <w:r w:rsidR="00B31C31">
        <w:rPr>
          <w:rFonts w:ascii="Times New Roman" w:hAnsi="Times New Roman"/>
          <w:i/>
          <w:sz w:val="24"/>
        </w:rPr>
        <w:t>me</w:t>
      </w:r>
      <w:r>
        <w:rPr>
          <w:rFonts w:ascii="Times New Roman" w:hAnsi="Times New Roman"/>
          <w:i/>
          <w:sz w:val="24"/>
        </w:rPr>
        <w:t>s referred to in para</w:t>
      </w:r>
      <w:r w:rsidR="00581B0B">
        <w:rPr>
          <w:rFonts w:ascii="Times New Roman" w:hAnsi="Times New Roman"/>
          <w:i/>
          <w:sz w:val="24"/>
        </w:rPr>
        <w:t>graph</w:t>
      </w:r>
      <w:r>
        <w:rPr>
          <w:rFonts w:ascii="Times New Roman" w:hAnsi="Times New Roman"/>
          <w:i/>
          <w:sz w:val="24"/>
        </w:rPr>
        <w:t xml:space="preserve">s 2 to 4 which are likely to have significant environmental effects.” </w:t>
      </w:r>
      <w:r>
        <w:rPr>
          <w:rFonts w:ascii="Times New Roman" w:hAnsi="Times New Roman"/>
          <w:sz w:val="24"/>
        </w:rPr>
        <w:t xml:space="preserve"> </w:t>
      </w:r>
    </w:p>
    <w:p w14:paraId="7D859EAE" w14:textId="7C329B08" w:rsidR="00D3168B" w:rsidRDefault="00D3168B" w:rsidP="00D166C1">
      <w:pPr>
        <w:pStyle w:val="ListParagraph"/>
        <w:tabs>
          <w:tab w:val="left" w:pos="567"/>
        </w:tabs>
        <w:spacing w:line="480" w:lineRule="auto"/>
        <w:ind w:left="0"/>
        <w:jc w:val="left"/>
        <w:rPr>
          <w:rFonts w:ascii="Times New Roman" w:hAnsi="Times New Roman"/>
          <w:sz w:val="24"/>
        </w:rPr>
      </w:pPr>
      <w:r>
        <w:rPr>
          <w:rFonts w:ascii="Times New Roman" w:hAnsi="Times New Roman"/>
          <w:sz w:val="24"/>
        </w:rPr>
        <w:lastRenderedPageBreak/>
        <w:t>Article 4(1)</w:t>
      </w:r>
      <w:r w:rsidR="00581B0B">
        <w:rPr>
          <w:rFonts w:ascii="Times New Roman" w:hAnsi="Times New Roman"/>
          <w:sz w:val="24"/>
        </w:rPr>
        <w:t>,</w:t>
      </w:r>
      <w:r>
        <w:rPr>
          <w:rFonts w:ascii="Times New Roman" w:hAnsi="Times New Roman"/>
          <w:sz w:val="24"/>
        </w:rPr>
        <w:t xml:space="preserve"> </w:t>
      </w:r>
      <w:r w:rsidR="00581B0B" w:rsidRPr="004A56E3">
        <w:rPr>
          <w:rFonts w:ascii="Times New Roman" w:hAnsi="Times New Roman"/>
          <w:i/>
          <w:iCs/>
          <w:sz w:val="24"/>
        </w:rPr>
        <w:t>“</w:t>
      </w:r>
      <w:r w:rsidRPr="004A56E3">
        <w:rPr>
          <w:rFonts w:ascii="Times New Roman" w:hAnsi="Times New Roman"/>
          <w:i/>
          <w:iCs/>
          <w:sz w:val="24"/>
        </w:rPr>
        <w:t>general obligations</w:t>
      </w:r>
      <w:r w:rsidR="00581B0B" w:rsidRPr="004A56E3">
        <w:rPr>
          <w:rFonts w:ascii="Times New Roman" w:hAnsi="Times New Roman"/>
          <w:i/>
          <w:iCs/>
          <w:sz w:val="24"/>
        </w:rPr>
        <w:t>”</w:t>
      </w:r>
      <w:r w:rsidR="00581B0B">
        <w:rPr>
          <w:rFonts w:ascii="Times New Roman" w:hAnsi="Times New Roman"/>
          <w:sz w:val="24"/>
        </w:rPr>
        <w:t>,</w:t>
      </w:r>
      <w:r>
        <w:rPr>
          <w:rFonts w:ascii="Times New Roman" w:hAnsi="Times New Roman"/>
          <w:sz w:val="24"/>
        </w:rPr>
        <w:t xml:space="preserve"> refers only to an environmental assessment of the actual plan or programme.  </w:t>
      </w:r>
    </w:p>
    <w:p w14:paraId="0A256509" w14:textId="3C728DB9" w:rsidR="001B4782" w:rsidRDefault="00B31C3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reject the reading of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advanced by the applicant (and the Commission).  They say it fails to have due regard to the comm</w:t>
      </w:r>
      <w:r w:rsidR="001B4782">
        <w:rPr>
          <w:rFonts w:ascii="Times New Roman" w:hAnsi="Times New Roman"/>
          <w:sz w:val="24"/>
        </w:rPr>
        <w:t>a</w:t>
      </w:r>
      <w:r>
        <w:rPr>
          <w:rFonts w:ascii="Times New Roman" w:hAnsi="Times New Roman"/>
          <w:sz w:val="24"/>
        </w:rPr>
        <w:t xml:space="preserve"> in the middle of the provision</w:t>
      </w:r>
      <w:r w:rsidR="00581B0B">
        <w:rPr>
          <w:rFonts w:ascii="Times New Roman" w:hAnsi="Times New Roman"/>
          <w:sz w:val="24"/>
        </w:rPr>
        <w:t>,</w:t>
      </w:r>
      <w:r>
        <w:rPr>
          <w:rFonts w:ascii="Times New Roman" w:hAnsi="Times New Roman"/>
          <w:sz w:val="24"/>
        </w:rPr>
        <w:t xml:space="preserve"> which they say has the effect that the Environmental Report must identify, describe and evaluate </w:t>
      </w:r>
      <w:r>
        <w:rPr>
          <w:rFonts w:ascii="Times New Roman" w:hAnsi="Times New Roman"/>
          <w:i/>
          <w:sz w:val="24"/>
        </w:rPr>
        <w:t>“reasonable alternatives taking into account the objectives and geographical scope of the plan or programme”</w:t>
      </w:r>
      <w:r w:rsidR="00581B0B">
        <w:rPr>
          <w:rFonts w:ascii="Times New Roman" w:hAnsi="Times New Roman"/>
          <w:iCs/>
          <w:sz w:val="24"/>
        </w:rPr>
        <w:t>,</w:t>
      </w:r>
      <w:r w:rsidRPr="00581B0B">
        <w:rPr>
          <w:rFonts w:ascii="Times New Roman" w:hAnsi="Times New Roman"/>
          <w:i/>
          <w:sz w:val="24"/>
        </w:rPr>
        <w:t xml:space="preserve"> </w:t>
      </w:r>
      <w:r w:rsidRPr="001B4782">
        <w:rPr>
          <w:rFonts w:ascii="Times New Roman" w:hAnsi="Times New Roman"/>
          <w:sz w:val="24"/>
          <w:u w:val="single"/>
        </w:rPr>
        <w:t>not</w:t>
      </w:r>
      <w:r w:rsidRPr="00581B0B">
        <w:rPr>
          <w:rFonts w:ascii="Times New Roman" w:hAnsi="Times New Roman"/>
          <w:sz w:val="24"/>
        </w:rPr>
        <w:t xml:space="preserve"> </w:t>
      </w:r>
      <w:r>
        <w:rPr>
          <w:rFonts w:ascii="Times New Roman" w:hAnsi="Times New Roman"/>
          <w:sz w:val="24"/>
        </w:rPr>
        <w:t xml:space="preserve">that it must identify, describe and evaluate the </w:t>
      </w:r>
      <w:r>
        <w:rPr>
          <w:rFonts w:ascii="Times New Roman" w:hAnsi="Times New Roman"/>
          <w:i/>
          <w:sz w:val="24"/>
        </w:rPr>
        <w:t xml:space="preserve">“likely significant environmental effects of implementing” </w:t>
      </w:r>
      <w:r>
        <w:rPr>
          <w:rFonts w:ascii="Times New Roman" w:hAnsi="Times New Roman"/>
          <w:sz w:val="24"/>
        </w:rPr>
        <w:t xml:space="preserve">those reasonable alternatives.  Therefore, the required contents of the SEA Environmental Report does not give the </w:t>
      </w:r>
      <w:r>
        <w:rPr>
          <w:rFonts w:ascii="Times New Roman" w:hAnsi="Times New Roman"/>
          <w:i/>
          <w:sz w:val="24"/>
        </w:rPr>
        <w:t xml:space="preserve">“reasonable alternatives” </w:t>
      </w:r>
      <w:r>
        <w:rPr>
          <w:rFonts w:ascii="Times New Roman" w:hAnsi="Times New Roman"/>
          <w:sz w:val="24"/>
        </w:rPr>
        <w:t>full parity with the plan being proposed and assessed.</w:t>
      </w:r>
    </w:p>
    <w:p w14:paraId="57A1CC6E" w14:textId="07A4D229" w:rsidR="00D3168B" w:rsidRDefault="00B31C3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respondents say this </w:t>
      </w:r>
      <w:r w:rsidR="001B4782">
        <w:rPr>
          <w:rFonts w:ascii="Times New Roman" w:hAnsi="Times New Roman"/>
          <w:sz w:val="24"/>
        </w:rPr>
        <w:t>approach is consistent with</w:t>
      </w:r>
      <w:r>
        <w:rPr>
          <w:rFonts w:ascii="Times New Roman" w:hAnsi="Times New Roman"/>
          <w:sz w:val="24"/>
        </w:rPr>
        <w:t xml:space="preserve"> Annex </w:t>
      </w:r>
      <w:r w:rsidR="00581B0B">
        <w:rPr>
          <w:rFonts w:ascii="Times New Roman" w:hAnsi="Times New Roman"/>
          <w:sz w:val="24"/>
        </w:rPr>
        <w:t>I</w:t>
      </w:r>
      <w:r>
        <w:rPr>
          <w:rFonts w:ascii="Times New Roman" w:hAnsi="Times New Roman"/>
          <w:sz w:val="24"/>
        </w:rPr>
        <w:t xml:space="preserve"> of the SEA Directive</w:t>
      </w:r>
      <w:r w:rsidR="00581B0B">
        <w:rPr>
          <w:rFonts w:ascii="Times New Roman" w:hAnsi="Times New Roman"/>
          <w:sz w:val="24"/>
        </w:rPr>
        <w:t>,</w:t>
      </w:r>
      <w:r>
        <w:rPr>
          <w:rFonts w:ascii="Times New Roman" w:hAnsi="Times New Roman"/>
          <w:sz w:val="24"/>
        </w:rPr>
        <w:t xml:space="preserve"> which sets out the information required to be included in the report for the purposes of Article 5(1).  Alternatives are dealt with as a discreet item at (</w:t>
      </w:r>
      <w:r w:rsidR="00216EE9">
        <w:rPr>
          <w:rFonts w:ascii="Times New Roman" w:hAnsi="Times New Roman"/>
          <w:sz w:val="24"/>
        </w:rPr>
        <w:t>h):</w:t>
      </w:r>
      <w:r w:rsidR="00581B0B">
        <w:rPr>
          <w:rFonts w:ascii="Times New Roman" w:hAnsi="Times New Roman"/>
          <w:sz w:val="24"/>
        </w:rPr>
        <w:t>-</w:t>
      </w:r>
    </w:p>
    <w:p w14:paraId="752C80B5" w14:textId="1822B118" w:rsidR="00216EE9" w:rsidRPr="00216EE9" w:rsidRDefault="00216EE9" w:rsidP="00216EE9">
      <w:pPr>
        <w:pStyle w:val="ListParagraph"/>
        <w:spacing w:line="480" w:lineRule="auto"/>
        <w:ind w:left="567"/>
        <w:jc w:val="left"/>
        <w:rPr>
          <w:rFonts w:ascii="Times New Roman" w:hAnsi="Times New Roman"/>
          <w:i/>
          <w:sz w:val="24"/>
        </w:rPr>
      </w:pPr>
      <w:r>
        <w:rPr>
          <w:rFonts w:ascii="Times New Roman" w:hAnsi="Times New Roman"/>
          <w:i/>
          <w:sz w:val="24"/>
        </w:rPr>
        <w:t xml:space="preserve">“(h) </w:t>
      </w:r>
      <w:r w:rsidR="00581B0B">
        <w:rPr>
          <w:rFonts w:ascii="Times New Roman" w:hAnsi="Times New Roman"/>
          <w:i/>
          <w:sz w:val="24"/>
        </w:rPr>
        <w:t>a</w:t>
      </w:r>
      <w:r>
        <w:rPr>
          <w:rFonts w:ascii="Times New Roman" w:hAnsi="Times New Roman"/>
          <w:i/>
          <w:sz w:val="24"/>
        </w:rPr>
        <w:t>n outline of the reasons for selecting the alternatives dealt with, and a description of how the assessment was undertaken including any difficulties (such as technical deficiencies or lack of know</w:t>
      </w:r>
      <w:r w:rsidR="00581B0B">
        <w:rPr>
          <w:rFonts w:ascii="Times New Roman" w:hAnsi="Times New Roman"/>
          <w:i/>
          <w:sz w:val="24"/>
        </w:rPr>
        <w:t>-</w:t>
      </w:r>
      <w:r>
        <w:rPr>
          <w:rFonts w:ascii="Times New Roman" w:hAnsi="Times New Roman"/>
          <w:i/>
          <w:sz w:val="24"/>
        </w:rPr>
        <w:t>how) encountered in comp</w:t>
      </w:r>
      <w:r w:rsidR="00E51404">
        <w:rPr>
          <w:rFonts w:ascii="Times New Roman" w:hAnsi="Times New Roman"/>
          <w:i/>
          <w:sz w:val="24"/>
        </w:rPr>
        <w:t>i</w:t>
      </w:r>
      <w:r>
        <w:rPr>
          <w:rFonts w:ascii="Times New Roman" w:hAnsi="Times New Roman"/>
          <w:i/>
          <w:sz w:val="24"/>
        </w:rPr>
        <w:t>ling the required information.”</w:t>
      </w:r>
    </w:p>
    <w:p w14:paraId="47529D69" w14:textId="2189B93A" w:rsidR="008F4167" w:rsidRDefault="001B4782" w:rsidP="0092382A">
      <w:pPr>
        <w:pStyle w:val="ListParagraph"/>
        <w:numPr>
          <w:ilvl w:val="0"/>
          <w:numId w:val="1"/>
        </w:numPr>
        <w:tabs>
          <w:tab w:val="left" w:pos="567"/>
        </w:tabs>
        <w:spacing w:line="480" w:lineRule="auto"/>
        <w:ind w:left="0" w:firstLine="0"/>
        <w:jc w:val="left"/>
        <w:rPr>
          <w:rFonts w:ascii="Times New Roman" w:hAnsi="Times New Roman"/>
          <w:sz w:val="24"/>
        </w:rPr>
      </w:pPr>
      <w:r w:rsidRPr="008F4167">
        <w:rPr>
          <w:rFonts w:ascii="Times New Roman" w:hAnsi="Times New Roman"/>
          <w:sz w:val="24"/>
        </w:rPr>
        <w:t xml:space="preserve">I accept that an iterative process is permissible and that a plan or programme may evolve in stages. </w:t>
      </w:r>
      <w:r w:rsidR="00CB0235">
        <w:rPr>
          <w:rFonts w:ascii="Times New Roman" w:hAnsi="Times New Roman"/>
          <w:sz w:val="24"/>
        </w:rPr>
        <w:t xml:space="preserve"> </w:t>
      </w:r>
      <w:r w:rsidRPr="008F4167">
        <w:rPr>
          <w:rFonts w:ascii="Times New Roman" w:hAnsi="Times New Roman"/>
          <w:sz w:val="24"/>
        </w:rPr>
        <w:t xml:space="preserve">It is possible to assess the preferred option and the reasonable alternatives (if there are any which meet the objectives of the decision maker) and to select a preferred option which will then be further developed and </w:t>
      </w:r>
      <w:r w:rsidR="00C36293" w:rsidRPr="008F4167">
        <w:rPr>
          <w:rFonts w:ascii="Times New Roman" w:hAnsi="Times New Roman"/>
          <w:sz w:val="24"/>
        </w:rPr>
        <w:t>assessed.</w:t>
      </w:r>
      <w:r w:rsidR="00CB0235">
        <w:rPr>
          <w:rFonts w:ascii="Times New Roman" w:hAnsi="Times New Roman"/>
          <w:sz w:val="24"/>
        </w:rPr>
        <w:t xml:space="preserve"> </w:t>
      </w:r>
      <w:r w:rsidR="00C36293" w:rsidRPr="008F4167">
        <w:rPr>
          <w:rFonts w:ascii="Times New Roman" w:hAnsi="Times New Roman"/>
          <w:sz w:val="24"/>
        </w:rPr>
        <w:t xml:space="preserve"> </w:t>
      </w:r>
      <w:r w:rsidR="00E47F50" w:rsidRPr="008F4167">
        <w:rPr>
          <w:rFonts w:ascii="Times New Roman" w:hAnsi="Times New Roman"/>
          <w:sz w:val="24"/>
        </w:rPr>
        <w:t>T</w:t>
      </w:r>
      <w:r w:rsidR="00C36293" w:rsidRPr="008F4167">
        <w:rPr>
          <w:rFonts w:ascii="Times New Roman" w:hAnsi="Times New Roman"/>
          <w:sz w:val="24"/>
        </w:rPr>
        <w:t xml:space="preserve">he draft NPF was published, including Chapter 7, and the public was invited to make observations and comments on the draft plan. </w:t>
      </w:r>
      <w:r w:rsidR="00CB0235">
        <w:rPr>
          <w:rFonts w:ascii="Times New Roman" w:hAnsi="Times New Roman"/>
          <w:sz w:val="24"/>
        </w:rPr>
        <w:t xml:space="preserve"> </w:t>
      </w:r>
      <w:r w:rsidR="00C36293" w:rsidRPr="008F4167">
        <w:rPr>
          <w:rFonts w:ascii="Times New Roman" w:hAnsi="Times New Roman"/>
          <w:sz w:val="24"/>
        </w:rPr>
        <w:t>But</w:t>
      </w:r>
      <w:r w:rsidR="00CB0235">
        <w:rPr>
          <w:rFonts w:ascii="Times New Roman" w:hAnsi="Times New Roman"/>
          <w:sz w:val="24"/>
        </w:rPr>
        <w:t>,</w:t>
      </w:r>
      <w:r w:rsidR="00C36293" w:rsidRPr="008F4167">
        <w:rPr>
          <w:rFonts w:ascii="Times New Roman" w:hAnsi="Times New Roman"/>
          <w:sz w:val="24"/>
        </w:rPr>
        <w:t xml:space="preserve"> the </w:t>
      </w:r>
      <w:r w:rsidR="00CE0F93">
        <w:rPr>
          <w:rFonts w:ascii="Times New Roman" w:hAnsi="Times New Roman"/>
          <w:sz w:val="24"/>
        </w:rPr>
        <w:t>SEA Environmental R</w:t>
      </w:r>
      <w:r w:rsidR="00C36293" w:rsidRPr="008F4167">
        <w:rPr>
          <w:rFonts w:ascii="Times New Roman" w:hAnsi="Times New Roman"/>
          <w:sz w:val="24"/>
        </w:rPr>
        <w:t xml:space="preserve">eport </w:t>
      </w:r>
      <w:r w:rsidR="00CB0235">
        <w:rPr>
          <w:rFonts w:ascii="Times New Roman" w:hAnsi="Times New Roman"/>
          <w:sz w:val="24"/>
        </w:rPr>
        <w:t>i</w:t>
      </w:r>
      <w:r w:rsidR="004423C2">
        <w:rPr>
          <w:rFonts w:ascii="Times New Roman" w:hAnsi="Times New Roman"/>
          <w:sz w:val="24"/>
        </w:rPr>
        <w:t xml:space="preserve">n the draft NPF </w:t>
      </w:r>
      <w:r w:rsidR="00C36293" w:rsidRPr="008F4167">
        <w:rPr>
          <w:rFonts w:ascii="Times New Roman" w:hAnsi="Times New Roman"/>
          <w:sz w:val="24"/>
        </w:rPr>
        <w:t>also included Chapter 8</w:t>
      </w:r>
      <w:r w:rsidR="00E47F50" w:rsidRPr="008F4167">
        <w:rPr>
          <w:rFonts w:ascii="Times New Roman" w:hAnsi="Times New Roman"/>
          <w:sz w:val="24"/>
        </w:rPr>
        <w:t xml:space="preserve">, </w:t>
      </w:r>
      <w:r w:rsidR="00C36293" w:rsidRPr="008F4167">
        <w:rPr>
          <w:rFonts w:ascii="Times New Roman" w:hAnsi="Times New Roman"/>
          <w:sz w:val="24"/>
        </w:rPr>
        <w:t xml:space="preserve">which further developed the assessment of the preferred option. </w:t>
      </w:r>
      <w:r w:rsidR="00CB0235">
        <w:rPr>
          <w:rFonts w:ascii="Times New Roman" w:hAnsi="Times New Roman"/>
          <w:sz w:val="24"/>
        </w:rPr>
        <w:t xml:space="preserve"> </w:t>
      </w:r>
      <w:r w:rsidR="00C36293" w:rsidRPr="008F4167">
        <w:rPr>
          <w:rFonts w:ascii="Times New Roman" w:hAnsi="Times New Roman"/>
          <w:sz w:val="24"/>
        </w:rPr>
        <w:t xml:space="preserve">It did not occur “thereafter”. </w:t>
      </w:r>
      <w:r w:rsidR="00CB0235">
        <w:rPr>
          <w:rFonts w:ascii="Times New Roman" w:hAnsi="Times New Roman"/>
          <w:sz w:val="24"/>
        </w:rPr>
        <w:t xml:space="preserve"> </w:t>
      </w:r>
      <w:r w:rsidR="00C36293" w:rsidRPr="008F4167">
        <w:rPr>
          <w:rFonts w:ascii="Times New Roman" w:hAnsi="Times New Roman"/>
          <w:sz w:val="24"/>
        </w:rPr>
        <w:t xml:space="preserve">It was selected as the preferred option prior to receipt of </w:t>
      </w:r>
      <w:r w:rsidR="00C36293" w:rsidRPr="008F4167">
        <w:rPr>
          <w:rFonts w:ascii="Times New Roman" w:hAnsi="Times New Roman"/>
          <w:sz w:val="24"/>
        </w:rPr>
        <w:lastRenderedPageBreak/>
        <w:t>submissions from the public</w:t>
      </w:r>
      <w:r w:rsidR="008F4167" w:rsidRPr="008F4167">
        <w:rPr>
          <w:rFonts w:ascii="Times New Roman" w:hAnsi="Times New Roman"/>
          <w:sz w:val="24"/>
        </w:rPr>
        <w:t>,</w:t>
      </w:r>
      <w:r w:rsidR="003C62F6" w:rsidRPr="008F4167">
        <w:rPr>
          <w:rFonts w:ascii="Times New Roman" w:hAnsi="Times New Roman"/>
          <w:sz w:val="24"/>
        </w:rPr>
        <w:t xml:space="preserve"> though </w:t>
      </w:r>
      <w:r w:rsidR="008F4167" w:rsidRPr="008F4167">
        <w:rPr>
          <w:rFonts w:ascii="Times New Roman" w:hAnsi="Times New Roman"/>
          <w:sz w:val="24"/>
        </w:rPr>
        <w:t xml:space="preserve">after </w:t>
      </w:r>
      <w:r w:rsidR="003C62F6" w:rsidRPr="008F4167">
        <w:rPr>
          <w:rFonts w:ascii="Times New Roman" w:hAnsi="Times New Roman"/>
          <w:sz w:val="24"/>
        </w:rPr>
        <w:t xml:space="preserve">some consultation had taken place </w:t>
      </w:r>
      <w:r w:rsidR="008F4167" w:rsidRPr="008F4167">
        <w:rPr>
          <w:rFonts w:ascii="Times New Roman" w:hAnsi="Times New Roman"/>
          <w:sz w:val="24"/>
        </w:rPr>
        <w:t>with statutory consultees and others</w:t>
      </w:r>
      <w:r w:rsidR="008F4167">
        <w:rPr>
          <w:rFonts w:ascii="Times New Roman" w:hAnsi="Times New Roman"/>
          <w:sz w:val="24"/>
        </w:rPr>
        <w:t xml:space="preserve">. </w:t>
      </w:r>
      <w:r w:rsidR="00C36293" w:rsidRPr="008F4167">
        <w:rPr>
          <w:rFonts w:ascii="Times New Roman" w:hAnsi="Times New Roman"/>
          <w:sz w:val="24"/>
        </w:rPr>
        <w:t xml:space="preserve"> </w:t>
      </w:r>
    </w:p>
    <w:p w14:paraId="476D9026" w14:textId="29FD4FF2" w:rsidR="00F815AA" w:rsidRPr="008F4167" w:rsidRDefault="001D197D" w:rsidP="0092382A">
      <w:pPr>
        <w:pStyle w:val="ListParagraph"/>
        <w:numPr>
          <w:ilvl w:val="0"/>
          <w:numId w:val="1"/>
        </w:numPr>
        <w:tabs>
          <w:tab w:val="left" w:pos="567"/>
        </w:tabs>
        <w:spacing w:line="480" w:lineRule="auto"/>
        <w:ind w:left="0" w:firstLine="0"/>
        <w:jc w:val="left"/>
        <w:rPr>
          <w:rFonts w:ascii="Times New Roman" w:hAnsi="Times New Roman"/>
          <w:sz w:val="24"/>
        </w:rPr>
      </w:pPr>
      <w:r w:rsidRPr="008F4167">
        <w:rPr>
          <w:rFonts w:ascii="Times New Roman" w:hAnsi="Times New Roman"/>
          <w:sz w:val="24"/>
        </w:rPr>
        <w:t xml:space="preserve">The parties referred the </w:t>
      </w:r>
      <w:r w:rsidR="00CB0235">
        <w:rPr>
          <w:rFonts w:ascii="Times New Roman" w:hAnsi="Times New Roman"/>
          <w:sz w:val="24"/>
        </w:rPr>
        <w:t>c</w:t>
      </w:r>
      <w:r w:rsidRPr="008F4167">
        <w:rPr>
          <w:rFonts w:ascii="Times New Roman" w:hAnsi="Times New Roman"/>
          <w:sz w:val="24"/>
        </w:rPr>
        <w:t>ourt to a number of authorities from England and Wales</w:t>
      </w:r>
      <w:r w:rsidR="000976D5" w:rsidRPr="008F4167">
        <w:rPr>
          <w:rFonts w:ascii="Times New Roman" w:hAnsi="Times New Roman"/>
          <w:sz w:val="24"/>
        </w:rPr>
        <w:t xml:space="preserve"> which, while not binding on this court, do assist in the analysis of the obligations imposed by the Directive on a plan making authority</w:t>
      </w:r>
      <w:r w:rsidRPr="008F4167">
        <w:rPr>
          <w:rFonts w:ascii="Times New Roman" w:hAnsi="Times New Roman"/>
          <w:sz w:val="24"/>
        </w:rPr>
        <w:t xml:space="preserve">.  The first of these was </w:t>
      </w:r>
      <w:r w:rsidRPr="008F4167">
        <w:rPr>
          <w:rFonts w:ascii="Times New Roman" w:hAnsi="Times New Roman"/>
          <w:i/>
          <w:sz w:val="24"/>
        </w:rPr>
        <w:t xml:space="preserve">Save Historic Newmarket Limited v. Forest Heath District Council </w:t>
      </w:r>
      <w:r w:rsidRPr="008F4167">
        <w:rPr>
          <w:rFonts w:ascii="Times New Roman" w:hAnsi="Times New Roman"/>
          <w:sz w:val="24"/>
        </w:rPr>
        <w:t>[2011] EWHC 606 (Admin).  The claimants sought to quash a plan known as The Forest Heath Core Strategy which was adopted by the first defendant on the grounds</w:t>
      </w:r>
      <w:r w:rsidR="008062E1">
        <w:rPr>
          <w:rFonts w:ascii="Times New Roman" w:hAnsi="Times New Roman"/>
          <w:sz w:val="24"/>
        </w:rPr>
        <w:t>,</w:t>
      </w:r>
      <w:r w:rsidRPr="008F4167">
        <w:rPr>
          <w:rFonts w:ascii="Times New Roman" w:hAnsi="Times New Roman"/>
          <w:sz w:val="24"/>
        </w:rPr>
        <w:t xml:space="preserve"> </w:t>
      </w:r>
      <w:r w:rsidRPr="008F4167">
        <w:rPr>
          <w:rFonts w:ascii="Times New Roman" w:hAnsi="Times New Roman"/>
          <w:i/>
          <w:sz w:val="24"/>
        </w:rPr>
        <w:t>inter alia</w:t>
      </w:r>
      <w:r w:rsidR="008062E1">
        <w:rPr>
          <w:rFonts w:ascii="Times New Roman" w:hAnsi="Times New Roman"/>
          <w:iCs/>
          <w:sz w:val="24"/>
        </w:rPr>
        <w:t>,</w:t>
      </w:r>
      <w:r w:rsidRPr="008F4167">
        <w:rPr>
          <w:rFonts w:ascii="Times New Roman" w:hAnsi="Times New Roman"/>
          <w:i/>
          <w:sz w:val="24"/>
        </w:rPr>
        <w:t xml:space="preserve"> </w:t>
      </w:r>
      <w:r w:rsidRPr="008F4167">
        <w:rPr>
          <w:rFonts w:ascii="Times New Roman" w:hAnsi="Times New Roman"/>
          <w:sz w:val="24"/>
        </w:rPr>
        <w:t>that there was an alleged failure to comply with the requirements of the SEA Directive.  At para. 17</w:t>
      </w:r>
      <w:r w:rsidR="00B26990">
        <w:rPr>
          <w:rFonts w:ascii="Times New Roman" w:hAnsi="Times New Roman"/>
          <w:sz w:val="24"/>
        </w:rPr>
        <w:t>,</w:t>
      </w:r>
      <w:r w:rsidRPr="008F4167">
        <w:rPr>
          <w:rFonts w:ascii="Times New Roman" w:hAnsi="Times New Roman"/>
          <w:sz w:val="24"/>
        </w:rPr>
        <w:t xml:space="preserve"> Collins J. stated:</w:t>
      </w:r>
      <w:r w:rsidR="008062E1">
        <w:rPr>
          <w:rFonts w:ascii="Times New Roman" w:hAnsi="Times New Roman"/>
          <w:sz w:val="24"/>
        </w:rPr>
        <w:t>-</w:t>
      </w:r>
    </w:p>
    <w:p w14:paraId="513FD4D3" w14:textId="75F0B8EC" w:rsidR="001B4079" w:rsidRDefault="001D197D" w:rsidP="001B4079">
      <w:pPr>
        <w:pStyle w:val="ListParagraph"/>
        <w:spacing w:line="480" w:lineRule="auto"/>
        <w:ind w:left="567"/>
        <w:jc w:val="left"/>
        <w:rPr>
          <w:rFonts w:ascii="Times New Roman" w:hAnsi="Times New Roman"/>
          <w:i/>
          <w:sz w:val="24"/>
        </w:rPr>
      </w:pPr>
      <w:r>
        <w:rPr>
          <w:rFonts w:ascii="Times New Roman" w:hAnsi="Times New Roman"/>
          <w:i/>
          <w:sz w:val="24"/>
        </w:rPr>
        <w:t>“</w:t>
      </w:r>
      <w:r w:rsidRPr="001D197D">
        <w:rPr>
          <w:rFonts w:ascii="Times New Roman" w:hAnsi="Times New Roman"/>
          <w:i/>
          <w:sz w:val="24"/>
        </w:rPr>
        <w:t xml:space="preserve">It is clear from the terms of Article 5 of the Directive and the guidance from the Commission that the authority responsible for the adoption of the plan or programme as well as the authorities and public consulted must be presented with an </w:t>
      </w:r>
      <w:bookmarkStart w:id="1" w:name="_Hlk83903591"/>
      <w:r w:rsidRPr="001D197D">
        <w:rPr>
          <w:rFonts w:ascii="Times New Roman" w:hAnsi="Times New Roman"/>
          <w:i/>
          <w:sz w:val="24"/>
        </w:rPr>
        <w:t xml:space="preserve">accurate picture of what reasonable alternatives there are </w:t>
      </w:r>
      <w:bookmarkEnd w:id="1"/>
      <w:r w:rsidRPr="001D197D">
        <w:rPr>
          <w:rFonts w:ascii="Times New Roman" w:hAnsi="Times New Roman"/>
          <w:i/>
          <w:sz w:val="24"/>
        </w:rPr>
        <w:t>and why they are not considered to be the best option (See Commission Guidance Paragraphs 5.11 to 5.1</w:t>
      </w:r>
      <w:r w:rsidR="00B26990">
        <w:rPr>
          <w:rFonts w:ascii="Times New Roman" w:hAnsi="Times New Roman"/>
          <w:i/>
          <w:sz w:val="24"/>
        </w:rPr>
        <w:t>4</w:t>
      </w:r>
      <w:r w:rsidRPr="001D197D">
        <w:rPr>
          <w:rFonts w:ascii="Times New Roman" w:hAnsi="Times New Roman"/>
          <w:i/>
          <w:sz w:val="24"/>
        </w:rPr>
        <w:t>).</w:t>
      </w:r>
      <w:r w:rsidR="001B4079">
        <w:rPr>
          <w:rFonts w:ascii="Times New Roman" w:hAnsi="Times New Roman"/>
          <w:i/>
          <w:sz w:val="24"/>
        </w:rPr>
        <w:t>”</w:t>
      </w:r>
    </w:p>
    <w:p w14:paraId="18D48662" w14:textId="438E682E" w:rsidR="001D197D" w:rsidRDefault="003C62F6" w:rsidP="001B4079">
      <w:pPr>
        <w:pStyle w:val="ListParagraph"/>
        <w:tabs>
          <w:tab w:val="left" w:pos="567"/>
        </w:tabs>
        <w:spacing w:line="480" w:lineRule="auto"/>
        <w:ind w:left="0"/>
        <w:jc w:val="left"/>
        <w:rPr>
          <w:rFonts w:ascii="Times New Roman" w:hAnsi="Times New Roman"/>
          <w:sz w:val="24"/>
        </w:rPr>
      </w:pPr>
      <w:r>
        <w:rPr>
          <w:rFonts w:ascii="Times New Roman" w:hAnsi="Times New Roman"/>
          <w:sz w:val="24"/>
        </w:rPr>
        <w:t>It is worth noting that he accepted the Commission’s guidance on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w:t>
      </w:r>
      <w:r w:rsidR="00B26990">
        <w:rPr>
          <w:rFonts w:ascii="Times New Roman" w:hAnsi="Times New Roman"/>
          <w:sz w:val="24"/>
        </w:rPr>
        <w:t xml:space="preserve"> </w:t>
      </w:r>
      <w:r w:rsidR="001B4079">
        <w:rPr>
          <w:rFonts w:ascii="Times New Roman" w:hAnsi="Times New Roman"/>
          <w:sz w:val="24"/>
        </w:rPr>
        <w:t>He continued, having acknowledged that the environmental assessment and the draft plan must operate together:</w:t>
      </w:r>
      <w:r w:rsidR="00B26990">
        <w:rPr>
          <w:rFonts w:ascii="Times New Roman" w:hAnsi="Times New Roman"/>
          <w:sz w:val="24"/>
        </w:rPr>
        <w:t>-</w:t>
      </w:r>
    </w:p>
    <w:p w14:paraId="2C342E60" w14:textId="77016F4A" w:rsidR="001B4079" w:rsidRDefault="001B4079" w:rsidP="001B4079">
      <w:pPr>
        <w:pStyle w:val="ListParagraph"/>
        <w:spacing w:line="480" w:lineRule="auto"/>
        <w:ind w:left="567"/>
        <w:jc w:val="left"/>
        <w:rPr>
          <w:rFonts w:ascii="Times New Roman" w:hAnsi="Times New Roman"/>
          <w:i/>
          <w:sz w:val="24"/>
        </w:rPr>
      </w:pPr>
      <w:r>
        <w:rPr>
          <w:rFonts w:ascii="Times New Roman" w:hAnsi="Times New Roman"/>
          <w:i/>
          <w:sz w:val="24"/>
        </w:rPr>
        <w:t>“…</w:t>
      </w:r>
      <w:r w:rsidR="00B26990">
        <w:rPr>
          <w:rFonts w:ascii="Times New Roman" w:hAnsi="Times New Roman"/>
          <w:i/>
          <w:sz w:val="24"/>
        </w:rPr>
        <w:t xml:space="preserve"> </w:t>
      </w:r>
      <w:r w:rsidR="00457D32">
        <w:rPr>
          <w:rFonts w:ascii="Times New Roman" w:hAnsi="Times New Roman"/>
          <w:i/>
          <w:sz w:val="24"/>
        </w:rPr>
        <w:t xml:space="preserve">that </w:t>
      </w:r>
      <w:r w:rsidRPr="001B4079">
        <w:rPr>
          <w:rFonts w:ascii="Times New Roman" w:hAnsi="Times New Roman"/>
          <w:i/>
          <w:sz w:val="24"/>
        </w:rPr>
        <w:t xml:space="preserve">does not mean that when the draft plan finally decided on by the authority and the accompanying environmental assessment are put out to consultation before the necessary examination is held there cannot have been during the iterative process a prior ruling out of alternatives. But this is subject to the important proviso that reasons have been given for the rejection of the alternatives, that those reasons are still valid if there has been any change in the proposals in the draft plan or any other material change of circumstances and that the consultees are able, whether by </w:t>
      </w:r>
      <w:r w:rsidRPr="001B4079">
        <w:rPr>
          <w:rFonts w:ascii="Times New Roman" w:hAnsi="Times New Roman"/>
          <w:i/>
          <w:sz w:val="24"/>
        </w:rPr>
        <w:lastRenderedPageBreak/>
        <w:t>reference to the part of the earlier assessment giving the reasons or by summary of those reasons or, if necessary, by repeating them, to know from the assessment accompanying the draft plan what those reasons are.</w:t>
      </w:r>
      <w:r>
        <w:rPr>
          <w:rFonts w:ascii="Times New Roman" w:hAnsi="Times New Roman"/>
          <w:i/>
          <w:sz w:val="24"/>
        </w:rPr>
        <w:t xml:space="preserve">”  </w:t>
      </w:r>
    </w:p>
    <w:p w14:paraId="68E3EB5E" w14:textId="77777777" w:rsidR="001B4079" w:rsidRPr="003C62F6" w:rsidRDefault="001B4079" w:rsidP="001B4079">
      <w:pPr>
        <w:pStyle w:val="ListParagraph"/>
        <w:spacing w:line="480" w:lineRule="auto"/>
        <w:ind w:left="0"/>
        <w:jc w:val="left"/>
        <w:rPr>
          <w:rFonts w:ascii="Times New Roman" w:hAnsi="Times New Roman"/>
          <w:sz w:val="24"/>
        </w:rPr>
      </w:pPr>
      <w:r>
        <w:rPr>
          <w:rFonts w:ascii="Times New Roman" w:hAnsi="Times New Roman"/>
          <w:sz w:val="24"/>
        </w:rPr>
        <w:t xml:space="preserve">Collins J. assessed the SEA Environmental Report prepared in that case and held that it failed to comply with the requirements of the Directive because </w:t>
      </w:r>
      <w:r>
        <w:rPr>
          <w:rFonts w:ascii="Times New Roman" w:hAnsi="Times New Roman"/>
          <w:i/>
          <w:sz w:val="24"/>
        </w:rPr>
        <w:t xml:space="preserve">“nowhere does it identify or evaluate reasonable alternatives or explain why they are rejected in favour of what is proposed.”  </w:t>
      </w:r>
    </w:p>
    <w:p w14:paraId="0AC974D4" w14:textId="493F76E4" w:rsidR="00A02973" w:rsidRDefault="001B407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next case in time was </w:t>
      </w:r>
      <w:r>
        <w:rPr>
          <w:rFonts w:ascii="Times New Roman" w:hAnsi="Times New Roman"/>
          <w:i/>
          <w:sz w:val="24"/>
        </w:rPr>
        <w:t xml:space="preserve">Ashdown Forest Economic Development LLP v. </w:t>
      </w:r>
      <w:r w:rsidR="00090FA3" w:rsidRPr="00090FA3">
        <w:rPr>
          <w:rFonts w:ascii="Times New Roman" w:hAnsi="Times New Roman"/>
          <w:i/>
          <w:sz w:val="24"/>
        </w:rPr>
        <w:t>Secretary of State for Communities and Local Government and Others</w:t>
      </w:r>
      <w:r>
        <w:rPr>
          <w:rFonts w:ascii="Times New Roman" w:hAnsi="Times New Roman"/>
          <w:i/>
          <w:sz w:val="24"/>
        </w:rPr>
        <w:t xml:space="preserve"> </w:t>
      </w:r>
      <w:r>
        <w:rPr>
          <w:rFonts w:ascii="Times New Roman" w:hAnsi="Times New Roman"/>
          <w:sz w:val="24"/>
        </w:rPr>
        <w:t>[2014] EWHC 406 (Admin).  Mr. Justice Sales held that the SEA Directive</w:t>
      </w:r>
      <w:r w:rsidR="00A02973">
        <w:rPr>
          <w:rFonts w:ascii="Times New Roman" w:hAnsi="Times New Roman"/>
          <w:sz w:val="24"/>
        </w:rPr>
        <w:t>:</w:t>
      </w:r>
      <w:r w:rsidR="00090FA3">
        <w:rPr>
          <w:rFonts w:ascii="Times New Roman" w:hAnsi="Times New Roman"/>
          <w:sz w:val="24"/>
        </w:rPr>
        <w:t>-</w:t>
      </w:r>
    </w:p>
    <w:p w14:paraId="6D93B045" w14:textId="367289FA" w:rsidR="00A02973" w:rsidRPr="00A02973" w:rsidRDefault="00A02973" w:rsidP="00A02973">
      <w:pPr>
        <w:pStyle w:val="ListParagraph"/>
        <w:spacing w:line="480" w:lineRule="auto"/>
        <w:ind w:left="567"/>
        <w:jc w:val="left"/>
        <w:rPr>
          <w:rFonts w:ascii="Times New Roman" w:hAnsi="Times New Roman"/>
          <w:sz w:val="24"/>
        </w:rPr>
      </w:pPr>
      <w:r>
        <w:rPr>
          <w:rFonts w:ascii="Times New Roman" w:hAnsi="Times New Roman"/>
          <w:i/>
          <w:sz w:val="24"/>
        </w:rPr>
        <w:t>“…</w:t>
      </w:r>
      <w:r w:rsidR="00090FA3">
        <w:rPr>
          <w:rFonts w:ascii="Times New Roman" w:hAnsi="Times New Roman"/>
          <w:i/>
          <w:sz w:val="24"/>
        </w:rPr>
        <w:t xml:space="preserve"> </w:t>
      </w:r>
      <w:r w:rsidR="001B4079">
        <w:rPr>
          <w:rFonts w:ascii="Times New Roman" w:hAnsi="Times New Roman"/>
          <w:i/>
          <w:sz w:val="24"/>
        </w:rPr>
        <w:t>is of a procedural nature (</w:t>
      </w:r>
      <w:r w:rsidR="00A157E1">
        <w:rPr>
          <w:rFonts w:ascii="Times New Roman" w:hAnsi="Times New Roman"/>
          <w:i/>
          <w:sz w:val="24"/>
        </w:rPr>
        <w:t>r</w:t>
      </w:r>
      <w:r w:rsidR="001B4079">
        <w:rPr>
          <w:rFonts w:ascii="Times New Roman" w:hAnsi="Times New Roman"/>
          <w:i/>
          <w:sz w:val="24"/>
        </w:rPr>
        <w:t xml:space="preserve">ecital </w:t>
      </w:r>
      <w:r>
        <w:rPr>
          <w:rFonts w:ascii="Times New Roman" w:hAnsi="Times New Roman"/>
          <w:i/>
          <w:sz w:val="24"/>
        </w:rPr>
        <w:t>(9)) and the procedures which it requires involve consultation with authorities with relevant environmental responsibilities and the public</w:t>
      </w:r>
      <w:r w:rsidRPr="00605183">
        <w:rPr>
          <w:rFonts w:ascii="Times New Roman" w:hAnsi="Times New Roman"/>
          <w:i/>
          <w:sz w:val="24"/>
        </w:rPr>
        <w:t xml:space="preserve">, </w:t>
      </w:r>
      <w:r w:rsidRPr="00605183">
        <w:rPr>
          <w:rFonts w:ascii="Times New Roman" w:hAnsi="Times New Roman"/>
          <w:i/>
          <w:sz w:val="24"/>
          <w:u w:val="single"/>
        </w:rPr>
        <w:t>with a view to them being able to contribute to the assessment of alternatives (</w:t>
      </w:r>
      <w:r w:rsidR="00A157E1" w:rsidRPr="00605183">
        <w:rPr>
          <w:rFonts w:ascii="Times New Roman" w:hAnsi="Times New Roman"/>
          <w:i/>
          <w:sz w:val="24"/>
          <w:u w:val="single"/>
        </w:rPr>
        <w:t>r</w:t>
      </w:r>
      <w:r w:rsidRPr="00605183">
        <w:rPr>
          <w:rFonts w:ascii="Times New Roman" w:hAnsi="Times New Roman"/>
          <w:i/>
          <w:sz w:val="24"/>
          <w:u w:val="single"/>
        </w:rPr>
        <w:t>ecitals (15) and (17); Articles 5 and 6).</w:t>
      </w:r>
      <w:r w:rsidRPr="00A02973">
        <w:rPr>
          <w:rFonts w:ascii="Times New Roman" w:hAnsi="Times New Roman"/>
          <w:i/>
          <w:sz w:val="24"/>
        </w:rPr>
        <w:t xml:space="preserve"> The </w:t>
      </w:r>
      <w:r w:rsidR="00090FA3">
        <w:rPr>
          <w:rFonts w:ascii="Times New Roman" w:hAnsi="Times New Roman"/>
          <w:i/>
          <w:sz w:val="24"/>
        </w:rPr>
        <w:t xml:space="preserve">relevant </w:t>
      </w:r>
      <w:r w:rsidRPr="00A02973">
        <w:rPr>
          <w:rFonts w:ascii="Times New Roman" w:hAnsi="Times New Roman"/>
          <w:i/>
          <w:sz w:val="24"/>
        </w:rPr>
        <w:t xml:space="preserve">aspect of the obligation in Article 5 is to identify and then evaluate </w:t>
      </w:r>
      <w:r>
        <w:rPr>
          <w:rFonts w:ascii="Times New Roman" w:hAnsi="Times New Roman"/>
          <w:i/>
          <w:sz w:val="24"/>
        </w:rPr>
        <w:t>“</w:t>
      </w:r>
      <w:r w:rsidRPr="00A02973">
        <w:rPr>
          <w:rFonts w:ascii="Times New Roman" w:hAnsi="Times New Roman"/>
          <w:i/>
          <w:sz w:val="24"/>
        </w:rPr>
        <w:t>reasonable alternatives</w:t>
      </w:r>
      <w:r>
        <w:rPr>
          <w:rFonts w:ascii="Times New Roman" w:hAnsi="Times New Roman"/>
          <w:i/>
          <w:sz w:val="24"/>
        </w:rPr>
        <w:t>”</w:t>
      </w:r>
      <w:r w:rsidRPr="00A02973">
        <w:rPr>
          <w:rFonts w:ascii="Times New Roman" w:hAnsi="Times New Roman"/>
          <w:i/>
          <w:sz w:val="24"/>
        </w:rPr>
        <w:t xml:space="preserve"> to the plan in question.</w:t>
      </w:r>
      <w:r w:rsidR="008F4167">
        <w:rPr>
          <w:rFonts w:ascii="Times New Roman" w:hAnsi="Times New Roman"/>
          <w:i/>
          <w:sz w:val="24"/>
        </w:rPr>
        <w:t xml:space="preserve">” </w:t>
      </w:r>
      <w:r w:rsidR="00457D32" w:rsidRPr="004A56E3">
        <w:rPr>
          <w:rFonts w:ascii="Times New Roman" w:hAnsi="Times New Roman"/>
          <w:iCs/>
          <w:sz w:val="24"/>
        </w:rPr>
        <w:t>(emphasis added)</w:t>
      </w:r>
    </w:p>
    <w:p w14:paraId="55DE3D4D" w14:textId="637185FE" w:rsidR="00A02973" w:rsidRDefault="00A02973" w:rsidP="00A02973">
      <w:pPr>
        <w:pStyle w:val="ListParagraph"/>
        <w:tabs>
          <w:tab w:val="left" w:pos="567"/>
        </w:tabs>
        <w:spacing w:line="480" w:lineRule="auto"/>
        <w:ind w:left="0"/>
        <w:jc w:val="left"/>
        <w:rPr>
          <w:rFonts w:ascii="Times New Roman" w:hAnsi="Times New Roman"/>
          <w:sz w:val="24"/>
        </w:rPr>
      </w:pPr>
      <w:r>
        <w:rPr>
          <w:rFonts w:ascii="Times New Roman" w:hAnsi="Times New Roman"/>
          <w:sz w:val="24"/>
        </w:rPr>
        <w:t xml:space="preserve">He cited the passage I have quoted above from </w:t>
      </w:r>
      <w:r>
        <w:rPr>
          <w:rFonts w:ascii="Times New Roman" w:hAnsi="Times New Roman"/>
          <w:i/>
          <w:sz w:val="24"/>
        </w:rPr>
        <w:t xml:space="preserve">Save Historic Newmarket </w:t>
      </w:r>
      <w:r>
        <w:rPr>
          <w:rFonts w:ascii="Times New Roman" w:hAnsi="Times New Roman"/>
          <w:sz w:val="24"/>
        </w:rPr>
        <w:t>and observed in para. 96 of the judgment that:</w:t>
      </w:r>
      <w:r w:rsidR="00090FA3">
        <w:rPr>
          <w:rFonts w:ascii="Times New Roman" w:hAnsi="Times New Roman"/>
          <w:sz w:val="24"/>
        </w:rPr>
        <w:t>-</w:t>
      </w:r>
    </w:p>
    <w:p w14:paraId="49E2A517" w14:textId="63240EB0" w:rsidR="007E7FE6" w:rsidRDefault="007E7FE6" w:rsidP="007E7FE6">
      <w:pPr>
        <w:spacing w:line="480" w:lineRule="auto"/>
        <w:ind w:left="567"/>
        <w:rPr>
          <w:i/>
        </w:rPr>
      </w:pPr>
      <w:bookmarkStart w:id="2" w:name="para96"/>
      <w:r>
        <w:rPr>
          <w:i/>
        </w:rPr>
        <w:t>“</w:t>
      </w:r>
      <w:r w:rsidR="00090FA3">
        <w:rPr>
          <w:i/>
        </w:rPr>
        <w:t xml:space="preserve">... </w:t>
      </w:r>
      <w:r w:rsidR="00A02973" w:rsidRPr="007E7FE6">
        <w:rPr>
          <w:i/>
        </w:rPr>
        <w:t xml:space="preserve">It may be </w:t>
      </w:r>
      <w:bookmarkStart w:id="3" w:name="_Hlk83902910"/>
      <w:r w:rsidR="00A02973" w:rsidRPr="007E7FE6">
        <w:rPr>
          <w:i/>
        </w:rPr>
        <w:t>that a series of stages of examination leads to a preferred option for which alone a full strategic assessment is done, and in that case outline reasons for the selection of the alternatives dealt with at the various stages and for not pursuing particular alternatives to the preferred option are required to be given</w:t>
      </w:r>
      <w:bookmarkEnd w:id="3"/>
      <w:r>
        <w:rPr>
          <w:i/>
        </w:rPr>
        <w:t>”</w:t>
      </w:r>
      <w:r w:rsidR="00090FA3">
        <w:rPr>
          <w:i/>
        </w:rPr>
        <w:t>.</w:t>
      </w:r>
    </w:p>
    <w:bookmarkEnd w:id="2"/>
    <w:p w14:paraId="16E42F56" w14:textId="0E037B48" w:rsidR="00A02973" w:rsidRDefault="007E7FE6" w:rsidP="007E7FE6">
      <w:pPr>
        <w:spacing w:line="480" w:lineRule="auto"/>
      </w:pPr>
      <w:r>
        <w:t>At para. 97 he stated:</w:t>
      </w:r>
      <w:r w:rsidR="00FE541B">
        <w:t>-</w:t>
      </w:r>
    </w:p>
    <w:p w14:paraId="4AF8B0C3" w14:textId="51CFC0AA" w:rsidR="007E7FE6" w:rsidRPr="007E7FE6" w:rsidRDefault="007E7FE6" w:rsidP="007E7FE6">
      <w:pPr>
        <w:spacing w:line="480" w:lineRule="auto"/>
        <w:ind w:left="567"/>
        <w:rPr>
          <w:i/>
        </w:rPr>
      </w:pPr>
      <w:r>
        <w:rPr>
          <w:i/>
        </w:rPr>
        <w:t>“</w:t>
      </w:r>
      <w:r w:rsidRPr="00605183">
        <w:rPr>
          <w:bCs/>
          <w:i/>
          <w:u w:val="single"/>
        </w:rPr>
        <w:t xml:space="preserve">A plan-making authority has an obligation under the SEA Directive to conduct an equal examination of alternatives which it regards as reasonable alternatives to its </w:t>
      </w:r>
      <w:r w:rsidRPr="00605183">
        <w:rPr>
          <w:bCs/>
          <w:i/>
          <w:u w:val="single"/>
        </w:rPr>
        <w:lastRenderedPageBreak/>
        <w:t>preferred option (interpreting the Directive in a purposive way, as indicated by the Commission in its guidance</w:t>
      </w:r>
      <w:r w:rsidRPr="00605183">
        <w:rPr>
          <w:bCs/>
          <w:i/>
        </w:rPr>
        <w:t xml:space="preserve">: </w:t>
      </w:r>
      <w:r w:rsidRPr="007E7FE6">
        <w:rPr>
          <w:i/>
        </w:rPr>
        <w:t xml:space="preserve">see Heard v Broadland DC at [71]). The court will be alert to scrutinise its choices regarding reasonable alternatives to ensure that it is not seeking to avoid that obligation by saying that there are no reasonable alternatives or by improperly limiting the range of such alternatives which is identified. However, the Directive does not require the authority to embark on an artificial exercise of selecting as putative </w:t>
      </w:r>
      <w:r>
        <w:rPr>
          <w:i/>
        </w:rPr>
        <w:t>“</w:t>
      </w:r>
      <w:r w:rsidRPr="007E7FE6">
        <w:rPr>
          <w:i/>
        </w:rPr>
        <w:t>reasonable alternatives,</w:t>
      </w:r>
      <w:r>
        <w:rPr>
          <w:i/>
        </w:rPr>
        <w:t>”</w:t>
      </w:r>
      <w:r w:rsidRPr="007E7FE6">
        <w:rPr>
          <w:i/>
        </w:rPr>
        <w:t xml:space="preserve"> for full strategic assessment alongside its preferred option, alternatives which can clearly be seen, at an earlier stage of the iterative process in the course of working up a strategic plan and for good planning reasons, as not in reality being viable candidates for adoption.</w:t>
      </w:r>
      <w:r>
        <w:rPr>
          <w:i/>
        </w:rPr>
        <w:t>”</w:t>
      </w:r>
      <w:r w:rsidR="008A6EFB">
        <w:rPr>
          <w:i/>
        </w:rPr>
        <w:t xml:space="preserve"> </w:t>
      </w:r>
      <w:r w:rsidR="0010650E" w:rsidRPr="004A56E3">
        <w:rPr>
          <w:iCs/>
        </w:rPr>
        <w:t>(emphasis added)</w:t>
      </w:r>
    </w:p>
    <w:p w14:paraId="41A1FD5C" w14:textId="088CE457" w:rsidR="007E7FE6" w:rsidRDefault="007E7FE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Thus, Sales J. </w:t>
      </w:r>
      <w:r w:rsidR="003C62F6">
        <w:rPr>
          <w:rFonts w:ascii="Times New Roman" w:hAnsi="Times New Roman"/>
          <w:sz w:val="24"/>
        </w:rPr>
        <w:t>acknowledges that the</w:t>
      </w:r>
      <w:r w:rsidR="008D24A8">
        <w:rPr>
          <w:rFonts w:ascii="Times New Roman" w:hAnsi="Times New Roman"/>
          <w:sz w:val="24"/>
        </w:rPr>
        <w:t xml:space="preserve">re may be stages of assessment and that some options may be discarded as a result. </w:t>
      </w:r>
      <w:r w:rsidR="00FC16EA">
        <w:rPr>
          <w:rFonts w:ascii="Times New Roman" w:hAnsi="Times New Roman"/>
          <w:sz w:val="24"/>
        </w:rPr>
        <w:t xml:space="preserve"> </w:t>
      </w:r>
      <w:r w:rsidR="008D24A8">
        <w:rPr>
          <w:rFonts w:ascii="Times New Roman" w:hAnsi="Times New Roman"/>
          <w:sz w:val="24"/>
        </w:rPr>
        <w:t xml:space="preserve">He </w:t>
      </w:r>
      <w:r>
        <w:rPr>
          <w:rFonts w:ascii="Times New Roman" w:hAnsi="Times New Roman"/>
          <w:sz w:val="24"/>
        </w:rPr>
        <w:t>makes a distinction between the outline reasons which are required to be given when a plan</w:t>
      </w:r>
      <w:r w:rsidR="00FC16EA">
        <w:rPr>
          <w:rFonts w:ascii="Times New Roman" w:hAnsi="Times New Roman"/>
          <w:sz w:val="24"/>
        </w:rPr>
        <w:t>-</w:t>
      </w:r>
      <w:r>
        <w:rPr>
          <w:rFonts w:ascii="Times New Roman" w:hAnsi="Times New Roman"/>
          <w:sz w:val="24"/>
        </w:rPr>
        <w:t>making authority concludes that an option is not a reasonable alternative on the one hand</w:t>
      </w:r>
      <w:r w:rsidR="00FC16EA">
        <w:rPr>
          <w:rFonts w:ascii="Times New Roman" w:hAnsi="Times New Roman"/>
          <w:sz w:val="24"/>
        </w:rPr>
        <w:t>,</w:t>
      </w:r>
      <w:r>
        <w:rPr>
          <w:rFonts w:ascii="Times New Roman" w:hAnsi="Times New Roman"/>
          <w:sz w:val="24"/>
        </w:rPr>
        <w:t xml:space="preserve"> and the assessment of alternatives which it deems to be reasonable alternatives on the other hand.  In the latter situation</w:t>
      </w:r>
      <w:r w:rsidR="00FC16EA">
        <w:rPr>
          <w:rFonts w:ascii="Times New Roman" w:hAnsi="Times New Roman"/>
          <w:sz w:val="24"/>
        </w:rPr>
        <w:t>,</w:t>
      </w:r>
      <w:r>
        <w:rPr>
          <w:rFonts w:ascii="Times New Roman" w:hAnsi="Times New Roman"/>
          <w:sz w:val="24"/>
        </w:rPr>
        <w:t xml:space="preserve"> he held that </w:t>
      </w:r>
      <w:r w:rsidR="008F4167">
        <w:rPr>
          <w:rFonts w:ascii="Times New Roman" w:hAnsi="Times New Roman"/>
          <w:sz w:val="24"/>
        </w:rPr>
        <w:t xml:space="preserve">a purposive construction of the Directive and the Commission’s guidance oblige </w:t>
      </w:r>
      <w:r>
        <w:rPr>
          <w:rFonts w:ascii="Times New Roman" w:hAnsi="Times New Roman"/>
          <w:sz w:val="24"/>
        </w:rPr>
        <w:t>the plan</w:t>
      </w:r>
      <w:r w:rsidR="00FC16EA">
        <w:rPr>
          <w:rFonts w:ascii="Times New Roman" w:hAnsi="Times New Roman"/>
          <w:sz w:val="24"/>
        </w:rPr>
        <w:t>-</w:t>
      </w:r>
      <w:r>
        <w:rPr>
          <w:rFonts w:ascii="Times New Roman" w:hAnsi="Times New Roman"/>
          <w:sz w:val="24"/>
        </w:rPr>
        <w:t>making authority to conduct an equal examination of the alternatives to the preferred option</w:t>
      </w:r>
      <w:r w:rsidR="008F4167">
        <w:rPr>
          <w:rFonts w:ascii="Times New Roman" w:hAnsi="Times New Roman"/>
          <w:sz w:val="24"/>
        </w:rPr>
        <w:t xml:space="preserve">. </w:t>
      </w:r>
      <w:r w:rsidR="00FC16EA">
        <w:rPr>
          <w:rFonts w:ascii="Times New Roman" w:hAnsi="Times New Roman"/>
          <w:sz w:val="24"/>
        </w:rPr>
        <w:t xml:space="preserve"> </w:t>
      </w:r>
      <w:r w:rsidR="009D0E94">
        <w:rPr>
          <w:rFonts w:ascii="Times New Roman" w:hAnsi="Times New Roman"/>
          <w:sz w:val="24"/>
        </w:rPr>
        <w:t xml:space="preserve">The obligation to adopt a purposive interpretation of the Directive applies equally to this court and </w:t>
      </w:r>
      <w:r w:rsidR="008F4167">
        <w:rPr>
          <w:rFonts w:ascii="Times New Roman" w:hAnsi="Times New Roman"/>
          <w:sz w:val="24"/>
        </w:rPr>
        <w:t xml:space="preserve">I prefer the purposive interpretation of Sales J. to that articulated by </w:t>
      </w:r>
      <w:r w:rsidR="009D0E94">
        <w:rPr>
          <w:rFonts w:ascii="Times New Roman" w:hAnsi="Times New Roman"/>
          <w:sz w:val="24"/>
        </w:rPr>
        <w:t>the respondents.</w:t>
      </w:r>
      <w:r w:rsidR="008D24A8">
        <w:rPr>
          <w:rFonts w:ascii="Times New Roman" w:hAnsi="Times New Roman"/>
          <w:sz w:val="24"/>
        </w:rPr>
        <w:t xml:space="preserve"> </w:t>
      </w:r>
      <w:r w:rsidR="00FC16EA">
        <w:rPr>
          <w:rFonts w:ascii="Times New Roman" w:hAnsi="Times New Roman"/>
          <w:sz w:val="24"/>
        </w:rPr>
        <w:t xml:space="preserve"> </w:t>
      </w:r>
      <w:r w:rsidR="008D24A8">
        <w:rPr>
          <w:rFonts w:ascii="Times New Roman" w:hAnsi="Times New Roman"/>
          <w:sz w:val="24"/>
        </w:rPr>
        <w:t xml:space="preserve">He acknowledges that it may be that there are no reasonable alternatives to the preferred option which alone may be subject to full strategic </w:t>
      </w:r>
      <w:r w:rsidR="004423C2">
        <w:rPr>
          <w:rFonts w:ascii="Times New Roman" w:hAnsi="Times New Roman"/>
          <w:sz w:val="24"/>
        </w:rPr>
        <w:t xml:space="preserve">environmental </w:t>
      </w:r>
      <w:r w:rsidR="008D24A8">
        <w:rPr>
          <w:rFonts w:ascii="Times New Roman" w:hAnsi="Times New Roman"/>
          <w:sz w:val="24"/>
        </w:rPr>
        <w:t>assessment.</w:t>
      </w:r>
    </w:p>
    <w:p w14:paraId="7E818810" w14:textId="20208518" w:rsidR="007E7FE6" w:rsidRDefault="007E7FE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decision was </w:t>
      </w:r>
      <w:r w:rsidR="0010650E">
        <w:rPr>
          <w:rFonts w:ascii="Times New Roman" w:hAnsi="Times New Roman"/>
          <w:sz w:val="24"/>
        </w:rPr>
        <w:t>reversed by</w:t>
      </w:r>
      <w:r>
        <w:rPr>
          <w:rFonts w:ascii="Times New Roman" w:hAnsi="Times New Roman"/>
          <w:sz w:val="24"/>
        </w:rPr>
        <w:t xml:space="preserve"> the Court of </w:t>
      </w:r>
      <w:r w:rsidR="009D0E94">
        <w:rPr>
          <w:rFonts w:ascii="Times New Roman" w:hAnsi="Times New Roman"/>
          <w:sz w:val="24"/>
        </w:rPr>
        <w:t xml:space="preserve">Appeal </w:t>
      </w:r>
      <w:r>
        <w:rPr>
          <w:rFonts w:ascii="Times New Roman" w:hAnsi="Times New Roman"/>
          <w:sz w:val="24"/>
        </w:rPr>
        <w:t>on a different point and the observations of Sales J.</w:t>
      </w:r>
      <w:r w:rsidR="00FC16EA">
        <w:rPr>
          <w:rFonts w:ascii="Times New Roman" w:hAnsi="Times New Roman"/>
          <w:sz w:val="24"/>
        </w:rPr>
        <w:t>,</w:t>
      </w:r>
      <w:r>
        <w:rPr>
          <w:rFonts w:ascii="Times New Roman" w:hAnsi="Times New Roman"/>
          <w:sz w:val="24"/>
        </w:rPr>
        <w:t xml:space="preserve"> discussed above</w:t>
      </w:r>
      <w:r w:rsidR="00FC16EA">
        <w:rPr>
          <w:rFonts w:ascii="Times New Roman" w:hAnsi="Times New Roman"/>
          <w:sz w:val="24"/>
        </w:rPr>
        <w:t>,</w:t>
      </w:r>
      <w:r>
        <w:rPr>
          <w:rFonts w:ascii="Times New Roman" w:hAnsi="Times New Roman"/>
          <w:sz w:val="24"/>
        </w:rPr>
        <w:t xml:space="preserve"> were n</w:t>
      </w:r>
      <w:r w:rsidR="0010650E">
        <w:rPr>
          <w:rFonts w:ascii="Times New Roman" w:hAnsi="Times New Roman"/>
          <w:sz w:val="24"/>
        </w:rPr>
        <w:t>either</w:t>
      </w:r>
      <w:r>
        <w:rPr>
          <w:rFonts w:ascii="Times New Roman" w:hAnsi="Times New Roman"/>
          <w:sz w:val="24"/>
        </w:rPr>
        <w:t xml:space="preserve"> rejected </w:t>
      </w:r>
      <w:r w:rsidR="0010650E">
        <w:rPr>
          <w:rFonts w:ascii="Times New Roman" w:hAnsi="Times New Roman"/>
          <w:sz w:val="24"/>
        </w:rPr>
        <w:t>n</w:t>
      </w:r>
      <w:r>
        <w:rPr>
          <w:rFonts w:ascii="Times New Roman" w:hAnsi="Times New Roman"/>
          <w:sz w:val="24"/>
        </w:rPr>
        <w:t xml:space="preserve">or </w:t>
      </w:r>
      <w:r w:rsidR="0010650E">
        <w:rPr>
          <w:rFonts w:ascii="Times New Roman" w:hAnsi="Times New Roman"/>
          <w:sz w:val="24"/>
        </w:rPr>
        <w:t>qualified.</w:t>
      </w:r>
      <w:r w:rsidR="00FC16EA">
        <w:rPr>
          <w:rFonts w:ascii="Times New Roman" w:hAnsi="Times New Roman"/>
          <w:sz w:val="24"/>
        </w:rPr>
        <w:t xml:space="preserve"> </w:t>
      </w:r>
      <w:r w:rsidR="0010650E">
        <w:rPr>
          <w:rFonts w:ascii="Times New Roman" w:hAnsi="Times New Roman"/>
          <w:sz w:val="24"/>
        </w:rPr>
        <w:t xml:space="preserve"> Specifically</w:t>
      </w:r>
      <w:r w:rsidR="0059466A">
        <w:rPr>
          <w:rFonts w:ascii="Times New Roman" w:hAnsi="Times New Roman"/>
          <w:sz w:val="24"/>
        </w:rPr>
        <w:t>,</w:t>
      </w:r>
      <w:r w:rsidR="0010650E">
        <w:rPr>
          <w:rFonts w:ascii="Times New Roman" w:hAnsi="Times New Roman"/>
          <w:sz w:val="24"/>
        </w:rPr>
        <w:t xml:space="preserve"> </w:t>
      </w:r>
      <w:r w:rsidR="0010650E">
        <w:rPr>
          <w:rFonts w:ascii="Times New Roman" w:hAnsi="Times New Roman"/>
          <w:sz w:val="24"/>
        </w:rPr>
        <w:lastRenderedPageBreak/>
        <w:t>the Court of Appeal did not reject the finding that a plan</w:t>
      </w:r>
      <w:r w:rsidR="00FC16EA">
        <w:rPr>
          <w:rFonts w:ascii="Times New Roman" w:hAnsi="Times New Roman"/>
          <w:sz w:val="24"/>
        </w:rPr>
        <w:t>-</w:t>
      </w:r>
      <w:r w:rsidR="0010650E">
        <w:rPr>
          <w:rFonts w:ascii="Times New Roman" w:hAnsi="Times New Roman"/>
          <w:sz w:val="24"/>
        </w:rPr>
        <w:t>making authority is required to conduct an equal examination of reasonable alternatives to its preferred option.</w:t>
      </w:r>
    </w:p>
    <w:p w14:paraId="4A4DBF41" w14:textId="3769E06B" w:rsidR="001B4079" w:rsidRDefault="007E7FE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next case was a decision of </w:t>
      </w:r>
      <w:proofErr w:type="spellStart"/>
      <w:r>
        <w:rPr>
          <w:rFonts w:ascii="Times New Roman" w:hAnsi="Times New Roman"/>
          <w:sz w:val="24"/>
        </w:rPr>
        <w:t>Hickinbottom</w:t>
      </w:r>
      <w:proofErr w:type="spellEnd"/>
      <w:r>
        <w:rPr>
          <w:rFonts w:ascii="Times New Roman" w:hAnsi="Times New Roman"/>
          <w:sz w:val="24"/>
        </w:rPr>
        <w:t xml:space="preserve"> J. in </w:t>
      </w:r>
      <w:r>
        <w:rPr>
          <w:rFonts w:ascii="Times New Roman" w:hAnsi="Times New Roman"/>
          <w:i/>
          <w:sz w:val="24"/>
        </w:rPr>
        <w:t xml:space="preserve">R (Friends of the Earth England, Wales and Northern Ireland Limited) v. The Welsh Ministers </w:t>
      </w:r>
      <w:r>
        <w:rPr>
          <w:rFonts w:ascii="Times New Roman" w:hAnsi="Times New Roman"/>
          <w:sz w:val="24"/>
        </w:rPr>
        <w:t xml:space="preserve">[2015] EWHC 776 (Admin).  The claimant alleged </w:t>
      </w:r>
      <w:r w:rsidR="00FA7DBD">
        <w:rPr>
          <w:rFonts w:ascii="Times New Roman" w:hAnsi="Times New Roman"/>
          <w:sz w:val="24"/>
        </w:rPr>
        <w:t xml:space="preserve">that </w:t>
      </w:r>
      <w:r>
        <w:rPr>
          <w:rFonts w:ascii="Times New Roman" w:hAnsi="Times New Roman"/>
          <w:sz w:val="24"/>
        </w:rPr>
        <w:t>the defendant</w:t>
      </w:r>
      <w:r w:rsidR="00FC16EA">
        <w:rPr>
          <w:rFonts w:ascii="Times New Roman" w:hAnsi="Times New Roman"/>
          <w:sz w:val="24"/>
        </w:rPr>
        <w:t>,</w:t>
      </w:r>
      <w:r w:rsidR="00FA7DBD">
        <w:rPr>
          <w:rFonts w:ascii="Times New Roman" w:hAnsi="Times New Roman"/>
          <w:sz w:val="24"/>
        </w:rPr>
        <w:t xml:space="preserve"> </w:t>
      </w:r>
      <w:r w:rsidR="0059466A">
        <w:rPr>
          <w:rFonts w:ascii="Times New Roman" w:hAnsi="Times New Roman"/>
          <w:sz w:val="24"/>
        </w:rPr>
        <w:t xml:space="preserve">in the process of </w:t>
      </w:r>
      <w:r>
        <w:rPr>
          <w:rFonts w:ascii="Times New Roman" w:hAnsi="Times New Roman"/>
          <w:sz w:val="24"/>
        </w:rPr>
        <w:t>adopt</w:t>
      </w:r>
      <w:r w:rsidR="0059466A">
        <w:rPr>
          <w:rFonts w:ascii="Times New Roman" w:hAnsi="Times New Roman"/>
          <w:sz w:val="24"/>
        </w:rPr>
        <w:t>ing</w:t>
      </w:r>
      <w:r>
        <w:rPr>
          <w:rFonts w:ascii="Times New Roman" w:hAnsi="Times New Roman"/>
          <w:sz w:val="24"/>
        </w:rPr>
        <w:t xml:space="preserve"> a plan called the </w:t>
      </w:r>
      <w:r w:rsidR="00FC16EA">
        <w:rPr>
          <w:rFonts w:ascii="Times New Roman" w:hAnsi="Times New Roman"/>
          <w:sz w:val="24"/>
        </w:rPr>
        <w:t>“</w:t>
      </w:r>
      <w:r>
        <w:rPr>
          <w:rFonts w:ascii="Times New Roman" w:hAnsi="Times New Roman"/>
          <w:sz w:val="24"/>
        </w:rPr>
        <w:t>M4 Cor</w:t>
      </w:r>
      <w:r w:rsidR="0069135F">
        <w:rPr>
          <w:rFonts w:ascii="Times New Roman" w:hAnsi="Times New Roman"/>
          <w:sz w:val="24"/>
        </w:rPr>
        <w:t>rid</w:t>
      </w:r>
      <w:r>
        <w:rPr>
          <w:rFonts w:ascii="Times New Roman" w:hAnsi="Times New Roman"/>
          <w:sz w:val="24"/>
        </w:rPr>
        <w:t>or</w:t>
      </w:r>
      <w:r w:rsidR="0069135F">
        <w:rPr>
          <w:rFonts w:ascii="Times New Roman" w:hAnsi="Times New Roman"/>
          <w:sz w:val="24"/>
        </w:rPr>
        <w:t xml:space="preserve"> Around Newport</w:t>
      </w:r>
      <w:r w:rsidR="00FC16EA">
        <w:rPr>
          <w:rFonts w:ascii="Times New Roman" w:hAnsi="Times New Roman"/>
          <w:sz w:val="24"/>
        </w:rPr>
        <w:t>”</w:t>
      </w:r>
      <w:r w:rsidR="0069135F">
        <w:rPr>
          <w:rFonts w:ascii="Times New Roman" w:hAnsi="Times New Roman"/>
          <w:sz w:val="24"/>
        </w:rPr>
        <w:t xml:space="preserve"> Plan</w:t>
      </w:r>
      <w:r w:rsidR="00FC16EA">
        <w:rPr>
          <w:rFonts w:ascii="Times New Roman" w:hAnsi="Times New Roman"/>
          <w:sz w:val="24"/>
        </w:rPr>
        <w:t>,</w:t>
      </w:r>
      <w:r w:rsidR="0069135F">
        <w:rPr>
          <w:rFonts w:ascii="Times New Roman" w:hAnsi="Times New Roman"/>
          <w:sz w:val="24"/>
        </w:rPr>
        <w:t xml:space="preserve"> </w:t>
      </w:r>
      <w:r w:rsidR="00FA7DBD">
        <w:rPr>
          <w:rFonts w:ascii="Times New Roman" w:hAnsi="Times New Roman"/>
          <w:sz w:val="24"/>
        </w:rPr>
        <w:t xml:space="preserve">had </w:t>
      </w:r>
      <w:r w:rsidR="0069135F">
        <w:rPr>
          <w:rFonts w:ascii="Times New Roman" w:hAnsi="Times New Roman"/>
          <w:sz w:val="24"/>
        </w:rPr>
        <w:t>failed properly to identify, describe and evaluate all reasonable alternatives on a comparable basis to the plan.  The claimant argued that the SEA Directive requires assessment of the significant environmental effects o</w:t>
      </w:r>
      <w:r w:rsidR="0059466A">
        <w:rPr>
          <w:rFonts w:ascii="Times New Roman" w:hAnsi="Times New Roman"/>
          <w:sz w:val="24"/>
        </w:rPr>
        <w:t>f</w:t>
      </w:r>
      <w:r w:rsidR="0069135F">
        <w:rPr>
          <w:rFonts w:ascii="Times New Roman" w:hAnsi="Times New Roman"/>
          <w:sz w:val="24"/>
        </w:rPr>
        <w:t xml:space="preserve"> not only the preferred option</w:t>
      </w:r>
      <w:r w:rsidR="00FC16EA">
        <w:rPr>
          <w:rFonts w:ascii="Times New Roman" w:hAnsi="Times New Roman"/>
          <w:sz w:val="24"/>
        </w:rPr>
        <w:t>,</w:t>
      </w:r>
      <w:r w:rsidR="0069135F">
        <w:rPr>
          <w:rFonts w:ascii="Times New Roman" w:hAnsi="Times New Roman"/>
          <w:sz w:val="24"/>
        </w:rPr>
        <w:t xml:space="preserve"> but of all </w:t>
      </w:r>
      <w:r w:rsidR="0069135F" w:rsidRPr="0059466A">
        <w:rPr>
          <w:rFonts w:ascii="Times New Roman" w:hAnsi="Times New Roman"/>
          <w:i/>
          <w:sz w:val="24"/>
        </w:rPr>
        <w:t>potential viable alternatives</w:t>
      </w:r>
      <w:r w:rsidR="0069135F">
        <w:rPr>
          <w:rFonts w:ascii="Times New Roman" w:hAnsi="Times New Roman"/>
          <w:sz w:val="24"/>
        </w:rPr>
        <w:t>.  I</w:t>
      </w:r>
      <w:r w:rsidR="0059466A">
        <w:rPr>
          <w:rFonts w:ascii="Times New Roman" w:hAnsi="Times New Roman"/>
          <w:sz w:val="24"/>
        </w:rPr>
        <w:t>t submitted that</w:t>
      </w:r>
      <w:r w:rsidR="0069135F">
        <w:rPr>
          <w:rFonts w:ascii="Times New Roman" w:hAnsi="Times New Roman"/>
          <w:sz w:val="24"/>
        </w:rPr>
        <w:t xml:space="preserve"> the Minister took the vital decision to put the highway across protected sites without any environmental assessment and </w:t>
      </w:r>
      <w:r w:rsidR="0059466A">
        <w:rPr>
          <w:rFonts w:ascii="Times New Roman" w:hAnsi="Times New Roman"/>
          <w:sz w:val="24"/>
        </w:rPr>
        <w:t xml:space="preserve">thereby </w:t>
      </w:r>
      <w:r w:rsidR="0069135F">
        <w:rPr>
          <w:rFonts w:ascii="Times New Roman" w:hAnsi="Times New Roman"/>
          <w:sz w:val="24"/>
        </w:rPr>
        <w:t>foreclose</w:t>
      </w:r>
      <w:r w:rsidR="0059466A">
        <w:rPr>
          <w:rFonts w:ascii="Times New Roman" w:hAnsi="Times New Roman"/>
          <w:sz w:val="24"/>
        </w:rPr>
        <w:t>d</w:t>
      </w:r>
      <w:r w:rsidR="0069135F">
        <w:rPr>
          <w:rFonts w:ascii="Times New Roman" w:hAnsi="Times New Roman"/>
          <w:sz w:val="24"/>
        </w:rPr>
        <w:t xml:space="preserve"> the possibility of adopting a plan that did not involve such a highway and thus</w:t>
      </w:r>
      <w:r w:rsidR="00A157E1">
        <w:rPr>
          <w:rFonts w:ascii="Times New Roman" w:hAnsi="Times New Roman"/>
          <w:sz w:val="24"/>
        </w:rPr>
        <w:t>,</w:t>
      </w:r>
      <w:r w:rsidR="0069135F">
        <w:rPr>
          <w:rFonts w:ascii="Times New Roman" w:hAnsi="Times New Roman"/>
          <w:sz w:val="24"/>
        </w:rPr>
        <w:t xml:space="preserve"> the SEA Directive’s objective of integrating environmental considerations into the preparation and adoption of plans was frustrated.  At para. 12 </w:t>
      </w:r>
      <w:proofErr w:type="spellStart"/>
      <w:r w:rsidR="0069135F">
        <w:rPr>
          <w:rFonts w:ascii="Times New Roman" w:hAnsi="Times New Roman"/>
          <w:sz w:val="24"/>
        </w:rPr>
        <w:t>Hickinbottom</w:t>
      </w:r>
      <w:proofErr w:type="spellEnd"/>
      <w:r w:rsidR="0069135F">
        <w:rPr>
          <w:rFonts w:ascii="Times New Roman" w:hAnsi="Times New Roman"/>
          <w:sz w:val="24"/>
        </w:rPr>
        <w:t xml:space="preserve"> J. held:</w:t>
      </w:r>
      <w:r w:rsidR="00A157E1">
        <w:rPr>
          <w:rFonts w:ascii="Times New Roman" w:hAnsi="Times New Roman"/>
          <w:sz w:val="24"/>
        </w:rPr>
        <w:t>-</w:t>
      </w:r>
    </w:p>
    <w:p w14:paraId="23AEFAC1" w14:textId="77777777" w:rsidR="0069135F" w:rsidRPr="00F41A95" w:rsidRDefault="0069135F" w:rsidP="0069135F">
      <w:pPr>
        <w:pStyle w:val="ListParagraph"/>
        <w:spacing w:line="480" w:lineRule="auto"/>
        <w:ind w:left="567"/>
        <w:jc w:val="left"/>
        <w:rPr>
          <w:rFonts w:ascii="Times New Roman" w:hAnsi="Times New Roman"/>
          <w:sz w:val="24"/>
        </w:rPr>
      </w:pPr>
      <w:r>
        <w:rPr>
          <w:rFonts w:ascii="Times New Roman" w:hAnsi="Times New Roman"/>
          <w:i/>
          <w:sz w:val="24"/>
        </w:rPr>
        <w:t>“</w:t>
      </w:r>
      <w:r w:rsidRPr="0069135F">
        <w:rPr>
          <w:rFonts w:ascii="Times New Roman" w:hAnsi="Times New Roman"/>
          <w:i/>
          <w:sz w:val="24"/>
        </w:rPr>
        <w:t xml:space="preserve">The SEA Directive is expressly procedural in nature (see recital (9)). It does not impose any substantive duties on the relevant authority: it rather seeks to improve the quality of decision-making for development by requiring the authority to assess the potential environmental effects of a particular plan or programme before its adoption. Its aim is to ensure that future planning decisions are not constrained by earlier strategic decisions; </w:t>
      </w:r>
      <w:r w:rsidRPr="00F16828">
        <w:rPr>
          <w:rFonts w:ascii="Times New Roman" w:hAnsi="Times New Roman"/>
          <w:bCs/>
          <w:i/>
          <w:sz w:val="24"/>
          <w:u w:val="single"/>
        </w:rPr>
        <w:t xml:space="preserve">so that article 5 of the SEA Directive requires that the likely significant environmental effects of a plan or programme “and reasonable alternatives taking into account the objectives and the geographical scope of the plan or programme are identified, described and evaluated”. Those options must be the subject of public consultation in the form of a report with the draft plan or programme (article 6); and, before the adoption of the plan or programme, the </w:t>
      </w:r>
      <w:r w:rsidRPr="00F16828">
        <w:rPr>
          <w:rFonts w:ascii="Times New Roman" w:hAnsi="Times New Roman"/>
          <w:bCs/>
          <w:i/>
          <w:sz w:val="24"/>
          <w:u w:val="single"/>
        </w:rPr>
        <w:lastRenderedPageBreak/>
        <w:t>results of that consultation must be taken into account by the relevant authority (article 8). The environmental evaluation of those alternatives must be on a comparable basis to the evaluation of the preferred option.”</w:t>
      </w:r>
      <w:r w:rsidR="00F41A95">
        <w:rPr>
          <w:rFonts w:ascii="Times New Roman" w:hAnsi="Times New Roman"/>
          <w:b/>
          <w:i/>
          <w:sz w:val="24"/>
        </w:rPr>
        <w:t xml:space="preserve"> </w:t>
      </w:r>
      <w:r w:rsidR="00F41A95">
        <w:rPr>
          <w:rFonts w:ascii="Times New Roman" w:hAnsi="Times New Roman"/>
          <w:sz w:val="24"/>
        </w:rPr>
        <w:t>(emphasis added)</w:t>
      </w:r>
    </w:p>
    <w:p w14:paraId="0AD6854C" w14:textId="60B4EFB7" w:rsidR="0097706E" w:rsidRDefault="0097706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He referred to the need for a purposive and broad approach to the interpretation of the SEA Directive and quoted Article 1 which set out the objective of the Directive.  At para. 75 he held:</w:t>
      </w:r>
      <w:r w:rsidR="00A157E1">
        <w:rPr>
          <w:rFonts w:ascii="Times New Roman" w:hAnsi="Times New Roman"/>
          <w:sz w:val="24"/>
        </w:rPr>
        <w:t>-</w:t>
      </w:r>
    </w:p>
    <w:p w14:paraId="62C47D83" w14:textId="77777777" w:rsidR="007E7FE6" w:rsidRDefault="0097706E" w:rsidP="0097706E">
      <w:pPr>
        <w:pStyle w:val="ListParagraph"/>
        <w:spacing w:line="480" w:lineRule="auto"/>
        <w:ind w:left="567"/>
        <w:jc w:val="left"/>
        <w:rPr>
          <w:rFonts w:ascii="Times New Roman" w:hAnsi="Times New Roman"/>
          <w:sz w:val="24"/>
        </w:rPr>
      </w:pPr>
      <w:r>
        <w:rPr>
          <w:rFonts w:ascii="Times New Roman" w:hAnsi="Times New Roman"/>
          <w:i/>
          <w:sz w:val="24"/>
        </w:rPr>
        <w:t>“</w:t>
      </w:r>
      <w:r w:rsidRPr="0097706E">
        <w:rPr>
          <w:rFonts w:ascii="Times New Roman" w:hAnsi="Times New Roman"/>
          <w:i/>
          <w:sz w:val="24"/>
        </w:rPr>
        <w:t>I pause there to note that, although the ultimate object of the Directive is the protection of the environment, it seeks to fulfil that very high level object in a discrete way, namely by ensuring that relevant plans and programmes are subjected to an environmental assessment thus improving decision-making. It imposes purely procedural requirements. Of course, to ensure effectiveness, that environmental assessment must be performed during the preparation of the plan or programme, and before its adoption (article 4(1)); but it imposes no substantive obligations with regard to the decision itself, e.g. to cho</w:t>
      </w:r>
      <w:r>
        <w:rPr>
          <w:rFonts w:ascii="Times New Roman" w:hAnsi="Times New Roman"/>
          <w:i/>
          <w:sz w:val="24"/>
        </w:rPr>
        <w:t>o</w:t>
      </w:r>
      <w:r w:rsidRPr="0097706E">
        <w:rPr>
          <w:rFonts w:ascii="Times New Roman" w:hAnsi="Times New Roman"/>
          <w:i/>
          <w:sz w:val="24"/>
        </w:rPr>
        <w:t>se the option that will cause the least environmental harm.</w:t>
      </w:r>
      <w:r>
        <w:rPr>
          <w:rFonts w:ascii="Times New Roman" w:hAnsi="Times New Roman"/>
          <w:i/>
          <w:sz w:val="24"/>
        </w:rPr>
        <w:t>”</w:t>
      </w:r>
      <w:r w:rsidR="0069135F">
        <w:rPr>
          <w:rFonts w:ascii="Times New Roman" w:hAnsi="Times New Roman"/>
          <w:sz w:val="24"/>
        </w:rPr>
        <w:t xml:space="preserve"> </w:t>
      </w:r>
    </w:p>
    <w:p w14:paraId="271000AE" w14:textId="79B0C5AD" w:rsidR="00153AAC" w:rsidRPr="00153AAC" w:rsidRDefault="0097706E" w:rsidP="00153AAC">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He noted that neither the SEA Directive nor the </w:t>
      </w:r>
      <w:r w:rsidR="00F41A95">
        <w:rPr>
          <w:rFonts w:ascii="Times New Roman" w:hAnsi="Times New Roman"/>
          <w:sz w:val="24"/>
        </w:rPr>
        <w:t>r</w:t>
      </w:r>
      <w:r>
        <w:rPr>
          <w:rFonts w:ascii="Times New Roman" w:hAnsi="Times New Roman"/>
          <w:sz w:val="24"/>
        </w:rPr>
        <w:t xml:space="preserve">egulations transposing the Directive into the law of England and Wales define </w:t>
      </w:r>
      <w:r>
        <w:rPr>
          <w:rFonts w:ascii="Times New Roman" w:hAnsi="Times New Roman"/>
          <w:i/>
          <w:sz w:val="24"/>
        </w:rPr>
        <w:t>“reasonable alternatives”</w:t>
      </w:r>
      <w:r>
        <w:rPr>
          <w:rFonts w:ascii="Times New Roman" w:hAnsi="Times New Roman"/>
          <w:sz w:val="24"/>
        </w:rPr>
        <w:t xml:space="preserve">.  He set out the principles he derived from the Directive and a number of </w:t>
      </w:r>
      <w:r w:rsidR="00F41A95">
        <w:rPr>
          <w:rFonts w:ascii="Times New Roman" w:hAnsi="Times New Roman"/>
          <w:sz w:val="24"/>
        </w:rPr>
        <w:t xml:space="preserve">English </w:t>
      </w:r>
      <w:r>
        <w:rPr>
          <w:rFonts w:ascii="Times New Roman" w:hAnsi="Times New Roman"/>
          <w:sz w:val="24"/>
        </w:rPr>
        <w:t>authorities</w:t>
      </w:r>
      <w:r w:rsidR="00A157E1">
        <w:rPr>
          <w:rFonts w:ascii="Times New Roman" w:hAnsi="Times New Roman"/>
          <w:sz w:val="24"/>
        </w:rPr>
        <w:t>,</w:t>
      </w:r>
      <w:r>
        <w:rPr>
          <w:rFonts w:ascii="Times New Roman" w:hAnsi="Times New Roman"/>
          <w:sz w:val="24"/>
        </w:rPr>
        <w:t xml:space="preserve"> including </w:t>
      </w:r>
      <w:r>
        <w:rPr>
          <w:rFonts w:ascii="Times New Roman" w:hAnsi="Times New Roman"/>
          <w:i/>
          <w:sz w:val="24"/>
        </w:rPr>
        <w:t xml:space="preserve">Save Historic Newmarket </w:t>
      </w:r>
      <w:r>
        <w:rPr>
          <w:rFonts w:ascii="Times New Roman" w:hAnsi="Times New Roman"/>
          <w:sz w:val="24"/>
        </w:rPr>
        <w:t xml:space="preserve">and </w:t>
      </w:r>
      <w:r>
        <w:rPr>
          <w:rFonts w:ascii="Times New Roman" w:hAnsi="Times New Roman"/>
          <w:i/>
          <w:sz w:val="24"/>
        </w:rPr>
        <w:t>Ash</w:t>
      </w:r>
      <w:r w:rsidR="002744D2">
        <w:rPr>
          <w:rFonts w:ascii="Times New Roman" w:hAnsi="Times New Roman"/>
          <w:i/>
          <w:sz w:val="24"/>
        </w:rPr>
        <w:t>d</w:t>
      </w:r>
      <w:r>
        <w:rPr>
          <w:rFonts w:ascii="Times New Roman" w:hAnsi="Times New Roman"/>
          <w:i/>
          <w:sz w:val="24"/>
        </w:rPr>
        <w:t>own Forest</w:t>
      </w:r>
      <w:r w:rsidR="00A157E1">
        <w:rPr>
          <w:rFonts w:ascii="Times New Roman" w:hAnsi="Times New Roman"/>
          <w:iCs/>
          <w:sz w:val="24"/>
        </w:rPr>
        <w:t>,</w:t>
      </w:r>
      <w:r>
        <w:rPr>
          <w:rFonts w:ascii="Times New Roman" w:hAnsi="Times New Roman"/>
          <w:sz w:val="24"/>
        </w:rPr>
        <w:t xml:space="preserve"> in para. 88 of his judgment</w:t>
      </w:r>
      <w:r w:rsidR="00153AAC">
        <w:rPr>
          <w:rFonts w:ascii="Times New Roman" w:hAnsi="Times New Roman"/>
          <w:sz w:val="24"/>
        </w:rPr>
        <w:t>:-</w:t>
      </w:r>
    </w:p>
    <w:p w14:paraId="2BF6D0E1" w14:textId="77777777" w:rsidR="00153AAC" w:rsidRPr="00153AAC" w:rsidRDefault="00153AAC" w:rsidP="00153AAC">
      <w:pPr>
        <w:tabs>
          <w:tab w:val="left" w:pos="567"/>
        </w:tabs>
        <w:spacing w:line="480" w:lineRule="auto"/>
        <w:ind w:left="567"/>
        <w:rPr>
          <w:i/>
          <w:iCs/>
        </w:rPr>
      </w:pPr>
      <w:r>
        <w:rPr>
          <w:i/>
          <w:iCs/>
        </w:rPr>
        <w:t>“(</w:t>
      </w:r>
      <w:r w:rsidRPr="00153AAC">
        <w:rPr>
          <w:i/>
          <w:iCs/>
        </w:rPr>
        <w:t xml:space="preserve">i) The authority's focus will be on the substantive plan, which will seek to attain particular policy objectives. The EIA Directive ensures that any particular project is subjected to an appropriate environmental assessment. The SEA Directive ensures that potentially environmentally-preferable options that will or may attain those policy objectives are not discarded as a result of earlier strategic decisions in </w:t>
      </w:r>
      <w:r w:rsidRPr="00153AAC">
        <w:rPr>
          <w:i/>
          <w:iCs/>
        </w:rPr>
        <w:lastRenderedPageBreak/>
        <w:t>respect of plans of which the development forms part. It does so by imposing process obligations upon the authority prior to the adoption of a particular plan.</w:t>
      </w:r>
    </w:p>
    <w:p w14:paraId="36B80E06" w14:textId="77777777" w:rsidR="00153AAC" w:rsidRPr="00990A4D" w:rsidRDefault="00153AAC" w:rsidP="00153AAC">
      <w:pPr>
        <w:tabs>
          <w:tab w:val="left" w:pos="567"/>
        </w:tabs>
        <w:spacing w:line="480" w:lineRule="auto"/>
        <w:ind w:left="567"/>
        <w:rPr>
          <w:b/>
          <w:i/>
          <w:iCs/>
        </w:rPr>
      </w:pPr>
      <w:r>
        <w:rPr>
          <w:i/>
          <w:iCs/>
        </w:rPr>
        <w:t>(</w:t>
      </w:r>
      <w:r w:rsidRPr="00153AAC">
        <w:rPr>
          <w:i/>
          <w:iCs/>
        </w:rPr>
        <w:t xml:space="preserve">ii)  The focus of the SEA process is therefore upon a particular plan – i.e. the authority's preferred plan – although that may have various options within it. A plan will be “preferred” because, in the judgment of the authority, it best meets the objectives it seeks to attain. </w:t>
      </w:r>
      <w:r w:rsidRPr="004A56E3">
        <w:rPr>
          <w:bCs/>
          <w:i/>
          <w:iCs/>
          <w:u w:val="single"/>
        </w:rPr>
        <w:t>In the sorts of plan falling within the scope of the SEA Directive, the objectives will be policy-based and almost certainly multi-stranded, reflecting different policies that are sought to be pursued. Those policies may well not all pull in the same direction. The choice of objectives, and the weight to be given to each, are essentially a matter for the authority subject to (a) a particular factor being afforded particular enhanced weight by statute or policy, and (b) challenge on conventional public law grounds.</w:t>
      </w:r>
    </w:p>
    <w:p w14:paraId="4DFEBE31" w14:textId="73D32ABB" w:rsidR="00153AAC" w:rsidRPr="00153AAC" w:rsidRDefault="00153AAC" w:rsidP="00153AAC">
      <w:pPr>
        <w:tabs>
          <w:tab w:val="left" w:pos="567"/>
        </w:tabs>
        <w:spacing w:line="480" w:lineRule="auto"/>
        <w:ind w:left="567"/>
        <w:rPr>
          <w:i/>
          <w:iCs/>
        </w:rPr>
      </w:pPr>
      <w:r>
        <w:rPr>
          <w:i/>
          <w:iCs/>
        </w:rPr>
        <w:t>(</w:t>
      </w:r>
      <w:r w:rsidRPr="00153AAC">
        <w:rPr>
          <w:i/>
          <w:iCs/>
        </w:rPr>
        <w:t xml:space="preserve">iii)  </w:t>
      </w:r>
      <w:r w:rsidRPr="004A56E3">
        <w:rPr>
          <w:bCs/>
          <w:i/>
          <w:iCs/>
          <w:u w:val="single"/>
        </w:rPr>
        <w:t>In addition to the preferred plan, “reasonable alternatives” have to be identified, described and evaluated in the SEA Report</w:t>
      </w:r>
      <w:r w:rsidRPr="00153AAC">
        <w:rPr>
          <w:i/>
          <w:iCs/>
        </w:rPr>
        <w:t>; because, without this, there cannot be a proper environmental evaluation of the preferred plan.</w:t>
      </w:r>
      <w:r w:rsidR="00087FA0">
        <w:rPr>
          <w:i/>
          <w:iCs/>
        </w:rPr>
        <w:t xml:space="preserve"> </w:t>
      </w:r>
    </w:p>
    <w:p w14:paraId="40D3389D" w14:textId="77777777" w:rsidR="00153AAC" w:rsidRPr="00153AAC" w:rsidRDefault="00153AAC" w:rsidP="00153AAC">
      <w:pPr>
        <w:tabs>
          <w:tab w:val="left" w:pos="567"/>
        </w:tabs>
        <w:spacing w:line="480" w:lineRule="auto"/>
        <w:ind w:left="567"/>
        <w:rPr>
          <w:i/>
          <w:iCs/>
        </w:rPr>
      </w:pPr>
      <w:r>
        <w:rPr>
          <w:i/>
          <w:iCs/>
        </w:rPr>
        <w:t>(</w:t>
      </w:r>
      <w:r w:rsidRPr="00153AAC">
        <w:rPr>
          <w:i/>
          <w:iCs/>
        </w:rPr>
        <w:t>iv) “Reasonable alternatives” does not include all possible alternatives: the use of the word “reasonable” clearly and necessarily imports an evaluative judgment as to which alternatives should be included. That evaluation is a matter primarily for the decision-making authority, subject to challenge only on conventional public law grounds.</w:t>
      </w:r>
    </w:p>
    <w:p w14:paraId="022FBE93" w14:textId="071B3B2D" w:rsidR="00153AAC" w:rsidRPr="00153AAC" w:rsidRDefault="00153AAC" w:rsidP="00153AAC">
      <w:pPr>
        <w:tabs>
          <w:tab w:val="left" w:pos="567"/>
        </w:tabs>
        <w:spacing w:line="480" w:lineRule="auto"/>
        <w:ind w:left="567"/>
        <w:rPr>
          <w:i/>
          <w:iCs/>
        </w:rPr>
      </w:pPr>
      <w:r>
        <w:rPr>
          <w:i/>
          <w:iCs/>
        </w:rPr>
        <w:t>(</w:t>
      </w:r>
      <w:r w:rsidRPr="00153AAC">
        <w:rPr>
          <w:i/>
          <w:iCs/>
        </w:rPr>
        <w:t xml:space="preserve">v)  Article 5(1) refers to </w:t>
      </w:r>
      <w:r w:rsidRPr="00F16828">
        <w:rPr>
          <w:b/>
          <w:bCs/>
          <w:i/>
          <w:iCs/>
        </w:rPr>
        <w:t>“reasonable alternatives taking into account the objectives… of the plan or programme… ”</w:t>
      </w:r>
      <w:r w:rsidRPr="00153AAC">
        <w:rPr>
          <w:i/>
          <w:iCs/>
        </w:rPr>
        <w:t xml:space="preserve"> </w:t>
      </w:r>
      <w:r w:rsidR="00784B29">
        <w:rPr>
          <w:i/>
          <w:iCs/>
        </w:rPr>
        <w:t>(emphasis in the original)</w:t>
      </w:r>
      <w:r w:rsidRPr="00C961CF">
        <w:rPr>
          <w:i/>
          <w:iCs/>
        </w:rPr>
        <w:t>.</w:t>
      </w:r>
      <w:r w:rsidRPr="004A56E3">
        <w:rPr>
          <w:b/>
          <w:bCs/>
          <w:i/>
          <w:iCs/>
        </w:rPr>
        <w:t xml:space="preserve"> </w:t>
      </w:r>
      <w:r w:rsidRPr="00153AAC">
        <w:rPr>
          <w:i/>
          <w:iCs/>
        </w:rPr>
        <w:t xml:space="preserve">“Reasonableness” in this context is informed by the objectives sought to be achieved. An option which does not achieve the objectives, even if it can properly be called an “alternative” to the preferred plan, is not a “reasonable alternative”. An option </w:t>
      </w:r>
      <w:r w:rsidRPr="00153AAC">
        <w:rPr>
          <w:i/>
          <w:iCs/>
        </w:rPr>
        <w:lastRenderedPageBreak/>
        <w:t>which will, or sensibly may, achieve the objectives is a “reasonable alternative”. The SEA Directive admits to the possibility of there being no such alternatives in a particular case: if only one option is assessed as meeting the objectives, there will be no “reasonable alternatives” to it.</w:t>
      </w:r>
    </w:p>
    <w:p w14:paraId="7CAEB137" w14:textId="77777777" w:rsidR="00153AAC" w:rsidRPr="00153AAC" w:rsidRDefault="00153AAC" w:rsidP="00153AAC">
      <w:pPr>
        <w:tabs>
          <w:tab w:val="left" w:pos="567"/>
        </w:tabs>
        <w:spacing w:line="480" w:lineRule="auto"/>
        <w:ind w:left="567"/>
        <w:rPr>
          <w:i/>
          <w:iCs/>
        </w:rPr>
      </w:pPr>
      <w:r>
        <w:rPr>
          <w:i/>
          <w:iCs/>
        </w:rPr>
        <w:t>(</w:t>
      </w:r>
      <w:r w:rsidRPr="00153AAC">
        <w:rPr>
          <w:i/>
          <w:iCs/>
        </w:rPr>
        <w:t>vi)  The question of whether an option will achieve the objectives is also essentially a matter for the evaluative judgment of the authority, subject of course to challenge on conventional public law grounds. If the authority rationally determines that a particular option will not meet the objectives, that option is not a reasonable alternative and it does not have to be included in the SEA Report or process.</w:t>
      </w:r>
    </w:p>
    <w:p w14:paraId="54D18471" w14:textId="77777777" w:rsidR="00153AAC" w:rsidRPr="00153AAC" w:rsidRDefault="00153AAC" w:rsidP="00153AAC">
      <w:pPr>
        <w:tabs>
          <w:tab w:val="left" w:pos="567"/>
        </w:tabs>
        <w:spacing w:line="480" w:lineRule="auto"/>
        <w:ind w:left="567"/>
        <w:rPr>
          <w:i/>
          <w:iCs/>
        </w:rPr>
      </w:pPr>
      <w:r>
        <w:rPr>
          <w:i/>
          <w:iCs/>
        </w:rPr>
        <w:t>(</w:t>
      </w:r>
      <w:r w:rsidRPr="00153AAC">
        <w:rPr>
          <w:i/>
          <w:iCs/>
        </w:rPr>
        <w:t>vii)  However, as a result of the consultation which forms part of that process, new information may be forthcoming that might transform an option that was previously judged as meeting the objectives into one that is judged not to do so, and vice versa. In respect of a complex plan, after SEA consultation, it is likely that the authority will need to reassess, not only whether the preferred option is still preferred as best meeting the objectives, but whether any options that were reasonable alternatives have ceased to be such and (more importantly in practice) whether any option previously regarded as not meeting the objectives might be regarded as doing so now. That may be especially important where the process is iterative, i.e. a process whereby options are reduced in number following repeated appraisals of increased rigour. As time passes, a review of the objectives might also be necessary, which also might result in a reassessment of the “reasonable alternatives”. But, once an option is discarded as not being a reasonable alternative, the authority does not have to consider it further, unless there is a material change in circumstances such as those I have described.</w:t>
      </w:r>
    </w:p>
    <w:p w14:paraId="04D2BE64" w14:textId="3AB9EEE9" w:rsidR="00153AAC" w:rsidRPr="00153AAC" w:rsidRDefault="00153AAC" w:rsidP="00153AAC">
      <w:pPr>
        <w:tabs>
          <w:tab w:val="left" w:pos="567"/>
        </w:tabs>
        <w:spacing w:line="480" w:lineRule="auto"/>
        <w:ind w:left="567"/>
        <w:rPr>
          <w:i/>
          <w:iCs/>
        </w:rPr>
      </w:pPr>
      <w:r>
        <w:rPr>
          <w:i/>
          <w:iCs/>
        </w:rPr>
        <w:lastRenderedPageBreak/>
        <w:t>(</w:t>
      </w:r>
      <w:r w:rsidRPr="00153AAC">
        <w:rPr>
          <w:i/>
          <w:iCs/>
        </w:rPr>
        <w:t>viii</w:t>
      </w:r>
      <w:r w:rsidRPr="00F41A95">
        <w:rPr>
          <w:b/>
          <w:i/>
          <w:iCs/>
        </w:rPr>
        <w:t xml:space="preserve">)  </w:t>
      </w:r>
      <w:r w:rsidRPr="004A56E3">
        <w:rPr>
          <w:bCs/>
          <w:i/>
          <w:iCs/>
          <w:u w:val="single"/>
        </w:rPr>
        <w:t>Although the SEA Directive is focused on the preferred plan, it makes no distinction between the assessment requirements for that plan (including all options within it) and any reasonable alternatives to that plan. The potential significant effects of that plan, and any reasonable alternatives, have to be identified, described and evaluated in a comparable way.</w:t>
      </w:r>
      <w:r w:rsidR="00F41A95">
        <w:rPr>
          <w:i/>
          <w:iCs/>
        </w:rPr>
        <w:t xml:space="preserve"> </w:t>
      </w:r>
    </w:p>
    <w:p w14:paraId="23DEC5EA" w14:textId="04E49CFE" w:rsidR="00153AAC" w:rsidRPr="00F41A95" w:rsidRDefault="00153AAC" w:rsidP="00153AAC">
      <w:pPr>
        <w:tabs>
          <w:tab w:val="left" w:pos="567"/>
        </w:tabs>
        <w:spacing w:line="480" w:lineRule="auto"/>
        <w:ind w:left="567"/>
        <w:rPr>
          <w:i/>
          <w:iCs/>
        </w:rPr>
      </w:pPr>
      <w:r>
        <w:rPr>
          <w:i/>
          <w:iCs/>
        </w:rPr>
        <w:t>(</w:t>
      </w:r>
      <w:r w:rsidRPr="00153AAC">
        <w:rPr>
          <w:i/>
          <w:iCs/>
        </w:rPr>
        <w:t xml:space="preserve">ix)  Particularly where the relevant plan sets a framework for future projects (e.g. a core planning strategy), it may be appropriate and indeed helpful to have an SEA process that is iterative. </w:t>
      </w:r>
      <w:r w:rsidRPr="004A56E3">
        <w:rPr>
          <w:bCs/>
          <w:i/>
          <w:iCs/>
          <w:u w:val="single"/>
        </w:rPr>
        <w:t>If so, the appraisal has to evaluate the extant options at each stage in a comparable way. As part of an iterative SEA process, options which may be capable of achieving the objectives may be discarded on the way; but such options cannot be discarded without being subjected to an SEA Directive-compliant assessment.</w:t>
      </w:r>
      <w:r w:rsidR="00F41A95" w:rsidRPr="004A56E3">
        <w:rPr>
          <w:bCs/>
          <w:i/>
          <w:iCs/>
          <w:u w:val="single"/>
        </w:rPr>
        <w:t xml:space="preserve"> </w:t>
      </w:r>
    </w:p>
    <w:p w14:paraId="345B75B4" w14:textId="77777777" w:rsidR="00153AAC" w:rsidRPr="00153AAC" w:rsidRDefault="00153AAC" w:rsidP="00153AAC">
      <w:pPr>
        <w:tabs>
          <w:tab w:val="left" w:pos="567"/>
        </w:tabs>
        <w:spacing w:line="480" w:lineRule="auto"/>
        <w:ind w:left="567"/>
        <w:rPr>
          <w:i/>
          <w:iCs/>
        </w:rPr>
      </w:pPr>
      <w:r>
        <w:rPr>
          <w:i/>
          <w:iCs/>
        </w:rPr>
        <w:t>(</w:t>
      </w:r>
      <w:r w:rsidRPr="00153AAC">
        <w:rPr>
          <w:i/>
          <w:iCs/>
        </w:rPr>
        <w:t>x)  Although an SEA process that is iterative may be particular appropriate for some framework-setting plans and programmes, it is by no means mandatory. The authority may adopt a non-SEA process to identify those options which meet the objectives. That non-SEA process may itself be iterative.</w:t>
      </w:r>
    </w:p>
    <w:p w14:paraId="33BF501C" w14:textId="77777777" w:rsidR="00153AAC" w:rsidRPr="00153AAC" w:rsidRDefault="00153AAC" w:rsidP="00153AAC">
      <w:pPr>
        <w:tabs>
          <w:tab w:val="left" w:pos="567"/>
        </w:tabs>
        <w:spacing w:line="480" w:lineRule="auto"/>
        <w:ind w:left="567"/>
        <w:rPr>
          <w:i/>
          <w:iCs/>
        </w:rPr>
      </w:pPr>
      <w:r>
        <w:rPr>
          <w:i/>
          <w:iCs/>
        </w:rPr>
        <w:t>(</w:t>
      </w:r>
      <w:r w:rsidRPr="00153AAC">
        <w:rPr>
          <w:i/>
          <w:iCs/>
        </w:rPr>
        <w:t xml:space="preserve">xi)  The objectives an authority sets for plans caught by the SEA Directive are likely to be particularly broad and high level, as well as multiple and varied. An assessment as to whether the objectives would be “met” by a particular option is therefore peculiarly evaluative; but an option will meet the objectives if, although it may not be (in the authority's judgment) the option that best meets the objectives overall (i.e. the preferred option), it is an option which is capable of sufficiently meeting the objectives such that that option could viably be adopted and implemented. That, again, is an evaluative judgment by the authority, which will only be challengeable on conventional public law grounds. However, whilst allowing the </w:t>
      </w:r>
      <w:r w:rsidRPr="00153AAC">
        <w:rPr>
          <w:i/>
          <w:iCs/>
        </w:rPr>
        <w:lastRenderedPageBreak/>
        <w:t>authority a due margin of discretion, the court will scrutinise the authority's choice of alternatives considered in the SEA process to ensure that it is not seeking to avoid its obligation to evaluate reasonable alternatives by improperly restricting the range options it has identified as such.</w:t>
      </w:r>
    </w:p>
    <w:p w14:paraId="4D711438" w14:textId="020CFE37" w:rsidR="00153AAC" w:rsidRPr="00A157E1" w:rsidRDefault="00153AAC" w:rsidP="00153AAC">
      <w:pPr>
        <w:tabs>
          <w:tab w:val="left" w:pos="567"/>
        </w:tabs>
        <w:spacing w:line="480" w:lineRule="auto"/>
        <w:ind w:left="567"/>
      </w:pPr>
      <w:r>
        <w:rPr>
          <w:i/>
          <w:iCs/>
        </w:rPr>
        <w:t>(</w:t>
      </w:r>
      <w:r w:rsidRPr="00153AAC">
        <w:rPr>
          <w:i/>
          <w:iCs/>
        </w:rPr>
        <w:t>xii)  The authority has an obligation to give outline reasons for selecting (i) its preferred option over the reasonable alternatives, and (ii) the alternatives “dealt with” in the SEA process. Alternatives “dealt with” include both (i) reasonable alternatives (which must be dealt with in the SEA process) and (ii) other alternatives (which need not, but may, be dealt with in that process). The reasons that are required are merely “outline”. The authority need only give the main reasons, so that consultees and other interested parties are aware of why reasonable alternatives were chosen as such (including, in appropriate cases, why other options were not chosen as reasonable alternatives) – and, similarly, why the preferred option was chosen as such.</w:t>
      </w:r>
      <w:r>
        <w:rPr>
          <w:i/>
          <w:iCs/>
        </w:rPr>
        <w:t>”</w:t>
      </w:r>
      <w:r w:rsidR="00A157E1">
        <w:rPr>
          <w:i/>
          <w:iCs/>
        </w:rPr>
        <w:t xml:space="preserve"> </w:t>
      </w:r>
      <w:r w:rsidR="00A157E1">
        <w:t>(emphasis added</w:t>
      </w:r>
      <w:r w:rsidR="00784B29">
        <w:t>, save where it is specified to be in the original</w:t>
      </w:r>
      <w:r w:rsidR="00A157E1">
        <w:t>)</w:t>
      </w:r>
    </w:p>
    <w:p w14:paraId="06217E37" w14:textId="0587E956" w:rsidR="00F41A95" w:rsidRDefault="0097706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Points (viii) and (</w:t>
      </w:r>
      <w:r w:rsidR="00F41A95">
        <w:rPr>
          <w:rFonts w:ascii="Times New Roman" w:hAnsi="Times New Roman"/>
          <w:sz w:val="24"/>
        </w:rPr>
        <w:t>i</w:t>
      </w:r>
      <w:r>
        <w:rPr>
          <w:rFonts w:ascii="Times New Roman" w:hAnsi="Times New Roman"/>
          <w:sz w:val="24"/>
        </w:rPr>
        <w:t>x) are of particular relevance to the argument in this case.  These points are derived from the terms of the SEA Directive, Article 5(1)</w:t>
      </w:r>
      <w:r w:rsidR="00A157E1">
        <w:rPr>
          <w:rFonts w:ascii="Times New Roman" w:hAnsi="Times New Roman"/>
          <w:sz w:val="24"/>
        </w:rPr>
        <w:t>,</w:t>
      </w:r>
      <w:r>
        <w:rPr>
          <w:rFonts w:ascii="Times New Roman" w:hAnsi="Times New Roman"/>
          <w:sz w:val="24"/>
        </w:rPr>
        <w:t xml:space="preserve"> and not from the UK Regulations transposing the Directive into </w:t>
      </w:r>
      <w:r w:rsidR="00F41A95">
        <w:rPr>
          <w:rFonts w:ascii="Times New Roman" w:hAnsi="Times New Roman"/>
          <w:sz w:val="24"/>
        </w:rPr>
        <w:t>n</w:t>
      </w:r>
      <w:r>
        <w:rPr>
          <w:rFonts w:ascii="Times New Roman" w:hAnsi="Times New Roman"/>
          <w:sz w:val="24"/>
        </w:rPr>
        <w:t xml:space="preserve">ational law. </w:t>
      </w:r>
      <w:r w:rsidR="00A157E1">
        <w:rPr>
          <w:rFonts w:ascii="Times New Roman" w:hAnsi="Times New Roman"/>
          <w:sz w:val="24"/>
        </w:rPr>
        <w:t xml:space="preserve"> </w:t>
      </w:r>
      <w:r w:rsidR="00F41A95">
        <w:rPr>
          <w:rFonts w:ascii="Times New Roman" w:hAnsi="Times New Roman"/>
          <w:sz w:val="24"/>
        </w:rPr>
        <w:t>In my judgment</w:t>
      </w:r>
      <w:r w:rsidR="00A157E1">
        <w:rPr>
          <w:rFonts w:ascii="Times New Roman" w:hAnsi="Times New Roman"/>
          <w:sz w:val="24"/>
        </w:rPr>
        <w:t>,</w:t>
      </w:r>
      <w:r w:rsidR="00F41A95">
        <w:rPr>
          <w:rFonts w:ascii="Times New Roman" w:hAnsi="Times New Roman"/>
          <w:sz w:val="24"/>
        </w:rPr>
        <w:t xml:space="preserve"> they reflect</w:t>
      </w:r>
      <w:r w:rsidR="00A157E1">
        <w:rPr>
          <w:rFonts w:ascii="Times New Roman" w:hAnsi="Times New Roman"/>
          <w:sz w:val="24"/>
        </w:rPr>
        <w:t>,</w:t>
      </w:r>
      <w:r w:rsidR="00F41A95">
        <w:rPr>
          <w:rFonts w:ascii="Times New Roman" w:hAnsi="Times New Roman"/>
          <w:sz w:val="24"/>
        </w:rPr>
        <w:t xml:space="preserve"> correctly</w:t>
      </w:r>
      <w:r w:rsidR="00A157E1">
        <w:rPr>
          <w:rFonts w:ascii="Times New Roman" w:hAnsi="Times New Roman"/>
          <w:sz w:val="24"/>
        </w:rPr>
        <w:t>,</w:t>
      </w:r>
      <w:r w:rsidR="00F41A95">
        <w:rPr>
          <w:rFonts w:ascii="Times New Roman" w:hAnsi="Times New Roman"/>
          <w:sz w:val="24"/>
        </w:rPr>
        <w:t xml:space="preserve"> the obligations arising from the SEA Directive and thus applicable in all member states.</w:t>
      </w:r>
    </w:p>
    <w:p w14:paraId="4DF3BD9A" w14:textId="5B93B942" w:rsidR="006A6E50" w:rsidRDefault="00C6406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At para. 99, </w:t>
      </w:r>
      <w:proofErr w:type="spellStart"/>
      <w:r w:rsidR="0097706E">
        <w:rPr>
          <w:rFonts w:ascii="Times New Roman" w:hAnsi="Times New Roman"/>
          <w:sz w:val="24"/>
        </w:rPr>
        <w:t>H</w:t>
      </w:r>
      <w:r w:rsidR="00895618">
        <w:rPr>
          <w:rFonts w:ascii="Times New Roman" w:hAnsi="Times New Roman"/>
          <w:sz w:val="24"/>
        </w:rPr>
        <w:t>ickinbottom</w:t>
      </w:r>
      <w:proofErr w:type="spellEnd"/>
      <w:r w:rsidR="00895618">
        <w:rPr>
          <w:rFonts w:ascii="Times New Roman" w:hAnsi="Times New Roman"/>
          <w:sz w:val="24"/>
        </w:rPr>
        <w:t xml:space="preserve"> J.</w:t>
      </w:r>
      <w:r w:rsidR="0097706E">
        <w:rPr>
          <w:rFonts w:ascii="Times New Roman" w:hAnsi="Times New Roman"/>
          <w:sz w:val="24"/>
        </w:rPr>
        <w:t xml:space="preserve"> cited with approval the decision of </w:t>
      </w:r>
      <w:proofErr w:type="spellStart"/>
      <w:r w:rsidR="0097706E" w:rsidRPr="0097706E">
        <w:rPr>
          <w:rFonts w:ascii="Times New Roman" w:hAnsi="Times New Roman"/>
          <w:sz w:val="24"/>
        </w:rPr>
        <w:t>Ouseley</w:t>
      </w:r>
      <w:proofErr w:type="spellEnd"/>
      <w:r w:rsidR="0097706E" w:rsidRPr="0097706E">
        <w:rPr>
          <w:rFonts w:ascii="Times New Roman" w:hAnsi="Times New Roman"/>
          <w:sz w:val="24"/>
        </w:rPr>
        <w:t xml:space="preserve"> J</w:t>
      </w:r>
      <w:r w:rsidR="0097706E">
        <w:rPr>
          <w:rFonts w:ascii="Times New Roman" w:hAnsi="Times New Roman"/>
          <w:sz w:val="24"/>
        </w:rPr>
        <w:t xml:space="preserve">. in </w:t>
      </w:r>
      <w:r w:rsidRPr="00C64067">
        <w:rPr>
          <w:rFonts w:ascii="Times New Roman" w:hAnsi="Times New Roman"/>
          <w:i/>
          <w:sz w:val="24"/>
        </w:rPr>
        <w:t>Heard v</w:t>
      </w:r>
      <w:r w:rsidR="00131360">
        <w:rPr>
          <w:rFonts w:ascii="Times New Roman" w:hAnsi="Times New Roman"/>
          <w:i/>
          <w:sz w:val="24"/>
        </w:rPr>
        <w:t>.</w:t>
      </w:r>
      <w:r w:rsidRPr="00C64067">
        <w:rPr>
          <w:rFonts w:ascii="Times New Roman" w:hAnsi="Times New Roman"/>
          <w:i/>
          <w:sz w:val="24"/>
        </w:rPr>
        <w:t xml:space="preserve"> Broadland District Council </w:t>
      </w:r>
      <w:r w:rsidRPr="004A56E3">
        <w:rPr>
          <w:rFonts w:ascii="Times New Roman" w:hAnsi="Times New Roman"/>
          <w:iCs/>
          <w:sz w:val="24"/>
        </w:rPr>
        <w:t>[2012] EWHC 344 (Admin)</w:t>
      </w:r>
      <w:r w:rsidR="0097706E">
        <w:rPr>
          <w:rFonts w:ascii="Times New Roman" w:hAnsi="Times New Roman"/>
          <w:i/>
          <w:sz w:val="24"/>
        </w:rPr>
        <w:t xml:space="preserve"> </w:t>
      </w:r>
      <w:r w:rsidR="0097706E">
        <w:rPr>
          <w:rFonts w:ascii="Times New Roman" w:hAnsi="Times New Roman"/>
          <w:sz w:val="24"/>
        </w:rPr>
        <w:t>to the effect that</w:t>
      </w:r>
      <w:r>
        <w:rPr>
          <w:rFonts w:ascii="Times New Roman" w:hAnsi="Times New Roman"/>
          <w:sz w:val="24"/>
        </w:rPr>
        <w:t>:</w:t>
      </w:r>
      <w:r w:rsidR="004423C2">
        <w:rPr>
          <w:rFonts w:ascii="Times New Roman" w:hAnsi="Times New Roman"/>
          <w:sz w:val="24"/>
        </w:rPr>
        <w:t>-</w:t>
      </w:r>
    </w:p>
    <w:p w14:paraId="1ABD8A93" w14:textId="77777777" w:rsidR="006A6E50" w:rsidRPr="006A6E50" w:rsidRDefault="006A6E50" w:rsidP="006A6E50">
      <w:pPr>
        <w:pStyle w:val="ListParagraph"/>
        <w:spacing w:line="480" w:lineRule="auto"/>
        <w:ind w:left="1134" w:hanging="567"/>
        <w:jc w:val="left"/>
        <w:rPr>
          <w:rFonts w:ascii="Times New Roman" w:hAnsi="Times New Roman"/>
          <w:i/>
          <w:sz w:val="24"/>
        </w:rPr>
      </w:pPr>
      <w:r w:rsidRPr="006A6E50">
        <w:rPr>
          <w:rFonts w:ascii="Times New Roman" w:hAnsi="Times New Roman"/>
          <w:i/>
          <w:sz w:val="24"/>
        </w:rPr>
        <w:t>“</w:t>
      </w:r>
      <w:r w:rsidR="0097706E" w:rsidRPr="006A6E50">
        <w:rPr>
          <w:rFonts w:ascii="Times New Roman" w:hAnsi="Times New Roman"/>
          <w:i/>
          <w:sz w:val="24"/>
        </w:rPr>
        <w:t xml:space="preserve">(i) </w:t>
      </w:r>
      <w:r w:rsidRPr="006A6E50">
        <w:rPr>
          <w:rFonts w:ascii="Times New Roman" w:hAnsi="Times New Roman"/>
          <w:i/>
          <w:sz w:val="24"/>
        </w:rPr>
        <w:tab/>
      </w:r>
      <w:r w:rsidR="0097706E" w:rsidRPr="006A6E50">
        <w:rPr>
          <w:rFonts w:ascii="Times New Roman" w:hAnsi="Times New Roman"/>
          <w:i/>
          <w:sz w:val="24"/>
        </w:rPr>
        <w:t xml:space="preserve">an iterative </w:t>
      </w:r>
      <w:r w:rsidRPr="006A6E50">
        <w:rPr>
          <w:rFonts w:ascii="Times New Roman" w:hAnsi="Times New Roman"/>
          <w:i/>
          <w:sz w:val="24"/>
        </w:rPr>
        <w:t xml:space="preserve">SEA process is allowed, </w:t>
      </w:r>
      <w:r w:rsidRPr="00895618">
        <w:rPr>
          <w:rFonts w:ascii="Times New Roman" w:hAnsi="Times New Roman"/>
          <w:i/>
          <w:sz w:val="24"/>
        </w:rPr>
        <w:t>but</w:t>
      </w:r>
      <w:r w:rsidRPr="00895618">
        <w:rPr>
          <w:rFonts w:ascii="Times New Roman" w:hAnsi="Times New Roman"/>
          <w:b/>
          <w:i/>
          <w:sz w:val="24"/>
        </w:rPr>
        <w:t xml:space="preserve"> </w:t>
      </w:r>
      <w:r w:rsidRPr="00F16828">
        <w:rPr>
          <w:rFonts w:ascii="Times New Roman" w:hAnsi="Times New Roman"/>
          <w:bCs/>
          <w:i/>
          <w:sz w:val="24"/>
          <w:u w:val="single"/>
        </w:rPr>
        <w:t>the SEA Directive requires an equal examination of all alternatives reasonably selected for examination at a particular stage, whether preferred or not</w:t>
      </w:r>
      <w:r w:rsidRPr="006A6E50">
        <w:rPr>
          <w:rFonts w:ascii="Times New Roman" w:hAnsi="Times New Roman"/>
          <w:i/>
          <w:sz w:val="24"/>
        </w:rPr>
        <w:t xml:space="preserve"> (see [71]); </w:t>
      </w:r>
    </w:p>
    <w:p w14:paraId="7479E3C5" w14:textId="77777777" w:rsidR="006A6E50" w:rsidRPr="006A6E50" w:rsidRDefault="006A6E50" w:rsidP="006A6E50">
      <w:pPr>
        <w:pStyle w:val="ListParagraph"/>
        <w:spacing w:line="480" w:lineRule="auto"/>
        <w:ind w:left="1134" w:hanging="567"/>
        <w:jc w:val="left"/>
        <w:rPr>
          <w:rFonts w:ascii="Times New Roman" w:hAnsi="Times New Roman"/>
          <w:i/>
          <w:sz w:val="24"/>
        </w:rPr>
      </w:pPr>
      <w:r w:rsidRPr="006A6E50">
        <w:rPr>
          <w:rFonts w:ascii="Times New Roman" w:hAnsi="Times New Roman"/>
          <w:i/>
          <w:sz w:val="24"/>
        </w:rPr>
        <w:lastRenderedPageBreak/>
        <w:t xml:space="preserve">(ii) </w:t>
      </w:r>
      <w:r w:rsidRPr="006A6E50">
        <w:rPr>
          <w:rFonts w:ascii="Times New Roman" w:hAnsi="Times New Roman"/>
          <w:i/>
          <w:sz w:val="24"/>
        </w:rPr>
        <w:tab/>
        <w:t xml:space="preserve">the Directive requires reasons to be given for the selection of an option as preferred (or sole) option (see [69] – [70]); and </w:t>
      </w:r>
    </w:p>
    <w:p w14:paraId="0323E984" w14:textId="50198D14" w:rsidR="0097706E" w:rsidRPr="006A6E50" w:rsidRDefault="006A6E50" w:rsidP="006A6E50">
      <w:pPr>
        <w:pStyle w:val="ListParagraph"/>
        <w:spacing w:line="480" w:lineRule="auto"/>
        <w:ind w:left="1134" w:hanging="567"/>
        <w:jc w:val="left"/>
        <w:rPr>
          <w:rFonts w:ascii="Times New Roman" w:hAnsi="Times New Roman"/>
          <w:i/>
          <w:sz w:val="24"/>
        </w:rPr>
      </w:pPr>
      <w:r w:rsidRPr="006A6E50">
        <w:rPr>
          <w:rFonts w:ascii="Times New Roman" w:hAnsi="Times New Roman"/>
          <w:i/>
          <w:sz w:val="24"/>
        </w:rPr>
        <w:t xml:space="preserve">(iii) </w:t>
      </w:r>
      <w:r w:rsidRPr="006A6E50">
        <w:rPr>
          <w:rFonts w:ascii="Times New Roman" w:hAnsi="Times New Roman"/>
          <w:i/>
          <w:sz w:val="24"/>
        </w:rPr>
        <w:tab/>
        <w:t>outline reasons can be given by reference to earlier documents</w:t>
      </w:r>
      <w:r w:rsidR="00C64067">
        <w:rPr>
          <w:rFonts w:ascii="Times New Roman" w:hAnsi="Times New Roman"/>
          <w:i/>
          <w:sz w:val="24"/>
        </w:rPr>
        <w:t>,</w:t>
      </w:r>
      <w:r w:rsidRPr="006A6E50">
        <w:rPr>
          <w:rFonts w:ascii="Times New Roman" w:hAnsi="Times New Roman"/>
          <w:i/>
          <w:sz w:val="24"/>
        </w:rPr>
        <w:t xml:space="preserve"> if those documents contain</w:t>
      </w:r>
      <w:r w:rsidR="00C64067">
        <w:rPr>
          <w:rFonts w:ascii="Times New Roman" w:hAnsi="Times New Roman"/>
          <w:i/>
          <w:sz w:val="24"/>
        </w:rPr>
        <w:t>ed</w:t>
      </w:r>
      <w:r w:rsidRPr="006A6E50">
        <w:rPr>
          <w:rFonts w:ascii="Times New Roman" w:hAnsi="Times New Roman"/>
          <w:i/>
          <w:sz w:val="24"/>
        </w:rPr>
        <w:t xml:space="preserve"> the required information (see [62]).”</w:t>
      </w:r>
      <w:r w:rsidR="00C64067">
        <w:rPr>
          <w:rFonts w:ascii="Times New Roman" w:hAnsi="Times New Roman"/>
          <w:i/>
          <w:sz w:val="24"/>
        </w:rPr>
        <w:t xml:space="preserve"> </w:t>
      </w:r>
      <w:r w:rsidR="00C64067">
        <w:rPr>
          <w:rFonts w:ascii="Times New Roman" w:hAnsi="Times New Roman"/>
          <w:iCs/>
          <w:sz w:val="24"/>
        </w:rPr>
        <w:t>(emphasis added)</w:t>
      </w:r>
    </w:p>
    <w:p w14:paraId="13C224A1" w14:textId="7F462788" w:rsidR="0097706E" w:rsidRDefault="00992B0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w:t>
      </w:r>
      <w:r w:rsidR="00895618">
        <w:rPr>
          <w:rFonts w:ascii="Times New Roman" w:hAnsi="Times New Roman"/>
          <w:sz w:val="24"/>
        </w:rPr>
        <w:t xml:space="preserve"> court recognised that there are two distinct obligations under the Directive: (1) to assess the reasonable alternatives and the preferred option in a comparable manner</w:t>
      </w:r>
      <w:r w:rsidR="00A84630">
        <w:rPr>
          <w:rFonts w:ascii="Times New Roman" w:hAnsi="Times New Roman"/>
          <w:sz w:val="24"/>
        </w:rPr>
        <w:t>,</w:t>
      </w:r>
      <w:r w:rsidR="00895618">
        <w:rPr>
          <w:rFonts w:ascii="Times New Roman" w:hAnsi="Times New Roman"/>
          <w:sz w:val="24"/>
        </w:rPr>
        <w:t xml:space="preserve"> and (2) to give outline reasons for the selection of an option as a preferred option/rejecting the reasonable alternatives. </w:t>
      </w:r>
      <w:r w:rsidR="00383F84">
        <w:rPr>
          <w:rFonts w:ascii="Times New Roman" w:hAnsi="Times New Roman"/>
          <w:sz w:val="24"/>
        </w:rPr>
        <w:t xml:space="preserve"> </w:t>
      </w:r>
      <w:r w:rsidR="00895618">
        <w:rPr>
          <w:rFonts w:ascii="Times New Roman" w:hAnsi="Times New Roman"/>
          <w:sz w:val="24"/>
        </w:rPr>
        <w:t>The two obligations must not be elided or conflated.</w:t>
      </w:r>
      <w:r w:rsidR="00780EB6">
        <w:rPr>
          <w:rFonts w:ascii="Times New Roman" w:hAnsi="Times New Roman"/>
          <w:sz w:val="24"/>
        </w:rPr>
        <w:t xml:space="preserve"> </w:t>
      </w:r>
      <w:r w:rsidR="00383F84">
        <w:rPr>
          <w:rFonts w:ascii="Times New Roman" w:hAnsi="Times New Roman"/>
          <w:sz w:val="24"/>
        </w:rPr>
        <w:t xml:space="preserve"> </w:t>
      </w:r>
      <w:r w:rsidR="00895618">
        <w:rPr>
          <w:rFonts w:ascii="Times New Roman" w:hAnsi="Times New Roman"/>
          <w:sz w:val="24"/>
        </w:rPr>
        <w:t>The</w:t>
      </w:r>
      <w:r>
        <w:rPr>
          <w:rFonts w:ascii="Times New Roman" w:hAnsi="Times New Roman"/>
          <w:sz w:val="24"/>
        </w:rPr>
        <w:t xml:space="preserve"> issue in </w:t>
      </w:r>
      <w:r w:rsidR="00780EB6">
        <w:rPr>
          <w:rFonts w:ascii="Times New Roman" w:hAnsi="Times New Roman"/>
          <w:i/>
          <w:sz w:val="24"/>
        </w:rPr>
        <w:t>Friends of the Earth</w:t>
      </w:r>
      <w:r>
        <w:rPr>
          <w:rFonts w:ascii="Times New Roman" w:hAnsi="Times New Roman"/>
          <w:sz w:val="24"/>
        </w:rPr>
        <w:t xml:space="preserve"> concerned the identification of reasonable alternatives, a matter which is not in contention in these proceedings</w:t>
      </w:r>
      <w:r w:rsidR="00780EB6">
        <w:rPr>
          <w:rFonts w:ascii="Times New Roman" w:hAnsi="Times New Roman"/>
          <w:sz w:val="24"/>
        </w:rPr>
        <w:t>, rather than the assessment of the reasonable alternatives</w:t>
      </w:r>
      <w:r w:rsidR="00636B86">
        <w:rPr>
          <w:rFonts w:ascii="Times New Roman" w:hAnsi="Times New Roman"/>
          <w:sz w:val="24"/>
        </w:rPr>
        <w:t>,</w:t>
      </w:r>
      <w:r w:rsidR="00780EB6">
        <w:rPr>
          <w:rFonts w:ascii="Times New Roman" w:hAnsi="Times New Roman"/>
          <w:sz w:val="24"/>
        </w:rPr>
        <w:t xml:space="preserve"> and so the decision is not of assistance in </w:t>
      </w:r>
      <w:r w:rsidR="00DE3AA6">
        <w:rPr>
          <w:rFonts w:ascii="Times New Roman" w:hAnsi="Times New Roman"/>
          <w:sz w:val="24"/>
        </w:rPr>
        <w:t>relation to this issue</w:t>
      </w:r>
      <w:r>
        <w:rPr>
          <w:rFonts w:ascii="Times New Roman" w:hAnsi="Times New Roman"/>
          <w:sz w:val="24"/>
        </w:rPr>
        <w:t>.</w:t>
      </w:r>
    </w:p>
    <w:p w14:paraId="1A03E665" w14:textId="4B6D22D0" w:rsidR="00992B09" w:rsidRDefault="00992B0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final authority to which reference was made was </w:t>
      </w:r>
      <w:r>
        <w:rPr>
          <w:rFonts w:ascii="Times New Roman" w:hAnsi="Times New Roman"/>
          <w:i/>
          <w:sz w:val="24"/>
        </w:rPr>
        <w:t>Calverton Parish Council v. Nottingham City Council</w:t>
      </w:r>
      <w:r w:rsidR="00636B86">
        <w:rPr>
          <w:rFonts w:ascii="Times New Roman" w:hAnsi="Times New Roman"/>
          <w:i/>
          <w:sz w:val="24"/>
        </w:rPr>
        <w:t xml:space="preserve"> &amp; Ors.</w:t>
      </w:r>
      <w:r>
        <w:rPr>
          <w:rFonts w:ascii="Times New Roman" w:hAnsi="Times New Roman"/>
          <w:i/>
          <w:sz w:val="24"/>
        </w:rPr>
        <w:t xml:space="preserve"> </w:t>
      </w:r>
      <w:r>
        <w:rPr>
          <w:rFonts w:ascii="Times New Roman" w:hAnsi="Times New Roman"/>
          <w:sz w:val="24"/>
        </w:rPr>
        <w:t xml:space="preserve">[2015] EWHC 1078 (Admin).  The claimant alleged that the defendants had failed to satisfy the requirements of the SEA Regulations which transposed the SEA Directive into English law.  Regulation 12 of the </w:t>
      </w:r>
      <w:r w:rsidR="00DE3AA6">
        <w:rPr>
          <w:rFonts w:ascii="Times New Roman" w:hAnsi="Times New Roman"/>
          <w:sz w:val="24"/>
        </w:rPr>
        <w:t xml:space="preserve">(UK) </w:t>
      </w:r>
      <w:r>
        <w:rPr>
          <w:rFonts w:ascii="Times New Roman" w:hAnsi="Times New Roman"/>
          <w:sz w:val="24"/>
        </w:rPr>
        <w:t>SEA Regulations provides:</w:t>
      </w:r>
      <w:r w:rsidR="00636B86">
        <w:rPr>
          <w:rFonts w:ascii="Times New Roman" w:hAnsi="Times New Roman"/>
          <w:sz w:val="24"/>
        </w:rPr>
        <w:t>-</w:t>
      </w:r>
    </w:p>
    <w:p w14:paraId="22AA7A20" w14:textId="77777777" w:rsidR="00992B09" w:rsidRPr="00992B09" w:rsidRDefault="00992B09" w:rsidP="00992B09">
      <w:pPr>
        <w:pStyle w:val="ListParagraph"/>
        <w:spacing w:line="480" w:lineRule="auto"/>
        <w:ind w:left="567"/>
        <w:jc w:val="left"/>
        <w:rPr>
          <w:rFonts w:ascii="Times New Roman" w:hAnsi="Times New Roman"/>
          <w:i/>
          <w:sz w:val="24"/>
        </w:rPr>
      </w:pPr>
      <w:r>
        <w:rPr>
          <w:rFonts w:ascii="Times New Roman" w:hAnsi="Times New Roman"/>
          <w:i/>
          <w:sz w:val="24"/>
        </w:rPr>
        <w:t>“</w:t>
      </w:r>
      <w:r w:rsidRPr="00992B09">
        <w:rPr>
          <w:rFonts w:ascii="Times New Roman" w:hAnsi="Times New Roman"/>
          <w:i/>
          <w:sz w:val="24"/>
        </w:rPr>
        <w:t>Preparation of Environmental Report</w:t>
      </w:r>
    </w:p>
    <w:p w14:paraId="011BD168" w14:textId="77777777" w:rsidR="00992B09" w:rsidRPr="00992B09" w:rsidRDefault="00992B09" w:rsidP="00992B09">
      <w:pPr>
        <w:pStyle w:val="ListParagraph"/>
        <w:spacing w:line="480" w:lineRule="auto"/>
        <w:ind w:left="1134" w:hanging="567"/>
        <w:jc w:val="left"/>
        <w:rPr>
          <w:rFonts w:ascii="Times New Roman" w:hAnsi="Times New Roman"/>
          <w:i/>
          <w:sz w:val="24"/>
        </w:rPr>
      </w:pPr>
      <w:r w:rsidRPr="00992B09">
        <w:rPr>
          <w:rFonts w:ascii="Times New Roman" w:hAnsi="Times New Roman"/>
          <w:i/>
          <w:sz w:val="24"/>
        </w:rPr>
        <w:t>12.(1) Where an environmental assessment is required by any provision of Part 2 of these Regulations, the responsible authority shall prepare, or secure the preparation of, an environmental report in accordance with paragraphs (2) and (3) of this Regulation.</w:t>
      </w:r>
    </w:p>
    <w:p w14:paraId="233D239A" w14:textId="77777777" w:rsidR="00992B09" w:rsidRPr="00992B09" w:rsidRDefault="00992B09" w:rsidP="00992B09">
      <w:pPr>
        <w:pStyle w:val="ListParagraph"/>
        <w:spacing w:line="480" w:lineRule="auto"/>
        <w:ind w:left="1134" w:hanging="567"/>
        <w:jc w:val="left"/>
        <w:rPr>
          <w:rFonts w:ascii="Times New Roman" w:hAnsi="Times New Roman"/>
          <w:i/>
          <w:sz w:val="24"/>
        </w:rPr>
      </w:pPr>
      <w:r w:rsidRPr="00992B09">
        <w:rPr>
          <w:rFonts w:ascii="Times New Roman" w:hAnsi="Times New Roman"/>
          <w:i/>
          <w:sz w:val="24"/>
        </w:rPr>
        <w:t xml:space="preserve">(2) </w:t>
      </w:r>
      <w:r>
        <w:rPr>
          <w:rFonts w:ascii="Times New Roman" w:hAnsi="Times New Roman"/>
          <w:i/>
          <w:sz w:val="24"/>
        </w:rPr>
        <w:tab/>
      </w:r>
      <w:r w:rsidRPr="00992B09">
        <w:rPr>
          <w:rFonts w:ascii="Times New Roman" w:hAnsi="Times New Roman"/>
          <w:i/>
          <w:sz w:val="24"/>
        </w:rPr>
        <w:t>The report shall identify, describe and evaluate the likely significant effects on the environment of—</w:t>
      </w:r>
    </w:p>
    <w:p w14:paraId="7B8B93D9" w14:textId="77777777" w:rsidR="00992B09" w:rsidRPr="00992B09" w:rsidRDefault="00992B09" w:rsidP="00992B09">
      <w:pPr>
        <w:pStyle w:val="ListParagraph"/>
        <w:spacing w:line="480" w:lineRule="auto"/>
        <w:ind w:left="1701" w:hanging="567"/>
        <w:jc w:val="left"/>
        <w:rPr>
          <w:rFonts w:ascii="Times New Roman" w:hAnsi="Times New Roman"/>
          <w:i/>
          <w:sz w:val="24"/>
        </w:rPr>
      </w:pPr>
      <w:r w:rsidRPr="00992B09">
        <w:rPr>
          <w:rFonts w:ascii="Times New Roman" w:hAnsi="Times New Roman"/>
          <w:i/>
          <w:sz w:val="24"/>
        </w:rPr>
        <w:t xml:space="preserve">(a) </w:t>
      </w:r>
      <w:r>
        <w:rPr>
          <w:rFonts w:ascii="Times New Roman" w:hAnsi="Times New Roman"/>
          <w:i/>
          <w:sz w:val="24"/>
        </w:rPr>
        <w:tab/>
      </w:r>
      <w:r w:rsidRPr="00992B09">
        <w:rPr>
          <w:rFonts w:ascii="Times New Roman" w:hAnsi="Times New Roman"/>
          <w:i/>
          <w:sz w:val="24"/>
        </w:rPr>
        <w:t>implementing the plan or programme; and</w:t>
      </w:r>
    </w:p>
    <w:p w14:paraId="34B3ED6C" w14:textId="77777777" w:rsidR="00992B09" w:rsidRPr="00992B09" w:rsidRDefault="00992B09" w:rsidP="00992B09">
      <w:pPr>
        <w:pStyle w:val="ListParagraph"/>
        <w:spacing w:line="480" w:lineRule="auto"/>
        <w:ind w:left="1701" w:hanging="567"/>
        <w:jc w:val="left"/>
        <w:rPr>
          <w:rFonts w:ascii="Times New Roman" w:hAnsi="Times New Roman"/>
          <w:i/>
          <w:sz w:val="24"/>
        </w:rPr>
      </w:pPr>
      <w:r w:rsidRPr="00992B09">
        <w:rPr>
          <w:rFonts w:ascii="Times New Roman" w:hAnsi="Times New Roman"/>
          <w:i/>
          <w:sz w:val="24"/>
        </w:rPr>
        <w:lastRenderedPageBreak/>
        <w:t xml:space="preserve">(b) </w:t>
      </w:r>
      <w:r>
        <w:rPr>
          <w:rFonts w:ascii="Times New Roman" w:hAnsi="Times New Roman"/>
          <w:i/>
          <w:sz w:val="24"/>
        </w:rPr>
        <w:tab/>
      </w:r>
      <w:r w:rsidRPr="00992B09">
        <w:rPr>
          <w:rFonts w:ascii="Times New Roman" w:hAnsi="Times New Roman"/>
          <w:i/>
          <w:sz w:val="24"/>
        </w:rPr>
        <w:t xml:space="preserve">reasonable alternatives taking into account the objectives and the geographical </w:t>
      </w:r>
      <w:r>
        <w:rPr>
          <w:rFonts w:ascii="Times New Roman" w:hAnsi="Times New Roman"/>
          <w:i/>
          <w:sz w:val="24"/>
        </w:rPr>
        <w:t>scope of the plan or programme.”</w:t>
      </w:r>
    </w:p>
    <w:p w14:paraId="75A81495" w14:textId="3B05FFCE" w:rsidR="00780EB6" w:rsidRDefault="00992B0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It is thus an express requirement of Regulation 12 that the </w:t>
      </w:r>
      <w:r w:rsidR="00CF261D">
        <w:rPr>
          <w:rFonts w:ascii="Times New Roman" w:hAnsi="Times New Roman"/>
          <w:sz w:val="24"/>
        </w:rPr>
        <w:t>e</w:t>
      </w:r>
      <w:r>
        <w:rPr>
          <w:rFonts w:ascii="Times New Roman" w:hAnsi="Times New Roman"/>
          <w:sz w:val="24"/>
        </w:rPr>
        <w:t xml:space="preserve">nvironmental </w:t>
      </w:r>
      <w:r w:rsidR="00CF261D">
        <w:rPr>
          <w:rFonts w:ascii="Times New Roman" w:hAnsi="Times New Roman"/>
          <w:sz w:val="24"/>
        </w:rPr>
        <w:t>r</w:t>
      </w:r>
      <w:r>
        <w:rPr>
          <w:rFonts w:ascii="Times New Roman" w:hAnsi="Times New Roman"/>
          <w:sz w:val="24"/>
        </w:rPr>
        <w:t xml:space="preserve">eport identifies, describes and evaluates the likely significant effects on the environment of the reasonable alternatives as well as the preferred plan or programme. </w:t>
      </w:r>
      <w:r w:rsidR="00CF261D">
        <w:rPr>
          <w:rFonts w:ascii="Times New Roman" w:hAnsi="Times New Roman"/>
          <w:sz w:val="24"/>
        </w:rPr>
        <w:t xml:space="preserve"> </w:t>
      </w:r>
      <w:r w:rsidR="00780EB6">
        <w:rPr>
          <w:rFonts w:ascii="Times New Roman" w:hAnsi="Times New Roman"/>
          <w:sz w:val="24"/>
        </w:rPr>
        <w:t>The respondents in this case emphasised this point and therefore argued that the decision was of little precedential value and should not be followed.</w:t>
      </w:r>
    </w:p>
    <w:p w14:paraId="4C2A9BDA" w14:textId="7033481E" w:rsidR="00992B09" w:rsidRDefault="00992B0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Jay J. identified six propositions from </w:t>
      </w:r>
      <w:r>
        <w:rPr>
          <w:rFonts w:ascii="Times New Roman" w:hAnsi="Times New Roman"/>
          <w:i/>
          <w:sz w:val="24"/>
        </w:rPr>
        <w:t xml:space="preserve">Save Historic Newmarket </w:t>
      </w:r>
      <w:r>
        <w:rPr>
          <w:rFonts w:ascii="Times New Roman" w:hAnsi="Times New Roman"/>
          <w:sz w:val="24"/>
        </w:rPr>
        <w:t xml:space="preserve">and </w:t>
      </w:r>
      <w:r>
        <w:rPr>
          <w:rFonts w:ascii="Times New Roman" w:hAnsi="Times New Roman"/>
          <w:i/>
          <w:sz w:val="24"/>
        </w:rPr>
        <w:t xml:space="preserve">Heard </w:t>
      </w:r>
      <w:r>
        <w:rPr>
          <w:rFonts w:ascii="Times New Roman" w:hAnsi="Times New Roman"/>
          <w:sz w:val="24"/>
        </w:rPr>
        <w:t>as follows:</w:t>
      </w:r>
      <w:r w:rsidR="00CF261D">
        <w:rPr>
          <w:rFonts w:ascii="Times New Roman" w:hAnsi="Times New Roman"/>
          <w:sz w:val="24"/>
        </w:rPr>
        <w:t>-</w:t>
      </w:r>
    </w:p>
    <w:p w14:paraId="19A9E0A0" w14:textId="11DDDB27" w:rsidR="00933177" w:rsidRPr="00933177" w:rsidRDefault="00CF261D" w:rsidP="00595EEA">
      <w:pPr>
        <w:pStyle w:val="ListParagraph"/>
        <w:spacing w:line="480" w:lineRule="auto"/>
        <w:ind w:left="1134" w:hanging="567"/>
        <w:jc w:val="left"/>
        <w:rPr>
          <w:rFonts w:ascii="Times New Roman" w:hAnsi="Times New Roman"/>
          <w:i/>
          <w:sz w:val="24"/>
        </w:rPr>
      </w:pPr>
      <w:r>
        <w:rPr>
          <w:rFonts w:ascii="Times New Roman" w:hAnsi="Times New Roman"/>
          <w:i/>
          <w:sz w:val="24"/>
        </w:rPr>
        <w:t>“</w:t>
      </w:r>
      <w:r w:rsidR="00933177" w:rsidRPr="00933177">
        <w:rPr>
          <w:rFonts w:ascii="Times New Roman" w:hAnsi="Times New Roman"/>
          <w:i/>
          <w:sz w:val="24"/>
        </w:rPr>
        <w:t xml:space="preserve">(1) </w:t>
      </w:r>
      <w:r w:rsidR="00595EEA">
        <w:rPr>
          <w:rFonts w:ascii="Times New Roman" w:hAnsi="Times New Roman"/>
          <w:i/>
          <w:sz w:val="24"/>
        </w:rPr>
        <w:tab/>
      </w:r>
      <w:r w:rsidR="00933177" w:rsidRPr="00933177">
        <w:rPr>
          <w:rFonts w:ascii="Times New Roman" w:hAnsi="Times New Roman"/>
          <w:i/>
          <w:sz w:val="24"/>
        </w:rPr>
        <w:t>It is necessary to consider reasonable alternatives, and to report on those</w:t>
      </w:r>
      <w:r w:rsidR="00595EEA">
        <w:rPr>
          <w:rFonts w:ascii="Times New Roman" w:hAnsi="Times New Roman"/>
          <w:i/>
          <w:sz w:val="24"/>
        </w:rPr>
        <w:t xml:space="preserve"> </w:t>
      </w:r>
      <w:r w:rsidR="00933177" w:rsidRPr="00933177">
        <w:rPr>
          <w:rFonts w:ascii="Times New Roman" w:hAnsi="Times New Roman"/>
          <w:i/>
          <w:sz w:val="24"/>
        </w:rPr>
        <w:t xml:space="preserve">alternatives and the reasons for their rejection; </w:t>
      </w:r>
    </w:p>
    <w:p w14:paraId="251B1937" w14:textId="77777777" w:rsidR="00933177" w:rsidRPr="00933177" w:rsidRDefault="00933177" w:rsidP="00595EEA">
      <w:pPr>
        <w:pStyle w:val="ListParagraph"/>
        <w:spacing w:line="480" w:lineRule="auto"/>
        <w:ind w:left="1134" w:hanging="567"/>
        <w:jc w:val="left"/>
        <w:rPr>
          <w:rFonts w:ascii="Times New Roman" w:hAnsi="Times New Roman"/>
          <w:i/>
          <w:sz w:val="24"/>
        </w:rPr>
      </w:pPr>
      <w:r w:rsidRPr="00933177">
        <w:rPr>
          <w:rFonts w:ascii="Times New Roman" w:hAnsi="Times New Roman"/>
          <w:i/>
          <w:sz w:val="24"/>
        </w:rPr>
        <w:t xml:space="preserve">(2) </w:t>
      </w:r>
      <w:r w:rsidR="00595EEA">
        <w:rPr>
          <w:rFonts w:ascii="Times New Roman" w:hAnsi="Times New Roman"/>
          <w:i/>
          <w:sz w:val="24"/>
        </w:rPr>
        <w:tab/>
      </w:r>
      <w:r w:rsidRPr="00933177">
        <w:rPr>
          <w:rFonts w:ascii="Times New Roman" w:hAnsi="Times New Roman"/>
          <w:i/>
          <w:sz w:val="24"/>
        </w:rPr>
        <w:t>While options may be rejected as the Plan moves through various stages, and do</w:t>
      </w:r>
      <w:r w:rsidR="00595EEA">
        <w:rPr>
          <w:rFonts w:ascii="Times New Roman" w:hAnsi="Times New Roman"/>
          <w:i/>
          <w:sz w:val="24"/>
        </w:rPr>
        <w:t xml:space="preserve"> </w:t>
      </w:r>
      <w:r w:rsidRPr="00933177">
        <w:rPr>
          <w:rFonts w:ascii="Times New Roman" w:hAnsi="Times New Roman"/>
          <w:i/>
          <w:sz w:val="24"/>
        </w:rPr>
        <w:t>not necessarily fall to be examined at each stage, a description of what alternatives</w:t>
      </w:r>
      <w:r w:rsidR="00595EEA">
        <w:rPr>
          <w:rFonts w:ascii="Times New Roman" w:hAnsi="Times New Roman"/>
          <w:i/>
          <w:sz w:val="24"/>
        </w:rPr>
        <w:t xml:space="preserve"> </w:t>
      </w:r>
      <w:r w:rsidRPr="00933177">
        <w:rPr>
          <w:rFonts w:ascii="Times New Roman" w:hAnsi="Times New Roman"/>
          <w:i/>
          <w:sz w:val="24"/>
        </w:rPr>
        <w:t>were examined and why has to be available for consideration in the environmental</w:t>
      </w:r>
      <w:r w:rsidR="00595EEA">
        <w:rPr>
          <w:rFonts w:ascii="Times New Roman" w:hAnsi="Times New Roman"/>
          <w:i/>
          <w:sz w:val="24"/>
        </w:rPr>
        <w:t xml:space="preserve"> </w:t>
      </w:r>
      <w:r w:rsidRPr="00933177">
        <w:rPr>
          <w:rFonts w:ascii="Times New Roman" w:hAnsi="Times New Roman"/>
          <w:i/>
          <w:sz w:val="24"/>
        </w:rPr>
        <w:t>report;</w:t>
      </w:r>
    </w:p>
    <w:p w14:paraId="1BA32A93" w14:textId="77777777" w:rsidR="00933177" w:rsidRPr="00933177" w:rsidRDefault="00933177" w:rsidP="00595EEA">
      <w:pPr>
        <w:pStyle w:val="ListParagraph"/>
        <w:spacing w:line="480" w:lineRule="auto"/>
        <w:ind w:left="1134" w:hanging="567"/>
        <w:jc w:val="left"/>
        <w:rPr>
          <w:rFonts w:ascii="Times New Roman" w:hAnsi="Times New Roman"/>
          <w:i/>
          <w:sz w:val="24"/>
        </w:rPr>
      </w:pPr>
      <w:r w:rsidRPr="00933177">
        <w:rPr>
          <w:rFonts w:ascii="Times New Roman" w:hAnsi="Times New Roman"/>
          <w:i/>
          <w:sz w:val="24"/>
        </w:rPr>
        <w:t xml:space="preserve">(3) </w:t>
      </w:r>
      <w:r w:rsidR="00595EEA">
        <w:rPr>
          <w:rFonts w:ascii="Times New Roman" w:hAnsi="Times New Roman"/>
          <w:i/>
          <w:sz w:val="24"/>
        </w:rPr>
        <w:tab/>
      </w:r>
      <w:r w:rsidRPr="00933177">
        <w:rPr>
          <w:rFonts w:ascii="Times New Roman" w:hAnsi="Times New Roman"/>
          <w:i/>
          <w:sz w:val="24"/>
        </w:rPr>
        <w:t>It is permissible for the environmental report to refer back to earlier documents, so</w:t>
      </w:r>
      <w:r w:rsidR="00595EEA">
        <w:rPr>
          <w:rFonts w:ascii="Times New Roman" w:hAnsi="Times New Roman"/>
          <w:i/>
          <w:sz w:val="24"/>
        </w:rPr>
        <w:t xml:space="preserve"> </w:t>
      </w:r>
      <w:r w:rsidRPr="00933177">
        <w:rPr>
          <w:rFonts w:ascii="Times New Roman" w:hAnsi="Times New Roman"/>
          <w:i/>
          <w:sz w:val="24"/>
        </w:rPr>
        <w:t>long as the reasons in the earlier documents remain sound;</w:t>
      </w:r>
    </w:p>
    <w:p w14:paraId="5DA509D7" w14:textId="77777777" w:rsidR="00933177" w:rsidRPr="00933177" w:rsidRDefault="00933177" w:rsidP="00595EEA">
      <w:pPr>
        <w:pStyle w:val="ListParagraph"/>
        <w:spacing w:line="480" w:lineRule="auto"/>
        <w:ind w:left="1134" w:hanging="567"/>
        <w:jc w:val="left"/>
        <w:rPr>
          <w:rFonts w:ascii="Times New Roman" w:hAnsi="Times New Roman"/>
          <w:i/>
          <w:sz w:val="24"/>
        </w:rPr>
      </w:pPr>
      <w:r w:rsidRPr="00933177">
        <w:rPr>
          <w:rFonts w:ascii="Times New Roman" w:hAnsi="Times New Roman"/>
          <w:i/>
          <w:sz w:val="24"/>
        </w:rPr>
        <w:t xml:space="preserve">(4) </w:t>
      </w:r>
      <w:r w:rsidR="00595EEA">
        <w:rPr>
          <w:rFonts w:ascii="Times New Roman" w:hAnsi="Times New Roman"/>
          <w:i/>
          <w:sz w:val="24"/>
        </w:rPr>
        <w:tab/>
      </w:r>
      <w:r w:rsidRPr="00933177">
        <w:rPr>
          <w:rFonts w:ascii="Times New Roman" w:hAnsi="Times New Roman"/>
          <w:i/>
          <w:sz w:val="24"/>
        </w:rPr>
        <w:t>The earlier documents must be organised and presented in such a way that it may</w:t>
      </w:r>
      <w:r w:rsidR="00595EEA">
        <w:rPr>
          <w:rFonts w:ascii="Times New Roman" w:hAnsi="Times New Roman"/>
          <w:i/>
          <w:sz w:val="24"/>
        </w:rPr>
        <w:t xml:space="preserve"> </w:t>
      </w:r>
      <w:r w:rsidRPr="00933177">
        <w:rPr>
          <w:rFonts w:ascii="Times New Roman" w:hAnsi="Times New Roman"/>
          <w:i/>
          <w:sz w:val="24"/>
        </w:rPr>
        <w:t>readily be ascertained, without any paper chase being required, what options were</w:t>
      </w:r>
      <w:r w:rsidR="00595EEA">
        <w:rPr>
          <w:rFonts w:ascii="Times New Roman" w:hAnsi="Times New Roman"/>
          <w:i/>
          <w:sz w:val="24"/>
        </w:rPr>
        <w:t xml:space="preserve"> </w:t>
      </w:r>
      <w:r w:rsidRPr="00933177">
        <w:rPr>
          <w:rFonts w:ascii="Times New Roman" w:hAnsi="Times New Roman"/>
          <w:i/>
          <w:sz w:val="24"/>
        </w:rPr>
        <w:t>considered and why they had been rejected;</w:t>
      </w:r>
    </w:p>
    <w:p w14:paraId="1F775F0A" w14:textId="77777777" w:rsidR="00933177" w:rsidRPr="00933177" w:rsidRDefault="00933177" w:rsidP="00595EEA">
      <w:pPr>
        <w:pStyle w:val="ListParagraph"/>
        <w:spacing w:line="480" w:lineRule="auto"/>
        <w:ind w:left="1134" w:hanging="567"/>
        <w:jc w:val="left"/>
        <w:rPr>
          <w:rFonts w:ascii="Times New Roman" w:hAnsi="Times New Roman"/>
          <w:i/>
          <w:sz w:val="24"/>
        </w:rPr>
      </w:pPr>
      <w:r w:rsidRPr="00933177">
        <w:rPr>
          <w:rFonts w:ascii="Times New Roman" w:hAnsi="Times New Roman"/>
          <w:i/>
          <w:sz w:val="24"/>
        </w:rPr>
        <w:t xml:space="preserve">(5) </w:t>
      </w:r>
      <w:r w:rsidR="00595EEA">
        <w:rPr>
          <w:rFonts w:ascii="Times New Roman" w:hAnsi="Times New Roman"/>
          <w:i/>
          <w:sz w:val="24"/>
        </w:rPr>
        <w:tab/>
      </w:r>
      <w:r w:rsidRPr="00933177">
        <w:rPr>
          <w:rFonts w:ascii="Times New Roman" w:hAnsi="Times New Roman"/>
          <w:i/>
          <w:sz w:val="24"/>
        </w:rPr>
        <w:t>The reasons for rejecting earlier options must be summarised in the final report to</w:t>
      </w:r>
      <w:r w:rsidR="00595EEA">
        <w:rPr>
          <w:rFonts w:ascii="Times New Roman" w:hAnsi="Times New Roman"/>
          <w:i/>
          <w:sz w:val="24"/>
        </w:rPr>
        <w:t xml:space="preserve"> </w:t>
      </w:r>
      <w:r w:rsidRPr="00933177">
        <w:rPr>
          <w:rFonts w:ascii="Times New Roman" w:hAnsi="Times New Roman"/>
          <w:i/>
          <w:sz w:val="24"/>
        </w:rPr>
        <w:t>meet the requirements of the SEA Directive;</w:t>
      </w:r>
    </w:p>
    <w:p w14:paraId="4185C59E" w14:textId="7A628F45" w:rsidR="00933177" w:rsidRPr="00933177" w:rsidRDefault="00933177" w:rsidP="00595EEA">
      <w:pPr>
        <w:pStyle w:val="ListParagraph"/>
        <w:spacing w:line="480" w:lineRule="auto"/>
        <w:ind w:left="1134" w:hanging="567"/>
        <w:jc w:val="left"/>
        <w:rPr>
          <w:rFonts w:ascii="Times New Roman" w:hAnsi="Times New Roman"/>
          <w:i/>
          <w:sz w:val="24"/>
        </w:rPr>
      </w:pPr>
      <w:r w:rsidRPr="00933177">
        <w:rPr>
          <w:rFonts w:ascii="Times New Roman" w:hAnsi="Times New Roman"/>
          <w:i/>
          <w:sz w:val="24"/>
        </w:rPr>
        <w:t xml:space="preserve">(6) </w:t>
      </w:r>
      <w:r w:rsidR="00595EEA">
        <w:rPr>
          <w:rFonts w:ascii="Times New Roman" w:hAnsi="Times New Roman"/>
          <w:i/>
          <w:sz w:val="24"/>
        </w:rPr>
        <w:tab/>
      </w:r>
      <w:r w:rsidRPr="00F16828">
        <w:rPr>
          <w:rFonts w:ascii="Times New Roman" w:hAnsi="Times New Roman"/>
          <w:bCs/>
          <w:i/>
          <w:sz w:val="24"/>
          <w:u w:val="single"/>
        </w:rPr>
        <w:t>Alternatives must be subjected to the same level of analysis as the preferred</w:t>
      </w:r>
      <w:r w:rsidR="00595EEA" w:rsidRPr="00F16828">
        <w:rPr>
          <w:rFonts w:ascii="Times New Roman" w:hAnsi="Times New Roman"/>
          <w:bCs/>
          <w:i/>
          <w:sz w:val="24"/>
          <w:u w:val="single"/>
        </w:rPr>
        <w:t xml:space="preserve"> </w:t>
      </w:r>
      <w:r w:rsidRPr="00F16828">
        <w:rPr>
          <w:rFonts w:ascii="Times New Roman" w:hAnsi="Times New Roman"/>
          <w:bCs/>
          <w:i/>
          <w:sz w:val="24"/>
          <w:u w:val="single"/>
        </w:rPr>
        <w:t>option</w:t>
      </w:r>
      <w:r w:rsidRPr="00933177">
        <w:rPr>
          <w:rFonts w:ascii="Times New Roman" w:hAnsi="Times New Roman"/>
          <w:i/>
          <w:sz w:val="24"/>
        </w:rPr>
        <w:t>.</w:t>
      </w:r>
      <w:r w:rsidR="00595EEA">
        <w:rPr>
          <w:rFonts w:ascii="Times New Roman" w:hAnsi="Times New Roman"/>
          <w:i/>
          <w:sz w:val="24"/>
        </w:rPr>
        <w:t>”</w:t>
      </w:r>
      <w:r w:rsidRPr="00933177">
        <w:rPr>
          <w:rFonts w:ascii="Times New Roman" w:hAnsi="Times New Roman"/>
          <w:i/>
          <w:sz w:val="24"/>
        </w:rPr>
        <w:t xml:space="preserve"> </w:t>
      </w:r>
      <w:r w:rsidR="00DE3AA6" w:rsidRPr="004A56E3">
        <w:rPr>
          <w:rFonts w:ascii="Times New Roman" w:hAnsi="Times New Roman"/>
          <w:iCs/>
          <w:sz w:val="24"/>
        </w:rPr>
        <w:t>(emphasis added)</w:t>
      </w:r>
    </w:p>
    <w:p w14:paraId="43FB2713" w14:textId="75994900" w:rsidR="001B4079" w:rsidRDefault="00595EEA"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The respondents in this case argued that Point (6) must be understood in light of the express provisions of Regulation 12 and submit that it does not reflect the requirement of Article 5(1) of the SEA Directive or the SEA Regulations transposing the Directive into Irish law.  </w:t>
      </w:r>
      <w:r w:rsidR="00DE3AA6">
        <w:rPr>
          <w:rFonts w:ascii="Times New Roman" w:hAnsi="Times New Roman"/>
          <w:sz w:val="24"/>
        </w:rPr>
        <w:t>They submitted that w</w:t>
      </w:r>
      <w:r w:rsidR="00A14AA6">
        <w:rPr>
          <w:rFonts w:ascii="Times New Roman" w:hAnsi="Times New Roman"/>
          <w:sz w:val="24"/>
        </w:rPr>
        <w:t>hile Regulation 12 requires this assessment, it does not follow that the SEA Directive impose</w:t>
      </w:r>
      <w:r w:rsidR="00DE3AA6">
        <w:rPr>
          <w:rFonts w:ascii="Times New Roman" w:hAnsi="Times New Roman"/>
          <w:sz w:val="24"/>
        </w:rPr>
        <w:t>s</w:t>
      </w:r>
      <w:r w:rsidR="00A14AA6">
        <w:rPr>
          <w:rFonts w:ascii="Times New Roman" w:hAnsi="Times New Roman"/>
          <w:sz w:val="24"/>
        </w:rPr>
        <w:t xml:space="preserve"> the same obligation.</w:t>
      </w:r>
      <w:r w:rsidR="00DD57F9">
        <w:rPr>
          <w:rFonts w:ascii="Times New Roman" w:hAnsi="Times New Roman"/>
          <w:sz w:val="24"/>
        </w:rPr>
        <w:t xml:space="preserve"> </w:t>
      </w:r>
      <w:r w:rsidR="00A14AA6">
        <w:rPr>
          <w:rFonts w:ascii="Times New Roman" w:hAnsi="Times New Roman"/>
          <w:sz w:val="24"/>
        </w:rPr>
        <w:t xml:space="preserve"> </w:t>
      </w:r>
      <w:r w:rsidR="00DE3AA6">
        <w:rPr>
          <w:rFonts w:ascii="Times New Roman" w:hAnsi="Times New Roman"/>
          <w:sz w:val="24"/>
        </w:rPr>
        <w:t xml:space="preserve">The argument does not address the fact that </w:t>
      </w:r>
      <w:r w:rsidR="00A14AA6">
        <w:rPr>
          <w:rFonts w:ascii="Times New Roman" w:hAnsi="Times New Roman"/>
          <w:sz w:val="24"/>
        </w:rPr>
        <w:t xml:space="preserve">Sales and </w:t>
      </w:r>
      <w:proofErr w:type="spellStart"/>
      <w:r w:rsidR="00A14AA6">
        <w:rPr>
          <w:rFonts w:ascii="Times New Roman" w:hAnsi="Times New Roman"/>
          <w:sz w:val="24"/>
        </w:rPr>
        <w:t>Hickinbottom</w:t>
      </w:r>
      <w:proofErr w:type="spellEnd"/>
      <w:r w:rsidR="00A14AA6">
        <w:rPr>
          <w:rFonts w:ascii="Times New Roman" w:hAnsi="Times New Roman"/>
          <w:sz w:val="24"/>
        </w:rPr>
        <w:t xml:space="preserve"> JJ. each reached the same conclusion based upon their interpretation of the SEA Directive, and not by reference to Regulation 12.</w:t>
      </w:r>
      <w:r w:rsidR="000162AD">
        <w:rPr>
          <w:rFonts w:ascii="Times New Roman" w:hAnsi="Times New Roman"/>
          <w:sz w:val="24"/>
        </w:rPr>
        <w:t xml:space="preserve"> </w:t>
      </w:r>
      <w:r w:rsidR="00DD57F9">
        <w:rPr>
          <w:rFonts w:ascii="Times New Roman" w:hAnsi="Times New Roman"/>
          <w:sz w:val="24"/>
        </w:rPr>
        <w:t xml:space="preserve"> </w:t>
      </w:r>
      <w:r w:rsidR="006666AF">
        <w:rPr>
          <w:rFonts w:ascii="Times New Roman" w:hAnsi="Times New Roman"/>
          <w:i/>
          <w:sz w:val="24"/>
        </w:rPr>
        <w:t>Calverton Parish Council</w:t>
      </w:r>
      <w:r w:rsidR="000162AD">
        <w:rPr>
          <w:rFonts w:ascii="Times New Roman" w:hAnsi="Times New Roman"/>
          <w:sz w:val="24"/>
        </w:rPr>
        <w:t xml:space="preserve"> is n</w:t>
      </w:r>
      <w:r w:rsidR="00F4713A">
        <w:rPr>
          <w:rFonts w:ascii="Times New Roman" w:hAnsi="Times New Roman"/>
          <w:sz w:val="24"/>
        </w:rPr>
        <w:t>ot authority for the proposition that the reasonable alternatives must be subject to full strategic assessment.</w:t>
      </w:r>
    </w:p>
    <w:p w14:paraId="1516D43A" w14:textId="522163AD" w:rsidR="00F747A5" w:rsidRDefault="00241B4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my opinion</w:t>
      </w:r>
      <w:r w:rsidR="00DD57F9">
        <w:rPr>
          <w:rFonts w:ascii="Times New Roman" w:hAnsi="Times New Roman"/>
          <w:sz w:val="24"/>
        </w:rPr>
        <w:t>,</w:t>
      </w:r>
      <w:r>
        <w:rPr>
          <w:rFonts w:ascii="Times New Roman" w:hAnsi="Times New Roman"/>
          <w:sz w:val="24"/>
        </w:rPr>
        <w:t xml:space="preserve"> the purpos</w:t>
      </w:r>
      <w:r w:rsidR="00DE3AA6">
        <w:rPr>
          <w:rFonts w:ascii="Times New Roman" w:hAnsi="Times New Roman"/>
          <w:sz w:val="24"/>
        </w:rPr>
        <w:t>iv</w:t>
      </w:r>
      <w:r>
        <w:rPr>
          <w:rFonts w:ascii="Times New Roman" w:hAnsi="Times New Roman"/>
          <w:sz w:val="24"/>
        </w:rPr>
        <w:t>e interpretation of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the guidance from the Commission and the decisions of the High Court in England and Wales in </w:t>
      </w:r>
      <w:r>
        <w:rPr>
          <w:rFonts w:ascii="Times New Roman" w:hAnsi="Times New Roman"/>
          <w:i/>
          <w:sz w:val="24"/>
        </w:rPr>
        <w:t xml:space="preserve">Ashdown Forest </w:t>
      </w:r>
      <w:r>
        <w:rPr>
          <w:rFonts w:ascii="Times New Roman" w:hAnsi="Times New Roman"/>
          <w:sz w:val="24"/>
        </w:rPr>
        <w:t>and</w:t>
      </w:r>
      <w:r w:rsidR="00A05B6A">
        <w:rPr>
          <w:rFonts w:ascii="Times New Roman" w:hAnsi="Times New Roman"/>
          <w:sz w:val="24"/>
        </w:rPr>
        <w:t xml:space="preserve"> </w:t>
      </w:r>
      <w:r>
        <w:rPr>
          <w:rFonts w:ascii="Times New Roman" w:hAnsi="Times New Roman"/>
          <w:i/>
          <w:sz w:val="24"/>
        </w:rPr>
        <w:t>Friends of the Earth</w:t>
      </w:r>
      <w:r>
        <w:rPr>
          <w:rFonts w:ascii="Times New Roman" w:hAnsi="Times New Roman"/>
          <w:sz w:val="24"/>
        </w:rPr>
        <w:t xml:space="preserve"> all support the view that the assessment of the reasonable alternatives to the preferred plan or programme must be on a comparable basis to the preferred plan or programme</w:t>
      </w:r>
      <w:r w:rsidR="002A3E11">
        <w:rPr>
          <w:rFonts w:ascii="Times New Roman" w:hAnsi="Times New Roman"/>
          <w:sz w:val="24"/>
        </w:rPr>
        <w:t xml:space="preserve"> at the particular stage in an iterative process before a selection is made</w:t>
      </w:r>
      <w:r>
        <w:rPr>
          <w:rFonts w:ascii="Times New Roman" w:hAnsi="Times New Roman"/>
          <w:sz w:val="24"/>
        </w:rPr>
        <w:t xml:space="preserve">.  </w:t>
      </w:r>
    </w:p>
    <w:p w14:paraId="27D8841F" w14:textId="73830CF6" w:rsidR="00595EEA" w:rsidRDefault="00241B4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w:t>
      </w:r>
      <w:r w:rsidR="00F747A5">
        <w:rPr>
          <w:rFonts w:ascii="Times New Roman" w:hAnsi="Times New Roman"/>
          <w:sz w:val="24"/>
        </w:rPr>
        <w:t xml:space="preserve">real </w:t>
      </w:r>
      <w:r>
        <w:rPr>
          <w:rFonts w:ascii="Times New Roman" w:hAnsi="Times New Roman"/>
          <w:sz w:val="24"/>
        </w:rPr>
        <w:t>difficulty posed by this case is whether Chapter 7 of the SEA Environment Report satisfies this obligation.</w:t>
      </w:r>
      <w:r w:rsidR="00A215C3">
        <w:rPr>
          <w:rFonts w:ascii="Times New Roman" w:hAnsi="Times New Roman"/>
          <w:sz w:val="24"/>
        </w:rPr>
        <w:t xml:space="preserve"> </w:t>
      </w:r>
      <w:r w:rsidR="00F747A5">
        <w:rPr>
          <w:rFonts w:ascii="Times New Roman" w:hAnsi="Times New Roman"/>
          <w:sz w:val="24"/>
        </w:rPr>
        <w:t xml:space="preserve"> Does it identify</w:t>
      </w:r>
      <w:r w:rsidR="00213AAB">
        <w:rPr>
          <w:rFonts w:ascii="Times New Roman" w:hAnsi="Times New Roman"/>
          <w:sz w:val="24"/>
        </w:rPr>
        <w:t>, describe</w:t>
      </w:r>
      <w:r w:rsidR="00F747A5">
        <w:rPr>
          <w:rFonts w:ascii="Times New Roman" w:hAnsi="Times New Roman"/>
          <w:sz w:val="24"/>
        </w:rPr>
        <w:t xml:space="preserve"> and evaluate the six options in a manner which complies with the SEA Directive?</w:t>
      </w:r>
    </w:p>
    <w:p w14:paraId="385164F1" w14:textId="66DA6661" w:rsidR="00241B47" w:rsidRDefault="00241B4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Article</w:t>
      </w:r>
      <w:r w:rsidR="00505A2E">
        <w:rPr>
          <w:rFonts w:ascii="Times New Roman" w:hAnsi="Times New Roman"/>
          <w:sz w:val="24"/>
        </w:rPr>
        <w:t>s</w:t>
      </w:r>
      <w:r>
        <w:rPr>
          <w:rFonts w:ascii="Times New Roman" w:hAnsi="Times New Roman"/>
          <w:sz w:val="24"/>
        </w:rPr>
        <w:t xml:space="preserve"> 5(2) and 5(3) of the </w:t>
      </w:r>
      <w:r w:rsidR="00D85F16">
        <w:rPr>
          <w:rFonts w:ascii="Times New Roman" w:hAnsi="Times New Roman"/>
          <w:sz w:val="24"/>
        </w:rPr>
        <w:t xml:space="preserve">SEA </w:t>
      </w:r>
      <w:r>
        <w:rPr>
          <w:rFonts w:ascii="Times New Roman" w:hAnsi="Times New Roman"/>
          <w:sz w:val="24"/>
        </w:rPr>
        <w:t>Directive provide:</w:t>
      </w:r>
      <w:r w:rsidR="00A215C3">
        <w:rPr>
          <w:rFonts w:ascii="Times New Roman" w:hAnsi="Times New Roman"/>
          <w:sz w:val="24"/>
        </w:rPr>
        <w:t>-</w:t>
      </w:r>
    </w:p>
    <w:p w14:paraId="259A3690" w14:textId="77777777" w:rsidR="00FA7117" w:rsidRDefault="00241B47" w:rsidP="00241B47">
      <w:pPr>
        <w:pStyle w:val="ListParagraph"/>
        <w:spacing w:line="480" w:lineRule="auto"/>
        <w:ind w:left="567"/>
        <w:jc w:val="left"/>
        <w:rPr>
          <w:rFonts w:ascii="Times New Roman" w:hAnsi="Times New Roman" w:cs="Times New Roman"/>
          <w:i/>
          <w:sz w:val="24"/>
          <w:szCs w:val="24"/>
        </w:rPr>
      </w:pPr>
      <w:r>
        <w:rPr>
          <w:rFonts w:ascii="Times New Roman" w:hAnsi="Times New Roman"/>
          <w:i/>
          <w:sz w:val="24"/>
        </w:rPr>
        <w:t>“</w:t>
      </w:r>
      <w:r w:rsidR="00FA7117">
        <w:rPr>
          <w:rFonts w:ascii="Times New Roman" w:hAnsi="Times New Roman"/>
          <w:i/>
          <w:sz w:val="24"/>
        </w:rPr>
        <w:t>(</w:t>
      </w:r>
      <w:r w:rsidR="00FA7117" w:rsidRPr="00FA7117">
        <w:rPr>
          <w:rFonts w:ascii="Times New Roman" w:hAnsi="Times New Roman" w:cs="Times New Roman"/>
          <w:i/>
          <w:sz w:val="24"/>
          <w:szCs w:val="24"/>
        </w:rPr>
        <w:t xml:space="preserve">2) The environmental report prepared pursuant to paragraph 1 shall include the </w:t>
      </w:r>
      <w:r w:rsidR="00FA7117" w:rsidRPr="00F16828">
        <w:rPr>
          <w:rFonts w:ascii="Times New Roman" w:hAnsi="Times New Roman" w:cs="Times New Roman"/>
          <w:i/>
          <w:sz w:val="24"/>
          <w:szCs w:val="24"/>
          <w:u w:val="single"/>
        </w:rPr>
        <w:t>information that may reasonably be required</w:t>
      </w:r>
      <w:r w:rsidR="00FA7117" w:rsidRPr="00FA7117">
        <w:rPr>
          <w:rFonts w:ascii="Times New Roman" w:hAnsi="Times New Roman" w:cs="Times New Roman"/>
          <w:i/>
          <w:sz w:val="24"/>
          <w:szCs w:val="24"/>
        </w:rPr>
        <w:t xml:space="preserve"> taking into account current knowledge and methods of assessment, </w:t>
      </w:r>
      <w:r w:rsidR="00FA7117" w:rsidRPr="00F16828">
        <w:rPr>
          <w:rFonts w:ascii="Times New Roman" w:hAnsi="Times New Roman" w:cs="Times New Roman"/>
          <w:i/>
          <w:sz w:val="24"/>
          <w:szCs w:val="24"/>
          <w:u w:val="single"/>
        </w:rPr>
        <w:t>the contents and level of detail in the plan or programme,</w:t>
      </w:r>
      <w:r w:rsidR="00FA7117" w:rsidRPr="00FA7117">
        <w:rPr>
          <w:rFonts w:ascii="Times New Roman" w:hAnsi="Times New Roman" w:cs="Times New Roman"/>
          <w:i/>
          <w:sz w:val="24"/>
          <w:szCs w:val="24"/>
        </w:rPr>
        <w:t xml:space="preserve"> its stage in the decision-making process and the extent to which certain matters are more appropriately a</w:t>
      </w:r>
      <w:r w:rsidR="00FA7117">
        <w:rPr>
          <w:rFonts w:ascii="Times New Roman" w:hAnsi="Times New Roman" w:cs="Times New Roman"/>
          <w:i/>
          <w:sz w:val="24"/>
          <w:szCs w:val="24"/>
        </w:rPr>
        <w:t>ddresse</w:t>
      </w:r>
      <w:r w:rsidR="00FA7117" w:rsidRPr="00FA7117">
        <w:rPr>
          <w:rFonts w:ascii="Times New Roman" w:hAnsi="Times New Roman" w:cs="Times New Roman"/>
          <w:i/>
          <w:sz w:val="24"/>
          <w:szCs w:val="24"/>
        </w:rPr>
        <w:t xml:space="preserve">d at different levels in that process in order to avoid duplication of the assessment. </w:t>
      </w:r>
    </w:p>
    <w:p w14:paraId="38C794C9" w14:textId="77777777" w:rsidR="00241B47" w:rsidRPr="00241B47" w:rsidRDefault="00FA7117" w:rsidP="00241B47">
      <w:pPr>
        <w:pStyle w:val="ListParagraph"/>
        <w:spacing w:line="480" w:lineRule="auto"/>
        <w:ind w:left="567"/>
        <w:jc w:val="left"/>
        <w:rPr>
          <w:rFonts w:ascii="Times New Roman" w:hAnsi="Times New Roman"/>
          <w:i/>
          <w:sz w:val="24"/>
        </w:rPr>
      </w:pPr>
      <w:r>
        <w:rPr>
          <w:rFonts w:ascii="Times New Roman" w:hAnsi="Times New Roman"/>
          <w:i/>
          <w:sz w:val="24"/>
        </w:rPr>
        <w:lastRenderedPageBreak/>
        <w:t xml:space="preserve">(3) </w:t>
      </w:r>
      <w:r w:rsidRPr="00FA7117">
        <w:rPr>
          <w:rFonts w:ascii="Times New Roman" w:hAnsi="Times New Roman" w:cs="Times New Roman"/>
          <w:i/>
          <w:sz w:val="24"/>
          <w:szCs w:val="24"/>
        </w:rPr>
        <w:t>Relevant information available on environmental effects of the plans and programmes and obtained at other levels of decision-making or through other Community legislation may be used for providing the information referred to in Annex I.</w:t>
      </w:r>
      <w:r>
        <w:rPr>
          <w:rFonts w:ascii="Times New Roman" w:hAnsi="Times New Roman" w:cs="Times New Roman"/>
          <w:i/>
          <w:sz w:val="24"/>
          <w:szCs w:val="24"/>
        </w:rPr>
        <w:t xml:space="preserve">” </w:t>
      </w:r>
      <w:r w:rsidR="00213AAB" w:rsidRPr="004A56E3">
        <w:rPr>
          <w:rFonts w:ascii="Times New Roman" w:hAnsi="Times New Roman" w:cs="Times New Roman"/>
          <w:iCs/>
          <w:sz w:val="24"/>
          <w:szCs w:val="24"/>
        </w:rPr>
        <w:t>(emphasis added)</w:t>
      </w:r>
    </w:p>
    <w:p w14:paraId="5BA3BC2F" w14:textId="65F9CB66" w:rsidR="009B34E4" w:rsidRPr="00213AAB" w:rsidRDefault="00CF1792" w:rsidP="00213AA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information to be giv</w:t>
      </w:r>
      <w:r w:rsidR="00213AAB">
        <w:rPr>
          <w:rFonts w:ascii="Times New Roman" w:hAnsi="Times New Roman"/>
          <w:sz w:val="24"/>
        </w:rPr>
        <w:t>en</w:t>
      </w:r>
      <w:r>
        <w:rPr>
          <w:rFonts w:ascii="Times New Roman" w:hAnsi="Times New Roman"/>
          <w:sz w:val="24"/>
        </w:rPr>
        <w:t xml:space="preserve"> in the report is </w:t>
      </w:r>
      <w:r>
        <w:rPr>
          <w:rFonts w:ascii="Times New Roman" w:hAnsi="Times New Roman"/>
          <w:i/>
          <w:sz w:val="24"/>
        </w:rPr>
        <w:t xml:space="preserve">“referred to” </w:t>
      </w:r>
      <w:r w:rsidR="00084B9F">
        <w:rPr>
          <w:rFonts w:ascii="Times New Roman" w:hAnsi="Times New Roman"/>
          <w:sz w:val="24"/>
        </w:rPr>
        <w:t xml:space="preserve">in Annex </w:t>
      </w:r>
      <w:r w:rsidR="00003266">
        <w:rPr>
          <w:rFonts w:ascii="Times New Roman" w:hAnsi="Times New Roman"/>
          <w:sz w:val="24"/>
        </w:rPr>
        <w:t>I</w:t>
      </w:r>
      <w:r w:rsidR="00084B9F">
        <w:rPr>
          <w:rFonts w:ascii="Times New Roman" w:hAnsi="Times New Roman"/>
          <w:sz w:val="24"/>
        </w:rPr>
        <w:t>.  This provides:</w:t>
      </w:r>
      <w:r w:rsidR="00873572">
        <w:rPr>
          <w:rFonts w:ascii="Times New Roman" w:hAnsi="Times New Roman"/>
          <w:sz w:val="24"/>
        </w:rPr>
        <w:t>-</w:t>
      </w:r>
    </w:p>
    <w:p w14:paraId="337736C2" w14:textId="3AFCE2F1" w:rsidR="008A04D1" w:rsidRDefault="00213AAB" w:rsidP="008A04D1">
      <w:pPr>
        <w:pStyle w:val="ListParagraph"/>
        <w:spacing w:line="480" w:lineRule="auto"/>
        <w:ind w:left="567"/>
        <w:jc w:val="left"/>
        <w:rPr>
          <w:rFonts w:ascii="Times New Roman" w:hAnsi="Times New Roman"/>
          <w:i/>
          <w:sz w:val="24"/>
        </w:rPr>
      </w:pPr>
      <w:r>
        <w:rPr>
          <w:rFonts w:ascii="Times New Roman" w:hAnsi="Times New Roman"/>
          <w:i/>
          <w:sz w:val="24"/>
        </w:rPr>
        <w:t>“</w:t>
      </w:r>
      <w:r w:rsidR="008A04D1" w:rsidRPr="008A04D1">
        <w:rPr>
          <w:rFonts w:ascii="Times New Roman" w:hAnsi="Times New Roman"/>
          <w:i/>
          <w:sz w:val="24"/>
        </w:rPr>
        <w:t xml:space="preserve">The information to be provided under Article 5(1), subject to Article 5(2) and (3), is the following: </w:t>
      </w:r>
    </w:p>
    <w:p w14:paraId="7F7C8897"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(a) an outline of the contents, main objectives of the plan or programme and relationship with other relevant plans and programmes; </w:t>
      </w:r>
    </w:p>
    <w:p w14:paraId="6790FA12"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(b) the relevant aspects of the current state of the environment and the likely evolution thereof without implementation of the plan or programme; </w:t>
      </w:r>
    </w:p>
    <w:p w14:paraId="3FD67010"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(c) the environmental characteristics of areas likely to be significantly affected; </w:t>
      </w:r>
    </w:p>
    <w:p w14:paraId="2095E264"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(d) any existing environmental problems which are relevant to the plan or programme including, in particular, those relating to any areas of a particular environmental importance, such as areas designated pursuant to Directives 79/409/EEC and 92/43/EEC; </w:t>
      </w:r>
    </w:p>
    <w:p w14:paraId="311AE23B" w14:textId="2B273E24"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(e) the environmental protection objectives, established at international, Community or Member State level, which are relevant to the plan or programme and the way those objectives and any environmental considerations have been taken into account during its preparation; </w:t>
      </w:r>
    </w:p>
    <w:p w14:paraId="6F65CB58" w14:textId="1BA7A3FC" w:rsidR="008A04D1" w:rsidRPr="003A0406" w:rsidRDefault="008A04D1" w:rsidP="003A0406">
      <w:pPr>
        <w:pStyle w:val="ListParagraph"/>
        <w:spacing w:line="480" w:lineRule="auto"/>
        <w:ind w:left="567"/>
        <w:jc w:val="left"/>
        <w:rPr>
          <w:rFonts w:ascii="Times New Roman" w:hAnsi="Times New Roman"/>
          <w:i/>
          <w:sz w:val="24"/>
        </w:rPr>
      </w:pPr>
      <w:r w:rsidRPr="008A04D1">
        <w:rPr>
          <w:rFonts w:ascii="Times New Roman" w:hAnsi="Times New Roman"/>
          <w:i/>
          <w:sz w:val="24"/>
        </w:rPr>
        <w:t>(f) the likely significant effects</w:t>
      </w:r>
      <w:r w:rsidR="003A0406">
        <w:rPr>
          <w:rStyle w:val="FootnoteReference"/>
          <w:rFonts w:ascii="Times New Roman" w:hAnsi="Times New Roman"/>
          <w:i/>
          <w:sz w:val="24"/>
        </w:rPr>
        <w:footnoteReference w:id="2"/>
      </w:r>
      <w:r w:rsidR="00A261CB">
        <w:rPr>
          <w:rFonts w:ascii="Times New Roman" w:hAnsi="Times New Roman"/>
          <w:i/>
          <w:sz w:val="24"/>
        </w:rPr>
        <w:t xml:space="preserve"> </w:t>
      </w:r>
      <w:r w:rsidRPr="008A04D1">
        <w:rPr>
          <w:rFonts w:ascii="Times New Roman" w:hAnsi="Times New Roman"/>
          <w:i/>
          <w:sz w:val="24"/>
        </w:rPr>
        <w:t xml:space="preserve">on the environment, including on issues such as biodiversity, population, human health, fauna, flora, soil, water, air, climatic factors, </w:t>
      </w:r>
      <w:r w:rsidRPr="008A04D1">
        <w:rPr>
          <w:rFonts w:ascii="Times New Roman" w:hAnsi="Times New Roman"/>
          <w:i/>
          <w:sz w:val="24"/>
        </w:rPr>
        <w:lastRenderedPageBreak/>
        <w:t xml:space="preserve">material assets, cultural heritage including architectural and archaeological heritage, landscape and the interrelationship between the above factors; </w:t>
      </w:r>
    </w:p>
    <w:p w14:paraId="2F36EDF9"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(g) the measures envisaged to prevent, reduce and as fully as possible offset any significant adverse effects on the environment of implementing the plan or programme; </w:t>
      </w:r>
    </w:p>
    <w:p w14:paraId="69543ECC"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(h) an outline of the reasons for selecting the alternatives dealt with, and a description of how the assessment was undertaken including any difficulties (such as technical deficiencies or lack of know-how) encountered in compiling the required information; </w:t>
      </w:r>
    </w:p>
    <w:p w14:paraId="5FFA140A" w14:textId="77777777" w:rsidR="008A04D1"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 xml:space="preserve">(i) a description of the measures envisaged concerning monitoring in accordance with Article 10; </w:t>
      </w:r>
    </w:p>
    <w:p w14:paraId="2EE0DD00" w14:textId="77777777" w:rsidR="00A261CB" w:rsidRDefault="008A04D1" w:rsidP="008A04D1">
      <w:pPr>
        <w:pStyle w:val="ListParagraph"/>
        <w:spacing w:line="480" w:lineRule="auto"/>
        <w:ind w:left="567"/>
        <w:jc w:val="left"/>
        <w:rPr>
          <w:rFonts w:ascii="Times New Roman" w:hAnsi="Times New Roman"/>
          <w:i/>
          <w:sz w:val="24"/>
        </w:rPr>
      </w:pPr>
      <w:r w:rsidRPr="008A04D1">
        <w:rPr>
          <w:rFonts w:ascii="Times New Roman" w:hAnsi="Times New Roman"/>
          <w:i/>
          <w:sz w:val="24"/>
        </w:rPr>
        <w:t>(j) a non-technical summary of the information provided under the above headings.</w:t>
      </w:r>
    </w:p>
    <w:p w14:paraId="7B271FEA" w14:textId="600609E9" w:rsidR="00084B9F" w:rsidRDefault="00084B9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information to be provided is that which </w:t>
      </w:r>
      <w:r>
        <w:rPr>
          <w:rFonts w:ascii="Times New Roman" w:hAnsi="Times New Roman"/>
          <w:i/>
          <w:sz w:val="24"/>
        </w:rPr>
        <w:t xml:space="preserve">“may reasonably </w:t>
      </w:r>
      <w:r w:rsidR="00690118">
        <w:rPr>
          <w:rFonts w:ascii="Times New Roman" w:hAnsi="Times New Roman"/>
          <w:i/>
          <w:sz w:val="24"/>
        </w:rPr>
        <w:t xml:space="preserve">be </w:t>
      </w:r>
      <w:r>
        <w:rPr>
          <w:rFonts w:ascii="Times New Roman" w:hAnsi="Times New Roman"/>
          <w:i/>
          <w:sz w:val="24"/>
        </w:rPr>
        <w:t>require</w:t>
      </w:r>
      <w:r w:rsidR="00690118">
        <w:rPr>
          <w:rFonts w:ascii="Times New Roman" w:hAnsi="Times New Roman"/>
          <w:i/>
          <w:sz w:val="24"/>
        </w:rPr>
        <w:t>d</w:t>
      </w:r>
      <w:r>
        <w:rPr>
          <w:rFonts w:ascii="Times New Roman" w:hAnsi="Times New Roman"/>
          <w:i/>
          <w:sz w:val="24"/>
        </w:rPr>
        <w:t>”</w:t>
      </w:r>
      <w:r>
        <w:rPr>
          <w:rFonts w:ascii="Times New Roman" w:hAnsi="Times New Roman"/>
          <w:sz w:val="24"/>
        </w:rPr>
        <w:t xml:space="preserve">. </w:t>
      </w:r>
      <w:r w:rsidR="005F0166">
        <w:rPr>
          <w:rFonts w:ascii="Times New Roman" w:hAnsi="Times New Roman"/>
          <w:sz w:val="24"/>
        </w:rPr>
        <w:t xml:space="preserve"> </w:t>
      </w:r>
      <w:r>
        <w:rPr>
          <w:rFonts w:ascii="Times New Roman" w:hAnsi="Times New Roman"/>
          <w:sz w:val="24"/>
        </w:rPr>
        <w:t xml:space="preserve">It is a question of degree as to the </w:t>
      </w:r>
      <w:r w:rsidR="00690118">
        <w:rPr>
          <w:rFonts w:ascii="Times New Roman" w:hAnsi="Times New Roman"/>
          <w:sz w:val="24"/>
        </w:rPr>
        <w:t xml:space="preserve">level of </w:t>
      </w:r>
      <w:r>
        <w:rPr>
          <w:rFonts w:ascii="Times New Roman" w:hAnsi="Times New Roman"/>
          <w:sz w:val="24"/>
        </w:rPr>
        <w:t>detail which must be provided.  The Commission Guidance document notes at para. 5.16:</w:t>
      </w:r>
      <w:r w:rsidR="005F0166">
        <w:rPr>
          <w:rFonts w:ascii="Times New Roman" w:hAnsi="Times New Roman"/>
          <w:sz w:val="24"/>
        </w:rPr>
        <w:t>-</w:t>
      </w:r>
    </w:p>
    <w:p w14:paraId="2700599B" w14:textId="2783EFEA" w:rsidR="005445DB" w:rsidRDefault="00084B9F" w:rsidP="00572A05">
      <w:pPr>
        <w:pStyle w:val="ListParagraph"/>
        <w:spacing w:line="480" w:lineRule="auto"/>
        <w:ind w:left="567"/>
        <w:jc w:val="left"/>
        <w:rPr>
          <w:rFonts w:ascii="Times New Roman" w:hAnsi="Times New Roman"/>
          <w:i/>
          <w:sz w:val="24"/>
        </w:rPr>
      </w:pPr>
      <w:r>
        <w:rPr>
          <w:rFonts w:ascii="Times New Roman" w:hAnsi="Times New Roman"/>
          <w:i/>
          <w:sz w:val="24"/>
        </w:rPr>
        <w:t>“</w:t>
      </w:r>
      <w:r w:rsidR="00572A05">
        <w:rPr>
          <w:rFonts w:ascii="Times New Roman" w:hAnsi="Times New Roman"/>
          <w:i/>
          <w:sz w:val="24"/>
        </w:rPr>
        <w:t>T</w:t>
      </w:r>
      <w:r w:rsidR="00572A05" w:rsidRPr="00572A05">
        <w:rPr>
          <w:rFonts w:ascii="Times New Roman" w:hAnsi="Times New Roman"/>
          <w:i/>
          <w:sz w:val="24"/>
        </w:rPr>
        <w:t>he reference to ‘contents and level of detail in the plan or programme’ is a recognition that, in the environmental report for a broad-brush plan or programme, very detailed information and analysis may not be necessary, (for example, a plan or programme at the top of a hierarchy which descends from the general to the particular); whereas much more detail would be expected for a plan or programme that itself contained a higher level of detail</w:t>
      </w:r>
      <w:r w:rsidR="005F0166">
        <w:rPr>
          <w:rFonts w:ascii="Times New Roman" w:hAnsi="Times New Roman"/>
          <w:i/>
          <w:sz w:val="24"/>
        </w:rPr>
        <w:t>.</w:t>
      </w:r>
      <w:r w:rsidR="005445DB">
        <w:rPr>
          <w:rFonts w:ascii="Times New Roman" w:hAnsi="Times New Roman"/>
          <w:i/>
          <w:sz w:val="24"/>
        </w:rPr>
        <w:t>”</w:t>
      </w:r>
      <w:r w:rsidR="00572A05" w:rsidRPr="00572A05">
        <w:rPr>
          <w:rFonts w:ascii="Times New Roman" w:hAnsi="Times New Roman"/>
          <w:i/>
          <w:sz w:val="24"/>
        </w:rPr>
        <w:t xml:space="preserve"> </w:t>
      </w:r>
    </w:p>
    <w:p w14:paraId="537A640D" w14:textId="0B97A4D3" w:rsidR="00E66F04" w:rsidRPr="009B3E4D" w:rsidRDefault="005445DB" w:rsidP="009B3E4D">
      <w:pPr>
        <w:tabs>
          <w:tab w:val="left" w:pos="567"/>
        </w:tabs>
        <w:spacing w:line="480" w:lineRule="auto"/>
      </w:pPr>
      <w:r w:rsidRPr="009B3E4D">
        <w:t xml:space="preserve">All that is absolutely required by the Directive is that the information be that identified in Annex </w:t>
      </w:r>
      <w:r w:rsidR="00DA01FB">
        <w:t>I</w:t>
      </w:r>
      <w:r w:rsidRPr="009B3E4D">
        <w:t>.</w:t>
      </w:r>
      <w:r w:rsidR="00E66F04" w:rsidRPr="009B3E4D">
        <w:t xml:space="preserve"> </w:t>
      </w:r>
    </w:p>
    <w:p w14:paraId="195D3146" w14:textId="74BFD51D" w:rsidR="00E66F04" w:rsidRDefault="00E66F04" w:rsidP="004A56E3">
      <w:pPr>
        <w:pStyle w:val="ListParagraph"/>
        <w:numPr>
          <w:ilvl w:val="0"/>
          <w:numId w:val="1"/>
        </w:numPr>
        <w:tabs>
          <w:tab w:val="left" w:pos="567"/>
        </w:tabs>
        <w:spacing w:line="480" w:lineRule="auto"/>
        <w:ind w:left="0" w:firstLine="0"/>
        <w:jc w:val="left"/>
        <w:rPr>
          <w:rFonts w:ascii="Times New Roman" w:hAnsi="Times New Roman"/>
          <w:sz w:val="24"/>
        </w:rPr>
      </w:pPr>
      <w:r w:rsidRPr="00847912">
        <w:rPr>
          <w:rFonts w:ascii="Times New Roman" w:hAnsi="Times New Roman"/>
          <w:sz w:val="24"/>
        </w:rPr>
        <w:t>In assessing whether any particular report identifies, describes and evaluates the likely significant environmental effects</w:t>
      </w:r>
      <w:r w:rsidR="00A6785A">
        <w:rPr>
          <w:rFonts w:ascii="Times New Roman" w:hAnsi="Times New Roman"/>
          <w:sz w:val="24"/>
        </w:rPr>
        <w:t>,</w:t>
      </w:r>
      <w:r w:rsidRPr="00847912">
        <w:rPr>
          <w:rFonts w:ascii="Times New Roman" w:hAnsi="Times New Roman"/>
          <w:sz w:val="24"/>
        </w:rPr>
        <w:t xml:space="preserve"> as required by Article 5(1)</w:t>
      </w:r>
      <w:r w:rsidR="00A6785A">
        <w:rPr>
          <w:rFonts w:ascii="Times New Roman" w:hAnsi="Times New Roman"/>
          <w:sz w:val="24"/>
        </w:rPr>
        <w:t>,</w:t>
      </w:r>
      <w:r w:rsidRPr="00847912">
        <w:rPr>
          <w:rFonts w:ascii="Times New Roman" w:hAnsi="Times New Roman"/>
          <w:sz w:val="24"/>
        </w:rPr>
        <w:t xml:space="preserve"> one must have regard </w:t>
      </w:r>
      <w:r w:rsidRPr="00847912">
        <w:rPr>
          <w:rFonts w:ascii="Times New Roman" w:hAnsi="Times New Roman"/>
          <w:sz w:val="24"/>
        </w:rPr>
        <w:lastRenderedPageBreak/>
        <w:t>to the nature of the plan in question.  The NPF is a very high</w:t>
      </w:r>
      <w:r w:rsidR="00CD08CE">
        <w:rPr>
          <w:rFonts w:ascii="Times New Roman" w:hAnsi="Times New Roman"/>
          <w:sz w:val="24"/>
        </w:rPr>
        <w:t>-</w:t>
      </w:r>
      <w:r w:rsidRPr="00847912">
        <w:rPr>
          <w:rFonts w:ascii="Times New Roman" w:hAnsi="Times New Roman"/>
          <w:sz w:val="24"/>
        </w:rPr>
        <w:t>level document.</w:t>
      </w:r>
      <w:r w:rsidR="00A6785A">
        <w:rPr>
          <w:rFonts w:ascii="Times New Roman" w:hAnsi="Times New Roman"/>
          <w:sz w:val="24"/>
        </w:rPr>
        <w:t xml:space="preserve"> </w:t>
      </w:r>
      <w:r w:rsidRPr="00847912">
        <w:rPr>
          <w:rFonts w:ascii="Times New Roman" w:hAnsi="Times New Roman"/>
          <w:sz w:val="24"/>
        </w:rPr>
        <w:t xml:space="preserve"> </w:t>
      </w:r>
      <w:r>
        <w:rPr>
          <w:rFonts w:ascii="Times New Roman" w:hAnsi="Times New Roman"/>
          <w:sz w:val="24"/>
        </w:rPr>
        <w:t xml:space="preserve">It is at the top of the hierarchy of development plans in the </w:t>
      </w:r>
      <w:r w:rsidR="00A6785A">
        <w:rPr>
          <w:rFonts w:ascii="Times New Roman" w:hAnsi="Times New Roman"/>
          <w:sz w:val="24"/>
        </w:rPr>
        <w:t>s</w:t>
      </w:r>
      <w:r>
        <w:rPr>
          <w:rFonts w:ascii="Times New Roman" w:hAnsi="Times New Roman"/>
          <w:sz w:val="24"/>
        </w:rPr>
        <w:t>tate.</w:t>
      </w:r>
      <w:r w:rsidR="00A6785A">
        <w:rPr>
          <w:rFonts w:ascii="Times New Roman" w:hAnsi="Times New Roman"/>
          <w:sz w:val="24"/>
        </w:rPr>
        <w:t xml:space="preserve"> </w:t>
      </w:r>
      <w:r w:rsidRPr="00847912">
        <w:rPr>
          <w:rFonts w:ascii="Times New Roman" w:hAnsi="Times New Roman"/>
          <w:sz w:val="24"/>
        </w:rPr>
        <w:t xml:space="preserve"> It </w:t>
      </w:r>
      <w:r>
        <w:rPr>
          <w:rFonts w:ascii="Times New Roman" w:hAnsi="Times New Roman"/>
          <w:sz w:val="24"/>
        </w:rPr>
        <w:t>establishes</w:t>
      </w:r>
      <w:r w:rsidRPr="00847912">
        <w:rPr>
          <w:rFonts w:ascii="Times New Roman" w:hAnsi="Times New Roman"/>
          <w:sz w:val="24"/>
        </w:rPr>
        <w:t xml:space="preserve"> the spatial and planning framework for Ireland until 2040.  The degree to which the likely significant effects on the environment of such a plan can be identified, described and evaluated is limited giv</w:t>
      </w:r>
      <w:r w:rsidR="009B3E4D">
        <w:rPr>
          <w:rFonts w:ascii="Times New Roman" w:hAnsi="Times New Roman"/>
          <w:sz w:val="24"/>
        </w:rPr>
        <w:t>en</w:t>
      </w:r>
      <w:r w:rsidRPr="00847912">
        <w:rPr>
          <w:rFonts w:ascii="Times New Roman" w:hAnsi="Times New Roman"/>
          <w:sz w:val="24"/>
        </w:rPr>
        <w:t xml:space="preserve"> the nature and timespan of the plan in question.  </w:t>
      </w:r>
    </w:p>
    <w:p w14:paraId="7CD8BC93" w14:textId="0FB3A33A" w:rsidR="002E60EA" w:rsidRPr="005E487A" w:rsidRDefault="00E66F04" w:rsidP="004A56E3">
      <w:pPr>
        <w:pStyle w:val="ListParagraph"/>
        <w:numPr>
          <w:ilvl w:val="0"/>
          <w:numId w:val="1"/>
        </w:numPr>
        <w:tabs>
          <w:tab w:val="left" w:pos="567"/>
        </w:tabs>
        <w:spacing w:line="480" w:lineRule="auto"/>
        <w:ind w:left="0" w:firstLine="0"/>
        <w:jc w:val="left"/>
        <w:rPr>
          <w:rFonts w:ascii="Times New Roman" w:hAnsi="Times New Roman"/>
          <w:b/>
          <w:i/>
          <w:sz w:val="24"/>
        </w:rPr>
      </w:pPr>
      <w:r w:rsidRPr="00847912">
        <w:rPr>
          <w:rFonts w:ascii="Times New Roman" w:hAnsi="Times New Roman"/>
          <w:sz w:val="24"/>
        </w:rPr>
        <w:t xml:space="preserve">Article 5(2) requires that the report </w:t>
      </w:r>
      <w:r w:rsidRPr="00847912">
        <w:rPr>
          <w:rFonts w:ascii="Times New Roman" w:hAnsi="Times New Roman"/>
          <w:i/>
          <w:sz w:val="24"/>
        </w:rPr>
        <w:t>“includes the information that may reasonably be required”</w:t>
      </w:r>
      <w:r w:rsidRPr="00847912">
        <w:rPr>
          <w:rFonts w:ascii="Times New Roman" w:hAnsi="Times New Roman"/>
          <w:sz w:val="24"/>
        </w:rPr>
        <w:t xml:space="preserve"> and it specifically recognised that very detailed information and analysis may not be necessary for a plan at the top of the hierarchy which descends from the general to the particular. </w:t>
      </w:r>
      <w:r w:rsidR="002171FA">
        <w:rPr>
          <w:rFonts w:ascii="Times New Roman" w:hAnsi="Times New Roman"/>
          <w:sz w:val="24"/>
        </w:rPr>
        <w:t xml:space="preserve"> </w:t>
      </w:r>
      <w:r>
        <w:rPr>
          <w:rFonts w:ascii="Times New Roman" w:hAnsi="Times New Roman"/>
          <w:sz w:val="24"/>
        </w:rPr>
        <w:t>The Commission’s guidance also recognises that very detailed information and analysis may not be necessary in respect of such a plan.</w:t>
      </w:r>
    </w:p>
    <w:p w14:paraId="2BC3AB8E" w14:textId="355A87F7" w:rsidR="00DE7C87" w:rsidRPr="00424F31" w:rsidRDefault="00DE7C87" w:rsidP="00BD4183">
      <w:pPr>
        <w:pStyle w:val="ListParagraph"/>
        <w:tabs>
          <w:tab w:val="left" w:pos="567"/>
          <w:tab w:val="left" w:pos="1843"/>
        </w:tabs>
        <w:spacing w:line="480" w:lineRule="auto"/>
        <w:ind w:left="0"/>
        <w:jc w:val="left"/>
        <w:rPr>
          <w:rFonts w:ascii="Times New Roman" w:hAnsi="Times New Roman"/>
          <w:b/>
          <w:i/>
          <w:sz w:val="24"/>
        </w:rPr>
      </w:pPr>
      <w:r w:rsidRPr="00424F31">
        <w:rPr>
          <w:rFonts w:ascii="Times New Roman" w:hAnsi="Times New Roman"/>
          <w:b/>
          <w:i/>
          <w:sz w:val="24"/>
        </w:rPr>
        <w:t>The SEA Environmental Report</w:t>
      </w:r>
    </w:p>
    <w:p w14:paraId="0C993BA2" w14:textId="1E24CB59" w:rsidR="00A55C6D" w:rsidRDefault="006561EC"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SEA Environmental Report is a detailed document </w:t>
      </w:r>
      <w:r w:rsidR="002171FA">
        <w:rPr>
          <w:rFonts w:ascii="Times New Roman" w:hAnsi="Times New Roman"/>
          <w:sz w:val="24"/>
        </w:rPr>
        <w:t>–</w:t>
      </w:r>
      <w:r w:rsidR="00B10447">
        <w:rPr>
          <w:rFonts w:ascii="Times New Roman" w:hAnsi="Times New Roman"/>
          <w:sz w:val="24"/>
        </w:rPr>
        <w:t xml:space="preserve"> </w:t>
      </w:r>
      <w:r>
        <w:rPr>
          <w:rFonts w:ascii="Times New Roman" w:hAnsi="Times New Roman"/>
          <w:sz w:val="24"/>
        </w:rPr>
        <w:t xml:space="preserve">250 pages </w:t>
      </w:r>
      <w:r w:rsidR="00DE7C87">
        <w:rPr>
          <w:rFonts w:ascii="Times New Roman" w:hAnsi="Times New Roman"/>
          <w:sz w:val="24"/>
        </w:rPr>
        <w:t>long</w:t>
      </w:r>
      <w:r w:rsidR="002171FA">
        <w:rPr>
          <w:rFonts w:ascii="Times New Roman" w:hAnsi="Times New Roman"/>
          <w:sz w:val="24"/>
        </w:rPr>
        <w:t>,</w:t>
      </w:r>
      <w:r w:rsidR="00DE7C87">
        <w:rPr>
          <w:rFonts w:ascii="Times New Roman" w:hAnsi="Times New Roman"/>
          <w:sz w:val="24"/>
        </w:rPr>
        <w:t xml:space="preserve"> </w:t>
      </w:r>
      <w:r>
        <w:rPr>
          <w:rFonts w:ascii="Times New Roman" w:hAnsi="Times New Roman"/>
          <w:sz w:val="24"/>
        </w:rPr>
        <w:t>inclusive of appendi</w:t>
      </w:r>
      <w:r w:rsidR="00DE7C87">
        <w:rPr>
          <w:rFonts w:ascii="Times New Roman" w:hAnsi="Times New Roman"/>
          <w:sz w:val="24"/>
        </w:rPr>
        <w:t>c</w:t>
      </w:r>
      <w:r>
        <w:rPr>
          <w:rFonts w:ascii="Times New Roman" w:hAnsi="Times New Roman"/>
          <w:sz w:val="24"/>
        </w:rPr>
        <w:t>es.  The non-technical summary states that the purpose of the report is</w:t>
      </w:r>
      <w:r w:rsidR="002171FA">
        <w:rPr>
          <w:rFonts w:ascii="Times New Roman" w:hAnsi="Times New Roman"/>
          <w:sz w:val="24"/>
        </w:rPr>
        <w:t>,</w:t>
      </w:r>
      <w:r>
        <w:rPr>
          <w:rFonts w:ascii="Times New Roman" w:hAnsi="Times New Roman"/>
          <w:sz w:val="24"/>
        </w:rPr>
        <w:t xml:space="preserve"> </w:t>
      </w:r>
      <w:r>
        <w:rPr>
          <w:rFonts w:ascii="Times New Roman" w:hAnsi="Times New Roman"/>
          <w:i/>
          <w:sz w:val="24"/>
        </w:rPr>
        <w:t>inter alia</w:t>
      </w:r>
      <w:r w:rsidR="002171FA">
        <w:rPr>
          <w:rFonts w:ascii="Times New Roman" w:hAnsi="Times New Roman"/>
          <w:iCs/>
          <w:sz w:val="24"/>
        </w:rPr>
        <w:t>,</w:t>
      </w:r>
      <w:r>
        <w:rPr>
          <w:rFonts w:ascii="Times New Roman" w:hAnsi="Times New Roman"/>
          <w:i/>
          <w:sz w:val="24"/>
        </w:rPr>
        <w:t xml:space="preserve"> </w:t>
      </w:r>
      <w:r>
        <w:rPr>
          <w:rFonts w:ascii="Times New Roman" w:hAnsi="Times New Roman"/>
          <w:sz w:val="24"/>
        </w:rPr>
        <w:t>to identify, describe and evaluate the likely significant effects of the draft NPF and its reasonable alternatives</w:t>
      </w:r>
      <w:r w:rsidR="002171FA">
        <w:rPr>
          <w:rFonts w:ascii="Times New Roman" w:hAnsi="Times New Roman"/>
          <w:sz w:val="24"/>
        </w:rPr>
        <w:t>,</w:t>
      </w:r>
      <w:r>
        <w:rPr>
          <w:rFonts w:ascii="Times New Roman" w:hAnsi="Times New Roman"/>
          <w:sz w:val="24"/>
        </w:rPr>
        <w:t xml:space="preserve"> and to provide an early opportunity for the statutory authorities and the public to offer views on any aspect of the </w:t>
      </w:r>
      <w:r w:rsidR="002171FA">
        <w:rPr>
          <w:rFonts w:ascii="Times New Roman" w:hAnsi="Times New Roman"/>
          <w:sz w:val="24"/>
        </w:rPr>
        <w:t>e</w:t>
      </w:r>
      <w:r>
        <w:rPr>
          <w:rFonts w:ascii="Times New Roman" w:hAnsi="Times New Roman"/>
          <w:sz w:val="24"/>
        </w:rPr>
        <w:t xml:space="preserve">nvironmental </w:t>
      </w:r>
      <w:r w:rsidR="002171FA">
        <w:rPr>
          <w:rFonts w:ascii="Times New Roman" w:hAnsi="Times New Roman"/>
          <w:sz w:val="24"/>
        </w:rPr>
        <w:t>r</w:t>
      </w:r>
      <w:r>
        <w:rPr>
          <w:rFonts w:ascii="Times New Roman" w:hAnsi="Times New Roman"/>
          <w:sz w:val="24"/>
        </w:rPr>
        <w:t>eport</w:t>
      </w:r>
      <w:r w:rsidR="00C3243E">
        <w:rPr>
          <w:rFonts w:ascii="Times New Roman" w:hAnsi="Times New Roman"/>
          <w:sz w:val="24"/>
        </w:rPr>
        <w:t>,</w:t>
      </w:r>
      <w:r>
        <w:rPr>
          <w:rFonts w:ascii="Times New Roman" w:hAnsi="Times New Roman"/>
          <w:sz w:val="24"/>
        </w:rPr>
        <w:t xml:space="preserve"> and accompanying NPF documentation</w:t>
      </w:r>
      <w:r w:rsidR="002171FA">
        <w:rPr>
          <w:rFonts w:ascii="Times New Roman" w:hAnsi="Times New Roman"/>
          <w:sz w:val="24"/>
        </w:rPr>
        <w:t>,</w:t>
      </w:r>
      <w:r>
        <w:rPr>
          <w:rFonts w:ascii="Times New Roman" w:hAnsi="Times New Roman"/>
          <w:sz w:val="24"/>
        </w:rPr>
        <w:t xml:space="preserve"> through consultation.  It notes that fifteen years after the launch of the </w:t>
      </w:r>
      <w:r w:rsidR="002171FA">
        <w:rPr>
          <w:rFonts w:ascii="Times New Roman" w:hAnsi="Times New Roman"/>
          <w:sz w:val="24"/>
        </w:rPr>
        <w:t>NSS,</w:t>
      </w:r>
      <w:r>
        <w:rPr>
          <w:rFonts w:ascii="Times New Roman" w:hAnsi="Times New Roman"/>
          <w:sz w:val="24"/>
        </w:rPr>
        <w:t xml:space="preserve"> some of the key ambitions in the NSS have not been realised</w:t>
      </w:r>
      <w:r w:rsidR="00DE7C87">
        <w:rPr>
          <w:rFonts w:ascii="Times New Roman" w:hAnsi="Times New Roman"/>
          <w:sz w:val="24"/>
        </w:rPr>
        <w:t xml:space="preserve">, </w:t>
      </w:r>
      <w:r>
        <w:rPr>
          <w:rFonts w:ascii="Times New Roman" w:hAnsi="Times New Roman"/>
          <w:sz w:val="24"/>
        </w:rPr>
        <w:t>with development</w:t>
      </w:r>
      <w:r w:rsidR="002171FA">
        <w:rPr>
          <w:rFonts w:ascii="Times New Roman" w:hAnsi="Times New Roman"/>
          <w:sz w:val="24"/>
        </w:rPr>
        <w:t>-</w:t>
      </w:r>
      <w:r>
        <w:rPr>
          <w:rFonts w:ascii="Times New Roman" w:hAnsi="Times New Roman"/>
          <w:sz w:val="24"/>
        </w:rPr>
        <w:t>driven planning and sprawl continuing to be prevalent.  The purpose of the draft NPF is to provide a focal point for spatial plans throughout the planning hierarchy and is a long</w:t>
      </w:r>
      <w:r w:rsidR="002171FA">
        <w:rPr>
          <w:rFonts w:ascii="Times New Roman" w:hAnsi="Times New Roman"/>
          <w:sz w:val="24"/>
        </w:rPr>
        <w:t>-</w:t>
      </w:r>
      <w:r>
        <w:rPr>
          <w:rFonts w:ascii="Times New Roman" w:hAnsi="Times New Roman"/>
          <w:sz w:val="24"/>
        </w:rPr>
        <w:t xml:space="preserve">term strategy for the next twenty years.  The authors, RPS, note that as part of the SEA </w:t>
      </w:r>
      <w:r w:rsidR="00235F35">
        <w:rPr>
          <w:rFonts w:ascii="Times New Roman" w:hAnsi="Times New Roman"/>
          <w:sz w:val="24"/>
        </w:rPr>
        <w:t>S</w:t>
      </w:r>
      <w:r>
        <w:rPr>
          <w:rFonts w:ascii="Times New Roman" w:hAnsi="Times New Roman"/>
          <w:sz w:val="24"/>
        </w:rPr>
        <w:t xml:space="preserve">coping, </w:t>
      </w:r>
      <w:r w:rsidR="00A55C6D">
        <w:rPr>
          <w:rFonts w:ascii="Times New Roman" w:hAnsi="Times New Roman"/>
          <w:sz w:val="24"/>
        </w:rPr>
        <w:t>statutory consultees were consulted and, taking into consider</w:t>
      </w:r>
      <w:r w:rsidR="00DE7C87">
        <w:rPr>
          <w:rFonts w:ascii="Times New Roman" w:hAnsi="Times New Roman"/>
          <w:sz w:val="24"/>
        </w:rPr>
        <w:t>ation</w:t>
      </w:r>
      <w:r w:rsidR="00A55C6D">
        <w:rPr>
          <w:rFonts w:ascii="Times New Roman" w:hAnsi="Times New Roman"/>
          <w:sz w:val="24"/>
        </w:rPr>
        <w:t xml:space="preserve"> feedback from the consultees, a broad assessment of the potential for the plan to influence the environment was carried out.  All of the environmental topics listed in the SEA Directive were scoped in for the assessment of the plan.  In addition, a workshop was </w:t>
      </w:r>
      <w:r w:rsidR="005E7A33">
        <w:rPr>
          <w:rFonts w:ascii="Times New Roman" w:hAnsi="Times New Roman"/>
          <w:sz w:val="24"/>
        </w:rPr>
        <w:t xml:space="preserve">undertaken </w:t>
      </w:r>
      <w:r w:rsidR="00CD08CE">
        <w:rPr>
          <w:rFonts w:ascii="Times New Roman" w:hAnsi="Times New Roman"/>
          <w:sz w:val="24"/>
        </w:rPr>
        <w:t xml:space="preserve">in May 2017 </w:t>
      </w:r>
      <w:r w:rsidR="00A55C6D">
        <w:rPr>
          <w:rFonts w:ascii="Times New Roman" w:hAnsi="Times New Roman"/>
          <w:sz w:val="24"/>
        </w:rPr>
        <w:lastRenderedPageBreak/>
        <w:t>with a wide group of stakeholders following the publication of the Department</w:t>
      </w:r>
      <w:r w:rsidR="00DE7C87">
        <w:rPr>
          <w:rFonts w:ascii="Times New Roman" w:hAnsi="Times New Roman"/>
          <w:sz w:val="24"/>
        </w:rPr>
        <w:t>’s</w:t>
      </w:r>
      <w:r w:rsidR="00A55C6D">
        <w:rPr>
          <w:rFonts w:ascii="Times New Roman" w:hAnsi="Times New Roman"/>
          <w:sz w:val="24"/>
        </w:rPr>
        <w:t xml:space="preserve"> </w:t>
      </w:r>
      <w:r w:rsidR="00235F35">
        <w:rPr>
          <w:rFonts w:ascii="Times New Roman" w:hAnsi="Times New Roman"/>
          <w:sz w:val="24"/>
        </w:rPr>
        <w:t>“</w:t>
      </w:r>
      <w:r w:rsidR="00A55C6D">
        <w:rPr>
          <w:rFonts w:ascii="Times New Roman" w:hAnsi="Times New Roman"/>
          <w:sz w:val="24"/>
        </w:rPr>
        <w:t>Issues and Choices Paper</w:t>
      </w:r>
      <w:r w:rsidR="00235F35">
        <w:rPr>
          <w:rFonts w:ascii="Times New Roman" w:hAnsi="Times New Roman"/>
          <w:sz w:val="24"/>
        </w:rPr>
        <w:t>”</w:t>
      </w:r>
      <w:r w:rsidR="00A55C6D">
        <w:rPr>
          <w:rFonts w:ascii="Times New Roman" w:hAnsi="Times New Roman"/>
          <w:sz w:val="24"/>
        </w:rPr>
        <w:t xml:space="preserve"> and the SEA Scoping Report.  </w:t>
      </w:r>
    </w:p>
    <w:p w14:paraId="46F2CD16" w14:textId="0499E8BB" w:rsidR="00900C72" w:rsidRDefault="00A55C6D" w:rsidP="004A56E3">
      <w:pPr>
        <w:pStyle w:val="CommentText"/>
        <w:numPr>
          <w:ilvl w:val="0"/>
          <w:numId w:val="1"/>
        </w:numPr>
        <w:spacing w:line="480" w:lineRule="auto"/>
        <w:ind w:left="0" w:firstLine="0"/>
      </w:pPr>
      <w:r>
        <w:rPr>
          <w:sz w:val="24"/>
        </w:rPr>
        <w:t>RPS note that the NPF is a national plan and as such the assessment i</w:t>
      </w:r>
      <w:r w:rsidR="00DE7C87">
        <w:rPr>
          <w:sz w:val="24"/>
        </w:rPr>
        <w:t>s</w:t>
      </w:r>
      <w:r>
        <w:rPr>
          <w:sz w:val="24"/>
        </w:rPr>
        <w:t xml:space="preserve"> focussed at a national strategic level and this is mirrored in the level of detail presented for the baseline description in the main Environmental Report.  Four key challenges to the environment and their relevance to the NPF are identified</w:t>
      </w:r>
      <w:r w:rsidR="006B4A44">
        <w:t>:-</w:t>
      </w:r>
    </w:p>
    <w:p w14:paraId="6BB298E9" w14:textId="05E330A2" w:rsidR="00900C72" w:rsidRPr="004A56E3" w:rsidRDefault="006B4A44" w:rsidP="004A56E3">
      <w:pPr>
        <w:pStyle w:val="CommentText"/>
        <w:spacing w:line="480" w:lineRule="auto"/>
        <w:ind w:left="567"/>
        <w:rPr>
          <w:i/>
          <w:iCs/>
          <w:sz w:val="24"/>
          <w:szCs w:val="24"/>
        </w:rPr>
      </w:pPr>
      <w:r w:rsidRPr="004A56E3">
        <w:rPr>
          <w:i/>
          <w:iCs/>
          <w:sz w:val="24"/>
          <w:szCs w:val="24"/>
        </w:rPr>
        <w:t>“</w:t>
      </w:r>
      <w:r w:rsidR="00900C72" w:rsidRPr="004A56E3">
        <w:rPr>
          <w:i/>
          <w:iCs/>
          <w:sz w:val="24"/>
          <w:szCs w:val="24"/>
        </w:rPr>
        <w:t>- Valuing and Protecting our Natural Environment</w:t>
      </w:r>
    </w:p>
    <w:p w14:paraId="3DA10D45" w14:textId="77777777" w:rsidR="00900C72" w:rsidRPr="004A56E3" w:rsidRDefault="00900C72" w:rsidP="004A56E3">
      <w:pPr>
        <w:pStyle w:val="CommentText"/>
        <w:spacing w:line="480" w:lineRule="auto"/>
        <w:ind w:left="567"/>
        <w:rPr>
          <w:i/>
          <w:iCs/>
          <w:sz w:val="24"/>
          <w:szCs w:val="24"/>
        </w:rPr>
      </w:pPr>
      <w:r w:rsidRPr="004A56E3">
        <w:rPr>
          <w:i/>
          <w:iCs/>
          <w:sz w:val="24"/>
          <w:szCs w:val="24"/>
        </w:rPr>
        <w:t>- Building a Resource-Efficient, Low Carbon Economy</w:t>
      </w:r>
    </w:p>
    <w:p w14:paraId="6686D5D3" w14:textId="77777777" w:rsidR="00900C72" w:rsidRPr="004A56E3" w:rsidRDefault="00900C72" w:rsidP="004A56E3">
      <w:pPr>
        <w:pStyle w:val="CommentText"/>
        <w:spacing w:line="480" w:lineRule="auto"/>
        <w:ind w:left="567"/>
        <w:rPr>
          <w:i/>
          <w:iCs/>
          <w:sz w:val="24"/>
          <w:szCs w:val="24"/>
        </w:rPr>
      </w:pPr>
      <w:r w:rsidRPr="004A56E3">
        <w:rPr>
          <w:i/>
          <w:iCs/>
          <w:sz w:val="24"/>
          <w:szCs w:val="24"/>
        </w:rPr>
        <w:t>- Implementing Environmental Legislation</w:t>
      </w:r>
    </w:p>
    <w:p w14:paraId="744C07C8" w14:textId="5A713FD3" w:rsidR="00900C72" w:rsidRPr="004A56E3" w:rsidRDefault="00900C72" w:rsidP="004A56E3">
      <w:pPr>
        <w:pStyle w:val="CommentText"/>
        <w:spacing w:line="480" w:lineRule="auto"/>
        <w:ind w:left="567"/>
        <w:rPr>
          <w:i/>
          <w:iCs/>
          <w:sz w:val="24"/>
          <w:szCs w:val="24"/>
        </w:rPr>
      </w:pPr>
      <w:r w:rsidRPr="004A56E3">
        <w:rPr>
          <w:i/>
          <w:iCs/>
          <w:sz w:val="24"/>
          <w:szCs w:val="24"/>
        </w:rPr>
        <w:t xml:space="preserve">- </w:t>
      </w:r>
      <w:r w:rsidR="006B4A44" w:rsidRPr="004A56E3">
        <w:rPr>
          <w:i/>
          <w:iCs/>
          <w:sz w:val="24"/>
          <w:szCs w:val="24"/>
        </w:rPr>
        <w:t>Putting the E</w:t>
      </w:r>
      <w:r w:rsidRPr="004A56E3">
        <w:rPr>
          <w:i/>
          <w:iCs/>
          <w:sz w:val="24"/>
          <w:szCs w:val="24"/>
        </w:rPr>
        <w:t>nvironment at the Centre of Our Decision Making</w:t>
      </w:r>
      <w:r w:rsidR="00235F35" w:rsidRPr="004A56E3">
        <w:rPr>
          <w:i/>
          <w:iCs/>
          <w:sz w:val="24"/>
          <w:szCs w:val="24"/>
        </w:rPr>
        <w:t>.</w:t>
      </w:r>
      <w:r w:rsidR="006B4A44" w:rsidRPr="004A56E3">
        <w:rPr>
          <w:i/>
          <w:iCs/>
          <w:sz w:val="24"/>
          <w:szCs w:val="24"/>
        </w:rPr>
        <w:t>”</w:t>
      </w:r>
    </w:p>
    <w:p w14:paraId="6D916F8B" w14:textId="45AA5606" w:rsidR="00A55C6D" w:rsidRPr="005E3859" w:rsidRDefault="00A55C6D" w:rsidP="005E3859">
      <w:pPr>
        <w:pStyle w:val="CommentText"/>
        <w:spacing w:line="480" w:lineRule="auto"/>
      </w:pPr>
      <w:r>
        <w:rPr>
          <w:sz w:val="24"/>
        </w:rPr>
        <w:t>This then leads to seven key actions for Ireland on the state of the environment.</w:t>
      </w:r>
    </w:p>
    <w:p w14:paraId="7F712273" w14:textId="32B2EBE3" w:rsidR="00A55C6D" w:rsidRDefault="00A55C6D"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Three types of objectives were considered as part of the SEA;</w:t>
      </w:r>
      <w:r w:rsidR="008304FD">
        <w:rPr>
          <w:rFonts w:ascii="Times New Roman" w:hAnsi="Times New Roman"/>
          <w:sz w:val="24"/>
        </w:rPr>
        <w:t xml:space="preserve"> (1)</w:t>
      </w:r>
      <w:r>
        <w:rPr>
          <w:rFonts w:ascii="Times New Roman" w:hAnsi="Times New Roman"/>
          <w:sz w:val="24"/>
        </w:rPr>
        <w:t xml:space="preserve"> the objectives of the plan, </w:t>
      </w:r>
      <w:r w:rsidR="009B4E71">
        <w:rPr>
          <w:rFonts w:ascii="Times New Roman" w:hAnsi="Times New Roman"/>
          <w:sz w:val="24"/>
        </w:rPr>
        <w:t xml:space="preserve">(2) </w:t>
      </w:r>
      <w:r>
        <w:rPr>
          <w:rFonts w:ascii="Times New Roman" w:hAnsi="Times New Roman"/>
          <w:sz w:val="24"/>
        </w:rPr>
        <w:t xml:space="preserve">the wider environmental </w:t>
      </w:r>
      <w:r w:rsidR="00A44A3C">
        <w:rPr>
          <w:rFonts w:ascii="Times New Roman" w:hAnsi="Times New Roman"/>
          <w:sz w:val="24"/>
        </w:rPr>
        <w:t xml:space="preserve">objectives </w:t>
      </w:r>
      <w:r>
        <w:rPr>
          <w:rFonts w:ascii="Times New Roman" w:hAnsi="Times New Roman"/>
          <w:sz w:val="24"/>
        </w:rPr>
        <w:t>such as environmental protection objectives at a national, European and international level</w:t>
      </w:r>
      <w:r w:rsidR="00A44A3C">
        <w:rPr>
          <w:rFonts w:ascii="Times New Roman" w:hAnsi="Times New Roman"/>
          <w:sz w:val="24"/>
        </w:rPr>
        <w:t>,</w:t>
      </w:r>
      <w:r>
        <w:rPr>
          <w:rFonts w:ascii="Times New Roman" w:hAnsi="Times New Roman"/>
          <w:sz w:val="24"/>
        </w:rPr>
        <w:t xml:space="preserve"> and </w:t>
      </w:r>
      <w:r w:rsidR="009B4E71">
        <w:rPr>
          <w:rFonts w:ascii="Times New Roman" w:hAnsi="Times New Roman"/>
          <w:sz w:val="24"/>
        </w:rPr>
        <w:t xml:space="preserve">(3) the </w:t>
      </w:r>
      <w:r>
        <w:rPr>
          <w:rFonts w:ascii="Times New Roman" w:hAnsi="Times New Roman"/>
          <w:sz w:val="24"/>
        </w:rPr>
        <w:t>strategic environmental objectives (SEO</w:t>
      </w:r>
      <w:r w:rsidR="00C07213">
        <w:rPr>
          <w:rFonts w:ascii="Times New Roman" w:hAnsi="Times New Roman"/>
          <w:sz w:val="24"/>
        </w:rPr>
        <w:t>s</w:t>
      </w:r>
      <w:r>
        <w:rPr>
          <w:rFonts w:ascii="Times New Roman" w:hAnsi="Times New Roman"/>
          <w:sz w:val="24"/>
        </w:rPr>
        <w:t>)</w:t>
      </w:r>
      <w:r w:rsidR="009B4E71">
        <w:rPr>
          <w:rFonts w:ascii="Times New Roman" w:hAnsi="Times New Roman"/>
          <w:sz w:val="24"/>
        </w:rPr>
        <w:t>,</w:t>
      </w:r>
      <w:r>
        <w:rPr>
          <w:rFonts w:ascii="Times New Roman" w:hAnsi="Times New Roman"/>
          <w:sz w:val="24"/>
        </w:rPr>
        <w:t xml:space="preserve"> which were devised to test the effects of the draft NPF on the wider environment.  At p.12 of the Report the author</w:t>
      </w:r>
      <w:r w:rsidR="005E7A33">
        <w:rPr>
          <w:rFonts w:ascii="Times New Roman" w:hAnsi="Times New Roman"/>
          <w:sz w:val="24"/>
        </w:rPr>
        <w:t>s</w:t>
      </w:r>
      <w:r>
        <w:rPr>
          <w:rFonts w:ascii="Times New Roman" w:hAnsi="Times New Roman"/>
          <w:sz w:val="24"/>
        </w:rPr>
        <w:t xml:space="preserve"> state:</w:t>
      </w:r>
      <w:r w:rsidR="009B4E71">
        <w:rPr>
          <w:rFonts w:ascii="Times New Roman" w:hAnsi="Times New Roman"/>
          <w:sz w:val="24"/>
        </w:rPr>
        <w:t>-</w:t>
      </w:r>
    </w:p>
    <w:p w14:paraId="324398D4" w14:textId="2A129643" w:rsidR="00A55C6D" w:rsidRDefault="00A7355B" w:rsidP="00A7355B">
      <w:pPr>
        <w:pStyle w:val="ListParagraph"/>
        <w:spacing w:line="480" w:lineRule="auto"/>
        <w:ind w:left="567"/>
        <w:jc w:val="left"/>
        <w:rPr>
          <w:rFonts w:ascii="Times New Roman" w:hAnsi="Times New Roman"/>
          <w:sz w:val="24"/>
        </w:rPr>
      </w:pPr>
      <w:r>
        <w:rPr>
          <w:rFonts w:ascii="Times New Roman" w:hAnsi="Times New Roman"/>
          <w:i/>
          <w:sz w:val="24"/>
        </w:rPr>
        <w:t>“The assessment is an objectives</w:t>
      </w:r>
      <w:r w:rsidR="00A44A3C">
        <w:rPr>
          <w:rFonts w:ascii="Times New Roman" w:hAnsi="Times New Roman"/>
          <w:i/>
          <w:sz w:val="24"/>
        </w:rPr>
        <w:t>-</w:t>
      </w:r>
      <w:r>
        <w:rPr>
          <w:rFonts w:ascii="Times New Roman" w:hAnsi="Times New Roman"/>
          <w:i/>
          <w:sz w:val="24"/>
        </w:rPr>
        <w:t xml:space="preserve">led assessment which involves comparing the proposed alternatives against defined SEA </w:t>
      </w:r>
      <w:r w:rsidR="009B4E71">
        <w:rPr>
          <w:rFonts w:ascii="Times New Roman" w:hAnsi="Times New Roman"/>
          <w:i/>
          <w:sz w:val="24"/>
        </w:rPr>
        <w:t>E</w:t>
      </w:r>
      <w:r>
        <w:rPr>
          <w:rFonts w:ascii="Times New Roman" w:hAnsi="Times New Roman"/>
          <w:i/>
          <w:sz w:val="24"/>
        </w:rPr>
        <w:t xml:space="preserve">nvironmental </w:t>
      </w:r>
      <w:r w:rsidR="009B4E71">
        <w:rPr>
          <w:rFonts w:ascii="Times New Roman" w:hAnsi="Times New Roman"/>
          <w:i/>
          <w:sz w:val="24"/>
        </w:rPr>
        <w:t>O</w:t>
      </w:r>
      <w:r>
        <w:rPr>
          <w:rFonts w:ascii="Times New Roman" w:hAnsi="Times New Roman"/>
          <w:i/>
          <w:sz w:val="24"/>
        </w:rPr>
        <w:t>bjectives for each of the identified issue areas.  The selected SEOs for this SEA are set out in Table 6.  These environmental objectives are based on the current understanding of the key environmental issues having regard to the environmental protection objectives outlined in Chapter 6, of the Environmental Report</w:t>
      </w:r>
      <w:r w:rsidR="009B4E71">
        <w:rPr>
          <w:rFonts w:ascii="Times New Roman" w:hAnsi="Times New Roman"/>
          <w:i/>
          <w:sz w:val="24"/>
        </w:rPr>
        <w:t xml:space="preserve">. </w:t>
      </w:r>
      <w:r>
        <w:rPr>
          <w:rFonts w:ascii="Times New Roman" w:hAnsi="Times New Roman"/>
          <w:i/>
          <w:sz w:val="24"/>
        </w:rPr>
        <w:t>…</w:t>
      </w:r>
      <w:r w:rsidR="009B4E71">
        <w:rPr>
          <w:rFonts w:ascii="Times New Roman" w:hAnsi="Times New Roman"/>
          <w:i/>
          <w:sz w:val="24"/>
        </w:rPr>
        <w:t xml:space="preserve"> </w:t>
      </w:r>
      <w:r>
        <w:rPr>
          <w:rFonts w:ascii="Times New Roman" w:hAnsi="Times New Roman"/>
          <w:i/>
          <w:sz w:val="24"/>
        </w:rPr>
        <w:t>The objectives have been updated prior to the assessment based on feedback from statutory consultees and the public on the draft objectives.”</w:t>
      </w:r>
      <w:r w:rsidR="00A55C6D">
        <w:rPr>
          <w:rFonts w:ascii="Times New Roman" w:hAnsi="Times New Roman"/>
          <w:sz w:val="24"/>
        </w:rPr>
        <w:t xml:space="preserve"> </w:t>
      </w:r>
    </w:p>
    <w:p w14:paraId="664ACB04" w14:textId="3B578C47" w:rsidR="00A7355B" w:rsidRDefault="00900C72"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The environmental components, referred to as SEOs, are set out in Table 6 which encompass all of the </w:t>
      </w:r>
      <w:r>
        <w:rPr>
          <w:rFonts w:ascii="Times New Roman" w:hAnsi="Times New Roman"/>
          <w:i/>
          <w:sz w:val="24"/>
        </w:rPr>
        <w:t xml:space="preserve">likely significant effects on the environment </w:t>
      </w:r>
      <w:r>
        <w:rPr>
          <w:rFonts w:ascii="Times New Roman" w:hAnsi="Times New Roman"/>
          <w:sz w:val="24"/>
        </w:rPr>
        <w:t xml:space="preserve">listed in Annex </w:t>
      </w:r>
      <w:r w:rsidR="00D57320">
        <w:rPr>
          <w:rFonts w:ascii="Times New Roman" w:hAnsi="Times New Roman"/>
          <w:sz w:val="24"/>
        </w:rPr>
        <w:t>I</w:t>
      </w:r>
      <w:r>
        <w:rPr>
          <w:rFonts w:ascii="Times New Roman" w:hAnsi="Times New Roman"/>
          <w:sz w:val="24"/>
        </w:rPr>
        <w:t>(f) of the SEA Directive which the SEA is required to identify, describe and evaluate under 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sidR="00A7355B">
        <w:rPr>
          <w:rFonts w:ascii="Times New Roman" w:hAnsi="Times New Roman"/>
          <w:sz w:val="24"/>
        </w:rPr>
        <w:t>:</w:t>
      </w:r>
      <w:r w:rsidR="009B4E71">
        <w:rPr>
          <w:rFonts w:ascii="Times New Roman" w:hAnsi="Times New Roman"/>
          <w:sz w:val="24"/>
        </w:rPr>
        <w:t>-</w:t>
      </w:r>
    </w:p>
    <w:p w14:paraId="75871D61" w14:textId="0F7EEBF5" w:rsidR="00C815EE" w:rsidRDefault="004E323A" w:rsidP="00C815EE">
      <w:pPr>
        <w:pStyle w:val="ListParagraph"/>
        <w:tabs>
          <w:tab w:val="left" w:pos="567"/>
        </w:tabs>
        <w:spacing w:line="480" w:lineRule="auto"/>
        <w:ind w:left="0"/>
        <w:jc w:val="center"/>
        <w:rPr>
          <w:rFonts w:ascii="Times New Roman" w:hAnsi="Times New Roman"/>
          <w:sz w:val="24"/>
        </w:rPr>
      </w:pPr>
      <w:r>
        <w:rPr>
          <w:noProof/>
        </w:rPr>
        <w:drawing>
          <wp:inline distT="0" distB="0" distL="0" distR="0" wp14:anchorId="3B847084" wp14:editId="548F9E39">
            <wp:extent cx="5579745" cy="4169664"/>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3449" cy="4172432"/>
                    </a:xfrm>
                    <a:prstGeom prst="rect">
                      <a:avLst/>
                    </a:prstGeom>
                  </pic:spPr>
                </pic:pic>
              </a:graphicData>
            </a:graphic>
          </wp:inline>
        </w:drawing>
      </w:r>
    </w:p>
    <w:p w14:paraId="6C269319" w14:textId="71FAAA9B" w:rsidR="00DE7C87" w:rsidRDefault="00A7355B"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Chapter 3 deals with environment</w:t>
      </w:r>
      <w:r w:rsidR="007A6A55">
        <w:rPr>
          <w:rFonts w:ascii="Times New Roman" w:hAnsi="Times New Roman"/>
          <w:sz w:val="24"/>
        </w:rPr>
        <w:t>al</w:t>
      </w:r>
      <w:r>
        <w:rPr>
          <w:rFonts w:ascii="Times New Roman" w:hAnsi="Times New Roman"/>
          <w:sz w:val="24"/>
        </w:rPr>
        <w:t xml:space="preserve"> assessment in greater detail.  RPS explain that SEA is at a strategic level and therefore it is not possible for the </w:t>
      </w:r>
      <w:r w:rsidR="00D57320">
        <w:rPr>
          <w:rFonts w:ascii="Times New Roman" w:hAnsi="Times New Roman"/>
          <w:sz w:val="24"/>
        </w:rPr>
        <w:t xml:space="preserve">baseline </w:t>
      </w:r>
      <w:r>
        <w:rPr>
          <w:rFonts w:ascii="Times New Roman" w:hAnsi="Times New Roman"/>
          <w:sz w:val="24"/>
        </w:rPr>
        <w:t xml:space="preserve">environment to be </w:t>
      </w:r>
      <w:r w:rsidR="007A0D5C">
        <w:rPr>
          <w:rFonts w:ascii="Times New Roman" w:hAnsi="Times New Roman"/>
          <w:sz w:val="24"/>
        </w:rPr>
        <w:t xml:space="preserve">described and </w:t>
      </w:r>
      <w:r>
        <w:rPr>
          <w:rFonts w:ascii="Times New Roman" w:hAnsi="Times New Roman"/>
          <w:sz w:val="24"/>
        </w:rPr>
        <w:t>assessed in as much detail as</w:t>
      </w:r>
      <w:r w:rsidR="00DE7C87">
        <w:rPr>
          <w:rFonts w:ascii="Times New Roman" w:hAnsi="Times New Roman"/>
          <w:sz w:val="24"/>
        </w:rPr>
        <w:t xml:space="preserve"> could</w:t>
      </w:r>
      <w:r>
        <w:rPr>
          <w:rFonts w:ascii="Times New Roman" w:hAnsi="Times New Roman"/>
          <w:sz w:val="24"/>
        </w:rPr>
        <w:t xml:space="preserve"> be done for a </w:t>
      </w:r>
      <w:r w:rsidR="007A0D5C">
        <w:rPr>
          <w:rFonts w:ascii="Times New Roman" w:hAnsi="Times New Roman"/>
          <w:sz w:val="24"/>
        </w:rPr>
        <w:t>project-</w:t>
      </w:r>
      <w:r>
        <w:rPr>
          <w:rFonts w:ascii="Times New Roman" w:hAnsi="Times New Roman"/>
          <w:sz w:val="24"/>
        </w:rPr>
        <w:t>level environmental impact assessment</w:t>
      </w:r>
      <w:r w:rsidR="00D57320">
        <w:rPr>
          <w:rFonts w:ascii="Times New Roman" w:hAnsi="Times New Roman"/>
          <w:sz w:val="24"/>
        </w:rPr>
        <w:t>;</w:t>
      </w:r>
      <w:r>
        <w:rPr>
          <w:rFonts w:ascii="Times New Roman" w:hAnsi="Times New Roman"/>
          <w:sz w:val="24"/>
        </w:rPr>
        <w:t xml:space="preserve"> </w:t>
      </w:r>
      <w:r w:rsidR="007A0D5C" w:rsidRPr="004A56E3">
        <w:rPr>
          <w:rFonts w:ascii="Times New Roman" w:hAnsi="Times New Roman"/>
          <w:i/>
          <w:iCs/>
          <w:sz w:val="24"/>
        </w:rPr>
        <w:t>“</w:t>
      </w:r>
      <w:r w:rsidR="00D57320">
        <w:rPr>
          <w:rFonts w:ascii="Times New Roman" w:hAnsi="Times New Roman"/>
          <w:i/>
          <w:iCs/>
          <w:sz w:val="24"/>
        </w:rPr>
        <w:t>[</w:t>
      </w:r>
      <w:proofErr w:type="spellStart"/>
      <w:r w:rsidR="00D57320">
        <w:rPr>
          <w:rFonts w:ascii="Times New Roman" w:hAnsi="Times New Roman"/>
          <w:i/>
          <w:iCs/>
          <w:sz w:val="24"/>
        </w:rPr>
        <w:t>i</w:t>
      </w:r>
      <w:proofErr w:type="spellEnd"/>
      <w:r w:rsidR="00D57320">
        <w:rPr>
          <w:rFonts w:ascii="Times New Roman" w:hAnsi="Times New Roman"/>
          <w:i/>
          <w:iCs/>
          <w:sz w:val="24"/>
        </w:rPr>
        <w:t>]</w:t>
      </w:r>
      <w:proofErr w:type="spellStart"/>
      <w:r w:rsidRPr="004A56E3">
        <w:rPr>
          <w:rFonts w:ascii="Times New Roman" w:hAnsi="Times New Roman"/>
          <w:i/>
          <w:iCs/>
          <w:sz w:val="24"/>
        </w:rPr>
        <w:t>nstead</w:t>
      </w:r>
      <w:proofErr w:type="spellEnd"/>
      <w:r w:rsidR="00DE7C87" w:rsidRPr="004A56E3">
        <w:rPr>
          <w:rFonts w:ascii="Times New Roman" w:hAnsi="Times New Roman"/>
          <w:i/>
          <w:iCs/>
          <w:sz w:val="24"/>
        </w:rPr>
        <w:t>,</w:t>
      </w:r>
      <w:r w:rsidRPr="004A56E3">
        <w:rPr>
          <w:rFonts w:ascii="Times New Roman" w:hAnsi="Times New Roman"/>
          <w:i/>
          <w:iCs/>
          <w:sz w:val="24"/>
        </w:rPr>
        <w:t xml:space="preserve"> SEA uses a system of objectives, </w:t>
      </w:r>
      <w:r w:rsidRPr="00D57320">
        <w:rPr>
          <w:rFonts w:ascii="Times New Roman" w:hAnsi="Times New Roman"/>
          <w:i/>
          <w:iCs/>
          <w:sz w:val="24"/>
        </w:rPr>
        <w:t>targets and indicators</w:t>
      </w:r>
      <w:r w:rsidRPr="004A56E3">
        <w:rPr>
          <w:rFonts w:ascii="Times New Roman" w:hAnsi="Times New Roman"/>
          <w:i/>
          <w:iCs/>
          <w:sz w:val="24"/>
        </w:rPr>
        <w:t xml:space="preserve"> to rationalise information for the purpose</w:t>
      </w:r>
      <w:r w:rsidR="00D57320">
        <w:rPr>
          <w:rFonts w:ascii="Times New Roman" w:hAnsi="Times New Roman"/>
          <w:i/>
          <w:iCs/>
          <w:sz w:val="24"/>
        </w:rPr>
        <w:t>s</w:t>
      </w:r>
      <w:r w:rsidRPr="004A56E3">
        <w:rPr>
          <w:rFonts w:ascii="Times New Roman" w:hAnsi="Times New Roman"/>
          <w:i/>
          <w:iCs/>
          <w:sz w:val="24"/>
        </w:rPr>
        <w:t xml:space="preserve"> of assessment</w:t>
      </w:r>
      <w:r w:rsidRPr="00D57320">
        <w:rPr>
          <w:rFonts w:ascii="Times New Roman" w:hAnsi="Times New Roman"/>
          <w:i/>
          <w:iCs/>
          <w:sz w:val="24"/>
        </w:rPr>
        <w:t>.”</w:t>
      </w:r>
      <w:r>
        <w:rPr>
          <w:rFonts w:ascii="Times New Roman" w:hAnsi="Times New Roman"/>
          <w:sz w:val="24"/>
        </w:rPr>
        <w:t xml:space="preserve">  The authors explain that the report uses broad themes, based on environmental topics listed in the SEA Directive</w:t>
      </w:r>
      <w:r w:rsidR="00900C72">
        <w:rPr>
          <w:rFonts w:ascii="Times New Roman" w:hAnsi="Times New Roman"/>
          <w:sz w:val="24"/>
        </w:rPr>
        <w:t xml:space="preserve">, specifically in Annex </w:t>
      </w:r>
      <w:r w:rsidR="00D57320">
        <w:rPr>
          <w:rFonts w:ascii="Times New Roman" w:hAnsi="Times New Roman"/>
          <w:sz w:val="24"/>
        </w:rPr>
        <w:t>I</w:t>
      </w:r>
      <w:r w:rsidR="00900C72">
        <w:rPr>
          <w:rFonts w:ascii="Times New Roman" w:hAnsi="Times New Roman"/>
          <w:sz w:val="24"/>
        </w:rPr>
        <w:t>(f),</w:t>
      </w:r>
      <w:r>
        <w:rPr>
          <w:rFonts w:ascii="Times New Roman" w:hAnsi="Times New Roman"/>
          <w:sz w:val="24"/>
        </w:rPr>
        <w:t xml:space="preserve"> to group large environmental data sets such as human health, cultural heritage and climate.  It assigned to each of these themes at least one high</w:t>
      </w:r>
      <w:r w:rsidR="00D57320">
        <w:rPr>
          <w:rFonts w:ascii="Times New Roman" w:hAnsi="Times New Roman"/>
          <w:sz w:val="24"/>
        </w:rPr>
        <w:t>-</w:t>
      </w:r>
      <w:r>
        <w:rPr>
          <w:rFonts w:ascii="Times New Roman" w:hAnsi="Times New Roman"/>
          <w:sz w:val="24"/>
        </w:rPr>
        <w:t xml:space="preserve">level </w:t>
      </w:r>
      <w:r w:rsidR="00D57320">
        <w:rPr>
          <w:rFonts w:ascii="Times New Roman" w:hAnsi="Times New Roman"/>
          <w:sz w:val="24"/>
        </w:rPr>
        <w:t>SEO</w:t>
      </w:r>
      <w:r>
        <w:rPr>
          <w:rFonts w:ascii="Times New Roman" w:hAnsi="Times New Roman"/>
          <w:sz w:val="24"/>
        </w:rPr>
        <w:t xml:space="preserve"> that specifies a desired direction for change, </w:t>
      </w:r>
      <w:r w:rsidRPr="004A56E3">
        <w:rPr>
          <w:rFonts w:ascii="Times New Roman" w:hAnsi="Times New Roman"/>
          <w:i/>
          <w:iCs/>
          <w:sz w:val="24"/>
        </w:rPr>
        <w:t>e.g.</w:t>
      </w:r>
      <w:r>
        <w:rPr>
          <w:rFonts w:ascii="Times New Roman" w:hAnsi="Times New Roman"/>
          <w:sz w:val="24"/>
        </w:rPr>
        <w:t xml:space="preserve"> reduce C</w:t>
      </w:r>
      <w:r w:rsidR="00816792">
        <w:rPr>
          <w:rFonts w:ascii="Times New Roman" w:hAnsi="Times New Roman"/>
          <w:sz w:val="24"/>
        </w:rPr>
        <w:t>O</w:t>
      </w:r>
      <w:r w:rsidR="00816792" w:rsidRPr="004A56E3">
        <w:rPr>
          <w:rFonts w:ascii="Times New Roman" w:hAnsi="Times New Roman"/>
          <w:sz w:val="24"/>
          <w:vertAlign w:val="subscript"/>
        </w:rPr>
        <w:t>2</w:t>
      </w:r>
      <w:r w:rsidR="00816792">
        <w:rPr>
          <w:rFonts w:ascii="Times New Roman" w:hAnsi="Times New Roman"/>
          <w:sz w:val="24"/>
        </w:rPr>
        <w:t xml:space="preserve"> emissions, against which </w:t>
      </w:r>
      <w:r w:rsidR="00816792">
        <w:rPr>
          <w:rFonts w:ascii="Times New Roman" w:hAnsi="Times New Roman"/>
          <w:sz w:val="24"/>
        </w:rPr>
        <w:lastRenderedPageBreak/>
        <w:t>future impact</w:t>
      </w:r>
      <w:r w:rsidR="00D57320">
        <w:rPr>
          <w:rFonts w:ascii="Times New Roman" w:hAnsi="Times New Roman"/>
          <w:sz w:val="24"/>
        </w:rPr>
        <w:t>s</w:t>
      </w:r>
      <w:r w:rsidR="00816792">
        <w:rPr>
          <w:rFonts w:ascii="Times New Roman" w:hAnsi="Times New Roman"/>
          <w:sz w:val="24"/>
        </w:rPr>
        <w:t xml:space="preserve"> of the NPF can be measured.  These high</w:t>
      </w:r>
      <w:r w:rsidR="00D57320">
        <w:rPr>
          <w:rFonts w:ascii="Times New Roman" w:hAnsi="Times New Roman"/>
          <w:sz w:val="24"/>
        </w:rPr>
        <w:t>-</w:t>
      </w:r>
      <w:r w:rsidR="00816792">
        <w:rPr>
          <w:rFonts w:ascii="Times New Roman" w:hAnsi="Times New Roman"/>
          <w:sz w:val="24"/>
        </w:rPr>
        <w:t xml:space="preserve">level SEOs are then paired with specific targets.  The progress towards achieving these specific targets is monitored using environmental indicators, which are measures of identified variables over time.  The environmental assessment includes a combination of qualitative and quantitative assessment and expert judgment.  </w:t>
      </w:r>
    </w:p>
    <w:p w14:paraId="1EE605D8" w14:textId="3B427ED2" w:rsidR="00DE7C87" w:rsidRDefault="00816792"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This explanation of the approach is particularly important in light of the criticisms of the assessment in Chapter 7 by the applicant which makes no reference to this part of the report.</w:t>
      </w:r>
      <w:r w:rsidR="00D57320">
        <w:rPr>
          <w:rFonts w:ascii="Times New Roman" w:hAnsi="Times New Roman"/>
          <w:sz w:val="24"/>
        </w:rPr>
        <w:t xml:space="preserve"> </w:t>
      </w:r>
      <w:r>
        <w:rPr>
          <w:rFonts w:ascii="Times New Roman" w:hAnsi="Times New Roman"/>
          <w:sz w:val="24"/>
        </w:rPr>
        <w:t xml:space="preserve"> </w:t>
      </w:r>
      <w:r w:rsidR="00DE7C87">
        <w:rPr>
          <w:rFonts w:ascii="Times New Roman" w:hAnsi="Times New Roman"/>
          <w:sz w:val="24"/>
        </w:rPr>
        <w:t>In particular</w:t>
      </w:r>
      <w:r w:rsidR="007178AD">
        <w:rPr>
          <w:rFonts w:ascii="Times New Roman" w:hAnsi="Times New Roman"/>
          <w:sz w:val="24"/>
        </w:rPr>
        <w:t>,</w:t>
      </w:r>
      <w:r w:rsidR="00DE7C87">
        <w:rPr>
          <w:rFonts w:ascii="Times New Roman" w:hAnsi="Times New Roman"/>
          <w:sz w:val="24"/>
        </w:rPr>
        <w:t xml:space="preserve"> it was not the intent of the authors that an SEO </w:t>
      </w:r>
      <w:r w:rsidR="007178AD">
        <w:rPr>
          <w:rFonts w:ascii="Times New Roman" w:hAnsi="Times New Roman"/>
          <w:sz w:val="24"/>
        </w:rPr>
        <w:t xml:space="preserve">assigned to one of the nine broad environmental topics </w:t>
      </w:r>
      <w:r w:rsidR="00DE7C87">
        <w:rPr>
          <w:rFonts w:ascii="Times New Roman" w:hAnsi="Times New Roman"/>
          <w:sz w:val="24"/>
        </w:rPr>
        <w:t xml:space="preserve">would </w:t>
      </w:r>
      <w:r w:rsidR="007178AD">
        <w:rPr>
          <w:rFonts w:ascii="Times New Roman" w:hAnsi="Times New Roman"/>
          <w:sz w:val="24"/>
        </w:rPr>
        <w:t>achieve detailed measurable outcomes in respect of these topics</w:t>
      </w:r>
      <w:r w:rsidR="00D57320">
        <w:rPr>
          <w:rFonts w:ascii="Times New Roman" w:hAnsi="Times New Roman"/>
          <w:sz w:val="24"/>
        </w:rPr>
        <w:t>,</w:t>
      </w:r>
      <w:r w:rsidR="007178AD">
        <w:rPr>
          <w:rFonts w:ascii="Times New Roman" w:hAnsi="Times New Roman"/>
          <w:sz w:val="24"/>
        </w:rPr>
        <w:t xml:space="preserve"> save in the broadest terms, given the high</w:t>
      </w:r>
      <w:r w:rsidR="00CD08CE">
        <w:rPr>
          <w:rFonts w:ascii="Times New Roman" w:hAnsi="Times New Roman"/>
          <w:sz w:val="24"/>
        </w:rPr>
        <w:t>-</w:t>
      </w:r>
      <w:r w:rsidR="007178AD">
        <w:rPr>
          <w:rFonts w:ascii="Times New Roman" w:hAnsi="Times New Roman"/>
          <w:sz w:val="24"/>
        </w:rPr>
        <w:t xml:space="preserve">level of the plan. </w:t>
      </w:r>
      <w:r w:rsidR="00D57320">
        <w:rPr>
          <w:rFonts w:ascii="Times New Roman" w:hAnsi="Times New Roman"/>
          <w:sz w:val="24"/>
        </w:rPr>
        <w:t xml:space="preserve"> </w:t>
      </w:r>
      <w:r w:rsidR="007178AD">
        <w:rPr>
          <w:rFonts w:ascii="Times New Roman" w:hAnsi="Times New Roman"/>
          <w:sz w:val="24"/>
        </w:rPr>
        <w:t>The object</w:t>
      </w:r>
      <w:r w:rsidR="00D57320">
        <w:rPr>
          <w:rFonts w:ascii="Times New Roman" w:hAnsi="Times New Roman"/>
          <w:sz w:val="24"/>
        </w:rPr>
        <w:t>ive</w:t>
      </w:r>
      <w:r w:rsidR="007178AD">
        <w:rPr>
          <w:rFonts w:ascii="Times New Roman" w:hAnsi="Times New Roman"/>
          <w:sz w:val="24"/>
        </w:rPr>
        <w:t xml:space="preserve"> was to measure a </w:t>
      </w:r>
      <w:r w:rsidR="007178AD" w:rsidRPr="004A56E3">
        <w:rPr>
          <w:rFonts w:ascii="Times New Roman" w:hAnsi="Times New Roman"/>
          <w:i/>
          <w:iCs/>
          <w:sz w:val="24"/>
        </w:rPr>
        <w:t xml:space="preserve">“direction </w:t>
      </w:r>
      <w:r w:rsidR="00D57320" w:rsidRPr="004A56E3">
        <w:rPr>
          <w:rFonts w:ascii="Times New Roman" w:hAnsi="Times New Roman"/>
          <w:i/>
          <w:iCs/>
          <w:sz w:val="24"/>
        </w:rPr>
        <w:t xml:space="preserve">for </w:t>
      </w:r>
      <w:r w:rsidR="007178AD" w:rsidRPr="004A56E3">
        <w:rPr>
          <w:rFonts w:ascii="Times New Roman" w:hAnsi="Times New Roman"/>
          <w:i/>
          <w:iCs/>
          <w:sz w:val="24"/>
        </w:rPr>
        <w:t>change”</w:t>
      </w:r>
      <w:r w:rsidR="007178AD">
        <w:rPr>
          <w:rFonts w:ascii="Times New Roman" w:hAnsi="Times New Roman"/>
          <w:sz w:val="24"/>
        </w:rPr>
        <w:t xml:space="preserve">.  </w:t>
      </w:r>
      <w:r w:rsidR="00DE7C87">
        <w:rPr>
          <w:rFonts w:ascii="Times New Roman" w:hAnsi="Times New Roman"/>
          <w:sz w:val="24"/>
        </w:rPr>
        <w:t xml:space="preserve"> </w:t>
      </w:r>
      <w:r>
        <w:rPr>
          <w:rFonts w:ascii="Times New Roman" w:hAnsi="Times New Roman"/>
          <w:sz w:val="24"/>
        </w:rPr>
        <w:t xml:space="preserve"> </w:t>
      </w:r>
    </w:p>
    <w:p w14:paraId="4779BD22" w14:textId="7A09D853" w:rsidR="00092522" w:rsidRDefault="00092522"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Table 3.2</w:t>
      </w:r>
      <w:r w:rsidR="00B338BE">
        <w:rPr>
          <w:rFonts w:ascii="Times New Roman" w:hAnsi="Times New Roman"/>
          <w:sz w:val="24"/>
        </w:rPr>
        <w:t>,</w:t>
      </w:r>
      <w:r>
        <w:rPr>
          <w:rFonts w:ascii="Times New Roman" w:hAnsi="Times New Roman"/>
          <w:sz w:val="24"/>
        </w:rPr>
        <w:t xml:space="preserve"> the RPS asks, in relation to SEA of each environmental element, </w:t>
      </w:r>
      <w:r w:rsidRPr="004A56E3">
        <w:rPr>
          <w:rFonts w:ascii="Times New Roman" w:hAnsi="Times New Roman"/>
          <w:i/>
          <w:iCs/>
          <w:sz w:val="24"/>
        </w:rPr>
        <w:t>‘Is it Quantifiable?’</w:t>
      </w:r>
      <w:r w:rsidR="00B338BE">
        <w:rPr>
          <w:rFonts w:ascii="Times New Roman" w:hAnsi="Times New Roman"/>
          <w:sz w:val="24"/>
        </w:rPr>
        <w:t>,</w:t>
      </w:r>
      <w:r>
        <w:rPr>
          <w:rFonts w:ascii="Times New Roman" w:hAnsi="Times New Roman"/>
          <w:sz w:val="24"/>
        </w:rPr>
        <w:t xml:space="preserve"> and the answers demonstrate the </w:t>
      </w:r>
      <w:r w:rsidR="00317341">
        <w:rPr>
          <w:rFonts w:ascii="Times New Roman" w:hAnsi="Times New Roman"/>
          <w:sz w:val="24"/>
        </w:rPr>
        <w:t>problems that they faced due to the high</w:t>
      </w:r>
      <w:r w:rsidR="00CD08CE">
        <w:rPr>
          <w:rFonts w:ascii="Times New Roman" w:hAnsi="Times New Roman"/>
          <w:sz w:val="24"/>
        </w:rPr>
        <w:t>-</w:t>
      </w:r>
      <w:r w:rsidR="00317341">
        <w:rPr>
          <w:rFonts w:ascii="Times New Roman" w:hAnsi="Times New Roman"/>
          <w:sz w:val="24"/>
        </w:rPr>
        <w:t xml:space="preserve">level of the plan. </w:t>
      </w:r>
      <w:r w:rsidR="00B338BE">
        <w:rPr>
          <w:rFonts w:ascii="Times New Roman" w:hAnsi="Times New Roman"/>
          <w:sz w:val="24"/>
        </w:rPr>
        <w:t xml:space="preserve"> </w:t>
      </w:r>
      <w:r>
        <w:rPr>
          <w:rFonts w:ascii="Times New Roman" w:hAnsi="Times New Roman"/>
          <w:sz w:val="24"/>
        </w:rPr>
        <w:t>For instance, i</w:t>
      </w:r>
      <w:r w:rsidR="00317341">
        <w:rPr>
          <w:rFonts w:ascii="Times New Roman" w:hAnsi="Times New Roman"/>
          <w:sz w:val="24"/>
        </w:rPr>
        <w:t>n</w:t>
      </w:r>
      <w:r>
        <w:rPr>
          <w:rFonts w:ascii="Times New Roman" w:hAnsi="Times New Roman"/>
          <w:sz w:val="24"/>
        </w:rPr>
        <w:t xml:space="preserve"> respect of ‘Biodivers</w:t>
      </w:r>
      <w:r w:rsidR="00B338BE">
        <w:rPr>
          <w:rFonts w:ascii="Times New Roman" w:hAnsi="Times New Roman"/>
          <w:sz w:val="24"/>
        </w:rPr>
        <w:t>i</w:t>
      </w:r>
      <w:r>
        <w:rPr>
          <w:rFonts w:ascii="Times New Roman" w:hAnsi="Times New Roman"/>
          <w:sz w:val="24"/>
        </w:rPr>
        <w:t>ty, Flora and Fauna’</w:t>
      </w:r>
      <w:r w:rsidR="00B338BE">
        <w:rPr>
          <w:rFonts w:ascii="Times New Roman" w:hAnsi="Times New Roman"/>
          <w:sz w:val="24"/>
        </w:rPr>
        <w:t>,</w:t>
      </w:r>
      <w:r>
        <w:rPr>
          <w:rFonts w:ascii="Times New Roman" w:hAnsi="Times New Roman"/>
          <w:sz w:val="24"/>
        </w:rPr>
        <w:t xml:space="preserve"> RPS state</w:t>
      </w:r>
      <w:r w:rsidR="00B338BE">
        <w:rPr>
          <w:rFonts w:ascii="Times New Roman" w:hAnsi="Times New Roman"/>
          <w:sz w:val="24"/>
        </w:rPr>
        <w:t>:</w:t>
      </w:r>
      <w:r>
        <w:rPr>
          <w:rFonts w:ascii="Times New Roman" w:hAnsi="Times New Roman"/>
          <w:sz w:val="24"/>
        </w:rPr>
        <w:t>–</w:t>
      </w:r>
    </w:p>
    <w:p w14:paraId="243F81D4" w14:textId="347F3AD4" w:rsidR="00092522" w:rsidRPr="004A56E3" w:rsidRDefault="00092522" w:rsidP="005E3859">
      <w:pPr>
        <w:pStyle w:val="ListParagraph"/>
        <w:tabs>
          <w:tab w:val="left" w:pos="567"/>
        </w:tabs>
        <w:spacing w:line="480" w:lineRule="auto"/>
        <w:ind w:left="567"/>
        <w:jc w:val="left"/>
        <w:rPr>
          <w:rFonts w:ascii="Times New Roman" w:hAnsi="Times New Roman"/>
          <w:i/>
          <w:iCs/>
          <w:sz w:val="24"/>
        </w:rPr>
      </w:pPr>
      <w:r w:rsidRPr="004A56E3">
        <w:rPr>
          <w:rFonts w:ascii="Times New Roman" w:hAnsi="Times New Roman"/>
          <w:i/>
          <w:iCs/>
          <w:sz w:val="24"/>
        </w:rPr>
        <w:t>“National and regional datasets are available for aspects relating to biodiversity, flora and fauna</w:t>
      </w:r>
      <w:r w:rsidR="00317341" w:rsidRPr="004A56E3">
        <w:rPr>
          <w:rFonts w:ascii="Times New Roman" w:hAnsi="Times New Roman"/>
          <w:i/>
          <w:iCs/>
          <w:sz w:val="24"/>
        </w:rPr>
        <w:t>.  Given the scale of the NPF, the assessment has considered all nature conservation sites, including European sites protected under national legislation, National Parks, Refuges for Fauna etc.  It is noted that there is generally an absence of location-specific information therefore assessment is focussed on qualitative however some quantification is possible.”</w:t>
      </w:r>
    </w:p>
    <w:p w14:paraId="797AE856" w14:textId="1C41150A" w:rsidR="00816792" w:rsidRDefault="00816792" w:rsidP="005E3859">
      <w:pPr>
        <w:pStyle w:val="ListParagraph"/>
        <w:tabs>
          <w:tab w:val="left" w:pos="567"/>
        </w:tabs>
        <w:spacing w:line="480" w:lineRule="auto"/>
        <w:ind w:left="0"/>
        <w:jc w:val="left"/>
        <w:rPr>
          <w:rFonts w:ascii="Times New Roman" w:hAnsi="Times New Roman"/>
          <w:sz w:val="24"/>
        </w:rPr>
      </w:pPr>
      <w:r>
        <w:rPr>
          <w:rFonts w:ascii="Times New Roman" w:hAnsi="Times New Roman"/>
          <w:sz w:val="24"/>
        </w:rPr>
        <w:t>At para. 3.3.5</w:t>
      </w:r>
      <w:r w:rsidR="00B338BE">
        <w:rPr>
          <w:rFonts w:ascii="Times New Roman" w:hAnsi="Times New Roman"/>
          <w:sz w:val="24"/>
        </w:rPr>
        <w:t>,</w:t>
      </w:r>
      <w:r>
        <w:rPr>
          <w:rFonts w:ascii="Times New Roman" w:hAnsi="Times New Roman"/>
          <w:sz w:val="24"/>
        </w:rPr>
        <w:t xml:space="preserve"> RPS sets out the difficulties which were encountered including</w:t>
      </w:r>
      <w:r w:rsidR="00B338BE">
        <w:rPr>
          <w:rFonts w:ascii="Times New Roman" w:hAnsi="Times New Roman"/>
          <w:sz w:val="24"/>
        </w:rPr>
        <w:t>,</w:t>
      </w:r>
      <w:r>
        <w:rPr>
          <w:rFonts w:ascii="Times New Roman" w:hAnsi="Times New Roman"/>
          <w:sz w:val="24"/>
        </w:rPr>
        <w:t xml:space="preserve"> a lack of quantitative data for some topics (</w:t>
      </w:r>
      <w:r w:rsidRPr="004A56E3">
        <w:rPr>
          <w:rFonts w:ascii="Times New Roman" w:hAnsi="Times New Roman"/>
          <w:i/>
          <w:iCs/>
          <w:sz w:val="24"/>
        </w:rPr>
        <w:t>e.g.</w:t>
      </w:r>
      <w:r>
        <w:rPr>
          <w:rFonts w:ascii="Times New Roman" w:hAnsi="Times New Roman"/>
          <w:sz w:val="24"/>
        </w:rPr>
        <w:t xml:space="preserve"> health, regional</w:t>
      </w:r>
      <w:r w:rsidR="007A6A55">
        <w:rPr>
          <w:rFonts w:ascii="Times New Roman" w:hAnsi="Times New Roman"/>
          <w:sz w:val="24"/>
        </w:rPr>
        <w:t>,</w:t>
      </w:r>
      <w:r>
        <w:rPr>
          <w:rFonts w:ascii="Times New Roman" w:hAnsi="Times New Roman"/>
          <w:sz w:val="24"/>
        </w:rPr>
        <w:t xml:space="preserve"> carbon emissions data)</w:t>
      </w:r>
      <w:r w:rsidR="00C961CF">
        <w:rPr>
          <w:rFonts w:ascii="Times New Roman" w:hAnsi="Times New Roman"/>
          <w:sz w:val="24"/>
        </w:rPr>
        <w:t>, a</w:t>
      </w:r>
      <w:r>
        <w:rPr>
          <w:rFonts w:ascii="Times New Roman" w:hAnsi="Times New Roman"/>
          <w:sz w:val="24"/>
        </w:rPr>
        <w:t xml:space="preserve"> lack of digitised data in some topic areas (</w:t>
      </w:r>
      <w:r w:rsidRPr="004A56E3">
        <w:rPr>
          <w:rFonts w:ascii="Times New Roman" w:hAnsi="Times New Roman"/>
          <w:i/>
          <w:iCs/>
          <w:sz w:val="24"/>
        </w:rPr>
        <w:t>e.g.</w:t>
      </w:r>
      <w:r>
        <w:rPr>
          <w:rFonts w:ascii="Times New Roman" w:hAnsi="Times New Roman"/>
          <w:sz w:val="24"/>
        </w:rPr>
        <w:t xml:space="preserve"> landscape) and</w:t>
      </w:r>
      <w:r w:rsidR="005C66E2">
        <w:rPr>
          <w:rFonts w:ascii="Times New Roman" w:hAnsi="Times New Roman"/>
          <w:sz w:val="24"/>
        </w:rPr>
        <w:t>,</w:t>
      </w:r>
      <w:r>
        <w:rPr>
          <w:rFonts w:ascii="Times New Roman" w:hAnsi="Times New Roman"/>
          <w:sz w:val="24"/>
        </w:rPr>
        <w:t xml:space="preserve"> </w:t>
      </w:r>
      <w:r w:rsidR="00C961CF">
        <w:rPr>
          <w:rFonts w:ascii="Times New Roman" w:hAnsi="Times New Roman"/>
          <w:sz w:val="24"/>
        </w:rPr>
        <w:t xml:space="preserve">that </w:t>
      </w:r>
      <w:r w:rsidR="00092522" w:rsidRPr="004A56E3">
        <w:rPr>
          <w:rFonts w:ascii="Times New Roman" w:hAnsi="Times New Roman"/>
          <w:i/>
          <w:iCs/>
          <w:sz w:val="24"/>
        </w:rPr>
        <w:t>“</w:t>
      </w:r>
      <w:r w:rsidRPr="004A56E3">
        <w:rPr>
          <w:rFonts w:ascii="Times New Roman" w:hAnsi="Times New Roman"/>
          <w:i/>
          <w:iCs/>
          <w:sz w:val="24"/>
        </w:rPr>
        <w:t xml:space="preserve">quantitative assessment </w:t>
      </w:r>
      <w:r w:rsidR="00092522" w:rsidRPr="004A56E3">
        <w:rPr>
          <w:rFonts w:ascii="Times New Roman" w:hAnsi="Times New Roman"/>
          <w:i/>
          <w:iCs/>
          <w:sz w:val="24"/>
        </w:rPr>
        <w:t xml:space="preserve">is </w:t>
      </w:r>
      <w:r w:rsidRPr="004A56E3">
        <w:rPr>
          <w:rFonts w:ascii="Times New Roman" w:hAnsi="Times New Roman"/>
          <w:i/>
          <w:iCs/>
          <w:sz w:val="24"/>
        </w:rPr>
        <w:t>made very difficult due to the very strategic level of the policy objectives proposed</w:t>
      </w:r>
      <w:r w:rsidR="00092522" w:rsidRPr="004A56E3">
        <w:rPr>
          <w:rFonts w:ascii="Times New Roman" w:hAnsi="Times New Roman"/>
          <w:i/>
          <w:iCs/>
          <w:sz w:val="24"/>
        </w:rPr>
        <w:t>”</w:t>
      </w:r>
      <w:r w:rsidRPr="004A56E3">
        <w:rPr>
          <w:rFonts w:ascii="Times New Roman" w:hAnsi="Times New Roman"/>
          <w:i/>
          <w:iCs/>
          <w:sz w:val="24"/>
        </w:rPr>
        <w:t>.</w:t>
      </w:r>
      <w:r>
        <w:rPr>
          <w:rFonts w:ascii="Times New Roman" w:hAnsi="Times New Roman"/>
          <w:sz w:val="24"/>
        </w:rPr>
        <w:t xml:space="preserve">  Chapter 5 deals with relevant aspects of the current state of the environment in </w:t>
      </w:r>
      <w:r>
        <w:rPr>
          <w:rFonts w:ascii="Times New Roman" w:hAnsi="Times New Roman"/>
          <w:sz w:val="24"/>
        </w:rPr>
        <w:lastRenderedPageBreak/>
        <w:t>considerable detail</w:t>
      </w:r>
      <w:r w:rsidR="00F92CAC">
        <w:rPr>
          <w:rFonts w:ascii="Times New Roman" w:hAnsi="Times New Roman"/>
          <w:sz w:val="24"/>
        </w:rPr>
        <w:t>,</w:t>
      </w:r>
      <w:r>
        <w:rPr>
          <w:rFonts w:ascii="Times New Roman" w:hAnsi="Times New Roman"/>
          <w:sz w:val="24"/>
        </w:rPr>
        <w:t xml:space="preserve"> focussing on the pressures and problems in relation to biodiversity, flora and fauna; population and human health; soils, geology and hydro</w:t>
      </w:r>
      <w:r w:rsidR="00666EA4">
        <w:rPr>
          <w:rFonts w:ascii="Times New Roman" w:hAnsi="Times New Roman"/>
          <w:sz w:val="24"/>
        </w:rPr>
        <w:t>geology</w:t>
      </w:r>
      <w:r>
        <w:rPr>
          <w:rFonts w:ascii="Times New Roman" w:hAnsi="Times New Roman"/>
          <w:sz w:val="24"/>
        </w:rPr>
        <w:t>; water; air quality and climatic factors; material assets (road and rail infrastructure, airports and seaports, water supply, wastewater treatment, communications infrastructure, energy supply and security and landfills, mines and quarries</w:t>
      </w:r>
      <w:r w:rsidR="00666EA4">
        <w:rPr>
          <w:rFonts w:ascii="Times New Roman" w:hAnsi="Times New Roman"/>
          <w:sz w:val="24"/>
        </w:rPr>
        <w:t>)</w:t>
      </w:r>
      <w:r>
        <w:rPr>
          <w:rFonts w:ascii="Times New Roman" w:hAnsi="Times New Roman"/>
          <w:sz w:val="24"/>
        </w:rPr>
        <w:t>; cultural heritage</w:t>
      </w:r>
      <w:r w:rsidR="00666EA4">
        <w:rPr>
          <w:rFonts w:ascii="Times New Roman" w:hAnsi="Times New Roman"/>
          <w:sz w:val="24"/>
        </w:rPr>
        <w:t>,</w:t>
      </w:r>
      <w:r>
        <w:rPr>
          <w:rFonts w:ascii="Times New Roman" w:hAnsi="Times New Roman"/>
          <w:sz w:val="24"/>
        </w:rPr>
        <w:t xml:space="preserve"> and</w:t>
      </w:r>
      <w:r w:rsidR="00666EA4">
        <w:rPr>
          <w:rFonts w:ascii="Times New Roman" w:hAnsi="Times New Roman"/>
          <w:sz w:val="24"/>
        </w:rPr>
        <w:t>;</w:t>
      </w:r>
      <w:r>
        <w:rPr>
          <w:rFonts w:ascii="Times New Roman" w:hAnsi="Times New Roman"/>
          <w:sz w:val="24"/>
        </w:rPr>
        <w:t xml:space="preserve"> landscape.</w:t>
      </w:r>
    </w:p>
    <w:p w14:paraId="7B302645" w14:textId="72829B0A" w:rsidR="00816792" w:rsidRDefault="00816792" w:rsidP="00573886">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This information feeds into Chapter 6 which deals with environmental protection objectives and the SEA Framework.  Having referred to the high</w:t>
      </w:r>
      <w:r w:rsidR="00157245">
        <w:rPr>
          <w:rFonts w:ascii="Times New Roman" w:hAnsi="Times New Roman"/>
          <w:sz w:val="24"/>
        </w:rPr>
        <w:t>-</w:t>
      </w:r>
      <w:r>
        <w:rPr>
          <w:rFonts w:ascii="Times New Roman" w:hAnsi="Times New Roman"/>
          <w:sz w:val="24"/>
        </w:rPr>
        <w:t xml:space="preserve">level nature of the assessment and the adoption of </w:t>
      </w:r>
      <w:r w:rsidR="000738F6">
        <w:rPr>
          <w:rFonts w:ascii="Times New Roman" w:hAnsi="Times New Roman"/>
          <w:sz w:val="24"/>
        </w:rPr>
        <w:t>SEOs</w:t>
      </w:r>
      <w:r>
        <w:rPr>
          <w:rFonts w:ascii="Times New Roman" w:hAnsi="Times New Roman"/>
          <w:sz w:val="24"/>
        </w:rPr>
        <w:t>, the authors elaborate that the overall purpose of environmental indicators in the SEA is to provide a way of measuring the environmental effect of implementing the NPF.  The indicators are also used to track the progress in achieving the targets set in the SEA as well as the framework itself.  At para. 6.1.2 they state:</w:t>
      </w:r>
      <w:r w:rsidR="00157245">
        <w:rPr>
          <w:rFonts w:ascii="Times New Roman" w:hAnsi="Times New Roman"/>
          <w:sz w:val="24"/>
        </w:rPr>
        <w:t>-</w:t>
      </w:r>
    </w:p>
    <w:p w14:paraId="09D308BF" w14:textId="0C8E4439" w:rsidR="00C10F84" w:rsidRPr="00157245" w:rsidRDefault="00816792" w:rsidP="001C730D">
      <w:pPr>
        <w:pStyle w:val="ListParagraph"/>
        <w:spacing w:line="480" w:lineRule="auto"/>
        <w:ind w:left="567"/>
        <w:jc w:val="left"/>
      </w:pPr>
      <w:r>
        <w:rPr>
          <w:rFonts w:ascii="Times New Roman" w:hAnsi="Times New Roman"/>
          <w:i/>
          <w:sz w:val="24"/>
        </w:rPr>
        <w:t>“The proposed targets and indicators have been selected bearing in mind the availability of data and the feasibility of making direct links between any changes in the environment and the implementation of the plan.  For this reason, where possible targets and indicators have been based on existing published targets such as Healthy</w:t>
      </w:r>
      <w:r w:rsidR="00C10F84">
        <w:rPr>
          <w:rFonts w:ascii="Times New Roman" w:hAnsi="Times New Roman"/>
          <w:i/>
          <w:sz w:val="24"/>
        </w:rPr>
        <w:t xml:space="preserve"> Ireland, Healthy Services Executives Implementation Plan 2012-2025, which set </w:t>
      </w:r>
      <w:r w:rsidR="00157245">
        <w:rPr>
          <w:rFonts w:ascii="Times New Roman" w:hAnsi="Times New Roman"/>
          <w:i/>
          <w:sz w:val="24"/>
        </w:rPr>
        <w:t>n</w:t>
      </w:r>
      <w:r w:rsidR="00C10F84">
        <w:rPr>
          <w:rFonts w:ascii="Times New Roman" w:hAnsi="Times New Roman"/>
          <w:i/>
          <w:sz w:val="24"/>
        </w:rPr>
        <w:t xml:space="preserve">ational objectives, targets and indicators to measure Ireland’s progress in protecting human health.”  </w:t>
      </w:r>
    </w:p>
    <w:p w14:paraId="00033A7E" w14:textId="3C08C2AA" w:rsidR="00A1116E" w:rsidRPr="00A1116E" w:rsidRDefault="00A1116E" w:rsidP="00A1116E">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sz w:val="24"/>
        </w:rPr>
        <w:t>There is then a Ta</w:t>
      </w:r>
      <w:r w:rsidRPr="00A1116E">
        <w:rPr>
          <w:rFonts w:ascii="Times New Roman" w:hAnsi="Times New Roman"/>
          <w:sz w:val="24"/>
        </w:rPr>
        <w:t xml:space="preserve">ble 6.1 which sets out </w:t>
      </w:r>
      <w:r w:rsidR="007C03C3">
        <w:rPr>
          <w:rFonts w:ascii="Times New Roman" w:hAnsi="Times New Roman"/>
          <w:sz w:val="24"/>
        </w:rPr>
        <w:t xml:space="preserve">the </w:t>
      </w:r>
      <w:r w:rsidRPr="00A1116E">
        <w:rPr>
          <w:rFonts w:ascii="Times New Roman" w:hAnsi="Times New Roman"/>
          <w:sz w:val="24"/>
        </w:rPr>
        <w:t xml:space="preserve">nine </w:t>
      </w:r>
      <w:r w:rsidR="007C03C3">
        <w:rPr>
          <w:rFonts w:ascii="Times New Roman" w:hAnsi="Times New Roman"/>
          <w:sz w:val="24"/>
        </w:rPr>
        <w:t>SEOs</w:t>
      </w:r>
      <w:r w:rsidR="007C03C3" w:rsidRPr="00A1116E">
        <w:rPr>
          <w:rFonts w:ascii="Times New Roman" w:hAnsi="Times New Roman"/>
          <w:sz w:val="24"/>
        </w:rPr>
        <w:t xml:space="preserve"> </w:t>
      </w:r>
      <w:r w:rsidR="007C03C3">
        <w:rPr>
          <w:rFonts w:ascii="Times New Roman" w:hAnsi="Times New Roman"/>
          <w:sz w:val="24"/>
        </w:rPr>
        <w:t>identified in Table 6,</w:t>
      </w:r>
      <w:r w:rsidR="00CA21CF">
        <w:rPr>
          <w:rFonts w:ascii="Times New Roman" w:hAnsi="Times New Roman"/>
          <w:sz w:val="24"/>
        </w:rPr>
        <w:t xml:space="preserve"> </w:t>
      </w:r>
      <w:r w:rsidRPr="00A1116E">
        <w:rPr>
          <w:rFonts w:ascii="Times New Roman" w:hAnsi="Times New Roman"/>
          <w:sz w:val="24"/>
        </w:rPr>
        <w:t xml:space="preserve">and </w:t>
      </w:r>
      <w:r w:rsidR="00317341">
        <w:rPr>
          <w:rFonts w:ascii="Times New Roman" w:hAnsi="Times New Roman"/>
          <w:sz w:val="24"/>
        </w:rPr>
        <w:t>sets out</w:t>
      </w:r>
      <w:r w:rsidRPr="00A1116E">
        <w:rPr>
          <w:rFonts w:ascii="Times New Roman" w:hAnsi="Times New Roman"/>
          <w:sz w:val="24"/>
        </w:rPr>
        <w:t xml:space="preserve"> </w:t>
      </w:r>
      <w:r w:rsidR="00317341">
        <w:rPr>
          <w:rFonts w:ascii="Times New Roman" w:hAnsi="Times New Roman"/>
          <w:sz w:val="24"/>
        </w:rPr>
        <w:t xml:space="preserve">proposed </w:t>
      </w:r>
      <w:r w:rsidR="00CA21CF">
        <w:rPr>
          <w:rFonts w:ascii="Times New Roman" w:hAnsi="Times New Roman"/>
          <w:sz w:val="24"/>
        </w:rPr>
        <w:t>t</w:t>
      </w:r>
      <w:r w:rsidR="00317341" w:rsidRPr="00A1116E">
        <w:rPr>
          <w:rFonts w:ascii="Times New Roman" w:hAnsi="Times New Roman"/>
          <w:sz w:val="24"/>
        </w:rPr>
        <w:t>arget</w:t>
      </w:r>
      <w:r w:rsidR="00317341">
        <w:rPr>
          <w:rFonts w:ascii="Times New Roman" w:hAnsi="Times New Roman"/>
          <w:sz w:val="24"/>
        </w:rPr>
        <w:t>s</w:t>
      </w:r>
      <w:r w:rsidR="007C03C3">
        <w:rPr>
          <w:rFonts w:ascii="Times New Roman" w:hAnsi="Times New Roman"/>
          <w:sz w:val="24"/>
        </w:rPr>
        <w:t>,</w:t>
      </w:r>
      <w:r w:rsidR="00317341" w:rsidRPr="00A1116E">
        <w:rPr>
          <w:rFonts w:ascii="Times New Roman" w:hAnsi="Times New Roman"/>
          <w:sz w:val="24"/>
        </w:rPr>
        <w:t xml:space="preserve"> </w:t>
      </w:r>
      <w:r w:rsidRPr="00A1116E">
        <w:rPr>
          <w:rFonts w:ascii="Times New Roman" w:hAnsi="Times New Roman"/>
          <w:sz w:val="24"/>
        </w:rPr>
        <w:t xml:space="preserve">and </w:t>
      </w:r>
      <w:r w:rsidR="00CA21CF">
        <w:rPr>
          <w:rFonts w:ascii="Times New Roman" w:hAnsi="Times New Roman"/>
          <w:sz w:val="24"/>
        </w:rPr>
        <w:t>i</w:t>
      </w:r>
      <w:r w:rsidR="00317341" w:rsidRPr="00A1116E">
        <w:rPr>
          <w:rFonts w:ascii="Times New Roman" w:hAnsi="Times New Roman"/>
          <w:sz w:val="24"/>
        </w:rPr>
        <w:t>ndicator</w:t>
      </w:r>
      <w:r w:rsidR="007C03C3">
        <w:rPr>
          <w:rFonts w:ascii="Times New Roman" w:hAnsi="Times New Roman"/>
          <w:sz w:val="24"/>
        </w:rPr>
        <w:t>s</w:t>
      </w:r>
      <w:r w:rsidR="00317341">
        <w:rPr>
          <w:rFonts w:ascii="Times New Roman" w:hAnsi="Times New Roman"/>
          <w:sz w:val="24"/>
        </w:rPr>
        <w:t xml:space="preserve"> for achievement of those targets</w:t>
      </w:r>
      <w:r w:rsidRPr="00A1116E">
        <w:rPr>
          <w:rFonts w:ascii="Times New Roman" w:hAnsi="Times New Roman"/>
          <w:sz w:val="24"/>
        </w:rPr>
        <w:t>.</w:t>
      </w:r>
      <w:r>
        <w:rPr>
          <w:rFonts w:ascii="Times New Roman" w:hAnsi="Times New Roman"/>
          <w:sz w:val="24"/>
        </w:rPr>
        <w:t xml:space="preserve">  </w:t>
      </w:r>
    </w:p>
    <w:p w14:paraId="16E7AE1C" w14:textId="55437331" w:rsidR="00A1116E" w:rsidRDefault="00A1116E" w:rsidP="004A56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A1116E">
        <w:rPr>
          <w:rFonts w:ascii="Times New Roman" w:hAnsi="Times New Roman" w:cs="Times New Roman"/>
          <w:sz w:val="24"/>
          <w:szCs w:val="24"/>
        </w:rPr>
        <w:t xml:space="preserve">It is in this context that Chapter 7 assesses </w:t>
      </w:r>
      <w:r w:rsidR="007178AD">
        <w:rPr>
          <w:rFonts w:ascii="Times New Roman" w:hAnsi="Times New Roman" w:cs="Times New Roman"/>
          <w:sz w:val="24"/>
          <w:szCs w:val="24"/>
        </w:rPr>
        <w:t xml:space="preserve">reasonable </w:t>
      </w:r>
      <w:r w:rsidRPr="00A1116E">
        <w:rPr>
          <w:rFonts w:ascii="Times New Roman" w:hAnsi="Times New Roman" w:cs="Times New Roman"/>
          <w:sz w:val="24"/>
          <w:szCs w:val="24"/>
        </w:rPr>
        <w:t xml:space="preserve">alternatives.  The authors set out the obligation to consider </w:t>
      </w:r>
      <w:r>
        <w:rPr>
          <w:rFonts w:ascii="Times New Roman" w:hAnsi="Times New Roman" w:cs="Times New Roman"/>
          <w:sz w:val="24"/>
          <w:szCs w:val="24"/>
        </w:rPr>
        <w:t>alternatives and the desirability of doing so as early as possible</w:t>
      </w:r>
      <w:r w:rsidR="007178AD">
        <w:rPr>
          <w:rFonts w:ascii="Times New Roman" w:hAnsi="Times New Roman" w:cs="Times New Roman"/>
          <w:sz w:val="24"/>
          <w:szCs w:val="24"/>
        </w:rPr>
        <w:t xml:space="preserve"> in the course of preparing a plan</w:t>
      </w:r>
      <w:r>
        <w:rPr>
          <w:rFonts w:ascii="Times New Roman" w:hAnsi="Times New Roman" w:cs="Times New Roman"/>
          <w:sz w:val="24"/>
          <w:szCs w:val="24"/>
        </w:rPr>
        <w:t xml:space="preserve">.  They say that early discussion of possible </w:t>
      </w:r>
      <w:r w:rsidR="00BB470F">
        <w:rPr>
          <w:rFonts w:ascii="Times New Roman" w:hAnsi="Times New Roman" w:cs="Times New Roman"/>
          <w:sz w:val="24"/>
          <w:szCs w:val="24"/>
        </w:rPr>
        <w:t xml:space="preserve">alternatives </w:t>
      </w:r>
      <w:r>
        <w:rPr>
          <w:rFonts w:ascii="Times New Roman" w:hAnsi="Times New Roman" w:cs="Times New Roman"/>
          <w:sz w:val="24"/>
          <w:szCs w:val="24"/>
        </w:rPr>
        <w:t>was undertaken during the scoping stage of the NPF, and that giv</w:t>
      </w:r>
      <w:r w:rsidR="007178AD">
        <w:rPr>
          <w:rFonts w:ascii="Times New Roman" w:hAnsi="Times New Roman" w:cs="Times New Roman"/>
          <w:sz w:val="24"/>
          <w:szCs w:val="24"/>
        </w:rPr>
        <w:t>en</w:t>
      </w:r>
      <w:r>
        <w:rPr>
          <w:rFonts w:ascii="Times New Roman" w:hAnsi="Times New Roman" w:cs="Times New Roman"/>
          <w:sz w:val="24"/>
          <w:szCs w:val="24"/>
        </w:rPr>
        <w:t xml:space="preserve"> the nature </w:t>
      </w:r>
      <w:r>
        <w:rPr>
          <w:rFonts w:ascii="Times New Roman" w:hAnsi="Times New Roman" w:cs="Times New Roman"/>
          <w:sz w:val="24"/>
          <w:szCs w:val="24"/>
        </w:rPr>
        <w:lastRenderedPageBreak/>
        <w:t xml:space="preserve">of the NPF, alternatives </w:t>
      </w:r>
      <w:r w:rsidR="007178AD">
        <w:rPr>
          <w:rFonts w:ascii="Times New Roman" w:hAnsi="Times New Roman" w:cs="Times New Roman"/>
          <w:sz w:val="24"/>
          <w:szCs w:val="24"/>
        </w:rPr>
        <w:t>were</w:t>
      </w:r>
      <w:r>
        <w:rPr>
          <w:rFonts w:ascii="Times New Roman" w:hAnsi="Times New Roman" w:cs="Times New Roman"/>
          <w:sz w:val="24"/>
          <w:szCs w:val="24"/>
        </w:rPr>
        <w:t xml:space="preserve"> focussed at the strategic level.  In the approach set out in </w:t>
      </w:r>
      <w:r w:rsidR="00285EA9">
        <w:rPr>
          <w:rFonts w:ascii="Times New Roman" w:hAnsi="Times New Roman" w:cs="Times New Roman"/>
          <w:sz w:val="24"/>
          <w:szCs w:val="24"/>
        </w:rPr>
        <w:t xml:space="preserve">para. </w:t>
      </w:r>
      <w:r>
        <w:rPr>
          <w:rFonts w:ascii="Times New Roman" w:hAnsi="Times New Roman" w:cs="Times New Roman"/>
          <w:sz w:val="24"/>
          <w:szCs w:val="24"/>
        </w:rPr>
        <w:t>7.2</w:t>
      </w:r>
      <w:r w:rsidR="00285EA9">
        <w:rPr>
          <w:rFonts w:ascii="Times New Roman" w:hAnsi="Times New Roman" w:cs="Times New Roman"/>
          <w:sz w:val="24"/>
          <w:szCs w:val="24"/>
        </w:rPr>
        <w:t>,</w:t>
      </w:r>
      <w:r>
        <w:rPr>
          <w:rFonts w:ascii="Times New Roman" w:hAnsi="Times New Roman" w:cs="Times New Roman"/>
          <w:sz w:val="24"/>
          <w:szCs w:val="24"/>
        </w:rPr>
        <w:t xml:space="preserve"> a key challenge identified is to </w:t>
      </w:r>
      <w:r w:rsidR="00285EA9" w:rsidRPr="004A56E3">
        <w:rPr>
          <w:rFonts w:ascii="Times New Roman" w:hAnsi="Times New Roman" w:cs="Times New Roman"/>
          <w:i/>
          <w:iCs/>
          <w:sz w:val="24"/>
          <w:szCs w:val="24"/>
        </w:rPr>
        <w:t>“</w:t>
      </w:r>
      <w:r w:rsidRPr="004A56E3">
        <w:rPr>
          <w:rFonts w:ascii="Times New Roman" w:hAnsi="Times New Roman" w:cs="Times New Roman"/>
          <w:i/>
          <w:iCs/>
          <w:sz w:val="24"/>
          <w:szCs w:val="24"/>
        </w:rPr>
        <w:t xml:space="preserve">explore macro spatial alternatives that can accommodate </w:t>
      </w:r>
      <w:r w:rsidR="00285EA9" w:rsidRPr="004A56E3">
        <w:rPr>
          <w:rFonts w:ascii="Times New Roman" w:hAnsi="Times New Roman" w:cs="Times New Roman"/>
          <w:i/>
          <w:iCs/>
          <w:sz w:val="24"/>
          <w:szCs w:val="24"/>
        </w:rPr>
        <w:t>[</w:t>
      </w:r>
      <w:r w:rsidRPr="004A56E3">
        <w:rPr>
          <w:rFonts w:ascii="Times New Roman" w:hAnsi="Times New Roman" w:cs="Times New Roman"/>
          <w:i/>
          <w:iCs/>
          <w:sz w:val="24"/>
          <w:szCs w:val="24"/>
        </w:rPr>
        <w:t>the</w:t>
      </w:r>
      <w:r w:rsidR="00285EA9" w:rsidRPr="004A56E3">
        <w:rPr>
          <w:rFonts w:ascii="Times New Roman" w:hAnsi="Times New Roman" w:cs="Times New Roman"/>
          <w:i/>
          <w:iCs/>
          <w:sz w:val="24"/>
          <w:szCs w:val="24"/>
        </w:rPr>
        <w:t>]</w:t>
      </w:r>
      <w:r w:rsidRPr="004A56E3">
        <w:rPr>
          <w:rFonts w:ascii="Times New Roman" w:hAnsi="Times New Roman" w:cs="Times New Roman"/>
          <w:i/>
          <w:iCs/>
          <w:sz w:val="24"/>
          <w:szCs w:val="24"/>
        </w:rPr>
        <w:t xml:space="preserve"> projected </w:t>
      </w:r>
      <w:r w:rsidR="00285EA9" w:rsidRPr="004A56E3">
        <w:rPr>
          <w:rFonts w:ascii="Times New Roman" w:hAnsi="Times New Roman" w:cs="Times New Roman"/>
          <w:i/>
          <w:iCs/>
          <w:sz w:val="24"/>
          <w:szCs w:val="24"/>
        </w:rPr>
        <w:t>[</w:t>
      </w:r>
      <w:r w:rsidRPr="004A56E3">
        <w:rPr>
          <w:rFonts w:ascii="Times New Roman" w:hAnsi="Times New Roman" w:cs="Times New Roman"/>
          <w:i/>
          <w:iCs/>
          <w:sz w:val="24"/>
          <w:szCs w:val="24"/>
        </w:rPr>
        <w:t>population</w:t>
      </w:r>
      <w:r w:rsidR="00285EA9" w:rsidRPr="004A56E3">
        <w:rPr>
          <w:rFonts w:ascii="Times New Roman" w:hAnsi="Times New Roman" w:cs="Times New Roman"/>
          <w:i/>
          <w:iCs/>
          <w:sz w:val="24"/>
          <w:szCs w:val="24"/>
        </w:rPr>
        <w:t>]</w:t>
      </w:r>
      <w:r w:rsidRPr="004A56E3">
        <w:rPr>
          <w:rFonts w:ascii="Times New Roman" w:hAnsi="Times New Roman" w:cs="Times New Roman"/>
          <w:i/>
          <w:iCs/>
          <w:sz w:val="24"/>
          <w:szCs w:val="24"/>
        </w:rPr>
        <w:t xml:space="preserve"> growth in the most optimal and sustainable manner that would achieve Ireland’s economic, social and environmental requirements</w:t>
      </w:r>
      <w:r w:rsidR="007C03C3" w:rsidRPr="004A56E3">
        <w:rPr>
          <w:rFonts w:ascii="Times New Roman" w:hAnsi="Times New Roman" w:cs="Times New Roman"/>
          <w:i/>
          <w:iCs/>
          <w:sz w:val="24"/>
          <w:szCs w:val="24"/>
        </w:rPr>
        <w:t>”</w:t>
      </w:r>
      <w:r w:rsidRPr="004A56E3">
        <w:rPr>
          <w:rFonts w:ascii="Times New Roman" w:hAnsi="Times New Roman" w:cs="Times New Roman"/>
          <w:i/>
          <w:iCs/>
          <w:sz w:val="24"/>
          <w:szCs w:val="24"/>
        </w:rPr>
        <w:t>.</w:t>
      </w:r>
      <w:r>
        <w:rPr>
          <w:rFonts w:ascii="Times New Roman" w:hAnsi="Times New Roman" w:cs="Times New Roman"/>
          <w:sz w:val="24"/>
          <w:szCs w:val="24"/>
        </w:rPr>
        <w:t xml:space="preserve">  They identified the key challenges as including the regional disparity </w:t>
      </w:r>
      <w:r w:rsidR="007178AD">
        <w:rPr>
          <w:rFonts w:ascii="Times New Roman" w:hAnsi="Times New Roman" w:cs="Times New Roman"/>
          <w:sz w:val="24"/>
          <w:szCs w:val="24"/>
        </w:rPr>
        <w:t xml:space="preserve">between </w:t>
      </w:r>
      <w:r>
        <w:rPr>
          <w:rFonts w:ascii="Times New Roman" w:hAnsi="Times New Roman" w:cs="Times New Roman"/>
          <w:sz w:val="24"/>
          <w:szCs w:val="24"/>
        </w:rPr>
        <w:t>regions</w:t>
      </w:r>
      <w:r w:rsidR="007C03C3">
        <w:rPr>
          <w:rFonts w:ascii="Times New Roman" w:hAnsi="Times New Roman" w:cs="Times New Roman"/>
          <w:sz w:val="24"/>
          <w:szCs w:val="24"/>
        </w:rPr>
        <w:t xml:space="preserve">; </w:t>
      </w:r>
      <w:r>
        <w:rPr>
          <w:rFonts w:ascii="Times New Roman" w:hAnsi="Times New Roman" w:cs="Times New Roman"/>
          <w:sz w:val="24"/>
          <w:szCs w:val="24"/>
        </w:rPr>
        <w:t>the dispersed nature of growth weakening the role of settlements as key drivers for growth, both across the regions and more localised area, contributing to structural weakness of rural areas; the hollowing out of settlements and high levels of vacancy, due to building on the edges</w:t>
      </w:r>
      <w:r w:rsidR="00C141C2">
        <w:rPr>
          <w:rFonts w:ascii="Times New Roman" w:hAnsi="Times New Roman" w:cs="Times New Roman"/>
          <w:sz w:val="24"/>
          <w:szCs w:val="24"/>
        </w:rPr>
        <w:t>,</w:t>
      </w:r>
      <w:r>
        <w:rPr>
          <w:rFonts w:ascii="Times New Roman" w:hAnsi="Times New Roman" w:cs="Times New Roman"/>
          <w:sz w:val="24"/>
          <w:szCs w:val="24"/>
        </w:rPr>
        <w:t xml:space="preserve"> reinforcing issues of congestion and private car use</w:t>
      </w:r>
      <w:r w:rsidR="007C03C3">
        <w:rPr>
          <w:rFonts w:ascii="Times New Roman" w:hAnsi="Times New Roman" w:cs="Times New Roman"/>
          <w:sz w:val="24"/>
          <w:szCs w:val="24"/>
        </w:rPr>
        <w:t>,</w:t>
      </w:r>
      <w:r w:rsidR="00C141C2">
        <w:rPr>
          <w:rFonts w:ascii="Times New Roman" w:hAnsi="Times New Roman" w:cs="Times New Roman"/>
          <w:sz w:val="24"/>
          <w:szCs w:val="24"/>
        </w:rPr>
        <w:t xml:space="preserve"> and</w:t>
      </w:r>
      <w:r>
        <w:rPr>
          <w:rFonts w:ascii="Times New Roman" w:hAnsi="Times New Roman" w:cs="Times New Roman"/>
          <w:sz w:val="24"/>
          <w:szCs w:val="24"/>
        </w:rPr>
        <w:t xml:space="preserve"> the dominance of greenfield development over reuse and out</w:t>
      </w:r>
      <w:r w:rsidR="00285EA9">
        <w:rPr>
          <w:rFonts w:ascii="Times New Roman" w:hAnsi="Times New Roman" w:cs="Times New Roman"/>
          <w:sz w:val="24"/>
          <w:szCs w:val="24"/>
        </w:rPr>
        <w:t>-</w:t>
      </w:r>
      <w:r>
        <w:rPr>
          <w:rFonts w:ascii="Times New Roman" w:hAnsi="Times New Roman" w:cs="Times New Roman"/>
          <w:sz w:val="24"/>
          <w:szCs w:val="24"/>
        </w:rPr>
        <w:t>of</w:t>
      </w:r>
      <w:r w:rsidR="00285EA9">
        <w:rPr>
          <w:rFonts w:ascii="Times New Roman" w:hAnsi="Times New Roman" w:cs="Times New Roman"/>
          <w:sz w:val="24"/>
          <w:szCs w:val="24"/>
        </w:rPr>
        <w:t>-</w:t>
      </w:r>
      <w:r>
        <w:rPr>
          <w:rFonts w:ascii="Times New Roman" w:hAnsi="Times New Roman" w:cs="Times New Roman"/>
          <w:sz w:val="24"/>
          <w:szCs w:val="24"/>
        </w:rPr>
        <w:t>town retailing/commerce</w:t>
      </w:r>
      <w:r w:rsidR="007C03C3">
        <w:rPr>
          <w:rFonts w:ascii="Times New Roman" w:hAnsi="Times New Roman" w:cs="Times New Roman"/>
          <w:sz w:val="24"/>
          <w:szCs w:val="24"/>
        </w:rPr>
        <w:t xml:space="preserve">; and </w:t>
      </w:r>
      <w:r>
        <w:rPr>
          <w:rFonts w:ascii="Times New Roman" w:hAnsi="Times New Roman" w:cs="Times New Roman"/>
          <w:sz w:val="24"/>
          <w:szCs w:val="24"/>
        </w:rPr>
        <w:t xml:space="preserve">dispersal </w:t>
      </w:r>
      <w:r w:rsidR="007C03C3">
        <w:rPr>
          <w:rFonts w:ascii="Times New Roman" w:hAnsi="Times New Roman" w:cs="Times New Roman"/>
          <w:sz w:val="24"/>
          <w:szCs w:val="24"/>
        </w:rPr>
        <w:t xml:space="preserve">which </w:t>
      </w:r>
      <w:r>
        <w:rPr>
          <w:rFonts w:ascii="Times New Roman" w:hAnsi="Times New Roman" w:cs="Times New Roman"/>
          <w:sz w:val="24"/>
          <w:szCs w:val="24"/>
        </w:rPr>
        <w:t xml:space="preserve">has led to infrastructure deficits and a mismatch between the pace of growth and the pace of infrastructure deployment to service needs, with increasing costs to services.  </w:t>
      </w:r>
    </w:p>
    <w:p w14:paraId="510F1817" w14:textId="17A6F0C6" w:rsidR="00C141C2" w:rsidRDefault="00A1116E" w:rsidP="004A56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To address the challenges of accommodating and planning for this growth and driving it in a su</w:t>
      </w:r>
      <w:r w:rsidR="00BD04C2">
        <w:rPr>
          <w:rFonts w:ascii="Times New Roman" w:hAnsi="Times New Roman" w:cs="Times New Roman"/>
          <w:sz w:val="24"/>
          <w:szCs w:val="24"/>
        </w:rPr>
        <w:t xml:space="preserve">stainable way, a number of macro spatial alternatives were examined which were considered to be reasonable, realistic, viable and implementable. These were developed around four </w:t>
      </w:r>
      <w:r w:rsidR="00BD04C2">
        <w:rPr>
          <w:rFonts w:ascii="Times New Roman" w:hAnsi="Times New Roman" w:cs="Times New Roman"/>
          <w:i/>
          <w:sz w:val="24"/>
          <w:szCs w:val="24"/>
        </w:rPr>
        <w:t>“pillars”</w:t>
      </w:r>
      <w:r w:rsidR="00BD04C2">
        <w:rPr>
          <w:rFonts w:ascii="Times New Roman" w:hAnsi="Times New Roman" w:cs="Times New Roman"/>
          <w:sz w:val="24"/>
          <w:szCs w:val="24"/>
        </w:rPr>
        <w:t>.  Pillar 1 related to regional distribution scenarios (how the regions will grow over the next twenty to twenty-five years</w:t>
      </w:r>
      <w:r w:rsidR="00F86AA0">
        <w:rPr>
          <w:rFonts w:ascii="Times New Roman" w:hAnsi="Times New Roman" w:cs="Times New Roman"/>
          <w:sz w:val="24"/>
          <w:szCs w:val="24"/>
        </w:rPr>
        <w:t xml:space="preserve">); </w:t>
      </w:r>
      <w:r w:rsidR="00BD04C2">
        <w:rPr>
          <w:rFonts w:ascii="Times New Roman" w:hAnsi="Times New Roman" w:cs="Times New Roman"/>
          <w:sz w:val="24"/>
          <w:szCs w:val="24"/>
        </w:rPr>
        <w:t xml:space="preserve">Pillar 2 </w:t>
      </w:r>
      <w:r w:rsidR="00F86A05">
        <w:rPr>
          <w:rFonts w:ascii="Times New Roman" w:hAnsi="Times New Roman" w:cs="Times New Roman"/>
          <w:sz w:val="24"/>
          <w:szCs w:val="24"/>
        </w:rPr>
        <w:t xml:space="preserve">related to </w:t>
      </w:r>
      <w:r w:rsidR="00BD04C2">
        <w:rPr>
          <w:rFonts w:ascii="Times New Roman" w:hAnsi="Times New Roman" w:cs="Times New Roman"/>
          <w:sz w:val="24"/>
          <w:szCs w:val="24"/>
        </w:rPr>
        <w:t>concentration</w:t>
      </w:r>
      <w:r w:rsidR="00CC0D42">
        <w:rPr>
          <w:rFonts w:ascii="Times New Roman" w:hAnsi="Times New Roman" w:cs="Times New Roman"/>
          <w:sz w:val="24"/>
          <w:szCs w:val="24"/>
        </w:rPr>
        <w:t>-</w:t>
      </w:r>
      <w:r w:rsidR="00BD04C2">
        <w:rPr>
          <w:rFonts w:ascii="Times New Roman" w:hAnsi="Times New Roman" w:cs="Times New Roman"/>
          <w:sz w:val="24"/>
          <w:szCs w:val="24"/>
        </w:rPr>
        <w:t xml:space="preserve">dispersal scenarios (where future growth will be concentrated); Pillar 3 </w:t>
      </w:r>
      <w:r w:rsidR="00F86A05">
        <w:rPr>
          <w:rFonts w:ascii="Times New Roman" w:hAnsi="Times New Roman" w:cs="Times New Roman"/>
          <w:sz w:val="24"/>
          <w:szCs w:val="24"/>
        </w:rPr>
        <w:t xml:space="preserve">related to </w:t>
      </w:r>
      <w:r w:rsidR="00BD04C2">
        <w:rPr>
          <w:rFonts w:ascii="Times New Roman" w:hAnsi="Times New Roman" w:cs="Times New Roman"/>
          <w:sz w:val="24"/>
          <w:szCs w:val="24"/>
        </w:rPr>
        <w:t>compact</w:t>
      </w:r>
      <w:r w:rsidR="007C03C3">
        <w:rPr>
          <w:rFonts w:ascii="Times New Roman" w:hAnsi="Times New Roman" w:cs="Times New Roman"/>
          <w:sz w:val="24"/>
          <w:szCs w:val="24"/>
        </w:rPr>
        <w:t>ness</w:t>
      </w:r>
      <w:r w:rsidR="00CC0D42">
        <w:rPr>
          <w:rFonts w:ascii="Times New Roman" w:hAnsi="Times New Roman" w:cs="Times New Roman"/>
          <w:sz w:val="24"/>
          <w:szCs w:val="24"/>
        </w:rPr>
        <w:t>-</w:t>
      </w:r>
      <w:r w:rsidR="00BD04C2">
        <w:rPr>
          <w:rFonts w:ascii="Times New Roman" w:hAnsi="Times New Roman" w:cs="Times New Roman"/>
          <w:sz w:val="24"/>
          <w:szCs w:val="24"/>
        </w:rPr>
        <w:t>sprawl scenario</w:t>
      </w:r>
      <w:r w:rsidR="00F86A05">
        <w:rPr>
          <w:rFonts w:ascii="Times New Roman" w:hAnsi="Times New Roman" w:cs="Times New Roman"/>
          <w:sz w:val="24"/>
          <w:szCs w:val="24"/>
        </w:rPr>
        <w:t xml:space="preserve">s </w:t>
      </w:r>
      <w:r w:rsidR="00BD04C2">
        <w:rPr>
          <w:rFonts w:ascii="Times New Roman" w:hAnsi="Times New Roman" w:cs="Times New Roman"/>
          <w:sz w:val="24"/>
          <w:szCs w:val="24"/>
        </w:rPr>
        <w:t>(how densely this growth will be concentrated)</w:t>
      </w:r>
      <w:r w:rsidR="00F86AA0">
        <w:rPr>
          <w:rFonts w:ascii="Times New Roman" w:hAnsi="Times New Roman" w:cs="Times New Roman"/>
          <w:sz w:val="24"/>
          <w:szCs w:val="24"/>
        </w:rPr>
        <w:t>;</w:t>
      </w:r>
      <w:r w:rsidR="00BD04C2">
        <w:rPr>
          <w:rFonts w:ascii="Times New Roman" w:hAnsi="Times New Roman" w:cs="Times New Roman"/>
          <w:sz w:val="24"/>
          <w:szCs w:val="24"/>
        </w:rPr>
        <w:t xml:space="preserve"> and Pillar 4 </w:t>
      </w:r>
      <w:r w:rsidR="00931C02">
        <w:rPr>
          <w:rFonts w:ascii="Times New Roman" w:hAnsi="Times New Roman" w:cs="Times New Roman"/>
          <w:sz w:val="24"/>
          <w:szCs w:val="24"/>
        </w:rPr>
        <w:t xml:space="preserve">related to </w:t>
      </w:r>
      <w:r w:rsidR="00BD04C2">
        <w:rPr>
          <w:rFonts w:ascii="Times New Roman" w:hAnsi="Times New Roman" w:cs="Times New Roman"/>
          <w:sz w:val="24"/>
          <w:szCs w:val="24"/>
        </w:rPr>
        <w:t xml:space="preserve">temporal infrastructure scenarios (the timing and delivery of services and infrastructure).  Under each pillar four different alternatives are considered. </w:t>
      </w:r>
    </w:p>
    <w:p w14:paraId="4B1C04F2" w14:textId="28F96B1F" w:rsidR="00A1116E" w:rsidRDefault="00BD04C2" w:rsidP="004A56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Under Pillar 1, regional distribution scenarios</w:t>
      </w:r>
      <w:r w:rsidR="00A66AF5">
        <w:rPr>
          <w:rFonts w:ascii="Times New Roman" w:hAnsi="Times New Roman" w:cs="Times New Roman"/>
          <w:sz w:val="24"/>
          <w:szCs w:val="24"/>
        </w:rPr>
        <w:t>,</w:t>
      </w:r>
      <w:r w:rsidR="00C141C2">
        <w:rPr>
          <w:rFonts w:ascii="Times New Roman" w:hAnsi="Times New Roman" w:cs="Times New Roman"/>
          <w:sz w:val="24"/>
          <w:szCs w:val="24"/>
        </w:rPr>
        <w:t xml:space="preserve"> four options are considered:</w:t>
      </w:r>
      <w:r>
        <w:rPr>
          <w:rFonts w:ascii="Times New Roman" w:hAnsi="Times New Roman" w:cs="Times New Roman"/>
          <w:sz w:val="24"/>
          <w:szCs w:val="24"/>
        </w:rPr>
        <w:t xml:space="preserve"> regional parity, regional rebalance, regional acceleration and regional dominance.  Having discussed the four options, the preferred solution and the reason for choosing regional parity is set out.  In relation to Pillar 2</w:t>
      </w:r>
      <w:r w:rsidR="00A66AF5">
        <w:rPr>
          <w:rFonts w:ascii="Times New Roman" w:hAnsi="Times New Roman" w:cs="Times New Roman"/>
          <w:sz w:val="24"/>
          <w:szCs w:val="24"/>
        </w:rPr>
        <w:t>,</w:t>
      </w:r>
      <w:r>
        <w:rPr>
          <w:rFonts w:ascii="Times New Roman" w:hAnsi="Times New Roman" w:cs="Times New Roman"/>
          <w:sz w:val="24"/>
          <w:szCs w:val="24"/>
        </w:rPr>
        <w:t xml:space="preserve"> concentration</w:t>
      </w:r>
      <w:r w:rsidR="00CC0D42">
        <w:rPr>
          <w:rFonts w:ascii="Times New Roman" w:hAnsi="Times New Roman" w:cs="Times New Roman"/>
          <w:sz w:val="24"/>
          <w:szCs w:val="24"/>
        </w:rPr>
        <w:t>-</w:t>
      </w:r>
      <w:r>
        <w:rPr>
          <w:rFonts w:ascii="Times New Roman" w:hAnsi="Times New Roman" w:cs="Times New Roman"/>
          <w:sz w:val="24"/>
          <w:szCs w:val="24"/>
        </w:rPr>
        <w:t>dispersal scenarios</w:t>
      </w:r>
      <w:r w:rsidR="00A66AF5">
        <w:rPr>
          <w:rFonts w:ascii="Times New Roman" w:hAnsi="Times New Roman" w:cs="Times New Roman"/>
          <w:sz w:val="24"/>
          <w:szCs w:val="24"/>
        </w:rPr>
        <w:t>,</w:t>
      </w:r>
      <w:r>
        <w:rPr>
          <w:rFonts w:ascii="Times New Roman" w:hAnsi="Times New Roman" w:cs="Times New Roman"/>
          <w:sz w:val="24"/>
          <w:szCs w:val="24"/>
        </w:rPr>
        <w:t xml:space="preserve"> the four headings </w:t>
      </w:r>
      <w:r>
        <w:rPr>
          <w:rFonts w:ascii="Times New Roman" w:hAnsi="Times New Roman" w:cs="Times New Roman"/>
          <w:sz w:val="24"/>
          <w:szCs w:val="24"/>
        </w:rPr>
        <w:lastRenderedPageBreak/>
        <w:t>are</w:t>
      </w:r>
      <w:r w:rsidR="00A66AF5">
        <w:rPr>
          <w:rFonts w:ascii="Times New Roman" w:hAnsi="Times New Roman" w:cs="Times New Roman"/>
          <w:sz w:val="24"/>
          <w:szCs w:val="24"/>
        </w:rPr>
        <w:t xml:space="preserve"> c</w:t>
      </w:r>
      <w:r>
        <w:rPr>
          <w:rFonts w:ascii="Times New Roman" w:hAnsi="Times New Roman" w:cs="Times New Roman"/>
          <w:sz w:val="24"/>
          <w:szCs w:val="24"/>
        </w:rPr>
        <w:t xml:space="preserve">ity </w:t>
      </w:r>
      <w:r w:rsidR="00A66AF5">
        <w:rPr>
          <w:rFonts w:ascii="Times New Roman" w:hAnsi="Times New Roman" w:cs="Times New Roman"/>
          <w:sz w:val="24"/>
          <w:szCs w:val="24"/>
        </w:rPr>
        <w:t>c</w:t>
      </w:r>
      <w:r>
        <w:rPr>
          <w:rFonts w:ascii="Times New Roman" w:hAnsi="Times New Roman" w:cs="Times New Roman"/>
          <w:sz w:val="24"/>
          <w:szCs w:val="24"/>
        </w:rPr>
        <w:t xml:space="preserve">oncentration, </w:t>
      </w:r>
      <w:r w:rsidR="00A66AF5">
        <w:rPr>
          <w:rFonts w:ascii="Times New Roman" w:hAnsi="Times New Roman" w:cs="Times New Roman"/>
          <w:sz w:val="24"/>
          <w:szCs w:val="24"/>
        </w:rPr>
        <w:t>r</w:t>
      </w:r>
      <w:r>
        <w:rPr>
          <w:rFonts w:ascii="Times New Roman" w:hAnsi="Times New Roman" w:cs="Times New Roman"/>
          <w:sz w:val="24"/>
          <w:szCs w:val="24"/>
        </w:rPr>
        <w:t xml:space="preserve">egional </w:t>
      </w:r>
      <w:r w:rsidR="00A66AF5">
        <w:rPr>
          <w:rFonts w:ascii="Times New Roman" w:hAnsi="Times New Roman" w:cs="Times New Roman"/>
          <w:sz w:val="24"/>
          <w:szCs w:val="24"/>
        </w:rPr>
        <w:t>c</w:t>
      </w:r>
      <w:r>
        <w:rPr>
          <w:rFonts w:ascii="Times New Roman" w:hAnsi="Times New Roman" w:cs="Times New Roman"/>
          <w:sz w:val="24"/>
          <w:szCs w:val="24"/>
        </w:rPr>
        <w:t xml:space="preserve">oncentration, </w:t>
      </w:r>
      <w:r w:rsidR="00A66AF5">
        <w:rPr>
          <w:rFonts w:ascii="Times New Roman" w:hAnsi="Times New Roman" w:cs="Times New Roman"/>
          <w:sz w:val="24"/>
          <w:szCs w:val="24"/>
        </w:rPr>
        <w:t>r</w:t>
      </w:r>
      <w:r>
        <w:rPr>
          <w:rFonts w:ascii="Times New Roman" w:hAnsi="Times New Roman" w:cs="Times New Roman"/>
          <w:sz w:val="24"/>
          <w:szCs w:val="24"/>
        </w:rPr>
        <w:t xml:space="preserve">egional </w:t>
      </w:r>
      <w:r w:rsidR="00A66AF5">
        <w:rPr>
          <w:rFonts w:ascii="Times New Roman" w:hAnsi="Times New Roman" w:cs="Times New Roman"/>
          <w:sz w:val="24"/>
          <w:szCs w:val="24"/>
        </w:rPr>
        <w:t>d</w:t>
      </w:r>
      <w:r>
        <w:rPr>
          <w:rFonts w:ascii="Times New Roman" w:hAnsi="Times New Roman" w:cs="Times New Roman"/>
          <w:sz w:val="24"/>
          <w:szCs w:val="24"/>
        </w:rPr>
        <w:t xml:space="preserve">ispersal and </w:t>
      </w:r>
      <w:r w:rsidR="00A66AF5">
        <w:rPr>
          <w:rFonts w:ascii="Times New Roman" w:hAnsi="Times New Roman" w:cs="Times New Roman"/>
          <w:sz w:val="24"/>
          <w:szCs w:val="24"/>
        </w:rPr>
        <w:t>n</w:t>
      </w:r>
      <w:r>
        <w:rPr>
          <w:rFonts w:ascii="Times New Roman" w:hAnsi="Times New Roman" w:cs="Times New Roman"/>
          <w:sz w:val="24"/>
          <w:szCs w:val="24"/>
        </w:rPr>
        <w:t xml:space="preserve">ational </w:t>
      </w:r>
      <w:r w:rsidR="00A66AF5">
        <w:rPr>
          <w:rFonts w:ascii="Times New Roman" w:hAnsi="Times New Roman" w:cs="Times New Roman"/>
          <w:sz w:val="24"/>
          <w:szCs w:val="24"/>
        </w:rPr>
        <w:t>d</w:t>
      </w:r>
      <w:r>
        <w:rPr>
          <w:rFonts w:ascii="Times New Roman" w:hAnsi="Times New Roman" w:cs="Times New Roman"/>
          <w:sz w:val="24"/>
          <w:szCs w:val="24"/>
        </w:rPr>
        <w:t>ispersal.  Again</w:t>
      </w:r>
      <w:r w:rsidR="00A66AF5">
        <w:rPr>
          <w:rFonts w:ascii="Times New Roman" w:hAnsi="Times New Roman" w:cs="Times New Roman"/>
          <w:sz w:val="24"/>
          <w:szCs w:val="24"/>
        </w:rPr>
        <w:t>,</w:t>
      </w:r>
      <w:r>
        <w:rPr>
          <w:rFonts w:ascii="Times New Roman" w:hAnsi="Times New Roman" w:cs="Times New Roman"/>
          <w:sz w:val="24"/>
          <w:szCs w:val="24"/>
        </w:rPr>
        <w:t xml:space="preserve"> the options are discussed and the preferred solution and the reason for choosing regional concertation as the preferred macro spatial option is set out.  As regards Pillar 3</w:t>
      </w:r>
      <w:r w:rsidR="00A66AF5">
        <w:rPr>
          <w:rFonts w:ascii="Times New Roman" w:hAnsi="Times New Roman" w:cs="Times New Roman"/>
          <w:sz w:val="24"/>
          <w:szCs w:val="24"/>
        </w:rPr>
        <w:t>,</w:t>
      </w:r>
      <w:r>
        <w:rPr>
          <w:rFonts w:ascii="Times New Roman" w:hAnsi="Times New Roman" w:cs="Times New Roman"/>
          <w:sz w:val="24"/>
          <w:szCs w:val="24"/>
        </w:rPr>
        <w:t xml:space="preserve"> compactness</w:t>
      </w:r>
      <w:r w:rsidR="00CC0D42">
        <w:rPr>
          <w:rFonts w:ascii="Times New Roman" w:hAnsi="Times New Roman" w:cs="Times New Roman"/>
          <w:sz w:val="24"/>
          <w:szCs w:val="24"/>
        </w:rPr>
        <w:t>-</w:t>
      </w:r>
      <w:r>
        <w:rPr>
          <w:rFonts w:ascii="Times New Roman" w:hAnsi="Times New Roman" w:cs="Times New Roman"/>
          <w:sz w:val="24"/>
          <w:szCs w:val="24"/>
        </w:rPr>
        <w:t>sprawl scenario</w:t>
      </w:r>
      <w:r w:rsidR="00A66AF5">
        <w:rPr>
          <w:rFonts w:ascii="Times New Roman" w:hAnsi="Times New Roman" w:cs="Times New Roman"/>
          <w:sz w:val="24"/>
          <w:szCs w:val="24"/>
        </w:rPr>
        <w:t>,</w:t>
      </w:r>
      <w:r>
        <w:rPr>
          <w:rFonts w:ascii="Times New Roman" w:hAnsi="Times New Roman" w:cs="Times New Roman"/>
          <w:sz w:val="24"/>
          <w:szCs w:val="24"/>
        </w:rPr>
        <w:t xml:space="preserve"> the four options explored </w:t>
      </w:r>
      <w:r w:rsidR="00A66AF5">
        <w:rPr>
          <w:rFonts w:ascii="Times New Roman" w:hAnsi="Times New Roman" w:cs="Times New Roman"/>
          <w:sz w:val="24"/>
          <w:szCs w:val="24"/>
        </w:rPr>
        <w:t>a</w:t>
      </w:r>
      <w:r>
        <w:rPr>
          <w:rFonts w:ascii="Times New Roman" w:hAnsi="Times New Roman" w:cs="Times New Roman"/>
          <w:sz w:val="24"/>
          <w:szCs w:val="24"/>
        </w:rPr>
        <w:t xml:space="preserve">re compact growth, contained growth, reduced sprawl and sprawled growth.  The preferred solution </w:t>
      </w:r>
      <w:r w:rsidR="00A66AF5">
        <w:rPr>
          <w:rFonts w:ascii="Times New Roman" w:hAnsi="Times New Roman" w:cs="Times New Roman"/>
          <w:sz w:val="24"/>
          <w:szCs w:val="24"/>
        </w:rPr>
        <w:t>was</w:t>
      </w:r>
      <w:r>
        <w:rPr>
          <w:rFonts w:ascii="Times New Roman" w:hAnsi="Times New Roman" w:cs="Times New Roman"/>
          <w:sz w:val="24"/>
          <w:szCs w:val="24"/>
        </w:rPr>
        <w:t xml:space="preserve"> contained growth and reduced sprawl</w:t>
      </w:r>
      <w:r w:rsidR="00A66AF5">
        <w:rPr>
          <w:rFonts w:ascii="Times New Roman" w:hAnsi="Times New Roman" w:cs="Times New Roman"/>
          <w:sz w:val="24"/>
          <w:szCs w:val="24"/>
        </w:rPr>
        <w:t xml:space="preserve"> and the reasons for this choice were set out</w:t>
      </w:r>
      <w:r>
        <w:rPr>
          <w:rFonts w:ascii="Times New Roman" w:hAnsi="Times New Roman" w:cs="Times New Roman"/>
          <w:sz w:val="24"/>
          <w:szCs w:val="24"/>
        </w:rPr>
        <w:t>.  Finally, in relation to Pillar 4</w:t>
      </w:r>
      <w:r w:rsidR="00A66AF5">
        <w:rPr>
          <w:rFonts w:ascii="Times New Roman" w:hAnsi="Times New Roman" w:cs="Times New Roman"/>
          <w:sz w:val="24"/>
          <w:szCs w:val="24"/>
        </w:rPr>
        <w:t>,</w:t>
      </w:r>
      <w:r>
        <w:rPr>
          <w:rFonts w:ascii="Times New Roman" w:hAnsi="Times New Roman" w:cs="Times New Roman"/>
          <w:sz w:val="24"/>
          <w:szCs w:val="24"/>
        </w:rPr>
        <w:t xml:space="preserve"> temporal infrastructure scenarios, the four scenarios explored were front</w:t>
      </w:r>
      <w:r w:rsidR="00931C02">
        <w:rPr>
          <w:rFonts w:ascii="Times New Roman" w:hAnsi="Times New Roman" w:cs="Times New Roman"/>
          <w:sz w:val="24"/>
          <w:szCs w:val="24"/>
        </w:rPr>
        <w:t>-</w:t>
      </w:r>
      <w:r>
        <w:rPr>
          <w:rFonts w:ascii="Times New Roman" w:hAnsi="Times New Roman" w:cs="Times New Roman"/>
          <w:sz w:val="24"/>
          <w:szCs w:val="24"/>
        </w:rPr>
        <w:t xml:space="preserve">loading provision, sequential provision, tandem provision and market-led provision.  The preferred solution and reason for choosing were sequential provision on the basis it would best contribute to </w:t>
      </w:r>
      <w:r w:rsidR="00A66AF5">
        <w:rPr>
          <w:rFonts w:ascii="Times New Roman" w:hAnsi="Times New Roman" w:cs="Times New Roman"/>
          <w:sz w:val="24"/>
          <w:szCs w:val="24"/>
        </w:rPr>
        <w:t>n</w:t>
      </w:r>
      <w:r>
        <w:rPr>
          <w:rFonts w:ascii="Times New Roman" w:hAnsi="Times New Roman" w:cs="Times New Roman"/>
          <w:sz w:val="24"/>
          <w:szCs w:val="24"/>
        </w:rPr>
        <w:t xml:space="preserve">ational objectives for </w:t>
      </w:r>
      <w:r w:rsidR="00A66AF5">
        <w:rPr>
          <w:rFonts w:ascii="Times New Roman" w:hAnsi="Times New Roman" w:cs="Times New Roman"/>
          <w:sz w:val="24"/>
          <w:szCs w:val="24"/>
        </w:rPr>
        <w:t>n</w:t>
      </w:r>
      <w:r>
        <w:rPr>
          <w:rFonts w:ascii="Times New Roman" w:hAnsi="Times New Roman" w:cs="Times New Roman"/>
          <w:sz w:val="24"/>
          <w:szCs w:val="24"/>
        </w:rPr>
        <w:t xml:space="preserve">ational and </w:t>
      </w:r>
      <w:r w:rsidR="00A66AF5">
        <w:rPr>
          <w:rFonts w:ascii="Times New Roman" w:hAnsi="Times New Roman" w:cs="Times New Roman"/>
          <w:sz w:val="24"/>
          <w:szCs w:val="24"/>
        </w:rPr>
        <w:t>r</w:t>
      </w:r>
      <w:r>
        <w:rPr>
          <w:rFonts w:ascii="Times New Roman" w:hAnsi="Times New Roman" w:cs="Times New Roman"/>
          <w:sz w:val="24"/>
          <w:szCs w:val="24"/>
        </w:rPr>
        <w:t xml:space="preserve">egional development.  </w:t>
      </w:r>
    </w:p>
    <w:p w14:paraId="0CF6828C" w14:textId="1DEF41EF" w:rsidR="00BD04C2" w:rsidRDefault="00BD04C2" w:rsidP="004A56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This section of the </w:t>
      </w:r>
      <w:r w:rsidR="00F826F6">
        <w:rPr>
          <w:rFonts w:ascii="Times New Roman" w:hAnsi="Times New Roman" w:cs="Times New Roman"/>
          <w:sz w:val="24"/>
          <w:szCs w:val="24"/>
        </w:rPr>
        <w:t>r</w:t>
      </w:r>
      <w:r>
        <w:rPr>
          <w:rFonts w:ascii="Times New Roman" w:hAnsi="Times New Roman" w:cs="Times New Roman"/>
          <w:sz w:val="24"/>
          <w:szCs w:val="24"/>
        </w:rPr>
        <w:t xml:space="preserve">eport reduced the four options under the </w:t>
      </w:r>
      <w:r w:rsidR="00CC0D42">
        <w:rPr>
          <w:rFonts w:ascii="Times New Roman" w:hAnsi="Times New Roman" w:cs="Times New Roman"/>
          <w:sz w:val="24"/>
          <w:szCs w:val="24"/>
        </w:rPr>
        <w:t xml:space="preserve">four </w:t>
      </w:r>
      <w:r w:rsidR="00B7525D">
        <w:rPr>
          <w:rFonts w:ascii="Times New Roman" w:hAnsi="Times New Roman" w:cs="Times New Roman"/>
          <w:sz w:val="24"/>
          <w:szCs w:val="24"/>
        </w:rPr>
        <w:t>p</w:t>
      </w:r>
      <w:r>
        <w:rPr>
          <w:rFonts w:ascii="Times New Roman" w:hAnsi="Times New Roman" w:cs="Times New Roman"/>
          <w:sz w:val="24"/>
          <w:szCs w:val="24"/>
        </w:rPr>
        <w:t xml:space="preserve">illars to </w:t>
      </w:r>
      <w:r w:rsidR="00F826F6">
        <w:rPr>
          <w:rFonts w:ascii="Times New Roman" w:hAnsi="Times New Roman" w:cs="Times New Roman"/>
          <w:sz w:val="24"/>
          <w:szCs w:val="24"/>
        </w:rPr>
        <w:t>two</w:t>
      </w:r>
      <w:r>
        <w:rPr>
          <w:rFonts w:ascii="Times New Roman" w:hAnsi="Times New Roman" w:cs="Times New Roman"/>
          <w:sz w:val="24"/>
          <w:szCs w:val="24"/>
        </w:rPr>
        <w:t xml:space="preserve"> options under each of the </w:t>
      </w:r>
      <w:r w:rsidR="00CC0D42">
        <w:rPr>
          <w:rFonts w:ascii="Times New Roman" w:hAnsi="Times New Roman" w:cs="Times New Roman"/>
          <w:sz w:val="24"/>
          <w:szCs w:val="24"/>
        </w:rPr>
        <w:t xml:space="preserve">four </w:t>
      </w:r>
      <w:r w:rsidR="00B7525D">
        <w:rPr>
          <w:rFonts w:ascii="Times New Roman" w:hAnsi="Times New Roman" w:cs="Times New Roman"/>
          <w:sz w:val="24"/>
          <w:szCs w:val="24"/>
        </w:rPr>
        <w:t>p</w:t>
      </w:r>
      <w:r>
        <w:rPr>
          <w:rFonts w:ascii="Times New Roman" w:hAnsi="Times New Roman" w:cs="Times New Roman"/>
          <w:sz w:val="24"/>
          <w:szCs w:val="24"/>
        </w:rPr>
        <w:t xml:space="preserve">illars.  The assessment of these macro spatial growth alternatives under the </w:t>
      </w:r>
      <w:r w:rsidR="00CC0D42">
        <w:rPr>
          <w:rFonts w:ascii="Times New Roman" w:hAnsi="Times New Roman" w:cs="Times New Roman"/>
          <w:sz w:val="24"/>
          <w:szCs w:val="24"/>
        </w:rPr>
        <w:t xml:space="preserve">four </w:t>
      </w:r>
      <w:r w:rsidR="00B7525D">
        <w:rPr>
          <w:rFonts w:ascii="Times New Roman" w:hAnsi="Times New Roman" w:cs="Times New Roman"/>
          <w:sz w:val="24"/>
          <w:szCs w:val="24"/>
        </w:rPr>
        <w:t>p</w:t>
      </w:r>
      <w:r>
        <w:rPr>
          <w:rFonts w:ascii="Times New Roman" w:hAnsi="Times New Roman" w:cs="Times New Roman"/>
          <w:sz w:val="24"/>
          <w:szCs w:val="24"/>
        </w:rPr>
        <w:t xml:space="preserve">illars represented the strategic questions which </w:t>
      </w:r>
      <w:r>
        <w:rPr>
          <w:rFonts w:ascii="Times New Roman" w:hAnsi="Times New Roman" w:cs="Times New Roman"/>
          <w:i/>
          <w:sz w:val="24"/>
          <w:szCs w:val="24"/>
        </w:rPr>
        <w:t xml:space="preserve">“have driven the direction of the </w:t>
      </w:r>
      <w:r w:rsidR="00931C02">
        <w:rPr>
          <w:rFonts w:ascii="Times New Roman" w:hAnsi="Times New Roman" w:cs="Times New Roman"/>
          <w:i/>
          <w:sz w:val="24"/>
          <w:szCs w:val="24"/>
        </w:rPr>
        <w:t>p</w:t>
      </w:r>
      <w:r>
        <w:rPr>
          <w:rFonts w:ascii="Times New Roman" w:hAnsi="Times New Roman" w:cs="Times New Roman"/>
          <w:i/>
          <w:sz w:val="24"/>
          <w:szCs w:val="24"/>
        </w:rPr>
        <w:t>lan”</w:t>
      </w:r>
      <w:r w:rsidR="008E5359">
        <w:rPr>
          <w:rFonts w:ascii="Times New Roman" w:hAnsi="Times New Roman" w:cs="Times New Roman"/>
          <w:sz w:val="24"/>
          <w:szCs w:val="24"/>
        </w:rPr>
        <w:t xml:space="preserve">.  </w:t>
      </w:r>
      <w:r w:rsidR="00931C02">
        <w:rPr>
          <w:rFonts w:ascii="Times New Roman" w:hAnsi="Times New Roman" w:cs="Times New Roman"/>
          <w:sz w:val="24"/>
          <w:szCs w:val="24"/>
        </w:rPr>
        <w:t xml:space="preserve"> </w:t>
      </w:r>
      <w:r w:rsidR="008E5359">
        <w:rPr>
          <w:rFonts w:ascii="Times New Roman" w:hAnsi="Times New Roman" w:cs="Times New Roman"/>
          <w:sz w:val="24"/>
          <w:szCs w:val="24"/>
        </w:rPr>
        <w:t>F</w:t>
      </w:r>
      <w:r>
        <w:rPr>
          <w:rFonts w:ascii="Times New Roman" w:hAnsi="Times New Roman" w:cs="Times New Roman"/>
          <w:sz w:val="24"/>
          <w:szCs w:val="24"/>
        </w:rPr>
        <w:t>ollowing on from that analysis, six strategic alternatives were developed which integrated the preferred pillars into more focussed</w:t>
      </w:r>
      <w:r w:rsidR="00B7525D">
        <w:rPr>
          <w:rFonts w:ascii="Times New Roman" w:hAnsi="Times New Roman" w:cs="Times New Roman"/>
          <w:sz w:val="24"/>
          <w:szCs w:val="24"/>
        </w:rPr>
        <w:t>,</w:t>
      </w:r>
      <w:r>
        <w:rPr>
          <w:rFonts w:ascii="Times New Roman" w:hAnsi="Times New Roman" w:cs="Times New Roman"/>
          <w:sz w:val="24"/>
          <w:szCs w:val="24"/>
        </w:rPr>
        <w:t xml:space="preserve"> real</w:t>
      </w:r>
      <w:r w:rsidR="00F826F6">
        <w:rPr>
          <w:rFonts w:ascii="Times New Roman" w:hAnsi="Times New Roman" w:cs="Times New Roman"/>
          <w:sz w:val="24"/>
          <w:szCs w:val="24"/>
        </w:rPr>
        <w:t xml:space="preserve"> </w:t>
      </w:r>
      <w:r>
        <w:rPr>
          <w:rFonts w:ascii="Times New Roman" w:hAnsi="Times New Roman" w:cs="Times New Roman"/>
          <w:sz w:val="24"/>
          <w:szCs w:val="24"/>
        </w:rPr>
        <w:t>world alternatives.  Thus</w:t>
      </w:r>
      <w:r w:rsidR="00F826F6">
        <w:rPr>
          <w:rFonts w:ascii="Times New Roman" w:hAnsi="Times New Roman" w:cs="Times New Roman"/>
          <w:sz w:val="24"/>
          <w:szCs w:val="24"/>
        </w:rPr>
        <w:t>,</w:t>
      </w:r>
      <w:r w:rsidR="008E5359">
        <w:rPr>
          <w:rFonts w:ascii="Times New Roman" w:hAnsi="Times New Roman" w:cs="Times New Roman"/>
          <w:sz w:val="24"/>
          <w:szCs w:val="24"/>
        </w:rPr>
        <w:t xml:space="preserve"> it is important to </w:t>
      </w:r>
      <w:r w:rsidR="00267BCD">
        <w:rPr>
          <w:rFonts w:ascii="Times New Roman" w:hAnsi="Times New Roman" w:cs="Times New Roman"/>
          <w:sz w:val="24"/>
          <w:szCs w:val="24"/>
        </w:rPr>
        <w:t>consider the assessment of</w:t>
      </w:r>
      <w:r w:rsidR="008E5359">
        <w:rPr>
          <w:rFonts w:ascii="Times New Roman" w:hAnsi="Times New Roman" w:cs="Times New Roman"/>
          <w:sz w:val="24"/>
          <w:szCs w:val="24"/>
        </w:rPr>
        <w:t xml:space="preserve"> the six alternatives in </w:t>
      </w:r>
      <w:r w:rsidR="00267BCD">
        <w:rPr>
          <w:rFonts w:ascii="Times New Roman" w:hAnsi="Times New Roman" w:cs="Times New Roman"/>
          <w:sz w:val="24"/>
          <w:szCs w:val="24"/>
        </w:rPr>
        <w:t xml:space="preserve">the context </w:t>
      </w:r>
      <w:r w:rsidR="008E5359">
        <w:rPr>
          <w:rFonts w:ascii="Times New Roman" w:hAnsi="Times New Roman" w:cs="Times New Roman"/>
          <w:sz w:val="24"/>
          <w:szCs w:val="24"/>
        </w:rPr>
        <w:t xml:space="preserve">of the analysis of the </w:t>
      </w:r>
      <w:r w:rsidR="00CC0D42">
        <w:rPr>
          <w:rFonts w:ascii="Times New Roman" w:hAnsi="Times New Roman" w:cs="Times New Roman"/>
          <w:sz w:val="24"/>
          <w:szCs w:val="24"/>
        </w:rPr>
        <w:t xml:space="preserve">four </w:t>
      </w:r>
      <w:r w:rsidR="00B7525D">
        <w:rPr>
          <w:rFonts w:ascii="Times New Roman" w:hAnsi="Times New Roman" w:cs="Times New Roman"/>
          <w:sz w:val="24"/>
          <w:szCs w:val="24"/>
        </w:rPr>
        <w:t>p</w:t>
      </w:r>
      <w:r w:rsidR="008E5359">
        <w:rPr>
          <w:rFonts w:ascii="Times New Roman" w:hAnsi="Times New Roman" w:cs="Times New Roman"/>
          <w:sz w:val="24"/>
          <w:szCs w:val="24"/>
        </w:rPr>
        <w:t>illars</w:t>
      </w:r>
      <w:r w:rsidR="00267BCD">
        <w:rPr>
          <w:rFonts w:ascii="Times New Roman" w:hAnsi="Times New Roman" w:cs="Times New Roman"/>
          <w:sz w:val="24"/>
          <w:szCs w:val="24"/>
        </w:rPr>
        <w:t xml:space="preserve"> which precedes them and feeds into the selection of the reasonable alternatives</w:t>
      </w:r>
      <w:r w:rsidR="008E5359">
        <w:rPr>
          <w:rFonts w:ascii="Times New Roman" w:hAnsi="Times New Roman" w:cs="Times New Roman"/>
          <w:sz w:val="24"/>
          <w:szCs w:val="24"/>
        </w:rPr>
        <w:t xml:space="preserve">.  In particular, the </w:t>
      </w:r>
      <w:r w:rsidR="00267BCD">
        <w:rPr>
          <w:rFonts w:ascii="Times New Roman" w:hAnsi="Times New Roman" w:cs="Times New Roman"/>
          <w:sz w:val="24"/>
          <w:szCs w:val="24"/>
        </w:rPr>
        <w:t xml:space="preserve">preceding </w:t>
      </w:r>
      <w:r w:rsidR="008E5359">
        <w:rPr>
          <w:rFonts w:ascii="Times New Roman" w:hAnsi="Times New Roman" w:cs="Times New Roman"/>
          <w:sz w:val="24"/>
          <w:szCs w:val="24"/>
        </w:rPr>
        <w:t xml:space="preserve">analysis </w:t>
      </w:r>
      <w:r w:rsidR="00267BCD">
        <w:rPr>
          <w:rFonts w:ascii="Times New Roman" w:hAnsi="Times New Roman" w:cs="Times New Roman"/>
          <w:sz w:val="24"/>
          <w:szCs w:val="24"/>
        </w:rPr>
        <w:t xml:space="preserve">should be considered as it </w:t>
      </w:r>
      <w:r w:rsidR="008E5359">
        <w:rPr>
          <w:rFonts w:ascii="Times New Roman" w:hAnsi="Times New Roman" w:cs="Times New Roman"/>
          <w:sz w:val="24"/>
          <w:szCs w:val="24"/>
        </w:rPr>
        <w:t>co</w:t>
      </w:r>
      <w:r w:rsidR="00F826F6">
        <w:rPr>
          <w:rFonts w:ascii="Times New Roman" w:hAnsi="Times New Roman" w:cs="Times New Roman"/>
          <w:sz w:val="24"/>
          <w:szCs w:val="24"/>
        </w:rPr>
        <w:t>mpliments</w:t>
      </w:r>
      <w:r w:rsidR="008E5359">
        <w:rPr>
          <w:rFonts w:ascii="Times New Roman" w:hAnsi="Times New Roman" w:cs="Times New Roman"/>
          <w:sz w:val="24"/>
          <w:szCs w:val="24"/>
        </w:rPr>
        <w:t xml:space="preserve"> and clarifies the reason</w:t>
      </w:r>
      <w:r w:rsidR="00F826F6">
        <w:rPr>
          <w:rFonts w:ascii="Times New Roman" w:hAnsi="Times New Roman" w:cs="Times New Roman"/>
          <w:sz w:val="24"/>
          <w:szCs w:val="24"/>
        </w:rPr>
        <w:t>s</w:t>
      </w:r>
      <w:r w:rsidR="008E5359">
        <w:rPr>
          <w:rFonts w:ascii="Times New Roman" w:hAnsi="Times New Roman" w:cs="Times New Roman"/>
          <w:sz w:val="24"/>
          <w:szCs w:val="24"/>
        </w:rPr>
        <w:t xml:space="preserve"> </w:t>
      </w:r>
      <w:r w:rsidR="00F826F6">
        <w:rPr>
          <w:rFonts w:ascii="Times New Roman" w:hAnsi="Times New Roman" w:cs="Times New Roman"/>
          <w:sz w:val="24"/>
          <w:szCs w:val="24"/>
        </w:rPr>
        <w:t>f</w:t>
      </w:r>
      <w:r w:rsidR="008E5359">
        <w:rPr>
          <w:rFonts w:ascii="Times New Roman" w:hAnsi="Times New Roman" w:cs="Times New Roman"/>
          <w:sz w:val="24"/>
          <w:szCs w:val="24"/>
        </w:rPr>
        <w:t xml:space="preserve">or </w:t>
      </w:r>
      <w:r w:rsidR="00267BCD">
        <w:rPr>
          <w:rFonts w:ascii="Times New Roman" w:hAnsi="Times New Roman" w:cs="Times New Roman"/>
          <w:sz w:val="24"/>
          <w:szCs w:val="24"/>
        </w:rPr>
        <w:t xml:space="preserve">ultimately </w:t>
      </w:r>
      <w:r w:rsidR="008E5359">
        <w:rPr>
          <w:rFonts w:ascii="Times New Roman" w:hAnsi="Times New Roman" w:cs="Times New Roman"/>
          <w:sz w:val="24"/>
          <w:szCs w:val="24"/>
        </w:rPr>
        <w:t xml:space="preserve">selecting the preferred </w:t>
      </w:r>
      <w:r w:rsidR="00267BCD">
        <w:rPr>
          <w:rFonts w:ascii="Times New Roman" w:hAnsi="Times New Roman" w:cs="Times New Roman"/>
          <w:sz w:val="24"/>
          <w:szCs w:val="24"/>
        </w:rPr>
        <w:t>option</w:t>
      </w:r>
      <w:r w:rsidR="008E5359">
        <w:rPr>
          <w:rFonts w:ascii="Times New Roman" w:hAnsi="Times New Roman" w:cs="Times New Roman"/>
          <w:sz w:val="24"/>
          <w:szCs w:val="24"/>
        </w:rPr>
        <w:t>.</w:t>
      </w:r>
    </w:p>
    <w:p w14:paraId="67FAE509" w14:textId="57737088" w:rsidR="008E5359" w:rsidRDefault="008E5359" w:rsidP="004A56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six strategic alternatives thus identified were </w:t>
      </w:r>
      <w:r w:rsidR="00ED2096">
        <w:rPr>
          <w:rFonts w:ascii="Times New Roman" w:hAnsi="Times New Roman" w:cs="Times New Roman"/>
          <w:sz w:val="24"/>
          <w:szCs w:val="24"/>
        </w:rPr>
        <w:t>ea</w:t>
      </w:r>
      <w:r>
        <w:rPr>
          <w:rFonts w:ascii="Times New Roman" w:hAnsi="Times New Roman" w:cs="Times New Roman"/>
          <w:sz w:val="24"/>
          <w:szCs w:val="24"/>
        </w:rPr>
        <w:t>ch subjected to an objectives</w:t>
      </w:r>
      <w:r w:rsidR="00931C02">
        <w:rPr>
          <w:rFonts w:ascii="Times New Roman" w:hAnsi="Times New Roman" w:cs="Times New Roman"/>
          <w:sz w:val="24"/>
          <w:szCs w:val="24"/>
        </w:rPr>
        <w:t>-</w:t>
      </w:r>
      <w:r>
        <w:rPr>
          <w:rFonts w:ascii="Times New Roman" w:hAnsi="Times New Roman" w:cs="Times New Roman"/>
          <w:sz w:val="24"/>
          <w:szCs w:val="24"/>
        </w:rPr>
        <w:t>led assessment</w:t>
      </w:r>
      <w:r w:rsidR="00931C0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“reflecting on the SEA sensitivities”</w:t>
      </w:r>
      <w:r>
        <w:rPr>
          <w:rFonts w:ascii="Times New Roman" w:hAnsi="Times New Roman" w:cs="Times New Roman"/>
          <w:sz w:val="24"/>
          <w:szCs w:val="24"/>
        </w:rPr>
        <w:t xml:space="preserve">.  It </w:t>
      </w:r>
      <w:r w:rsidR="00931C02">
        <w:rPr>
          <w:rFonts w:ascii="Times New Roman" w:hAnsi="Times New Roman" w:cs="Times New Roman"/>
          <w:sz w:val="24"/>
          <w:szCs w:val="24"/>
        </w:rPr>
        <w:t xml:space="preserve">was </w:t>
      </w:r>
      <w:r>
        <w:rPr>
          <w:rFonts w:ascii="Times New Roman" w:hAnsi="Times New Roman" w:cs="Times New Roman"/>
          <w:sz w:val="24"/>
          <w:szCs w:val="24"/>
        </w:rPr>
        <w:t>a qualitative assessment of each of the options which compare</w:t>
      </w:r>
      <w:r w:rsidR="00931C02">
        <w:rPr>
          <w:rFonts w:ascii="Times New Roman" w:hAnsi="Times New Roman" w:cs="Times New Roman"/>
          <w:sz w:val="24"/>
          <w:szCs w:val="24"/>
        </w:rPr>
        <w:t>d</w:t>
      </w:r>
      <w:r>
        <w:rPr>
          <w:rFonts w:ascii="Times New Roman" w:hAnsi="Times New Roman" w:cs="Times New Roman"/>
          <w:sz w:val="24"/>
          <w:szCs w:val="24"/>
        </w:rPr>
        <w:t xml:space="preserve"> the likely impacts against the SEOs outlined in Chapter 6 to establish which alternatives meet the SEOs and which, if any, contradict them.  This underscores the importance of considering Chapter 6 when considering whether the assessment of alternatives satisfies the requirements of the SEA Directive. </w:t>
      </w:r>
    </w:p>
    <w:p w14:paraId="1F31829B" w14:textId="73F6114B" w:rsidR="008E5359" w:rsidRDefault="008E5359" w:rsidP="00A1116E">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The Report states</w:t>
      </w:r>
      <w:r w:rsidR="00931C02">
        <w:rPr>
          <w:rFonts w:ascii="Times New Roman" w:hAnsi="Times New Roman" w:cs="Times New Roman"/>
          <w:sz w:val="24"/>
          <w:szCs w:val="24"/>
        </w:rPr>
        <w:t xml:space="preserve"> at para. 7.2.2</w:t>
      </w:r>
      <w:r>
        <w:rPr>
          <w:rFonts w:ascii="Times New Roman" w:hAnsi="Times New Roman" w:cs="Times New Roman"/>
          <w:sz w:val="24"/>
          <w:szCs w:val="24"/>
        </w:rPr>
        <w:t xml:space="preserve"> that:</w:t>
      </w:r>
      <w:r w:rsidR="00931C02">
        <w:rPr>
          <w:rFonts w:ascii="Times New Roman" w:hAnsi="Times New Roman" w:cs="Times New Roman"/>
          <w:sz w:val="24"/>
          <w:szCs w:val="24"/>
        </w:rPr>
        <w:t>-</w:t>
      </w:r>
    </w:p>
    <w:p w14:paraId="496C4335" w14:textId="59A4F164" w:rsidR="008E5359" w:rsidRPr="00787813" w:rsidRDefault="008E5359" w:rsidP="00B7525D">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sz w:val="24"/>
          <w:szCs w:val="24"/>
        </w:rPr>
        <w:t xml:space="preserve">“The assessment carried </w:t>
      </w:r>
      <w:r w:rsidR="00A95B08">
        <w:rPr>
          <w:rFonts w:ascii="Times New Roman" w:hAnsi="Times New Roman" w:cs="Times New Roman"/>
          <w:i/>
          <w:sz w:val="24"/>
          <w:szCs w:val="24"/>
        </w:rPr>
        <w:t xml:space="preserve">out </w:t>
      </w:r>
      <w:r>
        <w:rPr>
          <w:rFonts w:ascii="Times New Roman" w:hAnsi="Times New Roman" w:cs="Times New Roman"/>
          <w:i/>
          <w:sz w:val="24"/>
          <w:szCs w:val="24"/>
        </w:rPr>
        <w:t>was primarily qualitative in nature based on expert judgment.  For the purposes of these assessments, plus (+) indicates a potential positive impact</w:t>
      </w:r>
      <w:r w:rsidR="00A95B08">
        <w:rPr>
          <w:rFonts w:ascii="Times New Roman" w:hAnsi="Times New Roman" w:cs="Times New Roman"/>
          <w:i/>
          <w:sz w:val="24"/>
          <w:szCs w:val="24"/>
        </w:rPr>
        <w:t>,</w:t>
      </w:r>
      <w:r>
        <w:rPr>
          <w:rFonts w:ascii="Times New Roman" w:hAnsi="Times New Roman" w:cs="Times New Roman"/>
          <w:i/>
          <w:sz w:val="24"/>
          <w:szCs w:val="24"/>
        </w:rPr>
        <w:t xml:space="preserve"> minus (</w:t>
      </w:r>
      <w:r w:rsidR="00B7525D">
        <w:rPr>
          <w:rFonts w:ascii="Times New Roman" w:hAnsi="Times New Roman" w:cs="Times New Roman"/>
          <w:i/>
          <w:sz w:val="24"/>
          <w:szCs w:val="24"/>
        </w:rPr>
        <w:t>–</w:t>
      </w:r>
      <w:r>
        <w:rPr>
          <w:rFonts w:ascii="Times New Roman" w:hAnsi="Times New Roman" w:cs="Times New Roman"/>
          <w:i/>
          <w:sz w:val="24"/>
          <w:szCs w:val="24"/>
        </w:rPr>
        <w:t>) indicates potential negative impact, plus/minus (+/</w:t>
      </w:r>
      <w:r w:rsidR="00B7525D">
        <w:rPr>
          <w:rFonts w:ascii="Times New Roman" w:hAnsi="Times New Roman" w:cs="Times New Roman"/>
          <w:i/>
          <w:sz w:val="24"/>
          <w:szCs w:val="24"/>
        </w:rPr>
        <w:t>–</w:t>
      </w:r>
      <w:r>
        <w:rPr>
          <w:rFonts w:ascii="Times New Roman" w:hAnsi="Times New Roman" w:cs="Times New Roman"/>
          <w:i/>
          <w:sz w:val="24"/>
          <w:szCs w:val="24"/>
        </w:rPr>
        <w:t xml:space="preserve">) </w:t>
      </w:r>
      <w:r w:rsidRPr="00787813">
        <w:rPr>
          <w:rFonts w:ascii="Times New Roman" w:hAnsi="Times New Roman" w:cs="Times New Roman"/>
          <w:i/>
          <w:sz w:val="24"/>
          <w:szCs w:val="24"/>
        </w:rPr>
        <w:t>indicates that both positive and negative impacts are likely or that in the absence of further detail the impact is unclear, and a neutral or no impact is indicated by a zero (0)”.</w:t>
      </w:r>
    </w:p>
    <w:p w14:paraId="595B2C5B" w14:textId="77777777" w:rsidR="00787813" w:rsidRDefault="00787813" w:rsidP="00A1116E">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assessment does not purport to give a quantitative evaluation of the potential impact of any particular option.  It only purports to indicate a potential positive or potential negative or mixed impact</w:t>
      </w:r>
      <w:r w:rsidR="00213A23">
        <w:rPr>
          <w:rFonts w:ascii="Times New Roman" w:hAnsi="Times New Roman"/>
          <w:sz w:val="24"/>
        </w:rPr>
        <w:t>,</w:t>
      </w:r>
      <w:r>
        <w:rPr>
          <w:rFonts w:ascii="Times New Roman" w:hAnsi="Times New Roman"/>
          <w:sz w:val="24"/>
        </w:rPr>
        <w:t xml:space="preserve"> as the case may be.</w:t>
      </w:r>
    </w:p>
    <w:p w14:paraId="19C192AD" w14:textId="03CE092E" w:rsidR="00A1116E" w:rsidRDefault="00787813" w:rsidP="00A1116E">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assessments </w:t>
      </w:r>
      <w:r w:rsidR="00A95B08">
        <w:rPr>
          <w:rFonts w:ascii="Times New Roman" w:hAnsi="Times New Roman"/>
          <w:sz w:val="24"/>
        </w:rPr>
        <w:t xml:space="preserve">in respect of each of the six alternatives </w:t>
      </w:r>
      <w:r w:rsidR="00C26FE6">
        <w:rPr>
          <w:rFonts w:ascii="Times New Roman" w:hAnsi="Times New Roman"/>
          <w:sz w:val="24"/>
        </w:rPr>
        <w:t xml:space="preserve">were carried out in respect of the nine </w:t>
      </w:r>
      <w:r w:rsidR="00A95B08">
        <w:rPr>
          <w:rFonts w:ascii="Times New Roman" w:hAnsi="Times New Roman"/>
          <w:sz w:val="24"/>
        </w:rPr>
        <w:t>topics</w:t>
      </w:r>
      <w:r w:rsidR="004A378C">
        <w:rPr>
          <w:rStyle w:val="FootnoteReference"/>
          <w:rFonts w:ascii="Times New Roman" w:hAnsi="Times New Roman"/>
          <w:sz w:val="24"/>
        </w:rPr>
        <w:footnoteReference w:id="3"/>
      </w:r>
      <w:r w:rsidR="00C26FE6">
        <w:rPr>
          <w:rFonts w:ascii="Times New Roman" w:hAnsi="Times New Roman"/>
          <w:sz w:val="24"/>
        </w:rPr>
        <w:t xml:space="preserve"> required to be addressed under the SEA Directive.  </w:t>
      </w:r>
    </w:p>
    <w:p w14:paraId="3224B4BD" w14:textId="79E4B9EA" w:rsidR="002F60F3" w:rsidRDefault="002F60F3"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Option 1 is </w:t>
      </w:r>
      <w:r w:rsidR="00844A13">
        <w:rPr>
          <w:rFonts w:ascii="Times New Roman" w:hAnsi="Times New Roman"/>
          <w:sz w:val="24"/>
        </w:rPr>
        <w:t>C</w:t>
      </w:r>
      <w:r>
        <w:rPr>
          <w:rFonts w:ascii="Times New Roman" w:hAnsi="Times New Roman"/>
          <w:sz w:val="24"/>
        </w:rPr>
        <w:t xml:space="preserve">ompacted </w:t>
      </w:r>
      <w:r w:rsidR="00844A13">
        <w:rPr>
          <w:rFonts w:ascii="Times New Roman" w:hAnsi="Times New Roman"/>
          <w:sz w:val="24"/>
        </w:rPr>
        <w:t>C</w:t>
      </w:r>
      <w:r>
        <w:rPr>
          <w:rFonts w:ascii="Times New Roman" w:hAnsi="Times New Roman"/>
          <w:sz w:val="24"/>
        </w:rPr>
        <w:t>oncentration and includes four criteria:</w:t>
      </w:r>
      <w:r w:rsidR="00A821ED">
        <w:rPr>
          <w:rFonts w:ascii="Times New Roman" w:hAnsi="Times New Roman"/>
          <w:sz w:val="24"/>
        </w:rPr>
        <w:t>-</w:t>
      </w:r>
    </w:p>
    <w:p w14:paraId="453691D9" w14:textId="27CD78AD" w:rsidR="002F60F3" w:rsidRDefault="002F60F3"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w:t>
      </w:r>
      <w:r>
        <w:rPr>
          <w:rFonts w:ascii="Times New Roman" w:hAnsi="Times New Roman"/>
          <w:i/>
          <w:sz w:val="24"/>
        </w:rPr>
        <w:tab/>
        <w:t>The level of growth in th</w:t>
      </w:r>
      <w:r w:rsidR="00213A23">
        <w:rPr>
          <w:rFonts w:ascii="Times New Roman" w:hAnsi="Times New Roman"/>
          <w:i/>
          <w:sz w:val="24"/>
        </w:rPr>
        <w:t>e</w:t>
      </w:r>
      <w:r>
        <w:rPr>
          <w:rFonts w:ascii="Times New Roman" w:hAnsi="Times New Roman"/>
          <w:i/>
          <w:sz w:val="24"/>
        </w:rPr>
        <w:t xml:space="preserve"> [North West Regional Area] and the [Southern Regional Area] combined would equal that of the [East and Midland Regional Area];</w:t>
      </w:r>
    </w:p>
    <w:p w14:paraId="59860DD8" w14:textId="77777777" w:rsidR="002F60F3" w:rsidRDefault="002F60F3"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t>Focus the highest quantum of growth and rates of growth in five cities through a tailored approach to settlement growth targets;</w:t>
      </w:r>
    </w:p>
    <w:p w14:paraId="06CDF369" w14:textId="4419AA11" w:rsidR="002F60F3" w:rsidRDefault="002F60F3"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(iii)</w:t>
      </w:r>
      <w:r>
        <w:rPr>
          <w:rFonts w:ascii="Times New Roman" w:hAnsi="Times New Roman"/>
          <w:i/>
          <w:sz w:val="24"/>
        </w:rPr>
        <w:tab/>
        <w:t>Deliver at least 50% of all new homes in the five cities on infill or brownfield sites within the buil</w:t>
      </w:r>
      <w:r w:rsidR="00633842">
        <w:rPr>
          <w:rFonts w:ascii="Times New Roman" w:hAnsi="Times New Roman"/>
          <w:i/>
          <w:sz w:val="24"/>
        </w:rPr>
        <w:t>t</w:t>
      </w:r>
      <w:r>
        <w:rPr>
          <w:rFonts w:ascii="Times New Roman" w:hAnsi="Times New Roman"/>
          <w:i/>
          <w:sz w:val="24"/>
        </w:rPr>
        <w:t>-up envelope of existing urban settlements (and at least 30% in all other settlements); and</w:t>
      </w:r>
    </w:p>
    <w:p w14:paraId="25FFB1C0" w14:textId="77777777" w:rsidR="002F60F3" w:rsidRDefault="002F60F3" w:rsidP="002F60F3">
      <w:pPr>
        <w:pStyle w:val="ListParagraph"/>
        <w:spacing w:line="480" w:lineRule="auto"/>
        <w:ind w:left="1134" w:hanging="567"/>
        <w:jc w:val="left"/>
        <w:rPr>
          <w:rFonts w:ascii="Times New Roman" w:hAnsi="Times New Roman"/>
          <w:sz w:val="24"/>
        </w:rPr>
      </w:pPr>
      <w:r>
        <w:rPr>
          <w:rFonts w:ascii="Times New Roman" w:hAnsi="Times New Roman"/>
          <w:i/>
          <w:sz w:val="24"/>
        </w:rPr>
        <w:t>(iv)</w:t>
      </w:r>
      <w:r>
        <w:rPr>
          <w:rFonts w:ascii="Times New Roman" w:hAnsi="Times New Roman"/>
          <w:i/>
          <w:sz w:val="24"/>
        </w:rPr>
        <w:tab/>
        <w:t>Provide some critical infrastructure in advance of planned growth to kick start development and provide other infrastructure sequentially and on a phased basis in tandem.”</w:t>
      </w:r>
      <w:r>
        <w:rPr>
          <w:rFonts w:ascii="Times New Roman" w:hAnsi="Times New Roman"/>
          <w:sz w:val="24"/>
        </w:rPr>
        <w:t xml:space="preserve"> </w:t>
      </w:r>
    </w:p>
    <w:p w14:paraId="5D52EBD7" w14:textId="44CA49B5" w:rsidR="002F60F3" w:rsidRDefault="002F60F3"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The</w:t>
      </w:r>
      <w:r w:rsidR="00213A23">
        <w:rPr>
          <w:rFonts w:ascii="Times New Roman" w:hAnsi="Times New Roman"/>
          <w:sz w:val="24"/>
        </w:rPr>
        <w:t xml:space="preserve">re is a table in respect of the </w:t>
      </w:r>
      <w:r w:rsidR="0092615C">
        <w:rPr>
          <w:rFonts w:ascii="Times New Roman" w:hAnsi="Times New Roman"/>
          <w:sz w:val="24"/>
        </w:rPr>
        <w:t>nine</w:t>
      </w:r>
      <w:r w:rsidR="00213A23">
        <w:rPr>
          <w:rFonts w:ascii="Times New Roman" w:hAnsi="Times New Roman"/>
          <w:sz w:val="24"/>
        </w:rPr>
        <w:t xml:space="preserve"> topics assigning a </w:t>
      </w:r>
      <w:r w:rsidR="0092615C">
        <w:rPr>
          <w:rFonts w:ascii="Times New Roman" w:hAnsi="Times New Roman"/>
          <w:sz w:val="24"/>
        </w:rPr>
        <w:t>+</w:t>
      </w:r>
      <w:r w:rsidR="00213A23">
        <w:rPr>
          <w:rFonts w:ascii="Times New Roman" w:hAnsi="Times New Roman"/>
          <w:sz w:val="24"/>
        </w:rPr>
        <w:t xml:space="preserve">, </w:t>
      </w:r>
      <w:r w:rsidR="00077B13">
        <w:rPr>
          <w:rFonts w:ascii="Times New Roman" w:hAnsi="Times New Roman" w:cs="Times New Roman"/>
          <w:i/>
          <w:sz w:val="24"/>
          <w:szCs w:val="24"/>
        </w:rPr>
        <w:t>–</w:t>
      </w:r>
      <w:r w:rsidR="00213A23">
        <w:rPr>
          <w:rFonts w:ascii="Times New Roman" w:hAnsi="Times New Roman"/>
          <w:sz w:val="24"/>
        </w:rPr>
        <w:t xml:space="preserve"> ,+/</w:t>
      </w:r>
      <w:r w:rsidR="00077B13" w:rsidRPr="00077B13">
        <w:rPr>
          <w:rFonts w:ascii="Times New Roman" w:hAnsi="Times New Roman" w:cs="Times New Roman"/>
          <w:i/>
          <w:sz w:val="24"/>
          <w:szCs w:val="24"/>
        </w:rPr>
        <w:t xml:space="preserve"> </w:t>
      </w:r>
      <w:r w:rsidR="00077B13">
        <w:rPr>
          <w:rFonts w:ascii="Times New Roman" w:hAnsi="Times New Roman" w:cs="Times New Roman"/>
          <w:i/>
          <w:sz w:val="24"/>
          <w:szCs w:val="24"/>
        </w:rPr>
        <w:t>–</w:t>
      </w:r>
      <w:r w:rsidR="00213A23">
        <w:rPr>
          <w:rFonts w:ascii="Times New Roman" w:hAnsi="Times New Roman"/>
          <w:sz w:val="24"/>
        </w:rPr>
        <w:t xml:space="preserve"> or </w:t>
      </w:r>
      <w:r w:rsidR="0092615C">
        <w:rPr>
          <w:rFonts w:ascii="Times New Roman" w:hAnsi="Times New Roman"/>
          <w:sz w:val="24"/>
        </w:rPr>
        <w:t>0</w:t>
      </w:r>
      <w:r w:rsidR="00213A23">
        <w:rPr>
          <w:rFonts w:ascii="Times New Roman" w:hAnsi="Times New Roman"/>
          <w:sz w:val="24"/>
        </w:rPr>
        <w:t xml:space="preserve"> score to each topic. </w:t>
      </w:r>
      <w:r w:rsidR="0092615C">
        <w:rPr>
          <w:rFonts w:ascii="Times New Roman" w:hAnsi="Times New Roman"/>
          <w:sz w:val="24"/>
        </w:rPr>
        <w:t xml:space="preserve"> </w:t>
      </w:r>
      <w:r w:rsidR="00213A23">
        <w:rPr>
          <w:rFonts w:ascii="Times New Roman" w:hAnsi="Times New Roman"/>
          <w:sz w:val="24"/>
        </w:rPr>
        <w:t>This is followed by a</w:t>
      </w:r>
      <w:r>
        <w:rPr>
          <w:rFonts w:ascii="Times New Roman" w:hAnsi="Times New Roman"/>
          <w:sz w:val="24"/>
        </w:rPr>
        <w:t xml:space="preserve"> narrative </w:t>
      </w:r>
      <w:r w:rsidR="00213A23">
        <w:rPr>
          <w:rFonts w:ascii="Times New Roman" w:hAnsi="Times New Roman"/>
          <w:sz w:val="24"/>
        </w:rPr>
        <w:t xml:space="preserve">which </w:t>
      </w:r>
      <w:r>
        <w:rPr>
          <w:rFonts w:ascii="Times New Roman" w:hAnsi="Times New Roman"/>
          <w:sz w:val="24"/>
        </w:rPr>
        <w:t>accompan</w:t>
      </w:r>
      <w:r w:rsidR="00213A23">
        <w:rPr>
          <w:rFonts w:ascii="Times New Roman" w:hAnsi="Times New Roman"/>
          <w:sz w:val="24"/>
        </w:rPr>
        <w:t>ies</w:t>
      </w:r>
      <w:r>
        <w:rPr>
          <w:rFonts w:ascii="Times New Roman" w:hAnsi="Times New Roman"/>
          <w:sz w:val="24"/>
        </w:rPr>
        <w:t xml:space="preserve"> the table</w:t>
      </w:r>
      <w:r w:rsidR="00213A23">
        <w:rPr>
          <w:rFonts w:ascii="Times New Roman" w:hAnsi="Times New Roman"/>
          <w:sz w:val="24"/>
        </w:rPr>
        <w:t xml:space="preserve">. </w:t>
      </w:r>
      <w:r w:rsidR="0092615C">
        <w:rPr>
          <w:rFonts w:ascii="Times New Roman" w:hAnsi="Times New Roman"/>
          <w:sz w:val="24"/>
        </w:rPr>
        <w:t xml:space="preserve"> </w:t>
      </w:r>
      <w:r w:rsidR="00213A23">
        <w:rPr>
          <w:rFonts w:ascii="Times New Roman" w:hAnsi="Times New Roman"/>
          <w:sz w:val="24"/>
        </w:rPr>
        <w:t>The option has</w:t>
      </w:r>
      <w:r>
        <w:rPr>
          <w:rFonts w:ascii="Times New Roman" w:hAnsi="Times New Roman"/>
          <w:sz w:val="24"/>
        </w:rPr>
        <w:t xml:space="preserve"> positive impacts for some of the indicators</w:t>
      </w:r>
      <w:r w:rsidR="00844A13">
        <w:rPr>
          <w:rFonts w:ascii="Times New Roman" w:hAnsi="Times New Roman"/>
          <w:sz w:val="24"/>
        </w:rPr>
        <w:t>,</w:t>
      </w:r>
      <w:r>
        <w:rPr>
          <w:rFonts w:ascii="Times New Roman" w:hAnsi="Times New Roman"/>
          <w:sz w:val="24"/>
        </w:rPr>
        <w:t xml:space="preserve"> as the growth would be focussed on </w:t>
      </w:r>
      <w:r w:rsidR="00844A13">
        <w:rPr>
          <w:rFonts w:ascii="Times New Roman" w:hAnsi="Times New Roman"/>
          <w:sz w:val="24"/>
        </w:rPr>
        <w:t>r</w:t>
      </w:r>
      <w:r>
        <w:rPr>
          <w:rFonts w:ascii="Times New Roman" w:hAnsi="Times New Roman"/>
          <w:sz w:val="24"/>
        </w:rPr>
        <w:t xml:space="preserve">egional parity and is principally focussed in existing urban envelopes and not on greenfield sites.  It recognises and preserves the economic drivers of the Dublin/Eastern Midlands Area while also promoting and facilitating growth in the two other </w:t>
      </w:r>
      <w:r w:rsidR="00844A13">
        <w:rPr>
          <w:rFonts w:ascii="Times New Roman" w:hAnsi="Times New Roman"/>
          <w:sz w:val="24"/>
        </w:rPr>
        <w:t>r</w:t>
      </w:r>
      <w:r>
        <w:rPr>
          <w:rFonts w:ascii="Times New Roman" w:hAnsi="Times New Roman"/>
          <w:sz w:val="24"/>
        </w:rPr>
        <w:t xml:space="preserve">egions.  </w:t>
      </w:r>
    </w:p>
    <w:p w14:paraId="512E6FD2" w14:textId="63D427E0" w:rsidR="002F60F3" w:rsidRDefault="002F60F3"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It discusses the fact that the focus of growth in five </w:t>
      </w:r>
      <w:r w:rsidR="00844A13">
        <w:rPr>
          <w:rFonts w:ascii="Times New Roman" w:hAnsi="Times New Roman"/>
          <w:sz w:val="24"/>
        </w:rPr>
        <w:t>c</w:t>
      </w:r>
      <w:r>
        <w:rPr>
          <w:rFonts w:ascii="Times New Roman" w:hAnsi="Times New Roman"/>
          <w:sz w:val="24"/>
        </w:rPr>
        <w:t>ities has potential for both positive and negative effects.  It observes that the provision of some critical infrastructure prior to the development is directly positive for population and human health and material assets as it ensures that services such as transport, water and waste water provisions are put in place prior to occupancy of residential development.  There could be indirect positive impacts on biodiversity flora and fauna and water if the infrastructure provision was to include wastewater treatment facilities.  The high density of people within the cities could provide financial justification for public transport services</w:t>
      </w:r>
      <w:r w:rsidR="00A8100F">
        <w:rPr>
          <w:rFonts w:ascii="Times New Roman" w:hAnsi="Times New Roman"/>
          <w:sz w:val="24"/>
        </w:rPr>
        <w:t>,</w:t>
      </w:r>
      <w:r>
        <w:rPr>
          <w:rFonts w:ascii="Times New Roman" w:hAnsi="Times New Roman"/>
          <w:sz w:val="24"/>
        </w:rPr>
        <w:t xml:space="preserve"> thus increasing urban mobility and reducing the need for the private motor car.  This could have indirect positive effects on air quality and climatic factors through the reduction in emissions.  </w:t>
      </w:r>
    </w:p>
    <w:p w14:paraId="7D84A786" w14:textId="356DD9D2" w:rsidR="002F60F3" w:rsidRDefault="002F60F3"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Option 2 </w:t>
      </w:r>
      <w:r w:rsidR="00EC2D3E">
        <w:rPr>
          <w:rFonts w:ascii="Times New Roman" w:hAnsi="Times New Roman"/>
          <w:sz w:val="24"/>
        </w:rPr>
        <w:t xml:space="preserve">(ultimately the preferred option) </w:t>
      </w:r>
      <w:r>
        <w:rPr>
          <w:rFonts w:ascii="Times New Roman" w:hAnsi="Times New Roman"/>
          <w:sz w:val="24"/>
        </w:rPr>
        <w:t>is Regional Effectiveness and Settlement Diversity.  It includes the following four criteria:</w:t>
      </w:r>
      <w:r w:rsidR="00220541">
        <w:rPr>
          <w:rFonts w:ascii="Times New Roman" w:hAnsi="Times New Roman"/>
          <w:sz w:val="24"/>
        </w:rPr>
        <w:t>-</w:t>
      </w:r>
    </w:p>
    <w:p w14:paraId="651BB085" w14:textId="77777777" w:rsidR="000457D6" w:rsidRDefault="002F60F3"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w:t>
      </w:r>
      <w:r>
        <w:rPr>
          <w:rFonts w:ascii="Times New Roman" w:hAnsi="Times New Roman"/>
          <w:sz w:val="24"/>
        </w:rPr>
        <w:t xml:space="preserve"> </w:t>
      </w:r>
      <w:r w:rsidR="000457D6">
        <w:rPr>
          <w:rFonts w:ascii="Times New Roman" w:hAnsi="Times New Roman"/>
          <w:sz w:val="24"/>
        </w:rPr>
        <w:tab/>
      </w:r>
      <w:r w:rsidR="000457D6">
        <w:rPr>
          <w:rFonts w:ascii="Times New Roman" w:hAnsi="Times New Roman"/>
          <w:i/>
          <w:sz w:val="24"/>
        </w:rPr>
        <w:t>The level of growth in the NWRA and SRA combined would be equal to that of the EMRA;</w:t>
      </w:r>
    </w:p>
    <w:p w14:paraId="724FCD6F" w14:textId="5D0AA054" w:rsidR="000457D6" w:rsidRDefault="000457D6"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t>Focus the highest quant</w:t>
      </w:r>
      <w:r w:rsidR="0019693B">
        <w:rPr>
          <w:rFonts w:ascii="Times New Roman" w:hAnsi="Times New Roman"/>
          <w:i/>
          <w:sz w:val="24"/>
        </w:rPr>
        <w:t>um</w:t>
      </w:r>
      <w:r>
        <w:rPr>
          <w:rFonts w:ascii="Times New Roman" w:hAnsi="Times New Roman"/>
          <w:i/>
          <w:sz w:val="24"/>
        </w:rPr>
        <w:t xml:space="preserve"> of growth and rates of growth in five cities and a number of regionally important large towns through a tailored approach to settlement growth targets;</w:t>
      </w:r>
    </w:p>
    <w:p w14:paraId="7A890379" w14:textId="0135F04D" w:rsidR="000457D6" w:rsidRDefault="000457D6" w:rsidP="002F60F3">
      <w:pPr>
        <w:pStyle w:val="ListParagraph"/>
        <w:spacing w:line="480" w:lineRule="auto"/>
        <w:ind w:left="1134" w:hanging="567"/>
        <w:jc w:val="left"/>
        <w:rPr>
          <w:rFonts w:ascii="Times New Roman" w:hAnsi="Times New Roman"/>
          <w:i/>
          <w:sz w:val="24"/>
        </w:rPr>
      </w:pPr>
      <w:r>
        <w:rPr>
          <w:rFonts w:ascii="Times New Roman" w:hAnsi="Times New Roman"/>
          <w:i/>
          <w:sz w:val="24"/>
        </w:rPr>
        <w:t>(iii)</w:t>
      </w:r>
      <w:r>
        <w:rPr>
          <w:rFonts w:ascii="Times New Roman" w:hAnsi="Times New Roman"/>
          <w:i/>
          <w:sz w:val="24"/>
        </w:rPr>
        <w:tab/>
        <w:t>Delivery at least 40% of all new homes nationally on infill or brownfield sites within the built up envelope of existing urban settlements; and</w:t>
      </w:r>
    </w:p>
    <w:p w14:paraId="75572560" w14:textId="77777777" w:rsidR="002F60F3" w:rsidRDefault="000457D6" w:rsidP="002F60F3">
      <w:pPr>
        <w:pStyle w:val="ListParagraph"/>
        <w:spacing w:line="480" w:lineRule="auto"/>
        <w:ind w:left="1134" w:hanging="567"/>
        <w:jc w:val="left"/>
        <w:rPr>
          <w:rFonts w:ascii="Times New Roman" w:hAnsi="Times New Roman"/>
          <w:sz w:val="24"/>
        </w:rPr>
      </w:pPr>
      <w:r>
        <w:rPr>
          <w:rFonts w:ascii="Times New Roman" w:hAnsi="Times New Roman"/>
          <w:i/>
          <w:sz w:val="24"/>
        </w:rPr>
        <w:lastRenderedPageBreak/>
        <w:t>(iv)</w:t>
      </w:r>
      <w:r>
        <w:rPr>
          <w:rFonts w:ascii="Times New Roman" w:hAnsi="Times New Roman"/>
          <w:i/>
          <w:sz w:val="24"/>
        </w:rPr>
        <w:tab/>
        <w:t>Provide some critical infrastructure in advance of planned growth to kick start development and provide other infrastructure sequentially and on a phased basis in tandem.”</w:t>
      </w:r>
      <w:r w:rsidR="002F60F3">
        <w:rPr>
          <w:rFonts w:ascii="Times New Roman" w:hAnsi="Times New Roman"/>
          <w:sz w:val="24"/>
        </w:rPr>
        <w:t xml:space="preserve"> </w:t>
      </w:r>
    </w:p>
    <w:p w14:paraId="2B41CDC9" w14:textId="0D506E0D" w:rsidR="000457D6" w:rsidRDefault="000457D6"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w:t>
      </w:r>
      <w:r w:rsidR="0019693B">
        <w:rPr>
          <w:rFonts w:ascii="Times New Roman" w:hAnsi="Times New Roman"/>
          <w:sz w:val="24"/>
        </w:rPr>
        <w:t>t</w:t>
      </w:r>
      <w:r>
        <w:rPr>
          <w:rFonts w:ascii="Times New Roman" w:hAnsi="Times New Roman"/>
          <w:sz w:val="24"/>
        </w:rPr>
        <w:t>able</w:t>
      </w:r>
      <w:r w:rsidR="0019693B">
        <w:rPr>
          <w:rFonts w:ascii="Times New Roman" w:hAnsi="Times New Roman"/>
          <w:sz w:val="24"/>
        </w:rPr>
        <w:t xml:space="preserve"> in respect of Option 2</w:t>
      </w:r>
      <w:r>
        <w:rPr>
          <w:rFonts w:ascii="Times New Roman" w:hAnsi="Times New Roman"/>
          <w:sz w:val="24"/>
        </w:rPr>
        <w:t xml:space="preserve"> gives the same qualitative assessment for the nine assessed </w:t>
      </w:r>
      <w:r w:rsidR="00EC2D3E">
        <w:rPr>
          <w:rFonts w:ascii="Times New Roman" w:hAnsi="Times New Roman"/>
          <w:sz w:val="24"/>
        </w:rPr>
        <w:t>topics</w:t>
      </w:r>
      <w:r>
        <w:rPr>
          <w:rFonts w:ascii="Times New Roman" w:hAnsi="Times New Roman"/>
          <w:sz w:val="24"/>
        </w:rPr>
        <w:t>.  The narrative accompanying this option states as follows:</w:t>
      </w:r>
      <w:r w:rsidR="0019693B">
        <w:rPr>
          <w:rFonts w:ascii="Times New Roman" w:hAnsi="Times New Roman"/>
          <w:sz w:val="24"/>
        </w:rPr>
        <w:t>-</w:t>
      </w:r>
    </w:p>
    <w:p w14:paraId="16805FE1" w14:textId="57FF294B" w:rsidR="002F60F3" w:rsidRDefault="000457D6" w:rsidP="000457D6">
      <w:pPr>
        <w:pStyle w:val="ListParagraph"/>
        <w:spacing w:line="480" w:lineRule="auto"/>
        <w:ind w:left="426"/>
        <w:jc w:val="left"/>
        <w:rPr>
          <w:rFonts w:ascii="Times New Roman" w:hAnsi="Times New Roman"/>
          <w:sz w:val="24"/>
        </w:rPr>
      </w:pPr>
      <w:r>
        <w:rPr>
          <w:rFonts w:ascii="Times New Roman" w:hAnsi="Times New Roman"/>
          <w:i/>
          <w:sz w:val="24"/>
        </w:rPr>
        <w:t>“Option 2 is similar to Option 1 with a focus on regional parity</w:t>
      </w:r>
      <w:r w:rsidR="0019693B">
        <w:rPr>
          <w:rFonts w:ascii="Times New Roman" w:hAnsi="Times New Roman"/>
          <w:i/>
          <w:sz w:val="24"/>
        </w:rPr>
        <w:t>,</w:t>
      </w:r>
      <w:r>
        <w:rPr>
          <w:rFonts w:ascii="Times New Roman" w:hAnsi="Times New Roman"/>
          <w:i/>
          <w:sz w:val="24"/>
        </w:rPr>
        <w:t xml:space="preserve"> </w:t>
      </w:r>
      <w:r w:rsidR="0019693B">
        <w:rPr>
          <w:rFonts w:ascii="Times New Roman" w:hAnsi="Times New Roman"/>
          <w:i/>
          <w:sz w:val="24"/>
        </w:rPr>
        <w:t>d</w:t>
      </w:r>
      <w:r>
        <w:rPr>
          <w:rFonts w:ascii="Times New Roman" w:hAnsi="Times New Roman"/>
          <w:i/>
          <w:sz w:val="24"/>
        </w:rPr>
        <w:t xml:space="preserve">evelopment of five </w:t>
      </w:r>
      <w:r w:rsidR="0019693B">
        <w:rPr>
          <w:rFonts w:ascii="Times New Roman" w:hAnsi="Times New Roman"/>
          <w:i/>
          <w:sz w:val="24"/>
        </w:rPr>
        <w:t>c</w:t>
      </w:r>
      <w:r>
        <w:rPr>
          <w:rFonts w:ascii="Times New Roman" w:hAnsi="Times New Roman"/>
          <w:i/>
          <w:sz w:val="24"/>
        </w:rPr>
        <w:t>ity areas, use of infill</w:t>
      </w:r>
      <w:r w:rsidR="00ED135D">
        <w:rPr>
          <w:rFonts w:ascii="Times New Roman" w:hAnsi="Times New Roman"/>
          <w:i/>
          <w:sz w:val="24"/>
        </w:rPr>
        <w:t xml:space="preserve"> and brownfield as part of the solution alongside provision of advanced critical infrastructure.  However, this option also sees a role for a number of </w:t>
      </w:r>
      <w:r w:rsidR="0019693B">
        <w:rPr>
          <w:rFonts w:ascii="Times New Roman" w:hAnsi="Times New Roman"/>
          <w:i/>
          <w:sz w:val="24"/>
        </w:rPr>
        <w:t>r</w:t>
      </w:r>
      <w:r w:rsidR="00ED135D">
        <w:rPr>
          <w:rFonts w:ascii="Times New Roman" w:hAnsi="Times New Roman"/>
          <w:i/>
          <w:sz w:val="24"/>
        </w:rPr>
        <w:t>egiona</w:t>
      </w:r>
      <w:r w:rsidR="0019693B">
        <w:rPr>
          <w:rFonts w:ascii="Times New Roman" w:hAnsi="Times New Roman"/>
          <w:i/>
          <w:sz w:val="24"/>
        </w:rPr>
        <w:t>l</w:t>
      </w:r>
      <w:r w:rsidR="00ED135D">
        <w:rPr>
          <w:rFonts w:ascii="Times New Roman" w:hAnsi="Times New Roman"/>
          <w:i/>
          <w:sz w:val="24"/>
        </w:rPr>
        <w:t>l</w:t>
      </w:r>
      <w:r w:rsidR="00D00ED2">
        <w:rPr>
          <w:rFonts w:ascii="Times New Roman" w:hAnsi="Times New Roman"/>
          <w:i/>
          <w:sz w:val="24"/>
        </w:rPr>
        <w:t>y</w:t>
      </w:r>
      <w:r w:rsidR="00ED135D">
        <w:rPr>
          <w:rFonts w:ascii="Times New Roman" w:hAnsi="Times New Roman"/>
          <w:i/>
          <w:sz w:val="24"/>
        </w:rPr>
        <w:t xml:space="preserve"> important large towns through a tailored approach to settlement growth targets.  </w:t>
      </w:r>
      <w:r w:rsidR="00ED135D" w:rsidRPr="006D2CA6">
        <w:rPr>
          <w:rFonts w:ascii="Times New Roman" w:hAnsi="Times New Roman"/>
          <w:bCs/>
          <w:i/>
          <w:sz w:val="24"/>
          <w:u w:val="single"/>
        </w:rPr>
        <w:t>This variation reflects the social and community structure which has historical</w:t>
      </w:r>
      <w:r w:rsidR="00A23201">
        <w:rPr>
          <w:rFonts w:ascii="Times New Roman" w:hAnsi="Times New Roman"/>
          <w:bCs/>
          <w:i/>
          <w:sz w:val="24"/>
          <w:u w:val="single"/>
        </w:rPr>
        <w:t>ly</w:t>
      </w:r>
      <w:r w:rsidR="00ED135D" w:rsidRPr="006D2CA6">
        <w:rPr>
          <w:rFonts w:ascii="Times New Roman" w:hAnsi="Times New Roman"/>
          <w:bCs/>
          <w:i/>
          <w:sz w:val="24"/>
          <w:u w:val="single"/>
        </w:rPr>
        <w:t xml:space="preserve"> developed in Ireland and the importance of a supporting network of large towns to drive the regional and rural economy outside the function</w:t>
      </w:r>
      <w:r w:rsidR="00D00ED2" w:rsidRPr="006D2CA6">
        <w:rPr>
          <w:rFonts w:ascii="Times New Roman" w:hAnsi="Times New Roman"/>
          <w:bCs/>
          <w:i/>
          <w:sz w:val="24"/>
          <w:u w:val="single"/>
        </w:rPr>
        <w:t>al</w:t>
      </w:r>
      <w:r w:rsidR="00ED135D" w:rsidRPr="006D2CA6">
        <w:rPr>
          <w:rFonts w:ascii="Times New Roman" w:hAnsi="Times New Roman"/>
          <w:bCs/>
          <w:i/>
          <w:sz w:val="24"/>
          <w:u w:val="single"/>
        </w:rPr>
        <w:t xml:space="preserve"> influence of cities.  Ireland has many rural areas with significant cultural ties to the land and needs effective regional and rural drivers to ensure that urban and rural development needs are met</w:t>
      </w:r>
      <w:r w:rsidR="00ED135D" w:rsidRPr="006D2CA6">
        <w:rPr>
          <w:rFonts w:ascii="Times New Roman" w:hAnsi="Times New Roman"/>
          <w:bCs/>
          <w:i/>
          <w:sz w:val="24"/>
        </w:rPr>
        <w:t>.</w:t>
      </w:r>
      <w:r w:rsidR="00ED135D">
        <w:rPr>
          <w:rFonts w:ascii="Times New Roman" w:hAnsi="Times New Roman"/>
          <w:i/>
          <w:sz w:val="24"/>
        </w:rPr>
        <w:t xml:space="preserve">” </w:t>
      </w:r>
      <w:r w:rsidR="00ED135D">
        <w:rPr>
          <w:rFonts w:ascii="Times New Roman" w:hAnsi="Times New Roman"/>
          <w:sz w:val="24"/>
        </w:rPr>
        <w:t>(emphasis added)</w:t>
      </w:r>
    </w:p>
    <w:p w14:paraId="55EAF5A2" w14:textId="72E00167" w:rsidR="00ED135D" w:rsidRDefault="00ED135D"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Option 3 is Regional Effectiveness and Settlement </w:t>
      </w:r>
      <w:r w:rsidR="00844A13">
        <w:rPr>
          <w:rFonts w:ascii="Times New Roman" w:hAnsi="Times New Roman"/>
          <w:sz w:val="24"/>
        </w:rPr>
        <w:t>C</w:t>
      </w:r>
      <w:r>
        <w:rPr>
          <w:rFonts w:ascii="Times New Roman" w:hAnsi="Times New Roman"/>
          <w:sz w:val="24"/>
        </w:rPr>
        <w:t>onsistency.  The four criteria are:</w:t>
      </w:r>
      <w:r w:rsidR="00F91CE0">
        <w:rPr>
          <w:rFonts w:ascii="Times New Roman" w:hAnsi="Times New Roman"/>
          <w:sz w:val="24"/>
        </w:rPr>
        <w:t>-</w:t>
      </w:r>
    </w:p>
    <w:p w14:paraId="31DE18DA" w14:textId="77777777" w:rsidR="00ED135D" w:rsidRDefault="00ED135D" w:rsidP="00ED135D">
      <w:pPr>
        <w:pStyle w:val="ListParagraph"/>
        <w:spacing w:line="480" w:lineRule="auto"/>
        <w:ind w:left="1134" w:hanging="567"/>
        <w:jc w:val="left"/>
        <w:rPr>
          <w:rFonts w:ascii="Times New Roman" w:hAnsi="Times New Roman"/>
          <w:i/>
          <w:sz w:val="24"/>
        </w:rPr>
      </w:pPr>
      <w:r>
        <w:rPr>
          <w:rFonts w:ascii="Times New Roman" w:hAnsi="Times New Roman"/>
          <w:i/>
          <w:sz w:val="24"/>
        </w:rPr>
        <w:t>“(1)</w:t>
      </w:r>
      <w:r>
        <w:rPr>
          <w:rFonts w:ascii="Times New Roman" w:hAnsi="Times New Roman"/>
          <w:i/>
          <w:sz w:val="24"/>
        </w:rPr>
        <w:tab/>
        <w:t>The level of growth in the NWRA and SRA combined would be equal to that of the EMRA;</w:t>
      </w:r>
    </w:p>
    <w:p w14:paraId="306C243C" w14:textId="16A2C07C" w:rsidR="00ED135D" w:rsidRDefault="00ED135D" w:rsidP="00ED135D">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t xml:space="preserve">Focus the highest quantum of growth in five cities and a number of </w:t>
      </w:r>
      <w:r w:rsidR="00F91CE0">
        <w:rPr>
          <w:rFonts w:ascii="Times New Roman" w:hAnsi="Times New Roman"/>
          <w:i/>
          <w:sz w:val="24"/>
        </w:rPr>
        <w:t>r</w:t>
      </w:r>
      <w:r>
        <w:rPr>
          <w:rFonts w:ascii="Times New Roman" w:hAnsi="Times New Roman"/>
          <w:i/>
          <w:sz w:val="24"/>
        </w:rPr>
        <w:t>egional</w:t>
      </w:r>
      <w:r w:rsidR="00F91CE0">
        <w:rPr>
          <w:rFonts w:ascii="Times New Roman" w:hAnsi="Times New Roman"/>
          <w:i/>
          <w:sz w:val="24"/>
        </w:rPr>
        <w:t>ly</w:t>
      </w:r>
      <w:r>
        <w:rPr>
          <w:rFonts w:ascii="Times New Roman" w:hAnsi="Times New Roman"/>
          <w:i/>
          <w:sz w:val="24"/>
        </w:rPr>
        <w:t xml:space="preserve"> important large towns, with equal rates of growth across all settlements;</w:t>
      </w:r>
    </w:p>
    <w:p w14:paraId="3FB6DEC0" w14:textId="49CD764C" w:rsidR="00ED135D" w:rsidRDefault="00ED135D" w:rsidP="00ED135D">
      <w:pPr>
        <w:pStyle w:val="ListParagraph"/>
        <w:spacing w:line="480" w:lineRule="auto"/>
        <w:ind w:left="1134" w:hanging="567"/>
        <w:jc w:val="left"/>
        <w:rPr>
          <w:rFonts w:ascii="Times New Roman" w:hAnsi="Times New Roman"/>
          <w:i/>
          <w:sz w:val="24"/>
        </w:rPr>
      </w:pPr>
      <w:r>
        <w:rPr>
          <w:rFonts w:ascii="Times New Roman" w:hAnsi="Times New Roman"/>
          <w:i/>
          <w:sz w:val="24"/>
        </w:rPr>
        <w:t>(iii)</w:t>
      </w:r>
      <w:r>
        <w:rPr>
          <w:rFonts w:ascii="Times New Roman" w:hAnsi="Times New Roman"/>
          <w:i/>
          <w:sz w:val="24"/>
        </w:rPr>
        <w:tab/>
        <w:t>Deliver at least 40% of all new homes nationally on infill or brownfield sites within the built up envelope of existing urban settlements; and</w:t>
      </w:r>
    </w:p>
    <w:p w14:paraId="658C3421" w14:textId="77777777" w:rsidR="00ED135D" w:rsidRPr="00ED135D" w:rsidRDefault="00ED135D" w:rsidP="00ED135D">
      <w:pPr>
        <w:pStyle w:val="ListParagraph"/>
        <w:spacing w:line="480" w:lineRule="auto"/>
        <w:ind w:left="1134" w:hanging="567"/>
        <w:jc w:val="left"/>
        <w:rPr>
          <w:rFonts w:ascii="Times New Roman" w:hAnsi="Times New Roman"/>
          <w:i/>
          <w:sz w:val="24"/>
        </w:rPr>
      </w:pPr>
      <w:r>
        <w:rPr>
          <w:rFonts w:ascii="Times New Roman" w:hAnsi="Times New Roman"/>
          <w:i/>
          <w:sz w:val="24"/>
        </w:rPr>
        <w:lastRenderedPageBreak/>
        <w:t>(iv)</w:t>
      </w:r>
      <w:r>
        <w:rPr>
          <w:rFonts w:ascii="Times New Roman" w:hAnsi="Times New Roman"/>
          <w:i/>
          <w:sz w:val="24"/>
        </w:rPr>
        <w:tab/>
        <w:t>Provide some critical infrastructure in advance of planned growth to kick start development and provide other infrastructure sequentially and on a phased basis in tandem.”</w:t>
      </w:r>
    </w:p>
    <w:p w14:paraId="4EB8C1A9" w14:textId="34EAFB90" w:rsidR="00844A13" w:rsidRDefault="002A50D4"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table in respect of Option 3 is then set out and followed by the narrative discussin</w:t>
      </w:r>
      <w:r w:rsidR="00A23201">
        <w:rPr>
          <w:rFonts w:ascii="Times New Roman" w:hAnsi="Times New Roman"/>
          <w:sz w:val="24"/>
        </w:rPr>
        <w:t>g</w:t>
      </w:r>
      <w:r>
        <w:rPr>
          <w:rFonts w:ascii="Times New Roman" w:hAnsi="Times New Roman"/>
          <w:sz w:val="24"/>
        </w:rPr>
        <w:t xml:space="preserve"> the option.  Having noted the similarities between Option 2 and large parts of Option 1, the authors say that the variation in Option 3 is a stipulation around the rates of growth.  An equal rate of growth across the settlements is proposed.  While no direct impacts are anticipated from the addition of the growth rate, there is potential for indirect effects.  The authors note that a great</w:t>
      </w:r>
      <w:r w:rsidR="00633842">
        <w:rPr>
          <w:rFonts w:ascii="Times New Roman" w:hAnsi="Times New Roman"/>
          <w:sz w:val="24"/>
        </w:rPr>
        <w:t>er</w:t>
      </w:r>
      <w:r>
        <w:rPr>
          <w:rFonts w:ascii="Times New Roman" w:hAnsi="Times New Roman"/>
          <w:sz w:val="24"/>
        </w:rPr>
        <w:t xml:space="preserve"> spread of resources across a large number of settlements dilutes the potential to provide coherent solutions in terms of services, as there is often a lack of critical mass to justify the cost</w:t>
      </w:r>
      <w:r w:rsidR="00633842">
        <w:rPr>
          <w:rFonts w:ascii="Times New Roman" w:hAnsi="Times New Roman"/>
          <w:sz w:val="24"/>
        </w:rPr>
        <w:t>-</w:t>
      </w:r>
      <w:r>
        <w:rPr>
          <w:rFonts w:ascii="Times New Roman" w:hAnsi="Times New Roman"/>
          <w:sz w:val="24"/>
        </w:rPr>
        <w:t xml:space="preserve">benefits. </w:t>
      </w:r>
      <w:r w:rsidR="00633842">
        <w:rPr>
          <w:rFonts w:ascii="Times New Roman" w:hAnsi="Times New Roman"/>
          <w:sz w:val="24"/>
        </w:rPr>
        <w:t xml:space="preserve"> </w:t>
      </w:r>
      <w:r>
        <w:rPr>
          <w:rFonts w:ascii="Times New Roman" w:hAnsi="Times New Roman"/>
          <w:sz w:val="24"/>
        </w:rPr>
        <w:t xml:space="preserve">This can indirectly impact on population and human health and material assets if the services are below standard or lack competition.  The option does not consider the </w:t>
      </w:r>
      <w:r>
        <w:rPr>
          <w:rFonts w:ascii="Times New Roman" w:hAnsi="Times New Roman"/>
          <w:i/>
          <w:sz w:val="24"/>
        </w:rPr>
        <w:t xml:space="preserve">“carrying capacity of environmental limits” </w:t>
      </w:r>
      <w:r>
        <w:rPr>
          <w:rFonts w:ascii="Times New Roman" w:hAnsi="Times New Roman"/>
          <w:sz w:val="24"/>
        </w:rPr>
        <w:t xml:space="preserve">of the settlements in any way so if the growth rates of a settlement exceed the available capacity of wastewater or other vital services, this can have knock-on negative impacts on population and human health, soil, biodiversity, flora and fauna and material assets.  The authors note that the option recognises the need for the delivery of infrastructure in tandem but says that this may not be possible with such a dispersed approach to growth rates. </w:t>
      </w:r>
    </w:p>
    <w:p w14:paraId="20EA4AE9" w14:textId="34195A10" w:rsidR="002A50D4" w:rsidRPr="00844A13" w:rsidRDefault="002A50D4" w:rsidP="00844A1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4A13">
        <w:rPr>
          <w:rFonts w:ascii="Times New Roman" w:hAnsi="Times New Roman" w:cs="Times New Roman"/>
          <w:sz w:val="24"/>
          <w:szCs w:val="24"/>
        </w:rPr>
        <w:t xml:space="preserve">Option 4 is </w:t>
      </w:r>
      <w:r w:rsidR="00844A13">
        <w:rPr>
          <w:rFonts w:ascii="Times New Roman" w:hAnsi="Times New Roman" w:cs="Times New Roman"/>
          <w:sz w:val="24"/>
          <w:szCs w:val="24"/>
        </w:rPr>
        <w:t>R</w:t>
      </w:r>
      <w:r w:rsidRPr="00844A13">
        <w:rPr>
          <w:rFonts w:ascii="Times New Roman" w:hAnsi="Times New Roman" w:cs="Times New Roman"/>
          <w:sz w:val="24"/>
          <w:szCs w:val="24"/>
        </w:rPr>
        <w:t xml:space="preserve">egional </w:t>
      </w:r>
      <w:r w:rsidR="00844A13">
        <w:rPr>
          <w:rFonts w:ascii="Times New Roman" w:hAnsi="Times New Roman" w:cs="Times New Roman"/>
          <w:sz w:val="24"/>
          <w:szCs w:val="24"/>
        </w:rPr>
        <w:t>D</w:t>
      </w:r>
      <w:r w:rsidRPr="00844A13">
        <w:rPr>
          <w:rFonts w:ascii="Times New Roman" w:hAnsi="Times New Roman" w:cs="Times New Roman"/>
          <w:sz w:val="24"/>
          <w:szCs w:val="24"/>
        </w:rPr>
        <w:t xml:space="preserve">ominance and </w:t>
      </w:r>
      <w:r w:rsidR="00844A13">
        <w:rPr>
          <w:rFonts w:ascii="Times New Roman" w:hAnsi="Times New Roman" w:cs="Times New Roman"/>
          <w:sz w:val="24"/>
          <w:szCs w:val="24"/>
        </w:rPr>
        <w:t>S</w:t>
      </w:r>
      <w:r w:rsidRPr="00844A13">
        <w:rPr>
          <w:rFonts w:ascii="Times New Roman" w:hAnsi="Times New Roman" w:cs="Times New Roman"/>
          <w:sz w:val="24"/>
          <w:szCs w:val="24"/>
        </w:rPr>
        <w:t xml:space="preserve">ettlement </w:t>
      </w:r>
      <w:r w:rsidR="00844A13">
        <w:rPr>
          <w:rFonts w:ascii="Times New Roman" w:hAnsi="Times New Roman" w:cs="Times New Roman"/>
          <w:sz w:val="24"/>
          <w:szCs w:val="24"/>
        </w:rPr>
        <w:t>D</w:t>
      </w:r>
      <w:r w:rsidRPr="00844A13">
        <w:rPr>
          <w:rFonts w:ascii="Times New Roman" w:hAnsi="Times New Roman" w:cs="Times New Roman"/>
          <w:sz w:val="24"/>
          <w:szCs w:val="24"/>
        </w:rPr>
        <w:t>iversity and includes the following four criteria:</w:t>
      </w:r>
      <w:r w:rsidR="00633842">
        <w:rPr>
          <w:rFonts w:ascii="Times New Roman" w:hAnsi="Times New Roman" w:cs="Times New Roman"/>
          <w:sz w:val="24"/>
          <w:szCs w:val="24"/>
        </w:rPr>
        <w:t>-</w:t>
      </w:r>
    </w:p>
    <w:p w14:paraId="5748904E" w14:textId="4BA0DE18" w:rsidR="00A2325C" w:rsidRDefault="00844A13" w:rsidP="00A2325C">
      <w:pPr>
        <w:pStyle w:val="ListParagraph"/>
        <w:spacing w:line="480" w:lineRule="auto"/>
        <w:ind w:left="1134" w:hanging="567"/>
        <w:jc w:val="left"/>
        <w:rPr>
          <w:rFonts w:ascii="Times New Roman" w:hAnsi="Times New Roman"/>
          <w:i/>
          <w:sz w:val="24"/>
        </w:rPr>
      </w:pPr>
      <w:r>
        <w:rPr>
          <w:rFonts w:ascii="Times New Roman" w:hAnsi="Times New Roman"/>
          <w:i/>
          <w:sz w:val="24"/>
        </w:rPr>
        <w:t>“</w:t>
      </w:r>
      <w:r w:rsidR="00A2325C">
        <w:rPr>
          <w:rFonts w:ascii="Times New Roman" w:hAnsi="Times New Roman"/>
          <w:i/>
          <w:sz w:val="24"/>
        </w:rPr>
        <w:t>(i)</w:t>
      </w:r>
      <w:r w:rsidR="00A2325C">
        <w:rPr>
          <w:rFonts w:ascii="Times New Roman" w:hAnsi="Times New Roman"/>
          <w:i/>
          <w:sz w:val="24"/>
        </w:rPr>
        <w:tab/>
      </w:r>
      <w:r w:rsidR="00633842">
        <w:rPr>
          <w:rFonts w:ascii="Times New Roman" w:hAnsi="Times New Roman"/>
          <w:i/>
          <w:sz w:val="24"/>
        </w:rPr>
        <w:t>G</w:t>
      </w:r>
      <w:r w:rsidR="00A2325C">
        <w:rPr>
          <w:rFonts w:ascii="Times New Roman" w:hAnsi="Times New Roman"/>
          <w:i/>
          <w:sz w:val="24"/>
        </w:rPr>
        <w:t>rowth in EMRA is less than that of the NWRA and SRA combined;</w:t>
      </w:r>
    </w:p>
    <w:p w14:paraId="15D4DB01" w14:textId="2A699E89" w:rsidR="00A2325C" w:rsidRDefault="00A2325C" w:rsidP="00A2325C">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r>
      <w:r w:rsidR="00633842">
        <w:rPr>
          <w:rFonts w:ascii="Times New Roman" w:hAnsi="Times New Roman"/>
          <w:i/>
          <w:sz w:val="24"/>
        </w:rPr>
        <w:t>F</w:t>
      </w:r>
      <w:r>
        <w:rPr>
          <w:rFonts w:ascii="Times New Roman" w:hAnsi="Times New Roman"/>
          <w:i/>
          <w:sz w:val="24"/>
        </w:rPr>
        <w:t>ocus the highest quantum of growth and rates of growth in cities and a number of regionally important large towns in NWRA and SRA and lower th</w:t>
      </w:r>
      <w:r w:rsidR="00633842">
        <w:rPr>
          <w:rFonts w:ascii="Times New Roman" w:hAnsi="Times New Roman"/>
          <w:i/>
          <w:sz w:val="24"/>
        </w:rPr>
        <w:t>an</w:t>
      </w:r>
      <w:r>
        <w:rPr>
          <w:rFonts w:ascii="Times New Roman" w:hAnsi="Times New Roman"/>
          <w:i/>
          <w:sz w:val="24"/>
        </w:rPr>
        <w:t xml:space="preserve"> national growth rates in Dublin City and regionally important large towns, through a tailored approach to settlement growth target;</w:t>
      </w:r>
    </w:p>
    <w:p w14:paraId="21E26099" w14:textId="767D693D" w:rsidR="00A2325C" w:rsidRDefault="00A2325C" w:rsidP="00A2325C">
      <w:pPr>
        <w:pStyle w:val="ListParagraph"/>
        <w:spacing w:line="480" w:lineRule="auto"/>
        <w:ind w:left="1134" w:hanging="567"/>
        <w:jc w:val="left"/>
        <w:rPr>
          <w:rFonts w:ascii="Times New Roman" w:hAnsi="Times New Roman"/>
          <w:i/>
          <w:sz w:val="24"/>
        </w:rPr>
      </w:pPr>
      <w:r>
        <w:rPr>
          <w:rFonts w:ascii="Times New Roman" w:hAnsi="Times New Roman"/>
          <w:i/>
          <w:sz w:val="24"/>
        </w:rPr>
        <w:lastRenderedPageBreak/>
        <w:t>(iii)</w:t>
      </w:r>
      <w:r>
        <w:rPr>
          <w:rFonts w:ascii="Times New Roman" w:hAnsi="Times New Roman"/>
          <w:i/>
          <w:sz w:val="24"/>
        </w:rPr>
        <w:tab/>
      </w:r>
      <w:r w:rsidR="00633842">
        <w:rPr>
          <w:rFonts w:ascii="Times New Roman" w:hAnsi="Times New Roman"/>
          <w:i/>
          <w:sz w:val="24"/>
        </w:rPr>
        <w:t>D</w:t>
      </w:r>
      <w:r>
        <w:rPr>
          <w:rFonts w:ascii="Times New Roman" w:hAnsi="Times New Roman"/>
          <w:i/>
          <w:sz w:val="24"/>
        </w:rPr>
        <w:t>eliver at least 40% of all new homes nationally on infill or brownfield sites within the buil</w:t>
      </w:r>
      <w:r w:rsidR="00633842">
        <w:rPr>
          <w:rFonts w:ascii="Times New Roman" w:hAnsi="Times New Roman"/>
          <w:i/>
          <w:sz w:val="24"/>
        </w:rPr>
        <w:t>t</w:t>
      </w:r>
      <w:r>
        <w:rPr>
          <w:rFonts w:ascii="Times New Roman" w:hAnsi="Times New Roman"/>
          <w:i/>
          <w:sz w:val="24"/>
        </w:rPr>
        <w:t>-up envelope of existing urban settlement; and</w:t>
      </w:r>
    </w:p>
    <w:p w14:paraId="04A0A002" w14:textId="443B3C2D" w:rsidR="00ED135D" w:rsidRDefault="00A2325C" w:rsidP="00A25B3C">
      <w:pPr>
        <w:pStyle w:val="ListParagraph"/>
        <w:spacing w:line="480" w:lineRule="auto"/>
        <w:ind w:left="1134" w:hanging="567"/>
        <w:jc w:val="left"/>
        <w:rPr>
          <w:rFonts w:ascii="Times New Roman" w:hAnsi="Times New Roman"/>
          <w:sz w:val="24"/>
        </w:rPr>
      </w:pPr>
      <w:r>
        <w:rPr>
          <w:rFonts w:ascii="Times New Roman" w:hAnsi="Times New Roman"/>
          <w:i/>
          <w:sz w:val="24"/>
        </w:rPr>
        <w:t>(iv)</w:t>
      </w:r>
      <w:r>
        <w:rPr>
          <w:rFonts w:ascii="Times New Roman" w:hAnsi="Times New Roman"/>
          <w:i/>
          <w:sz w:val="24"/>
        </w:rPr>
        <w:tab/>
      </w:r>
      <w:r w:rsidR="00633842">
        <w:rPr>
          <w:rFonts w:ascii="Times New Roman" w:hAnsi="Times New Roman"/>
          <w:i/>
          <w:sz w:val="24"/>
        </w:rPr>
        <w:t>P</w:t>
      </w:r>
      <w:r>
        <w:rPr>
          <w:rFonts w:ascii="Times New Roman" w:hAnsi="Times New Roman"/>
          <w:i/>
          <w:sz w:val="24"/>
        </w:rPr>
        <w:t>rovide some critical infrastructure in advance of planned growth to kick start development and provide other infrastructure sequentially and on a phased basis in tandem.”</w:t>
      </w:r>
      <w:r w:rsidR="00ED135D">
        <w:rPr>
          <w:rFonts w:ascii="Times New Roman" w:hAnsi="Times New Roman"/>
          <w:sz w:val="24"/>
        </w:rPr>
        <w:t xml:space="preserve">  </w:t>
      </w:r>
    </w:p>
    <w:p w14:paraId="212718B6" w14:textId="34178358" w:rsidR="00ED135D" w:rsidRDefault="00A25B3C"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There is then the standard table and narrative in respect of this option.  This is clearly different to Options 1 to 3 in that it seeks to limit growth in the EMRA while focussing growth in the other two regions.  The authors observe that limiting growth in the EMRA in the manner proposed may have unintended negative consequences particularly for population and human health and material assets</w:t>
      </w:r>
      <w:r w:rsidR="002B6BF0">
        <w:rPr>
          <w:rFonts w:ascii="Times New Roman" w:hAnsi="Times New Roman"/>
          <w:sz w:val="24"/>
        </w:rPr>
        <w:t>,</w:t>
      </w:r>
      <w:r>
        <w:rPr>
          <w:rFonts w:ascii="Times New Roman" w:hAnsi="Times New Roman"/>
          <w:sz w:val="24"/>
        </w:rPr>
        <w:t xml:space="preserve"> where existing established sectors may not continue to invest in Ireland if their needs are not met in key strategic locations</w:t>
      </w:r>
      <w:r w:rsidR="002B6BF0">
        <w:rPr>
          <w:rFonts w:ascii="Times New Roman" w:hAnsi="Times New Roman"/>
          <w:sz w:val="24"/>
        </w:rPr>
        <w:t>,</w:t>
      </w:r>
      <w:r>
        <w:rPr>
          <w:rFonts w:ascii="Times New Roman" w:hAnsi="Times New Roman"/>
          <w:sz w:val="24"/>
        </w:rPr>
        <w:t xml:space="preserve"> such as Dublin.  This could remove a viable sector from further investment in any of the three regions. </w:t>
      </w:r>
    </w:p>
    <w:p w14:paraId="73EBC97E" w14:textId="25818069" w:rsidR="00A25B3C" w:rsidRDefault="00A25B3C"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Option 5 is Regional Dominance </w:t>
      </w:r>
      <w:r w:rsidR="00844A13">
        <w:rPr>
          <w:rFonts w:ascii="Times New Roman" w:hAnsi="Times New Roman"/>
          <w:sz w:val="24"/>
        </w:rPr>
        <w:t>a</w:t>
      </w:r>
      <w:r>
        <w:rPr>
          <w:rFonts w:ascii="Times New Roman" w:hAnsi="Times New Roman"/>
          <w:sz w:val="24"/>
        </w:rPr>
        <w:t>nd Settlement Consistency and includes the following four criteria:</w:t>
      </w:r>
      <w:r w:rsidR="00633842">
        <w:rPr>
          <w:rFonts w:ascii="Times New Roman" w:hAnsi="Times New Roman"/>
          <w:sz w:val="24"/>
        </w:rPr>
        <w:t>-</w:t>
      </w:r>
      <w:r>
        <w:rPr>
          <w:rFonts w:ascii="Times New Roman" w:hAnsi="Times New Roman"/>
          <w:sz w:val="24"/>
        </w:rPr>
        <w:t xml:space="preserve"> </w:t>
      </w:r>
    </w:p>
    <w:p w14:paraId="379DDCA3" w14:textId="77777777" w:rsidR="00A25B3C" w:rsidRDefault="00A25B3C" w:rsidP="00A25B3C">
      <w:pPr>
        <w:pStyle w:val="ListParagraph"/>
        <w:spacing w:line="480" w:lineRule="auto"/>
        <w:ind w:left="1134" w:hanging="567"/>
        <w:jc w:val="left"/>
        <w:rPr>
          <w:rFonts w:ascii="Times New Roman" w:hAnsi="Times New Roman"/>
          <w:i/>
          <w:sz w:val="24"/>
        </w:rPr>
      </w:pPr>
      <w:r>
        <w:rPr>
          <w:rFonts w:ascii="Times New Roman" w:hAnsi="Times New Roman"/>
          <w:i/>
          <w:sz w:val="24"/>
        </w:rPr>
        <w:t>“(i)</w:t>
      </w:r>
      <w:r>
        <w:rPr>
          <w:rFonts w:ascii="Times New Roman" w:hAnsi="Times New Roman"/>
          <w:i/>
          <w:sz w:val="24"/>
        </w:rPr>
        <w:tab/>
        <w:t>Growth in EMRA is less than that of the NWRA and SRA combined;</w:t>
      </w:r>
    </w:p>
    <w:p w14:paraId="3E26286A" w14:textId="4DAB9352" w:rsidR="00A25B3C" w:rsidRDefault="00A25B3C" w:rsidP="00A25B3C">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t>Focus the highest quantum of growth and rates of growth equally in cities and a number of regionally important large towns in NWRA and SRA and lower than national growth rates in Dublin city and regional</w:t>
      </w:r>
      <w:r w:rsidR="002B6BF0">
        <w:rPr>
          <w:rFonts w:ascii="Times New Roman" w:hAnsi="Times New Roman"/>
          <w:i/>
          <w:sz w:val="24"/>
        </w:rPr>
        <w:t>ly</w:t>
      </w:r>
      <w:r>
        <w:rPr>
          <w:rFonts w:ascii="Times New Roman" w:hAnsi="Times New Roman"/>
          <w:i/>
          <w:sz w:val="24"/>
        </w:rPr>
        <w:t xml:space="preserve"> important large towns in EMRA;</w:t>
      </w:r>
    </w:p>
    <w:p w14:paraId="58E9441F" w14:textId="4CA803F0" w:rsidR="009622D5" w:rsidRDefault="00A25B3C" w:rsidP="00A25B3C">
      <w:pPr>
        <w:pStyle w:val="ListParagraph"/>
        <w:spacing w:line="480" w:lineRule="auto"/>
        <w:ind w:left="1134" w:hanging="567"/>
        <w:jc w:val="left"/>
        <w:rPr>
          <w:rFonts w:ascii="Times New Roman" w:hAnsi="Times New Roman"/>
          <w:i/>
          <w:sz w:val="24"/>
        </w:rPr>
      </w:pPr>
      <w:r>
        <w:rPr>
          <w:rFonts w:ascii="Times New Roman" w:hAnsi="Times New Roman"/>
          <w:i/>
          <w:sz w:val="24"/>
        </w:rPr>
        <w:t>(iii)</w:t>
      </w:r>
      <w:r>
        <w:rPr>
          <w:rFonts w:ascii="Times New Roman" w:hAnsi="Times New Roman"/>
          <w:i/>
          <w:sz w:val="24"/>
        </w:rPr>
        <w:tab/>
        <w:t>Deliver at least 50% of all new homes in the cities and a number of regionally important large towns on infill or brownfield sites within the buil</w:t>
      </w:r>
      <w:r w:rsidR="00633842">
        <w:rPr>
          <w:rFonts w:ascii="Times New Roman" w:hAnsi="Times New Roman"/>
          <w:i/>
          <w:sz w:val="24"/>
        </w:rPr>
        <w:t>t</w:t>
      </w:r>
      <w:r>
        <w:rPr>
          <w:rFonts w:ascii="Times New Roman" w:hAnsi="Times New Roman"/>
          <w:i/>
          <w:sz w:val="24"/>
        </w:rPr>
        <w:t xml:space="preserve">-up envelope of existing </w:t>
      </w:r>
      <w:r w:rsidR="009622D5">
        <w:rPr>
          <w:rFonts w:ascii="Times New Roman" w:hAnsi="Times New Roman"/>
          <w:i/>
          <w:sz w:val="24"/>
        </w:rPr>
        <w:t>urban settlements in the [NWRA] and SRA and at least 30% in the EMRA; and</w:t>
      </w:r>
    </w:p>
    <w:p w14:paraId="07E73C65" w14:textId="64ABEA0C" w:rsidR="00A25B3C" w:rsidRDefault="00A25B3C" w:rsidP="00A25B3C">
      <w:pPr>
        <w:pStyle w:val="ListParagraph"/>
        <w:spacing w:line="480" w:lineRule="auto"/>
        <w:ind w:left="1134" w:hanging="567"/>
        <w:jc w:val="left"/>
        <w:rPr>
          <w:rFonts w:ascii="Times New Roman" w:hAnsi="Times New Roman"/>
          <w:sz w:val="24"/>
        </w:rPr>
      </w:pPr>
      <w:r>
        <w:rPr>
          <w:rFonts w:ascii="Times New Roman" w:hAnsi="Times New Roman"/>
          <w:i/>
          <w:sz w:val="24"/>
        </w:rPr>
        <w:lastRenderedPageBreak/>
        <w:t>(iv)</w:t>
      </w:r>
      <w:r w:rsidR="009622D5">
        <w:rPr>
          <w:rFonts w:ascii="Times New Roman" w:hAnsi="Times New Roman"/>
          <w:i/>
          <w:sz w:val="24"/>
        </w:rPr>
        <w:tab/>
        <w:t>Provide some critical infrastructure in advance of planned growth to kick start development and provide other infrastructure sequentially and on a phased basis in tandem.”</w:t>
      </w:r>
      <w:r>
        <w:rPr>
          <w:rFonts w:ascii="Times New Roman" w:hAnsi="Times New Roman"/>
          <w:sz w:val="24"/>
        </w:rPr>
        <w:t xml:space="preserve"> </w:t>
      </w:r>
    </w:p>
    <w:p w14:paraId="4D04AE15" w14:textId="2CC1106B" w:rsidR="009622D5" w:rsidRDefault="009622D5"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w:t>
      </w:r>
      <w:r w:rsidR="00844A13">
        <w:rPr>
          <w:rFonts w:ascii="Times New Roman" w:hAnsi="Times New Roman"/>
          <w:sz w:val="24"/>
        </w:rPr>
        <w:t>t</w:t>
      </w:r>
      <w:r>
        <w:rPr>
          <w:rFonts w:ascii="Times New Roman" w:hAnsi="Times New Roman"/>
          <w:sz w:val="24"/>
        </w:rPr>
        <w:t xml:space="preserve">able and the </w:t>
      </w:r>
      <w:r w:rsidR="00844A13">
        <w:rPr>
          <w:rFonts w:ascii="Times New Roman" w:hAnsi="Times New Roman"/>
          <w:sz w:val="24"/>
        </w:rPr>
        <w:t>n</w:t>
      </w:r>
      <w:r>
        <w:rPr>
          <w:rFonts w:ascii="Times New Roman" w:hAnsi="Times New Roman"/>
          <w:sz w:val="24"/>
        </w:rPr>
        <w:t xml:space="preserve">arrative then appear.  The </w:t>
      </w:r>
      <w:r w:rsidR="00844A13">
        <w:rPr>
          <w:rFonts w:ascii="Times New Roman" w:hAnsi="Times New Roman"/>
          <w:sz w:val="24"/>
        </w:rPr>
        <w:t>authors note</w:t>
      </w:r>
      <w:r>
        <w:rPr>
          <w:rFonts w:ascii="Times New Roman" w:hAnsi="Times New Roman"/>
          <w:sz w:val="24"/>
        </w:rPr>
        <w:t xml:space="preserve"> that Option 5 is broadly similar to Option 4 but sees an equal share in growth rates in cities and a number of regionally important large towns in each region.  As with Option 3, a greater spread of resources across a large number of settlements dilutes the potential to provide coherent solutions in terms of services as there is often a lack of critical mass to justify the costs</w:t>
      </w:r>
      <w:r w:rsidR="004D61CD">
        <w:rPr>
          <w:rFonts w:ascii="Times New Roman" w:hAnsi="Times New Roman"/>
          <w:sz w:val="24"/>
        </w:rPr>
        <w:t>-</w:t>
      </w:r>
      <w:r>
        <w:rPr>
          <w:rFonts w:ascii="Times New Roman" w:hAnsi="Times New Roman"/>
          <w:sz w:val="24"/>
        </w:rPr>
        <w:t xml:space="preserve">benefit.  There is the same difficulty in relation to the failure to consider the </w:t>
      </w:r>
      <w:r w:rsidR="00844A13">
        <w:rPr>
          <w:rFonts w:ascii="Times New Roman" w:hAnsi="Times New Roman"/>
          <w:sz w:val="24"/>
        </w:rPr>
        <w:t>carrying</w:t>
      </w:r>
      <w:r>
        <w:rPr>
          <w:rFonts w:ascii="Times New Roman" w:hAnsi="Times New Roman"/>
          <w:sz w:val="24"/>
        </w:rPr>
        <w:t xml:space="preserve"> capacity of environmental limits of settlements as in Option 3</w:t>
      </w:r>
      <w:r w:rsidR="004D61CD">
        <w:rPr>
          <w:rFonts w:ascii="Times New Roman" w:hAnsi="Times New Roman"/>
          <w:sz w:val="24"/>
        </w:rPr>
        <w:t>,</w:t>
      </w:r>
      <w:r>
        <w:rPr>
          <w:rFonts w:ascii="Times New Roman" w:hAnsi="Times New Roman"/>
          <w:sz w:val="24"/>
        </w:rPr>
        <w:t xml:space="preserve"> and likewise the possibility that it may not be possible to deliver infrastructure in tandem with such a dispers</w:t>
      </w:r>
      <w:r w:rsidR="002B6BF0">
        <w:rPr>
          <w:rFonts w:ascii="Times New Roman" w:hAnsi="Times New Roman"/>
          <w:sz w:val="24"/>
        </w:rPr>
        <w:t>ed</w:t>
      </w:r>
      <w:r>
        <w:rPr>
          <w:rFonts w:ascii="Times New Roman" w:hAnsi="Times New Roman"/>
          <w:sz w:val="24"/>
        </w:rPr>
        <w:t xml:space="preserve"> approach to growth rates.  </w:t>
      </w:r>
    </w:p>
    <w:p w14:paraId="479728BB" w14:textId="1EB3E955" w:rsidR="009622D5" w:rsidRDefault="009622D5"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Option 6 is Business as Usual, and this is assessed on the basis of four assumptions:</w:t>
      </w:r>
      <w:r w:rsidR="004D61CD">
        <w:rPr>
          <w:rFonts w:ascii="Times New Roman" w:hAnsi="Times New Roman"/>
          <w:sz w:val="24"/>
        </w:rPr>
        <w:t>-</w:t>
      </w:r>
    </w:p>
    <w:p w14:paraId="0D026441" w14:textId="059FB137" w:rsidR="009622D5" w:rsidRDefault="009622D5" w:rsidP="009622D5">
      <w:pPr>
        <w:pStyle w:val="ListParagraph"/>
        <w:spacing w:line="480" w:lineRule="auto"/>
        <w:ind w:left="1134" w:hanging="567"/>
        <w:jc w:val="left"/>
        <w:rPr>
          <w:rFonts w:ascii="Times New Roman" w:hAnsi="Times New Roman"/>
          <w:i/>
          <w:sz w:val="24"/>
        </w:rPr>
      </w:pPr>
      <w:r>
        <w:rPr>
          <w:rFonts w:ascii="Times New Roman" w:hAnsi="Times New Roman"/>
          <w:i/>
          <w:sz w:val="24"/>
        </w:rPr>
        <w:t>“(i)</w:t>
      </w:r>
      <w:r>
        <w:rPr>
          <w:rFonts w:ascii="Times New Roman" w:hAnsi="Times New Roman"/>
          <w:i/>
          <w:sz w:val="24"/>
        </w:rPr>
        <w:tab/>
        <w:t>The majority of growth takes place in the EMRA;</w:t>
      </w:r>
    </w:p>
    <w:p w14:paraId="2FCCCEAE" w14:textId="5A5E4460" w:rsidR="009622D5" w:rsidRDefault="009622D5" w:rsidP="009622D5">
      <w:pPr>
        <w:pStyle w:val="ListParagraph"/>
        <w:spacing w:line="480" w:lineRule="auto"/>
        <w:ind w:left="1134" w:hanging="567"/>
        <w:jc w:val="left"/>
        <w:rPr>
          <w:rFonts w:ascii="Times New Roman" w:hAnsi="Times New Roman"/>
          <w:i/>
          <w:sz w:val="24"/>
        </w:rPr>
      </w:pPr>
      <w:r>
        <w:rPr>
          <w:rFonts w:ascii="Times New Roman" w:hAnsi="Times New Roman"/>
          <w:i/>
          <w:sz w:val="24"/>
        </w:rPr>
        <w:t>(ii)</w:t>
      </w:r>
      <w:r>
        <w:rPr>
          <w:rFonts w:ascii="Times New Roman" w:hAnsi="Times New Roman"/>
          <w:i/>
          <w:sz w:val="24"/>
        </w:rPr>
        <w:tab/>
        <w:t xml:space="preserve">Focus growth </w:t>
      </w:r>
      <w:r w:rsidR="004D61CD">
        <w:rPr>
          <w:rFonts w:ascii="Times New Roman" w:hAnsi="Times New Roman"/>
          <w:i/>
          <w:sz w:val="24"/>
        </w:rPr>
        <w:t xml:space="preserve">in </w:t>
      </w:r>
      <w:r>
        <w:rPr>
          <w:rFonts w:ascii="Times New Roman" w:hAnsi="Times New Roman"/>
          <w:i/>
          <w:sz w:val="24"/>
        </w:rPr>
        <w:t>existing gateways and hubs as designated in the National Spatial Strategy;</w:t>
      </w:r>
    </w:p>
    <w:p w14:paraId="5F21C479" w14:textId="35CB9BE8" w:rsidR="009622D5" w:rsidRDefault="009622D5" w:rsidP="009622D5">
      <w:pPr>
        <w:pStyle w:val="ListParagraph"/>
        <w:spacing w:line="480" w:lineRule="auto"/>
        <w:ind w:left="1134" w:hanging="567"/>
        <w:jc w:val="left"/>
        <w:rPr>
          <w:rFonts w:ascii="Times New Roman" w:hAnsi="Times New Roman"/>
          <w:i/>
          <w:sz w:val="24"/>
        </w:rPr>
      </w:pPr>
      <w:r>
        <w:rPr>
          <w:rFonts w:ascii="Times New Roman" w:hAnsi="Times New Roman"/>
          <w:i/>
          <w:sz w:val="24"/>
        </w:rPr>
        <w:t>(iii)</w:t>
      </w:r>
      <w:r>
        <w:rPr>
          <w:rFonts w:ascii="Times New Roman" w:hAnsi="Times New Roman"/>
          <w:i/>
          <w:sz w:val="24"/>
        </w:rPr>
        <w:tab/>
        <w:t>No national specification between greenfield and brownfield/infill delivery targets for new housing; and</w:t>
      </w:r>
    </w:p>
    <w:p w14:paraId="2D7B38F0" w14:textId="77777777" w:rsidR="009622D5" w:rsidRDefault="009622D5" w:rsidP="009622D5">
      <w:pPr>
        <w:pStyle w:val="ListParagraph"/>
        <w:spacing w:line="480" w:lineRule="auto"/>
        <w:ind w:left="1134" w:hanging="567"/>
        <w:jc w:val="left"/>
        <w:rPr>
          <w:rFonts w:ascii="Times New Roman" w:hAnsi="Times New Roman"/>
          <w:sz w:val="24"/>
        </w:rPr>
      </w:pPr>
      <w:r>
        <w:rPr>
          <w:rFonts w:ascii="Times New Roman" w:hAnsi="Times New Roman"/>
          <w:i/>
          <w:sz w:val="24"/>
        </w:rPr>
        <w:t>(iv)</w:t>
      </w:r>
      <w:r>
        <w:rPr>
          <w:rFonts w:ascii="Times New Roman" w:hAnsi="Times New Roman"/>
          <w:i/>
          <w:sz w:val="24"/>
        </w:rPr>
        <w:tab/>
        <w:t>Infrastructure delays or deficit of infrastructure to support planned growth.”</w:t>
      </w:r>
      <w:r>
        <w:rPr>
          <w:rFonts w:ascii="Times New Roman" w:hAnsi="Times New Roman"/>
          <w:sz w:val="24"/>
        </w:rPr>
        <w:t xml:space="preserve"> </w:t>
      </w:r>
    </w:p>
    <w:p w14:paraId="6B442700" w14:textId="3C8E58EE" w:rsidR="000E42C3" w:rsidRDefault="009622D5"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w:t>
      </w:r>
      <w:r w:rsidR="004D61CD">
        <w:rPr>
          <w:rFonts w:ascii="Times New Roman" w:hAnsi="Times New Roman"/>
          <w:sz w:val="24"/>
        </w:rPr>
        <w:t>t</w:t>
      </w:r>
      <w:r>
        <w:rPr>
          <w:rFonts w:ascii="Times New Roman" w:hAnsi="Times New Roman"/>
          <w:sz w:val="24"/>
        </w:rPr>
        <w:t xml:space="preserve">able in respect of this option is then presented.  It is striking in that every </w:t>
      </w:r>
      <w:r w:rsidR="000E42C3">
        <w:rPr>
          <w:rFonts w:ascii="Times New Roman" w:hAnsi="Times New Roman"/>
          <w:sz w:val="24"/>
        </w:rPr>
        <w:t xml:space="preserve">entry is either </w:t>
      </w:r>
      <w:r w:rsidR="004D61CD">
        <w:rPr>
          <w:rFonts w:ascii="Times New Roman" w:hAnsi="Times New Roman"/>
          <w:sz w:val="24"/>
        </w:rPr>
        <w:t xml:space="preserve">0 </w:t>
      </w:r>
      <w:r w:rsidR="000E42C3">
        <w:rPr>
          <w:rFonts w:ascii="Times New Roman" w:hAnsi="Times New Roman"/>
          <w:sz w:val="24"/>
        </w:rPr>
        <w:t xml:space="preserve">or </w:t>
      </w:r>
      <w:r w:rsidR="004D61CD">
        <w:rPr>
          <w:rFonts w:ascii="Times New Roman" w:hAnsi="Times New Roman"/>
          <w:sz w:val="24"/>
        </w:rPr>
        <w:t>–</w:t>
      </w:r>
      <w:r w:rsidR="000E42C3">
        <w:rPr>
          <w:rFonts w:ascii="Times New Roman" w:hAnsi="Times New Roman"/>
          <w:sz w:val="24"/>
        </w:rPr>
        <w:t xml:space="preserve">.  The narrative then explains the disadvantages of business as usual. </w:t>
      </w:r>
    </w:p>
    <w:p w14:paraId="309926B5" w14:textId="7A47C4ED" w:rsidR="007F22DF" w:rsidRDefault="000E42C3"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w:t>
      </w:r>
      <w:r w:rsidR="004D61CD">
        <w:rPr>
          <w:rFonts w:ascii="Times New Roman" w:hAnsi="Times New Roman"/>
          <w:sz w:val="24"/>
        </w:rPr>
        <w:t>t</w:t>
      </w:r>
      <w:r>
        <w:rPr>
          <w:rFonts w:ascii="Times New Roman" w:hAnsi="Times New Roman"/>
          <w:sz w:val="24"/>
        </w:rPr>
        <w:t>ables presented in Options 3, 4 and 5 are identical.  Each of the criteria is assessed as +/</w:t>
      </w:r>
      <w:r w:rsidR="004D61CD">
        <w:rPr>
          <w:rFonts w:ascii="Times New Roman" w:hAnsi="Times New Roman"/>
          <w:sz w:val="24"/>
        </w:rPr>
        <w:t>–</w:t>
      </w:r>
      <w:r>
        <w:rPr>
          <w:rFonts w:ascii="Times New Roman" w:hAnsi="Times New Roman"/>
          <w:sz w:val="24"/>
        </w:rPr>
        <w:t>.  On the other hand, Options 1 and 2 show the same outcomes</w:t>
      </w:r>
      <w:r w:rsidR="007F22DF">
        <w:rPr>
          <w:rFonts w:ascii="Times New Roman" w:hAnsi="Times New Roman"/>
          <w:sz w:val="24"/>
        </w:rPr>
        <w:t>:</w:t>
      </w:r>
      <w:r>
        <w:rPr>
          <w:rFonts w:ascii="Times New Roman" w:hAnsi="Times New Roman"/>
          <w:sz w:val="24"/>
        </w:rPr>
        <w:t xml:space="preserve"> +/</w:t>
      </w:r>
      <w:r w:rsidR="004D61CD">
        <w:rPr>
          <w:rFonts w:ascii="Times New Roman" w:hAnsi="Times New Roman"/>
          <w:sz w:val="24"/>
        </w:rPr>
        <w:t>–</w:t>
      </w:r>
      <w:r>
        <w:rPr>
          <w:rFonts w:ascii="Times New Roman" w:hAnsi="Times New Roman"/>
          <w:sz w:val="24"/>
        </w:rPr>
        <w:t xml:space="preserve"> for six criteria and + for </w:t>
      </w:r>
      <w:r w:rsidR="004D61CD">
        <w:rPr>
          <w:rFonts w:ascii="Times New Roman" w:hAnsi="Times New Roman"/>
          <w:sz w:val="24"/>
        </w:rPr>
        <w:t xml:space="preserve">air </w:t>
      </w:r>
      <w:r>
        <w:rPr>
          <w:rFonts w:ascii="Times New Roman" w:hAnsi="Times New Roman"/>
          <w:sz w:val="24"/>
        </w:rPr>
        <w:t xml:space="preserve">quality, climatic factors and material assets. </w:t>
      </w:r>
    </w:p>
    <w:p w14:paraId="7E6EC365" w14:textId="7321A65F" w:rsidR="00940A87" w:rsidRPr="004A56E3" w:rsidRDefault="000E42C3" w:rsidP="00572A05">
      <w:pPr>
        <w:pStyle w:val="ListParagraph"/>
        <w:numPr>
          <w:ilvl w:val="0"/>
          <w:numId w:val="1"/>
        </w:numPr>
        <w:tabs>
          <w:tab w:val="left" w:pos="567"/>
        </w:tabs>
        <w:spacing w:line="480" w:lineRule="auto"/>
        <w:ind w:left="0" w:firstLine="0"/>
        <w:jc w:val="left"/>
        <w:rPr>
          <w:rFonts w:ascii="Times New Roman" w:hAnsi="Times New Roman"/>
          <w:i/>
          <w:iCs/>
          <w:sz w:val="24"/>
        </w:rPr>
      </w:pPr>
      <w:r>
        <w:rPr>
          <w:rFonts w:ascii="Times New Roman" w:hAnsi="Times New Roman"/>
          <w:sz w:val="24"/>
        </w:rPr>
        <w:lastRenderedPageBreak/>
        <w:t xml:space="preserve">In </w:t>
      </w:r>
      <w:r w:rsidR="007F22DF">
        <w:rPr>
          <w:rFonts w:ascii="Times New Roman" w:hAnsi="Times New Roman"/>
          <w:sz w:val="24"/>
        </w:rPr>
        <w:t>section</w:t>
      </w:r>
      <w:r>
        <w:rPr>
          <w:rFonts w:ascii="Times New Roman" w:hAnsi="Times New Roman"/>
          <w:sz w:val="24"/>
        </w:rPr>
        <w:t xml:space="preserve"> 7.3 of Chapter 7</w:t>
      </w:r>
      <w:r w:rsidR="009C1D8B">
        <w:rPr>
          <w:rFonts w:ascii="Times New Roman" w:hAnsi="Times New Roman"/>
          <w:sz w:val="24"/>
        </w:rPr>
        <w:t>,</w:t>
      </w:r>
      <w:r>
        <w:rPr>
          <w:rFonts w:ascii="Times New Roman" w:hAnsi="Times New Roman"/>
          <w:sz w:val="24"/>
        </w:rPr>
        <w:t xml:space="preserve"> the preferred alternative and the reasons for choosing </w:t>
      </w:r>
      <w:r w:rsidR="0069096D">
        <w:rPr>
          <w:rFonts w:ascii="Times New Roman" w:hAnsi="Times New Roman"/>
          <w:sz w:val="24"/>
        </w:rPr>
        <w:t xml:space="preserve">it </w:t>
      </w:r>
      <w:r>
        <w:rPr>
          <w:rFonts w:ascii="Times New Roman" w:hAnsi="Times New Roman"/>
          <w:sz w:val="24"/>
        </w:rPr>
        <w:t xml:space="preserve">are set out.  The authors say that the plan team </w:t>
      </w:r>
      <w:r>
        <w:rPr>
          <w:rFonts w:ascii="Times New Roman" w:hAnsi="Times New Roman"/>
          <w:i/>
          <w:sz w:val="24"/>
        </w:rPr>
        <w:t xml:space="preserve">“has had regard to the wider policies and strategies of the Government, stakeholder feedback on the </w:t>
      </w:r>
      <w:r w:rsidR="009C1D8B">
        <w:rPr>
          <w:rFonts w:ascii="Times New Roman" w:hAnsi="Times New Roman"/>
          <w:i/>
          <w:sz w:val="24"/>
        </w:rPr>
        <w:t>i</w:t>
      </w:r>
      <w:r>
        <w:rPr>
          <w:rFonts w:ascii="Times New Roman" w:hAnsi="Times New Roman"/>
          <w:i/>
          <w:sz w:val="24"/>
        </w:rPr>
        <w:t xml:space="preserve">ssue </w:t>
      </w:r>
      <w:r w:rsidR="009C1D8B">
        <w:rPr>
          <w:rFonts w:ascii="Times New Roman" w:hAnsi="Times New Roman"/>
          <w:i/>
          <w:sz w:val="24"/>
        </w:rPr>
        <w:t>p</w:t>
      </w:r>
      <w:r>
        <w:rPr>
          <w:rFonts w:ascii="Times New Roman" w:hAnsi="Times New Roman"/>
          <w:i/>
          <w:sz w:val="24"/>
        </w:rPr>
        <w:t>aper</w:t>
      </w:r>
      <w:r w:rsidR="009C1D8B">
        <w:rPr>
          <w:rFonts w:ascii="Times New Roman" w:hAnsi="Times New Roman"/>
          <w:i/>
          <w:sz w:val="24"/>
        </w:rPr>
        <w:t xml:space="preserve"> </w:t>
      </w:r>
      <w:r>
        <w:rPr>
          <w:rFonts w:ascii="Times New Roman" w:hAnsi="Times New Roman"/>
          <w:i/>
          <w:sz w:val="24"/>
        </w:rPr>
        <w:t>…</w:t>
      </w:r>
      <w:r w:rsidR="009C1D8B">
        <w:rPr>
          <w:rFonts w:ascii="Times New Roman" w:hAnsi="Times New Roman"/>
          <w:i/>
          <w:sz w:val="24"/>
        </w:rPr>
        <w:t xml:space="preserve"> </w:t>
      </w:r>
      <w:r>
        <w:rPr>
          <w:rFonts w:ascii="Times New Roman" w:hAnsi="Times New Roman"/>
          <w:i/>
          <w:sz w:val="24"/>
        </w:rPr>
        <w:t xml:space="preserve">and the </w:t>
      </w:r>
      <w:r w:rsidR="009C1D8B">
        <w:rPr>
          <w:rFonts w:ascii="Times New Roman" w:hAnsi="Times New Roman"/>
          <w:i/>
          <w:sz w:val="24"/>
        </w:rPr>
        <w:t>s</w:t>
      </w:r>
      <w:r>
        <w:rPr>
          <w:rFonts w:ascii="Times New Roman" w:hAnsi="Times New Roman"/>
          <w:i/>
          <w:sz w:val="24"/>
        </w:rPr>
        <w:t xml:space="preserve">trategic </w:t>
      </w:r>
      <w:r w:rsidR="009C1D8B">
        <w:rPr>
          <w:rFonts w:ascii="Times New Roman" w:hAnsi="Times New Roman"/>
          <w:i/>
          <w:sz w:val="24"/>
        </w:rPr>
        <w:t>e</w:t>
      </w:r>
      <w:r>
        <w:rPr>
          <w:rFonts w:ascii="Times New Roman" w:hAnsi="Times New Roman"/>
          <w:i/>
          <w:sz w:val="24"/>
        </w:rPr>
        <w:t xml:space="preserve">nvironmental </w:t>
      </w:r>
      <w:r w:rsidR="009C1D8B">
        <w:rPr>
          <w:rFonts w:ascii="Times New Roman" w:hAnsi="Times New Roman"/>
          <w:i/>
          <w:sz w:val="24"/>
        </w:rPr>
        <w:t>o</w:t>
      </w:r>
      <w:r>
        <w:rPr>
          <w:rFonts w:ascii="Times New Roman" w:hAnsi="Times New Roman"/>
          <w:i/>
          <w:sz w:val="24"/>
        </w:rPr>
        <w:t xml:space="preserve">bjectives identified in Chapter 6.”  </w:t>
      </w:r>
      <w:r>
        <w:rPr>
          <w:rFonts w:ascii="Times New Roman" w:hAnsi="Times New Roman"/>
          <w:sz w:val="24"/>
        </w:rPr>
        <w:t xml:space="preserve">In considering the broad </w:t>
      </w:r>
      <w:r w:rsidR="009C1D8B">
        <w:rPr>
          <w:rFonts w:ascii="Times New Roman" w:hAnsi="Times New Roman"/>
          <w:sz w:val="24"/>
        </w:rPr>
        <w:t xml:space="preserve">direction </w:t>
      </w:r>
      <w:r>
        <w:rPr>
          <w:rFonts w:ascii="Times New Roman" w:hAnsi="Times New Roman"/>
          <w:sz w:val="24"/>
        </w:rPr>
        <w:t xml:space="preserve">for the </w:t>
      </w:r>
      <w:r w:rsidR="009C1D8B">
        <w:rPr>
          <w:rFonts w:ascii="Times New Roman" w:hAnsi="Times New Roman"/>
          <w:sz w:val="24"/>
        </w:rPr>
        <w:t>f</w:t>
      </w:r>
      <w:r>
        <w:rPr>
          <w:rFonts w:ascii="Times New Roman" w:hAnsi="Times New Roman"/>
          <w:sz w:val="24"/>
        </w:rPr>
        <w:t xml:space="preserve">ramework, the </w:t>
      </w:r>
      <w:r w:rsidR="00F70B7D">
        <w:rPr>
          <w:rFonts w:ascii="Times New Roman" w:hAnsi="Times New Roman"/>
          <w:sz w:val="24"/>
        </w:rPr>
        <w:t>m</w:t>
      </w:r>
      <w:r>
        <w:rPr>
          <w:rFonts w:ascii="Times New Roman" w:hAnsi="Times New Roman"/>
          <w:sz w:val="24"/>
        </w:rPr>
        <w:t xml:space="preserve">acro </w:t>
      </w:r>
      <w:r w:rsidR="00F70B7D">
        <w:rPr>
          <w:rFonts w:ascii="Times New Roman" w:hAnsi="Times New Roman"/>
          <w:sz w:val="24"/>
        </w:rPr>
        <w:t>s</w:t>
      </w:r>
      <w:r>
        <w:rPr>
          <w:rFonts w:ascii="Times New Roman" w:hAnsi="Times New Roman"/>
          <w:sz w:val="24"/>
        </w:rPr>
        <w:t xml:space="preserve">patial </w:t>
      </w:r>
      <w:r w:rsidR="00F70B7D">
        <w:rPr>
          <w:rFonts w:ascii="Times New Roman" w:hAnsi="Times New Roman"/>
          <w:sz w:val="24"/>
        </w:rPr>
        <w:t>g</w:t>
      </w:r>
      <w:r>
        <w:rPr>
          <w:rFonts w:ascii="Times New Roman" w:hAnsi="Times New Roman"/>
          <w:sz w:val="24"/>
        </w:rPr>
        <w:t xml:space="preserve">rowth </w:t>
      </w:r>
      <w:r w:rsidR="00F70B7D">
        <w:rPr>
          <w:rFonts w:ascii="Times New Roman" w:hAnsi="Times New Roman"/>
          <w:sz w:val="24"/>
        </w:rPr>
        <w:t>a</w:t>
      </w:r>
      <w:r>
        <w:rPr>
          <w:rFonts w:ascii="Times New Roman" w:hAnsi="Times New Roman"/>
          <w:sz w:val="24"/>
        </w:rPr>
        <w:t xml:space="preserve">pproach </w:t>
      </w:r>
      <w:r w:rsidR="00F70B7D">
        <w:rPr>
          <w:rFonts w:ascii="Times New Roman" w:hAnsi="Times New Roman"/>
          <w:sz w:val="24"/>
        </w:rPr>
        <w:t>was</w:t>
      </w:r>
      <w:r>
        <w:rPr>
          <w:rFonts w:ascii="Times New Roman" w:hAnsi="Times New Roman"/>
          <w:sz w:val="24"/>
        </w:rPr>
        <w:t xml:space="preserve"> considered and the preferred approach </w:t>
      </w:r>
      <w:r w:rsidR="00F70B7D">
        <w:rPr>
          <w:rFonts w:ascii="Times New Roman" w:hAnsi="Times New Roman"/>
          <w:sz w:val="24"/>
        </w:rPr>
        <w:t xml:space="preserve">was </w:t>
      </w:r>
      <w:r>
        <w:rPr>
          <w:rFonts w:ascii="Times New Roman" w:hAnsi="Times New Roman"/>
          <w:sz w:val="24"/>
        </w:rPr>
        <w:t>characterised as one displaying: regional parity for the EMRA, NWRA and SRA; regional concentration towards cities and some regionally important larger settlements; a focus on contained growth and reduced sprawl by targeting infill and brownfield lands in existing built</w:t>
      </w:r>
      <w:r w:rsidR="00F70B7D">
        <w:rPr>
          <w:rFonts w:ascii="Times New Roman" w:hAnsi="Times New Roman"/>
          <w:sz w:val="24"/>
        </w:rPr>
        <w:t>-</w:t>
      </w:r>
      <w:r>
        <w:rPr>
          <w:rFonts w:ascii="Times New Roman" w:hAnsi="Times New Roman"/>
          <w:sz w:val="24"/>
        </w:rPr>
        <w:t xml:space="preserve">up areas; and sequential provision of infrastructure with some critical infrastructure in place to promote investment.  </w:t>
      </w:r>
      <w:r w:rsidR="00F70B7D">
        <w:rPr>
          <w:rFonts w:ascii="Times New Roman" w:hAnsi="Times New Roman"/>
          <w:sz w:val="24"/>
        </w:rPr>
        <w:t xml:space="preserve">The authors stated that </w:t>
      </w:r>
      <w:r w:rsidR="00F70B7D" w:rsidRPr="004A56E3">
        <w:rPr>
          <w:rFonts w:ascii="Times New Roman" w:hAnsi="Times New Roman"/>
          <w:i/>
          <w:iCs/>
          <w:sz w:val="24"/>
        </w:rPr>
        <w:t>“t</w:t>
      </w:r>
      <w:r w:rsidRPr="004A56E3">
        <w:rPr>
          <w:rFonts w:ascii="Times New Roman" w:hAnsi="Times New Roman"/>
          <w:i/>
          <w:iCs/>
          <w:sz w:val="24"/>
        </w:rPr>
        <w:t>his high level direction is considered to best reflect the most sustainable approach to growth patterns.”</w:t>
      </w:r>
    </w:p>
    <w:p w14:paraId="7A4AEB21" w14:textId="690C0024" w:rsidR="00940A87" w:rsidRDefault="00940A87"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It dismisses business as usual as not considered to be a viable alternative.  It notes that all of Options 1-5 note the need for sequential provision of infrastructure with some critical infrastructure in place to promote investment.  Thus</w:t>
      </w:r>
      <w:r w:rsidR="0069096D">
        <w:rPr>
          <w:rFonts w:ascii="Times New Roman" w:hAnsi="Times New Roman"/>
          <w:sz w:val="24"/>
        </w:rPr>
        <w:t>,</w:t>
      </w:r>
      <w:r>
        <w:rPr>
          <w:rFonts w:ascii="Times New Roman" w:hAnsi="Times New Roman"/>
          <w:sz w:val="24"/>
        </w:rPr>
        <w:t xml:space="preserve"> there is no distinction between the options in relation to this matter.  The same applies to the need for infill or brownfield development of between 30-50%.  The principal differences identified in Options 1-5 relate to the </w:t>
      </w:r>
      <w:r w:rsidR="00FC52B3">
        <w:rPr>
          <w:rFonts w:ascii="Times New Roman" w:hAnsi="Times New Roman"/>
          <w:sz w:val="24"/>
        </w:rPr>
        <w:t>r</w:t>
      </w:r>
      <w:r>
        <w:rPr>
          <w:rFonts w:ascii="Times New Roman" w:hAnsi="Times New Roman"/>
          <w:sz w:val="24"/>
        </w:rPr>
        <w:t xml:space="preserve">egional and </w:t>
      </w:r>
      <w:r w:rsidR="00FC52B3">
        <w:rPr>
          <w:rFonts w:ascii="Times New Roman" w:hAnsi="Times New Roman"/>
          <w:sz w:val="24"/>
        </w:rPr>
        <w:t>s</w:t>
      </w:r>
      <w:r>
        <w:rPr>
          <w:rFonts w:ascii="Times New Roman" w:hAnsi="Times New Roman"/>
          <w:sz w:val="24"/>
        </w:rPr>
        <w:t xml:space="preserve">ettlement </w:t>
      </w:r>
      <w:r w:rsidR="00FC52B3">
        <w:rPr>
          <w:rFonts w:ascii="Times New Roman" w:hAnsi="Times New Roman"/>
          <w:sz w:val="24"/>
        </w:rPr>
        <w:t>s</w:t>
      </w:r>
      <w:r>
        <w:rPr>
          <w:rFonts w:ascii="Times New Roman" w:hAnsi="Times New Roman"/>
          <w:sz w:val="24"/>
        </w:rPr>
        <w:t>trategy approach:</w:t>
      </w:r>
      <w:r w:rsidR="00FC52B3">
        <w:rPr>
          <w:rFonts w:ascii="Times New Roman" w:hAnsi="Times New Roman"/>
          <w:sz w:val="24"/>
        </w:rPr>
        <w:t>-</w:t>
      </w:r>
    </w:p>
    <w:p w14:paraId="272B517E" w14:textId="7D3CA5DB" w:rsidR="00A25B3C" w:rsidRDefault="00940A87" w:rsidP="00940A87">
      <w:pPr>
        <w:pStyle w:val="ListParagraph"/>
        <w:spacing w:line="480" w:lineRule="auto"/>
        <w:ind w:left="567"/>
        <w:jc w:val="left"/>
        <w:rPr>
          <w:rFonts w:ascii="Times New Roman" w:hAnsi="Times New Roman"/>
          <w:sz w:val="24"/>
        </w:rPr>
      </w:pPr>
      <w:r>
        <w:rPr>
          <w:rFonts w:ascii="Times New Roman" w:hAnsi="Times New Roman"/>
          <w:i/>
          <w:sz w:val="24"/>
        </w:rPr>
        <w:t>“In this regard the preferred option is considered to be Option 2</w:t>
      </w:r>
      <w:r w:rsidR="002C2C45">
        <w:rPr>
          <w:rFonts w:ascii="Times New Roman" w:hAnsi="Times New Roman"/>
          <w:i/>
          <w:sz w:val="24"/>
        </w:rPr>
        <w:t xml:space="preserve"> </w:t>
      </w:r>
      <w:r>
        <w:rPr>
          <w:rFonts w:ascii="Times New Roman" w:hAnsi="Times New Roman"/>
          <w:i/>
          <w:sz w:val="24"/>
        </w:rPr>
        <w:t>…</w:t>
      </w:r>
      <w:r w:rsidR="002C2C45">
        <w:rPr>
          <w:rFonts w:ascii="Times New Roman" w:hAnsi="Times New Roman"/>
          <w:i/>
          <w:sz w:val="24"/>
        </w:rPr>
        <w:t xml:space="preserve"> [</w:t>
      </w:r>
      <w:r>
        <w:rPr>
          <w:rFonts w:ascii="Times New Roman" w:hAnsi="Times New Roman"/>
          <w:i/>
          <w:sz w:val="24"/>
        </w:rPr>
        <w:t>t</w:t>
      </w:r>
      <w:r w:rsidR="002C2C45">
        <w:rPr>
          <w:rFonts w:ascii="Times New Roman" w:hAnsi="Times New Roman"/>
          <w:i/>
          <w:sz w:val="24"/>
        </w:rPr>
        <w:t>]</w:t>
      </w:r>
      <w:r>
        <w:rPr>
          <w:rFonts w:ascii="Times New Roman" w:hAnsi="Times New Roman"/>
          <w:i/>
          <w:sz w:val="24"/>
        </w:rPr>
        <w:t xml:space="preserve">his alternative is likely to achieve the maximum overall gain in relation to the SEOs in terms of maximising use of public transport thereby reducing transport related emissions, in tandem with facilitating higher densities in city areas, and focussed management growth in supporting settlements, thereby improving regional connectivity and services outside of the cities.” </w:t>
      </w:r>
      <w:r w:rsidR="000E42C3">
        <w:rPr>
          <w:rFonts w:ascii="Times New Roman" w:hAnsi="Times New Roman"/>
          <w:sz w:val="24"/>
        </w:rPr>
        <w:t xml:space="preserve">   </w:t>
      </w:r>
      <w:r w:rsidR="00A25B3C">
        <w:rPr>
          <w:rFonts w:ascii="Times New Roman" w:hAnsi="Times New Roman"/>
          <w:sz w:val="24"/>
        </w:rPr>
        <w:t xml:space="preserve"> </w:t>
      </w:r>
      <w:r w:rsidR="009622D5">
        <w:rPr>
          <w:rFonts w:ascii="Times New Roman" w:hAnsi="Times New Roman"/>
          <w:sz w:val="24"/>
        </w:rPr>
        <w:t xml:space="preserve">  </w:t>
      </w:r>
    </w:p>
    <w:p w14:paraId="43E21608" w14:textId="7A3594E3" w:rsidR="00940A87" w:rsidRDefault="00940A87"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This conclusion must be read</w:t>
      </w:r>
      <w:r w:rsidR="00AB1252">
        <w:rPr>
          <w:rFonts w:ascii="Times New Roman" w:hAnsi="Times New Roman"/>
          <w:sz w:val="24"/>
        </w:rPr>
        <w:t>,</w:t>
      </w:r>
      <w:r>
        <w:rPr>
          <w:rFonts w:ascii="Times New Roman" w:hAnsi="Times New Roman"/>
          <w:sz w:val="24"/>
        </w:rPr>
        <w:t xml:space="preserve"> in particular</w:t>
      </w:r>
      <w:r w:rsidR="00AB1252">
        <w:rPr>
          <w:rFonts w:ascii="Times New Roman" w:hAnsi="Times New Roman"/>
          <w:sz w:val="24"/>
        </w:rPr>
        <w:t>,</w:t>
      </w:r>
      <w:r>
        <w:rPr>
          <w:rFonts w:ascii="Times New Roman" w:hAnsi="Times New Roman"/>
          <w:sz w:val="24"/>
        </w:rPr>
        <w:t xml:space="preserve"> in light of the narrative in respect of Option 2 which I have highlighted and which addresses the importance of a supporting network of large towns to drive the regional and rural economy outside the functional influence of cities.  </w:t>
      </w:r>
    </w:p>
    <w:p w14:paraId="537400C7" w14:textId="1AB3D0A0" w:rsidR="009622D5" w:rsidRDefault="00940A87"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w:t>
      </w:r>
      <w:r w:rsidR="0069096D">
        <w:rPr>
          <w:rFonts w:ascii="Times New Roman" w:hAnsi="Times New Roman"/>
          <w:sz w:val="24"/>
        </w:rPr>
        <w:t>n my judgment</w:t>
      </w:r>
      <w:r w:rsidR="00AB1252">
        <w:rPr>
          <w:rFonts w:ascii="Times New Roman" w:hAnsi="Times New Roman"/>
          <w:sz w:val="24"/>
        </w:rPr>
        <w:t>,</w:t>
      </w:r>
      <w:r w:rsidR="0069096D">
        <w:rPr>
          <w:rFonts w:ascii="Times New Roman" w:hAnsi="Times New Roman"/>
          <w:sz w:val="24"/>
        </w:rPr>
        <w:t xml:space="preserve"> i</w:t>
      </w:r>
      <w:r>
        <w:rPr>
          <w:rFonts w:ascii="Times New Roman" w:hAnsi="Times New Roman"/>
          <w:sz w:val="24"/>
        </w:rPr>
        <w:t>t is clear that each of the six options ha</w:t>
      </w:r>
      <w:r w:rsidR="002B6BF0">
        <w:rPr>
          <w:rFonts w:ascii="Times New Roman" w:hAnsi="Times New Roman"/>
          <w:sz w:val="24"/>
        </w:rPr>
        <w:t>ve</w:t>
      </w:r>
      <w:r>
        <w:rPr>
          <w:rFonts w:ascii="Times New Roman" w:hAnsi="Times New Roman"/>
          <w:sz w:val="24"/>
        </w:rPr>
        <w:t xml:space="preserve"> been analysed in an identical fashion.  To that extent the requirements of the Directive have been met.  The applicant complains that the </w:t>
      </w:r>
      <w:r w:rsidR="0069096D">
        <w:rPr>
          <w:rFonts w:ascii="Times New Roman" w:hAnsi="Times New Roman"/>
          <w:sz w:val="24"/>
        </w:rPr>
        <w:t>t</w:t>
      </w:r>
      <w:r>
        <w:rPr>
          <w:rFonts w:ascii="Times New Roman" w:hAnsi="Times New Roman"/>
          <w:sz w:val="24"/>
        </w:rPr>
        <w:t xml:space="preserve">ables or </w:t>
      </w:r>
      <w:r w:rsidR="0069096D">
        <w:rPr>
          <w:rFonts w:ascii="Times New Roman" w:hAnsi="Times New Roman"/>
          <w:sz w:val="24"/>
        </w:rPr>
        <w:t>m</w:t>
      </w:r>
      <w:r>
        <w:rPr>
          <w:rFonts w:ascii="Times New Roman" w:hAnsi="Times New Roman"/>
          <w:sz w:val="24"/>
        </w:rPr>
        <w:t xml:space="preserve">atrices </w:t>
      </w:r>
      <w:r w:rsidR="0069096D">
        <w:rPr>
          <w:rFonts w:ascii="Times New Roman" w:hAnsi="Times New Roman"/>
          <w:sz w:val="24"/>
        </w:rPr>
        <w:t>are</w:t>
      </w:r>
      <w:r>
        <w:rPr>
          <w:rFonts w:ascii="Times New Roman" w:hAnsi="Times New Roman"/>
          <w:sz w:val="24"/>
        </w:rPr>
        <w:t xml:space="preserve"> incomprehensible and therefore fail to satisfy the obligation to give reasons or adequately a</w:t>
      </w:r>
      <w:r w:rsidR="001B28A3">
        <w:rPr>
          <w:rFonts w:ascii="Times New Roman" w:hAnsi="Times New Roman"/>
          <w:sz w:val="24"/>
        </w:rPr>
        <w:t>ssess the reasonable alternatives</w:t>
      </w:r>
      <w:r w:rsidR="0069096D">
        <w:rPr>
          <w:rFonts w:ascii="Times New Roman" w:hAnsi="Times New Roman"/>
          <w:sz w:val="24"/>
        </w:rPr>
        <w:t>,</w:t>
      </w:r>
      <w:r w:rsidR="001B28A3">
        <w:rPr>
          <w:rFonts w:ascii="Times New Roman" w:hAnsi="Times New Roman"/>
          <w:sz w:val="24"/>
        </w:rPr>
        <w:t xml:space="preserve"> but that complaint does not address the question whether the treatment of the preferred option and the reasonable alternatives have been assessed on a comparable basis.  </w:t>
      </w:r>
      <w:r>
        <w:rPr>
          <w:rFonts w:ascii="Times New Roman" w:hAnsi="Times New Roman"/>
          <w:sz w:val="24"/>
        </w:rPr>
        <w:t xml:space="preserve"> </w:t>
      </w:r>
    </w:p>
    <w:p w14:paraId="244EC443" w14:textId="6BDEF9E9" w:rsidR="00A77DA7" w:rsidRPr="008979CB" w:rsidRDefault="00C15771" w:rsidP="008979CB">
      <w:pPr>
        <w:pStyle w:val="ListParagraph"/>
        <w:numPr>
          <w:ilvl w:val="0"/>
          <w:numId w:val="1"/>
        </w:numPr>
        <w:tabs>
          <w:tab w:val="left" w:pos="567"/>
        </w:tabs>
        <w:spacing w:line="480" w:lineRule="auto"/>
        <w:ind w:left="0" w:firstLine="0"/>
        <w:jc w:val="left"/>
        <w:rPr>
          <w:rFonts w:ascii="Times New Roman" w:hAnsi="Times New Roman"/>
          <w:sz w:val="24"/>
        </w:rPr>
      </w:pPr>
      <w:r w:rsidRPr="008979CB">
        <w:rPr>
          <w:rFonts w:ascii="Times New Roman" w:hAnsi="Times New Roman"/>
          <w:sz w:val="24"/>
        </w:rPr>
        <w:t>In my judgment</w:t>
      </w:r>
      <w:r w:rsidR="00AB1252" w:rsidRPr="008979CB">
        <w:rPr>
          <w:rFonts w:ascii="Times New Roman" w:hAnsi="Times New Roman"/>
          <w:sz w:val="24"/>
        </w:rPr>
        <w:t>,</w:t>
      </w:r>
      <w:r w:rsidRPr="008979CB">
        <w:rPr>
          <w:rFonts w:ascii="Times New Roman" w:hAnsi="Times New Roman"/>
          <w:sz w:val="24"/>
        </w:rPr>
        <w:t xml:space="preserve"> the treatment of the options in Chapter 7 amounts to comparable assessment of the preferred option and the reasonable alternatives.  The </w:t>
      </w:r>
      <w:r w:rsidR="00F4713A" w:rsidRPr="008979CB">
        <w:rPr>
          <w:rFonts w:ascii="Times New Roman" w:hAnsi="Times New Roman"/>
          <w:sz w:val="24"/>
        </w:rPr>
        <w:t>next</w:t>
      </w:r>
      <w:r w:rsidRPr="008979CB">
        <w:rPr>
          <w:rFonts w:ascii="Times New Roman" w:hAnsi="Times New Roman"/>
          <w:sz w:val="24"/>
        </w:rPr>
        <w:t xml:space="preserve"> question is whether th</w:t>
      </w:r>
      <w:r w:rsidR="00690118" w:rsidRPr="008979CB">
        <w:rPr>
          <w:rFonts w:ascii="Times New Roman" w:hAnsi="Times New Roman"/>
          <w:sz w:val="24"/>
        </w:rPr>
        <w:t xml:space="preserve">e information is that which is </w:t>
      </w:r>
      <w:r w:rsidR="00F4713A" w:rsidRPr="008979CB">
        <w:rPr>
          <w:rFonts w:ascii="Times New Roman" w:hAnsi="Times New Roman"/>
          <w:sz w:val="24"/>
        </w:rPr>
        <w:t>“</w:t>
      </w:r>
      <w:r w:rsidR="00690118" w:rsidRPr="008979CB">
        <w:rPr>
          <w:rFonts w:ascii="Times New Roman" w:hAnsi="Times New Roman"/>
          <w:sz w:val="24"/>
        </w:rPr>
        <w:t>reasonably required</w:t>
      </w:r>
      <w:r w:rsidR="00F4713A" w:rsidRPr="008979CB">
        <w:rPr>
          <w:rFonts w:ascii="Times New Roman" w:hAnsi="Times New Roman"/>
          <w:sz w:val="24"/>
        </w:rPr>
        <w:t>”</w:t>
      </w:r>
      <w:r w:rsidRPr="008979CB">
        <w:rPr>
          <w:rFonts w:ascii="Times New Roman" w:hAnsi="Times New Roman"/>
          <w:sz w:val="24"/>
        </w:rPr>
        <w:t xml:space="preserve"> and </w:t>
      </w:r>
      <w:r w:rsidR="00690118" w:rsidRPr="008979CB">
        <w:rPr>
          <w:rFonts w:ascii="Times New Roman" w:hAnsi="Times New Roman"/>
          <w:sz w:val="24"/>
        </w:rPr>
        <w:t>thus</w:t>
      </w:r>
      <w:r w:rsidR="00AB1252" w:rsidRPr="008979CB">
        <w:rPr>
          <w:rFonts w:ascii="Times New Roman" w:hAnsi="Times New Roman"/>
          <w:sz w:val="24"/>
        </w:rPr>
        <w:t>,</w:t>
      </w:r>
      <w:r w:rsidR="00690118" w:rsidRPr="008979CB">
        <w:rPr>
          <w:rFonts w:ascii="Times New Roman" w:hAnsi="Times New Roman"/>
          <w:sz w:val="24"/>
        </w:rPr>
        <w:t xml:space="preserve"> whether</w:t>
      </w:r>
      <w:r w:rsidRPr="008979CB">
        <w:rPr>
          <w:rFonts w:ascii="Times New Roman" w:hAnsi="Times New Roman"/>
          <w:sz w:val="24"/>
        </w:rPr>
        <w:t xml:space="preserve"> the obligation on a plan mak</w:t>
      </w:r>
      <w:r w:rsidR="00654369">
        <w:rPr>
          <w:rFonts w:ascii="Times New Roman" w:hAnsi="Times New Roman"/>
          <w:sz w:val="24"/>
        </w:rPr>
        <w:t>ing authority</w:t>
      </w:r>
      <w:r w:rsidRPr="008979CB">
        <w:rPr>
          <w:rFonts w:ascii="Times New Roman" w:hAnsi="Times New Roman"/>
          <w:sz w:val="24"/>
        </w:rPr>
        <w:t xml:space="preserve"> imposed by Article 5</w:t>
      </w:r>
      <w:r w:rsidR="00597A12" w:rsidRPr="008979CB">
        <w:rPr>
          <w:rFonts w:ascii="Times New Roman" w:hAnsi="Times New Roman"/>
          <w:sz w:val="24"/>
        </w:rPr>
        <w:t>(</w:t>
      </w:r>
      <w:r w:rsidRPr="008979CB">
        <w:rPr>
          <w:rFonts w:ascii="Times New Roman" w:hAnsi="Times New Roman"/>
          <w:sz w:val="24"/>
        </w:rPr>
        <w:t>1</w:t>
      </w:r>
      <w:r w:rsidR="00597A12" w:rsidRPr="008979CB">
        <w:rPr>
          <w:rFonts w:ascii="Times New Roman" w:hAnsi="Times New Roman"/>
          <w:sz w:val="24"/>
        </w:rPr>
        <w:t>)</w:t>
      </w:r>
      <w:r w:rsidR="00AB1252" w:rsidRPr="008979CB">
        <w:rPr>
          <w:rFonts w:ascii="Times New Roman" w:hAnsi="Times New Roman"/>
          <w:sz w:val="24"/>
        </w:rPr>
        <w:t>,</w:t>
      </w:r>
      <w:r w:rsidRPr="008979CB">
        <w:rPr>
          <w:rFonts w:ascii="Times New Roman" w:hAnsi="Times New Roman"/>
          <w:sz w:val="24"/>
        </w:rPr>
        <w:t xml:space="preserve"> to identify, describe and evaluate the likely significant effects on the environment of implementing either the plan or the reasonable alternatives</w:t>
      </w:r>
      <w:r w:rsidR="00AB1252" w:rsidRPr="008979CB">
        <w:rPr>
          <w:rFonts w:ascii="Times New Roman" w:hAnsi="Times New Roman"/>
          <w:sz w:val="24"/>
        </w:rPr>
        <w:t>,</w:t>
      </w:r>
      <w:r w:rsidR="00690118" w:rsidRPr="008979CB">
        <w:rPr>
          <w:rFonts w:ascii="Times New Roman" w:hAnsi="Times New Roman"/>
          <w:sz w:val="24"/>
        </w:rPr>
        <w:t xml:space="preserve"> has been satisfied</w:t>
      </w:r>
      <w:r w:rsidRPr="008979CB">
        <w:rPr>
          <w:rFonts w:ascii="Times New Roman" w:hAnsi="Times New Roman"/>
          <w:sz w:val="24"/>
        </w:rPr>
        <w:t xml:space="preserve">.  This in turn raises the question of the margin of discretion to be afforded to the decision maker in this regard. </w:t>
      </w:r>
      <w:r w:rsidR="00AB1252" w:rsidRPr="008979CB">
        <w:rPr>
          <w:rFonts w:ascii="Times New Roman" w:hAnsi="Times New Roman"/>
          <w:sz w:val="24"/>
        </w:rPr>
        <w:t xml:space="preserve"> </w:t>
      </w:r>
      <w:r w:rsidR="00F4713A" w:rsidRPr="008979CB">
        <w:rPr>
          <w:rFonts w:ascii="Times New Roman" w:hAnsi="Times New Roman"/>
          <w:sz w:val="24"/>
        </w:rPr>
        <w:t xml:space="preserve">I agree with the judgment of </w:t>
      </w:r>
      <w:proofErr w:type="spellStart"/>
      <w:r w:rsidR="00F4713A" w:rsidRPr="008979CB">
        <w:rPr>
          <w:rFonts w:ascii="Times New Roman" w:hAnsi="Times New Roman"/>
          <w:sz w:val="24"/>
        </w:rPr>
        <w:t>Hick</w:t>
      </w:r>
      <w:r w:rsidR="002B6BF0">
        <w:rPr>
          <w:rFonts w:ascii="Times New Roman" w:hAnsi="Times New Roman"/>
          <w:sz w:val="24"/>
        </w:rPr>
        <w:t>i</w:t>
      </w:r>
      <w:r w:rsidR="00F4713A" w:rsidRPr="008979CB">
        <w:rPr>
          <w:rFonts w:ascii="Times New Roman" w:hAnsi="Times New Roman"/>
          <w:sz w:val="24"/>
        </w:rPr>
        <w:t>nbottom</w:t>
      </w:r>
      <w:proofErr w:type="spellEnd"/>
      <w:r w:rsidR="00F4713A" w:rsidRPr="008979CB">
        <w:rPr>
          <w:rFonts w:ascii="Times New Roman" w:hAnsi="Times New Roman"/>
          <w:sz w:val="24"/>
        </w:rPr>
        <w:t xml:space="preserve"> J. that this is quintessentially an evaluative judgment for the plan making authority and it may only be reviewed by this court on conventional public law grounds. </w:t>
      </w:r>
      <w:r w:rsidR="00AB1252" w:rsidRPr="008979CB">
        <w:rPr>
          <w:rFonts w:ascii="Times New Roman" w:hAnsi="Times New Roman"/>
          <w:sz w:val="24"/>
        </w:rPr>
        <w:t xml:space="preserve"> </w:t>
      </w:r>
      <w:r w:rsidR="00F4713A" w:rsidRPr="008979CB">
        <w:rPr>
          <w:rFonts w:ascii="Times New Roman" w:hAnsi="Times New Roman"/>
          <w:sz w:val="24"/>
        </w:rPr>
        <w:t>In my opinion</w:t>
      </w:r>
      <w:r w:rsidR="00AB1252" w:rsidRPr="008979CB">
        <w:rPr>
          <w:rFonts w:ascii="Times New Roman" w:hAnsi="Times New Roman"/>
          <w:sz w:val="24"/>
        </w:rPr>
        <w:t>,</w:t>
      </w:r>
      <w:r w:rsidR="00F4713A" w:rsidRPr="008979CB">
        <w:rPr>
          <w:rFonts w:ascii="Times New Roman" w:hAnsi="Times New Roman"/>
          <w:sz w:val="24"/>
        </w:rPr>
        <w:t xml:space="preserve"> the applicant has not shown that there has been a breach of EU law in this aspect of the case, and thus the challenge can only be on </w:t>
      </w:r>
      <w:r w:rsidR="00F4713A" w:rsidRPr="008979CB">
        <w:rPr>
          <w:rFonts w:ascii="Times New Roman" w:hAnsi="Times New Roman"/>
          <w:i/>
          <w:sz w:val="24"/>
        </w:rPr>
        <w:t>O’Keeffe</w:t>
      </w:r>
      <w:r w:rsidR="00F4713A" w:rsidRPr="008979CB">
        <w:rPr>
          <w:rFonts w:ascii="Times New Roman" w:hAnsi="Times New Roman"/>
          <w:sz w:val="24"/>
        </w:rPr>
        <w:t xml:space="preserve"> principles</w:t>
      </w:r>
      <w:r w:rsidR="00DF64D6" w:rsidRPr="008979CB">
        <w:rPr>
          <w:rFonts w:ascii="Times New Roman" w:hAnsi="Times New Roman"/>
          <w:sz w:val="24"/>
        </w:rPr>
        <w:t xml:space="preserve"> of irrationality/unreasonableness</w:t>
      </w:r>
      <w:r w:rsidR="008979CB">
        <w:rPr>
          <w:rFonts w:ascii="Times New Roman" w:hAnsi="Times New Roman"/>
          <w:sz w:val="24"/>
        </w:rPr>
        <w:t xml:space="preserve"> (</w:t>
      </w:r>
      <w:r w:rsidR="008979CB" w:rsidRPr="008979CB">
        <w:rPr>
          <w:rFonts w:ascii="Times New Roman" w:hAnsi="Times New Roman"/>
          <w:sz w:val="24"/>
        </w:rPr>
        <w:t>[1993] 1 I</w:t>
      </w:r>
      <w:r w:rsidR="008979CB">
        <w:rPr>
          <w:rFonts w:ascii="Times New Roman" w:hAnsi="Times New Roman"/>
          <w:sz w:val="24"/>
        </w:rPr>
        <w:t>.</w:t>
      </w:r>
      <w:r w:rsidR="008979CB" w:rsidRPr="008979CB">
        <w:rPr>
          <w:rFonts w:ascii="Times New Roman" w:hAnsi="Times New Roman"/>
          <w:sz w:val="24"/>
        </w:rPr>
        <w:t>R</w:t>
      </w:r>
      <w:r w:rsidR="008979CB">
        <w:rPr>
          <w:rFonts w:ascii="Times New Roman" w:hAnsi="Times New Roman"/>
          <w:sz w:val="24"/>
        </w:rPr>
        <w:t>.</w:t>
      </w:r>
      <w:r w:rsidR="008979CB" w:rsidRPr="008979CB">
        <w:rPr>
          <w:rFonts w:ascii="Times New Roman" w:hAnsi="Times New Roman"/>
          <w:sz w:val="24"/>
        </w:rPr>
        <w:t xml:space="preserve"> 39</w:t>
      </w:r>
      <w:r w:rsidR="008979CB">
        <w:rPr>
          <w:rFonts w:ascii="Times New Roman" w:hAnsi="Times New Roman"/>
          <w:sz w:val="24"/>
        </w:rPr>
        <w:t>)</w:t>
      </w:r>
      <w:r w:rsidR="00F4713A" w:rsidRPr="008979CB">
        <w:rPr>
          <w:rFonts w:ascii="Times New Roman" w:hAnsi="Times New Roman"/>
          <w:sz w:val="24"/>
        </w:rPr>
        <w:t>.  This was not the basis for the applicant’s challenge to the SE</w:t>
      </w:r>
      <w:r w:rsidR="007D757D" w:rsidRPr="008979CB">
        <w:rPr>
          <w:rFonts w:ascii="Times New Roman" w:hAnsi="Times New Roman"/>
          <w:sz w:val="24"/>
        </w:rPr>
        <w:t>A</w:t>
      </w:r>
      <w:r w:rsidR="00F4713A" w:rsidRPr="008979CB">
        <w:rPr>
          <w:rFonts w:ascii="Times New Roman" w:hAnsi="Times New Roman"/>
          <w:sz w:val="24"/>
        </w:rPr>
        <w:t xml:space="preserve"> conducted in this case. </w:t>
      </w:r>
      <w:r w:rsidR="007D757D" w:rsidRPr="008979CB">
        <w:rPr>
          <w:rFonts w:ascii="Times New Roman" w:hAnsi="Times New Roman"/>
          <w:sz w:val="24"/>
        </w:rPr>
        <w:t xml:space="preserve"> </w:t>
      </w:r>
      <w:r w:rsidR="00F4713A" w:rsidRPr="008979CB">
        <w:rPr>
          <w:rFonts w:ascii="Times New Roman" w:hAnsi="Times New Roman"/>
          <w:sz w:val="24"/>
        </w:rPr>
        <w:t>I would reject its appeal that the respondents failed to conduct a</w:t>
      </w:r>
      <w:r w:rsidR="005B30E8">
        <w:rPr>
          <w:rFonts w:ascii="Times New Roman" w:hAnsi="Times New Roman"/>
          <w:sz w:val="24"/>
        </w:rPr>
        <w:t>n</w:t>
      </w:r>
      <w:r w:rsidR="00F4713A" w:rsidRPr="008979CB">
        <w:rPr>
          <w:rFonts w:ascii="Times New Roman" w:hAnsi="Times New Roman"/>
          <w:sz w:val="24"/>
        </w:rPr>
        <w:t xml:space="preserve"> SEA of the NPF in complia</w:t>
      </w:r>
      <w:r w:rsidR="00D13179" w:rsidRPr="008979CB">
        <w:rPr>
          <w:rFonts w:ascii="Times New Roman" w:hAnsi="Times New Roman"/>
          <w:sz w:val="24"/>
        </w:rPr>
        <w:t>nce with Article 5</w:t>
      </w:r>
      <w:r w:rsidR="00597A12" w:rsidRPr="008979CB">
        <w:rPr>
          <w:rFonts w:ascii="Times New Roman" w:hAnsi="Times New Roman"/>
          <w:sz w:val="24"/>
        </w:rPr>
        <w:t>(</w:t>
      </w:r>
      <w:r w:rsidR="00D13179" w:rsidRPr="008979CB">
        <w:rPr>
          <w:rFonts w:ascii="Times New Roman" w:hAnsi="Times New Roman"/>
          <w:sz w:val="24"/>
        </w:rPr>
        <w:t>1</w:t>
      </w:r>
      <w:r w:rsidR="00597A12" w:rsidRPr="008979CB">
        <w:rPr>
          <w:rFonts w:ascii="Times New Roman" w:hAnsi="Times New Roman"/>
          <w:sz w:val="24"/>
        </w:rPr>
        <w:t>)</w:t>
      </w:r>
      <w:r w:rsidR="00D13179" w:rsidRPr="008979CB">
        <w:rPr>
          <w:rFonts w:ascii="Times New Roman" w:hAnsi="Times New Roman"/>
          <w:sz w:val="24"/>
        </w:rPr>
        <w:t xml:space="preserve"> because </w:t>
      </w:r>
      <w:r w:rsidR="00D13179" w:rsidRPr="008979CB">
        <w:rPr>
          <w:rFonts w:ascii="Times New Roman" w:hAnsi="Times New Roman"/>
          <w:sz w:val="24"/>
        </w:rPr>
        <w:lastRenderedPageBreak/>
        <w:t>they failed to subject the reasonable alternatives identified in the plan to an assessment that was comparable to that of the preferred option</w:t>
      </w:r>
      <w:r w:rsidR="00F4713A" w:rsidRPr="008979CB">
        <w:rPr>
          <w:rFonts w:ascii="Times New Roman" w:hAnsi="Times New Roman"/>
          <w:sz w:val="24"/>
        </w:rPr>
        <w:t>.</w:t>
      </w:r>
    </w:p>
    <w:p w14:paraId="7CCBFC61" w14:textId="64265F78" w:rsidR="00815492" w:rsidRDefault="00F55142" w:rsidP="00572A0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Separately, the question arises whether the inclusion of a more detailed assessment of the preferred option, as occurred in Chapter 8, impacts on the</w:t>
      </w:r>
      <w:r w:rsidR="00E9245C">
        <w:rPr>
          <w:rFonts w:ascii="Times New Roman" w:hAnsi="Times New Roman"/>
          <w:sz w:val="24"/>
        </w:rPr>
        <w:t xml:space="preserve"> court’s</w:t>
      </w:r>
      <w:r>
        <w:rPr>
          <w:rFonts w:ascii="Times New Roman" w:hAnsi="Times New Roman"/>
          <w:sz w:val="24"/>
        </w:rPr>
        <w:t xml:space="preserve"> assessment of the adequacy of the assessment in Chapter 7.  Undoubtedly</w:t>
      </w:r>
      <w:r w:rsidR="005F5888">
        <w:rPr>
          <w:rFonts w:ascii="Times New Roman" w:hAnsi="Times New Roman"/>
          <w:sz w:val="24"/>
        </w:rPr>
        <w:t>,</w:t>
      </w:r>
      <w:r>
        <w:rPr>
          <w:rFonts w:ascii="Times New Roman" w:hAnsi="Times New Roman"/>
          <w:sz w:val="24"/>
        </w:rPr>
        <w:t xml:space="preserve"> the assessment of the preferred option in Chapter 8 is in far greater detail.  If it is legitimate to compare the assessment of the preferred option in Chapter 8 with the assessment of all of the options</w:t>
      </w:r>
      <w:r w:rsidR="00A77DA7">
        <w:rPr>
          <w:rFonts w:ascii="Times New Roman" w:hAnsi="Times New Roman"/>
          <w:sz w:val="24"/>
        </w:rPr>
        <w:t>,</w:t>
      </w:r>
      <w:r>
        <w:rPr>
          <w:rFonts w:ascii="Times New Roman" w:hAnsi="Times New Roman"/>
          <w:sz w:val="24"/>
        </w:rPr>
        <w:t xml:space="preserve"> including the preferred option and the reasonable alternatives in Chapter 7, then it could fairly be said that there was not a comparable assessment of the reasonable alternatives with the preferred option</w:t>
      </w:r>
      <w:r w:rsidR="00815492">
        <w:rPr>
          <w:rFonts w:ascii="Times New Roman" w:hAnsi="Times New Roman"/>
          <w:sz w:val="24"/>
        </w:rPr>
        <w:t>, but I do not believe that this is the correct approach to adopt, nor is it consistent with the authorities discussed above.</w:t>
      </w:r>
    </w:p>
    <w:p w14:paraId="203409A2" w14:textId="0294798E" w:rsidR="002549CB" w:rsidRPr="00A44DD8" w:rsidRDefault="00FE2C2A" w:rsidP="00A44DD8">
      <w:pPr>
        <w:pStyle w:val="ListParagraph"/>
        <w:numPr>
          <w:ilvl w:val="0"/>
          <w:numId w:val="1"/>
        </w:numPr>
        <w:tabs>
          <w:tab w:val="left" w:pos="567"/>
        </w:tabs>
        <w:spacing w:line="480" w:lineRule="auto"/>
        <w:ind w:left="0" w:firstLine="0"/>
        <w:jc w:val="left"/>
        <w:rPr>
          <w:rFonts w:ascii="Times New Roman" w:hAnsi="Times New Roman"/>
          <w:sz w:val="24"/>
        </w:rPr>
      </w:pPr>
      <w:r w:rsidRPr="005F5888">
        <w:rPr>
          <w:rFonts w:ascii="Times New Roman" w:hAnsi="Times New Roman" w:cs="Times New Roman"/>
          <w:sz w:val="24"/>
        </w:rPr>
        <w:t xml:space="preserve">Sales J. recognised the possibility </w:t>
      </w:r>
      <w:r w:rsidRPr="005F5888">
        <w:rPr>
          <w:rFonts w:ascii="Times New Roman" w:hAnsi="Times New Roman" w:cs="Times New Roman"/>
          <w:i/>
          <w:iCs/>
        </w:rPr>
        <w:t>“</w:t>
      </w:r>
      <w:r w:rsidRPr="005F5888">
        <w:rPr>
          <w:rFonts w:ascii="Times New Roman" w:hAnsi="Times New Roman" w:cs="Times New Roman"/>
          <w:i/>
          <w:sz w:val="24"/>
          <w:szCs w:val="24"/>
        </w:rPr>
        <w:t xml:space="preserve">that a series of stages of examination leads to a preferred option </w:t>
      </w:r>
      <w:r w:rsidRPr="00E75B8B">
        <w:rPr>
          <w:rFonts w:ascii="Times New Roman" w:hAnsi="Times New Roman" w:cs="Times New Roman"/>
          <w:i/>
          <w:sz w:val="24"/>
          <w:szCs w:val="24"/>
        </w:rPr>
        <w:t>for which alone a full strategic assessment is done, and in that case outline reasons for the selection of the alternatives dealt with at the various stages and for not pursuing particular alternatives to the preferred option are required to be given</w:t>
      </w:r>
      <w:r w:rsidRPr="00E75B8B">
        <w:rPr>
          <w:rFonts w:ascii="Times New Roman" w:hAnsi="Times New Roman" w:cs="Times New Roman"/>
          <w:sz w:val="24"/>
        </w:rPr>
        <w:t>.</w:t>
      </w:r>
      <w:r w:rsidRPr="005F5888">
        <w:rPr>
          <w:rFonts w:ascii="Times New Roman" w:hAnsi="Times New Roman" w:cs="Times New Roman"/>
          <w:i/>
          <w:iCs/>
        </w:rPr>
        <w:t>”</w:t>
      </w:r>
      <w:r w:rsidRPr="005F5888">
        <w:rPr>
          <w:rFonts w:ascii="Times New Roman" w:hAnsi="Times New Roman" w:cs="Times New Roman"/>
          <w:sz w:val="24"/>
        </w:rPr>
        <w:t xml:space="preserve"> </w:t>
      </w:r>
      <w:r>
        <w:rPr>
          <w:rFonts w:ascii="Times New Roman" w:hAnsi="Times New Roman"/>
          <w:sz w:val="24"/>
        </w:rPr>
        <w:t>Th</w:t>
      </w:r>
      <w:r w:rsidR="00491922">
        <w:rPr>
          <w:rFonts w:ascii="Times New Roman" w:hAnsi="Times New Roman"/>
          <w:sz w:val="24"/>
        </w:rPr>
        <w:t>us</w:t>
      </w:r>
      <w:r w:rsidR="00815492">
        <w:rPr>
          <w:rFonts w:ascii="Times New Roman" w:hAnsi="Times New Roman"/>
          <w:sz w:val="24"/>
        </w:rPr>
        <w:t>,</w:t>
      </w:r>
      <w:r w:rsidR="00491922">
        <w:rPr>
          <w:rFonts w:ascii="Times New Roman" w:hAnsi="Times New Roman"/>
          <w:sz w:val="24"/>
        </w:rPr>
        <w:t xml:space="preserve"> </w:t>
      </w:r>
      <w:r>
        <w:rPr>
          <w:rFonts w:ascii="Times New Roman" w:hAnsi="Times New Roman"/>
          <w:sz w:val="24"/>
        </w:rPr>
        <w:t xml:space="preserve">a process where the preferred option and the reasonable alternatives are subject to comparable assessment and the preferred option alone is subject to </w:t>
      </w:r>
      <w:r w:rsidRPr="005F5888">
        <w:rPr>
          <w:rFonts w:ascii="Times New Roman" w:hAnsi="Times New Roman" w:cs="Times New Roman"/>
          <w:i/>
          <w:iCs/>
          <w:sz w:val="24"/>
          <w:szCs w:val="24"/>
        </w:rPr>
        <w:t>“full</w:t>
      </w:r>
      <w:r w:rsidR="00491922" w:rsidRPr="005F5888">
        <w:rPr>
          <w:rFonts w:ascii="Times New Roman" w:hAnsi="Times New Roman" w:cs="Times New Roman"/>
          <w:i/>
          <w:iCs/>
          <w:sz w:val="24"/>
          <w:szCs w:val="24"/>
        </w:rPr>
        <w:t xml:space="preserve"> strategic assessment”</w:t>
      </w:r>
      <w:r w:rsidR="00491922" w:rsidRPr="005F5888">
        <w:rPr>
          <w:sz w:val="28"/>
          <w:szCs w:val="24"/>
        </w:rPr>
        <w:t xml:space="preserve"> </w:t>
      </w:r>
      <w:r w:rsidR="00491922">
        <w:rPr>
          <w:rFonts w:ascii="Times New Roman" w:hAnsi="Times New Roman"/>
          <w:sz w:val="24"/>
        </w:rPr>
        <w:t xml:space="preserve">complies with the obligations arising from the SEA Directive. </w:t>
      </w:r>
      <w:r w:rsidR="007D757D">
        <w:rPr>
          <w:rFonts w:ascii="Times New Roman" w:hAnsi="Times New Roman"/>
          <w:sz w:val="24"/>
        </w:rPr>
        <w:t xml:space="preserve"> </w:t>
      </w:r>
      <w:r w:rsidR="00491922">
        <w:rPr>
          <w:rFonts w:ascii="Times New Roman" w:hAnsi="Times New Roman"/>
          <w:sz w:val="24"/>
        </w:rPr>
        <w:t>It is also authority for the proposition that the assessment required of the reasonable alternatives is not a full strategic assessment.</w:t>
      </w:r>
      <w:r w:rsidR="00815492">
        <w:rPr>
          <w:rFonts w:ascii="Times New Roman" w:hAnsi="Times New Roman"/>
          <w:sz w:val="24"/>
        </w:rPr>
        <w:t xml:space="preserve"> </w:t>
      </w:r>
      <w:r w:rsidR="007D757D">
        <w:rPr>
          <w:rFonts w:ascii="Times New Roman" w:hAnsi="Times New Roman"/>
          <w:sz w:val="24"/>
        </w:rPr>
        <w:t xml:space="preserve"> </w:t>
      </w:r>
      <w:r w:rsidR="00815492">
        <w:rPr>
          <w:rFonts w:ascii="Times New Roman" w:hAnsi="Times New Roman"/>
          <w:sz w:val="24"/>
        </w:rPr>
        <w:t xml:space="preserve">This is consistent with the judgment of Collins J. who held that the requirement was to provide an </w:t>
      </w:r>
      <w:r w:rsidR="00815492" w:rsidRPr="004A56E3">
        <w:rPr>
          <w:rFonts w:ascii="Times New Roman" w:hAnsi="Times New Roman" w:cs="Times New Roman"/>
          <w:i/>
          <w:iCs/>
        </w:rPr>
        <w:t>“</w:t>
      </w:r>
      <w:r w:rsidR="00815492" w:rsidRPr="001D197D">
        <w:rPr>
          <w:rFonts w:ascii="Times New Roman" w:hAnsi="Times New Roman"/>
          <w:i/>
          <w:sz w:val="24"/>
        </w:rPr>
        <w:t>accurate picture of what reasonable alternatives there are</w:t>
      </w:r>
      <w:r w:rsidR="00815492">
        <w:rPr>
          <w:rFonts w:ascii="Times New Roman" w:hAnsi="Times New Roman"/>
          <w:i/>
          <w:sz w:val="24"/>
        </w:rPr>
        <w:t>”.</w:t>
      </w:r>
      <w:r w:rsidR="005F7B20">
        <w:rPr>
          <w:rFonts w:ascii="Times New Roman" w:hAnsi="Times New Roman"/>
          <w:i/>
          <w:sz w:val="24"/>
        </w:rPr>
        <w:t xml:space="preserve"> </w:t>
      </w:r>
      <w:r w:rsidR="00D13179">
        <w:rPr>
          <w:rFonts w:ascii="Times New Roman" w:hAnsi="Times New Roman"/>
          <w:i/>
          <w:sz w:val="24"/>
        </w:rPr>
        <w:t xml:space="preserve"> </w:t>
      </w:r>
      <w:r w:rsidR="00D13179">
        <w:rPr>
          <w:rFonts w:ascii="Times New Roman" w:hAnsi="Times New Roman"/>
          <w:sz w:val="24"/>
        </w:rPr>
        <w:t>The S</w:t>
      </w:r>
      <w:r w:rsidR="00174ED1">
        <w:rPr>
          <w:rFonts w:ascii="Times New Roman" w:hAnsi="Times New Roman"/>
          <w:sz w:val="24"/>
        </w:rPr>
        <w:t>EA</w:t>
      </w:r>
      <w:r w:rsidR="00D13179">
        <w:rPr>
          <w:rFonts w:ascii="Times New Roman" w:hAnsi="Times New Roman"/>
          <w:sz w:val="24"/>
        </w:rPr>
        <w:t xml:space="preserve"> Directive merely requires that before the authority adopts the plan or programme, it takes account of the results of consultation (Article 8); it does not state that the consultation must occur before the authority selects a preferred option (or indeed rules out some options as not </w:t>
      </w:r>
      <w:r w:rsidR="005F5888">
        <w:rPr>
          <w:rFonts w:ascii="Times New Roman" w:hAnsi="Times New Roman"/>
          <w:sz w:val="24"/>
        </w:rPr>
        <w:t xml:space="preserve">being </w:t>
      </w:r>
      <w:r w:rsidR="00D13179">
        <w:rPr>
          <w:rFonts w:ascii="Times New Roman" w:hAnsi="Times New Roman"/>
          <w:sz w:val="24"/>
        </w:rPr>
        <w:t xml:space="preserve">reasonable alternatives). </w:t>
      </w:r>
      <w:r w:rsidR="005F7B20">
        <w:rPr>
          <w:rFonts w:ascii="Times New Roman" w:hAnsi="Times New Roman"/>
          <w:sz w:val="24"/>
        </w:rPr>
        <w:t xml:space="preserve"> </w:t>
      </w:r>
      <w:r w:rsidR="00D13179">
        <w:rPr>
          <w:rFonts w:ascii="Times New Roman" w:hAnsi="Times New Roman"/>
          <w:sz w:val="24"/>
        </w:rPr>
        <w:t xml:space="preserve">Thus, the applicant’s criticism that </w:t>
      </w:r>
      <w:r w:rsidR="00D13179">
        <w:rPr>
          <w:rFonts w:ascii="Times New Roman" w:hAnsi="Times New Roman"/>
          <w:sz w:val="24"/>
        </w:rPr>
        <w:lastRenderedPageBreak/>
        <w:t xml:space="preserve">the respondents had </w:t>
      </w:r>
      <w:r w:rsidR="00E24419">
        <w:rPr>
          <w:rFonts w:ascii="Times New Roman" w:hAnsi="Times New Roman"/>
          <w:sz w:val="24"/>
        </w:rPr>
        <w:t xml:space="preserve">already </w:t>
      </w:r>
      <w:r w:rsidR="00D13179">
        <w:rPr>
          <w:rFonts w:ascii="Times New Roman" w:hAnsi="Times New Roman"/>
          <w:sz w:val="24"/>
        </w:rPr>
        <w:t xml:space="preserve">selected a preferred option when the SEA Environmental Report was </w:t>
      </w:r>
      <w:r w:rsidR="00E24419">
        <w:rPr>
          <w:rFonts w:ascii="Times New Roman" w:hAnsi="Times New Roman"/>
          <w:sz w:val="24"/>
        </w:rPr>
        <w:t>published</w:t>
      </w:r>
      <w:r w:rsidR="005F7B20">
        <w:rPr>
          <w:rFonts w:ascii="Times New Roman" w:hAnsi="Times New Roman"/>
          <w:sz w:val="24"/>
        </w:rPr>
        <w:t>,</w:t>
      </w:r>
      <w:r w:rsidR="00E24419">
        <w:rPr>
          <w:rFonts w:ascii="Times New Roman" w:hAnsi="Times New Roman"/>
          <w:sz w:val="24"/>
        </w:rPr>
        <w:t xml:space="preserve"> and the public was invited to make submissions, is not relevant to the issue whether the respondents complied with the requirements of the Directive</w:t>
      </w:r>
      <w:r w:rsidR="00DF64D6">
        <w:rPr>
          <w:rFonts w:ascii="Times New Roman" w:hAnsi="Times New Roman"/>
          <w:sz w:val="24"/>
        </w:rPr>
        <w:t>,</w:t>
      </w:r>
      <w:r w:rsidR="00E24419">
        <w:rPr>
          <w:rFonts w:ascii="Times New Roman" w:hAnsi="Times New Roman"/>
          <w:sz w:val="24"/>
        </w:rPr>
        <w:t xml:space="preserve"> and the criticism is misplaced.</w:t>
      </w:r>
      <w:r w:rsidR="002A2006">
        <w:rPr>
          <w:rFonts w:ascii="Times New Roman" w:hAnsi="Times New Roman"/>
          <w:sz w:val="24"/>
        </w:rPr>
        <w:t xml:space="preserve"> </w:t>
      </w:r>
      <w:r w:rsidR="005F7B20">
        <w:rPr>
          <w:rFonts w:ascii="Times New Roman" w:hAnsi="Times New Roman"/>
          <w:sz w:val="24"/>
        </w:rPr>
        <w:t xml:space="preserve"> </w:t>
      </w:r>
      <w:r w:rsidR="002A2006">
        <w:rPr>
          <w:rFonts w:ascii="Times New Roman" w:hAnsi="Times New Roman"/>
          <w:sz w:val="24"/>
        </w:rPr>
        <w:t>The authority retains the option</w:t>
      </w:r>
      <w:r w:rsidR="00DF64D6">
        <w:rPr>
          <w:rFonts w:ascii="Times New Roman" w:hAnsi="Times New Roman"/>
          <w:sz w:val="24"/>
        </w:rPr>
        <w:t xml:space="preserve"> </w:t>
      </w:r>
      <w:r w:rsidR="005F7B20">
        <w:rPr>
          <w:rFonts w:ascii="Times New Roman" w:hAnsi="Times New Roman"/>
          <w:sz w:val="24"/>
        </w:rPr>
        <w:t>–</w:t>
      </w:r>
      <w:r w:rsidR="00DF64D6">
        <w:rPr>
          <w:rFonts w:ascii="Times New Roman" w:hAnsi="Times New Roman"/>
          <w:sz w:val="24"/>
        </w:rPr>
        <w:t xml:space="preserve"> </w:t>
      </w:r>
      <w:r w:rsidR="002A2006">
        <w:rPr>
          <w:rFonts w:ascii="Times New Roman" w:hAnsi="Times New Roman"/>
          <w:sz w:val="24"/>
        </w:rPr>
        <w:t>and the obligation if necessary</w:t>
      </w:r>
      <w:r w:rsidR="00DF64D6">
        <w:rPr>
          <w:rFonts w:ascii="Times New Roman" w:hAnsi="Times New Roman"/>
          <w:sz w:val="24"/>
        </w:rPr>
        <w:t xml:space="preserve"> </w:t>
      </w:r>
      <w:r w:rsidR="005F7B20">
        <w:rPr>
          <w:rFonts w:ascii="Times New Roman" w:hAnsi="Times New Roman"/>
          <w:sz w:val="24"/>
        </w:rPr>
        <w:t>–</w:t>
      </w:r>
      <w:r w:rsidR="00DF64D6">
        <w:rPr>
          <w:rFonts w:ascii="Times New Roman" w:hAnsi="Times New Roman"/>
          <w:sz w:val="24"/>
        </w:rPr>
        <w:t xml:space="preserve"> </w:t>
      </w:r>
      <w:r w:rsidR="002A2006">
        <w:rPr>
          <w:rFonts w:ascii="Times New Roman" w:hAnsi="Times New Roman"/>
          <w:sz w:val="24"/>
        </w:rPr>
        <w:t>to reconsider or refine its preferred options prior to adopting the plan or programme</w:t>
      </w:r>
      <w:r w:rsidR="00CB5A83">
        <w:rPr>
          <w:rFonts w:ascii="Times New Roman" w:hAnsi="Times New Roman"/>
          <w:sz w:val="24"/>
        </w:rPr>
        <w:t>,</w:t>
      </w:r>
      <w:r w:rsidR="002A2006">
        <w:rPr>
          <w:rFonts w:ascii="Times New Roman" w:hAnsi="Times New Roman"/>
          <w:sz w:val="24"/>
        </w:rPr>
        <w:t xml:space="preserve"> in light of the results of the consultation. </w:t>
      </w:r>
      <w:r w:rsidR="00CB5A83">
        <w:rPr>
          <w:rFonts w:ascii="Times New Roman" w:hAnsi="Times New Roman"/>
          <w:sz w:val="24"/>
        </w:rPr>
        <w:t xml:space="preserve"> </w:t>
      </w:r>
      <w:r w:rsidR="002A2006">
        <w:rPr>
          <w:rFonts w:ascii="Times New Roman" w:hAnsi="Times New Roman"/>
          <w:sz w:val="24"/>
        </w:rPr>
        <w:t>In my judgment</w:t>
      </w:r>
      <w:r w:rsidR="00695A01">
        <w:rPr>
          <w:rFonts w:ascii="Times New Roman" w:hAnsi="Times New Roman"/>
          <w:sz w:val="24"/>
        </w:rPr>
        <w:t>,</w:t>
      </w:r>
      <w:r w:rsidR="002A2006">
        <w:rPr>
          <w:rFonts w:ascii="Times New Roman" w:hAnsi="Times New Roman"/>
          <w:sz w:val="24"/>
        </w:rPr>
        <w:t xml:space="preserve"> the fact that the preferred option was subject to full strategic assessment in Chapter 8 of the SEA Environmental Report does not detract from the fact that in the </w:t>
      </w:r>
      <w:r w:rsidR="00695A01">
        <w:rPr>
          <w:rFonts w:ascii="Times New Roman" w:hAnsi="Times New Roman"/>
          <w:sz w:val="24"/>
        </w:rPr>
        <w:t>preceding</w:t>
      </w:r>
      <w:r w:rsidR="002A2006">
        <w:rPr>
          <w:rFonts w:ascii="Times New Roman" w:hAnsi="Times New Roman"/>
          <w:sz w:val="24"/>
        </w:rPr>
        <w:t xml:space="preserve"> chapters, and in parti</w:t>
      </w:r>
      <w:r w:rsidR="00695A01">
        <w:rPr>
          <w:rFonts w:ascii="Times New Roman" w:hAnsi="Times New Roman"/>
          <w:sz w:val="24"/>
        </w:rPr>
        <w:t>cular Chapter 7, the preferred option and the reasonable alternatives were assessed in accordance with the requirements of Article 5</w:t>
      </w:r>
      <w:r w:rsidR="00597A12">
        <w:rPr>
          <w:rFonts w:ascii="Times New Roman" w:hAnsi="Times New Roman"/>
          <w:sz w:val="24"/>
        </w:rPr>
        <w:t>(</w:t>
      </w:r>
      <w:r w:rsidR="00695A01">
        <w:rPr>
          <w:rFonts w:ascii="Times New Roman" w:hAnsi="Times New Roman"/>
          <w:sz w:val="24"/>
        </w:rPr>
        <w:t>1</w:t>
      </w:r>
      <w:r w:rsidR="00597A12">
        <w:rPr>
          <w:rFonts w:ascii="Times New Roman" w:hAnsi="Times New Roman"/>
          <w:sz w:val="24"/>
        </w:rPr>
        <w:t>)</w:t>
      </w:r>
      <w:r w:rsidR="00695A01">
        <w:rPr>
          <w:rFonts w:ascii="Times New Roman" w:hAnsi="Times New Roman"/>
          <w:sz w:val="24"/>
        </w:rPr>
        <w:t xml:space="preserve"> in a comparable way. </w:t>
      </w:r>
      <w:r w:rsidR="00CB5A83">
        <w:rPr>
          <w:rFonts w:ascii="Times New Roman" w:hAnsi="Times New Roman"/>
          <w:sz w:val="24"/>
        </w:rPr>
        <w:t xml:space="preserve"> </w:t>
      </w:r>
      <w:r w:rsidR="00695A01">
        <w:rPr>
          <w:rFonts w:ascii="Times New Roman" w:hAnsi="Times New Roman"/>
          <w:sz w:val="24"/>
        </w:rPr>
        <w:t xml:space="preserve">As Advocate General </w:t>
      </w:r>
      <w:proofErr w:type="spellStart"/>
      <w:r w:rsidR="00695A01">
        <w:rPr>
          <w:rFonts w:ascii="Times New Roman" w:hAnsi="Times New Roman"/>
          <w:sz w:val="24"/>
        </w:rPr>
        <w:t>Kokott</w:t>
      </w:r>
      <w:proofErr w:type="spellEnd"/>
      <w:r w:rsidR="00695A01">
        <w:rPr>
          <w:rFonts w:ascii="Times New Roman" w:hAnsi="Times New Roman"/>
          <w:sz w:val="24"/>
        </w:rPr>
        <w:t xml:space="preserve"> stated, the issue is whether </w:t>
      </w:r>
      <w:r w:rsidR="00695A01" w:rsidRPr="00695A01">
        <w:rPr>
          <w:rFonts w:ascii="Times New Roman" w:hAnsi="Times New Roman"/>
          <w:i/>
          <w:sz w:val="24"/>
        </w:rPr>
        <w:t>in</w:t>
      </w:r>
      <w:r w:rsidR="00695A01">
        <w:rPr>
          <w:rFonts w:ascii="Times New Roman" w:hAnsi="Times New Roman"/>
          <w:sz w:val="24"/>
        </w:rPr>
        <w:t xml:space="preserve"> </w:t>
      </w:r>
      <w:r w:rsidR="00695A01" w:rsidRPr="00695A01">
        <w:rPr>
          <w:rFonts w:ascii="Times New Roman" w:hAnsi="Times New Roman"/>
          <w:i/>
          <w:sz w:val="24"/>
        </w:rPr>
        <w:t>substance</w:t>
      </w:r>
      <w:r w:rsidR="00695A01">
        <w:rPr>
          <w:rFonts w:ascii="Times New Roman" w:hAnsi="Times New Roman"/>
          <w:sz w:val="24"/>
        </w:rPr>
        <w:t xml:space="preserve"> there was assessment of the plan and the reasonable alternatives which satisfied the objectives of the Directive.</w:t>
      </w:r>
      <w:r w:rsidR="00CB5A83">
        <w:rPr>
          <w:rFonts w:ascii="Times New Roman" w:hAnsi="Times New Roman"/>
          <w:sz w:val="24"/>
        </w:rPr>
        <w:t xml:space="preserve"> </w:t>
      </w:r>
      <w:r w:rsidR="00695A01">
        <w:rPr>
          <w:rFonts w:ascii="Times New Roman" w:hAnsi="Times New Roman"/>
          <w:sz w:val="24"/>
        </w:rPr>
        <w:t xml:space="preserve"> In my judgment</w:t>
      </w:r>
      <w:r w:rsidR="00CB5A83">
        <w:rPr>
          <w:rFonts w:ascii="Times New Roman" w:hAnsi="Times New Roman"/>
          <w:sz w:val="24"/>
        </w:rPr>
        <w:t>,</w:t>
      </w:r>
      <w:r w:rsidR="00695A01">
        <w:rPr>
          <w:rFonts w:ascii="Times New Roman" w:hAnsi="Times New Roman"/>
          <w:sz w:val="24"/>
        </w:rPr>
        <w:t xml:space="preserve"> the answer to that question is</w:t>
      </w:r>
      <w:r w:rsidR="00CB5A83">
        <w:rPr>
          <w:rFonts w:ascii="Times New Roman" w:hAnsi="Times New Roman"/>
          <w:sz w:val="24"/>
        </w:rPr>
        <w:t>,</w:t>
      </w:r>
      <w:r w:rsidR="00695A01">
        <w:rPr>
          <w:rFonts w:ascii="Times New Roman" w:hAnsi="Times New Roman"/>
          <w:sz w:val="24"/>
        </w:rPr>
        <w:t xml:space="preserve"> there was.</w:t>
      </w:r>
      <w:r w:rsidR="002A2006">
        <w:rPr>
          <w:rFonts w:ascii="Times New Roman" w:hAnsi="Times New Roman"/>
          <w:sz w:val="24"/>
        </w:rPr>
        <w:t xml:space="preserve"> </w:t>
      </w:r>
    </w:p>
    <w:p w14:paraId="07624926" w14:textId="3C362B6F" w:rsidR="00D76C83" w:rsidRDefault="00847912" w:rsidP="005445D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w:t>
      </w:r>
      <w:r w:rsidR="00E9245C">
        <w:rPr>
          <w:rFonts w:ascii="Times New Roman" w:hAnsi="Times New Roman"/>
          <w:sz w:val="24"/>
        </w:rPr>
        <w:t xml:space="preserve"> applicant also </w:t>
      </w:r>
      <w:r w:rsidR="00D76C83">
        <w:rPr>
          <w:rFonts w:ascii="Times New Roman" w:hAnsi="Times New Roman"/>
          <w:sz w:val="24"/>
        </w:rPr>
        <w:t>alleged that there was a failure to explain why the preferred option was selected</w:t>
      </w:r>
      <w:r w:rsidR="006E2F1E">
        <w:rPr>
          <w:rFonts w:ascii="Times New Roman" w:hAnsi="Times New Roman"/>
          <w:sz w:val="24"/>
        </w:rPr>
        <w:t>,</w:t>
      </w:r>
      <w:r w:rsidR="00D76C83">
        <w:rPr>
          <w:rFonts w:ascii="Times New Roman" w:hAnsi="Times New Roman"/>
          <w:sz w:val="24"/>
        </w:rPr>
        <w:t xml:space="preserve"> and the reasonable alternatives rejected</w:t>
      </w:r>
      <w:r w:rsidR="006E2F1E">
        <w:rPr>
          <w:rFonts w:ascii="Times New Roman" w:hAnsi="Times New Roman"/>
          <w:sz w:val="24"/>
        </w:rPr>
        <w:t>,</w:t>
      </w:r>
      <w:r w:rsidR="00D76C83">
        <w:rPr>
          <w:rFonts w:ascii="Times New Roman" w:hAnsi="Times New Roman"/>
          <w:sz w:val="24"/>
        </w:rPr>
        <w:t xml:space="preserve"> as required by the </w:t>
      </w:r>
      <w:r w:rsidR="006E2F1E">
        <w:rPr>
          <w:rFonts w:ascii="Times New Roman" w:hAnsi="Times New Roman"/>
          <w:sz w:val="24"/>
        </w:rPr>
        <w:t xml:space="preserve">SEA </w:t>
      </w:r>
      <w:r w:rsidR="00D76C83">
        <w:rPr>
          <w:rFonts w:ascii="Times New Roman" w:hAnsi="Times New Roman"/>
          <w:sz w:val="24"/>
        </w:rPr>
        <w:t>Directive</w:t>
      </w:r>
      <w:r w:rsidR="00E9245C">
        <w:rPr>
          <w:rFonts w:ascii="Times New Roman" w:hAnsi="Times New Roman"/>
          <w:sz w:val="24"/>
        </w:rPr>
        <w:t xml:space="preserve">. </w:t>
      </w:r>
      <w:r w:rsidR="00CB5A83">
        <w:rPr>
          <w:rFonts w:ascii="Times New Roman" w:hAnsi="Times New Roman"/>
          <w:sz w:val="24"/>
        </w:rPr>
        <w:t xml:space="preserve"> </w:t>
      </w:r>
      <w:r w:rsidR="00E9245C">
        <w:rPr>
          <w:rFonts w:ascii="Times New Roman" w:hAnsi="Times New Roman"/>
          <w:sz w:val="24"/>
        </w:rPr>
        <w:t>I</w:t>
      </w:r>
      <w:r w:rsidR="00D76C83">
        <w:rPr>
          <w:rFonts w:ascii="Times New Roman" w:hAnsi="Times New Roman"/>
          <w:sz w:val="24"/>
        </w:rPr>
        <w:t>n particular</w:t>
      </w:r>
      <w:r w:rsidR="00CB5A83">
        <w:rPr>
          <w:rFonts w:ascii="Times New Roman" w:hAnsi="Times New Roman"/>
          <w:sz w:val="24"/>
        </w:rPr>
        <w:t>,</w:t>
      </w:r>
      <w:r w:rsidR="00D76C83">
        <w:rPr>
          <w:rFonts w:ascii="Times New Roman" w:hAnsi="Times New Roman"/>
          <w:sz w:val="24"/>
        </w:rPr>
        <w:t xml:space="preserve"> i</w:t>
      </w:r>
      <w:r w:rsidR="00E9245C">
        <w:rPr>
          <w:rFonts w:ascii="Times New Roman" w:hAnsi="Times New Roman"/>
          <w:sz w:val="24"/>
        </w:rPr>
        <w:t xml:space="preserve">t said that the matrices </w:t>
      </w:r>
      <w:r w:rsidR="00D76C83">
        <w:rPr>
          <w:rFonts w:ascii="Times New Roman" w:hAnsi="Times New Roman"/>
          <w:sz w:val="24"/>
        </w:rPr>
        <w:t xml:space="preserve">in Chapter 7 </w:t>
      </w:r>
      <w:r w:rsidR="00E9245C">
        <w:rPr>
          <w:rFonts w:ascii="Times New Roman" w:hAnsi="Times New Roman"/>
          <w:sz w:val="24"/>
        </w:rPr>
        <w:t>were incomprehensible; that in some instances the different options received the same “score”</w:t>
      </w:r>
      <w:r w:rsidR="00E67304">
        <w:rPr>
          <w:rFonts w:ascii="Times New Roman" w:hAnsi="Times New Roman"/>
          <w:sz w:val="24"/>
        </w:rPr>
        <w:t xml:space="preserve"> and the</w:t>
      </w:r>
      <w:r w:rsidR="00D76C83">
        <w:rPr>
          <w:rFonts w:ascii="Times New Roman" w:hAnsi="Times New Roman"/>
          <w:sz w:val="24"/>
        </w:rPr>
        <w:t xml:space="preserve"> narrative did not add any reasons.</w:t>
      </w:r>
      <w:r w:rsidR="00CB5A83">
        <w:rPr>
          <w:rFonts w:ascii="Times New Roman" w:hAnsi="Times New Roman"/>
          <w:sz w:val="24"/>
        </w:rPr>
        <w:t xml:space="preserve"> </w:t>
      </w:r>
      <w:r w:rsidR="00D76C83">
        <w:rPr>
          <w:rFonts w:ascii="Times New Roman" w:hAnsi="Times New Roman"/>
          <w:sz w:val="24"/>
        </w:rPr>
        <w:t xml:space="preserve"> Thus</w:t>
      </w:r>
      <w:r w:rsidR="0082633D">
        <w:rPr>
          <w:rFonts w:ascii="Times New Roman" w:hAnsi="Times New Roman"/>
          <w:sz w:val="24"/>
        </w:rPr>
        <w:t>,</w:t>
      </w:r>
      <w:r w:rsidR="00D76C83">
        <w:rPr>
          <w:rFonts w:ascii="Times New Roman" w:hAnsi="Times New Roman"/>
          <w:sz w:val="24"/>
        </w:rPr>
        <w:t xml:space="preserve"> there</w:t>
      </w:r>
      <w:r w:rsidR="00E67304">
        <w:rPr>
          <w:rFonts w:ascii="Times New Roman" w:hAnsi="Times New Roman"/>
          <w:sz w:val="24"/>
        </w:rPr>
        <w:t xml:space="preserve"> was no</w:t>
      </w:r>
      <w:r w:rsidR="006E2F1E">
        <w:rPr>
          <w:rFonts w:ascii="Times New Roman" w:hAnsi="Times New Roman"/>
          <w:sz w:val="24"/>
        </w:rPr>
        <w:t>,</w:t>
      </w:r>
      <w:r w:rsidR="00E67304">
        <w:rPr>
          <w:rFonts w:ascii="Times New Roman" w:hAnsi="Times New Roman"/>
          <w:sz w:val="24"/>
        </w:rPr>
        <w:t xml:space="preserve"> or no adequate</w:t>
      </w:r>
      <w:r w:rsidR="006E2F1E">
        <w:rPr>
          <w:rFonts w:ascii="Times New Roman" w:hAnsi="Times New Roman"/>
          <w:sz w:val="24"/>
        </w:rPr>
        <w:t>,</w:t>
      </w:r>
      <w:r w:rsidR="00E67304">
        <w:rPr>
          <w:rFonts w:ascii="Times New Roman" w:hAnsi="Times New Roman"/>
          <w:sz w:val="24"/>
        </w:rPr>
        <w:t xml:space="preserve"> explanation why the preferred option was preferred to the reasonable alternatives</w:t>
      </w:r>
      <w:r w:rsidR="00CB5A83">
        <w:rPr>
          <w:rFonts w:ascii="Times New Roman" w:hAnsi="Times New Roman"/>
          <w:sz w:val="24"/>
        </w:rPr>
        <w:t>,</w:t>
      </w:r>
      <w:r w:rsidR="00D76C83">
        <w:rPr>
          <w:rFonts w:ascii="Times New Roman" w:hAnsi="Times New Roman"/>
          <w:sz w:val="24"/>
        </w:rPr>
        <w:t xml:space="preserve"> as required by the </w:t>
      </w:r>
      <w:r w:rsidR="006E2F1E">
        <w:rPr>
          <w:rFonts w:ascii="Times New Roman" w:hAnsi="Times New Roman"/>
          <w:sz w:val="24"/>
        </w:rPr>
        <w:t xml:space="preserve">SEA </w:t>
      </w:r>
      <w:r w:rsidR="00D76C83">
        <w:rPr>
          <w:rFonts w:ascii="Times New Roman" w:hAnsi="Times New Roman"/>
          <w:sz w:val="24"/>
        </w:rPr>
        <w:t>Directive</w:t>
      </w:r>
      <w:r w:rsidR="00E67304">
        <w:rPr>
          <w:rFonts w:ascii="Times New Roman" w:hAnsi="Times New Roman"/>
          <w:sz w:val="24"/>
        </w:rPr>
        <w:t>.</w:t>
      </w:r>
    </w:p>
    <w:p w14:paraId="609CDA3E" w14:textId="58BFD43E" w:rsidR="0082633D" w:rsidRPr="0082633D" w:rsidRDefault="00E67304" w:rsidP="005445D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assessment of the alternatives </w:t>
      </w:r>
      <w:r w:rsidR="00847912">
        <w:rPr>
          <w:rFonts w:ascii="Times New Roman" w:hAnsi="Times New Roman"/>
          <w:sz w:val="24"/>
        </w:rPr>
        <w:t>is quintessentially a matter for the discretion of the decision maker</w:t>
      </w:r>
      <w:r w:rsidR="00F14063">
        <w:rPr>
          <w:rFonts w:ascii="Times New Roman" w:hAnsi="Times New Roman"/>
          <w:sz w:val="24"/>
        </w:rPr>
        <w:t xml:space="preserve">. </w:t>
      </w:r>
      <w:r w:rsidR="00CB5A83">
        <w:rPr>
          <w:rFonts w:ascii="Times New Roman" w:hAnsi="Times New Roman"/>
          <w:sz w:val="24"/>
        </w:rPr>
        <w:t xml:space="preserve"> </w:t>
      </w:r>
      <w:r w:rsidR="00D76C83">
        <w:rPr>
          <w:rFonts w:ascii="Times New Roman" w:hAnsi="Times New Roman"/>
          <w:sz w:val="24"/>
        </w:rPr>
        <w:t>The court will not interfere with a planning judgment reached by a plan making authority weighing</w:t>
      </w:r>
      <w:r w:rsidR="00CB5A83">
        <w:rPr>
          <w:rFonts w:ascii="Times New Roman" w:hAnsi="Times New Roman"/>
          <w:sz w:val="24"/>
        </w:rPr>
        <w:t>-</w:t>
      </w:r>
      <w:r w:rsidR="00D76C83">
        <w:rPr>
          <w:rFonts w:ascii="Times New Roman" w:hAnsi="Times New Roman"/>
          <w:sz w:val="24"/>
        </w:rPr>
        <w:t>up often competing</w:t>
      </w:r>
      <w:r w:rsidR="00CB5A83">
        <w:rPr>
          <w:rFonts w:ascii="Times New Roman" w:hAnsi="Times New Roman"/>
          <w:sz w:val="24"/>
        </w:rPr>
        <w:t>,</w:t>
      </w:r>
      <w:r w:rsidR="00D76C83">
        <w:rPr>
          <w:rFonts w:ascii="Times New Roman" w:hAnsi="Times New Roman"/>
          <w:sz w:val="24"/>
        </w:rPr>
        <w:t xml:space="preserve"> and possibly conflicting</w:t>
      </w:r>
      <w:r w:rsidR="00CB5A83">
        <w:rPr>
          <w:rFonts w:ascii="Times New Roman" w:hAnsi="Times New Roman"/>
          <w:sz w:val="24"/>
        </w:rPr>
        <w:t>,</w:t>
      </w:r>
      <w:r w:rsidR="00D76C83">
        <w:rPr>
          <w:rFonts w:ascii="Times New Roman" w:hAnsi="Times New Roman"/>
          <w:sz w:val="24"/>
        </w:rPr>
        <w:t xml:space="preserve"> objectives, once it is shown that the authority</w:t>
      </w:r>
      <w:r w:rsidR="0082633D">
        <w:rPr>
          <w:rFonts w:ascii="Times New Roman" w:hAnsi="Times New Roman"/>
          <w:sz w:val="24"/>
        </w:rPr>
        <w:t xml:space="preserve"> considered the matters to which it is required to have regard</w:t>
      </w:r>
      <w:r w:rsidR="00CB5A83">
        <w:rPr>
          <w:rFonts w:ascii="Times New Roman" w:hAnsi="Times New Roman"/>
          <w:sz w:val="24"/>
        </w:rPr>
        <w:t>,</w:t>
      </w:r>
      <w:r w:rsidR="0082633D">
        <w:rPr>
          <w:rFonts w:ascii="Times New Roman" w:hAnsi="Times New Roman"/>
          <w:sz w:val="24"/>
        </w:rPr>
        <w:t xml:space="preserve"> and did not consider those to which it ought not to have regard, and gives reasons for its decision. </w:t>
      </w:r>
      <w:r w:rsidR="00F14063">
        <w:rPr>
          <w:rFonts w:ascii="Times New Roman" w:hAnsi="Times New Roman"/>
          <w:sz w:val="24"/>
        </w:rPr>
        <w:t xml:space="preserve"> This </w:t>
      </w:r>
      <w:r w:rsidR="00D76C83">
        <w:rPr>
          <w:rFonts w:ascii="Times New Roman" w:hAnsi="Times New Roman"/>
          <w:sz w:val="24"/>
        </w:rPr>
        <w:t xml:space="preserve">limitation </w:t>
      </w:r>
      <w:r w:rsidR="00F14063">
        <w:rPr>
          <w:rFonts w:ascii="Times New Roman" w:hAnsi="Times New Roman"/>
          <w:sz w:val="24"/>
        </w:rPr>
        <w:t>is well</w:t>
      </w:r>
      <w:r w:rsidR="00CB5A83">
        <w:rPr>
          <w:rFonts w:ascii="Times New Roman" w:hAnsi="Times New Roman"/>
          <w:sz w:val="24"/>
        </w:rPr>
        <w:t>-</w:t>
      </w:r>
      <w:r w:rsidR="00F14063">
        <w:rPr>
          <w:rFonts w:ascii="Times New Roman" w:hAnsi="Times New Roman"/>
          <w:sz w:val="24"/>
        </w:rPr>
        <w:t xml:space="preserve">established in decisions of the High Court such as </w:t>
      </w:r>
      <w:r w:rsidR="00F14063">
        <w:rPr>
          <w:rFonts w:ascii="Times New Roman" w:hAnsi="Times New Roman"/>
          <w:i/>
          <w:sz w:val="24"/>
        </w:rPr>
        <w:t xml:space="preserve">Kenny </w:t>
      </w:r>
      <w:r w:rsidR="00F14063">
        <w:rPr>
          <w:rFonts w:ascii="Times New Roman" w:hAnsi="Times New Roman"/>
          <w:i/>
          <w:sz w:val="24"/>
        </w:rPr>
        <w:lastRenderedPageBreak/>
        <w:t xml:space="preserve">v. An Bord Pleanála (No. 1) </w:t>
      </w:r>
      <w:r w:rsidR="00F14063">
        <w:rPr>
          <w:rFonts w:ascii="Times New Roman" w:hAnsi="Times New Roman"/>
          <w:sz w:val="24"/>
        </w:rPr>
        <w:t>[2001] 1 I</w:t>
      </w:r>
      <w:r w:rsidR="00CB5A83">
        <w:rPr>
          <w:rFonts w:ascii="Times New Roman" w:hAnsi="Times New Roman"/>
          <w:sz w:val="24"/>
        </w:rPr>
        <w:t>.</w:t>
      </w:r>
      <w:r w:rsidR="00F14063">
        <w:rPr>
          <w:rFonts w:ascii="Times New Roman" w:hAnsi="Times New Roman"/>
          <w:sz w:val="24"/>
        </w:rPr>
        <w:t>R</w:t>
      </w:r>
      <w:r w:rsidR="00CB5A83">
        <w:rPr>
          <w:rFonts w:ascii="Times New Roman" w:hAnsi="Times New Roman"/>
          <w:sz w:val="24"/>
        </w:rPr>
        <w:t>.</w:t>
      </w:r>
      <w:r w:rsidR="00F14063">
        <w:rPr>
          <w:rFonts w:ascii="Times New Roman" w:hAnsi="Times New Roman"/>
          <w:sz w:val="24"/>
        </w:rPr>
        <w:t xml:space="preserve"> 565 (McKechnie J. at para. 19), </w:t>
      </w:r>
      <w:proofErr w:type="spellStart"/>
      <w:r w:rsidR="001177EF" w:rsidRPr="001177EF">
        <w:rPr>
          <w:rFonts w:ascii="Times New Roman" w:hAnsi="Times New Roman"/>
          <w:i/>
          <w:sz w:val="24"/>
        </w:rPr>
        <w:t>Ratheniska</w:t>
      </w:r>
      <w:proofErr w:type="spellEnd"/>
      <w:r w:rsidR="001177EF" w:rsidRPr="001177EF">
        <w:rPr>
          <w:rFonts w:ascii="Times New Roman" w:hAnsi="Times New Roman"/>
          <w:i/>
          <w:sz w:val="24"/>
        </w:rPr>
        <w:t xml:space="preserve"> </w:t>
      </w:r>
      <w:proofErr w:type="spellStart"/>
      <w:r w:rsidR="001177EF" w:rsidRPr="001177EF">
        <w:rPr>
          <w:rFonts w:ascii="Times New Roman" w:hAnsi="Times New Roman"/>
          <w:i/>
          <w:sz w:val="24"/>
        </w:rPr>
        <w:t>Timahoe</w:t>
      </w:r>
      <w:proofErr w:type="spellEnd"/>
      <w:r w:rsidR="001177EF" w:rsidRPr="001177EF">
        <w:rPr>
          <w:rFonts w:ascii="Times New Roman" w:hAnsi="Times New Roman"/>
          <w:i/>
          <w:sz w:val="24"/>
        </w:rPr>
        <w:t xml:space="preserve"> </w:t>
      </w:r>
      <w:r>
        <w:rPr>
          <w:rFonts w:ascii="Times New Roman" w:hAnsi="Times New Roman"/>
          <w:i/>
          <w:sz w:val="24"/>
        </w:rPr>
        <w:t>a</w:t>
      </w:r>
      <w:r w:rsidR="001177EF" w:rsidRPr="001177EF">
        <w:rPr>
          <w:rFonts w:ascii="Times New Roman" w:hAnsi="Times New Roman"/>
          <w:i/>
          <w:sz w:val="24"/>
        </w:rPr>
        <w:t xml:space="preserve">nd </w:t>
      </w:r>
      <w:proofErr w:type="spellStart"/>
      <w:r w:rsidR="001177EF" w:rsidRPr="001177EF">
        <w:rPr>
          <w:rFonts w:ascii="Times New Roman" w:hAnsi="Times New Roman"/>
          <w:i/>
          <w:sz w:val="24"/>
        </w:rPr>
        <w:t>Spink</w:t>
      </w:r>
      <w:proofErr w:type="spellEnd"/>
      <w:r w:rsidR="001177EF" w:rsidRPr="001177EF">
        <w:rPr>
          <w:rFonts w:ascii="Times New Roman" w:hAnsi="Times New Roman"/>
          <w:i/>
          <w:sz w:val="24"/>
        </w:rPr>
        <w:t xml:space="preserve"> (R</w:t>
      </w:r>
      <w:r w:rsidR="00B97AE8">
        <w:rPr>
          <w:rFonts w:ascii="Times New Roman" w:hAnsi="Times New Roman"/>
          <w:i/>
          <w:sz w:val="24"/>
        </w:rPr>
        <w:t>TS</w:t>
      </w:r>
      <w:r w:rsidR="001177EF" w:rsidRPr="001177EF">
        <w:rPr>
          <w:rFonts w:ascii="Times New Roman" w:hAnsi="Times New Roman"/>
          <w:i/>
          <w:sz w:val="24"/>
        </w:rPr>
        <w:t xml:space="preserve">) Substation Action Group </w:t>
      </w:r>
      <w:r w:rsidR="00147CA4">
        <w:rPr>
          <w:rFonts w:ascii="Times New Roman" w:hAnsi="Times New Roman"/>
          <w:i/>
          <w:sz w:val="24"/>
        </w:rPr>
        <w:t>&amp; Anor.  v. An Bord Pleanála</w:t>
      </w:r>
      <w:r w:rsidR="001177EF">
        <w:rPr>
          <w:rFonts w:ascii="Times New Roman" w:hAnsi="Times New Roman"/>
          <w:i/>
          <w:sz w:val="24"/>
        </w:rPr>
        <w:t xml:space="preserve"> </w:t>
      </w:r>
      <w:r w:rsidR="00F14063">
        <w:rPr>
          <w:rFonts w:ascii="Times New Roman" w:hAnsi="Times New Roman"/>
          <w:sz w:val="24"/>
        </w:rPr>
        <w:t xml:space="preserve">[2015] IEHC 18 (Haughton J. at paras. 73-76), </w:t>
      </w:r>
      <w:proofErr w:type="spellStart"/>
      <w:r w:rsidR="00F14063">
        <w:rPr>
          <w:rFonts w:ascii="Times New Roman" w:hAnsi="Times New Roman"/>
          <w:i/>
          <w:sz w:val="24"/>
        </w:rPr>
        <w:t>Aherne</w:t>
      </w:r>
      <w:proofErr w:type="spellEnd"/>
      <w:r w:rsidR="00F14063">
        <w:rPr>
          <w:rFonts w:ascii="Times New Roman" w:hAnsi="Times New Roman"/>
          <w:i/>
          <w:sz w:val="24"/>
        </w:rPr>
        <w:t xml:space="preserve"> v. An Bord Pleanála</w:t>
      </w:r>
      <w:r w:rsidR="00F14063">
        <w:rPr>
          <w:rFonts w:ascii="Times New Roman" w:hAnsi="Times New Roman"/>
          <w:sz w:val="24"/>
        </w:rPr>
        <w:t xml:space="preserve"> [2015] IEHC 606 (Noonan J. at para. 19-21), </w:t>
      </w:r>
      <w:r w:rsidR="00F14063">
        <w:rPr>
          <w:rFonts w:ascii="Times New Roman" w:hAnsi="Times New Roman"/>
          <w:i/>
          <w:sz w:val="24"/>
        </w:rPr>
        <w:t>Kelly v.</w:t>
      </w:r>
      <w:r w:rsidR="001177EF">
        <w:rPr>
          <w:rFonts w:ascii="Times New Roman" w:hAnsi="Times New Roman"/>
          <w:i/>
          <w:sz w:val="24"/>
        </w:rPr>
        <w:t xml:space="preserve"> An Bord Pleanála </w:t>
      </w:r>
      <w:r w:rsidR="001177EF">
        <w:rPr>
          <w:rFonts w:ascii="Times New Roman" w:hAnsi="Times New Roman"/>
          <w:sz w:val="24"/>
        </w:rPr>
        <w:t xml:space="preserve">[2019] IEHC 84 (Barniville J. at paras. 109, 110 and 166) and </w:t>
      </w:r>
      <w:r w:rsidR="001177EF">
        <w:rPr>
          <w:rFonts w:ascii="Times New Roman" w:hAnsi="Times New Roman"/>
          <w:i/>
          <w:sz w:val="24"/>
        </w:rPr>
        <w:t xml:space="preserve">M28 Steering Group v. </w:t>
      </w:r>
      <w:r w:rsidR="001177EF" w:rsidRPr="001177EF">
        <w:rPr>
          <w:rFonts w:ascii="Times New Roman" w:hAnsi="Times New Roman"/>
          <w:i/>
          <w:sz w:val="24"/>
        </w:rPr>
        <w:t>An Bord Pleanála</w:t>
      </w:r>
      <w:r w:rsidR="00F14063" w:rsidRPr="001177EF">
        <w:rPr>
          <w:rFonts w:ascii="Times New Roman" w:hAnsi="Times New Roman"/>
          <w:i/>
          <w:sz w:val="24"/>
        </w:rPr>
        <w:t xml:space="preserve"> </w:t>
      </w:r>
      <w:r w:rsidR="001177EF">
        <w:rPr>
          <w:rFonts w:ascii="Times New Roman" w:hAnsi="Times New Roman"/>
          <w:sz w:val="24"/>
        </w:rPr>
        <w:t xml:space="preserve">[2019] </w:t>
      </w:r>
      <w:r w:rsidR="00147CA4">
        <w:rPr>
          <w:rFonts w:ascii="Times New Roman" w:hAnsi="Times New Roman"/>
          <w:sz w:val="24"/>
        </w:rPr>
        <w:t xml:space="preserve">IEHC </w:t>
      </w:r>
      <w:r w:rsidR="001177EF">
        <w:rPr>
          <w:rFonts w:ascii="Times New Roman" w:hAnsi="Times New Roman"/>
          <w:sz w:val="24"/>
        </w:rPr>
        <w:t>929 (</w:t>
      </w:r>
      <w:proofErr w:type="spellStart"/>
      <w:r w:rsidR="001177EF">
        <w:rPr>
          <w:rFonts w:ascii="Times New Roman" w:hAnsi="Times New Roman"/>
          <w:sz w:val="24"/>
        </w:rPr>
        <w:t>M</w:t>
      </w:r>
      <w:r w:rsidR="00FE61C5">
        <w:rPr>
          <w:rFonts w:ascii="Times New Roman" w:hAnsi="Times New Roman"/>
          <w:sz w:val="24"/>
        </w:rPr>
        <w:t>a</w:t>
      </w:r>
      <w:r w:rsidR="001177EF">
        <w:rPr>
          <w:rFonts w:ascii="Times New Roman" w:hAnsi="Times New Roman"/>
          <w:sz w:val="24"/>
        </w:rPr>
        <w:t>cGrath</w:t>
      </w:r>
      <w:proofErr w:type="spellEnd"/>
      <w:r w:rsidR="001177EF">
        <w:rPr>
          <w:rFonts w:ascii="Times New Roman" w:hAnsi="Times New Roman"/>
          <w:sz w:val="24"/>
        </w:rPr>
        <w:t xml:space="preserve"> J. at para. 177).</w:t>
      </w:r>
      <w:r w:rsidR="00F14063">
        <w:rPr>
          <w:rFonts w:ascii="Times New Roman" w:hAnsi="Times New Roman"/>
          <w:i/>
          <w:sz w:val="24"/>
        </w:rPr>
        <w:t xml:space="preserve"> </w:t>
      </w:r>
    </w:p>
    <w:p w14:paraId="7C6D7980" w14:textId="37235800" w:rsidR="005445DB" w:rsidRDefault="0082633D" w:rsidP="005445D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Furthermore, as discussed in the context of the Habitats Directive, the court must look at the substance of whether there has been compliance with the requirements of the SEA Directive and not engage in an excessively formalistic approach to the obligations imposed. </w:t>
      </w:r>
      <w:r w:rsidR="00FE61C5">
        <w:rPr>
          <w:rFonts w:ascii="Times New Roman" w:hAnsi="Times New Roman"/>
          <w:sz w:val="24"/>
        </w:rPr>
        <w:t xml:space="preserve"> </w:t>
      </w:r>
      <w:r>
        <w:rPr>
          <w:rFonts w:ascii="Times New Roman" w:hAnsi="Times New Roman"/>
          <w:sz w:val="24"/>
        </w:rPr>
        <w:t xml:space="preserve">The observations of McGovern J. in </w:t>
      </w:r>
      <w:proofErr w:type="spellStart"/>
      <w:r w:rsidR="00FE61C5">
        <w:rPr>
          <w:rFonts w:ascii="Times New Roman" w:hAnsi="Times New Roman" w:cs="Times New Roman"/>
          <w:i/>
          <w:sz w:val="24"/>
        </w:rPr>
        <w:t>Ó</w:t>
      </w:r>
      <w:r w:rsidRPr="0082633D">
        <w:rPr>
          <w:rFonts w:ascii="Times New Roman" w:hAnsi="Times New Roman"/>
          <w:i/>
          <w:sz w:val="24"/>
        </w:rPr>
        <w:t>’G</w:t>
      </w:r>
      <w:r w:rsidR="0023273C">
        <w:rPr>
          <w:rFonts w:ascii="Times New Roman" w:hAnsi="Times New Roman"/>
          <w:i/>
          <w:sz w:val="24"/>
        </w:rPr>
        <w:t>r</w:t>
      </w:r>
      <w:r w:rsidR="00FE61C5">
        <w:rPr>
          <w:rFonts w:ascii="Times New Roman" w:hAnsi="Times New Roman" w:cs="Times New Roman"/>
          <w:i/>
          <w:sz w:val="24"/>
        </w:rPr>
        <w:t>í</w:t>
      </w:r>
      <w:r w:rsidRPr="0082633D">
        <w:rPr>
          <w:rFonts w:ascii="Times New Roman" w:hAnsi="Times New Roman"/>
          <w:i/>
          <w:sz w:val="24"/>
        </w:rPr>
        <w:t>anna</w:t>
      </w:r>
      <w:proofErr w:type="spellEnd"/>
      <w:r>
        <w:rPr>
          <w:rFonts w:ascii="Times New Roman" w:hAnsi="Times New Roman"/>
          <w:sz w:val="24"/>
        </w:rPr>
        <w:t xml:space="preserve"> in the context of the EIA Directive apply with equal force to the SEA Directive. </w:t>
      </w:r>
      <w:r w:rsidR="00FE61C5">
        <w:rPr>
          <w:rFonts w:ascii="Times New Roman" w:hAnsi="Times New Roman"/>
          <w:sz w:val="24"/>
        </w:rPr>
        <w:t xml:space="preserve"> </w:t>
      </w:r>
      <w:r w:rsidRPr="0082633D">
        <w:rPr>
          <w:rFonts w:ascii="Times New Roman" w:hAnsi="Times New Roman"/>
          <w:sz w:val="24"/>
        </w:rPr>
        <w:t xml:space="preserve">The </w:t>
      </w:r>
      <w:r>
        <w:rPr>
          <w:rFonts w:ascii="Times New Roman" w:hAnsi="Times New Roman"/>
          <w:sz w:val="24"/>
        </w:rPr>
        <w:t>applicant’s argument that the SEA Environmental Report does not give reasons as required by the SEA Directive must be assessed in light of these principles.</w:t>
      </w:r>
      <w:r w:rsidR="00F14063">
        <w:rPr>
          <w:rFonts w:ascii="Times New Roman" w:hAnsi="Times New Roman"/>
          <w:i/>
          <w:sz w:val="24"/>
        </w:rPr>
        <w:t xml:space="preserve"> </w:t>
      </w:r>
      <w:r w:rsidR="00F14063">
        <w:rPr>
          <w:rFonts w:ascii="Times New Roman" w:hAnsi="Times New Roman"/>
          <w:sz w:val="24"/>
        </w:rPr>
        <w:t xml:space="preserve">  </w:t>
      </w:r>
      <w:r w:rsidR="00847912">
        <w:rPr>
          <w:rFonts w:ascii="Times New Roman" w:hAnsi="Times New Roman"/>
          <w:sz w:val="24"/>
        </w:rPr>
        <w:t xml:space="preserve"> </w:t>
      </w:r>
      <w:r w:rsidR="00C15771">
        <w:rPr>
          <w:rFonts w:ascii="Times New Roman" w:hAnsi="Times New Roman"/>
          <w:sz w:val="24"/>
        </w:rPr>
        <w:t xml:space="preserve"> </w:t>
      </w:r>
    </w:p>
    <w:p w14:paraId="0EDB22CE" w14:textId="61F3BE22" w:rsidR="00C15771" w:rsidRDefault="0082633D" w:rsidP="005445D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my judgment</w:t>
      </w:r>
      <w:r w:rsidR="00FE61C5">
        <w:rPr>
          <w:rFonts w:ascii="Times New Roman" w:hAnsi="Times New Roman"/>
          <w:sz w:val="24"/>
        </w:rPr>
        <w:t>,</w:t>
      </w:r>
      <w:r>
        <w:rPr>
          <w:rFonts w:ascii="Times New Roman" w:hAnsi="Times New Roman"/>
          <w:sz w:val="24"/>
        </w:rPr>
        <w:t xml:space="preserve"> t</w:t>
      </w:r>
      <w:r w:rsidR="00B97AE8">
        <w:rPr>
          <w:rFonts w:ascii="Times New Roman" w:hAnsi="Times New Roman"/>
          <w:sz w:val="24"/>
        </w:rPr>
        <w:t>he trial judge held correctly that one must not read the matri</w:t>
      </w:r>
      <w:r w:rsidR="00D76C83">
        <w:rPr>
          <w:rFonts w:ascii="Times New Roman" w:hAnsi="Times New Roman"/>
          <w:sz w:val="24"/>
        </w:rPr>
        <w:t>c</w:t>
      </w:r>
      <w:r w:rsidR="00B97AE8">
        <w:rPr>
          <w:rFonts w:ascii="Times New Roman" w:hAnsi="Times New Roman"/>
          <w:sz w:val="24"/>
        </w:rPr>
        <w:t xml:space="preserve">es in isolation but in conjunction with the accompanying narrative text.  He held that </w:t>
      </w:r>
      <w:r w:rsidR="00B97AE8">
        <w:rPr>
          <w:rFonts w:ascii="Times New Roman" w:hAnsi="Times New Roman"/>
          <w:i/>
          <w:sz w:val="24"/>
        </w:rPr>
        <w:t>“a reasonable and comprehensive assessment that is understand</w:t>
      </w:r>
      <w:r w:rsidR="00E67304">
        <w:rPr>
          <w:rFonts w:ascii="Times New Roman" w:hAnsi="Times New Roman"/>
          <w:i/>
          <w:sz w:val="24"/>
        </w:rPr>
        <w:t>able</w:t>
      </w:r>
      <w:r w:rsidR="00B97AE8">
        <w:rPr>
          <w:rFonts w:ascii="Times New Roman" w:hAnsi="Times New Roman"/>
          <w:i/>
          <w:sz w:val="24"/>
        </w:rPr>
        <w:t xml:space="preserve"> and logical of each of the reasonable alternatives” </w:t>
      </w:r>
      <w:r w:rsidR="00B97AE8">
        <w:rPr>
          <w:rFonts w:ascii="Times New Roman" w:hAnsi="Times New Roman"/>
          <w:sz w:val="24"/>
        </w:rPr>
        <w:t>is to be found.  The respondents say that the Environmental Report ought to be properly read as a whole and, when so read, it clearly outlines the process that led to the selection of the option ultimately</w:t>
      </w:r>
      <w:r w:rsidR="00E67304">
        <w:rPr>
          <w:rFonts w:ascii="Times New Roman" w:hAnsi="Times New Roman"/>
          <w:sz w:val="24"/>
        </w:rPr>
        <w:t xml:space="preserve"> preferred</w:t>
      </w:r>
      <w:r w:rsidR="00E75B8B">
        <w:rPr>
          <w:rFonts w:ascii="Times New Roman" w:hAnsi="Times New Roman"/>
          <w:sz w:val="24"/>
        </w:rPr>
        <w:t>;</w:t>
      </w:r>
      <w:r w:rsidR="00E67304">
        <w:rPr>
          <w:rFonts w:ascii="Times New Roman" w:hAnsi="Times New Roman"/>
          <w:sz w:val="24"/>
        </w:rPr>
        <w:t xml:space="preserve"> and it</w:t>
      </w:r>
      <w:r w:rsidR="00B97AE8">
        <w:rPr>
          <w:rFonts w:ascii="Times New Roman" w:hAnsi="Times New Roman"/>
          <w:sz w:val="24"/>
        </w:rPr>
        <w:t xml:space="preserve"> identifie</w:t>
      </w:r>
      <w:r w:rsidR="00E67304">
        <w:rPr>
          <w:rFonts w:ascii="Times New Roman" w:hAnsi="Times New Roman"/>
          <w:sz w:val="24"/>
        </w:rPr>
        <w:t>s</w:t>
      </w:r>
      <w:r w:rsidR="00B97AE8">
        <w:rPr>
          <w:rFonts w:ascii="Times New Roman" w:hAnsi="Times New Roman"/>
          <w:sz w:val="24"/>
        </w:rPr>
        <w:t xml:space="preserve">, </w:t>
      </w:r>
      <w:r w:rsidR="00E67304">
        <w:rPr>
          <w:rFonts w:ascii="Times New Roman" w:hAnsi="Times New Roman"/>
          <w:sz w:val="24"/>
        </w:rPr>
        <w:t>describ</w:t>
      </w:r>
      <w:r w:rsidR="00B97AE8">
        <w:rPr>
          <w:rFonts w:ascii="Times New Roman" w:hAnsi="Times New Roman"/>
          <w:sz w:val="24"/>
        </w:rPr>
        <w:t>e</w:t>
      </w:r>
      <w:r w:rsidR="00E67304">
        <w:rPr>
          <w:rFonts w:ascii="Times New Roman" w:hAnsi="Times New Roman"/>
          <w:sz w:val="24"/>
        </w:rPr>
        <w:t>s</w:t>
      </w:r>
      <w:r w:rsidR="00B97AE8">
        <w:rPr>
          <w:rFonts w:ascii="Times New Roman" w:hAnsi="Times New Roman"/>
          <w:sz w:val="24"/>
        </w:rPr>
        <w:t xml:space="preserve"> and evaluates the reasonable alternatives and explains why the chosen option was preferred.</w:t>
      </w:r>
      <w:r w:rsidR="00FE02F3">
        <w:rPr>
          <w:rFonts w:ascii="Times New Roman" w:hAnsi="Times New Roman"/>
          <w:sz w:val="24"/>
        </w:rPr>
        <w:t xml:space="preserve"> </w:t>
      </w:r>
      <w:r w:rsidR="00FE61C5">
        <w:rPr>
          <w:rFonts w:ascii="Times New Roman" w:hAnsi="Times New Roman"/>
          <w:sz w:val="24"/>
        </w:rPr>
        <w:t xml:space="preserve"> </w:t>
      </w:r>
      <w:r w:rsidR="00FE02F3">
        <w:rPr>
          <w:rFonts w:ascii="Times New Roman" w:hAnsi="Times New Roman"/>
          <w:sz w:val="24"/>
        </w:rPr>
        <w:t xml:space="preserve">I entirely agree. </w:t>
      </w:r>
      <w:r w:rsidR="00FE61C5">
        <w:rPr>
          <w:rFonts w:ascii="Times New Roman" w:hAnsi="Times New Roman"/>
          <w:sz w:val="24"/>
        </w:rPr>
        <w:t xml:space="preserve"> </w:t>
      </w:r>
      <w:r w:rsidR="00FE02F3">
        <w:rPr>
          <w:rFonts w:ascii="Times New Roman" w:hAnsi="Times New Roman"/>
          <w:sz w:val="24"/>
        </w:rPr>
        <w:t xml:space="preserve">The focus of the applicant is far too narrow. </w:t>
      </w:r>
      <w:r w:rsidR="00FE61C5">
        <w:rPr>
          <w:rFonts w:ascii="Times New Roman" w:hAnsi="Times New Roman"/>
          <w:sz w:val="24"/>
        </w:rPr>
        <w:t xml:space="preserve"> </w:t>
      </w:r>
      <w:r w:rsidR="00FE02F3">
        <w:rPr>
          <w:rFonts w:ascii="Times New Roman" w:hAnsi="Times New Roman"/>
          <w:sz w:val="24"/>
        </w:rPr>
        <w:t xml:space="preserve">It ignores the pages I discussed above in Chapters </w:t>
      </w:r>
      <w:r w:rsidR="00963F60">
        <w:rPr>
          <w:rFonts w:ascii="Times New Roman" w:hAnsi="Times New Roman"/>
          <w:sz w:val="24"/>
        </w:rPr>
        <w:t>3</w:t>
      </w:r>
      <w:r w:rsidR="00FE02F3">
        <w:rPr>
          <w:rFonts w:ascii="Times New Roman" w:hAnsi="Times New Roman"/>
          <w:sz w:val="24"/>
        </w:rPr>
        <w:t xml:space="preserve"> and 6</w:t>
      </w:r>
      <w:r w:rsidR="00FE61C5">
        <w:rPr>
          <w:rFonts w:ascii="Times New Roman" w:hAnsi="Times New Roman"/>
          <w:sz w:val="24"/>
        </w:rPr>
        <w:t>,</w:t>
      </w:r>
      <w:r w:rsidR="00FE02F3">
        <w:rPr>
          <w:rFonts w:ascii="Times New Roman" w:hAnsi="Times New Roman"/>
          <w:sz w:val="24"/>
        </w:rPr>
        <w:t xml:space="preserve"> as well as the first part of Chapter 7 of the report.</w:t>
      </w:r>
      <w:r w:rsidR="00FE61C5">
        <w:rPr>
          <w:rFonts w:ascii="Times New Roman" w:hAnsi="Times New Roman"/>
          <w:sz w:val="24"/>
        </w:rPr>
        <w:t xml:space="preserve"> </w:t>
      </w:r>
      <w:r w:rsidR="00FE02F3">
        <w:rPr>
          <w:rFonts w:ascii="Times New Roman" w:hAnsi="Times New Roman"/>
          <w:sz w:val="24"/>
        </w:rPr>
        <w:t xml:space="preserve"> These make clear the analysis and the reasons for approaching the formulation of the plan in the manner selected.</w:t>
      </w:r>
    </w:p>
    <w:p w14:paraId="07D303B1" w14:textId="38424070" w:rsidR="00963F60" w:rsidRPr="00963F60" w:rsidRDefault="00B97AE8" w:rsidP="005445DB">
      <w:pPr>
        <w:pStyle w:val="ListParagraph"/>
        <w:numPr>
          <w:ilvl w:val="0"/>
          <w:numId w:val="1"/>
        </w:numPr>
        <w:tabs>
          <w:tab w:val="left" w:pos="567"/>
        </w:tabs>
        <w:spacing w:line="480" w:lineRule="auto"/>
        <w:ind w:left="0" w:firstLine="0"/>
        <w:jc w:val="left"/>
        <w:rPr>
          <w:rFonts w:ascii="Times New Roman" w:hAnsi="Times New Roman"/>
          <w:b/>
          <w:sz w:val="24"/>
        </w:rPr>
      </w:pPr>
      <w:r>
        <w:rPr>
          <w:rFonts w:ascii="Times New Roman" w:hAnsi="Times New Roman"/>
          <w:sz w:val="24"/>
        </w:rPr>
        <w:lastRenderedPageBreak/>
        <w:t>The fact that different options may achieve the same assessment in respect of the strategic environmental objectives identified in the matri</w:t>
      </w:r>
      <w:r w:rsidR="00E67304">
        <w:rPr>
          <w:rFonts w:ascii="Times New Roman" w:hAnsi="Times New Roman"/>
          <w:sz w:val="24"/>
        </w:rPr>
        <w:t>c</w:t>
      </w:r>
      <w:r>
        <w:rPr>
          <w:rFonts w:ascii="Times New Roman" w:hAnsi="Times New Roman"/>
          <w:sz w:val="24"/>
        </w:rPr>
        <w:t>es does not mean that there has been a failure to identify, describe or evaluate the effects of each of the reasonable alternatives.  It is equally possible to conclude that, in respect of such a high</w:t>
      </w:r>
      <w:r w:rsidR="00CD08CE">
        <w:rPr>
          <w:rFonts w:ascii="Times New Roman" w:hAnsi="Times New Roman"/>
          <w:sz w:val="24"/>
        </w:rPr>
        <w:t>-</w:t>
      </w:r>
      <w:r>
        <w:rPr>
          <w:rFonts w:ascii="Times New Roman" w:hAnsi="Times New Roman"/>
          <w:sz w:val="24"/>
        </w:rPr>
        <w:t xml:space="preserve">level plan, the outcomes </w:t>
      </w:r>
      <w:r w:rsidR="00963F60">
        <w:rPr>
          <w:rFonts w:ascii="Times New Roman" w:hAnsi="Times New Roman"/>
          <w:sz w:val="24"/>
        </w:rPr>
        <w:t>will be</w:t>
      </w:r>
      <w:r>
        <w:rPr>
          <w:rFonts w:ascii="Times New Roman" w:hAnsi="Times New Roman"/>
          <w:sz w:val="24"/>
        </w:rPr>
        <w:t xml:space="preserve"> the same</w:t>
      </w:r>
      <w:r w:rsidR="00963F60">
        <w:rPr>
          <w:rFonts w:ascii="Times New Roman" w:hAnsi="Times New Roman"/>
          <w:sz w:val="24"/>
        </w:rPr>
        <w:t xml:space="preserve"> in respect of similar options</w:t>
      </w:r>
      <w:r>
        <w:rPr>
          <w:rFonts w:ascii="Times New Roman" w:hAnsi="Times New Roman"/>
          <w:sz w:val="24"/>
        </w:rPr>
        <w:t>.  It follows that th</w:t>
      </w:r>
      <w:r w:rsidR="00E67304">
        <w:rPr>
          <w:rFonts w:ascii="Times New Roman" w:hAnsi="Times New Roman"/>
          <w:sz w:val="24"/>
        </w:rPr>
        <w:t>e fact that some of the alternatives have</w:t>
      </w:r>
      <w:r>
        <w:rPr>
          <w:rFonts w:ascii="Times New Roman" w:hAnsi="Times New Roman"/>
          <w:sz w:val="24"/>
        </w:rPr>
        <w:t xml:space="preserve"> </w:t>
      </w:r>
      <w:r w:rsidR="00E67304">
        <w:rPr>
          <w:rFonts w:ascii="Times New Roman" w:hAnsi="Times New Roman"/>
          <w:sz w:val="24"/>
        </w:rPr>
        <w:t>the same projected effects on the environment</w:t>
      </w:r>
      <w:r w:rsidR="00C57213">
        <w:rPr>
          <w:rFonts w:ascii="Times New Roman" w:hAnsi="Times New Roman"/>
          <w:sz w:val="24"/>
        </w:rPr>
        <w:t>,</w:t>
      </w:r>
      <w:r w:rsidR="00E67304">
        <w:rPr>
          <w:rFonts w:ascii="Times New Roman" w:hAnsi="Times New Roman"/>
          <w:sz w:val="24"/>
        </w:rPr>
        <w:t xml:space="preserve"> </w:t>
      </w:r>
      <w:r>
        <w:rPr>
          <w:rFonts w:ascii="Times New Roman" w:hAnsi="Times New Roman"/>
          <w:sz w:val="24"/>
        </w:rPr>
        <w:t xml:space="preserve">does not </w:t>
      </w:r>
      <w:r w:rsidR="00954169">
        <w:rPr>
          <w:rFonts w:ascii="Times New Roman" w:hAnsi="Times New Roman"/>
          <w:sz w:val="24"/>
        </w:rPr>
        <w:t>lead to the conclusion</w:t>
      </w:r>
      <w:r>
        <w:rPr>
          <w:rFonts w:ascii="Times New Roman" w:hAnsi="Times New Roman"/>
          <w:sz w:val="24"/>
        </w:rPr>
        <w:t xml:space="preserve"> that the assessment is irrational or </w:t>
      </w:r>
      <w:r w:rsidR="00E67304">
        <w:rPr>
          <w:rFonts w:ascii="Times New Roman" w:hAnsi="Times New Roman"/>
          <w:sz w:val="24"/>
        </w:rPr>
        <w:t xml:space="preserve">that it </w:t>
      </w:r>
      <w:r>
        <w:rPr>
          <w:rFonts w:ascii="Times New Roman" w:hAnsi="Times New Roman"/>
          <w:sz w:val="24"/>
        </w:rPr>
        <w:t xml:space="preserve">does not meet the </w:t>
      </w:r>
      <w:r>
        <w:rPr>
          <w:rFonts w:ascii="Times New Roman" w:hAnsi="Times New Roman"/>
          <w:i/>
          <w:sz w:val="24"/>
        </w:rPr>
        <w:t xml:space="preserve">O’Keeffe </w:t>
      </w:r>
      <w:r>
        <w:rPr>
          <w:rFonts w:ascii="Times New Roman" w:hAnsi="Times New Roman"/>
          <w:sz w:val="24"/>
        </w:rPr>
        <w:t xml:space="preserve">standard of review. </w:t>
      </w:r>
      <w:r w:rsidR="00C57213">
        <w:rPr>
          <w:rFonts w:ascii="Times New Roman" w:hAnsi="Times New Roman"/>
          <w:sz w:val="24"/>
        </w:rPr>
        <w:t xml:space="preserve"> </w:t>
      </w:r>
      <w:r w:rsidR="008F4B2C">
        <w:rPr>
          <w:rFonts w:ascii="Times New Roman" w:hAnsi="Times New Roman"/>
          <w:sz w:val="24"/>
        </w:rPr>
        <w:t xml:space="preserve">The applicant’s submissions on this point do not sufficiently acknowledge </w:t>
      </w:r>
      <w:r w:rsidR="00963F60">
        <w:rPr>
          <w:rFonts w:ascii="Times New Roman" w:hAnsi="Times New Roman"/>
          <w:sz w:val="24"/>
        </w:rPr>
        <w:t>either the similarities between the alternatives or the explanation of the tables as identifying the potential positive or negative or mixed impacts of the high</w:t>
      </w:r>
      <w:r w:rsidR="00CD08CE">
        <w:rPr>
          <w:rFonts w:ascii="Times New Roman" w:hAnsi="Times New Roman"/>
          <w:sz w:val="24"/>
        </w:rPr>
        <w:t>-</w:t>
      </w:r>
      <w:r w:rsidR="00963F60">
        <w:rPr>
          <w:rFonts w:ascii="Times New Roman" w:hAnsi="Times New Roman"/>
          <w:sz w:val="24"/>
        </w:rPr>
        <w:t>level strategic options on the nine topics.</w:t>
      </w:r>
    </w:p>
    <w:p w14:paraId="45416262" w14:textId="3D82CD9F" w:rsidR="00241B47" w:rsidRDefault="00D90DDD" w:rsidP="0044781B">
      <w:pPr>
        <w:pStyle w:val="ListParagraph"/>
        <w:numPr>
          <w:ilvl w:val="0"/>
          <w:numId w:val="1"/>
        </w:numPr>
        <w:tabs>
          <w:tab w:val="left" w:pos="567"/>
        </w:tabs>
        <w:spacing w:line="480" w:lineRule="auto"/>
        <w:ind w:left="0" w:firstLine="0"/>
        <w:jc w:val="left"/>
        <w:rPr>
          <w:rFonts w:ascii="Times New Roman" w:hAnsi="Times New Roman"/>
          <w:sz w:val="24"/>
        </w:rPr>
      </w:pPr>
      <w:r w:rsidRPr="00D90DDD">
        <w:rPr>
          <w:rFonts w:ascii="Times New Roman" w:hAnsi="Times New Roman"/>
          <w:sz w:val="24"/>
        </w:rPr>
        <w:t xml:space="preserve">The </w:t>
      </w:r>
      <w:r w:rsidR="00C57213" w:rsidRPr="00D90DDD">
        <w:rPr>
          <w:rFonts w:ascii="Times New Roman" w:hAnsi="Times New Roman"/>
          <w:sz w:val="24"/>
        </w:rPr>
        <w:t>app</w:t>
      </w:r>
      <w:r w:rsidR="00C57213">
        <w:rPr>
          <w:rFonts w:ascii="Times New Roman" w:hAnsi="Times New Roman"/>
          <w:sz w:val="24"/>
        </w:rPr>
        <w:t>licant</w:t>
      </w:r>
      <w:r w:rsidR="00C57213" w:rsidRPr="00D90DDD">
        <w:rPr>
          <w:rFonts w:ascii="Times New Roman" w:hAnsi="Times New Roman"/>
          <w:sz w:val="24"/>
        </w:rPr>
        <w:t xml:space="preserve"> </w:t>
      </w:r>
      <w:r w:rsidRPr="00D90DDD">
        <w:rPr>
          <w:rFonts w:ascii="Times New Roman" w:hAnsi="Times New Roman"/>
          <w:sz w:val="24"/>
        </w:rPr>
        <w:t xml:space="preserve">complains that </w:t>
      </w:r>
      <w:r>
        <w:rPr>
          <w:rFonts w:ascii="Times New Roman" w:hAnsi="Times New Roman"/>
          <w:sz w:val="24"/>
        </w:rPr>
        <w:t>essentially the only explanation for the values +</w:t>
      </w:r>
      <w:r w:rsidR="00E75B8B">
        <w:rPr>
          <w:rFonts w:ascii="Times New Roman" w:hAnsi="Times New Roman"/>
          <w:sz w:val="24"/>
        </w:rPr>
        <w:t xml:space="preserve">, </w:t>
      </w:r>
      <w:r w:rsidR="00C57213">
        <w:rPr>
          <w:rFonts w:ascii="Times New Roman" w:hAnsi="Times New Roman"/>
          <w:sz w:val="24"/>
        </w:rPr>
        <w:t>–</w:t>
      </w:r>
      <w:r>
        <w:rPr>
          <w:rFonts w:ascii="Times New Roman" w:hAnsi="Times New Roman"/>
          <w:sz w:val="24"/>
        </w:rPr>
        <w:t xml:space="preserve"> or +/</w:t>
      </w:r>
      <w:r w:rsidR="00C57213">
        <w:rPr>
          <w:rFonts w:ascii="Times New Roman" w:hAnsi="Times New Roman"/>
          <w:sz w:val="24"/>
        </w:rPr>
        <w:t>–</w:t>
      </w:r>
      <w:r>
        <w:rPr>
          <w:rFonts w:ascii="Times New Roman" w:hAnsi="Times New Roman"/>
          <w:sz w:val="24"/>
        </w:rPr>
        <w:t xml:space="preserve"> assigned to each category is a qualitative assessment based on expert judgment.</w:t>
      </w:r>
      <w:r w:rsidR="00C57213">
        <w:rPr>
          <w:rFonts w:ascii="Times New Roman" w:hAnsi="Times New Roman"/>
          <w:sz w:val="24"/>
        </w:rPr>
        <w:t xml:space="preserve"> </w:t>
      </w:r>
      <w:r>
        <w:rPr>
          <w:rFonts w:ascii="Times New Roman" w:hAnsi="Times New Roman"/>
          <w:sz w:val="24"/>
        </w:rPr>
        <w:t xml:space="preserve"> In my view, in light of the assessment undertaken and in the context of the explanation and analysis which preceded this statement, this is permitted by the Directive</w:t>
      </w:r>
      <w:r w:rsidR="00C57213">
        <w:rPr>
          <w:rFonts w:ascii="Times New Roman" w:hAnsi="Times New Roman"/>
          <w:sz w:val="24"/>
        </w:rPr>
        <w:t>,</w:t>
      </w:r>
      <w:r>
        <w:rPr>
          <w:rFonts w:ascii="Times New Roman" w:hAnsi="Times New Roman"/>
          <w:sz w:val="24"/>
        </w:rPr>
        <w:t xml:space="preserve"> which is not prescriptive as to how the assessment is to be conducted once the reasonable alternatives are identified, described and evaluated. </w:t>
      </w:r>
      <w:r w:rsidR="00C57213">
        <w:rPr>
          <w:rFonts w:ascii="Times New Roman" w:hAnsi="Times New Roman"/>
          <w:sz w:val="24"/>
        </w:rPr>
        <w:t xml:space="preserve"> </w:t>
      </w:r>
      <w:r>
        <w:rPr>
          <w:rFonts w:ascii="Times New Roman" w:hAnsi="Times New Roman"/>
          <w:sz w:val="24"/>
        </w:rPr>
        <w:t>For the reasons I have set out</w:t>
      </w:r>
      <w:r w:rsidR="00C57213">
        <w:rPr>
          <w:rFonts w:ascii="Times New Roman" w:hAnsi="Times New Roman"/>
          <w:sz w:val="24"/>
        </w:rPr>
        <w:t>,</w:t>
      </w:r>
      <w:r>
        <w:rPr>
          <w:rFonts w:ascii="Times New Roman" w:hAnsi="Times New Roman"/>
          <w:sz w:val="24"/>
        </w:rPr>
        <w:t xml:space="preserve"> I am satisfied that this occurred in this case. </w:t>
      </w:r>
      <w:r w:rsidR="00C57213">
        <w:rPr>
          <w:rFonts w:ascii="Times New Roman" w:hAnsi="Times New Roman"/>
          <w:sz w:val="24"/>
        </w:rPr>
        <w:t xml:space="preserve"> </w:t>
      </w:r>
      <w:r>
        <w:rPr>
          <w:rFonts w:ascii="Times New Roman" w:hAnsi="Times New Roman"/>
          <w:sz w:val="24"/>
        </w:rPr>
        <w:t>Once the information that was reasonably required to conduct the assessment was provide, as it was in this case, it is not for the court to engage with a merits</w:t>
      </w:r>
      <w:r w:rsidR="00C57213">
        <w:rPr>
          <w:rFonts w:ascii="Times New Roman" w:hAnsi="Times New Roman"/>
          <w:sz w:val="24"/>
        </w:rPr>
        <w:t>-</w:t>
      </w:r>
      <w:r>
        <w:rPr>
          <w:rFonts w:ascii="Times New Roman" w:hAnsi="Times New Roman"/>
          <w:sz w:val="24"/>
        </w:rPr>
        <w:t>based assessment as to whether there ought to have been a more detailed evaluation than that actually undertaken.</w:t>
      </w:r>
    </w:p>
    <w:p w14:paraId="78683592" w14:textId="19A8A025" w:rsidR="0044781B" w:rsidRPr="0044781B" w:rsidRDefault="0044781B" w:rsidP="0044781B">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For these reasons</w:t>
      </w:r>
      <w:r w:rsidR="00C57213">
        <w:rPr>
          <w:rFonts w:ascii="Times New Roman" w:hAnsi="Times New Roman"/>
          <w:sz w:val="24"/>
        </w:rPr>
        <w:t>,</w:t>
      </w:r>
      <w:r>
        <w:rPr>
          <w:rFonts w:ascii="Times New Roman" w:hAnsi="Times New Roman"/>
          <w:sz w:val="24"/>
        </w:rPr>
        <w:t xml:space="preserve"> I would reject this second ground of appeal.</w:t>
      </w:r>
    </w:p>
    <w:p w14:paraId="15CFF0AE" w14:textId="77777777" w:rsidR="0024207A" w:rsidRDefault="0024207A" w:rsidP="005E487A">
      <w:pPr>
        <w:pStyle w:val="ListParagraph"/>
        <w:tabs>
          <w:tab w:val="left" w:pos="567"/>
        </w:tabs>
        <w:spacing w:line="276" w:lineRule="auto"/>
        <w:ind w:left="0"/>
        <w:jc w:val="left"/>
        <w:rPr>
          <w:rFonts w:ascii="Times New Roman" w:hAnsi="Times New Roman"/>
          <w:b/>
          <w:sz w:val="24"/>
          <w:u w:val="single"/>
        </w:rPr>
      </w:pPr>
    </w:p>
    <w:p w14:paraId="50DC186D" w14:textId="36C3CF8D" w:rsidR="00241B47" w:rsidRDefault="009D47D4" w:rsidP="00D26BCA">
      <w:pPr>
        <w:pStyle w:val="ListParagraph"/>
        <w:tabs>
          <w:tab w:val="left" w:pos="567"/>
        </w:tabs>
        <w:spacing w:line="480" w:lineRule="auto"/>
        <w:ind w:left="0"/>
        <w:jc w:val="left"/>
        <w:rPr>
          <w:rFonts w:ascii="Times New Roman" w:hAnsi="Times New Roman"/>
          <w:sz w:val="24"/>
        </w:rPr>
      </w:pPr>
      <w:r>
        <w:rPr>
          <w:rFonts w:ascii="Times New Roman" w:hAnsi="Times New Roman"/>
          <w:b/>
          <w:sz w:val="24"/>
          <w:u w:val="single"/>
        </w:rPr>
        <w:t>Issue Three:</w:t>
      </w:r>
      <w:r w:rsidR="00424F31">
        <w:rPr>
          <w:rFonts w:ascii="Times New Roman" w:hAnsi="Times New Roman"/>
          <w:b/>
          <w:sz w:val="24"/>
          <w:u w:val="single"/>
        </w:rPr>
        <w:t xml:space="preserve"> </w:t>
      </w:r>
      <w:r w:rsidR="00D26BCA">
        <w:rPr>
          <w:rFonts w:ascii="Times New Roman" w:hAnsi="Times New Roman"/>
          <w:b/>
          <w:sz w:val="24"/>
          <w:u w:val="single"/>
        </w:rPr>
        <w:t>Monitoring</w:t>
      </w:r>
      <w:r w:rsidR="00241B47">
        <w:rPr>
          <w:rFonts w:ascii="Times New Roman" w:hAnsi="Times New Roman"/>
          <w:sz w:val="24"/>
        </w:rPr>
        <w:t xml:space="preserve"> </w:t>
      </w:r>
    </w:p>
    <w:p w14:paraId="26A1E724" w14:textId="0C845B0A" w:rsidR="00D26BCA" w:rsidRDefault="00D26BCA"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Monitoring of the significant environmental effects of the implementation of plans and programmes is required by Article 10 of the SEA Directive.  It provides:</w:t>
      </w:r>
      <w:r w:rsidR="00332819">
        <w:rPr>
          <w:rFonts w:ascii="Times New Roman" w:hAnsi="Times New Roman"/>
          <w:sz w:val="24"/>
        </w:rPr>
        <w:t>-</w:t>
      </w:r>
    </w:p>
    <w:p w14:paraId="2C2D05E1" w14:textId="77777777" w:rsidR="00B20858" w:rsidRDefault="00D26BCA" w:rsidP="00B20858">
      <w:pPr>
        <w:pStyle w:val="ListParagraph"/>
        <w:spacing w:line="480" w:lineRule="auto"/>
        <w:ind w:left="567"/>
        <w:jc w:val="left"/>
        <w:rPr>
          <w:rFonts w:ascii="Times New Roman" w:hAnsi="Times New Roman"/>
          <w:i/>
          <w:sz w:val="24"/>
        </w:rPr>
      </w:pPr>
      <w:r>
        <w:rPr>
          <w:rFonts w:ascii="Times New Roman" w:hAnsi="Times New Roman"/>
          <w:i/>
          <w:sz w:val="24"/>
        </w:rPr>
        <w:lastRenderedPageBreak/>
        <w:t>“</w:t>
      </w:r>
      <w:r w:rsidRPr="00D26BCA">
        <w:rPr>
          <w:rFonts w:ascii="Times New Roman" w:hAnsi="Times New Roman"/>
          <w:i/>
          <w:sz w:val="24"/>
        </w:rPr>
        <w:t xml:space="preserve">(1) Member States shall monitor the significant environmental effects of the implementation of plans and programmes in order, inter alia, to identify at an early stage unforeseen adverse effects, and to be able to undertake appropriate remedial action. </w:t>
      </w:r>
    </w:p>
    <w:p w14:paraId="56474C3F" w14:textId="77777777" w:rsidR="00241B47" w:rsidRPr="00B20858" w:rsidRDefault="00D26BCA" w:rsidP="00B20858">
      <w:pPr>
        <w:pStyle w:val="ListParagraph"/>
        <w:spacing w:line="480" w:lineRule="auto"/>
        <w:ind w:left="567"/>
        <w:jc w:val="left"/>
        <w:rPr>
          <w:rFonts w:ascii="Times New Roman" w:hAnsi="Times New Roman"/>
          <w:i/>
          <w:sz w:val="24"/>
        </w:rPr>
      </w:pPr>
      <w:r w:rsidRPr="00B20858">
        <w:rPr>
          <w:rFonts w:ascii="Times New Roman" w:hAnsi="Times New Roman"/>
          <w:i/>
          <w:sz w:val="24"/>
        </w:rPr>
        <w:t>(2) In order to comply with paragraph 1, existing monitoring arrangements may be used if appropriate, with a view to avoiding duplication of monitoring.”</w:t>
      </w:r>
      <w:r w:rsidRPr="00B20858">
        <w:rPr>
          <w:rFonts w:ascii="Times New Roman" w:hAnsi="Times New Roman"/>
          <w:sz w:val="24"/>
        </w:rPr>
        <w:t xml:space="preserve">  </w:t>
      </w:r>
    </w:p>
    <w:p w14:paraId="0844FFFB" w14:textId="07B785D7" w:rsidR="000354E9" w:rsidRDefault="000354E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Article 10 has been transposed by Article 17 of the SEA Regulations which provide</w:t>
      </w:r>
      <w:r w:rsidR="00963149">
        <w:rPr>
          <w:rFonts w:ascii="Times New Roman" w:hAnsi="Times New Roman"/>
          <w:sz w:val="24"/>
        </w:rPr>
        <w:t>s</w:t>
      </w:r>
      <w:r>
        <w:rPr>
          <w:rFonts w:ascii="Times New Roman" w:hAnsi="Times New Roman"/>
          <w:sz w:val="24"/>
        </w:rPr>
        <w:t>:</w:t>
      </w:r>
      <w:r w:rsidR="00C6132E">
        <w:rPr>
          <w:rFonts w:ascii="Times New Roman" w:hAnsi="Times New Roman"/>
          <w:sz w:val="24"/>
        </w:rPr>
        <w:t>-</w:t>
      </w:r>
    </w:p>
    <w:p w14:paraId="5A1CF3A8" w14:textId="77777777" w:rsidR="00600A3A" w:rsidRDefault="000354E9" w:rsidP="000354E9">
      <w:pPr>
        <w:pStyle w:val="ListParagraph"/>
        <w:spacing w:line="480" w:lineRule="auto"/>
        <w:ind w:left="567"/>
        <w:jc w:val="left"/>
        <w:rPr>
          <w:rFonts w:ascii="Times New Roman" w:hAnsi="Times New Roman"/>
          <w:i/>
          <w:sz w:val="24"/>
        </w:rPr>
      </w:pPr>
      <w:r>
        <w:rPr>
          <w:rFonts w:ascii="Times New Roman" w:hAnsi="Times New Roman"/>
          <w:i/>
          <w:sz w:val="24"/>
        </w:rPr>
        <w:t>“</w:t>
      </w:r>
      <w:r w:rsidRPr="000354E9">
        <w:rPr>
          <w:rFonts w:ascii="Times New Roman" w:hAnsi="Times New Roman"/>
          <w:i/>
          <w:sz w:val="24"/>
        </w:rPr>
        <w:t>17. The competent authority shall monitor the significant environmental effects of implementation of the plan or programme, or modification to a plan or programme in order,</w:t>
      </w:r>
      <w:r>
        <w:rPr>
          <w:rFonts w:ascii="Times New Roman" w:hAnsi="Times New Roman"/>
          <w:i/>
          <w:sz w:val="24"/>
        </w:rPr>
        <w:t xml:space="preserve"> </w:t>
      </w:r>
      <w:r w:rsidRPr="000354E9">
        <w:rPr>
          <w:rFonts w:ascii="Times New Roman" w:hAnsi="Times New Roman"/>
          <w:i/>
          <w:iCs/>
          <w:sz w:val="24"/>
        </w:rPr>
        <w:t>inter alia</w:t>
      </w:r>
      <w:r w:rsidRPr="000354E9">
        <w:rPr>
          <w:rFonts w:ascii="Times New Roman" w:hAnsi="Times New Roman"/>
          <w:i/>
          <w:sz w:val="24"/>
        </w:rPr>
        <w:t>, to identify at an early stage unforeseen adverse effects and to be able to undertake appropriate remedial action and, for this purpose, existing monitoring arrangements may be used, if appropriate, with a view to avoiding duplication of monitoring.</w:t>
      </w:r>
      <w:r>
        <w:rPr>
          <w:rFonts w:ascii="Times New Roman" w:hAnsi="Times New Roman"/>
          <w:i/>
          <w:sz w:val="24"/>
        </w:rPr>
        <w:t>”</w:t>
      </w:r>
      <w:r w:rsidR="00600A3A">
        <w:rPr>
          <w:rFonts w:ascii="Times New Roman" w:hAnsi="Times New Roman"/>
          <w:i/>
          <w:sz w:val="24"/>
        </w:rPr>
        <w:t xml:space="preserve"> </w:t>
      </w:r>
    </w:p>
    <w:p w14:paraId="23BC6C12" w14:textId="77777777" w:rsidR="00600A3A" w:rsidRDefault="00600A3A"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accepts that this correctly </w:t>
      </w:r>
      <w:r w:rsidR="00963149">
        <w:rPr>
          <w:rFonts w:ascii="Times New Roman" w:hAnsi="Times New Roman"/>
          <w:sz w:val="24"/>
        </w:rPr>
        <w:t>transposes</w:t>
      </w:r>
      <w:r>
        <w:rPr>
          <w:rFonts w:ascii="Times New Roman" w:hAnsi="Times New Roman"/>
          <w:sz w:val="24"/>
        </w:rPr>
        <w:t xml:space="preserve"> Article 10 of the SEA Directive.  </w:t>
      </w:r>
    </w:p>
    <w:p w14:paraId="0E8AA192" w14:textId="5A70F279" w:rsidR="00D26BCA" w:rsidRDefault="00D26BCA"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As is pointed out in the Commission Guidance document, the Directive does not define monitoring and Article 10 does not contain any technical requirements about the methods to be used for monitoring.  At para. 8.</w:t>
      </w:r>
      <w:r w:rsidR="009502E4">
        <w:rPr>
          <w:rFonts w:ascii="Times New Roman" w:hAnsi="Times New Roman"/>
          <w:sz w:val="24"/>
        </w:rPr>
        <w:t>4</w:t>
      </w:r>
      <w:r w:rsidR="00F8493A">
        <w:rPr>
          <w:rFonts w:ascii="Times New Roman" w:hAnsi="Times New Roman"/>
          <w:sz w:val="24"/>
        </w:rPr>
        <w:t>,</w:t>
      </w:r>
      <w:r>
        <w:rPr>
          <w:rFonts w:ascii="Times New Roman" w:hAnsi="Times New Roman"/>
          <w:sz w:val="24"/>
        </w:rPr>
        <w:t xml:space="preserve"> the Commission expresses the view that:</w:t>
      </w:r>
      <w:r w:rsidR="00C6132E">
        <w:rPr>
          <w:rFonts w:ascii="Times New Roman" w:hAnsi="Times New Roman"/>
          <w:sz w:val="24"/>
        </w:rPr>
        <w:t>-</w:t>
      </w:r>
    </w:p>
    <w:p w14:paraId="776505E6" w14:textId="6DFEAE6C" w:rsidR="00D26BCA" w:rsidRPr="00963149" w:rsidRDefault="00D26BCA" w:rsidP="009502E4">
      <w:pPr>
        <w:pStyle w:val="ListParagraph"/>
        <w:spacing w:line="480" w:lineRule="auto"/>
        <w:ind w:left="567"/>
        <w:jc w:val="left"/>
        <w:rPr>
          <w:rFonts w:ascii="Times New Roman" w:hAnsi="Times New Roman"/>
          <w:i/>
          <w:sz w:val="24"/>
        </w:rPr>
      </w:pPr>
      <w:r>
        <w:rPr>
          <w:rFonts w:ascii="Times New Roman" w:hAnsi="Times New Roman"/>
          <w:i/>
          <w:sz w:val="24"/>
        </w:rPr>
        <w:t>“</w:t>
      </w:r>
      <w:r w:rsidR="009502E4" w:rsidRPr="009502E4">
        <w:rPr>
          <w:rFonts w:ascii="Times New Roman" w:hAnsi="Times New Roman"/>
          <w:i/>
          <w:sz w:val="24"/>
        </w:rPr>
        <w:t xml:space="preserve">The methods chosen should be those which are available and best fitted in each case to seeing whether the assumptions made in the environmental assessment correspond with the environmental effects which occur when the plan or programme is implemented, and to identifying at an early stage unforeseen adverse effects resulting from the implementation of the plan or programme. It is clear that monitoring is embedded in the context of the environmental assessment and does not require scientific research activities. </w:t>
      </w:r>
      <w:r w:rsidR="009502E4" w:rsidRPr="00101E35">
        <w:rPr>
          <w:rFonts w:ascii="Times New Roman" w:hAnsi="Times New Roman"/>
          <w:bCs/>
          <w:i/>
          <w:sz w:val="24"/>
          <w:u w:val="single"/>
        </w:rPr>
        <w:t xml:space="preserve">Also the character (e.g. quantitative or </w:t>
      </w:r>
      <w:r w:rsidR="009502E4" w:rsidRPr="00101E35">
        <w:rPr>
          <w:rFonts w:ascii="Times New Roman" w:hAnsi="Times New Roman"/>
          <w:bCs/>
          <w:i/>
          <w:sz w:val="24"/>
          <w:u w:val="single"/>
        </w:rPr>
        <w:lastRenderedPageBreak/>
        <w:t>qualitative) and detail of the environmental information necessary for monitoring depend on the character and detail of the plan or programme and its predicted environmental effects.</w:t>
      </w:r>
      <w:r w:rsidR="009502E4" w:rsidRPr="00C6132E">
        <w:rPr>
          <w:rFonts w:ascii="Times New Roman" w:hAnsi="Times New Roman"/>
          <w:bCs/>
          <w:i/>
          <w:sz w:val="24"/>
        </w:rPr>
        <w:t>”</w:t>
      </w:r>
      <w:r w:rsidR="00963149">
        <w:rPr>
          <w:rFonts w:ascii="Times New Roman" w:hAnsi="Times New Roman"/>
          <w:b/>
          <w:i/>
          <w:sz w:val="24"/>
        </w:rPr>
        <w:t xml:space="preserve"> </w:t>
      </w:r>
      <w:r w:rsidR="00963149" w:rsidRPr="004A56E3">
        <w:rPr>
          <w:rFonts w:ascii="Times New Roman" w:hAnsi="Times New Roman"/>
          <w:iCs/>
          <w:sz w:val="24"/>
        </w:rPr>
        <w:t>(emphasis added)</w:t>
      </w:r>
    </w:p>
    <w:p w14:paraId="79A03AAB" w14:textId="6BC19BC2" w:rsidR="004F3686" w:rsidRDefault="004F368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At para. 8.8</w:t>
      </w:r>
      <w:r w:rsidR="00C6132E">
        <w:rPr>
          <w:rFonts w:ascii="Times New Roman" w:hAnsi="Times New Roman"/>
          <w:sz w:val="24"/>
        </w:rPr>
        <w:t>,</w:t>
      </w:r>
      <w:r>
        <w:rPr>
          <w:rFonts w:ascii="Times New Roman" w:hAnsi="Times New Roman"/>
          <w:sz w:val="24"/>
        </w:rPr>
        <w:t xml:space="preserve"> the Commission observes that Article 10 appears not necessarily to require that the significant environmental effects are monitored directly.  </w:t>
      </w:r>
    </w:p>
    <w:p w14:paraId="12F7A48A" w14:textId="0353A0D0" w:rsidR="004F3686" w:rsidRDefault="004F368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Article 10(1) requires that the </w:t>
      </w:r>
      <w:r w:rsidR="00F8493A">
        <w:rPr>
          <w:rFonts w:ascii="Times New Roman" w:hAnsi="Times New Roman"/>
          <w:sz w:val="24"/>
        </w:rPr>
        <w:t>m</w:t>
      </w:r>
      <w:r>
        <w:rPr>
          <w:rFonts w:ascii="Times New Roman" w:hAnsi="Times New Roman"/>
          <w:sz w:val="24"/>
        </w:rPr>
        <w:t xml:space="preserve">ember </w:t>
      </w:r>
      <w:r w:rsidR="00F8493A">
        <w:rPr>
          <w:rFonts w:ascii="Times New Roman" w:hAnsi="Times New Roman"/>
          <w:sz w:val="24"/>
        </w:rPr>
        <w:t>s</w:t>
      </w:r>
      <w:r>
        <w:rPr>
          <w:rFonts w:ascii="Times New Roman" w:hAnsi="Times New Roman"/>
          <w:sz w:val="24"/>
        </w:rPr>
        <w:t>tates shall monitor the significant environmental effects of the implementation of plans or programmes</w:t>
      </w:r>
      <w:r w:rsidR="00C6132E">
        <w:rPr>
          <w:rFonts w:ascii="Times New Roman" w:hAnsi="Times New Roman"/>
          <w:sz w:val="24"/>
        </w:rPr>
        <w:t>,</w:t>
      </w:r>
      <w:r>
        <w:rPr>
          <w:rFonts w:ascii="Times New Roman" w:hAnsi="Times New Roman"/>
          <w:sz w:val="24"/>
        </w:rPr>
        <w:t xml:space="preserve"> but does not require that the monitoring shall be carried out by the authority adopting the plan or programme.  One monitoring arrangement may cover several plans or programmes </w:t>
      </w:r>
      <w:r w:rsidR="00091A2E">
        <w:rPr>
          <w:rFonts w:ascii="Times New Roman" w:hAnsi="Times New Roman"/>
          <w:sz w:val="24"/>
        </w:rPr>
        <w:t>so</w:t>
      </w:r>
      <w:r>
        <w:rPr>
          <w:rFonts w:ascii="Times New Roman" w:hAnsi="Times New Roman"/>
          <w:sz w:val="24"/>
        </w:rPr>
        <w:t xml:space="preserve"> long as sufficient information about the environmental effects of the individual plans or programmes is provided and the purposes and obligations of the Directive are fulfilled (para. 8.10</w:t>
      </w:r>
      <w:r w:rsidR="00752029">
        <w:rPr>
          <w:rFonts w:ascii="Times New Roman" w:hAnsi="Times New Roman"/>
          <w:sz w:val="24"/>
        </w:rPr>
        <w:t xml:space="preserve"> of Commission Guidance</w:t>
      </w:r>
      <w:r>
        <w:rPr>
          <w:rFonts w:ascii="Times New Roman" w:hAnsi="Times New Roman"/>
          <w:sz w:val="24"/>
        </w:rPr>
        <w:t xml:space="preserve">).  </w:t>
      </w:r>
    </w:p>
    <w:p w14:paraId="417003B2" w14:textId="398755C9" w:rsidR="00D26BCA" w:rsidRDefault="004F368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One of the purposes of monitoring identified in Article 10 is to identify unforeseen adverse effects of implementing the plan or </w:t>
      </w:r>
      <w:r w:rsidR="00CA6138">
        <w:rPr>
          <w:rFonts w:ascii="Times New Roman" w:hAnsi="Times New Roman"/>
          <w:sz w:val="24"/>
        </w:rPr>
        <w:t xml:space="preserve">programme.  In the Commission’s view, </w:t>
      </w:r>
      <w:r w:rsidR="00091A2E">
        <w:rPr>
          <w:rFonts w:ascii="Times New Roman" w:hAnsi="Times New Roman"/>
          <w:sz w:val="24"/>
        </w:rPr>
        <w:t>“</w:t>
      </w:r>
      <w:r w:rsidR="00CA6138">
        <w:rPr>
          <w:rFonts w:ascii="Times New Roman" w:hAnsi="Times New Roman"/>
          <w:sz w:val="24"/>
        </w:rPr>
        <w:t>u</w:t>
      </w:r>
      <w:r w:rsidRPr="004F3686">
        <w:rPr>
          <w:rFonts w:ascii="Times New Roman" w:hAnsi="Times New Roman"/>
          <w:sz w:val="24"/>
        </w:rPr>
        <w:t>nforeseen adverse effects</w:t>
      </w:r>
      <w:r w:rsidR="00091A2E">
        <w:rPr>
          <w:rFonts w:ascii="Times New Roman" w:hAnsi="Times New Roman"/>
          <w:sz w:val="24"/>
        </w:rPr>
        <w:t>”</w:t>
      </w:r>
      <w:r w:rsidRPr="004F3686">
        <w:rPr>
          <w:rFonts w:ascii="Times New Roman" w:hAnsi="Times New Roman"/>
          <w:sz w:val="24"/>
        </w:rPr>
        <w:t xml:space="preserve"> is </w:t>
      </w:r>
      <w:r w:rsidR="00963149">
        <w:rPr>
          <w:rFonts w:ascii="Times New Roman" w:hAnsi="Times New Roman"/>
          <w:sz w:val="24"/>
        </w:rPr>
        <w:t>to be</w:t>
      </w:r>
      <w:r w:rsidRPr="004F3686">
        <w:rPr>
          <w:rFonts w:ascii="Times New Roman" w:hAnsi="Times New Roman"/>
          <w:sz w:val="24"/>
        </w:rPr>
        <w:t xml:space="preserve"> interpreted as referring to shortcomings of the prognostic statements in the environmental report (</w:t>
      </w:r>
      <w:r w:rsidRPr="004A56E3">
        <w:rPr>
          <w:rFonts w:ascii="Times New Roman" w:hAnsi="Times New Roman"/>
          <w:i/>
          <w:iCs/>
          <w:sz w:val="24"/>
        </w:rPr>
        <w:t>e.g.</w:t>
      </w:r>
      <w:r w:rsidRPr="004F3686">
        <w:rPr>
          <w:rFonts w:ascii="Times New Roman" w:hAnsi="Times New Roman"/>
          <w:sz w:val="24"/>
        </w:rPr>
        <w:t xml:space="preserve"> regarding the predicted intensity of an environmental effect) or unforeseen effects resulting from changes of circumstances, which have led to certain assumptions in the environmental assessment being partly or wholly invalidated</w:t>
      </w:r>
      <w:r w:rsidR="00CA6138">
        <w:rPr>
          <w:rFonts w:ascii="Times New Roman" w:hAnsi="Times New Roman"/>
          <w:sz w:val="24"/>
        </w:rPr>
        <w:t xml:space="preserve"> (</w:t>
      </w:r>
      <w:r w:rsidR="00752029">
        <w:rPr>
          <w:rFonts w:ascii="Times New Roman" w:hAnsi="Times New Roman"/>
          <w:sz w:val="24"/>
        </w:rPr>
        <w:t>p</w:t>
      </w:r>
      <w:r w:rsidR="00CA6138">
        <w:rPr>
          <w:rFonts w:ascii="Times New Roman" w:hAnsi="Times New Roman"/>
          <w:sz w:val="24"/>
        </w:rPr>
        <w:t>ara. 8.12).</w:t>
      </w:r>
      <w:r w:rsidR="00963149">
        <w:rPr>
          <w:rFonts w:ascii="Times New Roman" w:hAnsi="Times New Roman"/>
          <w:sz w:val="24"/>
        </w:rPr>
        <w:t xml:space="preserve"> </w:t>
      </w:r>
    </w:p>
    <w:p w14:paraId="014A9B09" w14:textId="48FBEF47" w:rsidR="00D26BCA" w:rsidRDefault="00CA6138" w:rsidP="00DF5272">
      <w:pPr>
        <w:pStyle w:val="ListParagraph"/>
        <w:numPr>
          <w:ilvl w:val="0"/>
          <w:numId w:val="1"/>
        </w:numPr>
        <w:tabs>
          <w:tab w:val="left" w:pos="567"/>
        </w:tabs>
        <w:spacing w:line="480" w:lineRule="auto"/>
        <w:ind w:left="0" w:firstLine="0"/>
        <w:jc w:val="left"/>
        <w:rPr>
          <w:rFonts w:ascii="Times New Roman" w:hAnsi="Times New Roman"/>
          <w:sz w:val="24"/>
        </w:rPr>
      </w:pPr>
      <w:r w:rsidRPr="00CA6138">
        <w:rPr>
          <w:rFonts w:ascii="Times New Roman" w:hAnsi="Times New Roman"/>
          <w:sz w:val="24"/>
        </w:rPr>
        <w:t>At para. 8.13</w:t>
      </w:r>
      <w:r w:rsidR="00752029">
        <w:rPr>
          <w:rFonts w:ascii="Times New Roman" w:hAnsi="Times New Roman"/>
          <w:sz w:val="24"/>
        </w:rPr>
        <w:t>,</w:t>
      </w:r>
      <w:r w:rsidRPr="00CA6138">
        <w:rPr>
          <w:rFonts w:ascii="Times New Roman" w:hAnsi="Times New Roman"/>
          <w:sz w:val="24"/>
        </w:rPr>
        <w:t xml:space="preserve"> the Commission identif</w:t>
      </w:r>
      <w:r w:rsidR="00E46AB9">
        <w:rPr>
          <w:rFonts w:ascii="Times New Roman" w:hAnsi="Times New Roman"/>
          <w:sz w:val="24"/>
        </w:rPr>
        <w:t>ies</w:t>
      </w:r>
      <w:r w:rsidRPr="00CA6138">
        <w:rPr>
          <w:rFonts w:ascii="Times New Roman" w:hAnsi="Times New Roman"/>
          <w:sz w:val="24"/>
        </w:rPr>
        <w:t xml:space="preserve"> another purpose of monitoring as </w:t>
      </w:r>
      <w:r w:rsidR="006E2F1E">
        <w:rPr>
          <w:rFonts w:ascii="Times New Roman" w:hAnsi="Times New Roman"/>
          <w:sz w:val="24"/>
        </w:rPr>
        <w:t xml:space="preserve">being </w:t>
      </w:r>
      <w:r w:rsidRPr="00CA6138">
        <w:rPr>
          <w:rFonts w:ascii="Times New Roman" w:hAnsi="Times New Roman"/>
          <w:sz w:val="24"/>
        </w:rPr>
        <w:t xml:space="preserve">to </w:t>
      </w:r>
      <w:r>
        <w:rPr>
          <w:rFonts w:ascii="Times New Roman" w:hAnsi="Times New Roman"/>
          <w:sz w:val="24"/>
        </w:rPr>
        <w:t xml:space="preserve">enable the </w:t>
      </w:r>
      <w:r w:rsidRPr="00CA6138">
        <w:rPr>
          <w:rFonts w:ascii="Times New Roman" w:hAnsi="Times New Roman"/>
          <w:sz w:val="24"/>
        </w:rPr>
        <w:t xml:space="preserve">planning authority to undertake appropriate remedial action if monitoring reveals adverse effects on the environment </w:t>
      </w:r>
      <w:r>
        <w:rPr>
          <w:rFonts w:ascii="Times New Roman" w:hAnsi="Times New Roman"/>
          <w:sz w:val="24"/>
        </w:rPr>
        <w:t>which</w:t>
      </w:r>
      <w:r w:rsidRPr="00CA6138">
        <w:rPr>
          <w:rFonts w:ascii="Times New Roman" w:hAnsi="Times New Roman"/>
          <w:sz w:val="24"/>
        </w:rPr>
        <w:t xml:space="preserve"> have not been considered in the environmental assessment. </w:t>
      </w:r>
      <w:r w:rsidR="00752029">
        <w:rPr>
          <w:rFonts w:ascii="Times New Roman" w:hAnsi="Times New Roman"/>
          <w:sz w:val="24"/>
        </w:rPr>
        <w:t xml:space="preserve"> </w:t>
      </w:r>
      <w:r>
        <w:rPr>
          <w:rFonts w:ascii="Times New Roman" w:hAnsi="Times New Roman"/>
          <w:sz w:val="24"/>
        </w:rPr>
        <w:t xml:space="preserve">It points out that the </w:t>
      </w:r>
      <w:r w:rsidRPr="00CA6138">
        <w:rPr>
          <w:rFonts w:ascii="Times New Roman" w:hAnsi="Times New Roman"/>
          <w:sz w:val="24"/>
        </w:rPr>
        <w:t xml:space="preserve">Directive does not, however, necessarily require </w:t>
      </w:r>
      <w:r w:rsidR="00E46AB9">
        <w:rPr>
          <w:rFonts w:ascii="Times New Roman" w:hAnsi="Times New Roman"/>
          <w:sz w:val="24"/>
        </w:rPr>
        <w:t>m</w:t>
      </w:r>
      <w:r w:rsidRPr="00CA6138">
        <w:rPr>
          <w:rFonts w:ascii="Times New Roman" w:hAnsi="Times New Roman"/>
          <w:sz w:val="24"/>
        </w:rPr>
        <w:t xml:space="preserve">ember </w:t>
      </w:r>
      <w:r w:rsidR="00E46AB9">
        <w:rPr>
          <w:rFonts w:ascii="Times New Roman" w:hAnsi="Times New Roman"/>
          <w:sz w:val="24"/>
        </w:rPr>
        <w:t>s</w:t>
      </w:r>
      <w:r w:rsidRPr="00CA6138">
        <w:rPr>
          <w:rFonts w:ascii="Times New Roman" w:hAnsi="Times New Roman"/>
          <w:sz w:val="24"/>
        </w:rPr>
        <w:t xml:space="preserve">tates to modify a plan or programme as a result of monitoring. </w:t>
      </w:r>
      <w:r>
        <w:rPr>
          <w:rFonts w:ascii="Times New Roman" w:hAnsi="Times New Roman"/>
          <w:sz w:val="24"/>
        </w:rPr>
        <w:t xml:space="preserve"> The Commission observe</w:t>
      </w:r>
      <w:r w:rsidR="00E46AB9">
        <w:rPr>
          <w:rFonts w:ascii="Times New Roman" w:hAnsi="Times New Roman"/>
          <w:sz w:val="24"/>
        </w:rPr>
        <w:t>s</w:t>
      </w:r>
      <w:r w:rsidR="00963149">
        <w:rPr>
          <w:rFonts w:ascii="Times New Roman" w:hAnsi="Times New Roman"/>
          <w:sz w:val="24"/>
        </w:rPr>
        <w:t>,</w:t>
      </w:r>
      <w:r>
        <w:rPr>
          <w:rFonts w:ascii="Times New Roman" w:hAnsi="Times New Roman"/>
          <w:sz w:val="24"/>
        </w:rPr>
        <w:t xml:space="preserve"> important</w:t>
      </w:r>
      <w:r w:rsidR="00091A2E">
        <w:rPr>
          <w:rFonts w:ascii="Times New Roman" w:hAnsi="Times New Roman"/>
          <w:sz w:val="24"/>
        </w:rPr>
        <w:t>ly</w:t>
      </w:r>
      <w:r w:rsidR="00963149">
        <w:rPr>
          <w:rFonts w:ascii="Times New Roman" w:hAnsi="Times New Roman"/>
          <w:sz w:val="24"/>
        </w:rPr>
        <w:t>,</w:t>
      </w:r>
      <w:r>
        <w:rPr>
          <w:rFonts w:ascii="Times New Roman" w:hAnsi="Times New Roman"/>
          <w:sz w:val="24"/>
        </w:rPr>
        <w:t xml:space="preserve"> that t</w:t>
      </w:r>
      <w:r w:rsidRPr="00CA6138">
        <w:rPr>
          <w:rFonts w:ascii="Times New Roman" w:hAnsi="Times New Roman"/>
          <w:sz w:val="24"/>
        </w:rPr>
        <w:t xml:space="preserve">his is consistent with the general approach of </w:t>
      </w:r>
      <w:r w:rsidRPr="00CA6138">
        <w:rPr>
          <w:rFonts w:ascii="Times New Roman" w:hAnsi="Times New Roman"/>
          <w:sz w:val="24"/>
        </w:rPr>
        <w:lastRenderedPageBreak/>
        <w:t xml:space="preserve">environmental assessment, </w:t>
      </w:r>
      <w:r>
        <w:rPr>
          <w:rFonts w:ascii="Times New Roman" w:hAnsi="Times New Roman"/>
          <w:i/>
          <w:sz w:val="24"/>
        </w:rPr>
        <w:t>“</w:t>
      </w:r>
      <w:r w:rsidRPr="00CA6138">
        <w:rPr>
          <w:rFonts w:ascii="Times New Roman" w:hAnsi="Times New Roman"/>
          <w:i/>
          <w:sz w:val="24"/>
        </w:rPr>
        <w:t>which facilitates an informed decision, but does not create substantive environmental standards for plans or programmes.</w:t>
      </w:r>
      <w:r>
        <w:rPr>
          <w:rFonts w:ascii="Times New Roman" w:hAnsi="Times New Roman"/>
          <w:i/>
          <w:sz w:val="24"/>
        </w:rPr>
        <w:t>”</w:t>
      </w:r>
      <w:r w:rsidRPr="00CA6138">
        <w:rPr>
          <w:rFonts w:ascii="Times New Roman" w:hAnsi="Times New Roman"/>
          <w:sz w:val="24"/>
        </w:rPr>
        <w:t xml:space="preserve"> </w:t>
      </w:r>
      <w:r>
        <w:rPr>
          <w:rFonts w:ascii="Times New Roman" w:hAnsi="Times New Roman"/>
          <w:sz w:val="24"/>
        </w:rPr>
        <w:t xml:space="preserve">  </w:t>
      </w:r>
    </w:p>
    <w:p w14:paraId="262A53CE" w14:textId="71F0261D" w:rsidR="00600A3A" w:rsidRDefault="00600A3A" w:rsidP="00DF527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Mitigation and monitoring are addressed in Chapter 9 of the SEA Environmental Report in respect of the draft NPF.  The monitoring programme was developed based on the indicators selected:</w:t>
      </w:r>
      <w:r w:rsidR="004612DA">
        <w:rPr>
          <w:rFonts w:ascii="Times New Roman" w:hAnsi="Times New Roman"/>
          <w:sz w:val="24"/>
        </w:rPr>
        <w:t>-</w:t>
      </w:r>
    </w:p>
    <w:p w14:paraId="40DDCDC5" w14:textId="4EC57AF5" w:rsidR="00600A3A" w:rsidRPr="00CA6138" w:rsidRDefault="00600A3A" w:rsidP="00600A3A">
      <w:pPr>
        <w:pStyle w:val="ListParagraph"/>
        <w:spacing w:line="480" w:lineRule="auto"/>
        <w:ind w:left="567"/>
        <w:jc w:val="left"/>
        <w:rPr>
          <w:rFonts w:ascii="Times New Roman" w:hAnsi="Times New Roman"/>
          <w:sz w:val="24"/>
        </w:rPr>
      </w:pPr>
      <w:r>
        <w:rPr>
          <w:rFonts w:ascii="Times New Roman" w:hAnsi="Times New Roman"/>
          <w:i/>
          <w:sz w:val="24"/>
        </w:rPr>
        <w:t>“</w:t>
      </w:r>
      <w:r w:rsidR="004612DA">
        <w:rPr>
          <w:rFonts w:ascii="Times New Roman" w:hAnsi="Times New Roman"/>
          <w:i/>
          <w:sz w:val="24"/>
        </w:rPr>
        <w:t xml:space="preserve">… </w:t>
      </w:r>
      <w:r>
        <w:rPr>
          <w:rFonts w:ascii="Times New Roman" w:hAnsi="Times New Roman"/>
          <w:i/>
          <w:sz w:val="24"/>
        </w:rPr>
        <w:t xml:space="preserve">to </w:t>
      </w:r>
      <w:r w:rsidR="004612DA">
        <w:rPr>
          <w:rFonts w:ascii="Times New Roman" w:hAnsi="Times New Roman"/>
          <w:i/>
          <w:sz w:val="24"/>
        </w:rPr>
        <w:t xml:space="preserve">track </w:t>
      </w:r>
      <w:r>
        <w:rPr>
          <w:rFonts w:ascii="Times New Roman" w:hAnsi="Times New Roman"/>
          <w:i/>
          <w:sz w:val="24"/>
        </w:rPr>
        <w:t>progress towards achieving strategic environmental objectives (SEOs) and reaching targets, enabling positive and negative impacts on the environment to be measured.  The environmental indicators have been developed to show changes that would, as far as possible, be attributable to implementation of the draft NPF.</w:t>
      </w:r>
      <w:r w:rsidR="004612DA">
        <w:rPr>
          <w:rFonts w:ascii="Times New Roman" w:hAnsi="Times New Roman"/>
          <w:i/>
          <w:sz w:val="24"/>
        </w:rPr>
        <w:t>”</w:t>
      </w:r>
    </w:p>
    <w:p w14:paraId="633B4506" w14:textId="4167DA7E" w:rsidR="00DF5272" w:rsidRPr="00E46AB9" w:rsidRDefault="000020DF" w:rsidP="00E46AB9">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At para. 9.2</w:t>
      </w:r>
      <w:r w:rsidR="004612DA">
        <w:rPr>
          <w:rFonts w:ascii="Times New Roman" w:hAnsi="Times New Roman"/>
          <w:sz w:val="24"/>
        </w:rPr>
        <w:t>,</w:t>
      </w:r>
      <w:r>
        <w:rPr>
          <w:rFonts w:ascii="Times New Roman" w:hAnsi="Times New Roman"/>
          <w:sz w:val="24"/>
        </w:rPr>
        <w:t xml:space="preserve"> the authors explain that</w:t>
      </w:r>
      <w:r w:rsidR="00091A2E">
        <w:rPr>
          <w:rFonts w:ascii="Times New Roman" w:hAnsi="Times New Roman"/>
          <w:sz w:val="24"/>
        </w:rPr>
        <w:t>,</w:t>
      </w:r>
      <w:r>
        <w:rPr>
          <w:rFonts w:ascii="Times New Roman" w:hAnsi="Times New Roman"/>
          <w:sz w:val="24"/>
        </w:rPr>
        <w:t xml:space="preserve"> where possible</w:t>
      </w:r>
      <w:r w:rsidR="00091A2E">
        <w:rPr>
          <w:rFonts w:ascii="Times New Roman" w:hAnsi="Times New Roman"/>
          <w:sz w:val="24"/>
        </w:rPr>
        <w:t>,</w:t>
      </w:r>
      <w:r>
        <w:rPr>
          <w:rFonts w:ascii="Times New Roman" w:hAnsi="Times New Roman"/>
          <w:sz w:val="24"/>
        </w:rPr>
        <w:t xml:space="preserve"> indicators have been chosen based on the availability of the necessary information </w:t>
      </w:r>
      <w:r w:rsidR="00DF5272">
        <w:rPr>
          <w:rFonts w:ascii="Times New Roman" w:hAnsi="Times New Roman"/>
          <w:i/>
          <w:sz w:val="24"/>
        </w:rPr>
        <w:t xml:space="preserve">“and the degree to which the data will allow the target to be linked directly with the implementation of the draft NPF.”  </w:t>
      </w:r>
      <w:r w:rsidR="00DF5272">
        <w:rPr>
          <w:rFonts w:ascii="Times New Roman" w:hAnsi="Times New Roman"/>
          <w:sz w:val="24"/>
        </w:rPr>
        <w:t xml:space="preserve">In </w:t>
      </w:r>
      <w:r w:rsidR="004612DA">
        <w:rPr>
          <w:rFonts w:ascii="Times New Roman" w:hAnsi="Times New Roman"/>
          <w:sz w:val="24"/>
        </w:rPr>
        <w:t>t</w:t>
      </w:r>
      <w:r w:rsidR="00DF5272">
        <w:rPr>
          <w:rFonts w:ascii="Times New Roman" w:hAnsi="Times New Roman"/>
          <w:sz w:val="24"/>
        </w:rPr>
        <w:t>able 9.4</w:t>
      </w:r>
      <w:r w:rsidR="004612DA">
        <w:rPr>
          <w:rFonts w:ascii="Times New Roman" w:hAnsi="Times New Roman"/>
          <w:sz w:val="24"/>
        </w:rPr>
        <w:t>,</w:t>
      </w:r>
      <w:r w:rsidR="00DF5272">
        <w:rPr>
          <w:rFonts w:ascii="Times New Roman" w:hAnsi="Times New Roman"/>
          <w:sz w:val="24"/>
        </w:rPr>
        <w:t xml:space="preserve"> the nine strategic objectives in the NPF</w:t>
      </w:r>
      <w:r w:rsidR="004612DA">
        <w:rPr>
          <w:rFonts w:ascii="Times New Roman" w:hAnsi="Times New Roman"/>
          <w:sz w:val="24"/>
        </w:rPr>
        <w:t>,</w:t>
      </w:r>
      <w:r w:rsidR="00DF5272">
        <w:rPr>
          <w:rFonts w:ascii="Times New Roman" w:hAnsi="Times New Roman"/>
          <w:sz w:val="24"/>
        </w:rPr>
        <w:t xml:space="preserve"> which reflect the categories of information in Annex </w:t>
      </w:r>
      <w:r w:rsidR="004612DA">
        <w:rPr>
          <w:rFonts w:ascii="Times New Roman" w:hAnsi="Times New Roman"/>
          <w:sz w:val="24"/>
        </w:rPr>
        <w:t>I</w:t>
      </w:r>
      <w:r w:rsidR="00DF5272">
        <w:rPr>
          <w:rFonts w:ascii="Times New Roman" w:hAnsi="Times New Roman"/>
          <w:sz w:val="24"/>
        </w:rPr>
        <w:t xml:space="preserve"> of the SEA Directive</w:t>
      </w:r>
      <w:r w:rsidR="004612DA">
        <w:rPr>
          <w:rFonts w:ascii="Times New Roman" w:hAnsi="Times New Roman"/>
          <w:sz w:val="24"/>
        </w:rPr>
        <w:t>,</w:t>
      </w:r>
      <w:r w:rsidR="00DF5272">
        <w:rPr>
          <w:rFonts w:ascii="Times New Roman" w:hAnsi="Times New Roman"/>
          <w:sz w:val="24"/>
        </w:rPr>
        <w:t xml:space="preserve"> are set out.  In respect of each strategic objective there is a target, an indicator and a data source.  Table 9.4 presents the Environmental Monitoring </w:t>
      </w:r>
      <w:r w:rsidR="004612DA">
        <w:rPr>
          <w:rFonts w:ascii="Times New Roman" w:hAnsi="Times New Roman"/>
          <w:sz w:val="24"/>
        </w:rPr>
        <w:t>P</w:t>
      </w:r>
      <w:r w:rsidR="00DF5272">
        <w:rPr>
          <w:rFonts w:ascii="Times New Roman" w:hAnsi="Times New Roman"/>
          <w:sz w:val="24"/>
        </w:rPr>
        <w:t>rogramme to track progress towards achieving SEOs and reaching targets</w:t>
      </w:r>
      <w:r w:rsidR="004612DA">
        <w:rPr>
          <w:rFonts w:ascii="Times New Roman" w:hAnsi="Times New Roman"/>
          <w:sz w:val="24"/>
        </w:rPr>
        <w:t>,</w:t>
      </w:r>
      <w:r w:rsidR="00DF5272">
        <w:rPr>
          <w:rFonts w:ascii="Times New Roman" w:hAnsi="Times New Roman"/>
          <w:sz w:val="24"/>
        </w:rPr>
        <w:t xml:space="preserve"> and includes the sources of the relevant information.  The majority of information which has been identified as being required is already being actively collected under other plans and programmes</w:t>
      </w:r>
      <w:r w:rsidR="004612DA">
        <w:rPr>
          <w:rFonts w:ascii="Times New Roman" w:hAnsi="Times New Roman"/>
          <w:sz w:val="24"/>
        </w:rPr>
        <w:t>,</w:t>
      </w:r>
      <w:r w:rsidR="00DF5272">
        <w:rPr>
          <w:rFonts w:ascii="Times New Roman" w:hAnsi="Times New Roman"/>
          <w:sz w:val="24"/>
        </w:rPr>
        <w:t xml:space="preserve"> but not all of it </w:t>
      </w:r>
      <w:r w:rsidR="00A667BB">
        <w:rPr>
          <w:rFonts w:ascii="Times New Roman" w:hAnsi="Times New Roman"/>
          <w:sz w:val="24"/>
        </w:rPr>
        <w:t xml:space="preserve">has </w:t>
      </w:r>
      <w:r w:rsidR="00DF5272">
        <w:rPr>
          <w:rFonts w:ascii="Times New Roman" w:hAnsi="Times New Roman"/>
          <w:sz w:val="24"/>
        </w:rPr>
        <w:t xml:space="preserve">been gathered and reported on at a </w:t>
      </w:r>
      <w:r w:rsidR="004612DA">
        <w:rPr>
          <w:rFonts w:ascii="Times New Roman" w:hAnsi="Times New Roman"/>
          <w:sz w:val="24"/>
        </w:rPr>
        <w:t>n</w:t>
      </w:r>
      <w:r w:rsidR="00DF5272">
        <w:rPr>
          <w:rFonts w:ascii="Times New Roman" w:hAnsi="Times New Roman"/>
          <w:sz w:val="24"/>
        </w:rPr>
        <w:t>ational level.</w:t>
      </w:r>
      <w:r w:rsidR="004612DA">
        <w:rPr>
          <w:rFonts w:ascii="Times New Roman" w:hAnsi="Times New Roman"/>
          <w:sz w:val="24"/>
        </w:rPr>
        <w:t xml:space="preserve"> </w:t>
      </w:r>
      <w:r w:rsidR="00DF5272">
        <w:rPr>
          <w:rFonts w:ascii="Times New Roman" w:hAnsi="Times New Roman"/>
          <w:sz w:val="24"/>
        </w:rPr>
        <w:t xml:space="preserve"> </w:t>
      </w:r>
      <w:r w:rsidR="00DF5272" w:rsidRPr="00E46AB9">
        <w:rPr>
          <w:rFonts w:ascii="Times New Roman" w:hAnsi="Times New Roman"/>
          <w:sz w:val="24"/>
        </w:rPr>
        <w:t>The chapter then goes on to consider mitigation measures and recommendations.</w:t>
      </w:r>
    </w:p>
    <w:p w14:paraId="73D3CFAB" w14:textId="3770B256" w:rsidR="00DF5272" w:rsidRDefault="00091A2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w:t>
      </w:r>
      <w:r w:rsidR="00DF5272">
        <w:rPr>
          <w:rFonts w:ascii="Times New Roman" w:hAnsi="Times New Roman"/>
          <w:sz w:val="24"/>
        </w:rPr>
        <w:t>he SEA Statement</w:t>
      </w:r>
      <w:r>
        <w:rPr>
          <w:rFonts w:ascii="Times New Roman" w:hAnsi="Times New Roman"/>
          <w:sz w:val="24"/>
        </w:rPr>
        <w:t>,</w:t>
      </w:r>
      <w:r w:rsidR="00DF5272">
        <w:rPr>
          <w:rFonts w:ascii="Times New Roman" w:hAnsi="Times New Roman"/>
          <w:sz w:val="24"/>
        </w:rPr>
        <w:t xml:space="preserve"> which accompanie</w:t>
      </w:r>
      <w:r>
        <w:rPr>
          <w:rFonts w:ascii="Times New Roman" w:hAnsi="Times New Roman"/>
          <w:sz w:val="24"/>
        </w:rPr>
        <w:t>s</w:t>
      </w:r>
      <w:r w:rsidR="00DF5272">
        <w:rPr>
          <w:rFonts w:ascii="Times New Roman" w:hAnsi="Times New Roman"/>
          <w:sz w:val="24"/>
        </w:rPr>
        <w:t xml:space="preserve"> the NPF as adopted, </w:t>
      </w:r>
      <w:r>
        <w:rPr>
          <w:rFonts w:ascii="Times New Roman" w:hAnsi="Times New Roman"/>
          <w:sz w:val="24"/>
        </w:rPr>
        <w:t xml:space="preserve">addresses </w:t>
      </w:r>
      <w:r w:rsidR="00DF5272">
        <w:rPr>
          <w:rFonts w:ascii="Times New Roman" w:hAnsi="Times New Roman"/>
          <w:sz w:val="24"/>
        </w:rPr>
        <w:t xml:space="preserve">measures to monitor significant environmental effects of the implementation of the NPF in </w:t>
      </w:r>
      <w:r w:rsidR="00125019">
        <w:rPr>
          <w:rFonts w:ascii="Times New Roman" w:hAnsi="Times New Roman"/>
          <w:sz w:val="24"/>
        </w:rPr>
        <w:t>chapter</w:t>
      </w:r>
      <w:r w:rsidR="00DF5272">
        <w:rPr>
          <w:rFonts w:ascii="Times New Roman" w:hAnsi="Times New Roman"/>
          <w:sz w:val="24"/>
        </w:rPr>
        <w:t xml:space="preserve"> 7.  It sets out the obligation under Article 10 and says that coordination of monitoring of the </w:t>
      </w:r>
      <w:r w:rsidR="00DF5272">
        <w:rPr>
          <w:rFonts w:ascii="Times New Roman" w:hAnsi="Times New Roman"/>
          <w:sz w:val="24"/>
        </w:rPr>
        <w:lastRenderedPageBreak/>
        <w:t>NPF will be carried out by the Department as the competent authority for the plan.  Para</w:t>
      </w:r>
      <w:r w:rsidR="00DA1C13">
        <w:rPr>
          <w:rFonts w:ascii="Times New Roman" w:hAnsi="Times New Roman"/>
          <w:sz w:val="24"/>
        </w:rPr>
        <w:t>graph</w:t>
      </w:r>
      <w:r w:rsidR="00DF5272">
        <w:rPr>
          <w:rFonts w:ascii="Times New Roman" w:hAnsi="Times New Roman"/>
          <w:sz w:val="24"/>
        </w:rPr>
        <w:t xml:space="preserve"> 7.3 sets out the sources of information for monitoring:</w:t>
      </w:r>
      <w:r w:rsidR="00DA1C13">
        <w:rPr>
          <w:rFonts w:ascii="Times New Roman" w:hAnsi="Times New Roman"/>
          <w:sz w:val="24"/>
        </w:rPr>
        <w:t>-</w:t>
      </w:r>
    </w:p>
    <w:p w14:paraId="1FD2C0D2" w14:textId="2EDE49FE" w:rsidR="00CA6138" w:rsidRDefault="00DF5272" w:rsidP="00DF5272">
      <w:pPr>
        <w:pStyle w:val="ListParagraph"/>
        <w:spacing w:line="480" w:lineRule="auto"/>
        <w:ind w:left="567"/>
        <w:jc w:val="left"/>
        <w:rPr>
          <w:rFonts w:ascii="Times New Roman" w:hAnsi="Times New Roman"/>
          <w:sz w:val="24"/>
        </w:rPr>
      </w:pPr>
      <w:r>
        <w:rPr>
          <w:rFonts w:ascii="Times New Roman" w:hAnsi="Times New Roman"/>
          <w:i/>
          <w:sz w:val="24"/>
        </w:rPr>
        <w:t xml:space="preserve">“Monitoring will focus on </w:t>
      </w:r>
      <w:r w:rsidRPr="00963149">
        <w:rPr>
          <w:rFonts w:ascii="Times New Roman" w:hAnsi="Times New Roman"/>
          <w:i/>
          <w:sz w:val="24"/>
          <w:u w:val="single"/>
        </w:rPr>
        <w:t>aspects of the environment</w:t>
      </w:r>
      <w:r>
        <w:rPr>
          <w:rFonts w:ascii="Times New Roman" w:hAnsi="Times New Roman"/>
          <w:i/>
          <w:sz w:val="24"/>
        </w:rPr>
        <w:t xml:space="preserve"> that are likely to be significantly impacted by the NPF.  </w:t>
      </w:r>
      <w:r w:rsidRPr="00963149">
        <w:rPr>
          <w:rFonts w:ascii="Times New Roman" w:hAnsi="Times New Roman"/>
          <w:i/>
          <w:sz w:val="24"/>
          <w:u w:val="single"/>
        </w:rPr>
        <w:t>Where possible</w:t>
      </w:r>
      <w:r>
        <w:rPr>
          <w:rFonts w:ascii="Times New Roman" w:hAnsi="Times New Roman"/>
          <w:i/>
          <w:sz w:val="24"/>
        </w:rPr>
        <w:t xml:space="preserve">, indicators have been chosen based on </w:t>
      </w:r>
      <w:r w:rsidRPr="00963149">
        <w:rPr>
          <w:rFonts w:ascii="Times New Roman" w:hAnsi="Times New Roman"/>
          <w:i/>
          <w:sz w:val="24"/>
          <w:u w:val="single"/>
        </w:rPr>
        <w:t>the availability of the necessary information and the degree to which the data will allow the target to be linked directly with the implementation of the NPF.</w:t>
      </w:r>
      <w:r>
        <w:rPr>
          <w:rFonts w:ascii="Times New Roman" w:hAnsi="Times New Roman"/>
          <w:i/>
          <w:sz w:val="24"/>
        </w:rPr>
        <w:t xml:space="preserve">  Table 7.1 presents the environmental monitoring and reporting programme to track progress towards achieving the strategic environmental targets, and includes sources of relevant information.” </w:t>
      </w:r>
      <w:r w:rsidR="00547258" w:rsidRPr="00E672AD">
        <w:rPr>
          <w:rFonts w:ascii="Times New Roman" w:hAnsi="Times New Roman"/>
          <w:iCs/>
          <w:sz w:val="24"/>
        </w:rPr>
        <w:t>(emphasis added)</w:t>
      </w:r>
    </w:p>
    <w:p w14:paraId="733BE8C4" w14:textId="13A532D4" w:rsidR="00121103" w:rsidRDefault="0012110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Table 7.1 largely reproduces Table 9.4</w:t>
      </w:r>
      <w:r w:rsidR="00125019">
        <w:rPr>
          <w:rFonts w:ascii="Times New Roman" w:hAnsi="Times New Roman"/>
          <w:sz w:val="24"/>
        </w:rPr>
        <w:t>,</w:t>
      </w:r>
      <w:r>
        <w:rPr>
          <w:rFonts w:ascii="Times New Roman" w:hAnsi="Times New Roman"/>
          <w:sz w:val="24"/>
        </w:rPr>
        <w:t xml:space="preserve"> save for Objective 6, climatic factors, which I consider further below.  </w:t>
      </w:r>
    </w:p>
    <w:p w14:paraId="5C5D950C" w14:textId="49FA8EB1" w:rsidR="00121103" w:rsidRDefault="0012110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complains that the SEA Statement contains no actual monitoring of the significant environmental effects of implement</w:t>
      </w:r>
      <w:r w:rsidR="00E46AB9">
        <w:rPr>
          <w:rFonts w:ascii="Times New Roman" w:hAnsi="Times New Roman"/>
          <w:sz w:val="24"/>
        </w:rPr>
        <w:t>ing</w:t>
      </w:r>
      <w:r>
        <w:rPr>
          <w:rFonts w:ascii="Times New Roman" w:hAnsi="Times New Roman"/>
          <w:sz w:val="24"/>
        </w:rPr>
        <w:t xml:space="preserve"> the NPF, that it gives no details of how monitoring will occur, who will do it, when it will be done, how it will be used and how any identified unforeseen adverse environmental effects will be addressed.  It says that the statement does not provide for any specific monitoring to be carried out by any designated body to measure effects against quantifiable criteria.  It submits that the monitoring fulfils none of the </w:t>
      </w:r>
      <w:r w:rsidR="00091A2E">
        <w:rPr>
          <w:rFonts w:ascii="Times New Roman" w:hAnsi="Times New Roman"/>
          <w:sz w:val="24"/>
        </w:rPr>
        <w:t>legislative</w:t>
      </w:r>
      <w:r>
        <w:rPr>
          <w:rFonts w:ascii="Times New Roman" w:hAnsi="Times New Roman"/>
          <w:sz w:val="24"/>
        </w:rPr>
        <w:t xml:space="preserve"> criteria other than to identify the Department as the coordinating body and</w:t>
      </w:r>
      <w:r w:rsidR="00125019">
        <w:rPr>
          <w:rFonts w:ascii="Times New Roman" w:hAnsi="Times New Roman"/>
          <w:sz w:val="24"/>
        </w:rPr>
        <w:t>,</w:t>
      </w:r>
      <w:r>
        <w:rPr>
          <w:rFonts w:ascii="Times New Roman" w:hAnsi="Times New Roman"/>
          <w:sz w:val="24"/>
        </w:rPr>
        <w:t xml:space="preserve"> accordingly</w:t>
      </w:r>
      <w:r w:rsidR="00125019">
        <w:rPr>
          <w:rFonts w:ascii="Times New Roman" w:hAnsi="Times New Roman"/>
          <w:sz w:val="24"/>
        </w:rPr>
        <w:t>,</w:t>
      </w:r>
      <w:r>
        <w:rPr>
          <w:rFonts w:ascii="Times New Roman" w:hAnsi="Times New Roman"/>
          <w:sz w:val="24"/>
        </w:rPr>
        <w:t xml:space="preserve"> was not adequate for the purposes of Article 10 of the SEA Directive.</w:t>
      </w:r>
    </w:p>
    <w:p w14:paraId="652F2E0F" w14:textId="3AA27553" w:rsidR="00121103" w:rsidRPr="00E46AB9" w:rsidRDefault="00121103" w:rsidP="00E46AB9">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respondents say that the applicant is inviting the </w:t>
      </w:r>
      <w:r w:rsidR="00125019">
        <w:rPr>
          <w:rFonts w:ascii="Times New Roman" w:hAnsi="Times New Roman"/>
          <w:sz w:val="24"/>
        </w:rPr>
        <w:t>c</w:t>
      </w:r>
      <w:r>
        <w:rPr>
          <w:rFonts w:ascii="Times New Roman" w:hAnsi="Times New Roman"/>
          <w:sz w:val="24"/>
        </w:rPr>
        <w:t>ourt to conduct a merits</w:t>
      </w:r>
      <w:r w:rsidR="00125019">
        <w:rPr>
          <w:rFonts w:ascii="Times New Roman" w:hAnsi="Times New Roman"/>
          <w:sz w:val="24"/>
        </w:rPr>
        <w:t>-</w:t>
      </w:r>
      <w:r>
        <w:rPr>
          <w:rFonts w:ascii="Times New Roman" w:hAnsi="Times New Roman"/>
          <w:sz w:val="24"/>
        </w:rPr>
        <w:t xml:space="preserve">based assessment of the adequacy of </w:t>
      </w:r>
      <w:r w:rsidR="00E46AB9">
        <w:rPr>
          <w:rFonts w:ascii="Times New Roman" w:hAnsi="Times New Roman"/>
          <w:sz w:val="24"/>
        </w:rPr>
        <w:t xml:space="preserve">the </w:t>
      </w:r>
      <w:r>
        <w:rPr>
          <w:rFonts w:ascii="Times New Roman" w:hAnsi="Times New Roman"/>
          <w:sz w:val="24"/>
        </w:rPr>
        <w:t xml:space="preserve">information, which is inappropriate in an application for judicial review.  </w:t>
      </w:r>
      <w:r w:rsidRPr="00E46AB9">
        <w:rPr>
          <w:rFonts w:ascii="Times New Roman" w:hAnsi="Times New Roman"/>
          <w:sz w:val="24"/>
        </w:rPr>
        <w:t>The</w:t>
      </w:r>
      <w:r w:rsidR="00E46AB9">
        <w:rPr>
          <w:rFonts w:ascii="Times New Roman" w:hAnsi="Times New Roman"/>
          <w:sz w:val="24"/>
        </w:rPr>
        <w:t>y</w:t>
      </w:r>
      <w:r w:rsidRPr="00E46AB9">
        <w:rPr>
          <w:rFonts w:ascii="Times New Roman" w:hAnsi="Times New Roman"/>
          <w:sz w:val="24"/>
        </w:rPr>
        <w:t xml:space="preserve"> say that the obligation is to carry out monitoring, as opposed to an obligation to set out the monitoring measures that will be undertaken in any particular document or place.  The respondents submit that the monitoring required can only be </w:t>
      </w:r>
      <w:r w:rsidRPr="00E46AB9">
        <w:rPr>
          <w:rFonts w:ascii="Times New Roman" w:hAnsi="Times New Roman"/>
          <w:sz w:val="24"/>
        </w:rPr>
        <w:lastRenderedPageBreak/>
        <w:t>carried out as and when the NPF is being implemented but that the applicant’s challenge is based simply on the contents of the relevant documents adopted, not on any alleged actual failure to carry out monitoring during the subsequent implementation of the NPF.  In this case</w:t>
      </w:r>
      <w:r w:rsidR="00125019">
        <w:rPr>
          <w:rFonts w:ascii="Times New Roman" w:hAnsi="Times New Roman"/>
          <w:sz w:val="24"/>
        </w:rPr>
        <w:t>,</w:t>
      </w:r>
      <w:r w:rsidRPr="00E46AB9">
        <w:rPr>
          <w:rFonts w:ascii="Times New Roman" w:hAnsi="Times New Roman"/>
          <w:sz w:val="24"/>
        </w:rPr>
        <w:t xml:space="preserve"> the respondents submit the applicant’s challenge is premature.</w:t>
      </w:r>
    </w:p>
    <w:p w14:paraId="5E06D2BC" w14:textId="4183EE88" w:rsidR="00121103" w:rsidRDefault="00121103"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addition, the respondents point out that the NPF provides for the establishment of the Office of </w:t>
      </w:r>
      <w:r w:rsidR="00125019">
        <w:rPr>
          <w:rFonts w:ascii="Times New Roman" w:hAnsi="Times New Roman"/>
          <w:sz w:val="24"/>
        </w:rPr>
        <w:t xml:space="preserve">the </w:t>
      </w:r>
      <w:r>
        <w:rPr>
          <w:rFonts w:ascii="Times New Roman" w:hAnsi="Times New Roman"/>
          <w:sz w:val="24"/>
        </w:rPr>
        <w:t>Planning Regulat</w:t>
      </w:r>
      <w:r w:rsidR="00125019">
        <w:rPr>
          <w:rFonts w:ascii="Times New Roman" w:hAnsi="Times New Roman"/>
          <w:sz w:val="24"/>
        </w:rPr>
        <w:t>or</w:t>
      </w:r>
      <w:r>
        <w:rPr>
          <w:rFonts w:ascii="Times New Roman" w:hAnsi="Times New Roman"/>
          <w:sz w:val="24"/>
        </w:rPr>
        <w:t xml:space="preserve"> </w:t>
      </w:r>
      <w:r w:rsidR="00125019">
        <w:rPr>
          <w:rFonts w:ascii="Times New Roman" w:hAnsi="Times New Roman"/>
          <w:sz w:val="24"/>
        </w:rPr>
        <w:t xml:space="preserve">(the OPR) </w:t>
      </w:r>
      <w:r>
        <w:rPr>
          <w:rFonts w:ascii="Times New Roman" w:hAnsi="Times New Roman"/>
          <w:sz w:val="24"/>
        </w:rPr>
        <w:t>in s.</w:t>
      </w:r>
      <w:r w:rsidR="00125019">
        <w:rPr>
          <w:rFonts w:ascii="Times New Roman" w:hAnsi="Times New Roman"/>
          <w:sz w:val="24"/>
        </w:rPr>
        <w:t xml:space="preserve"> </w:t>
      </w:r>
      <w:r>
        <w:rPr>
          <w:rFonts w:ascii="Times New Roman" w:hAnsi="Times New Roman"/>
          <w:sz w:val="24"/>
        </w:rPr>
        <w:t>10.1</w:t>
      </w:r>
      <w:r w:rsidR="00091A2E">
        <w:rPr>
          <w:rFonts w:ascii="Times New Roman" w:hAnsi="Times New Roman"/>
          <w:sz w:val="24"/>
        </w:rPr>
        <w:t>,</w:t>
      </w:r>
      <w:r>
        <w:rPr>
          <w:rFonts w:ascii="Times New Roman" w:hAnsi="Times New Roman"/>
          <w:sz w:val="24"/>
        </w:rPr>
        <w:t xml:space="preserve"> which relates to </w:t>
      </w:r>
      <w:r w:rsidR="00091A2E">
        <w:rPr>
          <w:rFonts w:ascii="Times New Roman" w:hAnsi="Times New Roman"/>
          <w:sz w:val="24"/>
        </w:rPr>
        <w:t>g</w:t>
      </w:r>
      <w:r>
        <w:rPr>
          <w:rFonts w:ascii="Times New Roman" w:hAnsi="Times New Roman"/>
          <w:sz w:val="24"/>
        </w:rPr>
        <w:t xml:space="preserve">overnance and </w:t>
      </w:r>
      <w:r w:rsidR="00091A2E">
        <w:rPr>
          <w:rFonts w:ascii="Times New Roman" w:hAnsi="Times New Roman"/>
          <w:sz w:val="24"/>
        </w:rPr>
        <w:t>o</w:t>
      </w:r>
      <w:r>
        <w:rPr>
          <w:rFonts w:ascii="Times New Roman" w:hAnsi="Times New Roman"/>
          <w:sz w:val="24"/>
        </w:rPr>
        <w:t xml:space="preserve">versight of the NPF.  The Planning and Development (Amendment) Act 2018 established the </w:t>
      </w:r>
      <w:r w:rsidR="00125019">
        <w:rPr>
          <w:rFonts w:ascii="Times New Roman" w:hAnsi="Times New Roman"/>
          <w:sz w:val="24"/>
        </w:rPr>
        <w:t>OPR</w:t>
      </w:r>
      <w:r>
        <w:rPr>
          <w:rFonts w:ascii="Times New Roman" w:hAnsi="Times New Roman"/>
          <w:sz w:val="24"/>
        </w:rPr>
        <w:t xml:space="preserve"> and confers on the OPR extensive powers for the purposes of ensuring that regional strategies, development plans and local area plans adopted are consistent with the NPF.  </w:t>
      </w:r>
    </w:p>
    <w:p w14:paraId="46CF559B" w14:textId="77777777" w:rsidR="00AD3538" w:rsidRDefault="00AD3538"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w:t>
      </w:r>
      <w:r w:rsidR="00091A2E">
        <w:rPr>
          <w:rFonts w:ascii="Times New Roman" w:hAnsi="Times New Roman"/>
          <w:sz w:val="24"/>
        </w:rPr>
        <w:t>s</w:t>
      </w:r>
      <w:r>
        <w:rPr>
          <w:rFonts w:ascii="Times New Roman" w:hAnsi="Times New Roman"/>
          <w:sz w:val="24"/>
        </w:rPr>
        <w:t xml:space="preserve"> say that the SEA Directive does not require the level of specificity and granular detail which the applicant submits ought to have been set out in the SEA Statement. </w:t>
      </w:r>
    </w:p>
    <w:p w14:paraId="1B13F6F3" w14:textId="61790144" w:rsidR="0045310B" w:rsidRPr="00091A2E" w:rsidRDefault="0045310B" w:rsidP="00091A2E">
      <w:pPr>
        <w:pStyle w:val="ListParagraph"/>
        <w:numPr>
          <w:ilvl w:val="0"/>
          <w:numId w:val="1"/>
        </w:numPr>
        <w:tabs>
          <w:tab w:val="left" w:pos="567"/>
        </w:tabs>
        <w:spacing w:line="480" w:lineRule="auto"/>
        <w:ind w:left="0" w:firstLine="0"/>
        <w:jc w:val="left"/>
        <w:rPr>
          <w:rFonts w:ascii="Times New Roman" w:hAnsi="Times New Roman"/>
          <w:sz w:val="24"/>
        </w:rPr>
      </w:pPr>
      <w:r w:rsidRPr="00091A2E">
        <w:rPr>
          <w:rFonts w:ascii="Times New Roman" w:hAnsi="Times New Roman"/>
          <w:sz w:val="24"/>
        </w:rPr>
        <w:t>The SEA Directive does not prescribe the exact arrangements for monitoring the significant environmental effects of the plan or program</w:t>
      </w:r>
      <w:r w:rsidR="00091A2E">
        <w:rPr>
          <w:rFonts w:ascii="Times New Roman" w:hAnsi="Times New Roman"/>
          <w:sz w:val="24"/>
        </w:rPr>
        <w:t>me</w:t>
      </w:r>
      <w:r w:rsidR="00125019">
        <w:rPr>
          <w:rFonts w:ascii="Times New Roman" w:hAnsi="Times New Roman"/>
          <w:sz w:val="24"/>
        </w:rPr>
        <w:t>,</w:t>
      </w:r>
      <w:r w:rsidRPr="00091A2E">
        <w:rPr>
          <w:rFonts w:ascii="Times New Roman" w:hAnsi="Times New Roman"/>
          <w:sz w:val="24"/>
        </w:rPr>
        <w:t xml:space="preserve"> or for the frequency of the monitoring, its methodology or the bodies in charge of monitoring.  The monitoring obligation in Article 10 must be assessed by reference to the particular plan or programme.  The NPF is a very high</w:t>
      </w:r>
      <w:r w:rsidR="00CD08CE">
        <w:rPr>
          <w:rFonts w:ascii="Times New Roman" w:hAnsi="Times New Roman"/>
          <w:sz w:val="24"/>
        </w:rPr>
        <w:t>-</w:t>
      </w:r>
      <w:r w:rsidRPr="00091A2E">
        <w:rPr>
          <w:rFonts w:ascii="Times New Roman" w:hAnsi="Times New Roman"/>
          <w:sz w:val="24"/>
        </w:rPr>
        <w:t>level plan.</w:t>
      </w:r>
      <w:r w:rsidR="00125019">
        <w:rPr>
          <w:rFonts w:ascii="Times New Roman" w:hAnsi="Times New Roman"/>
          <w:sz w:val="24"/>
        </w:rPr>
        <w:t xml:space="preserve"> </w:t>
      </w:r>
      <w:r w:rsidRPr="00091A2E">
        <w:rPr>
          <w:rFonts w:ascii="Times New Roman" w:hAnsi="Times New Roman"/>
          <w:sz w:val="24"/>
        </w:rPr>
        <w:t xml:space="preserve"> </w:t>
      </w:r>
      <w:r w:rsidR="008B4851">
        <w:rPr>
          <w:rFonts w:ascii="Times New Roman" w:hAnsi="Times New Roman"/>
          <w:sz w:val="24"/>
        </w:rPr>
        <w:t>No project is authorised under the plan.</w:t>
      </w:r>
      <w:r w:rsidR="00125019">
        <w:rPr>
          <w:rFonts w:ascii="Times New Roman" w:hAnsi="Times New Roman"/>
          <w:sz w:val="24"/>
        </w:rPr>
        <w:t xml:space="preserve"> </w:t>
      </w:r>
      <w:r w:rsidRPr="00091A2E">
        <w:rPr>
          <w:rFonts w:ascii="Times New Roman" w:hAnsi="Times New Roman"/>
          <w:sz w:val="24"/>
        </w:rPr>
        <w:t xml:space="preserve"> The effects of implementing the NPF will all be indirect.</w:t>
      </w:r>
      <w:r w:rsidR="00125019">
        <w:rPr>
          <w:rFonts w:ascii="Times New Roman" w:hAnsi="Times New Roman"/>
          <w:sz w:val="24"/>
        </w:rPr>
        <w:t xml:space="preserve"> </w:t>
      </w:r>
      <w:r w:rsidRPr="00091A2E">
        <w:rPr>
          <w:rFonts w:ascii="Times New Roman" w:hAnsi="Times New Roman"/>
          <w:sz w:val="24"/>
        </w:rPr>
        <w:t xml:space="preserve"> The NPF is implemented through the formation of Regional Spatial Strategies, Development Plans, Local Area Plans and other sector specific plans such as </w:t>
      </w:r>
      <w:r w:rsidR="00D55D45">
        <w:rPr>
          <w:rFonts w:ascii="Times New Roman" w:hAnsi="Times New Roman"/>
          <w:sz w:val="24"/>
        </w:rPr>
        <w:t xml:space="preserve">the </w:t>
      </w:r>
      <w:r w:rsidRPr="00091A2E">
        <w:rPr>
          <w:rFonts w:ascii="Times New Roman" w:hAnsi="Times New Roman"/>
          <w:sz w:val="24"/>
        </w:rPr>
        <w:t xml:space="preserve">Healthy Ireland Implementation Plan 2016-2019, the National Clean Air Strategy and the National Mitigation Plan (since replaced by </w:t>
      </w:r>
      <w:r w:rsidRPr="00E21081">
        <w:rPr>
          <w:rFonts w:ascii="Times New Roman" w:hAnsi="Times New Roman"/>
          <w:sz w:val="24"/>
        </w:rPr>
        <w:t>the</w:t>
      </w:r>
      <w:r w:rsidR="00E21081" w:rsidRPr="004A56E3">
        <w:rPr>
          <w:rFonts w:ascii="Times New Roman" w:hAnsi="Times New Roman"/>
          <w:sz w:val="24"/>
        </w:rPr>
        <w:t xml:space="preserve"> Climate Action Plan 2021</w:t>
      </w:r>
      <w:r w:rsidR="00D55D45" w:rsidRPr="004A56E3">
        <w:rPr>
          <w:rFonts w:ascii="Times New Roman" w:hAnsi="Times New Roman"/>
          <w:bCs/>
          <w:sz w:val="24"/>
        </w:rPr>
        <w:t>)</w:t>
      </w:r>
      <w:r w:rsidRPr="00091A2E">
        <w:rPr>
          <w:rFonts w:ascii="Times New Roman" w:hAnsi="Times New Roman"/>
          <w:sz w:val="24"/>
        </w:rPr>
        <w:t>.  Some</w:t>
      </w:r>
      <w:r w:rsidR="008B4851">
        <w:rPr>
          <w:rFonts w:ascii="Times New Roman" w:hAnsi="Times New Roman"/>
          <w:sz w:val="24"/>
        </w:rPr>
        <w:t xml:space="preserve"> effects</w:t>
      </w:r>
      <w:r w:rsidR="00D55D45">
        <w:rPr>
          <w:rFonts w:ascii="Times New Roman" w:hAnsi="Times New Roman"/>
          <w:sz w:val="24"/>
        </w:rPr>
        <w:t>,</w:t>
      </w:r>
      <w:r w:rsidRPr="00091A2E">
        <w:rPr>
          <w:rFonts w:ascii="Times New Roman" w:hAnsi="Times New Roman"/>
          <w:sz w:val="24"/>
        </w:rPr>
        <w:t xml:space="preserve"> such as </w:t>
      </w:r>
      <w:r w:rsidR="00A667BB">
        <w:rPr>
          <w:rFonts w:ascii="Times New Roman" w:hAnsi="Times New Roman"/>
          <w:sz w:val="24"/>
        </w:rPr>
        <w:t>SEOs</w:t>
      </w:r>
      <w:r w:rsidR="00A667BB" w:rsidRPr="00091A2E">
        <w:rPr>
          <w:rFonts w:ascii="Times New Roman" w:hAnsi="Times New Roman"/>
          <w:sz w:val="24"/>
        </w:rPr>
        <w:t xml:space="preserve"> </w:t>
      </w:r>
      <w:r w:rsidRPr="00091A2E">
        <w:rPr>
          <w:rFonts w:ascii="Times New Roman" w:hAnsi="Times New Roman"/>
          <w:sz w:val="24"/>
        </w:rPr>
        <w:t>8 and 9 (Archaeology, Architecture and Cultural Heritage and Landscape)</w:t>
      </w:r>
      <w:r w:rsidR="00D55D45">
        <w:rPr>
          <w:rFonts w:ascii="Times New Roman" w:hAnsi="Times New Roman"/>
          <w:sz w:val="24"/>
        </w:rPr>
        <w:t>,</w:t>
      </w:r>
      <w:r w:rsidRPr="00091A2E">
        <w:rPr>
          <w:rFonts w:ascii="Times New Roman" w:hAnsi="Times New Roman"/>
          <w:sz w:val="24"/>
        </w:rPr>
        <w:t xml:space="preserve"> can only really be dealt with at project level.  As the Commission</w:t>
      </w:r>
      <w:r w:rsidR="00D55D45">
        <w:rPr>
          <w:rFonts w:ascii="Times New Roman" w:hAnsi="Times New Roman"/>
          <w:sz w:val="24"/>
        </w:rPr>
        <w:t>’s</w:t>
      </w:r>
      <w:r w:rsidRPr="00091A2E">
        <w:rPr>
          <w:rFonts w:ascii="Times New Roman" w:hAnsi="Times New Roman"/>
          <w:sz w:val="24"/>
        </w:rPr>
        <w:t xml:space="preserve"> guidance makes clear, Article 10 does not mandate that significant </w:t>
      </w:r>
      <w:r w:rsidRPr="00091A2E">
        <w:rPr>
          <w:rFonts w:ascii="Times New Roman" w:hAnsi="Times New Roman"/>
          <w:sz w:val="24"/>
        </w:rPr>
        <w:lastRenderedPageBreak/>
        <w:t>environmental effects are monitored directly.  It notes that the character and detail of the environmental information necessary for monitoring will depend on the character and detail of the plan or program</w:t>
      </w:r>
      <w:r w:rsidR="00D55D45">
        <w:rPr>
          <w:rFonts w:ascii="Times New Roman" w:hAnsi="Times New Roman"/>
          <w:sz w:val="24"/>
        </w:rPr>
        <w:t>me</w:t>
      </w:r>
      <w:r w:rsidRPr="00091A2E">
        <w:rPr>
          <w:rFonts w:ascii="Times New Roman" w:hAnsi="Times New Roman"/>
          <w:sz w:val="24"/>
        </w:rPr>
        <w:t xml:space="preserve"> and its predicted environmental effects.  In this case, the applicant has not identified any possible environmental effect which could arise from the implementation of the NPF which is not b</w:t>
      </w:r>
      <w:r w:rsidR="00D55D45">
        <w:rPr>
          <w:rFonts w:ascii="Times New Roman" w:hAnsi="Times New Roman"/>
          <w:sz w:val="24"/>
        </w:rPr>
        <w:t>eing</w:t>
      </w:r>
      <w:r w:rsidRPr="00091A2E">
        <w:rPr>
          <w:rFonts w:ascii="Times New Roman" w:hAnsi="Times New Roman"/>
          <w:sz w:val="24"/>
        </w:rPr>
        <w:t xml:space="preserve"> monitored. </w:t>
      </w:r>
      <w:r w:rsidR="003E5E88">
        <w:rPr>
          <w:rFonts w:ascii="Times New Roman" w:hAnsi="Times New Roman"/>
          <w:sz w:val="24"/>
        </w:rPr>
        <w:t xml:space="preserve"> </w:t>
      </w:r>
      <w:r w:rsidR="008B4851">
        <w:rPr>
          <w:rFonts w:ascii="Times New Roman" w:hAnsi="Times New Roman"/>
          <w:sz w:val="24"/>
        </w:rPr>
        <w:t>Rather, it argues that the monitoring set out cannot monitor the unforeseen effects of implementing the NPF without regard to the strategic nature of the entire plan.</w:t>
      </w:r>
      <w:r w:rsidRPr="00091A2E">
        <w:rPr>
          <w:rFonts w:ascii="Times New Roman" w:hAnsi="Times New Roman"/>
          <w:sz w:val="24"/>
        </w:rPr>
        <w:t xml:space="preserve"> </w:t>
      </w:r>
      <w:r w:rsidR="003E5E88">
        <w:rPr>
          <w:rFonts w:ascii="Times New Roman" w:hAnsi="Times New Roman"/>
          <w:sz w:val="24"/>
        </w:rPr>
        <w:t xml:space="preserve"> </w:t>
      </w:r>
      <w:r w:rsidRPr="00091A2E">
        <w:rPr>
          <w:rFonts w:ascii="Times New Roman" w:hAnsi="Times New Roman"/>
          <w:sz w:val="24"/>
        </w:rPr>
        <w:t>Giv</w:t>
      </w:r>
      <w:r w:rsidR="00D55D45">
        <w:rPr>
          <w:rFonts w:ascii="Times New Roman" w:hAnsi="Times New Roman"/>
          <w:sz w:val="24"/>
        </w:rPr>
        <w:t>en</w:t>
      </w:r>
      <w:r w:rsidRPr="00091A2E">
        <w:rPr>
          <w:rFonts w:ascii="Times New Roman" w:hAnsi="Times New Roman"/>
          <w:sz w:val="24"/>
        </w:rPr>
        <w:t xml:space="preserve"> the high</w:t>
      </w:r>
      <w:r w:rsidR="00CD08CE">
        <w:rPr>
          <w:rFonts w:ascii="Times New Roman" w:hAnsi="Times New Roman"/>
          <w:sz w:val="24"/>
        </w:rPr>
        <w:t>-</w:t>
      </w:r>
      <w:r w:rsidRPr="00091A2E">
        <w:rPr>
          <w:rFonts w:ascii="Times New Roman" w:hAnsi="Times New Roman"/>
          <w:sz w:val="24"/>
        </w:rPr>
        <w:t>level of the plan, it is quite difficult to see how there could be the necessary causal link between the implementation of the plan and a significant adverse effect on the environment</w:t>
      </w:r>
      <w:r w:rsidR="00D55D45">
        <w:rPr>
          <w:rFonts w:ascii="Times New Roman" w:hAnsi="Times New Roman"/>
          <w:sz w:val="24"/>
        </w:rPr>
        <w:t xml:space="preserve"> which requires to be monitored in order that appropriate remedial steps may be taken. </w:t>
      </w:r>
      <w:r w:rsidR="003E5E88">
        <w:rPr>
          <w:rFonts w:ascii="Times New Roman" w:hAnsi="Times New Roman"/>
          <w:sz w:val="24"/>
        </w:rPr>
        <w:t xml:space="preserve"> </w:t>
      </w:r>
      <w:r w:rsidR="00D55D45">
        <w:rPr>
          <w:rFonts w:ascii="Times New Roman" w:hAnsi="Times New Roman"/>
          <w:sz w:val="24"/>
        </w:rPr>
        <w:t xml:space="preserve">Monitoring which </w:t>
      </w:r>
      <w:r w:rsidR="008B4851">
        <w:rPr>
          <w:rFonts w:ascii="Times New Roman" w:hAnsi="Times New Roman"/>
          <w:sz w:val="24"/>
        </w:rPr>
        <w:t xml:space="preserve">is capable of </w:t>
      </w:r>
      <w:r w:rsidR="00D55D45">
        <w:rPr>
          <w:rFonts w:ascii="Times New Roman" w:hAnsi="Times New Roman"/>
          <w:sz w:val="24"/>
        </w:rPr>
        <w:t>reveal</w:t>
      </w:r>
      <w:r w:rsidR="008B4851">
        <w:rPr>
          <w:rFonts w:ascii="Times New Roman" w:hAnsi="Times New Roman"/>
          <w:sz w:val="24"/>
        </w:rPr>
        <w:t>ing</w:t>
      </w:r>
      <w:r w:rsidR="00D55D45">
        <w:rPr>
          <w:rFonts w:ascii="Times New Roman" w:hAnsi="Times New Roman"/>
          <w:sz w:val="24"/>
        </w:rPr>
        <w:t xml:space="preserve"> unforeseen adverse environmental effects is far more likely to occur in respect of lower level plans or in respect of individual projects</w:t>
      </w:r>
      <w:r w:rsidRPr="00091A2E">
        <w:rPr>
          <w:rFonts w:ascii="Times New Roman" w:hAnsi="Times New Roman"/>
          <w:sz w:val="24"/>
        </w:rPr>
        <w:t xml:space="preserve">.  </w:t>
      </w:r>
    </w:p>
    <w:p w14:paraId="67F5815F" w14:textId="1A48A140" w:rsidR="00231E2C" w:rsidRDefault="0045310B"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Furthermore, I believe there is much to be said for the respondent</w:t>
      </w:r>
      <w:r w:rsidR="00D55D45">
        <w:rPr>
          <w:rFonts w:ascii="Times New Roman" w:hAnsi="Times New Roman"/>
          <w:sz w:val="24"/>
        </w:rPr>
        <w:t>s’</w:t>
      </w:r>
      <w:r>
        <w:rPr>
          <w:rFonts w:ascii="Times New Roman" w:hAnsi="Times New Roman"/>
          <w:sz w:val="24"/>
        </w:rPr>
        <w:t xml:space="preserve"> submission that the allegation is premature in that the obligation is to monitor the significant environmental effects of </w:t>
      </w:r>
      <w:r w:rsidRPr="00D55D45">
        <w:rPr>
          <w:rFonts w:ascii="Times New Roman" w:hAnsi="Times New Roman"/>
          <w:i/>
          <w:sz w:val="24"/>
        </w:rPr>
        <w:t>implementing</w:t>
      </w:r>
      <w:r>
        <w:rPr>
          <w:rFonts w:ascii="Times New Roman" w:hAnsi="Times New Roman"/>
          <w:sz w:val="24"/>
        </w:rPr>
        <w:t xml:space="preserve"> the plan</w:t>
      </w:r>
      <w:r w:rsidR="00547258">
        <w:rPr>
          <w:rFonts w:ascii="Times New Roman" w:hAnsi="Times New Roman"/>
          <w:sz w:val="24"/>
        </w:rPr>
        <w:t>.</w:t>
      </w:r>
      <w:r w:rsidR="008B4851">
        <w:rPr>
          <w:rFonts w:ascii="Times New Roman" w:hAnsi="Times New Roman"/>
          <w:sz w:val="24"/>
        </w:rPr>
        <w:t xml:space="preserve"> </w:t>
      </w:r>
      <w:r w:rsidR="003E5E88">
        <w:rPr>
          <w:rFonts w:ascii="Times New Roman" w:hAnsi="Times New Roman"/>
          <w:sz w:val="24"/>
        </w:rPr>
        <w:t xml:space="preserve"> </w:t>
      </w:r>
      <w:r>
        <w:rPr>
          <w:rFonts w:ascii="Times New Roman" w:hAnsi="Times New Roman"/>
          <w:sz w:val="24"/>
        </w:rPr>
        <w:t>The important role to be played by the OPR has been completely overlooked by the applicant in its case.  This is a</w:t>
      </w:r>
      <w:r w:rsidR="00547258">
        <w:rPr>
          <w:rFonts w:ascii="Times New Roman" w:hAnsi="Times New Roman"/>
          <w:sz w:val="24"/>
        </w:rPr>
        <w:t xml:space="preserve"> significant</w:t>
      </w:r>
      <w:r>
        <w:rPr>
          <w:rFonts w:ascii="Times New Roman" w:hAnsi="Times New Roman"/>
          <w:sz w:val="24"/>
        </w:rPr>
        <w:t xml:space="preserve"> omission as the OPR will have a</w:t>
      </w:r>
      <w:r w:rsidR="00D55D45">
        <w:rPr>
          <w:rFonts w:ascii="Times New Roman" w:hAnsi="Times New Roman"/>
          <w:sz w:val="24"/>
        </w:rPr>
        <w:t>n</w:t>
      </w:r>
      <w:r>
        <w:rPr>
          <w:rFonts w:ascii="Times New Roman" w:hAnsi="Times New Roman"/>
          <w:sz w:val="24"/>
        </w:rPr>
        <w:t xml:space="preserve"> independent monitoring role advising the Minister, the </w:t>
      </w:r>
      <w:r w:rsidR="00547258">
        <w:rPr>
          <w:rFonts w:ascii="Times New Roman" w:hAnsi="Times New Roman"/>
          <w:sz w:val="24"/>
        </w:rPr>
        <w:t>g</w:t>
      </w:r>
      <w:r>
        <w:rPr>
          <w:rFonts w:ascii="Times New Roman" w:hAnsi="Times New Roman"/>
          <w:sz w:val="24"/>
        </w:rPr>
        <w:t xml:space="preserve">overnment and the Oireachtas on implementation of the NPF under the statutory planning process through new </w:t>
      </w:r>
      <w:r w:rsidR="005F4E67" w:rsidRPr="005F4E67">
        <w:rPr>
          <w:rFonts w:ascii="Times New Roman" w:hAnsi="Times New Roman"/>
          <w:sz w:val="24"/>
        </w:rPr>
        <w:t xml:space="preserve">Regional Spatial and Economic Strategies </w:t>
      </w:r>
      <w:r w:rsidR="005F4E67">
        <w:rPr>
          <w:rFonts w:ascii="Times New Roman" w:hAnsi="Times New Roman"/>
          <w:sz w:val="24"/>
        </w:rPr>
        <w:t>(</w:t>
      </w:r>
      <w:r>
        <w:rPr>
          <w:rFonts w:ascii="Times New Roman" w:hAnsi="Times New Roman"/>
          <w:sz w:val="24"/>
        </w:rPr>
        <w:t>RS</w:t>
      </w:r>
      <w:r w:rsidR="005F4E67">
        <w:rPr>
          <w:rFonts w:ascii="Times New Roman" w:hAnsi="Times New Roman"/>
          <w:sz w:val="24"/>
        </w:rPr>
        <w:t>ES</w:t>
      </w:r>
      <w:r>
        <w:rPr>
          <w:rFonts w:ascii="Times New Roman" w:hAnsi="Times New Roman"/>
          <w:sz w:val="24"/>
        </w:rPr>
        <w:t>s</w:t>
      </w:r>
      <w:r w:rsidR="005F4E67">
        <w:rPr>
          <w:rFonts w:ascii="Times New Roman" w:hAnsi="Times New Roman"/>
          <w:sz w:val="24"/>
        </w:rPr>
        <w:t>)</w:t>
      </w:r>
      <w:r>
        <w:rPr>
          <w:rFonts w:ascii="Times New Roman" w:hAnsi="Times New Roman"/>
          <w:sz w:val="24"/>
        </w:rPr>
        <w:t xml:space="preserve">, </w:t>
      </w:r>
      <w:r w:rsidR="005F4E67">
        <w:rPr>
          <w:rFonts w:ascii="Times New Roman" w:hAnsi="Times New Roman"/>
          <w:sz w:val="24"/>
        </w:rPr>
        <w:t>l</w:t>
      </w:r>
      <w:r>
        <w:rPr>
          <w:rFonts w:ascii="Times New Roman" w:hAnsi="Times New Roman"/>
          <w:sz w:val="24"/>
        </w:rPr>
        <w:t xml:space="preserve">ocal </w:t>
      </w:r>
      <w:r w:rsidR="005F4E67">
        <w:rPr>
          <w:rFonts w:ascii="Times New Roman" w:hAnsi="Times New Roman"/>
          <w:sz w:val="24"/>
        </w:rPr>
        <w:t>a</w:t>
      </w:r>
      <w:r>
        <w:rPr>
          <w:rFonts w:ascii="Times New Roman" w:hAnsi="Times New Roman"/>
          <w:sz w:val="24"/>
        </w:rPr>
        <w:t>uthority planning processes and the decisions of An Bord Pleanála</w:t>
      </w:r>
      <w:r w:rsidR="005F4E67">
        <w:rPr>
          <w:rFonts w:ascii="Times New Roman" w:hAnsi="Times New Roman"/>
          <w:sz w:val="24"/>
        </w:rPr>
        <w:t>,</w:t>
      </w:r>
      <w:r>
        <w:rPr>
          <w:rFonts w:ascii="Times New Roman" w:hAnsi="Times New Roman"/>
          <w:sz w:val="24"/>
        </w:rPr>
        <w:t xml:space="preserve"> and using a new set of indicators to be developed to assist effective monitoring.  Thus, the monitoring of the implementation of the NPF is not solely that set out in the SEA Statement, it will also </w:t>
      </w:r>
      <w:r w:rsidR="00231E2C">
        <w:rPr>
          <w:rFonts w:ascii="Times New Roman" w:hAnsi="Times New Roman"/>
          <w:sz w:val="24"/>
        </w:rPr>
        <w:t xml:space="preserve">involve monitoring by the </w:t>
      </w:r>
      <w:r w:rsidR="00D55D45">
        <w:rPr>
          <w:rFonts w:ascii="Times New Roman" w:hAnsi="Times New Roman"/>
          <w:sz w:val="24"/>
        </w:rPr>
        <w:t>OPR</w:t>
      </w:r>
      <w:r w:rsidR="00231E2C">
        <w:rPr>
          <w:rFonts w:ascii="Times New Roman" w:hAnsi="Times New Roman"/>
          <w:sz w:val="24"/>
        </w:rPr>
        <w:t>.  The trial judge noted this and held in para. 8</w:t>
      </w:r>
      <w:r w:rsidR="005F4E67">
        <w:rPr>
          <w:rFonts w:ascii="Times New Roman" w:hAnsi="Times New Roman"/>
          <w:sz w:val="24"/>
        </w:rPr>
        <w:t>5</w:t>
      </w:r>
      <w:r w:rsidR="00231E2C">
        <w:rPr>
          <w:rFonts w:ascii="Times New Roman" w:hAnsi="Times New Roman"/>
          <w:sz w:val="24"/>
        </w:rPr>
        <w:t xml:space="preserve"> </w:t>
      </w:r>
      <w:r w:rsidR="00547258">
        <w:rPr>
          <w:rFonts w:ascii="Times New Roman" w:hAnsi="Times New Roman"/>
          <w:sz w:val="24"/>
        </w:rPr>
        <w:t xml:space="preserve">of his judgment </w:t>
      </w:r>
      <w:r w:rsidR="00231E2C">
        <w:rPr>
          <w:rFonts w:ascii="Times New Roman" w:hAnsi="Times New Roman"/>
          <w:sz w:val="24"/>
        </w:rPr>
        <w:t xml:space="preserve">that it was entirely reasonable that the SEA Statement should make provision for an overall monitoring position to be held by the Department relying on the expertise and experience of the bodies which have </w:t>
      </w:r>
      <w:r w:rsidR="00231E2C">
        <w:rPr>
          <w:rFonts w:ascii="Times New Roman" w:hAnsi="Times New Roman"/>
          <w:sz w:val="24"/>
        </w:rPr>
        <w:lastRenderedPageBreak/>
        <w:t>specific jurisdiction over the monitoring of various aspects</w:t>
      </w:r>
      <w:r w:rsidR="002A3DB7">
        <w:rPr>
          <w:rFonts w:ascii="Times New Roman" w:hAnsi="Times New Roman"/>
          <w:sz w:val="24"/>
        </w:rPr>
        <w:t>,</w:t>
      </w:r>
      <w:r w:rsidR="00231E2C">
        <w:rPr>
          <w:rFonts w:ascii="Times New Roman" w:hAnsi="Times New Roman"/>
          <w:sz w:val="24"/>
        </w:rPr>
        <w:t xml:space="preserve"> such as air quality, water quality etc.</w:t>
      </w:r>
      <w:r w:rsidR="005F4E67">
        <w:rPr>
          <w:rFonts w:ascii="Times New Roman" w:hAnsi="Times New Roman"/>
          <w:sz w:val="24"/>
        </w:rPr>
        <w:t>,</w:t>
      </w:r>
      <w:r w:rsidR="00231E2C">
        <w:rPr>
          <w:rFonts w:ascii="Times New Roman" w:hAnsi="Times New Roman"/>
          <w:sz w:val="24"/>
        </w:rPr>
        <w:t xml:space="preserve"> with the Department coordinating the monitoring of the various areas set out in Table 7.1.  He noted that there was provision that the Department </w:t>
      </w:r>
      <w:r w:rsidR="00231E2C">
        <w:rPr>
          <w:rFonts w:ascii="Times New Roman" w:hAnsi="Times New Roman"/>
          <w:i/>
          <w:sz w:val="24"/>
        </w:rPr>
        <w:t>“will take action if unforeseen adverse effects emerge”</w:t>
      </w:r>
      <w:r w:rsidR="00231E2C">
        <w:rPr>
          <w:rFonts w:ascii="Times New Roman" w:hAnsi="Times New Roman"/>
          <w:sz w:val="24"/>
        </w:rPr>
        <w:t>.</w:t>
      </w:r>
      <w:r w:rsidR="00547258">
        <w:rPr>
          <w:rFonts w:ascii="Times New Roman" w:hAnsi="Times New Roman"/>
          <w:sz w:val="24"/>
        </w:rPr>
        <w:t xml:space="preserve"> </w:t>
      </w:r>
      <w:r w:rsidR="005F4E67">
        <w:rPr>
          <w:rFonts w:ascii="Times New Roman" w:hAnsi="Times New Roman"/>
          <w:sz w:val="24"/>
        </w:rPr>
        <w:t xml:space="preserve"> </w:t>
      </w:r>
      <w:r w:rsidR="00547258">
        <w:rPr>
          <w:rFonts w:ascii="Times New Roman" w:hAnsi="Times New Roman"/>
          <w:sz w:val="24"/>
        </w:rPr>
        <w:t xml:space="preserve">Given the nature of the plan and the unforeseen effects referred to, it is simply not possible </w:t>
      </w:r>
      <w:r w:rsidR="00664500">
        <w:rPr>
          <w:rFonts w:ascii="Times New Roman" w:hAnsi="Times New Roman"/>
          <w:sz w:val="24"/>
        </w:rPr>
        <w:t xml:space="preserve">to </w:t>
      </w:r>
      <w:r w:rsidR="00547258">
        <w:rPr>
          <w:rFonts w:ascii="Times New Roman" w:hAnsi="Times New Roman"/>
          <w:sz w:val="24"/>
        </w:rPr>
        <w:t>identify any remedial steps which could/might be taken.</w:t>
      </w:r>
    </w:p>
    <w:p w14:paraId="50710316" w14:textId="37542F42" w:rsidR="00231E2C" w:rsidRDefault="00231E2C"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addition, at para. 86</w:t>
      </w:r>
      <w:r w:rsidR="00664500">
        <w:rPr>
          <w:rFonts w:ascii="Times New Roman" w:hAnsi="Times New Roman"/>
          <w:sz w:val="24"/>
        </w:rPr>
        <w:t>,</w:t>
      </w:r>
      <w:r>
        <w:rPr>
          <w:rFonts w:ascii="Times New Roman" w:hAnsi="Times New Roman"/>
          <w:sz w:val="24"/>
        </w:rPr>
        <w:t xml:space="preserve"> the trial judge referred to the fact that individual pro</w:t>
      </w:r>
      <w:r w:rsidR="00D55D45">
        <w:rPr>
          <w:rFonts w:ascii="Times New Roman" w:hAnsi="Times New Roman"/>
          <w:sz w:val="24"/>
        </w:rPr>
        <w:t>je</w:t>
      </w:r>
      <w:r>
        <w:rPr>
          <w:rFonts w:ascii="Times New Roman" w:hAnsi="Times New Roman"/>
          <w:sz w:val="24"/>
        </w:rPr>
        <w:t xml:space="preserve">cts will require planning permission which will be subject to assessment by the relevant planning authorities and the relevant assessments will be </w:t>
      </w:r>
      <w:r w:rsidR="00003B4D">
        <w:rPr>
          <w:rFonts w:ascii="Times New Roman" w:hAnsi="Times New Roman"/>
          <w:sz w:val="24"/>
        </w:rPr>
        <w:t>conducted in respect of</w:t>
      </w:r>
      <w:r>
        <w:rPr>
          <w:rFonts w:ascii="Times New Roman" w:hAnsi="Times New Roman"/>
          <w:sz w:val="24"/>
        </w:rPr>
        <w:t xml:space="preserve"> </w:t>
      </w:r>
      <w:r w:rsidR="00003B4D">
        <w:rPr>
          <w:rFonts w:ascii="Times New Roman" w:hAnsi="Times New Roman"/>
          <w:sz w:val="24"/>
        </w:rPr>
        <w:t>each</w:t>
      </w:r>
      <w:r>
        <w:rPr>
          <w:rFonts w:ascii="Times New Roman" w:hAnsi="Times New Roman"/>
          <w:sz w:val="24"/>
        </w:rPr>
        <w:t xml:space="preserve"> individual project at that level, which will incorporate the views of statutory bodies such as the EPA in relation to water quality, air quality and other such matters.  </w:t>
      </w:r>
    </w:p>
    <w:p w14:paraId="1A903A36" w14:textId="6F5ED55C" w:rsidR="00231E2C" w:rsidRDefault="00231E2C"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these circumstances, I am not satisfied that the applicant has established that there was a failure by the respondents to comply with the requirement </w:t>
      </w:r>
      <w:r w:rsidR="00547258">
        <w:rPr>
          <w:rFonts w:ascii="Times New Roman" w:hAnsi="Times New Roman"/>
          <w:sz w:val="24"/>
        </w:rPr>
        <w:t>in</w:t>
      </w:r>
      <w:r>
        <w:rPr>
          <w:rFonts w:ascii="Times New Roman" w:hAnsi="Times New Roman"/>
          <w:sz w:val="24"/>
        </w:rPr>
        <w:t xml:space="preserve"> Article 10(1) or Regulation 17 of the SEA Regulations to monitor the significant environmental effects of implementing the NPF. </w:t>
      </w:r>
      <w:r w:rsidR="00664500">
        <w:rPr>
          <w:rFonts w:ascii="Times New Roman" w:hAnsi="Times New Roman"/>
          <w:sz w:val="24"/>
        </w:rPr>
        <w:t xml:space="preserve"> </w:t>
      </w:r>
      <w:r w:rsidR="00D55D45">
        <w:rPr>
          <w:rFonts w:ascii="Times New Roman" w:hAnsi="Times New Roman"/>
          <w:sz w:val="24"/>
        </w:rPr>
        <w:t>I</w:t>
      </w:r>
      <w:r w:rsidR="00547258">
        <w:rPr>
          <w:rFonts w:ascii="Times New Roman" w:hAnsi="Times New Roman"/>
          <w:sz w:val="24"/>
        </w:rPr>
        <w:t xml:space="preserve"> agree with the decision of</w:t>
      </w:r>
      <w:r w:rsidR="00D55D45">
        <w:rPr>
          <w:rFonts w:ascii="Times New Roman" w:hAnsi="Times New Roman"/>
          <w:sz w:val="24"/>
        </w:rPr>
        <w:t xml:space="preserve"> the trial judge on this point.</w:t>
      </w:r>
      <w:r w:rsidR="00664500">
        <w:rPr>
          <w:rFonts w:ascii="Times New Roman" w:hAnsi="Times New Roman"/>
          <w:sz w:val="24"/>
        </w:rPr>
        <w:t xml:space="preserve"> </w:t>
      </w:r>
      <w:r>
        <w:rPr>
          <w:rFonts w:ascii="Times New Roman" w:hAnsi="Times New Roman"/>
          <w:sz w:val="24"/>
        </w:rPr>
        <w:t xml:space="preserve"> I am not satisfied, on the facts in this case, that an issue arises which requires this </w:t>
      </w:r>
      <w:r w:rsidR="00664500">
        <w:rPr>
          <w:rFonts w:ascii="Times New Roman" w:hAnsi="Times New Roman"/>
          <w:sz w:val="24"/>
        </w:rPr>
        <w:t>c</w:t>
      </w:r>
      <w:r>
        <w:rPr>
          <w:rFonts w:ascii="Times New Roman" w:hAnsi="Times New Roman"/>
          <w:sz w:val="24"/>
        </w:rPr>
        <w:t>ourt to make a preliminary reference to the CJEU pursuant to Article 267 of TFEU</w:t>
      </w:r>
      <w:r w:rsidR="00547258">
        <w:rPr>
          <w:rFonts w:ascii="Times New Roman" w:hAnsi="Times New Roman"/>
          <w:sz w:val="24"/>
        </w:rPr>
        <w:t>, as was requested by the applicant</w:t>
      </w:r>
      <w:r>
        <w:rPr>
          <w:rFonts w:ascii="Times New Roman" w:hAnsi="Times New Roman"/>
          <w:sz w:val="24"/>
        </w:rPr>
        <w:t xml:space="preserve">.  </w:t>
      </w:r>
    </w:p>
    <w:p w14:paraId="2A15ED94" w14:textId="77777777" w:rsidR="00A729A1" w:rsidRDefault="00A729A1" w:rsidP="005E487A">
      <w:pPr>
        <w:pStyle w:val="ListParagraph"/>
        <w:tabs>
          <w:tab w:val="left" w:pos="567"/>
        </w:tabs>
        <w:spacing w:line="276" w:lineRule="auto"/>
        <w:ind w:left="0"/>
        <w:jc w:val="left"/>
        <w:rPr>
          <w:rFonts w:ascii="Times New Roman" w:hAnsi="Times New Roman"/>
          <w:sz w:val="24"/>
        </w:rPr>
      </w:pPr>
    </w:p>
    <w:p w14:paraId="264816F1" w14:textId="242C24B5" w:rsidR="00D26BCA" w:rsidRDefault="009D47D4" w:rsidP="00231E2C">
      <w:pPr>
        <w:pStyle w:val="ListParagraph"/>
        <w:tabs>
          <w:tab w:val="left" w:pos="567"/>
        </w:tabs>
        <w:spacing w:line="480" w:lineRule="auto"/>
        <w:ind w:left="0"/>
        <w:jc w:val="left"/>
        <w:rPr>
          <w:rFonts w:ascii="Times New Roman" w:hAnsi="Times New Roman"/>
          <w:sz w:val="24"/>
        </w:rPr>
      </w:pPr>
      <w:r>
        <w:rPr>
          <w:rFonts w:ascii="Times New Roman" w:hAnsi="Times New Roman"/>
          <w:b/>
          <w:sz w:val="24"/>
          <w:u w:val="single"/>
        </w:rPr>
        <w:t>Issue Four:</w:t>
      </w:r>
      <w:r w:rsidR="00424F31">
        <w:rPr>
          <w:rFonts w:ascii="Times New Roman" w:hAnsi="Times New Roman"/>
          <w:b/>
          <w:sz w:val="24"/>
          <w:u w:val="single"/>
        </w:rPr>
        <w:t xml:space="preserve"> </w:t>
      </w:r>
      <w:r w:rsidR="00231E2C">
        <w:rPr>
          <w:rFonts w:ascii="Times New Roman" w:hAnsi="Times New Roman"/>
          <w:b/>
          <w:sz w:val="24"/>
          <w:u w:val="single"/>
        </w:rPr>
        <w:t>Failure to assess the effects of the NPF on climate change</w:t>
      </w:r>
      <w:r w:rsidR="0045310B">
        <w:rPr>
          <w:rFonts w:ascii="Times New Roman" w:hAnsi="Times New Roman"/>
          <w:sz w:val="24"/>
        </w:rPr>
        <w:t xml:space="preserve">     </w:t>
      </w:r>
      <w:r w:rsidR="00D26BCA">
        <w:rPr>
          <w:rFonts w:ascii="Times New Roman" w:hAnsi="Times New Roman"/>
          <w:sz w:val="24"/>
        </w:rPr>
        <w:t xml:space="preserve"> </w:t>
      </w:r>
      <w:r w:rsidR="00917B6B">
        <w:rPr>
          <w:rFonts w:ascii="Times New Roman" w:hAnsi="Times New Roman"/>
          <w:sz w:val="24"/>
        </w:rPr>
        <w:t xml:space="preserve"> </w:t>
      </w:r>
    </w:p>
    <w:p w14:paraId="36A4DCAA" w14:textId="3D9F7723" w:rsidR="00836A1E" w:rsidRDefault="00231E2C"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Article 5(1) and Annex </w:t>
      </w:r>
      <w:r w:rsidR="00664500">
        <w:rPr>
          <w:rFonts w:ascii="Times New Roman" w:hAnsi="Times New Roman"/>
          <w:sz w:val="24"/>
        </w:rPr>
        <w:t>I</w:t>
      </w:r>
      <w:r w:rsidR="00801AA8">
        <w:rPr>
          <w:rFonts w:ascii="Times New Roman" w:hAnsi="Times New Roman"/>
          <w:sz w:val="24"/>
        </w:rPr>
        <w:t>(f)</w:t>
      </w:r>
      <w:r>
        <w:rPr>
          <w:rFonts w:ascii="Times New Roman" w:hAnsi="Times New Roman"/>
          <w:sz w:val="24"/>
        </w:rPr>
        <w:t xml:space="preserve"> of the SEA Directive requires that the SEA Environmental Report identifies, describes and evaluates the likely significant effects on the environment, including </w:t>
      </w:r>
      <w:r>
        <w:rPr>
          <w:rFonts w:ascii="Times New Roman" w:hAnsi="Times New Roman"/>
          <w:i/>
          <w:sz w:val="24"/>
        </w:rPr>
        <w:t>“climatic factors”</w:t>
      </w:r>
      <w:r>
        <w:rPr>
          <w:rFonts w:ascii="Times New Roman" w:hAnsi="Times New Roman"/>
          <w:sz w:val="24"/>
        </w:rPr>
        <w:t xml:space="preserve"> of implementing the </w:t>
      </w:r>
      <w:r w:rsidR="00003B4D">
        <w:rPr>
          <w:rFonts w:ascii="Times New Roman" w:hAnsi="Times New Roman"/>
          <w:sz w:val="24"/>
        </w:rPr>
        <w:t>p</w:t>
      </w:r>
      <w:r>
        <w:rPr>
          <w:rFonts w:ascii="Times New Roman" w:hAnsi="Times New Roman"/>
          <w:sz w:val="24"/>
        </w:rPr>
        <w:t>lan</w:t>
      </w:r>
      <w:r w:rsidR="00003B4D">
        <w:rPr>
          <w:rFonts w:ascii="Times New Roman" w:hAnsi="Times New Roman"/>
          <w:sz w:val="24"/>
        </w:rPr>
        <w:t xml:space="preserve"> or programme</w:t>
      </w:r>
      <w:r>
        <w:rPr>
          <w:rFonts w:ascii="Times New Roman" w:hAnsi="Times New Roman"/>
          <w:sz w:val="24"/>
        </w:rPr>
        <w:t xml:space="preserve">.  The applicant notes that the </w:t>
      </w:r>
      <w:r w:rsidR="00003B4D">
        <w:rPr>
          <w:rFonts w:ascii="Times New Roman" w:hAnsi="Times New Roman"/>
          <w:sz w:val="24"/>
        </w:rPr>
        <w:t xml:space="preserve">SEA </w:t>
      </w:r>
      <w:r>
        <w:rPr>
          <w:rFonts w:ascii="Times New Roman" w:hAnsi="Times New Roman"/>
          <w:sz w:val="24"/>
        </w:rPr>
        <w:t xml:space="preserve">Environmental Report contains an extensive section on the </w:t>
      </w:r>
      <w:r w:rsidR="00836A1E">
        <w:rPr>
          <w:rFonts w:ascii="Times New Roman" w:hAnsi="Times New Roman"/>
          <w:sz w:val="24"/>
        </w:rPr>
        <w:t xml:space="preserve">inadequacy of the national response to greenhouse gas </w:t>
      </w:r>
      <w:r w:rsidR="00801AA8">
        <w:rPr>
          <w:rFonts w:ascii="Times New Roman" w:hAnsi="Times New Roman"/>
          <w:sz w:val="24"/>
        </w:rPr>
        <w:t>e</w:t>
      </w:r>
      <w:r w:rsidR="00836A1E">
        <w:rPr>
          <w:rFonts w:ascii="Times New Roman" w:hAnsi="Times New Roman"/>
          <w:sz w:val="24"/>
        </w:rPr>
        <w:t xml:space="preserve">missions and addresses current </w:t>
      </w:r>
      <w:r w:rsidR="00801AA8">
        <w:rPr>
          <w:rFonts w:ascii="Times New Roman" w:hAnsi="Times New Roman"/>
          <w:sz w:val="24"/>
        </w:rPr>
        <w:lastRenderedPageBreak/>
        <w:t>e</w:t>
      </w:r>
      <w:r w:rsidR="00836A1E">
        <w:rPr>
          <w:rFonts w:ascii="Times New Roman" w:hAnsi="Times New Roman"/>
          <w:sz w:val="24"/>
        </w:rPr>
        <w:t>missions projections and the effect of the National Mitigation Plan</w:t>
      </w:r>
      <w:r w:rsidR="00810C22">
        <w:rPr>
          <w:rStyle w:val="FootnoteReference"/>
          <w:rFonts w:ascii="Times New Roman" w:hAnsi="Times New Roman"/>
          <w:sz w:val="24"/>
        </w:rPr>
        <w:footnoteReference w:id="4"/>
      </w:r>
      <w:r w:rsidR="00836A1E">
        <w:rPr>
          <w:rFonts w:ascii="Times New Roman" w:hAnsi="Times New Roman"/>
          <w:sz w:val="24"/>
        </w:rPr>
        <w:t>.  While there are many references to climate change in the SEA</w:t>
      </w:r>
      <w:r w:rsidR="00801AA8">
        <w:rPr>
          <w:rFonts w:ascii="Times New Roman" w:hAnsi="Times New Roman"/>
          <w:sz w:val="24"/>
        </w:rPr>
        <w:t xml:space="preserve"> Environmental </w:t>
      </w:r>
      <w:r w:rsidR="00836A1E">
        <w:rPr>
          <w:rFonts w:ascii="Times New Roman" w:hAnsi="Times New Roman"/>
          <w:sz w:val="24"/>
        </w:rPr>
        <w:t>Report, the applicant says that</w:t>
      </w:r>
      <w:r w:rsidR="00664500">
        <w:rPr>
          <w:rFonts w:ascii="Times New Roman" w:hAnsi="Times New Roman"/>
          <w:sz w:val="24"/>
        </w:rPr>
        <w:t>,</w:t>
      </w:r>
      <w:r w:rsidR="00836A1E">
        <w:rPr>
          <w:rFonts w:ascii="Times New Roman" w:hAnsi="Times New Roman"/>
          <w:sz w:val="24"/>
        </w:rPr>
        <w:t xml:space="preserve"> nonetheless</w:t>
      </w:r>
      <w:r w:rsidR="00664500">
        <w:rPr>
          <w:rFonts w:ascii="Times New Roman" w:hAnsi="Times New Roman"/>
          <w:sz w:val="24"/>
        </w:rPr>
        <w:t>,</w:t>
      </w:r>
      <w:r w:rsidR="00836A1E">
        <w:rPr>
          <w:rFonts w:ascii="Times New Roman" w:hAnsi="Times New Roman"/>
          <w:sz w:val="24"/>
        </w:rPr>
        <w:t xml:space="preserve"> it fails to engage with the key issue: the likely effect on climate change of implementing the NPF.  </w:t>
      </w:r>
    </w:p>
    <w:p w14:paraId="6DB239AD" w14:textId="05E7052D" w:rsidR="00836A1E" w:rsidRDefault="00836A1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its written submissions, the applicant refers to the respondent</w:t>
      </w:r>
      <w:r w:rsidR="00801AA8">
        <w:rPr>
          <w:rFonts w:ascii="Times New Roman" w:hAnsi="Times New Roman"/>
          <w:sz w:val="24"/>
        </w:rPr>
        <w:t>s’</w:t>
      </w:r>
      <w:r>
        <w:rPr>
          <w:rFonts w:ascii="Times New Roman" w:hAnsi="Times New Roman"/>
          <w:sz w:val="24"/>
        </w:rPr>
        <w:t xml:space="preserve"> evidence that 20% of the development which would occur </w:t>
      </w:r>
      <w:r>
        <w:rPr>
          <w:rFonts w:ascii="Times New Roman" w:hAnsi="Times New Roman"/>
          <w:i/>
          <w:sz w:val="24"/>
        </w:rPr>
        <w:t xml:space="preserve">“under the auspices of the NPF” </w:t>
      </w:r>
      <w:r>
        <w:rPr>
          <w:rFonts w:ascii="Times New Roman" w:hAnsi="Times New Roman"/>
          <w:sz w:val="24"/>
        </w:rPr>
        <w:t xml:space="preserve">would be on a </w:t>
      </w:r>
      <w:r w:rsidR="00664500">
        <w:rPr>
          <w:rFonts w:ascii="Times New Roman" w:hAnsi="Times New Roman"/>
          <w:sz w:val="24"/>
        </w:rPr>
        <w:t>near zero</w:t>
      </w:r>
      <w:r>
        <w:rPr>
          <w:rFonts w:ascii="Times New Roman" w:hAnsi="Times New Roman"/>
          <w:sz w:val="24"/>
        </w:rPr>
        <w:t xml:space="preserve"> </w:t>
      </w:r>
      <w:r w:rsidR="00664500">
        <w:rPr>
          <w:rFonts w:ascii="Times New Roman" w:hAnsi="Times New Roman"/>
          <w:sz w:val="24"/>
        </w:rPr>
        <w:t>e</w:t>
      </w:r>
      <w:r>
        <w:rPr>
          <w:rFonts w:ascii="Times New Roman" w:hAnsi="Times New Roman"/>
          <w:sz w:val="24"/>
        </w:rPr>
        <w:t>mission</w:t>
      </w:r>
      <w:r w:rsidR="00664500">
        <w:rPr>
          <w:rFonts w:ascii="Times New Roman" w:hAnsi="Times New Roman"/>
          <w:sz w:val="24"/>
        </w:rPr>
        <w:t>s</w:t>
      </w:r>
      <w:r>
        <w:rPr>
          <w:rFonts w:ascii="Times New Roman" w:hAnsi="Times New Roman"/>
          <w:sz w:val="24"/>
        </w:rPr>
        <w:t xml:space="preserve"> basis.  At para. 167 </w:t>
      </w:r>
      <w:r w:rsidR="00801AA8">
        <w:rPr>
          <w:rFonts w:ascii="Times New Roman" w:hAnsi="Times New Roman"/>
          <w:sz w:val="24"/>
        </w:rPr>
        <w:t>of the</w:t>
      </w:r>
      <w:r>
        <w:rPr>
          <w:rFonts w:ascii="Times New Roman" w:hAnsi="Times New Roman"/>
          <w:sz w:val="24"/>
        </w:rPr>
        <w:t xml:space="preserve"> submission</w:t>
      </w:r>
      <w:r w:rsidR="00801AA8">
        <w:rPr>
          <w:rFonts w:ascii="Times New Roman" w:hAnsi="Times New Roman"/>
          <w:sz w:val="24"/>
        </w:rPr>
        <w:t xml:space="preserve"> it argues</w:t>
      </w:r>
      <w:r>
        <w:rPr>
          <w:rFonts w:ascii="Times New Roman" w:hAnsi="Times New Roman"/>
          <w:sz w:val="24"/>
        </w:rPr>
        <w:t>:</w:t>
      </w:r>
      <w:r w:rsidR="00664500">
        <w:rPr>
          <w:rFonts w:ascii="Times New Roman" w:hAnsi="Times New Roman"/>
          <w:sz w:val="24"/>
        </w:rPr>
        <w:t>-</w:t>
      </w:r>
    </w:p>
    <w:p w14:paraId="695B8C78" w14:textId="407DE5AB" w:rsidR="00917B6B" w:rsidRDefault="00836A1E" w:rsidP="00836A1E">
      <w:pPr>
        <w:pStyle w:val="ListParagraph"/>
        <w:spacing w:line="480" w:lineRule="auto"/>
        <w:ind w:left="567"/>
        <w:jc w:val="left"/>
        <w:rPr>
          <w:rFonts w:ascii="Times New Roman" w:hAnsi="Times New Roman"/>
          <w:sz w:val="24"/>
        </w:rPr>
      </w:pPr>
      <w:r>
        <w:rPr>
          <w:rFonts w:ascii="Times New Roman" w:hAnsi="Times New Roman"/>
          <w:i/>
          <w:sz w:val="24"/>
        </w:rPr>
        <w:t xml:space="preserve">“It may be that the NPF will not affect 80% of the built environment and that it will, therefore, have very little effect on climatic factors.  What is required by law is that the Environmental Report </w:t>
      </w:r>
      <w:r w:rsidRPr="00395E45">
        <w:rPr>
          <w:rFonts w:ascii="Times New Roman" w:hAnsi="Times New Roman"/>
          <w:b/>
          <w:bCs/>
          <w:i/>
          <w:sz w:val="24"/>
        </w:rPr>
        <w:t>actually say so</w:t>
      </w:r>
      <w:r>
        <w:rPr>
          <w:rFonts w:ascii="Times New Roman" w:hAnsi="Times New Roman"/>
          <w:i/>
          <w:sz w:val="24"/>
        </w:rPr>
        <w:t>. It is important to bear in mind that the Environmental Report is the document put out for public consultation.  It should state plainly what the effect of the preferred option (and reasonable alternatives) on climate factors would be, so that the views of the public on this crucial issue can be given.”</w:t>
      </w:r>
      <w:r>
        <w:rPr>
          <w:rFonts w:ascii="Times New Roman" w:hAnsi="Times New Roman"/>
          <w:sz w:val="24"/>
        </w:rPr>
        <w:t xml:space="preserve"> </w:t>
      </w:r>
      <w:r w:rsidR="00664500">
        <w:rPr>
          <w:rFonts w:ascii="Times New Roman" w:hAnsi="Times New Roman"/>
          <w:sz w:val="24"/>
        </w:rPr>
        <w:t xml:space="preserve">(emphasis </w:t>
      </w:r>
      <w:r w:rsidR="00EE4F1E">
        <w:rPr>
          <w:rFonts w:ascii="Times New Roman" w:hAnsi="Times New Roman"/>
          <w:sz w:val="24"/>
        </w:rPr>
        <w:t xml:space="preserve">as </w:t>
      </w:r>
      <w:r w:rsidR="00664500">
        <w:rPr>
          <w:rFonts w:ascii="Times New Roman" w:hAnsi="Times New Roman"/>
          <w:sz w:val="24"/>
        </w:rPr>
        <w:t>in original)</w:t>
      </w:r>
    </w:p>
    <w:p w14:paraId="7828C3B6" w14:textId="18613948" w:rsidR="00836A1E" w:rsidRDefault="00836A1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argues that the legal requirement is accordingly not met; this is a legal point and not a challenge on the merits. </w:t>
      </w:r>
    </w:p>
    <w:p w14:paraId="4EE92171" w14:textId="4D6A031F" w:rsidR="00384810" w:rsidRDefault="00836A1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respondents say that the SEA Environmental Report </w:t>
      </w:r>
      <w:r w:rsidR="00923AA5">
        <w:rPr>
          <w:rFonts w:ascii="Times New Roman" w:hAnsi="Times New Roman"/>
          <w:sz w:val="24"/>
        </w:rPr>
        <w:t xml:space="preserve">deals </w:t>
      </w:r>
      <w:r>
        <w:rPr>
          <w:rFonts w:ascii="Times New Roman" w:hAnsi="Times New Roman"/>
          <w:sz w:val="24"/>
        </w:rPr>
        <w:t xml:space="preserve">extensively </w:t>
      </w:r>
      <w:r w:rsidR="00923AA5">
        <w:rPr>
          <w:rFonts w:ascii="Times New Roman" w:hAnsi="Times New Roman"/>
          <w:sz w:val="24"/>
        </w:rPr>
        <w:t xml:space="preserve">with </w:t>
      </w:r>
      <w:r w:rsidR="00384810">
        <w:rPr>
          <w:rFonts w:ascii="Times New Roman" w:hAnsi="Times New Roman"/>
          <w:sz w:val="24"/>
        </w:rPr>
        <w:t>the existing baseline in terms of air quality and climate</w:t>
      </w:r>
      <w:r w:rsidR="00923AA5">
        <w:rPr>
          <w:rFonts w:ascii="Times New Roman" w:hAnsi="Times New Roman"/>
          <w:sz w:val="24"/>
        </w:rPr>
        <w:t>,</w:t>
      </w:r>
      <w:r w:rsidR="00384810">
        <w:rPr>
          <w:rFonts w:ascii="Times New Roman" w:hAnsi="Times New Roman"/>
          <w:sz w:val="24"/>
        </w:rPr>
        <w:t xml:space="preserve"> including greenhouse gas </w:t>
      </w:r>
      <w:r w:rsidR="00775092">
        <w:rPr>
          <w:rFonts w:ascii="Times New Roman" w:hAnsi="Times New Roman"/>
          <w:sz w:val="24"/>
        </w:rPr>
        <w:t>e</w:t>
      </w:r>
      <w:r w:rsidR="00384810">
        <w:rPr>
          <w:rFonts w:ascii="Times New Roman" w:hAnsi="Times New Roman"/>
          <w:sz w:val="24"/>
        </w:rPr>
        <w:t>missions</w:t>
      </w:r>
      <w:r w:rsidR="00923AA5">
        <w:rPr>
          <w:rFonts w:ascii="Times New Roman" w:hAnsi="Times New Roman"/>
          <w:sz w:val="24"/>
        </w:rPr>
        <w:t>,</w:t>
      </w:r>
      <w:r w:rsidR="00384810">
        <w:rPr>
          <w:rFonts w:ascii="Times New Roman" w:hAnsi="Times New Roman"/>
          <w:sz w:val="24"/>
        </w:rPr>
        <w:t xml:space="preserve"> </w:t>
      </w:r>
      <w:r w:rsidR="00923AA5">
        <w:rPr>
          <w:rFonts w:ascii="Times New Roman" w:hAnsi="Times New Roman"/>
          <w:sz w:val="24"/>
        </w:rPr>
        <w:t>under para</w:t>
      </w:r>
      <w:r w:rsidR="00384810">
        <w:rPr>
          <w:rFonts w:ascii="Times New Roman" w:hAnsi="Times New Roman"/>
          <w:sz w:val="24"/>
        </w:rPr>
        <w:t>. 5.2.5, pp. 85-90.  In Chapter 8</w:t>
      </w:r>
      <w:r w:rsidR="00EE4F1E">
        <w:rPr>
          <w:rFonts w:ascii="Times New Roman" w:hAnsi="Times New Roman"/>
          <w:sz w:val="24"/>
        </w:rPr>
        <w:t>,</w:t>
      </w:r>
      <w:r w:rsidR="00384810">
        <w:rPr>
          <w:rFonts w:ascii="Times New Roman" w:hAnsi="Times New Roman"/>
          <w:sz w:val="24"/>
        </w:rPr>
        <w:t xml:space="preserve"> the likely significant effects of the implementation of the preferred option on the relevant environmental factors, including climate and climate change are addressed in detail by reference to each </w:t>
      </w:r>
      <w:r w:rsidR="00EE4F1E">
        <w:rPr>
          <w:rFonts w:ascii="Times New Roman" w:hAnsi="Times New Roman"/>
          <w:sz w:val="24"/>
        </w:rPr>
        <w:t>n</w:t>
      </w:r>
      <w:r w:rsidR="00384810">
        <w:rPr>
          <w:rFonts w:ascii="Times New Roman" w:hAnsi="Times New Roman"/>
          <w:sz w:val="24"/>
        </w:rPr>
        <w:t xml:space="preserve">ational </w:t>
      </w:r>
      <w:r w:rsidR="00EE4F1E">
        <w:rPr>
          <w:rFonts w:ascii="Times New Roman" w:hAnsi="Times New Roman"/>
          <w:sz w:val="24"/>
        </w:rPr>
        <w:t>p</w:t>
      </w:r>
      <w:r w:rsidR="00384810">
        <w:rPr>
          <w:rFonts w:ascii="Times New Roman" w:hAnsi="Times New Roman"/>
          <w:sz w:val="24"/>
        </w:rPr>
        <w:t xml:space="preserve">olicy </w:t>
      </w:r>
      <w:r w:rsidR="00EE4F1E">
        <w:rPr>
          <w:rFonts w:ascii="Times New Roman" w:hAnsi="Times New Roman"/>
          <w:sz w:val="24"/>
        </w:rPr>
        <w:t>o</w:t>
      </w:r>
      <w:r w:rsidR="00384810">
        <w:rPr>
          <w:rFonts w:ascii="Times New Roman" w:hAnsi="Times New Roman"/>
          <w:sz w:val="24"/>
        </w:rPr>
        <w:t>bjective in the NPF.  They submit that this establishes that the report deals with a matter which is required to be addressed under the SEA Directive</w:t>
      </w:r>
      <w:r w:rsidR="00775092">
        <w:rPr>
          <w:rFonts w:ascii="Times New Roman" w:hAnsi="Times New Roman"/>
          <w:sz w:val="24"/>
        </w:rPr>
        <w:t xml:space="preserve"> by</w:t>
      </w:r>
      <w:r w:rsidR="00384810">
        <w:rPr>
          <w:rFonts w:ascii="Times New Roman" w:hAnsi="Times New Roman"/>
          <w:sz w:val="24"/>
        </w:rPr>
        <w:t xml:space="preserve"> Article 5(1) and Annex </w:t>
      </w:r>
      <w:r w:rsidR="00EE4F1E">
        <w:rPr>
          <w:rFonts w:ascii="Times New Roman" w:hAnsi="Times New Roman"/>
          <w:sz w:val="24"/>
        </w:rPr>
        <w:t>I</w:t>
      </w:r>
      <w:r w:rsidR="00384810">
        <w:rPr>
          <w:rFonts w:ascii="Times New Roman" w:hAnsi="Times New Roman"/>
          <w:sz w:val="24"/>
        </w:rPr>
        <w:t xml:space="preserve">.  They submit, </w:t>
      </w:r>
      <w:r w:rsidR="00384810">
        <w:rPr>
          <w:rFonts w:ascii="Times New Roman" w:hAnsi="Times New Roman"/>
          <w:i/>
          <w:sz w:val="24"/>
        </w:rPr>
        <w:t>“</w:t>
      </w:r>
      <w:r w:rsidR="00EE4F1E">
        <w:rPr>
          <w:rFonts w:ascii="Times New Roman" w:hAnsi="Times New Roman"/>
          <w:i/>
          <w:sz w:val="24"/>
        </w:rPr>
        <w:t>[</w:t>
      </w:r>
      <w:r w:rsidR="00384810">
        <w:rPr>
          <w:rFonts w:ascii="Times New Roman" w:hAnsi="Times New Roman"/>
          <w:i/>
          <w:sz w:val="24"/>
        </w:rPr>
        <w:t>i</w:t>
      </w:r>
      <w:r w:rsidR="00EE4F1E">
        <w:rPr>
          <w:rFonts w:ascii="Times New Roman" w:hAnsi="Times New Roman"/>
          <w:i/>
          <w:sz w:val="24"/>
        </w:rPr>
        <w:t>]</w:t>
      </w:r>
      <w:r w:rsidR="00384810">
        <w:rPr>
          <w:rFonts w:ascii="Times New Roman" w:hAnsi="Times New Roman"/>
          <w:i/>
          <w:sz w:val="24"/>
        </w:rPr>
        <w:t xml:space="preserve">n accordance with almost two decades of consistent and established </w:t>
      </w:r>
      <w:r w:rsidR="00384810">
        <w:rPr>
          <w:rFonts w:ascii="Times New Roman" w:hAnsi="Times New Roman"/>
          <w:i/>
          <w:sz w:val="24"/>
        </w:rPr>
        <w:lastRenderedPageBreak/>
        <w:t>authority”</w:t>
      </w:r>
      <w:r w:rsidR="00384810">
        <w:rPr>
          <w:rFonts w:ascii="Times New Roman" w:hAnsi="Times New Roman"/>
          <w:sz w:val="24"/>
        </w:rPr>
        <w:t xml:space="preserve"> that </w:t>
      </w:r>
      <w:r w:rsidR="00384810">
        <w:rPr>
          <w:rFonts w:ascii="Times New Roman" w:hAnsi="Times New Roman"/>
          <w:i/>
          <w:sz w:val="24"/>
        </w:rPr>
        <w:t>“that concludes the matter”</w:t>
      </w:r>
      <w:r w:rsidR="00775092">
        <w:rPr>
          <w:rFonts w:ascii="Times New Roman" w:hAnsi="Times New Roman"/>
          <w:i/>
          <w:sz w:val="24"/>
        </w:rPr>
        <w:t>,</w:t>
      </w:r>
      <w:r w:rsidR="00384810">
        <w:rPr>
          <w:rFonts w:ascii="Times New Roman" w:hAnsi="Times New Roman"/>
          <w:i/>
          <w:sz w:val="24"/>
        </w:rPr>
        <w:t xml:space="preserve"> </w:t>
      </w:r>
      <w:r w:rsidR="00384810">
        <w:rPr>
          <w:rFonts w:ascii="Times New Roman" w:hAnsi="Times New Roman"/>
          <w:sz w:val="24"/>
        </w:rPr>
        <w:t xml:space="preserve">citing McKechnie J. in </w:t>
      </w:r>
      <w:r w:rsidR="00384810">
        <w:rPr>
          <w:rFonts w:ascii="Times New Roman" w:hAnsi="Times New Roman"/>
          <w:i/>
          <w:sz w:val="24"/>
        </w:rPr>
        <w:t xml:space="preserve">Kenny v. An Bord Pleanála (No. 1) </w:t>
      </w:r>
      <w:r w:rsidR="00EE4F1E" w:rsidRPr="004A56E3">
        <w:rPr>
          <w:rFonts w:ascii="Times New Roman" w:hAnsi="Times New Roman"/>
          <w:iCs/>
          <w:sz w:val="24"/>
        </w:rPr>
        <w:t>[2001] 1 I.R. 565</w:t>
      </w:r>
      <w:r w:rsidR="00EE4F1E" w:rsidRPr="00EE4F1E">
        <w:rPr>
          <w:rFonts w:ascii="Times New Roman" w:hAnsi="Times New Roman"/>
          <w:i/>
          <w:sz w:val="24"/>
        </w:rPr>
        <w:t xml:space="preserve"> </w:t>
      </w:r>
      <w:r w:rsidR="00384810">
        <w:rPr>
          <w:rFonts w:ascii="Times New Roman" w:hAnsi="Times New Roman"/>
          <w:sz w:val="24"/>
        </w:rPr>
        <w:t>where he held that:</w:t>
      </w:r>
      <w:r w:rsidR="00504321">
        <w:rPr>
          <w:rFonts w:ascii="Times New Roman" w:hAnsi="Times New Roman"/>
          <w:sz w:val="24"/>
        </w:rPr>
        <w:t>-</w:t>
      </w:r>
    </w:p>
    <w:p w14:paraId="60B4BD7F" w14:textId="50FE8908" w:rsidR="009636DA" w:rsidRDefault="00384810" w:rsidP="009636DA">
      <w:pPr>
        <w:pStyle w:val="ListParagraph"/>
        <w:spacing w:line="480" w:lineRule="auto"/>
        <w:ind w:left="426"/>
        <w:jc w:val="left"/>
        <w:rPr>
          <w:rFonts w:ascii="Times New Roman" w:hAnsi="Times New Roman"/>
          <w:i/>
          <w:sz w:val="24"/>
        </w:rPr>
      </w:pPr>
      <w:r>
        <w:rPr>
          <w:rFonts w:ascii="Times New Roman" w:hAnsi="Times New Roman"/>
          <w:i/>
          <w:sz w:val="24"/>
        </w:rPr>
        <w:t>“</w:t>
      </w:r>
      <w:r w:rsidRPr="00384810">
        <w:rPr>
          <w:rFonts w:ascii="Times New Roman" w:hAnsi="Times New Roman"/>
          <w:i/>
          <w:sz w:val="24"/>
        </w:rPr>
        <w:t>19. Once the statutory requirements have been satisfied I should not concern myself with the qualitative nature of the E</w:t>
      </w:r>
      <w:r w:rsidR="00504321">
        <w:rPr>
          <w:rFonts w:ascii="Times New Roman" w:hAnsi="Times New Roman"/>
          <w:i/>
          <w:sz w:val="24"/>
        </w:rPr>
        <w:t xml:space="preserve">nvironmental </w:t>
      </w:r>
      <w:r w:rsidRPr="00384810">
        <w:rPr>
          <w:rFonts w:ascii="Times New Roman" w:hAnsi="Times New Roman"/>
          <w:i/>
          <w:sz w:val="24"/>
        </w:rPr>
        <w:t>I</w:t>
      </w:r>
      <w:r w:rsidR="00504321">
        <w:rPr>
          <w:rFonts w:ascii="Times New Roman" w:hAnsi="Times New Roman"/>
          <w:i/>
          <w:sz w:val="24"/>
        </w:rPr>
        <w:t xml:space="preserve">mpact </w:t>
      </w:r>
      <w:r w:rsidRPr="00384810">
        <w:rPr>
          <w:rFonts w:ascii="Times New Roman" w:hAnsi="Times New Roman"/>
          <w:i/>
          <w:sz w:val="24"/>
        </w:rPr>
        <w:t>S</w:t>
      </w:r>
      <w:r w:rsidR="00504321">
        <w:rPr>
          <w:rFonts w:ascii="Times New Roman" w:hAnsi="Times New Roman"/>
          <w:i/>
          <w:sz w:val="24"/>
        </w:rPr>
        <w:t>tudy</w:t>
      </w:r>
      <w:r w:rsidRPr="00384810">
        <w:rPr>
          <w:rFonts w:ascii="Times New Roman" w:hAnsi="Times New Roman"/>
          <w:i/>
          <w:sz w:val="24"/>
        </w:rPr>
        <w:t xml:space="preserve"> or the debate on it had before the </w:t>
      </w:r>
      <w:r w:rsidR="00504321">
        <w:rPr>
          <w:rFonts w:ascii="Times New Roman" w:hAnsi="Times New Roman"/>
          <w:i/>
          <w:sz w:val="24"/>
        </w:rPr>
        <w:t>i</w:t>
      </w:r>
      <w:r w:rsidRPr="00384810">
        <w:rPr>
          <w:rFonts w:ascii="Times New Roman" w:hAnsi="Times New Roman"/>
          <w:i/>
          <w:sz w:val="24"/>
        </w:rPr>
        <w:t xml:space="preserve">nspector. These are not matters of concern to this </w:t>
      </w:r>
      <w:r w:rsidR="00504321">
        <w:rPr>
          <w:rFonts w:ascii="Times New Roman" w:hAnsi="Times New Roman"/>
          <w:i/>
          <w:sz w:val="24"/>
        </w:rPr>
        <w:t>c</w:t>
      </w:r>
      <w:r w:rsidRPr="00384810">
        <w:rPr>
          <w:rFonts w:ascii="Times New Roman" w:hAnsi="Times New Roman"/>
          <w:i/>
          <w:sz w:val="24"/>
        </w:rPr>
        <w:t>ourt.</w:t>
      </w:r>
      <w:r w:rsidR="009636DA">
        <w:rPr>
          <w:rFonts w:ascii="Times New Roman" w:hAnsi="Times New Roman"/>
          <w:i/>
          <w:sz w:val="24"/>
        </w:rPr>
        <w:t>”</w:t>
      </w:r>
    </w:p>
    <w:p w14:paraId="009DA5C2" w14:textId="5CCD7B4A" w:rsidR="00E57555" w:rsidRPr="00FA4DB5" w:rsidRDefault="00E57555" w:rsidP="00E343FF">
      <w:pPr>
        <w:pStyle w:val="ListParagraph"/>
        <w:numPr>
          <w:ilvl w:val="0"/>
          <w:numId w:val="1"/>
        </w:numPr>
        <w:tabs>
          <w:tab w:val="left" w:pos="567"/>
        </w:tabs>
        <w:spacing w:line="480" w:lineRule="auto"/>
        <w:ind w:left="0" w:firstLine="0"/>
        <w:jc w:val="left"/>
        <w:rPr>
          <w:rFonts w:ascii="Times New Roman" w:hAnsi="Times New Roman" w:cs="Times New Roman"/>
          <w:sz w:val="28"/>
          <w:szCs w:val="24"/>
        </w:rPr>
      </w:pPr>
      <w:r w:rsidRPr="00FA4DB5">
        <w:rPr>
          <w:rFonts w:ascii="Times New Roman" w:hAnsi="Times New Roman" w:cs="Times New Roman"/>
          <w:sz w:val="24"/>
          <w:szCs w:val="24"/>
        </w:rPr>
        <w:t>Since the NPF was first formulated the worldwide interest in climate change, grounded in growing scientific consensus and spurred on by protest movement from the younger generations, has led to even greater focus and intensity in the setting of higher environmental protection targets at international level.  It is quite likely that the environmental standards/data related to climate change that informed the formulation of the NPF have been or will be surpassed over time.  However</w:t>
      </w:r>
      <w:r w:rsidR="000A7B70" w:rsidRPr="00FA4DB5">
        <w:rPr>
          <w:rFonts w:ascii="Times New Roman" w:hAnsi="Times New Roman" w:cs="Times New Roman"/>
          <w:sz w:val="24"/>
          <w:szCs w:val="24"/>
        </w:rPr>
        <w:t>,</w:t>
      </w:r>
      <w:r w:rsidRPr="00FA4DB5">
        <w:rPr>
          <w:rFonts w:ascii="Times New Roman" w:hAnsi="Times New Roman" w:cs="Times New Roman"/>
          <w:sz w:val="24"/>
          <w:szCs w:val="24"/>
        </w:rPr>
        <w:t xml:space="preserve"> the NPF itself is at a high level, and its treatment of climatic factors is not fixed in stone. Its approach – particularly the integration of standards/targets into the planning system - allows for modernisation and change, and for higher standards to be incorporated into the planning system over the course its 20 year life cycle, such that it will be open to planning authorities and those responsible for regulating harmful emissions to incorporate higher standards into development permissions at local or regional level.</w:t>
      </w:r>
    </w:p>
    <w:p w14:paraId="11B4ACD2" w14:textId="4EF4C14E" w:rsidR="009444A1" w:rsidRDefault="000F7E47" w:rsidP="0077509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issue of climate change is addressed in the NPF. </w:t>
      </w:r>
      <w:r w:rsidR="009444A1">
        <w:rPr>
          <w:rFonts w:ascii="Times New Roman" w:hAnsi="Times New Roman"/>
          <w:sz w:val="24"/>
        </w:rPr>
        <w:t>At p</w:t>
      </w:r>
      <w:r w:rsidR="00F51707">
        <w:rPr>
          <w:rFonts w:ascii="Times New Roman" w:hAnsi="Times New Roman"/>
          <w:sz w:val="24"/>
        </w:rPr>
        <w:t>.</w:t>
      </w:r>
      <w:r w:rsidR="009444A1">
        <w:rPr>
          <w:rFonts w:ascii="Times New Roman" w:hAnsi="Times New Roman"/>
          <w:sz w:val="24"/>
        </w:rPr>
        <w:t xml:space="preserve"> 147 of the NPF under “Transition to Sustainable Energy” and “Green Energy”, the first </w:t>
      </w:r>
      <w:r w:rsidR="00AE49AC">
        <w:rPr>
          <w:rFonts w:ascii="Times New Roman" w:hAnsi="Times New Roman"/>
          <w:sz w:val="24"/>
        </w:rPr>
        <w:t>n</w:t>
      </w:r>
      <w:r w:rsidR="009444A1">
        <w:rPr>
          <w:rFonts w:ascii="Times New Roman" w:hAnsi="Times New Roman"/>
          <w:sz w:val="24"/>
        </w:rPr>
        <w:t xml:space="preserve">ational </w:t>
      </w:r>
      <w:r w:rsidR="00AE49AC">
        <w:rPr>
          <w:rFonts w:ascii="Times New Roman" w:hAnsi="Times New Roman"/>
          <w:sz w:val="24"/>
        </w:rPr>
        <w:t>s</w:t>
      </w:r>
      <w:r w:rsidR="009444A1">
        <w:rPr>
          <w:rFonts w:ascii="Times New Roman" w:hAnsi="Times New Roman"/>
          <w:sz w:val="24"/>
        </w:rPr>
        <w:t xml:space="preserve">trategic </w:t>
      </w:r>
      <w:r w:rsidR="00AE49AC">
        <w:rPr>
          <w:rFonts w:ascii="Times New Roman" w:hAnsi="Times New Roman"/>
          <w:sz w:val="24"/>
        </w:rPr>
        <w:t>o</w:t>
      </w:r>
      <w:r w:rsidR="009444A1">
        <w:rPr>
          <w:rFonts w:ascii="Times New Roman" w:hAnsi="Times New Roman"/>
          <w:sz w:val="24"/>
        </w:rPr>
        <w:t xml:space="preserve">utcome is </w:t>
      </w:r>
      <w:r w:rsidR="009444A1">
        <w:rPr>
          <w:rFonts w:ascii="Times New Roman" w:hAnsi="Times New Roman"/>
          <w:i/>
          <w:sz w:val="24"/>
        </w:rPr>
        <w:t>“</w:t>
      </w:r>
      <w:r w:rsidR="00AE49AC">
        <w:rPr>
          <w:rFonts w:ascii="Times New Roman" w:hAnsi="Times New Roman"/>
          <w:i/>
          <w:sz w:val="24"/>
        </w:rPr>
        <w:t>[d]</w:t>
      </w:r>
      <w:r w:rsidR="009444A1">
        <w:rPr>
          <w:rFonts w:ascii="Times New Roman" w:hAnsi="Times New Roman"/>
          <w:i/>
          <w:sz w:val="24"/>
        </w:rPr>
        <w:t xml:space="preserve">eliver 40% of our electricity needs from renewable sources by 2020 with a strategic aim to increase renewable deployment in line with EU targets and national policy objectives out to 2030 and beyond.” </w:t>
      </w:r>
      <w:r w:rsidR="0062641F">
        <w:rPr>
          <w:rFonts w:ascii="Times New Roman" w:hAnsi="Times New Roman"/>
          <w:i/>
          <w:sz w:val="24"/>
        </w:rPr>
        <w:t xml:space="preserve"> </w:t>
      </w:r>
      <w:r w:rsidR="009444A1">
        <w:rPr>
          <w:rFonts w:ascii="Times New Roman" w:hAnsi="Times New Roman"/>
          <w:sz w:val="24"/>
        </w:rPr>
        <w:t>Thus</w:t>
      </w:r>
      <w:r w:rsidR="0062641F">
        <w:rPr>
          <w:rFonts w:ascii="Times New Roman" w:hAnsi="Times New Roman"/>
          <w:sz w:val="24"/>
        </w:rPr>
        <w:t>,</w:t>
      </w:r>
      <w:r w:rsidR="009444A1">
        <w:rPr>
          <w:rFonts w:ascii="Times New Roman" w:hAnsi="Times New Roman"/>
          <w:sz w:val="24"/>
        </w:rPr>
        <w:t xml:space="preserve"> the NPF commits the state to responding to EU and national changes in standards or targets in respect of renewable energy and is not inextricably bound to those fixed in 2018 based on data available at that time.</w:t>
      </w:r>
    </w:p>
    <w:p w14:paraId="161497FB" w14:textId="474173C1" w:rsidR="0028327B" w:rsidRDefault="009444A1" w:rsidP="0077509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National Policy Objectives 54 and 55 are also relevant to this discussion. </w:t>
      </w:r>
      <w:r w:rsidR="0062641F">
        <w:rPr>
          <w:rFonts w:ascii="Times New Roman" w:hAnsi="Times New Roman"/>
          <w:sz w:val="24"/>
        </w:rPr>
        <w:t xml:space="preserve"> </w:t>
      </w:r>
      <w:r>
        <w:rPr>
          <w:rFonts w:ascii="Times New Roman" w:hAnsi="Times New Roman"/>
          <w:sz w:val="24"/>
        </w:rPr>
        <w:t xml:space="preserve">NPO 54 is to reduce our carbon footprint by </w:t>
      </w:r>
      <w:r w:rsidRPr="004A56E3">
        <w:rPr>
          <w:rFonts w:ascii="Times New Roman" w:hAnsi="Times New Roman"/>
          <w:i/>
          <w:iCs/>
          <w:sz w:val="24"/>
        </w:rPr>
        <w:t>“integrating climate action into the planning system in support of national targets for climate policy mitigation and adaptation objectives, as well as targets for greenhouse gas emissions reductions”.</w:t>
      </w:r>
      <w:r>
        <w:rPr>
          <w:rFonts w:ascii="Times New Roman" w:hAnsi="Times New Roman"/>
          <w:sz w:val="24"/>
        </w:rPr>
        <w:t xml:space="preserve"> </w:t>
      </w:r>
      <w:r w:rsidR="0062641F">
        <w:rPr>
          <w:rFonts w:ascii="Times New Roman" w:hAnsi="Times New Roman"/>
          <w:sz w:val="24"/>
        </w:rPr>
        <w:t xml:space="preserve"> </w:t>
      </w:r>
      <w:r>
        <w:rPr>
          <w:rFonts w:ascii="Times New Roman" w:hAnsi="Times New Roman"/>
          <w:sz w:val="24"/>
        </w:rPr>
        <w:t xml:space="preserve">NPO 55 is to </w:t>
      </w:r>
      <w:r w:rsidR="0028327B" w:rsidRPr="004A56E3">
        <w:rPr>
          <w:rFonts w:ascii="Times New Roman" w:hAnsi="Times New Roman"/>
          <w:i/>
          <w:iCs/>
          <w:sz w:val="24"/>
        </w:rPr>
        <w:t>“</w:t>
      </w:r>
      <w:r w:rsidR="0062641F" w:rsidRPr="004A56E3">
        <w:rPr>
          <w:rFonts w:ascii="Times New Roman" w:hAnsi="Times New Roman"/>
          <w:i/>
          <w:iCs/>
          <w:sz w:val="24"/>
        </w:rPr>
        <w:t>[p]</w:t>
      </w:r>
      <w:r w:rsidR="0028327B" w:rsidRPr="004A56E3">
        <w:rPr>
          <w:rFonts w:ascii="Times New Roman" w:hAnsi="Times New Roman"/>
          <w:i/>
          <w:iCs/>
          <w:sz w:val="24"/>
        </w:rPr>
        <w:t>romote renewable energy use and generation at appropriate locations within the built and natural environment to meet national objectives towards achieving a low carbon economy by 2050”.</w:t>
      </w:r>
      <w:r w:rsidR="0028327B">
        <w:rPr>
          <w:rFonts w:ascii="Times New Roman" w:hAnsi="Times New Roman"/>
          <w:sz w:val="24"/>
        </w:rPr>
        <w:t xml:space="preserve"> </w:t>
      </w:r>
      <w:r w:rsidR="0062641F">
        <w:rPr>
          <w:rFonts w:ascii="Times New Roman" w:hAnsi="Times New Roman"/>
          <w:sz w:val="24"/>
        </w:rPr>
        <w:t xml:space="preserve"> </w:t>
      </w:r>
      <w:r w:rsidR="0028327B">
        <w:rPr>
          <w:rFonts w:ascii="Times New Roman" w:hAnsi="Times New Roman"/>
          <w:sz w:val="24"/>
        </w:rPr>
        <w:t>This allows climate action and national targets to evolve over time.</w:t>
      </w:r>
      <w:r w:rsidR="0062641F">
        <w:rPr>
          <w:rFonts w:ascii="Times New Roman" w:hAnsi="Times New Roman"/>
          <w:sz w:val="24"/>
        </w:rPr>
        <w:t xml:space="preserve"> </w:t>
      </w:r>
      <w:r w:rsidR="0028327B">
        <w:rPr>
          <w:rFonts w:ascii="Times New Roman" w:hAnsi="Times New Roman"/>
          <w:sz w:val="24"/>
        </w:rPr>
        <w:t xml:space="preserve"> Most importantly</w:t>
      </w:r>
      <w:r w:rsidR="0062641F">
        <w:rPr>
          <w:rFonts w:ascii="Times New Roman" w:hAnsi="Times New Roman"/>
          <w:sz w:val="24"/>
        </w:rPr>
        <w:t>,</w:t>
      </w:r>
      <w:r w:rsidR="0028327B">
        <w:rPr>
          <w:rFonts w:ascii="Times New Roman" w:hAnsi="Times New Roman"/>
          <w:sz w:val="24"/>
        </w:rPr>
        <w:t xml:space="preserve"> they are to be integrated into the planning system and thus to impact future planning decisions.</w:t>
      </w:r>
    </w:p>
    <w:p w14:paraId="0209B54E" w14:textId="3D1187E2" w:rsidR="009444A1" w:rsidRDefault="0028327B" w:rsidP="0077509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fundamental policy position of transitioning to a competitive, low-carbon, climate resilient and environmentally sustainable economy by 2050 is stated clearly on </w:t>
      </w:r>
      <w:r w:rsidR="0073446C">
        <w:rPr>
          <w:rFonts w:ascii="Times New Roman" w:hAnsi="Times New Roman"/>
          <w:sz w:val="24"/>
        </w:rPr>
        <w:t xml:space="preserve">    </w:t>
      </w:r>
      <w:r>
        <w:rPr>
          <w:rFonts w:ascii="Times New Roman" w:hAnsi="Times New Roman"/>
          <w:sz w:val="24"/>
        </w:rPr>
        <w:t>p</w:t>
      </w:r>
      <w:r w:rsidR="0073446C">
        <w:rPr>
          <w:rFonts w:ascii="Times New Roman" w:hAnsi="Times New Roman"/>
          <w:sz w:val="24"/>
        </w:rPr>
        <w:t>.</w:t>
      </w:r>
      <w:r>
        <w:rPr>
          <w:rFonts w:ascii="Times New Roman" w:hAnsi="Times New Roman"/>
          <w:sz w:val="24"/>
        </w:rPr>
        <w:t xml:space="preserve"> 87 of the SEA Environmental Report:</w:t>
      </w:r>
      <w:r w:rsidR="0073446C">
        <w:rPr>
          <w:rFonts w:ascii="Times New Roman" w:hAnsi="Times New Roman"/>
          <w:sz w:val="24"/>
        </w:rPr>
        <w:t>-</w:t>
      </w:r>
    </w:p>
    <w:p w14:paraId="7C357DEF" w14:textId="581D0D1C" w:rsidR="00CC4618" w:rsidRPr="005E3859" w:rsidRDefault="0028327B" w:rsidP="004A56E3">
      <w:pPr>
        <w:pStyle w:val="CommentText"/>
        <w:spacing w:line="480" w:lineRule="auto"/>
        <w:ind w:left="567"/>
        <w:rPr>
          <w:i/>
          <w:sz w:val="24"/>
          <w:szCs w:val="24"/>
        </w:rPr>
      </w:pPr>
      <w:r>
        <w:rPr>
          <w:i/>
          <w:sz w:val="24"/>
        </w:rPr>
        <w:t>“</w:t>
      </w:r>
      <w:r w:rsidR="00CC4618" w:rsidRPr="005E3859">
        <w:rPr>
          <w:i/>
          <w:sz w:val="24"/>
          <w:szCs w:val="24"/>
        </w:rPr>
        <w:t xml:space="preserve">The European Council, in the context of necessary reductions according to </w:t>
      </w:r>
      <w:r w:rsidR="0073446C">
        <w:rPr>
          <w:i/>
          <w:sz w:val="24"/>
          <w:szCs w:val="24"/>
        </w:rPr>
        <w:t xml:space="preserve">the </w:t>
      </w:r>
      <w:r w:rsidR="00CC4618" w:rsidRPr="005E3859">
        <w:rPr>
          <w:i/>
          <w:sz w:val="24"/>
          <w:szCs w:val="24"/>
        </w:rPr>
        <w:t>IPCC by developed countries as a group, reconfirmed in February 2011 the EU objective of reducing [</w:t>
      </w:r>
      <w:r w:rsidR="00833E18">
        <w:rPr>
          <w:i/>
          <w:sz w:val="24"/>
          <w:szCs w:val="24"/>
        </w:rPr>
        <w:t>g</w:t>
      </w:r>
      <w:r w:rsidR="00CC4618" w:rsidRPr="005E3859">
        <w:rPr>
          <w:i/>
          <w:sz w:val="24"/>
          <w:szCs w:val="24"/>
        </w:rPr>
        <w:t>reen</w:t>
      </w:r>
      <w:r w:rsidR="00833E18">
        <w:rPr>
          <w:i/>
          <w:sz w:val="24"/>
          <w:szCs w:val="24"/>
        </w:rPr>
        <w:t>h</w:t>
      </w:r>
      <w:r w:rsidR="00CC4618" w:rsidRPr="005E3859">
        <w:rPr>
          <w:i/>
          <w:sz w:val="24"/>
          <w:szCs w:val="24"/>
        </w:rPr>
        <w:t xml:space="preserve">ouse </w:t>
      </w:r>
      <w:r w:rsidR="00833E18">
        <w:rPr>
          <w:i/>
          <w:sz w:val="24"/>
          <w:szCs w:val="24"/>
        </w:rPr>
        <w:t>g</w:t>
      </w:r>
      <w:r w:rsidR="00CC4618" w:rsidRPr="005E3859">
        <w:rPr>
          <w:i/>
          <w:sz w:val="24"/>
          <w:szCs w:val="24"/>
        </w:rPr>
        <w:t xml:space="preserve">as] emissions by 80-95% by 2050 compared to 1990 levels.  To ensure that Ireland can effectively and equitably contribute to the EU objective of reducing </w:t>
      </w:r>
      <w:r w:rsidR="00833E18">
        <w:rPr>
          <w:i/>
          <w:sz w:val="24"/>
          <w:szCs w:val="24"/>
        </w:rPr>
        <w:t>[g</w:t>
      </w:r>
      <w:r w:rsidR="00833E18" w:rsidRPr="005E3859">
        <w:rPr>
          <w:i/>
          <w:sz w:val="24"/>
          <w:szCs w:val="24"/>
        </w:rPr>
        <w:t>reen</w:t>
      </w:r>
      <w:r w:rsidR="00833E18">
        <w:rPr>
          <w:i/>
          <w:sz w:val="24"/>
          <w:szCs w:val="24"/>
        </w:rPr>
        <w:t>h</w:t>
      </w:r>
      <w:r w:rsidR="00833E18" w:rsidRPr="005E3859">
        <w:rPr>
          <w:i/>
          <w:sz w:val="24"/>
          <w:szCs w:val="24"/>
        </w:rPr>
        <w:t xml:space="preserve">ouse </w:t>
      </w:r>
      <w:r w:rsidR="00833E18">
        <w:rPr>
          <w:i/>
          <w:sz w:val="24"/>
          <w:szCs w:val="24"/>
        </w:rPr>
        <w:t>g</w:t>
      </w:r>
      <w:r w:rsidR="00833E18" w:rsidRPr="005E3859">
        <w:rPr>
          <w:i/>
          <w:sz w:val="24"/>
          <w:szCs w:val="24"/>
        </w:rPr>
        <w:t>as</w:t>
      </w:r>
      <w:r w:rsidR="00833E18">
        <w:rPr>
          <w:i/>
          <w:sz w:val="24"/>
          <w:szCs w:val="24"/>
        </w:rPr>
        <w:t>es]</w:t>
      </w:r>
      <w:r w:rsidR="00CC4618" w:rsidRPr="005E3859">
        <w:rPr>
          <w:i/>
          <w:sz w:val="24"/>
          <w:szCs w:val="24"/>
        </w:rPr>
        <w:t xml:space="preserve"> by 80-95% and for the purpose of compliance with EU law, </w:t>
      </w:r>
      <w:r w:rsidR="000A7B70" w:rsidRPr="005E3859">
        <w:rPr>
          <w:i/>
          <w:sz w:val="24"/>
          <w:szCs w:val="24"/>
        </w:rPr>
        <w:t>i</w:t>
      </w:r>
      <w:r w:rsidR="00CC4618" w:rsidRPr="005E3859">
        <w:rPr>
          <w:i/>
          <w:sz w:val="24"/>
          <w:szCs w:val="24"/>
        </w:rPr>
        <w:t>t has been necessary to develop a low-carbon development strategy for the period to 2050.</w:t>
      </w:r>
    </w:p>
    <w:p w14:paraId="7FECFDBC" w14:textId="500103A3" w:rsidR="00CC4618" w:rsidRDefault="00CC4618" w:rsidP="004A56E3">
      <w:pPr>
        <w:pStyle w:val="CommentText"/>
        <w:spacing w:line="480" w:lineRule="auto"/>
        <w:ind w:left="567"/>
      </w:pPr>
      <w:r w:rsidRPr="005E3859">
        <w:rPr>
          <w:i/>
          <w:sz w:val="24"/>
          <w:szCs w:val="24"/>
        </w:rPr>
        <w:t>The National Policy Position on climate action sets a fundamental national objective to achieve the transition to a competitive, low-carbon, climate</w:t>
      </w:r>
      <w:r w:rsidR="000B202E">
        <w:rPr>
          <w:i/>
          <w:sz w:val="24"/>
          <w:szCs w:val="24"/>
        </w:rPr>
        <w:t>-</w:t>
      </w:r>
      <w:r w:rsidRPr="005E3859">
        <w:rPr>
          <w:i/>
          <w:sz w:val="24"/>
          <w:szCs w:val="24"/>
        </w:rPr>
        <w:t>resilient and environmentally sustainable economy by 2050”.</w:t>
      </w:r>
    </w:p>
    <w:p w14:paraId="0BA02074" w14:textId="552BFFC5" w:rsidR="0028327B" w:rsidRPr="000A7B70" w:rsidRDefault="000A7B70" w:rsidP="005E3859">
      <w:pPr>
        <w:pStyle w:val="CommentText"/>
        <w:spacing w:line="480" w:lineRule="auto"/>
        <w:rPr>
          <w:sz w:val="24"/>
          <w:szCs w:val="24"/>
        </w:rPr>
      </w:pPr>
      <w:r>
        <w:rPr>
          <w:sz w:val="24"/>
          <w:szCs w:val="24"/>
        </w:rPr>
        <w:t>It is in this context that the applicant’s challenge to the NPF is to be assessed.</w:t>
      </w:r>
    </w:p>
    <w:p w14:paraId="7CBFE481" w14:textId="1C59FC4C" w:rsidR="00003B4D" w:rsidRDefault="009636DA" w:rsidP="0077509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 am satisfied that the submissions of the respondents are correct and that </w:t>
      </w:r>
      <w:r w:rsidR="00B22981">
        <w:rPr>
          <w:rFonts w:ascii="Times New Roman" w:hAnsi="Times New Roman"/>
          <w:sz w:val="24"/>
        </w:rPr>
        <w:t xml:space="preserve">the substance of the submission </w:t>
      </w:r>
      <w:r w:rsidR="000A7B70">
        <w:rPr>
          <w:rFonts w:ascii="Times New Roman" w:hAnsi="Times New Roman"/>
          <w:sz w:val="24"/>
        </w:rPr>
        <w:t xml:space="preserve">of the applicant </w:t>
      </w:r>
      <w:r w:rsidR="00B22981">
        <w:rPr>
          <w:rFonts w:ascii="Times New Roman" w:hAnsi="Times New Roman"/>
          <w:sz w:val="24"/>
        </w:rPr>
        <w:t xml:space="preserve">invites the court to engage with the merits of </w:t>
      </w:r>
      <w:r w:rsidR="00B22981">
        <w:rPr>
          <w:rFonts w:ascii="Times New Roman" w:hAnsi="Times New Roman"/>
          <w:sz w:val="24"/>
        </w:rPr>
        <w:lastRenderedPageBreak/>
        <w:t>the issue.</w:t>
      </w:r>
      <w:r w:rsidR="002C652C">
        <w:rPr>
          <w:rFonts w:ascii="Times New Roman" w:hAnsi="Times New Roman"/>
          <w:sz w:val="24"/>
        </w:rPr>
        <w:t xml:space="preserve"> </w:t>
      </w:r>
      <w:r w:rsidR="004F06A8">
        <w:rPr>
          <w:rFonts w:ascii="Times New Roman" w:hAnsi="Times New Roman"/>
          <w:sz w:val="24"/>
        </w:rPr>
        <w:t xml:space="preserve"> </w:t>
      </w:r>
      <w:r w:rsidR="002C652C">
        <w:rPr>
          <w:rFonts w:ascii="Times New Roman" w:hAnsi="Times New Roman"/>
          <w:sz w:val="24"/>
        </w:rPr>
        <w:t>I</w:t>
      </w:r>
      <w:r>
        <w:rPr>
          <w:rFonts w:ascii="Times New Roman" w:hAnsi="Times New Roman"/>
          <w:sz w:val="24"/>
        </w:rPr>
        <w:t xml:space="preserve">t </w:t>
      </w:r>
      <w:r w:rsidR="00775092">
        <w:rPr>
          <w:rFonts w:ascii="Times New Roman" w:hAnsi="Times New Roman"/>
          <w:sz w:val="24"/>
        </w:rPr>
        <w:t>i</w:t>
      </w:r>
      <w:r>
        <w:rPr>
          <w:rFonts w:ascii="Times New Roman" w:hAnsi="Times New Roman"/>
          <w:sz w:val="24"/>
        </w:rPr>
        <w:t xml:space="preserve">s established law that once the statutory requirements have been satisfied </w:t>
      </w:r>
      <w:r w:rsidR="002C652C">
        <w:rPr>
          <w:rFonts w:ascii="Times New Roman" w:hAnsi="Times New Roman"/>
          <w:sz w:val="24"/>
        </w:rPr>
        <w:t>– in this case, the decision maker has considered the relevant matters</w:t>
      </w:r>
      <w:r w:rsidR="00FF41C3">
        <w:rPr>
          <w:rFonts w:ascii="Times New Roman" w:hAnsi="Times New Roman"/>
          <w:sz w:val="24"/>
        </w:rPr>
        <w:t xml:space="preserve"> </w:t>
      </w:r>
      <w:r w:rsidR="004F06A8">
        <w:rPr>
          <w:rFonts w:ascii="Times New Roman" w:hAnsi="Times New Roman"/>
          <w:sz w:val="24"/>
        </w:rPr>
        <w:t>–</w:t>
      </w:r>
      <w:r w:rsidR="00FF41C3">
        <w:rPr>
          <w:rFonts w:ascii="Times New Roman" w:hAnsi="Times New Roman"/>
          <w:sz w:val="24"/>
        </w:rPr>
        <w:t xml:space="preserve"> </w:t>
      </w:r>
      <w:r>
        <w:rPr>
          <w:rFonts w:ascii="Times New Roman" w:hAnsi="Times New Roman"/>
          <w:sz w:val="24"/>
        </w:rPr>
        <w:t xml:space="preserve">that </w:t>
      </w:r>
      <w:r>
        <w:rPr>
          <w:rFonts w:ascii="Times New Roman" w:hAnsi="Times New Roman"/>
          <w:i/>
          <w:sz w:val="24"/>
        </w:rPr>
        <w:t>“concludes the matter”</w:t>
      </w:r>
      <w:r>
        <w:rPr>
          <w:rFonts w:ascii="Times New Roman" w:hAnsi="Times New Roman"/>
          <w:sz w:val="24"/>
        </w:rPr>
        <w:t xml:space="preserve">. </w:t>
      </w:r>
      <w:r w:rsidR="004F06A8">
        <w:rPr>
          <w:rFonts w:ascii="Times New Roman" w:hAnsi="Times New Roman"/>
          <w:sz w:val="24"/>
        </w:rPr>
        <w:t xml:space="preserve"> </w:t>
      </w:r>
      <w:r w:rsidR="002C652C">
        <w:rPr>
          <w:rFonts w:ascii="Times New Roman" w:hAnsi="Times New Roman"/>
          <w:sz w:val="24"/>
        </w:rPr>
        <w:t>The adequacy of the assessment of the matters is not a matter for this court.</w:t>
      </w:r>
    </w:p>
    <w:p w14:paraId="10D69BFD" w14:textId="51F574D5" w:rsidR="009D6BEF" w:rsidRDefault="003C19B5" w:rsidP="0077509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Furthermore, the approach of the applicant is one of excessive formalism, which has been condemned by Advocate General </w:t>
      </w:r>
      <w:proofErr w:type="spellStart"/>
      <w:r>
        <w:rPr>
          <w:rFonts w:ascii="Times New Roman" w:hAnsi="Times New Roman"/>
          <w:sz w:val="24"/>
        </w:rPr>
        <w:t>Kokott</w:t>
      </w:r>
      <w:proofErr w:type="spellEnd"/>
      <w:r w:rsidR="004F06A8">
        <w:rPr>
          <w:rFonts w:ascii="Times New Roman" w:hAnsi="Times New Roman"/>
          <w:sz w:val="24"/>
        </w:rPr>
        <w:t>,</w:t>
      </w:r>
      <w:r>
        <w:rPr>
          <w:rFonts w:ascii="Times New Roman" w:hAnsi="Times New Roman"/>
          <w:sz w:val="24"/>
        </w:rPr>
        <w:t xml:space="preserve"> and rejected in England </w:t>
      </w:r>
      <w:r w:rsidR="00003B4D">
        <w:rPr>
          <w:rFonts w:ascii="Times New Roman" w:hAnsi="Times New Roman"/>
          <w:sz w:val="24"/>
        </w:rPr>
        <w:t xml:space="preserve">and Wales </w:t>
      </w:r>
      <w:r>
        <w:rPr>
          <w:rFonts w:ascii="Times New Roman" w:hAnsi="Times New Roman"/>
          <w:sz w:val="24"/>
        </w:rPr>
        <w:t xml:space="preserve">and in the High Court here. </w:t>
      </w:r>
      <w:r w:rsidR="004F06A8">
        <w:rPr>
          <w:rFonts w:ascii="Times New Roman" w:hAnsi="Times New Roman"/>
          <w:sz w:val="24"/>
        </w:rPr>
        <w:t xml:space="preserve"> </w:t>
      </w:r>
      <w:r w:rsidR="009636DA">
        <w:rPr>
          <w:rFonts w:ascii="Times New Roman" w:hAnsi="Times New Roman"/>
          <w:sz w:val="24"/>
        </w:rPr>
        <w:t>The challenge to the NPF on the basis of an alleged failure to assess the effects of the implementation of the NPF on climate change was correctly rejected by the trial judge</w:t>
      </w:r>
      <w:r w:rsidR="004F06A8">
        <w:rPr>
          <w:rFonts w:ascii="Times New Roman" w:hAnsi="Times New Roman"/>
          <w:sz w:val="24"/>
        </w:rPr>
        <w:t>,</w:t>
      </w:r>
      <w:r w:rsidR="009636DA">
        <w:rPr>
          <w:rFonts w:ascii="Times New Roman" w:hAnsi="Times New Roman"/>
          <w:sz w:val="24"/>
        </w:rPr>
        <w:t xml:space="preserve"> in my opinion</w:t>
      </w:r>
      <w:r w:rsidR="004F06A8">
        <w:rPr>
          <w:rFonts w:ascii="Times New Roman" w:hAnsi="Times New Roman"/>
          <w:sz w:val="24"/>
        </w:rPr>
        <w:t>,</w:t>
      </w:r>
      <w:r w:rsidR="0031677E">
        <w:rPr>
          <w:rFonts w:ascii="Times New Roman" w:hAnsi="Times New Roman"/>
          <w:sz w:val="24"/>
        </w:rPr>
        <w:t xml:space="preserve"> and I would refuse the appeal on this ground</w:t>
      </w:r>
      <w:r w:rsidR="009636DA">
        <w:rPr>
          <w:rFonts w:ascii="Times New Roman" w:hAnsi="Times New Roman"/>
          <w:sz w:val="24"/>
        </w:rPr>
        <w:t xml:space="preserve">. </w:t>
      </w:r>
    </w:p>
    <w:p w14:paraId="142AED23" w14:textId="77777777" w:rsidR="00A729A1" w:rsidRPr="00775092" w:rsidRDefault="00A729A1" w:rsidP="005E487A">
      <w:pPr>
        <w:pStyle w:val="ListParagraph"/>
        <w:tabs>
          <w:tab w:val="left" w:pos="567"/>
        </w:tabs>
        <w:spacing w:line="276" w:lineRule="auto"/>
        <w:ind w:left="0"/>
        <w:jc w:val="left"/>
        <w:rPr>
          <w:rFonts w:ascii="Times New Roman" w:hAnsi="Times New Roman"/>
          <w:sz w:val="24"/>
        </w:rPr>
      </w:pPr>
    </w:p>
    <w:p w14:paraId="4DD82258" w14:textId="3BFB7AA1" w:rsidR="009636DA" w:rsidRPr="009636DA" w:rsidRDefault="009D47D4" w:rsidP="009636DA">
      <w:pPr>
        <w:pStyle w:val="ListParagraph"/>
        <w:tabs>
          <w:tab w:val="left" w:pos="567"/>
        </w:tabs>
        <w:spacing w:line="480" w:lineRule="auto"/>
        <w:ind w:left="0"/>
        <w:jc w:val="left"/>
        <w:rPr>
          <w:rFonts w:ascii="Times New Roman" w:hAnsi="Times New Roman"/>
          <w:b/>
          <w:sz w:val="24"/>
          <w:u w:val="single"/>
        </w:rPr>
      </w:pPr>
      <w:r>
        <w:rPr>
          <w:rFonts w:ascii="Times New Roman" w:hAnsi="Times New Roman"/>
          <w:b/>
          <w:sz w:val="24"/>
          <w:u w:val="single"/>
        </w:rPr>
        <w:t xml:space="preserve">Issue Five: </w:t>
      </w:r>
      <w:r w:rsidR="009636DA">
        <w:rPr>
          <w:rFonts w:ascii="Times New Roman" w:hAnsi="Times New Roman"/>
          <w:b/>
          <w:sz w:val="24"/>
          <w:u w:val="single"/>
        </w:rPr>
        <w:t>The National Development P</w:t>
      </w:r>
      <w:r w:rsidR="009D6BEF">
        <w:rPr>
          <w:rFonts w:ascii="Times New Roman" w:hAnsi="Times New Roman"/>
          <w:b/>
          <w:sz w:val="24"/>
          <w:u w:val="single"/>
        </w:rPr>
        <w:t>l</w:t>
      </w:r>
      <w:r w:rsidR="009636DA">
        <w:rPr>
          <w:rFonts w:ascii="Times New Roman" w:hAnsi="Times New Roman"/>
          <w:b/>
          <w:sz w:val="24"/>
          <w:u w:val="single"/>
        </w:rPr>
        <w:t>an</w:t>
      </w:r>
    </w:p>
    <w:p w14:paraId="77AA6082" w14:textId="176B4A93" w:rsidR="00512399" w:rsidRDefault="0051239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sa</w:t>
      </w:r>
      <w:r w:rsidR="009511A7">
        <w:rPr>
          <w:rFonts w:ascii="Times New Roman" w:hAnsi="Times New Roman"/>
          <w:sz w:val="24"/>
        </w:rPr>
        <w:t>id</w:t>
      </w:r>
      <w:r>
        <w:rPr>
          <w:rFonts w:ascii="Times New Roman" w:hAnsi="Times New Roman"/>
          <w:sz w:val="24"/>
        </w:rPr>
        <w:t xml:space="preserve"> that the ND</w:t>
      </w:r>
      <w:r w:rsidR="008C652E">
        <w:rPr>
          <w:rFonts w:ascii="Times New Roman" w:hAnsi="Times New Roman"/>
          <w:sz w:val="24"/>
        </w:rPr>
        <w:t>P</w:t>
      </w:r>
      <w:r>
        <w:rPr>
          <w:rFonts w:ascii="Times New Roman" w:hAnsi="Times New Roman"/>
          <w:sz w:val="24"/>
        </w:rPr>
        <w:t xml:space="preserve"> should have been subjected to assessment under the SEA Directive and the Habitats Directive because the NDP is so intimately connected with the NPF that the two simply cannot be disentangled</w:t>
      </w:r>
      <w:r w:rsidR="00833E18">
        <w:rPr>
          <w:rFonts w:ascii="Times New Roman" w:hAnsi="Times New Roman"/>
          <w:sz w:val="24"/>
        </w:rPr>
        <w:t>.</w:t>
      </w:r>
      <w:r w:rsidR="008C652E">
        <w:rPr>
          <w:rFonts w:ascii="Times New Roman" w:hAnsi="Times New Roman"/>
          <w:sz w:val="24"/>
        </w:rPr>
        <w:t xml:space="preserve"> </w:t>
      </w:r>
      <w:r w:rsidR="004F0476">
        <w:rPr>
          <w:rFonts w:ascii="Times New Roman" w:hAnsi="Times New Roman"/>
          <w:sz w:val="24"/>
        </w:rPr>
        <w:t xml:space="preserve"> </w:t>
      </w:r>
      <w:r>
        <w:rPr>
          <w:rFonts w:ascii="Times New Roman" w:hAnsi="Times New Roman"/>
          <w:sz w:val="24"/>
        </w:rPr>
        <w:t>Once it was accepted, as it was, that the NPF is a plan which requires SEA and AA</w:t>
      </w:r>
      <w:r w:rsidR="009511A7">
        <w:rPr>
          <w:rFonts w:ascii="Times New Roman" w:hAnsi="Times New Roman"/>
          <w:sz w:val="24"/>
        </w:rPr>
        <w:t>,</w:t>
      </w:r>
      <w:r>
        <w:rPr>
          <w:rFonts w:ascii="Times New Roman" w:hAnsi="Times New Roman"/>
          <w:sz w:val="24"/>
        </w:rPr>
        <w:t xml:space="preserve"> then the same necessarily must apply to the NDP.</w:t>
      </w:r>
      <w:r w:rsidR="00855F21" w:rsidRPr="00855F21">
        <w:rPr>
          <w:rFonts w:ascii="Times New Roman" w:hAnsi="Times New Roman"/>
          <w:sz w:val="24"/>
        </w:rPr>
        <w:t xml:space="preserve"> </w:t>
      </w:r>
      <w:r w:rsidR="00855F21">
        <w:rPr>
          <w:rFonts w:ascii="Times New Roman" w:hAnsi="Times New Roman"/>
          <w:sz w:val="24"/>
        </w:rPr>
        <w:t xml:space="preserve"> </w:t>
      </w:r>
      <w:r w:rsidR="00071A3F">
        <w:rPr>
          <w:rFonts w:ascii="Times New Roman" w:hAnsi="Times New Roman"/>
          <w:sz w:val="24"/>
        </w:rPr>
        <w:t>Wrongly, according to the applicant, it was not so assessed.</w:t>
      </w:r>
      <w:r w:rsidR="00855F21">
        <w:rPr>
          <w:rFonts w:ascii="Times New Roman" w:hAnsi="Times New Roman"/>
          <w:sz w:val="24"/>
        </w:rPr>
        <w:t xml:space="preserve">  </w:t>
      </w:r>
    </w:p>
    <w:p w14:paraId="5E45538F" w14:textId="6131DDC0" w:rsidR="00512399" w:rsidRDefault="00DC3262"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On appeal</w:t>
      </w:r>
      <w:r w:rsidR="004F06A8">
        <w:rPr>
          <w:rFonts w:ascii="Times New Roman" w:hAnsi="Times New Roman"/>
          <w:sz w:val="24"/>
        </w:rPr>
        <w:t>,</w:t>
      </w:r>
      <w:r>
        <w:rPr>
          <w:rFonts w:ascii="Times New Roman" w:hAnsi="Times New Roman"/>
          <w:sz w:val="24"/>
        </w:rPr>
        <w:t xml:space="preserve"> t</w:t>
      </w:r>
      <w:r w:rsidR="00512399">
        <w:rPr>
          <w:rFonts w:ascii="Times New Roman" w:hAnsi="Times New Roman"/>
          <w:sz w:val="24"/>
        </w:rPr>
        <w:t>he applicant no longer maintained the argument that the NDP as a standalone plan required assessment under the SEA Directive and the Habitats Directive</w:t>
      </w:r>
      <w:r w:rsidR="008C652E">
        <w:rPr>
          <w:rFonts w:ascii="Times New Roman" w:hAnsi="Times New Roman"/>
          <w:sz w:val="24"/>
        </w:rPr>
        <w:t>.</w:t>
      </w:r>
      <w:r w:rsidR="00512399">
        <w:rPr>
          <w:rFonts w:ascii="Times New Roman" w:hAnsi="Times New Roman"/>
          <w:sz w:val="24"/>
        </w:rPr>
        <w:t xml:space="preserve">  Its position </w:t>
      </w:r>
      <w:r w:rsidR="002F73B5">
        <w:rPr>
          <w:rFonts w:ascii="Times New Roman" w:hAnsi="Times New Roman"/>
          <w:sz w:val="24"/>
        </w:rPr>
        <w:t>wa</w:t>
      </w:r>
      <w:r w:rsidR="00512399">
        <w:rPr>
          <w:rFonts w:ascii="Times New Roman" w:hAnsi="Times New Roman"/>
          <w:sz w:val="24"/>
        </w:rPr>
        <w:t>s that because the NPF require</w:t>
      </w:r>
      <w:r w:rsidR="002F73B5">
        <w:rPr>
          <w:rFonts w:ascii="Times New Roman" w:hAnsi="Times New Roman"/>
          <w:sz w:val="24"/>
        </w:rPr>
        <w:t>d</w:t>
      </w:r>
      <w:r w:rsidR="00512399">
        <w:rPr>
          <w:rFonts w:ascii="Times New Roman" w:hAnsi="Times New Roman"/>
          <w:sz w:val="24"/>
        </w:rPr>
        <w:t xml:space="preserve"> to be subject to AA and SEA</w:t>
      </w:r>
      <w:r w:rsidR="008C652E">
        <w:rPr>
          <w:rFonts w:ascii="Times New Roman" w:hAnsi="Times New Roman"/>
          <w:sz w:val="24"/>
        </w:rPr>
        <w:t xml:space="preserve">, </w:t>
      </w:r>
      <w:r w:rsidR="00B71971">
        <w:rPr>
          <w:rFonts w:ascii="Times New Roman" w:hAnsi="Times New Roman"/>
          <w:sz w:val="24"/>
        </w:rPr>
        <w:t xml:space="preserve">and </w:t>
      </w:r>
      <w:r w:rsidR="002F73B5">
        <w:rPr>
          <w:rFonts w:ascii="Times New Roman" w:hAnsi="Times New Roman"/>
          <w:sz w:val="24"/>
        </w:rPr>
        <w:t>the NDP</w:t>
      </w:r>
      <w:r w:rsidR="008C652E">
        <w:rPr>
          <w:rFonts w:ascii="Times New Roman" w:hAnsi="Times New Roman"/>
          <w:sz w:val="24"/>
        </w:rPr>
        <w:t xml:space="preserve"> is so intertwined with the NPF</w:t>
      </w:r>
      <w:r w:rsidR="00B71971">
        <w:rPr>
          <w:rFonts w:ascii="Times New Roman" w:hAnsi="Times New Roman"/>
          <w:sz w:val="24"/>
        </w:rPr>
        <w:t>,</w:t>
      </w:r>
      <w:r w:rsidR="00512399">
        <w:rPr>
          <w:rFonts w:ascii="Times New Roman" w:hAnsi="Times New Roman"/>
          <w:sz w:val="24"/>
        </w:rPr>
        <w:t xml:space="preserve"> the NDP</w:t>
      </w:r>
      <w:r w:rsidR="008C652E">
        <w:rPr>
          <w:rFonts w:ascii="Times New Roman" w:hAnsi="Times New Roman"/>
          <w:sz w:val="24"/>
        </w:rPr>
        <w:t xml:space="preserve"> </w:t>
      </w:r>
      <w:r w:rsidR="00B71971">
        <w:rPr>
          <w:rFonts w:ascii="Times New Roman" w:hAnsi="Times New Roman"/>
          <w:sz w:val="24"/>
        </w:rPr>
        <w:t xml:space="preserve">necessarily </w:t>
      </w:r>
      <w:r w:rsidR="008C652E">
        <w:rPr>
          <w:rFonts w:ascii="Times New Roman" w:hAnsi="Times New Roman"/>
          <w:sz w:val="24"/>
        </w:rPr>
        <w:t>required to be subject to AA and SEA</w:t>
      </w:r>
      <w:r w:rsidR="002F73B5">
        <w:rPr>
          <w:rFonts w:ascii="Times New Roman" w:hAnsi="Times New Roman"/>
          <w:sz w:val="24"/>
        </w:rPr>
        <w:t xml:space="preserve"> also</w:t>
      </w:r>
      <w:r w:rsidR="00512399">
        <w:rPr>
          <w:rFonts w:ascii="Times New Roman" w:hAnsi="Times New Roman"/>
          <w:sz w:val="24"/>
        </w:rPr>
        <w:t xml:space="preserve">.  </w:t>
      </w:r>
    </w:p>
    <w:p w14:paraId="24A38A5D" w14:textId="2A42519C" w:rsidR="00512399" w:rsidRDefault="0051239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reject</w:t>
      </w:r>
      <w:r w:rsidR="002F73B5">
        <w:rPr>
          <w:rFonts w:ascii="Times New Roman" w:hAnsi="Times New Roman"/>
          <w:sz w:val="24"/>
        </w:rPr>
        <w:t>ed</w:t>
      </w:r>
      <w:r>
        <w:rPr>
          <w:rFonts w:ascii="Times New Roman" w:hAnsi="Times New Roman"/>
          <w:sz w:val="24"/>
        </w:rPr>
        <w:t xml:space="preserve"> th</w:t>
      </w:r>
      <w:r w:rsidR="008C652E">
        <w:rPr>
          <w:rFonts w:ascii="Times New Roman" w:hAnsi="Times New Roman"/>
          <w:sz w:val="24"/>
        </w:rPr>
        <w:t>e</w:t>
      </w:r>
      <w:r>
        <w:rPr>
          <w:rFonts w:ascii="Times New Roman" w:hAnsi="Times New Roman"/>
          <w:sz w:val="24"/>
        </w:rPr>
        <w:t xml:space="preserve"> fundamental premise that the NDP is inextricably linked with the NPF.  They submit</w:t>
      </w:r>
      <w:r w:rsidR="002F73B5">
        <w:rPr>
          <w:rFonts w:ascii="Times New Roman" w:hAnsi="Times New Roman"/>
          <w:sz w:val="24"/>
        </w:rPr>
        <w:t>ted</w:t>
      </w:r>
      <w:r>
        <w:rPr>
          <w:rFonts w:ascii="Times New Roman" w:hAnsi="Times New Roman"/>
          <w:sz w:val="24"/>
        </w:rPr>
        <w:t xml:space="preserve"> that</w:t>
      </w:r>
      <w:r w:rsidR="00833E18">
        <w:rPr>
          <w:rFonts w:ascii="Times New Roman" w:hAnsi="Times New Roman"/>
          <w:sz w:val="24"/>
        </w:rPr>
        <w:t>,</w:t>
      </w:r>
      <w:r>
        <w:rPr>
          <w:rFonts w:ascii="Times New Roman" w:hAnsi="Times New Roman"/>
          <w:sz w:val="24"/>
        </w:rPr>
        <w:t xml:space="preserve"> on its own terms, it is a </w:t>
      </w:r>
      <w:r>
        <w:rPr>
          <w:rFonts w:ascii="Times New Roman" w:hAnsi="Times New Roman"/>
          <w:i/>
          <w:sz w:val="24"/>
        </w:rPr>
        <w:t>“capital plan”</w:t>
      </w:r>
      <w:r>
        <w:rPr>
          <w:rFonts w:ascii="Times New Roman" w:hAnsi="Times New Roman"/>
          <w:sz w:val="24"/>
        </w:rPr>
        <w:t xml:space="preserve">, </w:t>
      </w:r>
      <w:r>
        <w:rPr>
          <w:rFonts w:ascii="Times New Roman" w:hAnsi="Times New Roman"/>
          <w:i/>
          <w:sz w:val="24"/>
        </w:rPr>
        <w:t>“a budget and financial plan”</w:t>
      </w:r>
      <w:r>
        <w:rPr>
          <w:rFonts w:ascii="Times New Roman" w:hAnsi="Times New Roman"/>
          <w:sz w:val="24"/>
        </w:rPr>
        <w:t>, prepared by the Department of Finance, Public Expenditure and Reform, which sets out investment priorities that will underpin the implementation of the NPF:</w:t>
      </w:r>
      <w:r w:rsidR="00E42483">
        <w:rPr>
          <w:rFonts w:ascii="Times New Roman" w:hAnsi="Times New Roman"/>
          <w:sz w:val="24"/>
        </w:rPr>
        <w:t>-</w:t>
      </w:r>
    </w:p>
    <w:p w14:paraId="30FFDD77" w14:textId="601A77F9" w:rsidR="00836A1E" w:rsidRDefault="00512399" w:rsidP="005E0DC1">
      <w:pPr>
        <w:pStyle w:val="ListParagraph"/>
        <w:tabs>
          <w:tab w:val="left" w:pos="426"/>
        </w:tabs>
        <w:spacing w:line="480" w:lineRule="auto"/>
        <w:ind w:left="567"/>
        <w:mirrorIndents/>
        <w:jc w:val="left"/>
        <w:rPr>
          <w:rFonts w:ascii="Times New Roman" w:hAnsi="Times New Roman"/>
          <w:sz w:val="24"/>
        </w:rPr>
      </w:pPr>
      <w:r>
        <w:rPr>
          <w:rFonts w:ascii="Times New Roman" w:hAnsi="Times New Roman"/>
          <w:i/>
          <w:sz w:val="24"/>
        </w:rPr>
        <w:lastRenderedPageBreak/>
        <w:t xml:space="preserve">“The National Development Plan, as a budget and financial plan, is not part of the physical planning process.” </w:t>
      </w:r>
      <w:r>
        <w:rPr>
          <w:rFonts w:ascii="Times New Roman" w:hAnsi="Times New Roman"/>
          <w:sz w:val="24"/>
        </w:rPr>
        <w:t xml:space="preserve">(para. 1.12 of the NDP) </w:t>
      </w:r>
      <w:r w:rsidR="00836A1E">
        <w:rPr>
          <w:rFonts w:ascii="Times New Roman" w:hAnsi="Times New Roman"/>
          <w:sz w:val="24"/>
        </w:rPr>
        <w:t xml:space="preserve"> </w:t>
      </w:r>
    </w:p>
    <w:p w14:paraId="62DFE33D" w14:textId="5720724A" w:rsidR="00ED75A5" w:rsidRDefault="0051239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respondents sa</w:t>
      </w:r>
      <w:r w:rsidR="002F73B5">
        <w:rPr>
          <w:rFonts w:ascii="Times New Roman" w:hAnsi="Times New Roman"/>
          <w:sz w:val="24"/>
        </w:rPr>
        <w:t>id</w:t>
      </w:r>
      <w:r>
        <w:rPr>
          <w:rFonts w:ascii="Times New Roman" w:hAnsi="Times New Roman"/>
          <w:sz w:val="24"/>
        </w:rPr>
        <w:t xml:space="preserve"> that the plans are complimentary because the NPF sets out the strategy, policies and objectives for the development of land in the </w:t>
      </w:r>
      <w:r w:rsidR="00B71971">
        <w:rPr>
          <w:rFonts w:ascii="Times New Roman" w:hAnsi="Times New Roman"/>
          <w:sz w:val="24"/>
        </w:rPr>
        <w:t>s</w:t>
      </w:r>
      <w:r>
        <w:rPr>
          <w:rFonts w:ascii="Times New Roman" w:hAnsi="Times New Roman"/>
          <w:sz w:val="24"/>
        </w:rPr>
        <w:t xml:space="preserve">tate whereas the NDP deals with the capital funding for the implementation of that </w:t>
      </w:r>
      <w:r w:rsidR="00ED75A5">
        <w:rPr>
          <w:rFonts w:ascii="Times New Roman" w:hAnsi="Times New Roman"/>
          <w:sz w:val="24"/>
        </w:rPr>
        <w:t xml:space="preserve">national </w:t>
      </w:r>
      <w:r w:rsidR="00ED75A5">
        <w:rPr>
          <w:rFonts w:ascii="Times New Roman" w:hAnsi="Times New Roman"/>
          <w:i/>
          <w:sz w:val="24"/>
        </w:rPr>
        <w:t>“framework”</w:t>
      </w:r>
      <w:r w:rsidR="00ED75A5">
        <w:rPr>
          <w:rFonts w:ascii="Times New Roman" w:hAnsi="Times New Roman"/>
          <w:sz w:val="24"/>
        </w:rPr>
        <w:t>.  The investment enables the implementation of the strategy.</w:t>
      </w:r>
    </w:p>
    <w:p w14:paraId="421D802A" w14:textId="3B01DE35" w:rsidR="00ED75A5" w:rsidRDefault="00ED75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applicant’s case on this point succeeds or fails on its argument that the NDP is, as a matter of law</w:t>
      </w:r>
      <w:r w:rsidR="002F73B5">
        <w:rPr>
          <w:rFonts w:ascii="Times New Roman" w:hAnsi="Times New Roman"/>
          <w:sz w:val="24"/>
        </w:rPr>
        <w:t>,</w:t>
      </w:r>
      <w:r>
        <w:rPr>
          <w:rFonts w:ascii="Times New Roman" w:hAnsi="Times New Roman"/>
          <w:sz w:val="24"/>
        </w:rPr>
        <w:t xml:space="preserve"> part of the NPF. </w:t>
      </w:r>
      <w:r w:rsidR="007068BB">
        <w:rPr>
          <w:rFonts w:ascii="Times New Roman" w:hAnsi="Times New Roman"/>
          <w:sz w:val="24"/>
        </w:rPr>
        <w:t xml:space="preserve"> </w:t>
      </w:r>
      <w:r w:rsidR="002F73B5">
        <w:rPr>
          <w:rFonts w:ascii="Times New Roman" w:hAnsi="Times New Roman"/>
          <w:sz w:val="24"/>
        </w:rPr>
        <w:t>Pursuant to</w:t>
      </w:r>
      <w:r>
        <w:rPr>
          <w:rFonts w:ascii="Times New Roman" w:hAnsi="Times New Roman"/>
          <w:sz w:val="24"/>
        </w:rPr>
        <w:t xml:space="preserve"> </w:t>
      </w:r>
      <w:r w:rsidR="002F73B5">
        <w:rPr>
          <w:rFonts w:ascii="Times New Roman" w:hAnsi="Times New Roman"/>
          <w:sz w:val="24"/>
        </w:rPr>
        <w:t xml:space="preserve">the definitions in </w:t>
      </w:r>
      <w:r>
        <w:rPr>
          <w:rFonts w:ascii="Times New Roman" w:hAnsi="Times New Roman"/>
          <w:sz w:val="24"/>
        </w:rPr>
        <w:t>Article 2</w:t>
      </w:r>
      <w:r w:rsidR="002F73B5">
        <w:rPr>
          <w:rFonts w:ascii="Times New Roman" w:hAnsi="Times New Roman"/>
          <w:sz w:val="24"/>
        </w:rPr>
        <w:t>,</w:t>
      </w:r>
      <w:r>
        <w:rPr>
          <w:rFonts w:ascii="Times New Roman" w:hAnsi="Times New Roman"/>
          <w:sz w:val="24"/>
        </w:rPr>
        <w:t xml:space="preserve"> the SEA Directive applies to plans or programmes which are </w:t>
      </w:r>
      <w:r>
        <w:rPr>
          <w:rFonts w:ascii="Times New Roman" w:hAnsi="Times New Roman"/>
          <w:i/>
          <w:sz w:val="24"/>
        </w:rPr>
        <w:t>“required by</w:t>
      </w:r>
      <w:r w:rsidRPr="002F73B5">
        <w:rPr>
          <w:rFonts w:ascii="Times New Roman" w:hAnsi="Times New Roman"/>
          <w:i/>
          <w:sz w:val="24"/>
          <w:u w:val="single"/>
        </w:rPr>
        <w:t xml:space="preserve"> legislative</w:t>
      </w:r>
      <w:r>
        <w:rPr>
          <w:rFonts w:ascii="Times New Roman" w:hAnsi="Times New Roman"/>
          <w:i/>
          <w:sz w:val="24"/>
        </w:rPr>
        <w:t>, regulatory or administrative provisions”</w:t>
      </w:r>
      <w:r>
        <w:rPr>
          <w:rFonts w:ascii="Times New Roman" w:hAnsi="Times New Roman"/>
          <w:sz w:val="24"/>
        </w:rPr>
        <w:t xml:space="preserve">.  While the CJEU held in </w:t>
      </w:r>
      <w:r w:rsidR="002F73B5">
        <w:rPr>
          <w:rFonts w:ascii="Times New Roman" w:hAnsi="Times New Roman"/>
          <w:i/>
          <w:sz w:val="24"/>
        </w:rPr>
        <w:t>I</w:t>
      </w:r>
      <w:r w:rsidRPr="00ED75A5">
        <w:rPr>
          <w:rFonts w:ascii="Times New Roman" w:hAnsi="Times New Roman"/>
          <w:i/>
          <w:sz w:val="24"/>
        </w:rPr>
        <w:t>nter</w:t>
      </w:r>
      <w:r w:rsidR="007068BB">
        <w:rPr>
          <w:rFonts w:ascii="Times New Roman" w:hAnsi="Times New Roman"/>
          <w:i/>
          <w:sz w:val="24"/>
        </w:rPr>
        <w:t>-</w:t>
      </w:r>
      <w:r w:rsidR="002F73B5">
        <w:rPr>
          <w:rFonts w:ascii="Times New Roman" w:hAnsi="Times New Roman"/>
          <w:i/>
          <w:sz w:val="24"/>
        </w:rPr>
        <w:t>E</w:t>
      </w:r>
      <w:r w:rsidRPr="00ED75A5">
        <w:rPr>
          <w:rFonts w:ascii="Times New Roman" w:hAnsi="Times New Roman"/>
          <w:i/>
          <w:sz w:val="24"/>
        </w:rPr>
        <w:t xml:space="preserve">nvironmental </w:t>
      </w:r>
      <w:proofErr w:type="spellStart"/>
      <w:r w:rsidRPr="00ED75A5">
        <w:rPr>
          <w:rFonts w:ascii="Times New Roman" w:hAnsi="Times New Roman"/>
          <w:i/>
          <w:sz w:val="24"/>
        </w:rPr>
        <w:t>Bru</w:t>
      </w:r>
      <w:r w:rsidR="00183B65">
        <w:rPr>
          <w:rFonts w:ascii="Times New Roman" w:hAnsi="Times New Roman"/>
          <w:i/>
          <w:sz w:val="24"/>
        </w:rPr>
        <w:t>xelles</w:t>
      </w:r>
      <w:proofErr w:type="spellEnd"/>
      <w:r>
        <w:rPr>
          <w:rFonts w:ascii="Times New Roman" w:hAnsi="Times New Roman"/>
          <w:sz w:val="24"/>
        </w:rPr>
        <w:t xml:space="preserve"> </w:t>
      </w:r>
      <w:r w:rsidR="007068BB" w:rsidRPr="004A56E3">
        <w:rPr>
          <w:rFonts w:ascii="Times New Roman" w:hAnsi="Times New Roman"/>
          <w:i/>
          <w:iCs/>
          <w:sz w:val="24"/>
        </w:rPr>
        <w:t xml:space="preserve">ASBL v. </w:t>
      </w:r>
      <w:proofErr w:type="spellStart"/>
      <w:r w:rsidR="007068BB" w:rsidRPr="004A56E3">
        <w:rPr>
          <w:rFonts w:ascii="Times New Roman" w:hAnsi="Times New Roman"/>
          <w:i/>
          <w:iCs/>
          <w:sz w:val="24"/>
        </w:rPr>
        <w:t>Région</w:t>
      </w:r>
      <w:proofErr w:type="spellEnd"/>
      <w:r w:rsidR="007068BB" w:rsidRPr="004A56E3">
        <w:rPr>
          <w:rFonts w:ascii="Times New Roman" w:hAnsi="Times New Roman"/>
          <w:i/>
          <w:iCs/>
          <w:sz w:val="24"/>
        </w:rPr>
        <w:t xml:space="preserve"> de </w:t>
      </w:r>
      <w:proofErr w:type="spellStart"/>
      <w:r w:rsidR="007068BB" w:rsidRPr="004A56E3">
        <w:rPr>
          <w:rFonts w:ascii="Times New Roman" w:hAnsi="Times New Roman"/>
          <w:i/>
          <w:iCs/>
          <w:sz w:val="24"/>
        </w:rPr>
        <w:t>Bruxelles-Capitale</w:t>
      </w:r>
      <w:proofErr w:type="spellEnd"/>
      <w:r w:rsidR="007068BB">
        <w:rPr>
          <w:rFonts w:ascii="Times New Roman" w:hAnsi="Times New Roman"/>
          <w:sz w:val="24"/>
        </w:rPr>
        <w:t xml:space="preserve"> </w:t>
      </w:r>
      <w:r>
        <w:rPr>
          <w:rFonts w:ascii="Times New Roman" w:hAnsi="Times New Roman"/>
          <w:sz w:val="24"/>
        </w:rPr>
        <w:t xml:space="preserve">(Case </w:t>
      </w:r>
      <w:r w:rsidR="007068BB">
        <w:rPr>
          <w:rFonts w:ascii="Times New Roman" w:hAnsi="Times New Roman"/>
          <w:sz w:val="24"/>
        </w:rPr>
        <w:t>C</w:t>
      </w:r>
      <w:r>
        <w:rPr>
          <w:rFonts w:ascii="Times New Roman" w:hAnsi="Times New Roman"/>
          <w:sz w:val="24"/>
        </w:rPr>
        <w:t xml:space="preserve">-567/10) that plans which are not required to be adopted but whose adoption, where it occurred, was covered by legislation </w:t>
      </w:r>
      <w:r w:rsidR="002F73B5">
        <w:rPr>
          <w:rFonts w:ascii="Times New Roman" w:hAnsi="Times New Roman"/>
          <w:sz w:val="24"/>
        </w:rPr>
        <w:t>come</w:t>
      </w:r>
      <w:r>
        <w:rPr>
          <w:rFonts w:ascii="Times New Roman" w:hAnsi="Times New Roman"/>
          <w:sz w:val="24"/>
        </w:rPr>
        <w:t xml:space="preserve"> within the definition, </w:t>
      </w:r>
      <w:r w:rsidR="002F73B5">
        <w:rPr>
          <w:rFonts w:ascii="Times New Roman" w:hAnsi="Times New Roman"/>
          <w:sz w:val="24"/>
        </w:rPr>
        <w:t>this does not assist the applicant</w:t>
      </w:r>
      <w:r w:rsidR="005B1DD4">
        <w:rPr>
          <w:rFonts w:ascii="Times New Roman" w:hAnsi="Times New Roman"/>
          <w:sz w:val="24"/>
        </w:rPr>
        <w:t>,</w:t>
      </w:r>
      <w:r w:rsidR="002F73B5">
        <w:rPr>
          <w:rFonts w:ascii="Times New Roman" w:hAnsi="Times New Roman"/>
          <w:sz w:val="24"/>
        </w:rPr>
        <w:t xml:space="preserve"> as</w:t>
      </w:r>
      <w:r>
        <w:rPr>
          <w:rFonts w:ascii="Times New Roman" w:hAnsi="Times New Roman"/>
          <w:sz w:val="24"/>
        </w:rPr>
        <w:t xml:space="preserve"> the NDP was neither required to be adopted pursuant to </w:t>
      </w:r>
      <w:r w:rsidR="005B1DD4">
        <w:rPr>
          <w:rFonts w:ascii="Times New Roman" w:hAnsi="Times New Roman"/>
          <w:sz w:val="24"/>
        </w:rPr>
        <w:t xml:space="preserve">any </w:t>
      </w:r>
      <w:r>
        <w:rPr>
          <w:rFonts w:ascii="Times New Roman" w:hAnsi="Times New Roman"/>
          <w:sz w:val="24"/>
        </w:rPr>
        <w:t>statutory provisions nor was the procedure for its adoption pr</w:t>
      </w:r>
      <w:r w:rsidR="00B71971">
        <w:rPr>
          <w:rFonts w:ascii="Times New Roman" w:hAnsi="Times New Roman"/>
          <w:sz w:val="24"/>
        </w:rPr>
        <w:t>e</w:t>
      </w:r>
      <w:r>
        <w:rPr>
          <w:rFonts w:ascii="Times New Roman" w:hAnsi="Times New Roman"/>
          <w:sz w:val="24"/>
        </w:rPr>
        <w:t xml:space="preserve">scribed by national law.  Therefore, it is not a plan or programme within the meaning of the SEA Directive. </w:t>
      </w:r>
      <w:r w:rsidR="00183B65">
        <w:rPr>
          <w:rFonts w:ascii="Times New Roman" w:hAnsi="Times New Roman"/>
          <w:sz w:val="24"/>
        </w:rPr>
        <w:t xml:space="preserve"> </w:t>
      </w:r>
      <w:r w:rsidR="002F73B5">
        <w:rPr>
          <w:rFonts w:ascii="Times New Roman" w:hAnsi="Times New Roman"/>
          <w:sz w:val="24"/>
        </w:rPr>
        <w:t>If it is not a plan or programme as defined, then the Directive does not apply to its adoption.</w:t>
      </w:r>
    </w:p>
    <w:p w14:paraId="00CA9F68" w14:textId="77777777" w:rsidR="00ED75A5" w:rsidRDefault="002F73B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point is reinforced by</w:t>
      </w:r>
      <w:r w:rsidR="00ED75A5">
        <w:rPr>
          <w:rFonts w:ascii="Times New Roman" w:hAnsi="Times New Roman"/>
          <w:sz w:val="24"/>
        </w:rPr>
        <w:t xml:space="preserve"> Article 3(8) </w:t>
      </w:r>
      <w:r>
        <w:rPr>
          <w:rFonts w:ascii="Times New Roman" w:hAnsi="Times New Roman"/>
          <w:sz w:val="24"/>
        </w:rPr>
        <w:t xml:space="preserve">which </w:t>
      </w:r>
      <w:r w:rsidR="00ED75A5">
        <w:rPr>
          <w:rFonts w:ascii="Times New Roman" w:hAnsi="Times New Roman"/>
          <w:sz w:val="24"/>
        </w:rPr>
        <w:t xml:space="preserve">expressly excludes </w:t>
      </w:r>
      <w:r w:rsidR="00ED75A5">
        <w:rPr>
          <w:rFonts w:ascii="Times New Roman" w:hAnsi="Times New Roman"/>
          <w:i/>
          <w:sz w:val="24"/>
        </w:rPr>
        <w:t xml:space="preserve">“financial or budget plans” </w:t>
      </w:r>
      <w:r w:rsidR="00ED75A5">
        <w:rPr>
          <w:rFonts w:ascii="Times New Roman" w:hAnsi="Times New Roman"/>
          <w:sz w:val="24"/>
        </w:rPr>
        <w:t xml:space="preserve">from the scope of the SEA Directive. </w:t>
      </w:r>
    </w:p>
    <w:p w14:paraId="78520B94" w14:textId="01205822" w:rsidR="00833A86" w:rsidRPr="002F73B5" w:rsidRDefault="002F73B5" w:rsidP="002F73B5">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w:t>
      </w:r>
      <w:r w:rsidR="00ED75A5">
        <w:rPr>
          <w:rFonts w:ascii="Times New Roman" w:hAnsi="Times New Roman"/>
          <w:sz w:val="24"/>
        </w:rPr>
        <w:t>he NDP identifies ma</w:t>
      </w:r>
      <w:r>
        <w:rPr>
          <w:rFonts w:ascii="Times New Roman" w:hAnsi="Times New Roman"/>
          <w:sz w:val="24"/>
        </w:rPr>
        <w:t>j</w:t>
      </w:r>
      <w:r w:rsidR="00ED75A5">
        <w:rPr>
          <w:rFonts w:ascii="Times New Roman" w:hAnsi="Times New Roman"/>
          <w:sz w:val="24"/>
        </w:rPr>
        <w:t>or infrastructure works which will be funded</w:t>
      </w:r>
      <w:r>
        <w:rPr>
          <w:rFonts w:ascii="Times New Roman" w:hAnsi="Times New Roman"/>
          <w:sz w:val="24"/>
        </w:rPr>
        <w:t>,</w:t>
      </w:r>
      <w:r w:rsidR="00ED75A5">
        <w:rPr>
          <w:rFonts w:ascii="Times New Roman" w:hAnsi="Times New Roman"/>
          <w:sz w:val="24"/>
        </w:rPr>
        <w:t xml:space="preserve"> such as </w:t>
      </w:r>
      <w:r>
        <w:rPr>
          <w:rFonts w:ascii="Times New Roman" w:hAnsi="Times New Roman"/>
          <w:sz w:val="24"/>
        </w:rPr>
        <w:t xml:space="preserve">specific </w:t>
      </w:r>
      <w:r w:rsidR="00ED75A5">
        <w:rPr>
          <w:rFonts w:ascii="Times New Roman" w:hAnsi="Times New Roman"/>
          <w:sz w:val="24"/>
        </w:rPr>
        <w:t xml:space="preserve">roads, Metrolink in Dublin, expanding the DART, a second runway in Dublin Airport and so forth, </w:t>
      </w:r>
      <w:r>
        <w:rPr>
          <w:rFonts w:ascii="Times New Roman" w:hAnsi="Times New Roman"/>
          <w:sz w:val="24"/>
        </w:rPr>
        <w:t xml:space="preserve">but this does not make it a development plan or programme rather than a financial or budgetary plan. </w:t>
      </w:r>
      <w:r w:rsidR="004A2A55">
        <w:rPr>
          <w:rFonts w:ascii="Times New Roman" w:hAnsi="Times New Roman"/>
          <w:sz w:val="24"/>
        </w:rPr>
        <w:t xml:space="preserve"> </w:t>
      </w:r>
      <w:r>
        <w:rPr>
          <w:rFonts w:ascii="Times New Roman" w:hAnsi="Times New Roman"/>
          <w:sz w:val="24"/>
        </w:rPr>
        <w:t>N</w:t>
      </w:r>
      <w:r w:rsidR="00ED75A5">
        <w:rPr>
          <w:rFonts w:ascii="Times New Roman" w:hAnsi="Times New Roman"/>
          <w:sz w:val="24"/>
        </w:rPr>
        <w:t xml:space="preserve">owhere in the NDP are rules or criteria for the development of land to be found: they are all in the NPF.  Thus, there is no question of any matter requiring assessment under the SEA Directive which has not been assessed.  Each individual project </w:t>
      </w:r>
      <w:r w:rsidR="00ED75A5">
        <w:rPr>
          <w:rFonts w:ascii="Times New Roman" w:hAnsi="Times New Roman"/>
          <w:sz w:val="24"/>
        </w:rPr>
        <w:lastRenderedPageBreak/>
        <w:t xml:space="preserve">if and when it comes to be developed, will be subject to EIA and the </w:t>
      </w:r>
      <w:r w:rsidR="0031677E">
        <w:rPr>
          <w:rFonts w:ascii="Times New Roman" w:hAnsi="Times New Roman"/>
          <w:sz w:val="24"/>
        </w:rPr>
        <w:t xml:space="preserve">application for development consent will be assessed in the light of the </w:t>
      </w:r>
      <w:r w:rsidR="00ED75A5">
        <w:rPr>
          <w:rFonts w:ascii="Times New Roman" w:hAnsi="Times New Roman"/>
          <w:sz w:val="24"/>
        </w:rPr>
        <w:t xml:space="preserve">relevant </w:t>
      </w:r>
      <w:r w:rsidR="0031677E">
        <w:rPr>
          <w:rFonts w:ascii="Times New Roman" w:hAnsi="Times New Roman"/>
          <w:sz w:val="24"/>
        </w:rPr>
        <w:t>d</w:t>
      </w:r>
      <w:r w:rsidR="00ED75A5">
        <w:rPr>
          <w:rFonts w:ascii="Times New Roman" w:hAnsi="Times New Roman"/>
          <w:sz w:val="24"/>
        </w:rPr>
        <w:t xml:space="preserve">evelopment </w:t>
      </w:r>
      <w:r w:rsidR="0031677E">
        <w:rPr>
          <w:rFonts w:ascii="Times New Roman" w:hAnsi="Times New Roman"/>
          <w:sz w:val="24"/>
        </w:rPr>
        <w:t>p</w:t>
      </w:r>
      <w:r w:rsidR="00ED75A5">
        <w:rPr>
          <w:rFonts w:ascii="Times New Roman" w:hAnsi="Times New Roman"/>
          <w:sz w:val="24"/>
        </w:rPr>
        <w:t>lans</w:t>
      </w:r>
      <w:r w:rsidR="007D662F">
        <w:rPr>
          <w:rFonts w:ascii="Times New Roman" w:hAnsi="Times New Roman"/>
          <w:sz w:val="24"/>
        </w:rPr>
        <w:t>,</w:t>
      </w:r>
      <w:r w:rsidR="00ED75A5">
        <w:rPr>
          <w:rFonts w:ascii="Times New Roman" w:hAnsi="Times New Roman"/>
          <w:sz w:val="24"/>
        </w:rPr>
        <w:t xml:space="preserve"> including the NPF.  While the N</w:t>
      </w:r>
      <w:r>
        <w:rPr>
          <w:rFonts w:ascii="Times New Roman" w:hAnsi="Times New Roman"/>
          <w:sz w:val="24"/>
        </w:rPr>
        <w:t>D</w:t>
      </w:r>
      <w:r w:rsidR="00ED75A5">
        <w:rPr>
          <w:rFonts w:ascii="Times New Roman" w:hAnsi="Times New Roman"/>
          <w:sz w:val="24"/>
        </w:rPr>
        <w:t>P ma</w:t>
      </w:r>
      <w:r w:rsidR="00833A86">
        <w:rPr>
          <w:rFonts w:ascii="Times New Roman" w:hAnsi="Times New Roman"/>
          <w:sz w:val="24"/>
        </w:rPr>
        <w:t>kes strategic choices around certain projects and certain types of projects – for example</w:t>
      </w:r>
      <w:r w:rsidR="004A2A55">
        <w:rPr>
          <w:rFonts w:ascii="Times New Roman" w:hAnsi="Times New Roman"/>
          <w:sz w:val="24"/>
        </w:rPr>
        <w:t>,</w:t>
      </w:r>
      <w:r w:rsidR="00833A86">
        <w:rPr>
          <w:rFonts w:ascii="Times New Roman" w:hAnsi="Times New Roman"/>
          <w:sz w:val="24"/>
        </w:rPr>
        <w:t xml:space="preserve"> focussing on roads rather than on rail – it does so in the context of the NPF and the framework established by the NPF.  </w:t>
      </w:r>
      <w:r>
        <w:rPr>
          <w:rFonts w:ascii="Times New Roman" w:hAnsi="Times New Roman"/>
          <w:sz w:val="24"/>
        </w:rPr>
        <w:t xml:space="preserve">But </w:t>
      </w:r>
      <w:r w:rsidR="00833A86" w:rsidRPr="002F73B5">
        <w:rPr>
          <w:rFonts w:ascii="Times New Roman" w:hAnsi="Times New Roman"/>
          <w:sz w:val="24"/>
        </w:rPr>
        <w:t>I am not persuaded that the fact that a budgetary plan identifies particular projects which are regarded as compatible with the NPF means that</w:t>
      </w:r>
      <w:r w:rsidR="00B71971">
        <w:rPr>
          <w:rFonts w:ascii="Times New Roman" w:hAnsi="Times New Roman"/>
          <w:sz w:val="24"/>
        </w:rPr>
        <w:t>,</w:t>
      </w:r>
      <w:r w:rsidR="00833A86" w:rsidRPr="002F73B5">
        <w:rPr>
          <w:rFonts w:ascii="Times New Roman" w:hAnsi="Times New Roman"/>
          <w:sz w:val="24"/>
        </w:rPr>
        <w:t xml:space="preserve"> </w:t>
      </w:r>
      <w:r>
        <w:rPr>
          <w:rFonts w:ascii="Times New Roman" w:hAnsi="Times New Roman"/>
          <w:sz w:val="24"/>
        </w:rPr>
        <w:t>as a result</w:t>
      </w:r>
      <w:r w:rsidR="00B71971">
        <w:rPr>
          <w:rFonts w:ascii="Times New Roman" w:hAnsi="Times New Roman"/>
          <w:sz w:val="24"/>
        </w:rPr>
        <w:t>,</w:t>
      </w:r>
      <w:r>
        <w:rPr>
          <w:rFonts w:ascii="Times New Roman" w:hAnsi="Times New Roman"/>
          <w:sz w:val="24"/>
        </w:rPr>
        <w:t xml:space="preserve"> </w:t>
      </w:r>
      <w:r w:rsidR="00833A86" w:rsidRPr="002F73B5">
        <w:rPr>
          <w:rFonts w:ascii="Times New Roman" w:hAnsi="Times New Roman"/>
          <w:sz w:val="24"/>
        </w:rPr>
        <w:t xml:space="preserve">the budgetary plan requires to be assessed under the SEA Directive and the Habitats Directive in conjunction with the NPF </w:t>
      </w:r>
      <w:r>
        <w:rPr>
          <w:rFonts w:ascii="Times New Roman" w:hAnsi="Times New Roman"/>
          <w:sz w:val="24"/>
        </w:rPr>
        <w:t>when previously it required no such assessment</w:t>
      </w:r>
      <w:r w:rsidR="00833A86" w:rsidRPr="002F73B5">
        <w:rPr>
          <w:rFonts w:ascii="Times New Roman" w:hAnsi="Times New Roman"/>
          <w:sz w:val="24"/>
        </w:rPr>
        <w:t>.</w:t>
      </w:r>
    </w:p>
    <w:p w14:paraId="7E9332CF" w14:textId="39468470" w:rsidR="00833A86" w:rsidRDefault="005B1DD4"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Unlike the NPF, t</w:t>
      </w:r>
      <w:r w:rsidR="00B71971">
        <w:rPr>
          <w:rFonts w:ascii="Times New Roman" w:hAnsi="Times New Roman"/>
          <w:sz w:val="24"/>
        </w:rPr>
        <w:t>he NDP</w:t>
      </w:r>
      <w:r w:rsidR="00A729A1">
        <w:rPr>
          <w:rFonts w:ascii="Times New Roman" w:hAnsi="Times New Roman"/>
          <w:sz w:val="24"/>
        </w:rPr>
        <w:t xml:space="preserve"> is not a plan which has been adopted pursuant to any law</w:t>
      </w:r>
      <w:r w:rsidR="004A2A55">
        <w:rPr>
          <w:rFonts w:ascii="Times New Roman" w:hAnsi="Times New Roman"/>
          <w:sz w:val="24"/>
        </w:rPr>
        <w:t>,</w:t>
      </w:r>
      <w:r w:rsidR="00A729A1">
        <w:rPr>
          <w:rFonts w:ascii="Times New Roman" w:hAnsi="Times New Roman"/>
          <w:sz w:val="24"/>
        </w:rPr>
        <w:t xml:space="preserve"> nor is it required by any regulatory or administrative requirement. </w:t>
      </w:r>
      <w:r w:rsidR="004A2A55">
        <w:rPr>
          <w:rFonts w:ascii="Times New Roman" w:hAnsi="Times New Roman"/>
          <w:sz w:val="24"/>
        </w:rPr>
        <w:t xml:space="preserve"> </w:t>
      </w:r>
      <w:r w:rsidR="00A729A1">
        <w:rPr>
          <w:rFonts w:ascii="Times New Roman" w:hAnsi="Times New Roman"/>
          <w:sz w:val="24"/>
        </w:rPr>
        <w:t>T</w:t>
      </w:r>
      <w:r w:rsidR="00833A86">
        <w:rPr>
          <w:rFonts w:ascii="Times New Roman" w:hAnsi="Times New Roman"/>
          <w:sz w:val="24"/>
        </w:rPr>
        <w:t xml:space="preserve">he NPF replaced the NSS in </w:t>
      </w:r>
      <w:r w:rsidR="00A729A1">
        <w:rPr>
          <w:rFonts w:ascii="Times New Roman" w:hAnsi="Times New Roman"/>
          <w:sz w:val="24"/>
        </w:rPr>
        <w:t>s</w:t>
      </w:r>
      <w:r w:rsidR="00E6553B">
        <w:rPr>
          <w:rFonts w:ascii="Times New Roman" w:hAnsi="Times New Roman"/>
          <w:sz w:val="24"/>
        </w:rPr>
        <w:t>.</w:t>
      </w:r>
      <w:r w:rsidR="00833A86">
        <w:rPr>
          <w:rFonts w:ascii="Times New Roman" w:hAnsi="Times New Roman"/>
          <w:sz w:val="24"/>
        </w:rPr>
        <w:t xml:space="preserve"> 2 of the PDA 2000 (as amended).  A further legislative step would be required if the </w:t>
      </w:r>
      <w:r w:rsidR="00A729A1">
        <w:rPr>
          <w:rFonts w:ascii="Times New Roman" w:hAnsi="Times New Roman"/>
          <w:sz w:val="24"/>
        </w:rPr>
        <w:t>g</w:t>
      </w:r>
      <w:r w:rsidR="00833A86">
        <w:rPr>
          <w:rFonts w:ascii="Times New Roman" w:hAnsi="Times New Roman"/>
          <w:sz w:val="24"/>
        </w:rPr>
        <w:t>overnment wish to alter the provisions of the NPF.  No such constraints apply to the NDP.  It is open to any government to alter the budgetary priorities</w:t>
      </w:r>
      <w:r w:rsidR="004A2A55">
        <w:rPr>
          <w:rFonts w:ascii="Times New Roman" w:hAnsi="Times New Roman"/>
          <w:sz w:val="24"/>
        </w:rPr>
        <w:t>,</w:t>
      </w:r>
      <w:r w:rsidR="00833A86">
        <w:rPr>
          <w:rFonts w:ascii="Times New Roman" w:hAnsi="Times New Roman"/>
          <w:sz w:val="24"/>
        </w:rPr>
        <w:t xml:space="preserve"> either that it </w:t>
      </w:r>
      <w:r w:rsidR="00A729A1">
        <w:rPr>
          <w:rFonts w:ascii="Times New Roman" w:hAnsi="Times New Roman"/>
          <w:sz w:val="24"/>
        </w:rPr>
        <w:t>previously</w:t>
      </w:r>
      <w:r w:rsidR="00833A86">
        <w:rPr>
          <w:rFonts w:ascii="Times New Roman" w:hAnsi="Times New Roman"/>
          <w:sz w:val="24"/>
        </w:rPr>
        <w:t xml:space="preserve"> adopt</w:t>
      </w:r>
      <w:r w:rsidR="00A729A1">
        <w:rPr>
          <w:rFonts w:ascii="Times New Roman" w:hAnsi="Times New Roman"/>
          <w:sz w:val="24"/>
        </w:rPr>
        <w:t>ed</w:t>
      </w:r>
      <w:r w:rsidR="00833A86">
        <w:rPr>
          <w:rFonts w:ascii="Times New Roman" w:hAnsi="Times New Roman"/>
          <w:sz w:val="24"/>
        </w:rPr>
        <w:t xml:space="preserve"> or that </w:t>
      </w:r>
      <w:r w:rsidR="00B71971">
        <w:rPr>
          <w:rFonts w:ascii="Times New Roman" w:hAnsi="Times New Roman"/>
          <w:sz w:val="24"/>
        </w:rPr>
        <w:t>its</w:t>
      </w:r>
      <w:r w:rsidR="00833A86">
        <w:rPr>
          <w:rFonts w:ascii="Times New Roman" w:hAnsi="Times New Roman"/>
          <w:sz w:val="24"/>
        </w:rPr>
        <w:t xml:space="preserve"> predecessor adopt</w:t>
      </w:r>
      <w:r w:rsidR="00A729A1">
        <w:rPr>
          <w:rFonts w:ascii="Times New Roman" w:hAnsi="Times New Roman"/>
          <w:sz w:val="24"/>
        </w:rPr>
        <w:t>ed</w:t>
      </w:r>
      <w:r w:rsidR="00833A86">
        <w:rPr>
          <w:rFonts w:ascii="Times New Roman" w:hAnsi="Times New Roman"/>
          <w:sz w:val="24"/>
        </w:rPr>
        <w:t xml:space="preserve"> at an earlier stage</w:t>
      </w:r>
      <w:r w:rsidR="00E6553B">
        <w:rPr>
          <w:rFonts w:ascii="Times New Roman" w:hAnsi="Times New Roman"/>
          <w:sz w:val="24"/>
        </w:rPr>
        <w:t>,</w:t>
      </w:r>
      <w:r w:rsidR="0031677E">
        <w:rPr>
          <w:rFonts w:ascii="Times New Roman" w:hAnsi="Times New Roman"/>
          <w:sz w:val="24"/>
        </w:rPr>
        <w:t xml:space="preserve"> and to adopt a new NDP</w:t>
      </w:r>
      <w:r w:rsidR="00833A86">
        <w:rPr>
          <w:rFonts w:ascii="Times New Roman" w:hAnsi="Times New Roman"/>
          <w:sz w:val="24"/>
        </w:rPr>
        <w:t xml:space="preserve">. </w:t>
      </w:r>
      <w:r w:rsidR="00850F52">
        <w:rPr>
          <w:rFonts w:ascii="Times New Roman" w:hAnsi="Times New Roman"/>
          <w:sz w:val="24"/>
        </w:rPr>
        <w:t xml:space="preserve"> </w:t>
      </w:r>
      <w:r w:rsidR="00071A3F">
        <w:rPr>
          <w:rFonts w:ascii="Times New Roman" w:hAnsi="Times New Roman"/>
          <w:sz w:val="24"/>
        </w:rPr>
        <w:t xml:space="preserve">This has in fact occurred between the hearing of this appeal and the delivery of this judgment. </w:t>
      </w:r>
      <w:r w:rsidR="00833A86">
        <w:rPr>
          <w:rFonts w:ascii="Times New Roman" w:hAnsi="Times New Roman"/>
          <w:sz w:val="24"/>
        </w:rPr>
        <w:t xml:space="preserve"> The fact that infrastructure set out in the NDP may</w:t>
      </w:r>
      <w:r w:rsidR="004A2A55">
        <w:rPr>
          <w:rFonts w:ascii="Times New Roman" w:hAnsi="Times New Roman"/>
          <w:sz w:val="24"/>
        </w:rPr>
        <w:t xml:space="preserve"> be,</w:t>
      </w:r>
      <w:r w:rsidR="00833A86">
        <w:rPr>
          <w:rFonts w:ascii="Times New Roman" w:hAnsi="Times New Roman"/>
          <w:sz w:val="24"/>
        </w:rPr>
        <w:t xml:space="preserve"> or even is</w:t>
      </w:r>
      <w:r w:rsidR="004A2A55">
        <w:rPr>
          <w:rFonts w:ascii="Times New Roman" w:hAnsi="Times New Roman"/>
          <w:sz w:val="24"/>
        </w:rPr>
        <w:t>,</w:t>
      </w:r>
      <w:r w:rsidR="00833A86">
        <w:rPr>
          <w:rFonts w:ascii="Times New Roman" w:hAnsi="Times New Roman"/>
          <w:sz w:val="24"/>
        </w:rPr>
        <w:t xml:space="preserve"> required to facilitate the full implementation of the NPF does not thereby render the NDP a constituent element of the NPF.  </w:t>
      </w:r>
    </w:p>
    <w:p w14:paraId="7011394A" w14:textId="1322F84D" w:rsidR="00833A86" w:rsidRDefault="00833A86"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w:t>
      </w:r>
      <w:r>
        <w:rPr>
          <w:rFonts w:ascii="Times New Roman" w:hAnsi="Times New Roman"/>
          <w:i/>
          <w:sz w:val="24"/>
        </w:rPr>
        <w:t xml:space="preserve">Kavanagh v. Ireland </w:t>
      </w:r>
      <w:r>
        <w:rPr>
          <w:rFonts w:ascii="Times New Roman" w:hAnsi="Times New Roman"/>
          <w:sz w:val="24"/>
        </w:rPr>
        <w:t xml:space="preserve">the </w:t>
      </w:r>
      <w:r w:rsidR="00A729A1">
        <w:rPr>
          <w:rFonts w:ascii="Times New Roman" w:hAnsi="Times New Roman"/>
          <w:sz w:val="24"/>
        </w:rPr>
        <w:t xml:space="preserve">status of the </w:t>
      </w:r>
      <w:r>
        <w:rPr>
          <w:rFonts w:ascii="Times New Roman" w:hAnsi="Times New Roman"/>
          <w:sz w:val="24"/>
        </w:rPr>
        <w:t>National Development Plan of January 2007 was considered.  Smyth J. held as follows:</w:t>
      </w:r>
      <w:r w:rsidR="004A2A55">
        <w:rPr>
          <w:rFonts w:ascii="Times New Roman" w:hAnsi="Times New Roman"/>
          <w:sz w:val="24"/>
        </w:rPr>
        <w:t>-</w:t>
      </w:r>
    </w:p>
    <w:p w14:paraId="5FCFC318" w14:textId="41A282DD" w:rsidR="00BD09F2" w:rsidRDefault="00BD09F2" w:rsidP="00BD09F2">
      <w:pPr>
        <w:pStyle w:val="ListParagraph"/>
        <w:spacing w:line="480" w:lineRule="auto"/>
        <w:ind w:left="567"/>
        <w:jc w:val="left"/>
        <w:rPr>
          <w:rFonts w:ascii="Times New Roman" w:hAnsi="Times New Roman"/>
          <w:i/>
          <w:sz w:val="24"/>
        </w:rPr>
      </w:pPr>
      <w:r>
        <w:rPr>
          <w:rFonts w:ascii="Times New Roman" w:hAnsi="Times New Roman"/>
          <w:i/>
          <w:sz w:val="24"/>
        </w:rPr>
        <w:t xml:space="preserve">“Unlike previous Development Plans, which were required by EU </w:t>
      </w:r>
      <w:r w:rsidR="004A2A55">
        <w:rPr>
          <w:rFonts w:ascii="Times New Roman" w:hAnsi="Times New Roman"/>
          <w:i/>
          <w:sz w:val="24"/>
        </w:rPr>
        <w:t>r</w:t>
      </w:r>
      <w:r>
        <w:rPr>
          <w:rFonts w:ascii="Times New Roman" w:hAnsi="Times New Roman"/>
          <w:i/>
          <w:sz w:val="24"/>
        </w:rPr>
        <w:t xml:space="preserve">egulations to drawdown EU </w:t>
      </w:r>
      <w:r w:rsidR="004A2A55">
        <w:rPr>
          <w:rFonts w:ascii="Times New Roman" w:hAnsi="Times New Roman"/>
          <w:i/>
          <w:sz w:val="24"/>
        </w:rPr>
        <w:t>s</w:t>
      </w:r>
      <w:r>
        <w:rPr>
          <w:rFonts w:ascii="Times New Roman" w:hAnsi="Times New Roman"/>
          <w:i/>
          <w:sz w:val="24"/>
        </w:rPr>
        <w:t xml:space="preserve">tructural </w:t>
      </w:r>
      <w:r w:rsidR="004A2A55">
        <w:rPr>
          <w:rFonts w:ascii="Times New Roman" w:hAnsi="Times New Roman"/>
          <w:i/>
          <w:sz w:val="24"/>
        </w:rPr>
        <w:t>f</w:t>
      </w:r>
      <w:r>
        <w:rPr>
          <w:rFonts w:ascii="Times New Roman" w:hAnsi="Times New Roman"/>
          <w:i/>
          <w:sz w:val="24"/>
        </w:rPr>
        <w:t xml:space="preserve">unds, the 2007 NDP is not required by any legislative, regulatory or administrative requirement.  The NDP is essentially a financial plan or framework setting out what the Government sees as the investment priorities for the </w:t>
      </w:r>
      <w:r>
        <w:rPr>
          <w:rFonts w:ascii="Times New Roman" w:hAnsi="Times New Roman"/>
          <w:i/>
          <w:sz w:val="24"/>
        </w:rPr>
        <w:lastRenderedPageBreak/>
        <w:t>next seven years, and how resources can be invested amongst different investment priorities.  It is not designed or intended to set any kind of framework for granting or refusing of permissions for the carrying out of projects or to have any influence on the physical planning process (even if planning authorities or An Bord Pleanála may note it or do have regard to it i.e. the NDP) in their decisions.  I am satisfied and find as a fact that it is essentially a financial or budgetary plan and even if, as is the case, a project of national significance is mentioned in the NDP such is for administrative purposes as indicative of the type of project that would be financed out of a particular financial “envelope”.</w:t>
      </w:r>
    </w:p>
    <w:p w14:paraId="407C4942" w14:textId="77777777" w:rsidR="00BD09F2" w:rsidRDefault="00BD09F2" w:rsidP="00BD09F2">
      <w:pPr>
        <w:pStyle w:val="ListParagraph"/>
        <w:spacing w:line="480" w:lineRule="auto"/>
        <w:ind w:left="567"/>
        <w:jc w:val="left"/>
        <w:rPr>
          <w:rFonts w:ascii="Times New Roman" w:hAnsi="Times New Roman"/>
          <w:i/>
          <w:sz w:val="24"/>
        </w:rPr>
      </w:pPr>
      <w:r>
        <w:rPr>
          <w:rFonts w:ascii="Times New Roman" w:hAnsi="Times New Roman"/>
          <w:i/>
          <w:sz w:val="24"/>
        </w:rPr>
        <w:t>…</w:t>
      </w:r>
    </w:p>
    <w:p w14:paraId="7B134523" w14:textId="7E2E7573" w:rsidR="00917B6B" w:rsidRPr="00BD09F2" w:rsidRDefault="00861F68" w:rsidP="00BD09F2">
      <w:pPr>
        <w:pStyle w:val="ListParagraph"/>
        <w:spacing w:line="480" w:lineRule="auto"/>
        <w:ind w:left="567"/>
        <w:jc w:val="left"/>
        <w:rPr>
          <w:rFonts w:ascii="Times New Roman" w:hAnsi="Times New Roman"/>
          <w:i/>
          <w:sz w:val="24"/>
        </w:rPr>
      </w:pPr>
      <w:r>
        <w:rPr>
          <w:rFonts w:ascii="Times New Roman" w:hAnsi="Times New Roman"/>
          <w:i/>
          <w:sz w:val="24"/>
        </w:rPr>
        <w:t>I am satisfied and find as a matter of fact that the NDP was and is not intended to set a framework for development consent or planning permission but in the application or determinations of those e</w:t>
      </w:r>
      <w:r w:rsidR="00A729A1">
        <w:rPr>
          <w:rFonts w:ascii="Times New Roman" w:hAnsi="Times New Roman"/>
          <w:i/>
          <w:sz w:val="24"/>
        </w:rPr>
        <w:t>m</w:t>
      </w:r>
      <w:r>
        <w:rPr>
          <w:rFonts w:ascii="Times New Roman" w:hAnsi="Times New Roman"/>
          <w:i/>
          <w:sz w:val="24"/>
        </w:rPr>
        <w:t>powered by law to so determine on some occasions the NDP may be noted and may or may not weigh in favour or against such consent or permission which fundamentally would have to rest on strict planning grounds and reason</w:t>
      </w:r>
      <w:r w:rsidR="004A2A55">
        <w:rPr>
          <w:rFonts w:ascii="Times New Roman" w:hAnsi="Times New Roman"/>
          <w:i/>
          <w:sz w:val="24"/>
        </w:rPr>
        <w:t>s</w:t>
      </w:r>
      <w:r>
        <w:rPr>
          <w:rFonts w:ascii="Times New Roman" w:hAnsi="Times New Roman"/>
          <w:i/>
          <w:sz w:val="24"/>
        </w:rPr>
        <w:t>.”</w:t>
      </w:r>
      <w:r w:rsidR="00BD09F2" w:rsidRPr="00BD09F2">
        <w:rPr>
          <w:rFonts w:ascii="Times New Roman" w:hAnsi="Times New Roman"/>
          <w:i/>
          <w:sz w:val="24"/>
        </w:rPr>
        <w:t xml:space="preserve"> </w:t>
      </w:r>
      <w:r w:rsidR="00833A86" w:rsidRPr="00BD09F2">
        <w:rPr>
          <w:rFonts w:ascii="Times New Roman" w:hAnsi="Times New Roman"/>
          <w:sz w:val="24"/>
        </w:rPr>
        <w:t xml:space="preserve">   </w:t>
      </w:r>
      <w:r w:rsidR="00ED75A5" w:rsidRPr="00BD09F2">
        <w:rPr>
          <w:rFonts w:ascii="Times New Roman" w:hAnsi="Times New Roman"/>
          <w:sz w:val="24"/>
        </w:rPr>
        <w:t xml:space="preserve">  </w:t>
      </w:r>
      <w:r w:rsidR="00ED75A5" w:rsidRPr="00BD09F2">
        <w:rPr>
          <w:rFonts w:ascii="Times New Roman" w:hAnsi="Times New Roman"/>
          <w:i/>
          <w:sz w:val="24"/>
        </w:rPr>
        <w:t xml:space="preserve"> </w:t>
      </w:r>
      <w:r w:rsidR="00ED75A5" w:rsidRPr="00BD09F2">
        <w:rPr>
          <w:rFonts w:ascii="Times New Roman" w:hAnsi="Times New Roman"/>
          <w:sz w:val="24"/>
        </w:rPr>
        <w:t xml:space="preserve"> </w:t>
      </w:r>
      <w:r w:rsidR="00512399" w:rsidRPr="00BD09F2">
        <w:rPr>
          <w:rFonts w:ascii="Times New Roman" w:hAnsi="Times New Roman"/>
          <w:sz w:val="24"/>
        </w:rPr>
        <w:t xml:space="preserve"> </w:t>
      </w:r>
    </w:p>
    <w:p w14:paraId="2D503997" w14:textId="575CA9A6" w:rsidR="003A066E" w:rsidRDefault="00861F68" w:rsidP="003A066E">
      <w:pPr>
        <w:pStyle w:val="ListParagraph"/>
        <w:tabs>
          <w:tab w:val="left" w:pos="567"/>
        </w:tabs>
        <w:spacing w:line="480" w:lineRule="auto"/>
        <w:ind w:left="0"/>
        <w:jc w:val="left"/>
        <w:rPr>
          <w:rFonts w:ascii="Times New Roman" w:hAnsi="Times New Roman"/>
          <w:sz w:val="24"/>
        </w:rPr>
      </w:pPr>
      <w:r w:rsidRPr="004C2946">
        <w:rPr>
          <w:rFonts w:ascii="Times New Roman" w:hAnsi="Times New Roman"/>
          <w:sz w:val="24"/>
        </w:rPr>
        <w:t xml:space="preserve">The applicant did not address this authority in submissions to the </w:t>
      </w:r>
      <w:r w:rsidR="004A2A55">
        <w:rPr>
          <w:rFonts w:ascii="Times New Roman" w:hAnsi="Times New Roman"/>
          <w:sz w:val="24"/>
        </w:rPr>
        <w:t>c</w:t>
      </w:r>
      <w:r w:rsidRPr="004C2946">
        <w:rPr>
          <w:rFonts w:ascii="Times New Roman" w:hAnsi="Times New Roman"/>
          <w:sz w:val="24"/>
        </w:rPr>
        <w:t xml:space="preserve">ourt </w:t>
      </w:r>
      <w:r w:rsidR="00A729A1" w:rsidRPr="004C2946">
        <w:rPr>
          <w:rFonts w:ascii="Times New Roman" w:hAnsi="Times New Roman"/>
          <w:sz w:val="24"/>
        </w:rPr>
        <w:t>or</w:t>
      </w:r>
      <w:r w:rsidRPr="004C2946">
        <w:rPr>
          <w:rFonts w:ascii="Times New Roman" w:hAnsi="Times New Roman"/>
          <w:sz w:val="24"/>
        </w:rPr>
        <w:t xml:space="preserve"> advance any reason</w:t>
      </w:r>
      <w:r w:rsidR="003A066E">
        <w:rPr>
          <w:rFonts w:ascii="Times New Roman" w:hAnsi="Times New Roman"/>
          <w:sz w:val="24"/>
        </w:rPr>
        <w:t xml:space="preserve"> why the trial judge erred in following it</w:t>
      </w:r>
      <w:r w:rsidRPr="004C2946">
        <w:rPr>
          <w:rFonts w:ascii="Times New Roman" w:hAnsi="Times New Roman"/>
          <w:sz w:val="24"/>
        </w:rPr>
        <w:t xml:space="preserve">. </w:t>
      </w:r>
    </w:p>
    <w:p w14:paraId="79BE22A7" w14:textId="21728BD5" w:rsidR="003A066E" w:rsidRDefault="0031677E" w:rsidP="0092382A">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my judgment</w:t>
      </w:r>
      <w:r w:rsidR="00FB238D">
        <w:rPr>
          <w:rFonts w:ascii="Times New Roman" w:hAnsi="Times New Roman"/>
          <w:sz w:val="24"/>
        </w:rPr>
        <w:t>,</w:t>
      </w:r>
      <w:r>
        <w:rPr>
          <w:rFonts w:ascii="Times New Roman" w:hAnsi="Times New Roman"/>
          <w:sz w:val="24"/>
        </w:rPr>
        <w:t xml:space="preserve"> t</w:t>
      </w:r>
      <w:r w:rsidR="003A066E">
        <w:rPr>
          <w:rFonts w:ascii="Times New Roman" w:hAnsi="Times New Roman"/>
          <w:sz w:val="24"/>
        </w:rPr>
        <w:t>he NDP is a free-standing budgetary plan which sets out investment priorities which are compatible with the objectives of the NPF</w:t>
      </w:r>
      <w:r w:rsidR="00FB238D">
        <w:rPr>
          <w:rFonts w:ascii="Times New Roman" w:hAnsi="Times New Roman"/>
          <w:sz w:val="24"/>
        </w:rPr>
        <w:t>,</w:t>
      </w:r>
      <w:r w:rsidR="003A066E">
        <w:rPr>
          <w:rFonts w:ascii="Times New Roman" w:hAnsi="Times New Roman"/>
          <w:sz w:val="24"/>
        </w:rPr>
        <w:t xml:space="preserve"> but which may never be constructed. </w:t>
      </w:r>
      <w:r w:rsidR="00FB238D">
        <w:rPr>
          <w:rFonts w:ascii="Times New Roman" w:hAnsi="Times New Roman"/>
          <w:sz w:val="24"/>
        </w:rPr>
        <w:t xml:space="preserve"> </w:t>
      </w:r>
      <w:r w:rsidR="003A066E">
        <w:rPr>
          <w:rFonts w:ascii="Times New Roman" w:hAnsi="Times New Roman"/>
          <w:sz w:val="24"/>
        </w:rPr>
        <w:t>If the NPF were replaced, the NDP would not be impacted</w:t>
      </w:r>
      <w:r w:rsidR="00FB238D">
        <w:rPr>
          <w:rFonts w:ascii="Times New Roman" w:hAnsi="Times New Roman"/>
          <w:sz w:val="24"/>
        </w:rPr>
        <w:t xml:space="preserve"> –</w:t>
      </w:r>
      <w:r w:rsidR="003A066E">
        <w:rPr>
          <w:rFonts w:ascii="Times New Roman" w:hAnsi="Times New Roman"/>
          <w:sz w:val="24"/>
        </w:rPr>
        <w:t xml:space="preserve"> any particular project identified would still require planning and other necessary permissions before it could be developed.</w:t>
      </w:r>
      <w:r w:rsidR="00FB238D">
        <w:rPr>
          <w:rFonts w:ascii="Times New Roman" w:hAnsi="Times New Roman"/>
          <w:sz w:val="24"/>
        </w:rPr>
        <w:t xml:space="preserve"> </w:t>
      </w:r>
      <w:r w:rsidR="00861F68" w:rsidRPr="004C2946">
        <w:rPr>
          <w:rFonts w:ascii="Times New Roman" w:hAnsi="Times New Roman"/>
          <w:sz w:val="24"/>
        </w:rPr>
        <w:t xml:space="preserve"> I</w:t>
      </w:r>
      <w:r w:rsidR="003A066E">
        <w:rPr>
          <w:rFonts w:ascii="Times New Roman" w:hAnsi="Times New Roman"/>
          <w:sz w:val="24"/>
        </w:rPr>
        <w:t>t follows that the NDP is not an in</w:t>
      </w:r>
      <w:r>
        <w:rPr>
          <w:rFonts w:ascii="Times New Roman" w:hAnsi="Times New Roman"/>
          <w:sz w:val="24"/>
        </w:rPr>
        <w:t>tegral</w:t>
      </w:r>
      <w:r w:rsidR="003A066E">
        <w:rPr>
          <w:rFonts w:ascii="Times New Roman" w:hAnsi="Times New Roman"/>
          <w:sz w:val="24"/>
        </w:rPr>
        <w:t xml:space="preserve"> part of the NPF or the other side of the coin, in counsel’s phrase.</w:t>
      </w:r>
      <w:r w:rsidR="00861F68" w:rsidRPr="004C2946">
        <w:rPr>
          <w:rFonts w:ascii="Times New Roman" w:hAnsi="Times New Roman"/>
          <w:sz w:val="24"/>
        </w:rPr>
        <w:t xml:space="preserve"> </w:t>
      </w:r>
      <w:r w:rsidR="00FB238D">
        <w:rPr>
          <w:rFonts w:ascii="Times New Roman" w:hAnsi="Times New Roman"/>
          <w:sz w:val="24"/>
        </w:rPr>
        <w:t xml:space="preserve"> </w:t>
      </w:r>
      <w:r w:rsidR="00861F68" w:rsidRPr="004C2946">
        <w:rPr>
          <w:rFonts w:ascii="Times New Roman" w:hAnsi="Times New Roman"/>
          <w:sz w:val="24"/>
        </w:rPr>
        <w:t>Article</w:t>
      </w:r>
      <w:r w:rsidR="003A066E">
        <w:rPr>
          <w:rFonts w:ascii="Times New Roman" w:hAnsi="Times New Roman"/>
          <w:sz w:val="24"/>
        </w:rPr>
        <w:t>s</w:t>
      </w:r>
      <w:r w:rsidR="00861F68" w:rsidRPr="004C2946">
        <w:rPr>
          <w:rFonts w:ascii="Times New Roman" w:hAnsi="Times New Roman"/>
          <w:sz w:val="24"/>
        </w:rPr>
        <w:t xml:space="preserve"> 2 and 3(8) of the SEA Directive</w:t>
      </w:r>
      <w:r w:rsidR="003A066E">
        <w:rPr>
          <w:rFonts w:ascii="Times New Roman" w:hAnsi="Times New Roman"/>
          <w:sz w:val="24"/>
        </w:rPr>
        <w:t xml:space="preserve"> </w:t>
      </w:r>
      <w:r w:rsidR="003A066E">
        <w:rPr>
          <w:rFonts w:ascii="Times New Roman" w:hAnsi="Times New Roman"/>
          <w:sz w:val="24"/>
        </w:rPr>
        <w:lastRenderedPageBreak/>
        <w:t xml:space="preserve">and </w:t>
      </w:r>
      <w:r w:rsidR="003A066E" w:rsidRPr="003A066E">
        <w:rPr>
          <w:rFonts w:ascii="Times New Roman" w:hAnsi="Times New Roman"/>
          <w:i/>
          <w:sz w:val="24"/>
        </w:rPr>
        <w:t>K</w:t>
      </w:r>
      <w:r w:rsidR="003A066E">
        <w:rPr>
          <w:rFonts w:ascii="Times New Roman" w:hAnsi="Times New Roman"/>
          <w:i/>
          <w:sz w:val="24"/>
        </w:rPr>
        <w:t>a</w:t>
      </w:r>
      <w:r w:rsidR="003A066E" w:rsidRPr="003A066E">
        <w:rPr>
          <w:rFonts w:ascii="Times New Roman" w:hAnsi="Times New Roman"/>
          <w:i/>
          <w:sz w:val="24"/>
        </w:rPr>
        <w:t>vanagh</w:t>
      </w:r>
      <w:r w:rsidR="003A066E">
        <w:rPr>
          <w:rFonts w:ascii="Times New Roman" w:hAnsi="Times New Roman"/>
          <w:sz w:val="24"/>
        </w:rPr>
        <w:t xml:space="preserve"> lead to the conclusion that it </w:t>
      </w:r>
      <w:r w:rsidR="004A56E3">
        <w:rPr>
          <w:rFonts w:ascii="Times New Roman" w:hAnsi="Times New Roman"/>
          <w:sz w:val="24"/>
        </w:rPr>
        <w:t>did</w:t>
      </w:r>
      <w:r w:rsidR="00FB238D" w:rsidRPr="004C2946">
        <w:rPr>
          <w:rFonts w:ascii="Times New Roman" w:hAnsi="Times New Roman"/>
          <w:sz w:val="24"/>
        </w:rPr>
        <w:t xml:space="preserve"> </w:t>
      </w:r>
      <w:r w:rsidR="00861F68" w:rsidRPr="004C2946">
        <w:rPr>
          <w:rFonts w:ascii="Times New Roman" w:hAnsi="Times New Roman"/>
          <w:sz w:val="24"/>
        </w:rPr>
        <w:t xml:space="preserve">not require to be assessed pursuant to the provisions of the SEA Directive.  </w:t>
      </w:r>
    </w:p>
    <w:p w14:paraId="1B97E35A" w14:textId="3D26D79E" w:rsidR="0031677E" w:rsidRPr="0031677E" w:rsidRDefault="00861F68" w:rsidP="005B1DD4">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424F31">
        <w:rPr>
          <w:rFonts w:ascii="Times New Roman" w:hAnsi="Times New Roman"/>
          <w:sz w:val="24"/>
        </w:rPr>
        <w:t xml:space="preserve">Likewise, it </w:t>
      </w:r>
      <w:r w:rsidR="00FB238D">
        <w:rPr>
          <w:rFonts w:ascii="Times New Roman" w:hAnsi="Times New Roman"/>
          <w:sz w:val="24"/>
        </w:rPr>
        <w:t>was</w:t>
      </w:r>
      <w:r w:rsidR="00FB238D" w:rsidRPr="00424F31">
        <w:rPr>
          <w:rFonts w:ascii="Times New Roman" w:hAnsi="Times New Roman"/>
          <w:sz w:val="24"/>
        </w:rPr>
        <w:t xml:space="preserve"> </w:t>
      </w:r>
      <w:r w:rsidRPr="00424F31">
        <w:rPr>
          <w:rFonts w:ascii="Times New Roman" w:hAnsi="Times New Roman"/>
          <w:sz w:val="24"/>
        </w:rPr>
        <w:t>not require</w:t>
      </w:r>
      <w:r w:rsidR="00FB238D">
        <w:rPr>
          <w:rFonts w:ascii="Times New Roman" w:hAnsi="Times New Roman"/>
          <w:sz w:val="24"/>
        </w:rPr>
        <w:t>d</w:t>
      </w:r>
      <w:r w:rsidRPr="00424F31">
        <w:rPr>
          <w:rFonts w:ascii="Times New Roman" w:hAnsi="Times New Roman"/>
          <w:sz w:val="24"/>
        </w:rPr>
        <w:t xml:space="preserve"> to be subjected to </w:t>
      </w:r>
      <w:r w:rsidR="00FB238D">
        <w:rPr>
          <w:rFonts w:ascii="Times New Roman" w:hAnsi="Times New Roman"/>
          <w:sz w:val="24"/>
        </w:rPr>
        <w:t>AA</w:t>
      </w:r>
      <w:r w:rsidRPr="00424F31">
        <w:rPr>
          <w:rFonts w:ascii="Times New Roman" w:hAnsi="Times New Roman"/>
          <w:sz w:val="24"/>
        </w:rPr>
        <w:t xml:space="preserve"> under the Habitats Directive</w:t>
      </w:r>
      <w:r w:rsidR="004723B8" w:rsidRPr="00424F31">
        <w:rPr>
          <w:rFonts w:ascii="Times New Roman" w:hAnsi="Times New Roman"/>
          <w:sz w:val="24"/>
        </w:rPr>
        <w:t>.</w:t>
      </w:r>
      <w:r w:rsidRPr="00424F31">
        <w:rPr>
          <w:rFonts w:ascii="Times New Roman" w:hAnsi="Times New Roman"/>
          <w:sz w:val="24"/>
        </w:rPr>
        <w:t xml:space="preserve"> </w:t>
      </w:r>
      <w:r w:rsidR="00FB238D">
        <w:rPr>
          <w:rFonts w:ascii="Times New Roman" w:hAnsi="Times New Roman"/>
          <w:sz w:val="24"/>
        </w:rPr>
        <w:t xml:space="preserve"> </w:t>
      </w:r>
      <w:r w:rsidR="0031677E">
        <w:rPr>
          <w:rFonts w:ascii="Times New Roman" w:hAnsi="Times New Roman"/>
          <w:sz w:val="24"/>
        </w:rPr>
        <w:t>Any project identified in the NDP will</w:t>
      </w:r>
      <w:r w:rsidRPr="00424F31">
        <w:rPr>
          <w:rFonts w:ascii="Times New Roman" w:hAnsi="Times New Roman"/>
          <w:sz w:val="24"/>
        </w:rPr>
        <w:t xml:space="preserve"> require planning permission and, at that stage, will be subject to AA.</w:t>
      </w:r>
      <w:r w:rsidR="00FB238D">
        <w:rPr>
          <w:rFonts w:ascii="Times New Roman" w:hAnsi="Times New Roman"/>
          <w:sz w:val="24"/>
        </w:rPr>
        <w:t xml:space="preserve"> </w:t>
      </w:r>
      <w:r w:rsidR="00A729A1" w:rsidRPr="00424F31">
        <w:rPr>
          <w:rFonts w:ascii="Times New Roman" w:hAnsi="Times New Roman"/>
          <w:sz w:val="24"/>
        </w:rPr>
        <w:t xml:space="preserve"> The trial judge found</w:t>
      </w:r>
      <w:r w:rsidRPr="00424F31">
        <w:rPr>
          <w:rFonts w:ascii="Times New Roman" w:hAnsi="Times New Roman"/>
          <w:sz w:val="24"/>
        </w:rPr>
        <w:t xml:space="preserve"> </w:t>
      </w:r>
      <w:r w:rsidR="004723B8" w:rsidRPr="00424F31">
        <w:rPr>
          <w:rFonts w:ascii="Times New Roman" w:hAnsi="Times New Roman"/>
          <w:sz w:val="24"/>
        </w:rPr>
        <w:t xml:space="preserve">that the NDP </w:t>
      </w:r>
      <w:r w:rsidR="00FB238D">
        <w:rPr>
          <w:rFonts w:ascii="Times New Roman" w:hAnsi="Times New Roman"/>
          <w:sz w:val="24"/>
        </w:rPr>
        <w:t>was</w:t>
      </w:r>
      <w:r w:rsidR="00FB238D" w:rsidRPr="00424F31">
        <w:rPr>
          <w:rFonts w:ascii="Times New Roman" w:hAnsi="Times New Roman"/>
          <w:sz w:val="24"/>
        </w:rPr>
        <w:t xml:space="preserve"> </w:t>
      </w:r>
      <w:r w:rsidR="004723B8" w:rsidRPr="00424F31">
        <w:rPr>
          <w:rFonts w:ascii="Times New Roman" w:hAnsi="Times New Roman"/>
          <w:sz w:val="24"/>
        </w:rPr>
        <w:t>not require</w:t>
      </w:r>
      <w:r w:rsidR="00FB238D">
        <w:rPr>
          <w:rFonts w:ascii="Times New Roman" w:hAnsi="Times New Roman"/>
          <w:sz w:val="24"/>
        </w:rPr>
        <w:t>d</w:t>
      </w:r>
      <w:r w:rsidR="004723B8" w:rsidRPr="00424F31">
        <w:rPr>
          <w:rFonts w:ascii="Times New Roman" w:hAnsi="Times New Roman"/>
          <w:sz w:val="24"/>
        </w:rPr>
        <w:t xml:space="preserve"> to be subject to AA and I agree with his decision on this point. </w:t>
      </w:r>
    </w:p>
    <w:p w14:paraId="4DC55E24" w14:textId="01B194D9" w:rsidR="00424F31" w:rsidRPr="00424F31" w:rsidRDefault="004723B8" w:rsidP="005B1DD4">
      <w:pPr>
        <w:pStyle w:val="ListParagraph"/>
        <w:numPr>
          <w:ilvl w:val="0"/>
          <w:numId w:val="1"/>
        </w:numPr>
        <w:tabs>
          <w:tab w:val="left" w:pos="567"/>
        </w:tabs>
        <w:spacing w:line="480" w:lineRule="auto"/>
        <w:ind w:left="0" w:firstLine="0"/>
        <w:jc w:val="left"/>
        <w:rPr>
          <w:rFonts w:ascii="Times New Roman" w:hAnsi="Times New Roman"/>
          <w:b/>
          <w:sz w:val="24"/>
          <w:u w:val="single"/>
        </w:rPr>
      </w:pPr>
      <w:r w:rsidRPr="00424F31">
        <w:rPr>
          <w:rFonts w:ascii="Times New Roman" w:hAnsi="Times New Roman"/>
          <w:sz w:val="24"/>
        </w:rPr>
        <w:t>For these reasons</w:t>
      </w:r>
      <w:r w:rsidR="00FB238D">
        <w:rPr>
          <w:rFonts w:ascii="Times New Roman" w:hAnsi="Times New Roman"/>
          <w:sz w:val="24"/>
        </w:rPr>
        <w:t>,</w:t>
      </w:r>
      <w:r w:rsidRPr="00424F31">
        <w:rPr>
          <w:rFonts w:ascii="Times New Roman" w:hAnsi="Times New Roman"/>
          <w:sz w:val="24"/>
        </w:rPr>
        <w:t xml:space="preserve"> I would reject this ground of appeal.</w:t>
      </w:r>
      <w:r w:rsidR="00861F68" w:rsidRPr="00424F31">
        <w:rPr>
          <w:rFonts w:ascii="Times New Roman" w:hAnsi="Times New Roman"/>
          <w:sz w:val="24"/>
        </w:rPr>
        <w:t xml:space="preserve"> </w:t>
      </w:r>
    </w:p>
    <w:p w14:paraId="7D36253A" w14:textId="77777777" w:rsidR="00FB238D" w:rsidRDefault="00FB238D" w:rsidP="005E487A">
      <w:pPr>
        <w:pStyle w:val="ListParagraph"/>
        <w:tabs>
          <w:tab w:val="left" w:pos="567"/>
        </w:tabs>
        <w:spacing w:line="276" w:lineRule="auto"/>
        <w:ind w:left="0"/>
        <w:jc w:val="left"/>
        <w:rPr>
          <w:rFonts w:ascii="Times New Roman" w:hAnsi="Times New Roman"/>
          <w:b/>
          <w:sz w:val="24"/>
          <w:u w:val="single"/>
        </w:rPr>
      </w:pPr>
    </w:p>
    <w:p w14:paraId="715070A7" w14:textId="162AA6E3" w:rsidR="009D6BEF" w:rsidRPr="00424F31" w:rsidRDefault="00135383" w:rsidP="00424F31">
      <w:pPr>
        <w:pStyle w:val="ListParagraph"/>
        <w:tabs>
          <w:tab w:val="left" w:pos="567"/>
        </w:tabs>
        <w:spacing w:line="480" w:lineRule="auto"/>
        <w:ind w:left="0"/>
        <w:jc w:val="left"/>
        <w:rPr>
          <w:rFonts w:ascii="Times New Roman" w:hAnsi="Times New Roman"/>
          <w:b/>
          <w:sz w:val="24"/>
          <w:u w:val="single"/>
        </w:rPr>
      </w:pPr>
      <w:r w:rsidRPr="00424F31">
        <w:rPr>
          <w:rFonts w:ascii="Times New Roman" w:hAnsi="Times New Roman"/>
          <w:b/>
          <w:sz w:val="24"/>
          <w:u w:val="single"/>
        </w:rPr>
        <w:t xml:space="preserve">Duty of candour </w:t>
      </w:r>
    </w:p>
    <w:p w14:paraId="35FEB6CC" w14:textId="7D5107CF" w:rsidR="0047488C" w:rsidRDefault="0078112D"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applicant complained that the respondents had acted with a lack of candour in their dealings with the applicant and it was submitted that they had breached a duty of candour </w:t>
      </w:r>
      <w:r w:rsidR="00A729A1">
        <w:rPr>
          <w:rFonts w:ascii="Times New Roman" w:hAnsi="Times New Roman"/>
          <w:sz w:val="24"/>
        </w:rPr>
        <w:t xml:space="preserve">owed to the court </w:t>
      </w:r>
      <w:r w:rsidR="0047488C">
        <w:rPr>
          <w:rFonts w:ascii="Times New Roman" w:hAnsi="Times New Roman"/>
          <w:sz w:val="24"/>
        </w:rPr>
        <w:t>as identified</w:t>
      </w:r>
      <w:r>
        <w:rPr>
          <w:rFonts w:ascii="Times New Roman" w:hAnsi="Times New Roman"/>
          <w:sz w:val="24"/>
        </w:rPr>
        <w:t xml:space="preserve"> by the High Court in </w:t>
      </w:r>
      <w:r>
        <w:rPr>
          <w:rFonts w:ascii="Times New Roman" w:hAnsi="Times New Roman"/>
          <w:i/>
          <w:sz w:val="24"/>
        </w:rPr>
        <w:t>M</w:t>
      </w:r>
      <w:r w:rsidR="00A729A1">
        <w:rPr>
          <w:rFonts w:ascii="Times New Roman" w:hAnsi="Times New Roman"/>
          <w:i/>
          <w:sz w:val="24"/>
        </w:rPr>
        <w:t>urtagh</w:t>
      </w:r>
      <w:r>
        <w:rPr>
          <w:rFonts w:ascii="Times New Roman" w:hAnsi="Times New Roman"/>
          <w:i/>
          <w:sz w:val="24"/>
        </w:rPr>
        <w:t xml:space="preserve"> v. Judge </w:t>
      </w:r>
      <w:proofErr w:type="spellStart"/>
      <w:r>
        <w:rPr>
          <w:rFonts w:ascii="Times New Roman" w:hAnsi="Times New Roman"/>
          <w:i/>
          <w:sz w:val="24"/>
        </w:rPr>
        <w:t>Kilrane</w:t>
      </w:r>
      <w:proofErr w:type="spellEnd"/>
      <w:r>
        <w:rPr>
          <w:rFonts w:ascii="Times New Roman" w:hAnsi="Times New Roman"/>
          <w:i/>
          <w:sz w:val="24"/>
        </w:rPr>
        <w:t xml:space="preserve"> </w:t>
      </w:r>
      <w:r>
        <w:rPr>
          <w:rFonts w:ascii="Times New Roman" w:hAnsi="Times New Roman"/>
          <w:sz w:val="24"/>
        </w:rPr>
        <w:t xml:space="preserve">[2017] IEHC 384.  </w:t>
      </w:r>
    </w:p>
    <w:p w14:paraId="07B77AF7" w14:textId="28A59CFE" w:rsidR="0078112D" w:rsidRDefault="0078112D"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w:t>
      </w:r>
      <w:r>
        <w:rPr>
          <w:rFonts w:ascii="Times New Roman" w:hAnsi="Times New Roman"/>
          <w:i/>
          <w:sz w:val="24"/>
        </w:rPr>
        <w:t xml:space="preserve">O’Neill v. Governor of Castlerea Prison </w:t>
      </w:r>
      <w:r>
        <w:rPr>
          <w:rFonts w:ascii="Times New Roman" w:hAnsi="Times New Roman"/>
          <w:sz w:val="24"/>
        </w:rPr>
        <w:t>[2004] 1 I</w:t>
      </w:r>
      <w:r w:rsidR="00FB238D">
        <w:rPr>
          <w:rFonts w:ascii="Times New Roman" w:hAnsi="Times New Roman"/>
          <w:sz w:val="24"/>
        </w:rPr>
        <w:t>.</w:t>
      </w:r>
      <w:r>
        <w:rPr>
          <w:rFonts w:ascii="Times New Roman" w:hAnsi="Times New Roman"/>
          <w:sz w:val="24"/>
        </w:rPr>
        <w:t>R</w:t>
      </w:r>
      <w:r w:rsidR="00FB238D">
        <w:rPr>
          <w:rFonts w:ascii="Times New Roman" w:hAnsi="Times New Roman"/>
          <w:sz w:val="24"/>
        </w:rPr>
        <w:t>.</w:t>
      </w:r>
      <w:r>
        <w:rPr>
          <w:rFonts w:ascii="Times New Roman" w:hAnsi="Times New Roman"/>
          <w:sz w:val="24"/>
        </w:rPr>
        <w:t xml:space="preserve"> 29</w:t>
      </w:r>
      <w:r w:rsidR="00FB238D">
        <w:rPr>
          <w:rFonts w:ascii="Times New Roman" w:hAnsi="Times New Roman"/>
          <w:sz w:val="24"/>
        </w:rPr>
        <w:t>8</w:t>
      </w:r>
      <w:r>
        <w:rPr>
          <w:rFonts w:ascii="Times New Roman" w:hAnsi="Times New Roman"/>
          <w:sz w:val="24"/>
        </w:rPr>
        <w:t xml:space="preserve"> Keane C.J. held at </w:t>
      </w:r>
      <w:r w:rsidR="00FB238D">
        <w:rPr>
          <w:rFonts w:ascii="Times New Roman" w:hAnsi="Times New Roman"/>
          <w:sz w:val="24"/>
        </w:rPr>
        <w:t xml:space="preserve">      </w:t>
      </w:r>
      <w:r>
        <w:rPr>
          <w:rFonts w:ascii="Times New Roman" w:hAnsi="Times New Roman"/>
          <w:sz w:val="24"/>
        </w:rPr>
        <w:t>p. 316 of the report that:</w:t>
      </w:r>
      <w:r w:rsidR="00FB238D">
        <w:rPr>
          <w:rFonts w:ascii="Times New Roman" w:hAnsi="Times New Roman"/>
          <w:sz w:val="24"/>
        </w:rPr>
        <w:t>-</w:t>
      </w:r>
    </w:p>
    <w:p w14:paraId="24F51AD1" w14:textId="74847B6F" w:rsidR="0078112D" w:rsidRDefault="0078112D" w:rsidP="0078112D">
      <w:pPr>
        <w:pStyle w:val="ListParagraph"/>
        <w:spacing w:line="480" w:lineRule="auto"/>
        <w:ind w:left="567"/>
        <w:jc w:val="left"/>
        <w:rPr>
          <w:rFonts w:ascii="Times New Roman" w:hAnsi="Times New Roman"/>
          <w:sz w:val="24"/>
        </w:rPr>
      </w:pPr>
      <w:r>
        <w:rPr>
          <w:rFonts w:ascii="Times New Roman" w:hAnsi="Times New Roman"/>
          <w:i/>
          <w:sz w:val="24"/>
        </w:rPr>
        <w:t>“</w:t>
      </w:r>
      <w:r w:rsidR="002F280F">
        <w:rPr>
          <w:rFonts w:ascii="Times New Roman" w:hAnsi="Times New Roman"/>
          <w:i/>
          <w:sz w:val="24"/>
        </w:rPr>
        <w:t>The argument on behalf of the applicants, that in judicial review proceedings a respondent should disclose to the court all the materials in its possession which were relevant to the decision sought to be impugned, is well</w:t>
      </w:r>
      <w:r w:rsidR="0050394D">
        <w:rPr>
          <w:rFonts w:ascii="Times New Roman" w:hAnsi="Times New Roman"/>
          <w:i/>
          <w:sz w:val="24"/>
        </w:rPr>
        <w:t>-</w:t>
      </w:r>
      <w:r w:rsidR="002F280F">
        <w:rPr>
          <w:rFonts w:ascii="Times New Roman" w:hAnsi="Times New Roman"/>
          <w:i/>
          <w:sz w:val="24"/>
        </w:rPr>
        <w:t>founded, although it would doubtless not require the respondents to disclose material in respect of which in a discovery process they would be entitled to claim privilege.”</w:t>
      </w:r>
      <w:r>
        <w:rPr>
          <w:rFonts w:ascii="Times New Roman" w:hAnsi="Times New Roman"/>
          <w:sz w:val="24"/>
        </w:rPr>
        <w:t xml:space="preserve"> </w:t>
      </w:r>
    </w:p>
    <w:p w14:paraId="6A128988" w14:textId="6B7991B7" w:rsidR="009D6BEF" w:rsidRDefault="002F280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In </w:t>
      </w:r>
      <w:r>
        <w:rPr>
          <w:rFonts w:ascii="Times New Roman" w:hAnsi="Times New Roman"/>
          <w:i/>
          <w:sz w:val="24"/>
        </w:rPr>
        <w:t>M</w:t>
      </w:r>
      <w:r w:rsidR="0047488C">
        <w:rPr>
          <w:rFonts w:ascii="Times New Roman" w:hAnsi="Times New Roman"/>
          <w:i/>
          <w:sz w:val="24"/>
        </w:rPr>
        <w:t>urtagh</w:t>
      </w:r>
      <w:r>
        <w:rPr>
          <w:rFonts w:ascii="Times New Roman" w:hAnsi="Times New Roman"/>
          <w:i/>
          <w:sz w:val="24"/>
        </w:rPr>
        <w:t xml:space="preserve"> v. Judge </w:t>
      </w:r>
      <w:proofErr w:type="spellStart"/>
      <w:r>
        <w:rPr>
          <w:rFonts w:ascii="Times New Roman" w:hAnsi="Times New Roman"/>
          <w:i/>
          <w:sz w:val="24"/>
        </w:rPr>
        <w:t>Kilrane</w:t>
      </w:r>
      <w:proofErr w:type="spellEnd"/>
      <w:r w:rsidR="0050394D">
        <w:rPr>
          <w:rFonts w:ascii="Times New Roman" w:hAnsi="Times New Roman"/>
          <w:iCs/>
          <w:sz w:val="24"/>
        </w:rPr>
        <w:t>,</w:t>
      </w:r>
      <w:r>
        <w:rPr>
          <w:rFonts w:ascii="Times New Roman" w:hAnsi="Times New Roman"/>
          <w:i/>
          <w:sz w:val="24"/>
        </w:rPr>
        <w:t xml:space="preserve"> </w:t>
      </w:r>
      <w:r>
        <w:rPr>
          <w:rFonts w:ascii="Times New Roman" w:hAnsi="Times New Roman"/>
          <w:sz w:val="24"/>
        </w:rPr>
        <w:t>Barrett J. considered a number of English authorities which had been de</w:t>
      </w:r>
      <w:r w:rsidR="0047488C">
        <w:rPr>
          <w:rFonts w:ascii="Times New Roman" w:hAnsi="Times New Roman"/>
          <w:sz w:val="24"/>
        </w:rPr>
        <w:t>cide</w:t>
      </w:r>
      <w:r w:rsidR="00AB0995">
        <w:rPr>
          <w:rFonts w:ascii="Times New Roman" w:hAnsi="Times New Roman"/>
          <w:sz w:val="24"/>
        </w:rPr>
        <w:t>d</w:t>
      </w:r>
      <w:r>
        <w:rPr>
          <w:rFonts w:ascii="Times New Roman" w:hAnsi="Times New Roman"/>
          <w:sz w:val="24"/>
        </w:rPr>
        <w:t xml:space="preserve"> both before and since the decision of the Chief Justice in </w:t>
      </w:r>
      <w:r w:rsidRPr="0047488C">
        <w:rPr>
          <w:rFonts w:ascii="Times New Roman" w:hAnsi="Times New Roman"/>
          <w:i/>
          <w:sz w:val="24"/>
        </w:rPr>
        <w:t>O’Neill</w:t>
      </w:r>
      <w:r>
        <w:rPr>
          <w:rFonts w:ascii="Times New Roman" w:hAnsi="Times New Roman"/>
          <w:sz w:val="24"/>
        </w:rPr>
        <w:t>.  He also relied on For</w:t>
      </w:r>
      <w:r w:rsidR="0047488C">
        <w:rPr>
          <w:rFonts w:ascii="Times New Roman" w:hAnsi="Times New Roman"/>
          <w:sz w:val="24"/>
        </w:rPr>
        <w:t>d</w:t>
      </w:r>
      <w:r>
        <w:rPr>
          <w:rFonts w:ascii="Times New Roman" w:hAnsi="Times New Roman"/>
          <w:sz w:val="24"/>
        </w:rPr>
        <w:t>ham</w:t>
      </w:r>
      <w:r w:rsidR="0050394D">
        <w:rPr>
          <w:rFonts w:ascii="Times New Roman" w:hAnsi="Times New Roman"/>
          <w:sz w:val="24"/>
        </w:rPr>
        <w:t>’</w:t>
      </w:r>
      <w:r>
        <w:rPr>
          <w:rFonts w:ascii="Times New Roman" w:hAnsi="Times New Roman"/>
          <w:sz w:val="24"/>
        </w:rPr>
        <w:t>s Judicial Review Handbook (a British textbook) and adduced nine principles from these authorities as follows:</w:t>
      </w:r>
      <w:r w:rsidR="00E740C4">
        <w:rPr>
          <w:rFonts w:ascii="Times New Roman" w:hAnsi="Times New Roman"/>
          <w:sz w:val="24"/>
        </w:rPr>
        <w:t>-</w:t>
      </w:r>
    </w:p>
    <w:p w14:paraId="17E4714A" w14:textId="31D809B9" w:rsidR="00E740C4" w:rsidRPr="00C40687" w:rsidRDefault="00E740C4" w:rsidP="00F70E09">
      <w:pPr>
        <w:pStyle w:val="ListParagraph"/>
        <w:spacing w:line="480" w:lineRule="auto"/>
        <w:ind w:left="567"/>
      </w:pPr>
      <w:r>
        <w:rPr>
          <w:rFonts w:ascii="Times New Roman" w:hAnsi="Times New Roman"/>
          <w:bCs/>
          <w:i/>
          <w:sz w:val="24"/>
        </w:rPr>
        <w:t>“</w:t>
      </w:r>
      <w:r w:rsidRPr="00E740C4">
        <w:rPr>
          <w:rFonts w:ascii="Times New Roman" w:hAnsi="Times New Roman"/>
          <w:bCs/>
          <w:i/>
          <w:sz w:val="24"/>
        </w:rPr>
        <w:t xml:space="preserve">(1) In judicial review proceedings a respondent should disclose to the court all the materials in its possession which are relevant to the decision sought to be impugned; </w:t>
      </w:r>
      <w:r w:rsidRPr="00E740C4">
        <w:rPr>
          <w:rFonts w:ascii="Times New Roman" w:hAnsi="Times New Roman"/>
          <w:bCs/>
          <w:i/>
          <w:sz w:val="24"/>
        </w:rPr>
        <w:lastRenderedPageBreak/>
        <w:t>this duty does not require the respondents to disclose material in respect of which in a discovery process they would be entitled to claim privilege. (O'Neill).</w:t>
      </w:r>
    </w:p>
    <w:p w14:paraId="33DDD216" w14:textId="47F9DBF1" w:rsidR="00E740C4" w:rsidRPr="00C40687" w:rsidRDefault="00E740C4" w:rsidP="00F70E09">
      <w:pPr>
        <w:pStyle w:val="ListParagraph"/>
        <w:spacing w:line="480" w:lineRule="auto"/>
        <w:ind w:left="567"/>
      </w:pPr>
      <w:r w:rsidRPr="00E740C4">
        <w:rPr>
          <w:rFonts w:ascii="Times New Roman" w:hAnsi="Times New Roman"/>
          <w:bCs/>
          <w:i/>
          <w:sz w:val="24"/>
        </w:rPr>
        <w:t>(2) Save as referred to in O'Neill, there is no duty of general disclosure in judicial review proceedings. There is, however, a very high duty on public authority respondents to assist the court with full and accurate explanations of all the facts relevant to the issue/s the court must decide. (Quark).</w:t>
      </w:r>
    </w:p>
    <w:p w14:paraId="7EC506AE" w14:textId="57778F4E" w:rsidR="00E740C4" w:rsidRPr="00C40687" w:rsidRDefault="00E740C4" w:rsidP="009D47D4">
      <w:pPr>
        <w:pStyle w:val="ListParagraph"/>
        <w:spacing w:line="480" w:lineRule="auto"/>
        <w:ind w:left="567"/>
      </w:pPr>
      <w:r w:rsidRPr="00E740C4">
        <w:rPr>
          <w:rFonts w:ascii="Times New Roman" w:hAnsi="Times New Roman"/>
          <w:bCs/>
          <w:i/>
          <w:sz w:val="24"/>
        </w:rPr>
        <w:t xml:space="preserve">(3) The said duty (often referred to as a </w:t>
      </w:r>
      <w:r>
        <w:rPr>
          <w:rFonts w:ascii="Times New Roman" w:hAnsi="Times New Roman"/>
          <w:bCs/>
          <w:i/>
          <w:sz w:val="24"/>
        </w:rPr>
        <w:t>‘</w:t>
      </w:r>
      <w:r w:rsidRPr="00E740C4">
        <w:rPr>
          <w:rFonts w:ascii="Times New Roman" w:hAnsi="Times New Roman"/>
          <w:bCs/>
          <w:i/>
          <w:sz w:val="24"/>
        </w:rPr>
        <w:t>duty of candour</w:t>
      </w:r>
      <w:r>
        <w:rPr>
          <w:rFonts w:ascii="Times New Roman" w:hAnsi="Times New Roman"/>
          <w:bCs/>
          <w:i/>
          <w:sz w:val="24"/>
        </w:rPr>
        <w:t>’</w:t>
      </w:r>
      <w:r w:rsidRPr="00E740C4">
        <w:rPr>
          <w:rFonts w:ascii="Times New Roman" w:hAnsi="Times New Roman"/>
          <w:bCs/>
          <w:i/>
          <w:sz w:val="24"/>
        </w:rPr>
        <w:t>) springs in part from the fact that the modern development of judicial review has created a new relationship between the courts and public bodies, being one of partnership based on the common aim of maintaining the highest standards of public administration. (Huddleston).</w:t>
      </w:r>
    </w:p>
    <w:p w14:paraId="3C06FF6D" w14:textId="20C18C9D" w:rsidR="00E740C4" w:rsidRPr="00C40687" w:rsidRDefault="00E740C4" w:rsidP="005E487A">
      <w:pPr>
        <w:pStyle w:val="ListParagraph"/>
        <w:spacing w:line="480" w:lineRule="auto"/>
        <w:ind w:left="567"/>
      </w:pPr>
      <w:r w:rsidRPr="00E740C4">
        <w:rPr>
          <w:rFonts w:ascii="Times New Roman" w:hAnsi="Times New Roman"/>
          <w:bCs/>
          <w:i/>
          <w:sz w:val="24"/>
        </w:rPr>
        <w:t>(4) The object of a public body in judicial review proceedings is not to win litigation at all costs but to assist the court in reaching the correct result and thereby to improve standards in public administration. (AHK (2015)).</w:t>
      </w:r>
    </w:p>
    <w:p w14:paraId="56CC0059" w14:textId="3C3C1E61" w:rsidR="00E740C4" w:rsidRPr="00C40687" w:rsidRDefault="00E740C4" w:rsidP="00A752C0">
      <w:pPr>
        <w:pStyle w:val="ListParagraph"/>
        <w:spacing w:line="480" w:lineRule="auto"/>
        <w:ind w:left="567"/>
      </w:pPr>
      <w:r w:rsidRPr="00E740C4">
        <w:rPr>
          <w:rFonts w:ascii="Times New Roman" w:hAnsi="Times New Roman"/>
          <w:bCs/>
          <w:i/>
          <w:sz w:val="24"/>
        </w:rPr>
        <w:t>(5) Proceedings for judicial review should not be conducted in the same manner as hard-fought commercial litigation. A respondent authority owes a duty to the court to cooperate and to make candid disclosure, by way of affidavit, of the relevant facts and (so far as they are not apparent from contemporaneous documents which have been disclosed) the reasoning behind the decision challenged in the judicial review proceedings. (Belize Alliance).</w:t>
      </w:r>
    </w:p>
    <w:p w14:paraId="1CAE6DF2" w14:textId="696643AE" w:rsidR="00E740C4" w:rsidRPr="005E487A" w:rsidRDefault="00E740C4" w:rsidP="00EE3890">
      <w:pPr>
        <w:pStyle w:val="ListParagraph"/>
        <w:spacing w:line="480" w:lineRule="auto"/>
        <w:ind w:left="567"/>
      </w:pPr>
      <w:r w:rsidRPr="00E740C4">
        <w:rPr>
          <w:rFonts w:ascii="Times New Roman" w:hAnsi="Times New Roman"/>
          <w:bCs/>
          <w:i/>
          <w:sz w:val="24"/>
        </w:rPr>
        <w:t>(6) The notion that it is not for a public body to make out an applicant's case for him is only partially correct. It is for the applicant to satisfy the court of his entitlement to judicial review and it is for the respondent to resist his application, if it considers it unjustified. But it is a process which falls to be conducted with all the cards face upwards on the table and the vast majority of the cards will start in the public body's hands. (Huddleston).</w:t>
      </w:r>
    </w:p>
    <w:p w14:paraId="62E470FE" w14:textId="133F5F41" w:rsidR="00E740C4" w:rsidRPr="00C40687" w:rsidRDefault="00E740C4" w:rsidP="00F70E09">
      <w:pPr>
        <w:pStyle w:val="ListParagraph"/>
        <w:spacing w:line="480" w:lineRule="auto"/>
        <w:ind w:left="567"/>
      </w:pPr>
      <w:r w:rsidRPr="00E740C4">
        <w:rPr>
          <w:rFonts w:ascii="Times New Roman" w:hAnsi="Times New Roman"/>
          <w:bCs/>
          <w:i/>
          <w:sz w:val="24"/>
        </w:rPr>
        <w:lastRenderedPageBreak/>
        <w:t>(7) Put shortly, the duty of candour which rests on a respondent in judicial review proceedings to make full and fair disclosure of relevant material embraces (1) due diligence in investigating what material is available, (2) disclosure which is relevant or assists the claimant, including on some as yet un-pleaded ground, and (possibly) (3) disclosure at the permission stage if permission is resisted (</w:t>
      </w:r>
      <w:r w:rsidR="00AF1FB3">
        <w:rPr>
          <w:rFonts w:ascii="Times New Roman" w:hAnsi="Times New Roman"/>
          <w:bCs/>
          <w:i/>
          <w:sz w:val="24"/>
        </w:rPr>
        <w:t>‘</w:t>
      </w:r>
      <w:r w:rsidRPr="00E740C4">
        <w:rPr>
          <w:rFonts w:ascii="Times New Roman" w:hAnsi="Times New Roman"/>
          <w:bCs/>
          <w:i/>
          <w:sz w:val="24"/>
        </w:rPr>
        <w:t>possibly</w:t>
      </w:r>
      <w:r w:rsidR="00AF1FB3">
        <w:rPr>
          <w:rFonts w:ascii="Times New Roman" w:hAnsi="Times New Roman"/>
          <w:bCs/>
          <w:i/>
          <w:sz w:val="24"/>
        </w:rPr>
        <w:t>’</w:t>
      </w:r>
      <w:r w:rsidRPr="00E740C4">
        <w:rPr>
          <w:rFonts w:ascii="Times New Roman" w:hAnsi="Times New Roman"/>
          <w:bCs/>
          <w:i/>
          <w:sz w:val="24"/>
        </w:rPr>
        <w:t xml:space="preserve"> because point (3) is not at issue in the within application) (Fordham).</w:t>
      </w:r>
    </w:p>
    <w:p w14:paraId="6AD3341D" w14:textId="0135E974" w:rsidR="00E740C4" w:rsidRPr="00C40687" w:rsidRDefault="00E740C4" w:rsidP="009D47D4">
      <w:pPr>
        <w:pStyle w:val="ListParagraph"/>
        <w:spacing w:line="480" w:lineRule="auto"/>
        <w:ind w:left="567"/>
      </w:pPr>
      <w:r w:rsidRPr="00E740C4">
        <w:rPr>
          <w:rFonts w:ascii="Times New Roman" w:hAnsi="Times New Roman"/>
          <w:bCs/>
          <w:i/>
          <w:sz w:val="24"/>
        </w:rPr>
        <w:t>(8) The purpose of disclosure is to explain the full facts and reasoning underlying the decision challenged, and to disclose relevant documents, unless, in the particular circumstances of the case, other factors, including those which may fall short of public interest immunity, may exclude their disclosure (</w:t>
      </w:r>
      <w:proofErr w:type="spellStart"/>
      <w:r w:rsidRPr="00E740C4">
        <w:rPr>
          <w:rFonts w:ascii="Times New Roman" w:hAnsi="Times New Roman"/>
          <w:bCs/>
          <w:i/>
          <w:sz w:val="24"/>
        </w:rPr>
        <w:t>Bancoult</w:t>
      </w:r>
      <w:proofErr w:type="spellEnd"/>
      <w:r w:rsidRPr="00E740C4">
        <w:rPr>
          <w:rFonts w:ascii="Times New Roman" w:hAnsi="Times New Roman"/>
          <w:bCs/>
          <w:i/>
          <w:sz w:val="24"/>
        </w:rPr>
        <w:t>, AHK (2012)).</w:t>
      </w:r>
    </w:p>
    <w:p w14:paraId="438330C0" w14:textId="77777777" w:rsidR="00E740C4" w:rsidRPr="00E740C4" w:rsidRDefault="00E740C4" w:rsidP="00E740C4">
      <w:pPr>
        <w:pStyle w:val="ListParagraph"/>
        <w:spacing w:line="480" w:lineRule="auto"/>
        <w:ind w:left="567"/>
        <w:jc w:val="left"/>
        <w:rPr>
          <w:rFonts w:ascii="Times New Roman" w:hAnsi="Times New Roman"/>
          <w:bCs/>
          <w:i/>
          <w:sz w:val="24"/>
        </w:rPr>
      </w:pPr>
      <w:r w:rsidRPr="00E740C4">
        <w:rPr>
          <w:rFonts w:ascii="Times New Roman" w:hAnsi="Times New Roman"/>
          <w:bCs/>
          <w:i/>
          <w:sz w:val="24"/>
        </w:rPr>
        <w:t>(9) The duty of candour is largely self-policing (which is why, in the neighbouring jurisdiction, anxious concern is understandably expressed if and when it transpires that public bodies have failed properly to discharge the duty arising). (Fordham).</w:t>
      </w:r>
      <w:r w:rsidR="00AF1FB3">
        <w:rPr>
          <w:rFonts w:ascii="Times New Roman" w:hAnsi="Times New Roman"/>
          <w:bCs/>
          <w:i/>
          <w:sz w:val="24"/>
        </w:rPr>
        <w:t>”</w:t>
      </w:r>
    </w:p>
    <w:p w14:paraId="1AF2051A" w14:textId="0C49BA65" w:rsidR="00091EA5" w:rsidRDefault="002F280F"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extent of a duty of candour </w:t>
      </w:r>
      <w:r w:rsidR="00091EA5">
        <w:rPr>
          <w:rFonts w:ascii="Times New Roman" w:hAnsi="Times New Roman"/>
          <w:sz w:val="24"/>
        </w:rPr>
        <w:t xml:space="preserve">owed by a respondent in judicial review proceedings was not the subject of </w:t>
      </w:r>
      <w:r w:rsidR="0074674D">
        <w:rPr>
          <w:rFonts w:ascii="Times New Roman" w:hAnsi="Times New Roman"/>
          <w:sz w:val="24"/>
        </w:rPr>
        <w:t xml:space="preserve">any detailed </w:t>
      </w:r>
      <w:r w:rsidR="00091EA5">
        <w:rPr>
          <w:rFonts w:ascii="Times New Roman" w:hAnsi="Times New Roman"/>
          <w:sz w:val="24"/>
        </w:rPr>
        <w:t xml:space="preserve">debate or submissions in the hearing before this </w:t>
      </w:r>
      <w:r w:rsidR="0050394D">
        <w:rPr>
          <w:rFonts w:ascii="Times New Roman" w:hAnsi="Times New Roman"/>
          <w:sz w:val="24"/>
        </w:rPr>
        <w:t>c</w:t>
      </w:r>
      <w:r w:rsidR="00091EA5">
        <w:rPr>
          <w:rFonts w:ascii="Times New Roman" w:hAnsi="Times New Roman"/>
          <w:sz w:val="24"/>
        </w:rPr>
        <w:t>ourt.  For this reason, I refrain from commenting on whether the principles thus set out represent the position under Irish law, save for those principles which d</w:t>
      </w:r>
      <w:r w:rsidR="0074674D">
        <w:rPr>
          <w:rFonts w:ascii="Times New Roman" w:hAnsi="Times New Roman"/>
          <w:sz w:val="24"/>
        </w:rPr>
        <w:t>e</w:t>
      </w:r>
      <w:r w:rsidR="00091EA5">
        <w:rPr>
          <w:rFonts w:ascii="Times New Roman" w:hAnsi="Times New Roman"/>
          <w:sz w:val="24"/>
        </w:rPr>
        <w:t xml:space="preserve">rive from the decision of the Supreme Court in </w:t>
      </w:r>
      <w:r w:rsidR="00091EA5">
        <w:rPr>
          <w:rFonts w:ascii="Times New Roman" w:hAnsi="Times New Roman"/>
          <w:i/>
          <w:sz w:val="24"/>
        </w:rPr>
        <w:t xml:space="preserve">O’Neill </w:t>
      </w:r>
      <w:r w:rsidR="00091EA5">
        <w:rPr>
          <w:rFonts w:ascii="Times New Roman" w:hAnsi="Times New Roman"/>
          <w:sz w:val="24"/>
        </w:rPr>
        <w:t>(Principle 1 and part of Principle 2).  I expressly refrain from endorsing the nine principles as representing the law in this jurisdiction</w:t>
      </w:r>
      <w:r w:rsidR="0074674D">
        <w:rPr>
          <w:rFonts w:ascii="Times New Roman" w:hAnsi="Times New Roman"/>
          <w:sz w:val="24"/>
        </w:rPr>
        <w:t>.</w:t>
      </w:r>
      <w:r w:rsidR="00091EA5">
        <w:rPr>
          <w:rFonts w:ascii="Times New Roman" w:hAnsi="Times New Roman"/>
          <w:sz w:val="24"/>
        </w:rPr>
        <w:t xml:space="preserve"> </w:t>
      </w:r>
      <w:r w:rsidR="0050394D">
        <w:rPr>
          <w:rFonts w:ascii="Times New Roman" w:hAnsi="Times New Roman"/>
          <w:sz w:val="24"/>
        </w:rPr>
        <w:t xml:space="preserve"> </w:t>
      </w:r>
      <w:r w:rsidR="0074674D">
        <w:rPr>
          <w:rFonts w:ascii="Times New Roman" w:hAnsi="Times New Roman"/>
          <w:sz w:val="24"/>
        </w:rPr>
        <w:t>T</w:t>
      </w:r>
      <w:r w:rsidR="00091EA5">
        <w:rPr>
          <w:rFonts w:ascii="Times New Roman" w:hAnsi="Times New Roman"/>
          <w:sz w:val="24"/>
        </w:rPr>
        <w:t xml:space="preserve">he matter should await another case in which the </w:t>
      </w:r>
      <w:r w:rsidR="0074674D">
        <w:rPr>
          <w:rFonts w:ascii="Times New Roman" w:hAnsi="Times New Roman"/>
          <w:sz w:val="24"/>
        </w:rPr>
        <w:t>issues</w:t>
      </w:r>
      <w:r w:rsidR="00091EA5">
        <w:rPr>
          <w:rFonts w:ascii="Times New Roman" w:hAnsi="Times New Roman"/>
          <w:sz w:val="24"/>
        </w:rPr>
        <w:t xml:space="preserve"> </w:t>
      </w:r>
      <w:r w:rsidR="0074674D">
        <w:rPr>
          <w:rFonts w:ascii="Times New Roman" w:hAnsi="Times New Roman"/>
          <w:sz w:val="24"/>
        </w:rPr>
        <w:t>are</w:t>
      </w:r>
      <w:r w:rsidR="00091EA5">
        <w:rPr>
          <w:rFonts w:ascii="Times New Roman" w:hAnsi="Times New Roman"/>
          <w:sz w:val="24"/>
        </w:rPr>
        <w:t xml:space="preserve"> fully debated.</w:t>
      </w:r>
    </w:p>
    <w:p w14:paraId="51BA77A2" w14:textId="6C66D1F9" w:rsidR="00091EA5"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However, it is appropriate to observe that the</w:t>
      </w:r>
      <w:r w:rsidR="00E63E89">
        <w:rPr>
          <w:rFonts w:ascii="Times New Roman" w:hAnsi="Times New Roman"/>
          <w:sz w:val="24"/>
        </w:rPr>
        <w:t>re were aspects of the</w:t>
      </w:r>
      <w:r>
        <w:rPr>
          <w:rFonts w:ascii="Times New Roman" w:hAnsi="Times New Roman"/>
          <w:sz w:val="24"/>
        </w:rPr>
        <w:t xml:space="preserve"> conduct of the respondents in this matter</w:t>
      </w:r>
      <w:r w:rsidR="009D791B">
        <w:rPr>
          <w:rFonts w:ascii="Times New Roman" w:hAnsi="Times New Roman"/>
          <w:sz w:val="24"/>
        </w:rPr>
        <w:t>,</w:t>
      </w:r>
      <w:r w:rsidR="0047488C">
        <w:rPr>
          <w:rFonts w:ascii="Times New Roman" w:hAnsi="Times New Roman"/>
          <w:sz w:val="24"/>
        </w:rPr>
        <w:t xml:space="preserve"> both before and during the litigation</w:t>
      </w:r>
      <w:r w:rsidR="009D791B">
        <w:rPr>
          <w:rFonts w:ascii="Times New Roman" w:hAnsi="Times New Roman"/>
          <w:sz w:val="24"/>
        </w:rPr>
        <w:t>,</w:t>
      </w:r>
      <w:r w:rsidR="0047488C">
        <w:rPr>
          <w:rFonts w:ascii="Times New Roman" w:hAnsi="Times New Roman"/>
          <w:sz w:val="24"/>
        </w:rPr>
        <w:t xml:space="preserve"> which</w:t>
      </w:r>
      <w:r w:rsidR="00B94569">
        <w:rPr>
          <w:rFonts w:ascii="Times New Roman" w:hAnsi="Times New Roman"/>
          <w:sz w:val="24"/>
        </w:rPr>
        <w:t xml:space="preserve"> leaves a lot to be desired</w:t>
      </w:r>
      <w:r>
        <w:rPr>
          <w:rFonts w:ascii="Times New Roman" w:hAnsi="Times New Roman"/>
          <w:sz w:val="24"/>
        </w:rPr>
        <w:t>.  In the first instance, the respondents</w:t>
      </w:r>
      <w:r w:rsidR="0047488C">
        <w:rPr>
          <w:rFonts w:ascii="Times New Roman" w:hAnsi="Times New Roman"/>
          <w:sz w:val="24"/>
        </w:rPr>
        <w:t>’</w:t>
      </w:r>
      <w:r>
        <w:rPr>
          <w:rFonts w:ascii="Times New Roman" w:hAnsi="Times New Roman"/>
          <w:sz w:val="24"/>
        </w:rPr>
        <w:t xml:space="preserve"> solicitors failed to reply to the legitimate queries raised in the letter of 5 April 201</w:t>
      </w:r>
      <w:r w:rsidR="0047488C">
        <w:rPr>
          <w:rFonts w:ascii="Times New Roman" w:hAnsi="Times New Roman"/>
          <w:sz w:val="24"/>
        </w:rPr>
        <w:t>8,</w:t>
      </w:r>
      <w:r>
        <w:rPr>
          <w:rFonts w:ascii="Times New Roman" w:hAnsi="Times New Roman"/>
          <w:sz w:val="24"/>
        </w:rPr>
        <w:t xml:space="preserve"> save to say that the correspondence had been referred to the relevant section in the Department and that they would revert as soon as </w:t>
      </w:r>
      <w:r>
        <w:rPr>
          <w:rFonts w:ascii="Times New Roman" w:hAnsi="Times New Roman"/>
          <w:sz w:val="24"/>
        </w:rPr>
        <w:lastRenderedPageBreak/>
        <w:t xml:space="preserve">possible.  In fact, neither the Department nor the solicitors did revert.  Likewise, there was no reply to the letter of 9 April 2018. </w:t>
      </w:r>
      <w:r w:rsidR="009D791B">
        <w:rPr>
          <w:rFonts w:ascii="Times New Roman" w:hAnsi="Times New Roman"/>
          <w:sz w:val="24"/>
        </w:rPr>
        <w:t xml:space="preserve"> </w:t>
      </w:r>
      <w:r w:rsidR="0047488C">
        <w:rPr>
          <w:rFonts w:ascii="Times New Roman" w:hAnsi="Times New Roman"/>
          <w:sz w:val="24"/>
        </w:rPr>
        <w:t>No explanation for this failure was put forward to explain or justify this behaviour.</w:t>
      </w:r>
      <w:r>
        <w:rPr>
          <w:rFonts w:ascii="Times New Roman" w:hAnsi="Times New Roman"/>
          <w:sz w:val="24"/>
        </w:rPr>
        <w:t xml:space="preserve"> </w:t>
      </w:r>
    </w:p>
    <w:p w14:paraId="798C5CBD" w14:textId="718D86C1" w:rsidR="00091EA5"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It seems clear to me that the response of the respondents to the issue posed </w:t>
      </w:r>
      <w:r w:rsidR="0047488C">
        <w:rPr>
          <w:rFonts w:ascii="Times New Roman" w:hAnsi="Times New Roman"/>
          <w:sz w:val="24"/>
        </w:rPr>
        <w:t>in</w:t>
      </w:r>
      <w:r>
        <w:rPr>
          <w:rFonts w:ascii="Times New Roman" w:hAnsi="Times New Roman"/>
          <w:sz w:val="24"/>
        </w:rPr>
        <w:t xml:space="preserve"> the correspondence concerning </w:t>
      </w:r>
      <w:r w:rsidR="009D791B">
        <w:rPr>
          <w:rFonts w:ascii="Times New Roman" w:hAnsi="Times New Roman"/>
          <w:sz w:val="24"/>
        </w:rPr>
        <w:t>AA</w:t>
      </w:r>
      <w:r>
        <w:rPr>
          <w:rFonts w:ascii="Times New Roman" w:hAnsi="Times New Roman"/>
          <w:sz w:val="24"/>
        </w:rPr>
        <w:t xml:space="preserve"> and the AA determination to be made before the NPF was adopted, was </w:t>
      </w:r>
      <w:r w:rsidR="0047488C">
        <w:rPr>
          <w:rFonts w:ascii="Times New Roman" w:hAnsi="Times New Roman"/>
          <w:sz w:val="24"/>
        </w:rPr>
        <w:t>to act to rectify, if possible, any frailties in the decisions previously taken. First</w:t>
      </w:r>
      <w:r w:rsidR="009D791B">
        <w:rPr>
          <w:rFonts w:ascii="Times New Roman" w:hAnsi="Times New Roman"/>
          <w:sz w:val="24"/>
        </w:rPr>
        <w:t>,</w:t>
      </w:r>
      <w:r>
        <w:rPr>
          <w:rFonts w:ascii="Times New Roman" w:hAnsi="Times New Roman"/>
          <w:sz w:val="24"/>
        </w:rPr>
        <w:t xml:space="preserve"> the Minister adopt</w:t>
      </w:r>
      <w:r w:rsidR="0047488C">
        <w:rPr>
          <w:rFonts w:ascii="Times New Roman" w:hAnsi="Times New Roman"/>
          <w:sz w:val="24"/>
        </w:rPr>
        <w:t>ed</w:t>
      </w:r>
      <w:r>
        <w:rPr>
          <w:rFonts w:ascii="Times New Roman" w:hAnsi="Times New Roman"/>
          <w:sz w:val="24"/>
        </w:rPr>
        <w:t xml:space="preserve"> a written AA determination dated 14 May 2018 (coincidently the date upon which the applicant was granted leave to seek judicial review in these proceedings).  Thereafter, on 29 May 2018 the </w:t>
      </w:r>
      <w:r w:rsidR="00991012">
        <w:rPr>
          <w:rFonts w:ascii="Times New Roman" w:hAnsi="Times New Roman"/>
          <w:sz w:val="24"/>
        </w:rPr>
        <w:t>g</w:t>
      </w:r>
      <w:r>
        <w:rPr>
          <w:rFonts w:ascii="Times New Roman" w:hAnsi="Times New Roman"/>
          <w:sz w:val="24"/>
        </w:rPr>
        <w:t xml:space="preserve">overnment decided to adopt the </w:t>
      </w:r>
      <w:r w:rsidR="00EE6AD9">
        <w:rPr>
          <w:rFonts w:ascii="Times New Roman" w:hAnsi="Times New Roman"/>
          <w:sz w:val="24"/>
        </w:rPr>
        <w:t>AA D</w:t>
      </w:r>
      <w:r>
        <w:rPr>
          <w:rFonts w:ascii="Times New Roman" w:hAnsi="Times New Roman"/>
          <w:sz w:val="24"/>
        </w:rPr>
        <w:t>etermination made by the Minister as competent authority for the purposes of Article 6</w:t>
      </w:r>
      <w:r w:rsidR="009D791B">
        <w:rPr>
          <w:rFonts w:ascii="Times New Roman" w:hAnsi="Times New Roman"/>
          <w:sz w:val="24"/>
        </w:rPr>
        <w:t>(</w:t>
      </w:r>
      <w:r>
        <w:rPr>
          <w:rFonts w:ascii="Times New Roman" w:hAnsi="Times New Roman"/>
          <w:sz w:val="24"/>
        </w:rPr>
        <w:t>3</w:t>
      </w:r>
      <w:r w:rsidR="009D791B">
        <w:rPr>
          <w:rFonts w:ascii="Times New Roman" w:hAnsi="Times New Roman"/>
          <w:sz w:val="24"/>
        </w:rPr>
        <w:t>)</w:t>
      </w:r>
      <w:r>
        <w:rPr>
          <w:rFonts w:ascii="Times New Roman" w:hAnsi="Times New Roman"/>
          <w:sz w:val="24"/>
        </w:rPr>
        <w:t xml:space="preserve"> of the Habitats Directive and formally </w:t>
      </w:r>
      <w:r w:rsidR="00991012">
        <w:rPr>
          <w:rFonts w:ascii="Times New Roman" w:hAnsi="Times New Roman"/>
          <w:sz w:val="24"/>
        </w:rPr>
        <w:t xml:space="preserve">to </w:t>
      </w:r>
      <w:r>
        <w:rPr>
          <w:rFonts w:ascii="Times New Roman" w:hAnsi="Times New Roman"/>
          <w:sz w:val="24"/>
        </w:rPr>
        <w:t xml:space="preserve">reaffirm the previous </w:t>
      </w:r>
      <w:r w:rsidR="00991012">
        <w:rPr>
          <w:rFonts w:ascii="Times New Roman" w:hAnsi="Times New Roman"/>
          <w:sz w:val="24"/>
        </w:rPr>
        <w:t>g</w:t>
      </w:r>
      <w:r>
        <w:rPr>
          <w:rFonts w:ascii="Times New Roman" w:hAnsi="Times New Roman"/>
          <w:sz w:val="24"/>
        </w:rPr>
        <w:t>overnment decision of 16 February 2018 to adopt and publish the N</w:t>
      </w:r>
      <w:r w:rsidR="00EE6AD9">
        <w:rPr>
          <w:rFonts w:ascii="Times New Roman" w:hAnsi="Times New Roman"/>
          <w:sz w:val="24"/>
        </w:rPr>
        <w:t>PF</w:t>
      </w:r>
      <w:r>
        <w:rPr>
          <w:rFonts w:ascii="Times New Roman" w:hAnsi="Times New Roman"/>
          <w:sz w:val="24"/>
        </w:rPr>
        <w:t xml:space="preserve"> as a strategy intended to replace the N</w:t>
      </w:r>
      <w:r w:rsidR="00EE6AD9">
        <w:rPr>
          <w:rFonts w:ascii="Times New Roman" w:hAnsi="Times New Roman"/>
          <w:sz w:val="24"/>
        </w:rPr>
        <w:t>SS</w:t>
      </w:r>
      <w:r>
        <w:rPr>
          <w:rFonts w:ascii="Times New Roman" w:hAnsi="Times New Roman"/>
          <w:sz w:val="24"/>
        </w:rPr>
        <w:t xml:space="preserve"> for the purposes of s.</w:t>
      </w:r>
      <w:r w:rsidR="009D791B">
        <w:rPr>
          <w:rFonts w:ascii="Times New Roman" w:hAnsi="Times New Roman"/>
          <w:sz w:val="24"/>
        </w:rPr>
        <w:t xml:space="preserve"> </w:t>
      </w:r>
      <w:r>
        <w:rPr>
          <w:rFonts w:ascii="Times New Roman" w:hAnsi="Times New Roman"/>
          <w:sz w:val="24"/>
        </w:rPr>
        <w:t>2 of the PDA 2000</w:t>
      </w:r>
      <w:r w:rsidR="00EE6AD9">
        <w:rPr>
          <w:rFonts w:ascii="Times New Roman" w:hAnsi="Times New Roman"/>
          <w:sz w:val="24"/>
        </w:rPr>
        <w:t>,</w:t>
      </w:r>
      <w:r>
        <w:rPr>
          <w:rFonts w:ascii="Times New Roman" w:hAnsi="Times New Roman"/>
          <w:sz w:val="24"/>
        </w:rPr>
        <w:t xml:space="preserve"> as amended.  </w:t>
      </w:r>
    </w:p>
    <w:p w14:paraId="18CEA52A" w14:textId="6B18CE8E" w:rsidR="00091EA5"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While it is, of course, appropriate for a public authority to correct errors in the process whereby formal decisions were taken if this </w:t>
      </w:r>
      <w:r w:rsidR="00EE6AD9">
        <w:rPr>
          <w:rFonts w:ascii="Times New Roman" w:hAnsi="Times New Roman"/>
          <w:sz w:val="24"/>
        </w:rPr>
        <w:t>is</w:t>
      </w:r>
      <w:r>
        <w:rPr>
          <w:rFonts w:ascii="Times New Roman" w:hAnsi="Times New Roman"/>
          <w:sz w:val="24"/>
        </w:rPr>
        <w:t xml:space="preserve"> possible, the respondents did not accept that the decision of the 16 February 2018 was flawed, despite the </w:t>
      </w:r>
      <w:r w:rsidR="004A56E3">
        <w:rPr>
          <w:rFonts w:ascii="Times New Roman" w:hAnsi="Times New Roman"/>
          <w:sz w:val="24"/>
        </w:rPr>
        <w:t xml:space="preserve">AA </w:t>
      </w:r>
      <w:r>
        <w:rPr>
          <w:rFonts w:ascii="Times New Roman" w:hAnsi="Times New Roman"/>
          <w:sz w:val="24"/>
        </w:rPr>
        <w:t>determination of 14 May and the decision of 29 May 2018.  In effect, the respondents have sought to have it both ways, to maintain the validity of the process leading to the decision to adopt the NPF and the NDP on 16 February 2018</w:t>
      </w:r>
      <w:r w:rsidR="009D791B">
        <w:rPr>
          <w:rFonts w:ascii="Times New Roman" w:hAnsi="Times New Roman"/>
          <w:sz w:val="24"/>
        </w:rPr>
        <w:t>,</w:t>
      </w:r>
      <w:r>
        <w:rPr>
          <w:rFonts w:ascii="Times New Roman" w:hAnsi="Times New Roman"/>
          <w:sz w:val="24"/>
        </w:rPr>
        <w:t xml:space="preserve"> while also relying on the validity of the decision of 29 May 2018.  </w:t>
      </w:r>
      <w:r w:rsidR="00991012">
        <w:rPr>
          <w:rFonts w:ascii="Times New Roman" w:hAnsi="Times New Roman"/>
          <w:sz w:val="24"/>
        </w:rPr>
        <w:t>To my mind</w:t>
      </w:r>
      <w:r w:rsidR="009D791B">
        <w:rPr>
          <w:rFonts w:ascii="Times New Roman" w:hAnsi="Times New Roman"/>
          <w:sz w:val="24"/>
        </w:rPr>
        <w:t>,</w:t>
      </w:r>
      <w:r w:rsidR="00991012">
        <w:rPr>
          <w:rFonts w:ascii="Times New Roman" w:hAnsi="Times New Roman"/>
          <w:sz w:val="24"/>
        </w:rPr>
        <w:t xml:space="preserve"> this was not tenable.</w:t>
      </w:r>
    </w:p>
    <w:p w14:paraId="4AA30251" w14:textId="5D779C3A" w:rsidR="00091EA5" w:rsidRDefault="0047488C"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Furthermore, t</w:t>
      </w:r>
      <w:r w:rsidR="00091EA5">
        <w:rPr>
          <w:rFonts w:ascii="Times New Roman" w:hAnsi="Times New Roman"/>
          <w:sz w:val="24"/>
        </w:rPr>
        <w:t xml:space="preserve">he affidavits filed on behalf of the respondents failed to address or clarify many significant issues which </w:t>
      </w:r>
      <w:r w:rsidR="00991012">
        <w:rPr>
          <w:rFonts w:ascii="Times New Roman" w:hAnsi="Times New Roman"/>
          <w:sz w:val="24"/>
        </w:rPr>
        <w:t>ought to have been addressed with the result</w:t>
      </w:r>
      <w:r w:rsidR="009D791B">
        <w:rPr>
          <w:rFonts w:ascii="Times New Roman" w:hAnsi="Times New Roman"/>
          <w:sz w:val="24"/>
        </w:rPr>
        <w:t xml:space="preserve"> that</w:t>
      </w:r>
      <w:r w:rsidR="00091EA5">
        <w:rPr>
          <w:rFonts w:ascii="Times New Roman" w:hAnsi="Times New Roman"/>
          <w:sz w:val="24"/>
        </w:rPr>
        <w:t xml:space="preserve"> both the High Court and this </w:t>
      </w:r>
      <w:r w:rsidR="009D791B">
        <w:rPr>
          <w:rFonts w:ascii="Times New Roman" w:hAnsi="Times New Roman"/>
          <w:sz w:val="24"/>
        </w:rPr>
        <w:t>c</w:t>
      </w:r>
      <w:r w:rsidR="00091EA5">
        <w:rPr>
          <w:rFonts w:ascii="Times New Roman" w:hAnsi="Times New Roman"/>
          <w:sz w:val="24"/>
        </w:rPr>
        <w:t xml:space="preserve">ourt </w:t>
      </w:r>
      <w:r w:rsidR="00991012">
        <w:rPr>
          <w:rFonts w:ascii="Times New Roman" w:hAnsi="Times New Roman"/>
          <w:sz w:val="24"/>
        </w:rPr>
        <w:t xml:space="preserve">were left </w:t>
      </w:r>
      <w:r w:rsidR="00091EA5">
        <w:rPr>
          <w:rFonts w:ascii="Times New Roman" w:hAnsi="Times New Roman"/>
          <w:sz w:val="24"/>
        </w:rPr>
        <w:t xml:space="preserve">somewhat in the dark on crucial points.  This, of course, is aside from the difficulty as to the identity of the deponent which I have </w:t>
      </w:r>
      <w:r w:rsidR="00091EA5">
        <w:rPr>
          <w:rFonts w:ascii="Times New Roman" w:hAnsi="Times New Roman"/>
          <w:sz w:val="24"/>
        </w:rPr>
        <w:lastRenderedPageBreak/>
        <w:t xml:space="preserve">discussed earlier.  Nothing I state at this part of the judgment should be taken as any personal criticism of Mr. Hogan.  </w:t>
      </w:r>
    </w:p>
    <w:p w14:paraId="6A9CB0E5" w14:textId="06A7CE0B" w:rsidR="00091EA5"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There was no document recording the decision of the </w:t>
      </w:r>
      <w:r w:rsidR="00991012">
        <w:rPr>
          <w:rFonts w:ascii="Times New Roman" w:hAnsi="Times New Roman"/>
          <w:sz w:val="24"/>
        </w:rPr>
        <w:t>g</w:t>
      </w:r>
      <w:r>
        <w:rPr>
          <w:rFonts w:ascii="Times New Roman" w:hAnsi="Times New Roman"/>
          <w:sz w:val="24"/>
        </w:rPr>
        <w:t xml:space="preserve">overnment on 16 February 2018 adduced in evidence.  It was never clarified whether such </w:t>
      </w:r>
      <w:r w:rsidR="00EE6AD9">
        <w:rPr>
          <w:rFonts w:ascii="Times New Roman" w:hAnsi="Times New Roman"/>
          <w:sz w:val="24"/>
        </w:rPr>
        <w:t xml:space="preserve">a </w:t>
      </w:r>
      <w:r>
        <w:rPr>
          <w:rFonts w:ascii="Times New Roman" w:hAnsi="Times New Roman"/>
          <w:sz w:val="24"/>
        </w:rPr>
        <w:t xml:space="preserve">document was ever drawn up or whether it was simply not produced to the </w:t>
      </w:r>
      <w:r w:rsidR="009D791B">
        <w:rPr>
          <w:rFonts w:ascii="Times New Roman" w:hAnsi="Times New Roman"/>
          <w:sz w:val="24"/>
        </w:rPr>
        <w:t>c</w:t>
      </w:r>
      <w:r>
        <w:rPr>
          <w:rFonts w:ascii="Times New Roman" w:hAnsi="Times New Roman"/>
          <w:sz w:val="24"/>
        </w:rPr>
        <w:t xml:space="preserve">ourt.  This problem became acute as Mr. Hogan gave (inadmissible) evidence as to what was considered by the </w:t>
      </w:r>
      <w:r w:rsidR="00991012">
        <w:rPr>
          <w:rFonts w:ascii="Times New Roman" w:hAnsi="Times New Roman"/>
          <w:sz w:val="24"/>
        </w:rPr>
        <w:t>g</w:t>
      </w:r>
      <w:r>
        <w:rPr>
          <w:rFonts w:ascii="Times New Roman" w:hAnsi="Times New Roman"/>
          <w:sz w:val="24"/>
        </w:rPr>
        <w:t>overnment prior to reaching this decision</w:t>
      </w:r>
      <w:r w:rsidR="009D791B">
        <w:rPr>
          <w:rFonts w:ascii="Times New Roman" w:hAnsi="Times New Roman"/>
          <w:sz w:val="24"/>
        </w:rPr>
        <w:t>,</w:t>
      </w:r>
      <w:r>
        <w:rPr>
          <w:rFonts w:ascii="Times New Roman" w:hAnsi="Times New Roman"/>
          <w:sz w:val="24"/>
        </w:rPr>
        <w:t xml:space="preserve"> although there w</w:t>
      </w:r>
      <w:r w:rsidR="00F206C3">
        <w:rPr>
          <w:rFonts w:ascii="Times New Roman" w:hAnsi="Times New Roman"/>
          <w:sz w:val="24"/>
        </w:rPr>
        <w:t>ere</w:t>
      </w:r>
      <w:r>
        <w:rPr>
          <w:rFonts w:ascii="Times New Roman" w:hAnsi="Times New Roman"/>
          <w:sz w:val="24"/>
        </w:rPr>
        <w:t xml:space="preserve"> no </w:t>
      </w:r>
      <w:r w:rsidR="00F206C3">
        <w:rPr>
          <w:rFonts w:ascii="Times New Roman" w:hAnsi="Times New Roman"/>
          <w:sz w:val="24"/>
        </w:rPr>
        <w:t>m</w:t>
      </w:r>
      <w:r>
        <w:rPr>
          <w:rFonts w:ascii="Times New Roman" w:hAnsi="Times New Roman"/>
          <w:sz w:val="24"/>
        </w:rPr>
        <w:t>inute</w:t>
      </w:r>
      <w:r w:rsidR="009D791B">
        <w:rPr>
          <w:rFonts w:ascii="Times New Roman" w:hAnsi="Times New Roman"/>
          <w:sz w:val="24"/>
        </w:rPr>
        <w:t>s</w:t>
      </w:r>
      <w:r>
        <w:rPr>
          <w:rFonts w:ascii="Times New Roman" w:hAnsi="Times New Roman"/>
          <w:sz w:val="24"/>
        </w:rPr>
        <w:t xml:space="preserve"> of what occurred in </w:t>
      </w:r>
      <w:r w:rsidR="00EE6AD9">
        <w:rPr>
          <w:rFonts w:ascii="Times New Roman" w:hAnsi="Times New Roman"/>
          <w:sz w:val="24"/>
        </w:rPr>
        <w:t>c</w:t>
      </w:r>
      <w:r>
        <w:rPr>
          <w:rFonts w:ascii="Times New Roman" w:hAnsi="Times New Roman"/>
          <w:sz w:val="24"/>
        </w:rPr>
        <w:t xml:space="preserve">abinet placed in evidence before the </w:t>
      </w:r>
      <w:r w:rsidR="009D791B">
        <w:rPr>
          <w:rFonts w:ascii="Times New Roman" w:hAnsi="Times New Roman"/>
          <w:sz w:val="24"/>
        </w:rPr>
        <w:t>c</w:t>
      </w:r>
      <w:r>
        <w:rPr>
          <w:rFonts w:ascii="Times New Roman" w:hAnsi="Times New Roman"/>
          <w:sz w:val="24"/>
        </w:rPr>
        <w:t>ourt.</w:t>
      </w:r>
    </w:p>
    <w:p w14:paraId="183B285F" w14:textId="04CF20FB" w:rsidR="00091EA5" w:rsidRDefault="00EE6AD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Of even greater concern</w:t>
      </w:r>
      <w:r w:rsidR="00091EA5">
        <w:rPr>
          <w:rFonts w:ascii="Times New Roman" w:hAnsi="Times New Roman"/>
          <w:sz w:val="24"/>
        </w:rPr>
        <w:t>, the record of the decision of 29 May 2018 was not even exhibited by any deponent on behalf of the respondents.  It was furnished to the solicitors for the applicant</w:t>
      </w:r>
      <w:r>
        <w:rPr>
          <w:rFonts w:ascii="Times New Roman" w:hAnsi="Times New Roman"/>
          <w:sz w:val="24"/>
        </w:rPr>
        <w:t>,</w:t>
      </w:r>
      <w:r w:rsidR="00091EA5">
        <w:rPr>
          <w:rFonts w:ascii="Times New Roman" w:hAnsi="Times New Roman"/>
          <w:sz w:val="24"/>
        </w:rPr>
        <w:t xml:space="preserve"> as I have said, and it was the applicant’s dep</w:t>
      </w:r>
      <w:r w:rsidR="0047488C">
        <w:rPr>
          <w:rFonts w:ascii="Times New Roman" w:hAnsi="Times New Roman"/>
          <w:sz w:val="24"/>
        </w:rPr>
        <w:t>onent</w:t>
      </w:r>
      <w:r w:rsidR="00091EA5">
        <w:rPr>
          <w:rFonts w:ascii="Times New Roman" w:hAnsi="Times New Roman"/>
          <w:sz w:val="24"/>
        </w:rPr>
        <w:t xml:space="preserve"> who exhibited the document, not the respondents.  At the very least, this </w:t>
      </w:r>
      <w:r w:rsidR="00E63E89">
        <w:rPr>
          <w:rFonts w:ascii="Times New Roman" w:hAnsi="Times New Roman"/>
          <w:sz w:val="24"/>
        </w:rPr>
        <w:t>was careless.</w:t>
      </w:r>
    </w:p>
    <w:p w14:paraId="30887C8F" w14:textId="6E983B28" w:rsidR="00091EA5"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Once objection was taking to Mr. Hogan’s hearsay evidence, no explanation was ever presented to the </w:t>
      </w:r>
      <w:r w:rsidR="009D791B">
        <w:rPr>
          <w:rFonts w:ascii="Times New Roman" w:hAnsi="Times New Roman"/>
          <w:sz w:val="24"/>
        </w:rPr>
        <w:t>c</w:t>
      </w:r>
      <w:r>
        <w:rPr>
          <w:rFonts w:ascii="Times New Roman" w:hAnsi="Times New Roman"/>
          <w:sz w:val="24"/>
        </w:rPr>
        <w:t xml:space="preserve">ourt as to why an affidavit could not be sworn by the </w:t>
      </w:r>
      <w:r w:rsidR="00EE6AD9">
        <w:rPr>
          <w:rFonts w:ascii="Times New Roman" w:hAnsi="Times New Roman"/>
          <w:sz w:val="24"/>
        </w:rPr>
        <w:t>s</w:t>
      </w:r>
      <w:r>
        <w:rPr>
          <w:rFonts w:ascii="Times New Roman" w:hAnsi="Times New Roman"/>
          <w:sz w:val="24"/>
        </w:rPr>
        <w:t xml:space="preserve">ecretary to the </w:t>
      </w:r>
      <w:r w:rsidR="00EE6AD9">
        <w:rPr>
          <w:rFonts w:ascii="Times New Roman" w:hAnsi="Times New Roman"/>
          <w:sz w:val="24"/>
        </w:rPr>
        <w:t>c</w:t>
      </w:r>
      <w:r>
        <w:rPr>
          <w:rFonts w:ascii="Times New Roman" w:hAnsi="Times New Roman"/>
          <w:sz w:val="24"/>
        </w:rPr>
        <w:t>abinet.</w:t>
      </w:r>
    </w:p>
    <w:p w14:paraId="7F1F4EB1" w14:textId="77777777" w:rsidR="000A5720" w:rsidRDefault="00091EA5"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In addition, there was a lack of clarity as to when particular documents came into existence</w:t>
      </w:r>
      <w:r w:rsidR="0047488C">
        <w:rPr>
          <w:rFonts w:ascii="Times New Roman" w:hAnsi="Times New Roman"/>
          <w:sz w:val="24"/>
        </w:rPr>
        <w:t>,</w:t>
      </w:r>
      <w:r>
        <w:rPr>
          <w:rFonts w:ascii="Times New Roman" w:hAnsi="Times New Roman"/>
          <w:sz w:val="24"/>
        </w:rPr>
        <w:t xml:space="preserve"> which was </w:t>
      </w:r>
      <w:r w:rsidR="000A5720">
        <w:rPr>
          <w:rFonts w:ascii="Times New Roman" w:hAnsi="Times New Roman"/>
          <w:sz w:val="24"/>
        </w:rPr>
        <w:t>exacerbated by reason of the fact that most documents were not dated.  There was a reference to and reliance upon a draft SEA Statement dated 15 February 2018 which was, in fact, never proved or adduced in evidence.</w:t>
      </w:r>
    </w:p>
    <w:p w14:paraId="6F1AC6D9" w14:textId="3FF24681" w:rsidR="000A5720" w:rsidRDefault="000A5720"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All in all, there was a distinct lack of clarity as to what had actually occurred when it was incumbent on the respondents to bring clarity to all of these issues.  In summary, </w:t>
      </w:r>
      <w:r w:rsidR="008432F8">
        <w:rPr>
          <w:rFonts w:ascii="Times New Roman" w:hAnsi="Times New Roman"/>
          <w:sz w:val="24"/>
        </w:rPr>
        <w:t>while I accept that l</w:t>
      </w:r>
      <w:r>
        <w:rPr>
          <w:rFonts w:ascii="Times New Roman" w:hAnsi="Times New Roman"/>
          <w:sz w:val="24"/>
        </w:rPr>
        <w:t>itigation, including judicial review proceedings, is adversarial</w:t>
      </w:r>
      <w:r w:rsidR="008432F8">
        <w:rPr>
          <w:rFonts w:ascii="Times New Roman" w:hAnsi="Times New Roman"/>
          <w:sz w:val="24"/>
        </w:rPr>
        <w:t>, n</w:t>
      </w:r>
      <w:r>
        <w:rPr>
          <w:rFonts w:ascii="Times New Roman" w:hAnsi="Times New Roman"/>
          <w:sz w:val="24"/>
        </w:rPr>
        <w:t>onetheless, public authority respondents to judicial review proceedings ought to bring greater clarity and candour to their response to the proceedings than occurred in this case.</w:t>
      </w:r>
    </w:p>
    <w:p w14:paraId="315A1BD2" w14:textId="61227274" w:rsidR="005B1DD4" w:rsidRDefault="005B1DD4"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It is also appropriate to comment on the conduct of the applicant, particularly as it has criticised the conduct of the respondents</w:t>
      </w:r>
      <w:r w:rsidR="002C662C">
        <w:rPr>
          <w:rFonts w:ascii="Times New Roman" w:hAnsi="Times New Roman"/>
          <w:sz w:val="24"/>
        </w:rPr>
        <w:t xml:space="preserve">. </w:t>
      </w:r>
      <w:r w:rsidR="009D791B">
        <w:rPr>
          <w:rFonts w:ascii="Times New Roman" w:hAnsi="Times New Roman"/>
          <w:sz w:val="24"/>
        </w:rPr>
        <w:t xml:space="preserve"> </w:t>
      </w:r>
      <w:r w:rsidR="002C662C">
        <w:rPr>
          <w:rFonts w:ascii="Times New Roman" w:hAnsi="Times New Roman"/>
          <w:sz w:val="24"/>
        </w:rPr>
        <w:t xml:space="preserve">As I have set out, there was extensive consultation </w:t>
      </w:r>
      <w:r w:rsidR="00EE6AD9">
        <w:rPr>
          <w:rFonts w:ascii="Times New Roman" w:hAnsi="Times New Roman"/>
          <w:sz w:val="24"/>
        </w:rPr>
        <w:t>since 2016</w:t>
      </w:r>
      <w:r w:rsidR="002C662C">
        <w:rPr>
          <w:rFonts w:ascii="Times New Roman" w:hAnsi="Times New Roman"/>
          <w:sz w:val="24"/>
        </w:rPr>
        <w:t xml:space="preserve"> with the public</w:t>
      </w:r>
      <w:r w:rsidR="009D791B">
        <w:rPr>
          <w:rFonts w:ascii="Times New Roman" w:hAnsi="Times New Roman"/>
          <w:sz w:val="24"/>
        </w:rPr>
        <w:t>,</w:t>
      </w:r>
      <w:r w:rsidR="002C662C">
        <w:rPr>
          <w:rFonts w:ascii="Times New Roman" w:hAnsi="Times New Roman"/>
          <w:sz w:val="24"/>
        </w:rPr>
        <w:t xml:space="preserve"> in addition to statutory consultees and other stakeholders</w:t>
      </w:r>
      <w:r w:rsidR="009D791B">
        <w:rPr>
          <w:rFonts w:ascii="Times New Roman" w:hAnsi="Times New Roman"/>
          <w:sz w:val="24"/>
        </w:rPr>
        <w:t>,</w:t>
      </w:r>
      <w:r w:rsidR="002C662C">
        <w:rPr>
          <w:rFonts w:ascii="Times New Roman" w:hAnsi="Times New Roman"/>
          <w:sz w:val="24"/>
        </w:rPr>
        <w:t xml:space="preserve"> prior to the final adoption of the NPF and the NDP. </w:t>
      </w:r>
      <w:r w:rsidR="009D791B">
        <w:rPr>
          <w:rFonts w:ascii="Times New Roman" w:hAnsi="Times New Roman"/>
          <w:sz w:val="24"/>
        </w:rPr>
        <w:t xml:space="preserve"> </w:t>
      </w:r>
      <w:r w:rsidR="002C662C">
        <w:rPr>
          <w:rFonts w:ascii="Times New Roman" w:hAnsi="Times New Roman"/>
          <w:sz w:val="24"/>
        </w:rPr>
        <w:t>The various documents were all published and made available online.</w:t>
      </w:r>
      <w:r w:rsidR="009D791B">
        <w:rPr>
          <w:rFonts w:ascii="Times New Roman" w:hAnsi="Times New Roman"/>
          <w:sz w:val="24"/>
        </w:rPr>
        <w:t xml:space="preserve"> </w:t>
      </w:r>
      <w:r w:rsidR="002C662C">
        <w:rPr>
          <w:rFonts w:ascii="Times New Roman" w:hAnsi="Times New Roman"/>
          <w:sz w:val="24"/>
        </w:rPr>
        <w:t xml:space="preserve"> The applicant has not suggested that it was not afforded sufficient opportunity to consider the documents or to comment on them.</w:t>
      </w:r>
    </w:p>
    <w:p w14:paraId="54A382F9" w14:textId="018DAEFA" w:rsidR="00364B32" w:rsidRDefault="002C662C"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applicant made a submission on 10 November 2017, but it made no reference to c</w:t>
      </w:r>
      <w:r w:rsidR="00EE6AD9">
        <w:rPr>
          <w:rFonts w:ascii="Times New Roman" w:hAnsi="Times New Roman"/>
          <w:sz w:val="24"/>
        </w:rPr>
        <w:t>rucial</w:t>
      </w:r>
      <w:r>
        <w:rPr>
          <w:rFonts w:ascii="Times New Roman" w:hAnsi="Times New Roman"/>
          <w:sz w:val="24"/>
        </w:rPr>
        <w:t xml:space="preserve"> issues which were central to the appeal.</w:t>
      </w:r>
      <w:r w:rsidR="009D791B">
        <w:rPr>
          <w:rFonts w:ascii="Times New Roman" w:hAnsi="Times New Roman"/>
          <w:sz w:val="24"/>
        </w:rPr>
        <w:t xml:space="preserve"> </w:t>
      </w:r>
      <w:r>
        <w:rPr>
          <w:rFonts w:ascii="Times New Roman" w:hAnsi="Times New Roman"/>
          <w:sz w:val="24"/>
        </w:rPr>
        <w:t xml:space="preserve"> It did not object to the SEA Environmental Report on the basis that it failed to assess the reasonable alternatives in a comparable manner to the preferred option</w:t>
      </w:r>
      <w:r w:rsidR="00EE6AD9">
        <w:rPr>
          <w:rFonts w:ascii="Times New Roman" w:hAnsi="Times New Roman"/>
          <w:sz w:val="24"/>
        </w:rPr>
        <w:t>, though that was a major plank of its case on appeal,</w:t>
      </w:r>
      <w:r>
        <w:rPr>
          <w:rFonts w:ascii="Times New Roman" w:hAnsi="Times New Roman"/>
          <w:sz w:val="24"/>
        </w:rPr>
        <w:t xml:space="preserve"> and it did not assert that the NDP </w:t>
      </w:r>
      <w:r w:rsidR="009D791B">
        <w:rPr>
          <w:rFonts w:ascii="Times New Roman" w:hAnsi="Times New Roman"/>
          <w:sz w:val="24"/>
        </w:rPr>
        <w:t xml:space="preserve">was </w:t>
      </w:r>
      <w:r>
        <w:rPr>
          <w:rFonts w:ascii="Times New Roman" w:hAnsi="Times New Roman"/>
          <w:sz w:val="24"/>
        </w:rPr>
        <w:t xml:space="preserve">required to be subject to AA and SEA </w:t>
      </w:r>
      <w:r w:rsidR="00EE6AD9">
        <w:rPr>
          <w:rFonts w:ascii="Times New Roman" w:hAnsi="Times New Roman"/>
          <w:sz w:val="24"/>
        </w:rPr>
        <w:t>on the grounds that</w:t>
      </w:r>
      <w:r>
        <w:rPr>
          <w:rFonts w:ascii="Times New Roman" w:hAnsi="Times New Roman"/>
          <w:sz w:val="24"/>
        </w:rPr>
        <w:t xml:space="preserve"> it was an integral part of the NPF</w:t>
      </w:r>
      <w:r w:rsidR="00EE6AD9">
        <w:rPr>
          <w:rFonts w:ascii="Times New Roman" w:hAnsi="Times New Roman"/>
          <w:sz w:val="24"/>
        </w:rPr>
        <w:t xml:space="preserve">, which was the key argument advanced to this </w:t>
      </w:r>
      <w:r w:rsidR="009D791B">
        <w:rPr>
          <w:rFonts w:ascii="Times New Roman" w:hAnsi="Times New Roman"/>
          <w:sz w:val="24"/>
        </w:rPr>
        <w:t>c</w:t>
      </w:r>
      <w:r w:rsidR="00EE6AD9">
        <w:rPr>
          <w:rFonts w:ascii="Times New Roman" w:hAnsi="Times New Roman"/>
          <w:sz w:val="24"/>
        </w:rPr>
        <w:t>ourt to quash the NDP</w:t>
      </w:r>
      <w:r>
        <w:rPr>
          <w:rFonts w:ascii="Times New Roman" w:hAnsi="Times New Roman"/>
          <w:sz w:val="24"/>
        </w:rPr>
        <w:t xml:space="preserve">. </w:t>
      </w:r>
    </w:p>
    <w:p w14:paraId="5563D224" w14:textId="0FDCD0D5" w:rsidR="002C662C" w:rsidRDefault="00EE6AD9"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This approach was unfair to the respondents, at the very least, and inimical to good decision making.</w:t>
      </w:r>
      <w:r w:rsidR="009D791B">
        <w:rPr>
          <w:rFonts w:ascii="Times New Roman" w:hAnsi="Times New Roman"/>
          <w:sz w:val="24"/>
        </w:rPr>
        <w:t xml:space="preserve"> </w:t>
      </w:r>
      <w:r>
        <w:rPr>
          <w:rFonts w:ascii="Times New Roman" w:hAnsi="Times New Roman"/>
          <w:sz w:val="24"/>
        </w:rPr>
        <w:t xml:space="preserve"> </w:t>
      </w:r>
      <w:r w:rsidR="002C662C">
        <w:rPr>
          <w:rFonts w:ascii="Times New Roman" w:hAnsi="Times New Roman"/>
          <w:sz w:val="24"/>
        </w:rPr>
        <w:t>One of the object</w:t>
      </w:r>
      <w:r w:rsidR="00154920">
        <w:rPr>
          <w:rFonts w:ascii="Times New Roman" w:hAnsi="Times New Roman"/>
          <w:sz w:val="24"/>
        </w:rPr>
        <w:t>ives</w:t>
      </w:r>
      <w:r w:rsidR="002C662C">
        <w:rPr>
          <w:rFonts w:ascii="Times New Roman" w:hAnsi="Times New Roman"/>
          <w:sz w:val="24"/>
        </w:rPr>
        <w:t xml:space="preserve"> of public consultation is to </w:t>
      </w:r>
      <w:r w:rsidR="00EC35C7">
        <w:rPr>
          <w:rFonts w:ascii="Times New Roman" w:hAnsi="Times New Roman"/>
          <w:sz w:val="24"/>
        </w:rPr>
        <w:t xml:space="preserve">permit the public to highlight defects in the process they believe have occurred before a final decision is taken so that any such defects may be corrected and the risk of </w:t>
      </w:r>
      <w:r w:rsidR="00364B32">
        <w:rPr>
          <w:rFonts w:ascii="Times New Roman" w:hAnsi="Times New Roman"/>
          <w:sz w:val="24"/>
        </w:rPr>
        <w:t xml:space="preserve">inadvertently </w:t>
      </w:r>
      <w:r w:rsidR="00EC35C7">
        <w:rPr>
          <w:rFonts w:ascii="Times New Roman" w:hAnsi="Times New Roman"/>
          <w:sz w:val="24"/>
        </w:rPr>
        <w:t xml:space="preserve">reaching an invalid decision thereby avoided. </w:t>
      </w:r>
      <w:r w:rsidR="00797D1B">
        <w:rPr>
          <w:rFonts w:ascii="Times New Roman" w:hAnsi="Times New Roman"/>
          <w:sz w:val="24"/>
        </w:rPr>
        <w:t xml:space="preserve"> </w:t>
      </w:r>
      <w:r w:rsidR="00EC35C7">
        <w:rPr>
          <w:rFonts w:ascii="Times New Roman" w:hAnsi="Times New Roman"/>
          <w:sz w:val="24"/>
        </w:rPr>
        <w:t xml:space="preserve">It is incumbent upon a party who chooses to participate in a consultative process (as on one who files objections or observations in a planning process) to raise any points at the earliest possible time in the process. </w:t>
      </w:r>
      <w:r w:rsidR="00797D1B">
        <w:rPr>
          <w:rFonts w:ascii="Times New Roman" w:hAnsi="Times New Roman"/>
          <w:sz w:val="24"/>
        </w:rPr>
        <w:t xml:space="preserve"> </w:t>
      </w:r>
      <w:r w:rsidR="00364B32">
        <w:rPr>
          <w:rFonts w:ascii="Times New Roman" w:hAnsi="Times New Roman"/>
          <w:sz w:val="24"/>
        </w:rPr>
        <w:t xml:space="preserve">This is conducive to good administration and ought to reduce the number of legal challenges to administrative decisions. </w:t>
      </w:r>
      <w:r w:rsidR="00797D1B">
        <w:rPr>
          <w:rFonts w:ascii="Times New Roman" w:hAnsi="Times New Roman"/>
          <w:sz w:val="24"/>
        </w:rPr>
        <w:t xml:space="preserve"> </w:t>
      </w:r>
      <w:r w:rsidR="00EC35C7">
        <w:rPr>
          <w:rFonts w:ascii="Times New Roman" w:hAnsi="Times New Roman"/>
          <w:sz w:val="24"/>
        </w:rPr>
        <w:t xml:space="preserve">This court cannot endorse a practice where a point is raised for the first time in proceedings challenging a final decision which was not, </w:t>
      </w:r>
      <w:r w:rsidR="00EC35C7" w:rsidRPr="00364B32">
        <w:rPr>
          <w:rFonts w:ascii="Times New Roman" w:hAnsi="Times New Roman"/>
          <w:i/>
          <w:sz w:val="24"/>
        </w:rPr>
        <w:t>but which could</w:t>
      </w:r>
      <w:r w:rsidR="00EC35C7" w:rsidRPr="004A56E3">
        <w:rPr>
          <w:rFonts w:ascii="Times New Roman" w:hAnsi="Times New Roman"/>
          <w:i/>
          <w:iCs/>
          <w:sz w:val="24"/>
        </w:rPr>
        <w:t xml:space="preserve"> have been</w:t>
      </w:r>
      <w:r w:rsidR="00797D1B">
        <w:rPr>
          <w:rFonts w:ascii="Times New Roman" w:hAnsi="Times New Roman"/>
          <w:sz w:val="24"/>
        </w:rPr>
        <w:t>,</w:t>
      </w:r>
      <w:r w:rsidR="00EC35C7">
        <w:rPr>
          <w:rFonts w:ascii="Times New Roman" w:hAnsi="Times New Roman"/>
          <w:sz w:val="24"/>
        </w:rPr>
        <w:t xml:space="preserve"> raised before a decision was reached.</w:t>
      </w:r>
    </w:p>
    <w:p w14:paraId="27434718" w14:textId="75A79BA3" w:rsidR="00EC35C7" w:rsidRDefault="00EC35C7"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This is precisely what occurred in this case and </w:t>
      </w:r>
      <w:r w:rsidR="00A41BDF">
        <w:rPr>
          <w:rFonts w:ascii="Times New Roman" w:hAnsi="Times New Roman"/>
          <w:sz w:val="24"/>
        </w:rPr>
        <w:t>it was not appropriate, even where the application for judicial review is brought within the time limits established in the Rules of the Superior Courts</w:t>
      </w:r>
      <w:r>
        <w:rPr>
          <w:rFonts w:ascii="Times New Roman" w:hAnsi="Times New Roman"/>
          <w:sz w:val="24"/>
        </w:rPr>
        <w:t xml:space="preserve">. </w:t>
      </w:r>
      <w:r w:rsidR="00797D1B">
        <w:rPr>
          <w:rFonts w:ascii="Times New Roman" w:hAnsi="Times New Roman"/>
          <w:sz w:val="24"/>
        </w:rPr>
        <w:t xml:space="preserve"> </w:t>
      </w:r>
      <w:r>
        <w:rPr>
          <w:rFonts w:ascii="Times New Roman" w:hAnsi="Times New Roman"/>
          <w:sz w:val="24"/>
        </w:rPr>
        <w:t>If the applicant wished to raise either of these points it had ample opportunity to do so.</w:t>
      </w:r>
      <w:r w:rsidR="00797D1B">
        <w:rPr>
          <w:rFonts w:ascii="Times New Roman" w:hAnsi="Times New Roman"/>
          <w:sz w:val="24"/>
        </w:rPr>
        <w:t xml:space="preserve"> </w:t>
      </w:r>
      <w:r>
        <w:rPr>
          <w:rFonts w:ascii="Times New Roman" w:hAnsi="Times New Roman"/>
          <w:sz w:val="24"/>
        </w:rPr>
        <w:t xml:space="preserve"> The factual basis for the argument it advanced in these proceedings was clear from the SEA Environmental Report</w:t>
      </w:r>
      <w:r w:rsidR="00364B32">
        <w:rPr>
          <w:rFonts w:ascii="Times New Roman" w:hAnsi="Times New Roman"/>
          <w:sz w:val="24"/>
        </w:rPr>
        <w:t>.</w:t>
      </w:r>
      <w:r w:rsidR="00797D1B">
        <w:rPr>
          <w:rFonts w:ascii="Times New Roman" w:hAnsi="Times New Roman"/>
          <w:sz w:val="24"/>
        </w:rPr>
        <w:t xml:space="preserve"> </w:t>
      </w:r>
      <w:r w:rsidR="00364B32">
        <w:rPr>
          <w:rFonts w:ascii="Times New Roman" w:hAnsi="Times New Roman"/>
          <w:sz w:val="24"/>
        </w:rPr>
        <w:t xml:space="preserve"> It has never suggested that it was not in a position to argue these issues in its submission of November 2017</w:t>
      </w:r>
      <w:r w:rsidR="00797D1B">
        <w:rPr>
          <w:rFonts w:ascii="Times New Roman" w:hAnsi="Times New Roman"/>
          <w:sz w:val="24"/>
        </w:rPr>
        <w:t>,</w:t>
      </w:r>
      <w:r w:rsidR="00364B32">
        <w:rPr>
          <w:rFonts w:ascii="Times New Roman" w:hAnsi="Times New Roman"/>
          <w:sz w:val="24"/>
        </w:rPr>
        <w:t xml:space="preserve"> </w:t>
      </w:r>
      <w:r w:rsidR="00797D1B">
        <w:rPr>
          <w:rFonts w:ascii="Times New Roman" w:hAnsi="Times New Roman"/>
          <w:sz w:val="24"/>
        </w:rPr>
        <w:t>n</w:t>
      </w:r>
      <w:r w:rsidR="00364B32">
        <w:rPr>
          <w:rFonts w:ascii="Times New Roman" w:hAnsi="Times New Roman"/>
          <w:sz w:val="24"/>
        </w:rPr>
        <w:t xml:space="preserve">or given any explanation why this was not done. </w:t>
      </w:r>
      <w:r w:rsidR="00797D1B">
        <w:rPr>
          <w:rFonts w:ascii="Times New Roman" w:hAnsi="Times New Roman"/>
          <w:sz w:val="24"/>
        </w:rPr>
        <w:t xml:space="preserve"> </w:t>
      </w:r>
      <w:r w:rsidR="00A41BDF">
        <w:rPr>
          <w:rFonts w:ascii="Times New Roman" w:hAnsi="Times New Roman"/>
          <w:sz w:val="24"/>
        </w:rPr>
        <w:t xml:space="preserve">A party may not reserve or withhold submissions which could and ought to be made during a public consultation prior to the adoption of a decision to the hearing of a challenge to the validity of the decision. </w:t>
      </w:r>
      <w:r w:rsidR="00797D1B">
        <w:rPr>
          <w:rFonts w:ascii="Times New Roman" w:hAnsi="Times New Roman"/>
          <w:sz w:val="24"/>
        </w:rPr>
        <w:t xml:space="preserve"> </w:t>
      </w:r>
      <w:r w:rsidR="00A41BDF">
        <w:rPr>
          <w:rFonts w:ascii="Times New Roman" w:hAnsi="Times New Roman"/>
          <w:sz w:val="24"/>
        </w:rPr>
        <w:t xml:space="preserve">Such conduct may be relevant to the exercise of the discretion of the court where an applicant </w:t>
      </w:r>
      <w:r w:rsidR="006B6DEB">
        <w:rPr>
          <w:rFonts w:ascii="Times New Roman" w:hAnsi="Times New Roman"/>
          <w:sz w:val="24"/>
        </w:rPr>
        <w:t>succeeds in its argument but does not arise for consideration in these proceedings.</w:t>
      </w:r>
    </w:p>
    <w:p w14:paraId="17607E85" w14:textId="77777777" w:rsidR="00797D1B" w:rsidRDefault="00797D1B" w:rsidP="005E487A">
      <w:pPr>
        <w:pStyle w:val="ListParagraph"/>
        <w:tabs>
          <w:tab w:val="left" w:pos="567"/>
        </w:tabs>
        <w:spacing w:line="276" w:lineRule="auto"/>
        <w:ind w:left="0"/>
        <w:jc w:val="left"/>
        <w:rPr>
          <w:rFonts w:ascii="Times New Roman" w:hAnsi="Times New Roman"/>
          <w:b/>
          <w:sz w:val="24"/>
          <w:u w:val="single"/>
        </w:rPr>
      </w:pPr>
    </w:p>
    <w:p w14:paraId="714B580F" w14:textId="0C88AAC7" w:rsidR="00D26BCA" w:rsidRDefault="000A5720" w:rsidP="000A5720">
      <w:pPr>
        <w:pStyle w:val="ListParagraph"/>
        <w:tabs>
          <w:tab w:val="left" w:pos="567"/>
        </w:tabs>
        <w:spacing w:line="480" w:lineRule="auto"/>
        <w:ind w:left="0"/>
        <w:jc w:val="left"/>
        <w:rPr>
          <w:rFonts w:ascii="Times New Roman" w:hAnsi="Times New Roman"/>
          <w:sz w:val="24"/>
        </w:rPr>
      </w:pPr>
      <w:r>
        <w:rPr>
          <w:rFonts w:ascii="Times New Roman" w:hAnsi="Times New Roman"/>
          <w:b/>
          <w:sz w:val="24"/>
          <w:u w:val="single"/>
        </w:rPr>
        <w:t>Conclusion</w:t>
      </w:r>
      <w:r w:rsidR="00091EA5">
        <w:rPr>
          <w:rFonts w:ascii="Times New Roman" w:hAnsi="Times New Roman"/>
          <w:sz w:val="24"/>
        </w:rPr>
        <w:t xml:space="preserve">  </w:t>
      </w:r>
      <w:r w:rsidR="002F280F">
        <w:rPr>
          <w:rFonts w:ascii="Times New Roman" w:hAnsi="Times New Roman"/>
          <w:sz w:val="24"/>
        </w:rPr>
        <w:t xml:space="preserve"> </w:t>
      </w:r>
    </w:p>
    <w:p w14:paraId="727E2092" w14:textId="14E75762" w:rsidR="00941812" w:rsidRDefault="006B6DEB"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NPF </w:t>
      </w:r>
      <w:r w:rsidR="00154920">
        <w:rPr>
          <w:rFonts w:ascii="Times New Roman" w:hAnsi="Times New Roman"/>
          <w:sz w:val="24"/>
        </w:rPr>
        <w:t xml:space="preserve">was </w:t>
      </w:r>
      <w:r>
        <w:rPr>
          <w:rFonts w:ascii="Times New Roman" w:hAnsi="Times New Roman"/>
          <w:sz w:val="24"/>
        </w:rPr>
        <w:t xml:space="preserve">required to be subject to </w:t>
      </w:r>
      <w:r w:rsidR="00797D1B">
        <w:rPr>
          <w:rFonts w:ascii="Times New Roman" w:hAnsi="Times New Roman"/>
          <w:sz w:val="24"/>
        </w:rPr>
        <w:t>AA</w:t>
      </w:r>
      <w:r>
        <w:rPr>
          <w:rFonts w:ascii="Times New Roman" w:hAnsi="Times New Roman"/>
          <w:sz w:val="24"/>
        </w:rPr>
        <w:t xml:space="preserve"> pursuant to the Habitats Directive and </w:t>
      </w:r>
      <w:r w:rsidR="00797D1B">
        <w:rPr>
          <w:rFonts w:ascii="Times New Roman" w:hAnsi="Times New Roman"/>
          <w:sz w:val="24"/>
        </w:rPr>
        <w:t>SEA</w:t>
      </w:r>
      <w:r>
        <w:rPr>
          <w:rFonts w:ascii="Times New Roman" w:hAnsi="Times New Roman"/>
          <w:sz w:val="24"/>
        </w:rPr>
        <w:t xml:space="preserve"> under the SEA Directive. </w:t>
      </w:r>
      <w:r w:rsidR="00797D1B">
        <w:rPr>
          <w:rFonts w:ascii="Times New Roman" w:hAnsi="Times New Roman"/>
          <w:sz w:val="24"/>
        </w:rPr>
        <w:t xml:space="preserve"> </w:t>
      </w:r>
      <w:r w:rsidR="00D10FE5">
        <w:rPr>
          <w:rFonts w:ascii="Times New Roman" w:hAnsi="Times New Roman"/>
          <w:sz w:val="24"/>
        </w:rPr>
        <w:t xml:space="preserve">There was no </w:t>
      </w:r>
      <w:r w:rsidR="00797D1B">
        <w:rPr>
          <w:rFonts w:ascii="Times New Roman" w:hAnsi="Times New Roman"/>
          <w:sz w:val="24"/>
        </w:rPr>
        <w:t>AA</w:t>
      </w:r>
      <w:r w:rsidR="00D10FE5">
        <w:rPr>
          <w:rFonts w:ascii="Times New Roman" w:hAnsi="Times New Roman"/>
          <w:sz w:val="24"/>
        </w:rPr>
        <w:t xml:space="preserve"> determination for the purposes of the Habitats Directive prior to the adoption by the government of the NPF on 16 </w:t>
      </w:r>
      <w:r w:rsidR="005206C1">
        <w:rPr>
          <w:rFonts w:ascii="Times New Roman" w:hAnsi="Times New Roman"/>
          <w:sz w:val="24"/>
        </w:rPr>
        <w:t xml:space="preserve">February </w:t>
      </w:r>
      <w:r w:rsidR="00D10FE5">
        <w:rPr>
          <w:rFonts w:ascii="Times New Roman" w:hAnsi="Times New Roman"/>
          <w:sz w:val="24"/>
        </w:rPr>
        <w:t>2018 and</w:t>
      </w:r>
      <w:r w:rsidR="00797D1B">
        <w:rPr>
          <w:rFonts w:ascii="Times New Roman" w:hAnsi="Times New Roman"/>
          <w:sz w:val="24"/>
        </w:rPr>
        <w:t>,</w:t>
      </w:r>
      <w:r w:rsidR="00D10FE5">
        <w:rPr>
          <w:rFonts w:ascii="Times New Roman" w:hAnsi="Times New Roman"/>
          <w:sz w:val="24"/>
        </w:rPr>
        <w:t xml:space="preserve"> accordingly</w:t>
      </w:r>
      <w:r w:rsidR="00797D1B">
        <w:rPr>
          <w:rFonts w:ascii="Times New Roman" w:hAnsi="Times New Roman"/>
          <w:sz w:val="24"/>
        </w:rPr>
        <w:t>,</w:t>
      </w:r>
      <w:r w:rsidR="00D10FE5">
        <w:rPr>
          <w:rFonts w:ascii="Times New Roman" w:hAnsi="Times New Roman"/>
          <w:sz w:val="24"/>
        </w:rPr>
        <w:t xml:space="preserve"> th</w:t>
      </w:r>
      <w:r>
        <w:rPr>
          <w:rFonts w:ascii="Times New Roman" w:hAnsi="Times New Roman"/>
          <w:sz w:val="24"/>
        </w:rPr>
        <w:t>at</w:t>
      </w:r>
      <w:r w:rsidR="00D10FE5">
        <w:rPr>
          <w:rFonts w:ascii="Times New Roman" w:hAnsi="Times New Roman"/>
          <w:sz w:val="24"/>
        </w:rPr>
        <w:t xml:space="preserve"> decision was invalid</w:t>
      </w:r>
      <w:r w:rsidR="00407323">
        <w:rPr>
          <w:rFonts w:ascii="Times New Roman" w:hAnsi="Times New Roman"/>
          <w:sz w:val="24"/>
        </w:rPr>
        <w:t xml:space="preserve"> and ought to be quashed</w:t>
      </w:r>
      <w:r w:rsidR="00D10FE5">
        <w:rPr>
          <w:rFonts w:ascii="Times New Roman" w:hAnsi="Times New Roman"/>
          <w:sz w:val="24"/>
        </w:rPr>
        <w:t xml:space="preserve">. </w:t>
      </w:r>
    </w:p>
    <w:p w14:paraId="6BB47B3F" w14:textId="2A6FF73C" w:rsidR="002F280F" w:rsidRDefault="00D10FE5" w:rsidP="0094181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Minister made an AA determination on 14 May 2018 which satisfied the requirements of the Habitats Directive. </w:t>
      </w:r>
      <w:r w:rsidR="00797D1B">
        <w:rPr>
          <w:rFonts w:ascii="Times New Roman" w:hAnsi="Times New Roman"/>
          <w:sz w:val="24"/>
        </w:rPr>
        <w:t xml:space="preserve"> </w:t>
      </w:r>
      <w:r w:rsidR="00941812">
        <w:rPr>
          <w:rFonts w:ascii="Times New Roman" w:hAnsi="Times New Roman"/>
          <w:sz w:val="24"/>
        </w:rPr>
        <w:t xml:space="preserve">The government was the public authority adopting the NPF and it was required to reach an AA determination prior to adopting the plan. </w:t>
      </w:r>
      <w:r w:rsidR="00797D1B">
        <w:rPr>
          <w:rFonts w:ascii="Times New Roman" w:hAnsi="Times New Roman"/>
          <w:sz w:val="24"/>
        </w:rPr>
        <w:t xml:space="preserve"> </w:t>
      </w:r>
      <w:r w:rsidR="00407323">
        <w:rPr>
          <w:rFonts w:ascii="Times New Roman" w:hAnsi="Times New Roman"/>
          <w:sz w:val="24"/>
        </w:rPr>
        <w:t>The government was a public authority within the meaning of the Habitats Regulations and thus was empowered under domestic law to make the AA determination necessary for the adoption of the NPF.</w:t>
      </w:r>
      <w:r w:rsidR="00797D1B">
        <w:rPr>
          <w:rFonts w:ascii="Times New Roman" w:hAnsi="Times New Roman"/>
          <w:sz w:val="24"/>
        </w:rPr>
        <w:t xml:space="preserve"> </w:t>
      </w:r>
      <w:r w:rsidR="00407323" w:rsidRPr="00941812">
        <w:rPr>
          <w:rFonts w:ascii="Times New Roman" w:hAnsi="Times New Roman"/>
          <w:sz w:val="24"/>
        </w:rPr>
        <w:t xml:space="preserve"> </w:t>
      </w:r>
      <w:r w:rsidR="00941812">
        <w:rPr>
          <w:rFonts w:ascii="Times New Roman" w:hAnsi="Times New Roman"/>
          <w:sz w:val="24"/>
        </w:rPr>
        <w:t>On 29 May 2018</w:t>
      </w:r>
      <w:r w:rsidR="00797D1B">
        <w:rPr>
          <w:rFonts w:ascii="Times New Roman" w:hAnsi="Times New Roman"/>
          <w:sz w:val="24"/>
        </w:rPr>
        <w:t>,</w:t>
      </w:r>
      <w:r w:rsidR="00941812">
        <w:rPr>
          <w:rFonts w:ascii="Times New Roman" w:hAnsi="Times New Roman"/>
          <w:sz w:val="24"/>
        </w:rPr>
        <w:t xml:space="preserve"> the government adopted the Minister’s </w:t>
      </w:r>
      <w:r w:rsidR="006B6DEB">
        <w:rPr>
          <w:rFonts w:ascii="Times New Roman" w:hAnsi="Times New Roman"/>
          <w:sz w:val="24"/>
        </w:rPr>
        <w:t>AA D</w:t>
      </w:r>
      <w:r w:rsidR="00941812">
        <w:rPr>
          <w:rFonts w:ascii="Times New Roman" w:hAnsi="Times New Roman"/>
          <w:sz w:val="24"/>
        </w:rPr>
        <w:t xml:space="preserve">etermination prior to deciding to </w:t>
      </w:r>
      <w:r w:rsidR="00AB0995">
        <w:rPr>
          <w:rFonts w:ascii="Times New Roman" w:hAnsi="Times New Roman"/>
          <w:sz w:val="24"/>
        </w:rPr>
        <w:t>re</w:t>
      </w:r>
      <w:r w:rsidR="00941812">
        <w:rPr>
          <w:rFonts w:ascii="Times New Roman" w:hAnsi="Times New Roman"/>
          <w:sz w:val="24"/>
        </w:rPr>
        <w:t>affirm the decision of 16 February 2018 to adopt the NPF.</w:t>
      </w:r>
      <w:r w:rsidR="00797D1B">
        <w:rPr>
          <w:rFonts w:ascii="Times New Roman" w:hAnsi="Times New Roman"/>
          <w:sz w:val="24"/>
        </w:rPr>
        <w:t xml:space="preserve"> </w:t>
      </w:r>
      <w:r w:rsidR="00941812">
        <w:rPr>
          <w:rFonts w:ascii="Times New Roman" w:hAnsi="Times New Roman"/>
          <w:sz w:val="24"/>
        </w:rPr>
        <w:t xml:space="preserve"> </w:t>
      </w:r>
      <w:r w:rsidRPr="00941812">
        <w:rPr>
          <w:rFonts w:ascii="Times New Roman" w:hAnsi="Times New Roman"/>
          <w:sz w:val="24"/>
        </w:rPr>
        <w:t xml:space="preserve">This was a </w:t>
      </w:r>
      <w:r w:rsidR="00941812">
        <w:rPr>
          <w:rFonts w:ascii="Times New Roman" w:hAnsi="Times New Roman"/>
          <w:sz w:val="24"/>
        </w:rPr>
        <w:t>new</w:t>
      </w:r>
      <w:r w:rsidRPr="00941812">
        <w:rPr>
          <w:rFonts w:ascii="Times New Roman" w:hAnsi="Times New Roman"/>
          <w:sz w:val="24"/>
        </w:rPr>
        <w:t xml:space="preserve"> decision to adopt the NPF and it complied with the requirements of the Habitats Directive</w:t>
      </w:r>
      <w:r w:rsidR="00941812" w:rsidRPr="00941812">
        <w:rPr>
          <w:rFonts w:ascii="Times New Roman" w:hAnsi="Times New Roman"/>
          <w:sz w:val="24"/>
        </w:rPr>
        <w:t>.</w:t>
      </w:r>
      <w:r w:rsidR="00F7754A">
        <w:rPr>
          <w:rFonts w:ascii="Times New Roman" w:hAnsi="Times New Roman"/>
          <w:sz w:val="24"/>
        </w:rPr>
        <w:t xml:space="preserve"> </w:t>
      </w:r>
    </w:p>
    <w:p w14:paraId="05E9039F" w14:textId="0A1001FA" w:rsidR="00BD48F1" w:rsidRDefault="00941812" w:rsidP="0094181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The NPF was screened for SEA and it was determined that the NPF was a plan which should be subject to strategic assessment under the SEA Directive. </w:t>
      </w:r>
      <w:r w:rsidR="00797D1B">
        <w:rPr>
          <w:rFonts w:ascii="Times New Roman" w:hAnsi="Times New Roman"/>
          <w:sz w:val="24"/>
        </w:rPr>
        <w:t xml:space="preserve"> </w:t>
      </w:r>
      <w:r>
        <w:rPr>
          <w:rFonts w:ascii="Times New Roman" w:hAnsi="Times New Roman"/>
          <w:sz w:val="24"/>
        </w:rPr>
        <w:t>Article 5</w:t>
      </w:r>
      <w:r w:rsidR="00597A12">
        <w:rPr>
          <w:rFonts w:ascii="Times New Roman" w:hAnsi="Times New Roman"/>
          <w:sz w:val="24"/>
        </w:rPr>
        <w:t>(</w:t>
      </w:r>
      <w:r>
        <w:rPr>
          <w:rFonts w:ascii="Times New Roman" w:hAnsi="Times New Roman"/>
          <w:sz w:val="24"/>
        </w:rPr>
        <w:t>1</w:t>
      </w:r>
      <w:r w:rsidR="00597A12">
        <w:rPr>
          <w:rFonts w:ascii="Times New Roman" w:hAnsi="Times New Roman"/>
          <w:sz w:val="24"/>
        </w:rPr>
        <w:t>)</w:t>
      </w:r>
      <w:r>
        <w:rPr>
          <w:rFonts w:ascii="Times New Roman" w:hAnsi="Times New Roman"/>
          <w:sz w:val="24"/>
        </w:rPr>
        <w:t xml:space="preserve"> of the SEA Directive requires that the likely significant environmental effects of the preferred option and the reasonable alternatives are identified, described and evaluated </w:t>
      </w:r>
      <w:r w:rsidR="000779B5">
        <w:rPr>
          <w:rFonts w:ascii="Times New Roman" w:hAnsi="Times New Roman"/>
          <w:sz w:val="24"/>
        </w:rPr>
        <w:t>in a comparable way.</w:t>
      </w:r>
      <w:r w:rsidR="00797D1B">
        <w:rPr>
          <w:rFonts w:ascii="Times New Roman" w:hAnsi="Times New Roman"/>
          <w:sz w:val="24"/>
        </w:rPr>
        <w:t xml:space="preserve"> </w:t>
      </w:r>
      <w:r w:rsidR="000779B5">
        <w:rPr>
          <w:rFonts w:ascii="Times New Roman" w:hAnsi="Times New Roman"/>
          <w:sz w:val="24"/>
        </w:rPr>
        <w:t xml:space="preserve"> The six options, comprising the preferred option and five reasonable alternatives, were assessed in an identical manner in Chapter 7 of the SEA Environmental Report</w:t>
      </w:r>
      <w:r>
        <w:rPr>
          <w:rFonts w:ascii="Times New Roman" w:hAnsi="Times New Roman"/>
          <w:sz w:val="24"/>
        </w:rPr>
        <w:t xml:space="preserve"> </w:t>
      </w:r>
      <w:r w:rsidR="000779B5">
        <w:rPr>
          <w:rFonts w:ascii="Times New Roman" w:hAnsi="Times New Roman"/>
          <w:sz w:val="24"/>
        </w:rPr>
        <w:t>and the reasons for preferring Option 2 were set out.</w:t>
      </w:r>
      <w:r w:rsidR="00797D1B">
        <w:rPr>
          <w:rFonts w:ascii="Times New Roman" w:hAnsi="Times New Roman"/>
          <w:sz w:val="24"/>
        </w:rPr>
        <w:t xml:space="preserve"> </w:t>
      </w:r>
      <w:r w:rsidR="000779B5">
        <w:rPr>
          <w:rFonts w:ascii="Times New Roman" w:hAnsi="Times New Roman"/>
          <w:sz w:val="24"/>
        </w:rPr>
        <w:t xml:space="preserve"> </w:t>
      </w:r>
      <w:r w:rsidR="00BD48F1">
        <w:rPr>
          <w:rFonts w:ascii="Times New Roman" w:hAnsi="Times New Roman"/>
          <w:sz w:val="24"/>
        </w:rPr>
        <w:t>There was no failure to assess the reasonable alternatives in a comparable fashion.</w:t>
      </w:r>
    </w:p>
    <w:p w14:paraId="573C953F" w14:textId="23289037" w:rsidR="00941812" w:rsidRPr="00941812" w:rsidRDefault="000779B5" w:rsidP="0094181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level of detail </w:t>
      </w:r>
      <w:r w:rsidR="00BD48F1">
        <w:rPr>
          <w:rFonts w:ascii="Times New Roman" w:hAnsi="Times New Roman"/>
          <w:sz w:val="24"/>
        </w:rPr>
        <w:t xml:space="preserve">to be provided </w:t>
      </w:r>
      <w:r>
        <w:rPr>
          <w:rFonts w:ascii="Times New Roman" w:hAnsi="Times New Roman"/>
          <w:sz w:val="24"/>
        </w:rPr>
        <w:t xml:space="preserve">is that which is </w:t>
      </w:r>
      <w:r w:rsidR="00BD48F1">
        <w:rPr>
          <w:rFonts w:ascii="Times New Roman" w:hAnsi="Times New Roman"/>
          <w:sz w:val="24"/>
        </w:rPr>
        <w:t>“</w:t>
      </w:r>
      <w:r>
        <w:rPr>
          <w:rFonts w:ascii="Times New Roman" w:hAnsi="Times New Roman"/>
          <w:sz w:val="24"/>
        </w:rPr>
        <w:t>reasonably required</w:t>
      </w:r>
      <w:r w:rsidR="00BD48F1">
        <w:rPr>
          <w:rFonts w:ascii="Times New Roman" w:hAnsi="Times New Roman"/>
          <w:sz w:val="24"/>
        </w:rPr>
        <w:t>”</w:t>
      </w:r>
      <w:r>
        <w:rPr>
          <w:rFonts w:ascii="Times New Roman" w:hAnsi="Times New Roman"/>
          <w:sz w:val="24"/>
        </w:rPr>
        <w:t xml:space="preserve">. </w:t>
      </w:r>
      <w:r w:rsidR="00797D1B">
        <w:rPr>
          <w:rFonts w:ascii="Times New Roman" w:hAnsi="Times New Roman"/>
          <w:sz w:val="24"/>
        </w:rPr>
        <w:t xml:space="preserve"> </w:t>
      </w:r>
      <w:r>
        <w:rPr>
          <w:rFonts w:ascii="Times New Roman" w:hAnsi="Times New Roman"/>
          <w:sz w:val="24"/>
        </w:rPr>
        <w:t>What is reasonably required must be assessed by reference to the plan or programme in question</w:t>
      </w:r>
      <w:r w:rsidR="006B6DEB">
        <w:rPr>
          <w:rFonts w:ascii="Times New Roman" w:hAnsi="Times New Roman"/>
          <w:sz w:val="24"/>
        </w:rPr>
        <w:t>:</w:t>
      </w:r>
      <w:r>
        <w:rPr>
          <w:rFonts w:ascii="Times New Roman" w:hAnsi="Times New Roman"/>
          <w:sz w:val="24"/>
        </w:rPr>
        <w:t xml:space="preserve"> less detail may be required when assessing a high</w:t>
      </w:r>
      <w:r w:rsidR="00CD08CE">
        <w:rPr>
          <w:rFonts w:ascii="Times New Roman" w:hAnsi="Times New Roman"/>
          <w:sz w:val="24"/>
        </w:rPr>
        <w:t>-</w:t>
      </w:r>
      <w:r>
        <w:rPr>
          <w:rFonts w:ascii="Times New Roman" w:hAnsi="Times New Roman"/>
          <w:sz w:val="24"/>
        </w:rPr>
        <w:t xml:space="preserve">level plan such as the NPF. </w:t>
      </w:r>
      <w:r w:rsidR="00797D1B">
        <w:rPr>
          <w:rFonts w:ascii="Times New Roman" w:hAnsi="Times New Roman"/>
          <w:sz w:val="24"/>
        </w:rPr>
        <w:t xml:space="preserve"> </w:t>
      </w:r>
      <w:r>
        <w:rPr>
          <w:rFonts w:ascii="Times New Roman" w:hAnsi="Times New Roman"/>
          <w:sz w:val="24"/>
        </w:rPr>
        <w:t xml:space="preserve">The assessment of what is required involves the exercise of evaluative judgment which is primarily a matter for the decision maker. </w:t>
      </w:r>
      <w:r w:rsidR="00797D1B">
        <w:rPr>
          <w:rFonts w:ascii="Times New Roman" w:hAnsi="Times New Roman"/>
          <w:sz w:val="24"/>
        </w:rPr>
        <w:t xml:space="preserve"> </w:t>
      </w:r>
      <w:r>
        <w:rPr>
          <w:rFonts w:ascii="Times New Roman" w:hAnsi="Times New Roman"/>
          <w:sz w:val="24"/>
        </w:rPr>
        <w:t>The court will only interfere with a decision of this nature on convention</w:t>
      </w:r>
      <w:r w:rsidR="009C268C">
        <w:rPr>
          <w:rFonts w:ascii="Times New Roman" w:hAnsi="Times New Roman"/>
          <w:sz w:val="24"/>
        </w:rPr>
        <w:t>al</w:t>
      </w:r>
      <w:r>
        <w:rPr>
          <w:rFonts w:ascii="Times New Roman" w:hAnsi="Times New Roman"/>
          <w:sz w:val="24"/>
        </w:rPr>
        <w:t xml:space="preserve"> public law grounds. </w:t>
      </w:r>
      <w:r w:rsidR="00797D1B">
        <w:rPr>
          <w:rFonts w:ascii="Times New Roman" w:hAnsi="Times New Roman"/>
          <w:sz w:val="24"/>
        </w:rPr>
        <w:t xml:space="preserve"> </w:t>
      </w:r>
      <w:r w:rsidR="00BD48F1">
        <w:rPr>
          <w:rFonts w:ascii="Times New Roman" w:hAnsi="Times New Roman"/>
          <w:sz w:val="24"/>
        </w:rPr>
        <w:t xml:space="preserve">No such grounds were made out by the applicant. </w:t>
      </w:r>
    </w:p>
    <w:p w14:paraId="4A366B5A" w14:textId="533EAD29" w:rsidR="00334C54" w:rsidRDefault="00BD48F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criticism of the evaluation of the options in Chapter 7 was misconceived. </w:t>
      </w:r>
      <w:r w:rsidR="00797D1B">
        <w:rPr>
          <w:rFonts w:ascii="Times New Roman" w:hAnsi="Times New Roman"/>
          <w:sz w:val="24"/>
        </w:rPr>
        <w:t xml:space="preserve"> </w:t>
      </w:r>
      <w:r>
        <w:rPr>
          <w:rFonts w:ascii="Times New Roman" w:hAnsi="Times New Roman"/>
          <w:sz w:val="24"/>
        </w:rPr>
        <w:t xml:space="preserve">It failed to </w:t>
      </w:r>
      <w:r w:rsidR="00407323">
        <w:rPr>
          <w:rFonts w:ascii="Times New Roman" w:hAnsi="Times New Roman"/>
          <w:sz w:val="24"/>
        </w:rPr>
        <w:t>give due weight to</w:t>
      </w:r>
      <w:r>
        <w:rPr>
          <w:rFonts w:ascii="Times New Roman" w:hAnsi="Times New Roman"/>
          <w:sz w:val="24"/>
        </w:rPr>
        <w:t xml:space="preserve"> the detailed discussion, analysis and explanations in Chapter</w:t>
      </w:r>
      <w:r w:rsidR="00797D1B">
        <w:rPr>
          <w:rFonts w:ascii="Times New Roman" w:hAnsi="Times New Roman"/>
          <w:sz w:val="24"/>
        </w:rPr>
        <w:t>s</w:t>
      </w:r>
      <w:r>
        <w:rPr>
          <w:rFonts w:ascii="Times New Roman" w:hAnsi="Times New Roman"/>
          <w:sz w:val="24"/>
        </w:rPr>
        <w:t xml:space="preserve"> </w:t>
      </w:r>
      <w:r w:rsidR="006B6DEB">
        <w:rPr>
          <w:rFonts w:ascii="Times New Roman" w:hAnsi="Times New Roman"/>
          <w:sz w:val="24"/>
        </w:rPr>
        <w:t>3</w:t>
      </w:r>
      <w:r>
        <w:rPr>
          <w:rFonts w:ascii="Times New Roman" w:hAnsi="Times New Roman"/>
          <w:sz w:val="24"/>
        </w:rPr>
        <w:t>, 6 and the first part of Chapter 7</w:t>
      </w:r>
      <w:r w:rsidR="00797D1B">
        <w:rPr>
          <w:rFonts w:ascii="Times New Roman" w:hAnsi="Times New Roman"/>
          <w:sz w:val="24"/>
        </w:rPr>
        <w:t>,</w:t>
      </w:r>
      <w:r>
        <w:rPr>
          <w:rFonts w:ascii="Times New Roman" w:hAnsi="Times New Roman"/>
          <w:sz w:val="24"/>
        </w:rPr>
        <w:t xml:space="preserve"> and focused unduly on what was the culmination section of a very lengthy, detailed document. </w:t>
      </w:r>
      <w:r w:rsidR="00334C54">
        <w:rPr>
          <w:rFonts w:ascii="Times New Roman" w:hAnsi="Times New Roman"/>
          <w:sz w:val="24"/>
        </w:rPr>
        <w:t xml:space="preserve"> </w:t>
      </w:r>
      <w:r w:rsidR="000A5720">
        <w:rPr>
          <w:rFonts w:ascii="Times New Roman" w:hAnsi="Times New Roman"/>
          <w:sz w:val="24"/>
        </w:rPr>
        <w:t xml:space="preserve"> </w:t>
      </w:r>
    </w:p>
    <w:p w14:paraId="24C130E4" w14:textId="77777777" w:rsidR="00BD48F1" w:rsidRDefault="00F7754A" w:rsidP="00BD48F1">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fact that the preferred option was subject to further strategic assessment in Chapter 8 does not alter the validity of the process of assessment of the reasonable alternatives. </w:t>
      </w:r>
    </w:p>
    <w:p w14:paraId="227D6276" w14:textId="77777777" w:rsidR="00F7754A" w:rsidRDefault="00773C81" w:rsidP="00BD48F1">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 xml:space="preserve">The SEA Environmental </w:t>
      </w:r>
      <w:r w:rsidR="00494311">
        <w:rPr>
          <w:rFonts w:ascii="Times New Roman" w:hAnsi="Times New Roman"/>
          <w:sz w:val="24"/>
        </w:rPr>
        <w:t>R</w:t>
      </w:r>
      <w:r>
        <w:rPr>
          <w:rFonts w:ascii="Times New Roman" w:hAnsi="Times New Roman"/>
          <w:sz w:val="24"/>
        </w:rPr>
        <w:t xml:space="preserve">eport </w:t>
      </w:r>
      <w:r w:rsidR="00494311">
        <w:rPr>
          <w:rFonts w:ascii="Times New Roman" w:hAnsi="Times New Roman"/>
          <w:sz w:val="24"/>
        </w:rPr>
        <w:t>and</w:t>
      </w:r>
      <w:r>
        <w:rPr>
          <w:rFonts w:ascii="Times New Roman" w:hAnsi="Times New Roman"/>
          <w:sz w:val="24"/>
        </w:rPr>
        <w:t xml:space="preserve"> the S</w:t>
      </w:r>
      <w:r w:rsidR="00494311">
        <w:rPr>
          <w:rFonts w:ascii="Times New Roman" w:hAnsi="Times New Roman"/>
          <w:sz w:val="24"/>
        </w:rPr>
        <w:t>E</w:t>
      </w:r>
      <w:r>
        <w:rPr>
          <w:rFonts w:ascii="Times New Roman" w:hAnsi="Times New Roman"/>
          <w:sz w:val="24"/>
        </w:rPr>
        <w:t>A Sta</w:t>
      </w:r>
      <w:r w:rsidR="00494311">
        <w:rPr>
          <w:rFonts w:ascii="Times New Roman" w:hAnsi="Times New Roman"/>
          <w:sz w:val="24"/>
        </w:rPr>
        <w:t>t</w:t>
      </w:r>
      <w:r>
        <w:rPr>
          <w:rFonts w:ascii="Times New Roman" w:hAnsi="Times New Roman"/>
          <w:sz w:val="24"/>
        </w:rPr>
        <w:t>ement</w:t>
      </w:r>
      <w:r w:rsidR="00494311">
        <w:rPr>
          <w:rFonts w:ascii="Times New Roman" w:hAnsi="Times New Roman"/>
          <w:sz w:val="24"/>
        </w:rPr>
        <w:t xml:space="preserve"> comply with the requirement in Article 10 of the SEA Directive to monitor the unforeseen adverse effects of the implementation of the NPF on the environment.</w:t>
      </w:r>
    </w:p>
    <w:p w14:paraId="3F371538" w14:textId="64CB0A0F" w:rsidR="00494311" w:rsidRPr="00BD48F1" w:rsidRDefault="00494311" w:rsidP="00BD48F1">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lastRenderedPageBreak/>
        <w:t xml:space="preserve">The effects of the NPF on climate change </w:t>
      </w:r>
      <w:r w:rsidR="005B3B3E">
        <w:rPr>
          <w:rFonts w:ascii="Times New Roman" w:hAnsi="Times New Roman"/>
          <w:sz w:val="24"/>
        </w:rPr>
        <w:t xml:space="preserve">were assessed </w:t>
      </w:r>
      <w:r>
        <w:rPr>
          <w:rFonts w:ascii="Times New Roman" w:hAnsi="Times New Roman"/>
          <w:sz w:val="24"/>
        </w:rPr>
        <w:t>in the SEA Environmental Repor</w:t>
      </w:r>
      <w:r w:rsidR="005B3B3E">
        <w:rPr>
          <w:rFonts w:ascii="Times New Roman" w:hAnsi="Times New Roman"/>
          <w:sz w:val="24"/>
        </w:rPr>
        <w:t xml:space="preserve">t. </w:t>
      </w:r>
      <w:r w:rsidR="006B1E1E">
        <w:rPr>
          <w:rFonts w:ascii="Times New Roman" w:hAnsi="Times New Roman"/>
          <w:sz w:val="24"/>
        </w:rPr>
        <w:t xml:space="preserve"> </w:t>
      </w:r>
      <w:r w:rsidR="005B3B3E">
        <w:rPr>
          <w:rFonts w:ascii="Times New Roman" w:hAnsi="Times New Roman"/>
          <w:sz w:val="24"/>
        </w:rPr>
        <w:t>The applicant has not shown that such assessment was irrational and thus</w:t>
      </w:r>
      <w:r w:rsidR="006B1E1E">
        <w:rPr>
          <w:rFonts w:ascii="Times New Roman" w:hAnsi="Times New Roman"/>
          <w:sz w:val="24"/>
        </w:rPr>
        <w:t>,</w:t>
      </w:r>
      <w:r w:rsidR="005B3B3E">
        <w:rPr>
          <w:rFonts w:ascii="Times New Roman" w:hAnsi="Times New Roman"/>
          <w:sz w:val="24"/>
        </w:rPr>
        <w:t xml:space="preserve"> the adequacy of the assessment is not a matter for this court.</w:t>
      </w:r>
    </w:p>
    <w:p w14:paraId="3F35E2B4" w14:textId="7F23D451" w:rsidR="00494311" w:rsidRDefault="0049431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 NDP is not a plan or programme to which the SEA Directive or the Habitats Directive applied; it is a budgetary plan and thus</w:t>
      </w:r>
      <w:r w:rsidR="006B1E1E">
        <w:rPr>
          <w:rFonts w:ascii="Times New Roman" w:hAnsi="Times New Roman"/>
          <w:sz w:val="24"/>
        </w:rPr>
        <w:t>,</w:t>
      </w:r>
      <w:r>
        <w:rPr>
          <w:rFonts w:ascii="Times New Roman" w:hAnsi="Times New Roman"/>
          <w:sz w:val="24"/>
        </w:rPr>
        <w:t xml:space="preserve"> expressly excluded from the provisions of the SEA Directive. </w:t>
      </w:r>
      <w:r w:rsidR="006B1E1E">
        <w:rPr>
          <w:rFonts w:ascii="Times New Roman" w:hAnsi="Times New Roman"/>
          <w:sz w:val="24"/>
        </w:rPr>
        <w:t xml:space="preserve"> </w:t>
      </w:r>
      <w:r>
        <w:rPr>
          <w:rFonts w:ascii="Times New Roman" w:hAnsi="Times New Roman"/>
          <w:sz w:val="24"/>
        </w:rPr>
        <w:t>It is not so related to the NPF that it is an integra</w:t>
      </w:r>
      <w:r w:rsidR="005B3B3E">
        <w:rPr>
          <w:rFonts w:ascii="Times New Roman" w:hAnsi="Times New Roman"/>
          <w:sz w:val="24"/>
        </w:rPr>
        <w:t>l</w:t>
      </w:r>
      <w:r>
        <w:rPr>
          <w:rFonts w:ascii="Times New Roman" w:hAnsi="Times New Roman"/>
          <w:sz w:val="24"/>
        </w:rPr>
        <w:t xml:space="preserve"> part of the NPF and thus</w:t>
      </w:r>
      <w:r w:rsidR="006B1E1E">
        <w:rPr>
          <w:rFonts w:ascii="Times New Roman" w:hAnsi="Times New Roman"/>
          <w:sz w:val="24"/>
        </w:rPr>
        <w:t>,</w:t>
      </w:r>
      <w:r>
        <w:rPr>
          <w:rFonts w:ascii="Times New Roman" w:hAnsi="Times New Roman"/>
          <w:sz w:val="24"/>
        </w:rPr>
        <w:t xml:space="preserve"> subject to the same assessment obligations as the NPF.</w:t>
      </w:r>
    </w:p>
    <w:p w14:paraId="1CEF45B4" w14:textId="1C95114D" w:rsidR="005B3B3E" w:rsidRDefault="00494311"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Accordingly</w:t>
      </w:r>
      <w:r w:rsidR="001F45E6">
        <w:rPr>
          <w:rFonts w:ascii="Times New Roman" w:hAnsi="Times New Roman"/>
          <w:sz w:val="24"/>
        </w:rPr>
        <w:t>,</w:t>
      </w:r>
      <w:r>
        <w:rPr>
          <w:rFonts w:ascii="Times New Roman" w:hAnsi="Times New Roman"/>
          <w:sz w:val="24"/>
        </w:rPr>
        <w:t xml:space="preserve"> I would quash the decision of 16 February 2018 </w:t>
      </w:r>
      <w:r w:rsidR="001F45E6">
        <w:rPr>
          <w:rFonts w:ascii="Times New Roman" w:hAnsi="Times New Roman"/>
          <w:sz w:val="24"/>
        </w:rPr>
        <w:t>of the government to adopt the NPF</w:t>
      </w:r>
      <w:r w:rsidR="006B1E1E">
        <w:rPr>
          <w:rFonts w:ascii="Times New Roman" w:hAnsi="Times New Roman"/>
          <w:sz w:val="24"/>
        </w:rPr>
        <w:t>,</w:t>
      </w:r>
      <w:r w:rsidR="001F45E6">
        <w:rPr>
          <w:rFonts w:ascii="Times New Roman" w:hAnsi="Times New Roman"/>
          <w:sz w:val="24"/>
        </w:rPr>
        <w:t xml:space="preserve"> but otherwise I would </w:t>
      </w:r>
      <w:r>
        <w:rPr>
          <w:rFonts w:ascii="Times New Roman" w:hAnsi="Times New Roman"/>
          <w:sz w:val="24"/>
        </w:rPr>
        <w:t>refuse the appeal and affirm the decision of the High Court</w:t>
      </w:r>
      <w:r w:rsidR="001F45E6">
        <w:rPr>
          <w:rFonts w:ascii="Times New Roman" w:hAnsi="Times New Roman"/>
          <w:sz w:val="24"/>
        </w:rPr>
        <w:t>.</w:t>
      </w:r>
    </w:p>
    <w:p w14:paraId="1146F9AC" w14:textId="1DC583C7" w:rsidR="009E133E" w:rsidRDefault="005B3B3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There is no question of the interpretation of EU law which requires clarification by the CJEU and which is necessary to the resolution of this case, accordingly</w:t>
      </w:r>
      <w:r w:rsidR="006B1E1E">
        <w:rPr>
          <w:rFonts w:ascii="Times New Roman" w:hAnsi="Times New Roman"/>
          <w:sz w:val="24"/>
        </w:rPr>
        <w:t>,</w:t>
      </w:r>
      <w:r w:rsidR="001F45E6">
        <w:rPr>
          <w:rFonts w:ascii="Times New Roman" w:hAnsi="Times New Roman"/>
          <w:sz w:val="24"/>
        </w:rPr>
        <w:t xml:space="preserve"> I would refuse the request to refer any issue raised to the CJEU for a preliminary reference under Article 267 of TFEU.</w:t>
      </w:r>
      <w:r w:rsidR="00494311">
        <w:rPr>
          <w:rFonts w:ascii="Times New Roman" w:hAnsi="Times New Roman"/>
          <w:sz w:val="24"/>
        </w:rPr>
        <w:t xml:space="preserve"> </w:t>
      </w:r>
      <w:r w:rsidR="009E133E">
        <w:rPr>
          <w:rFonts w:ascii="Times New Roman" w:hAnsi="Times New Roman"/>
          <w:sz w:val="24"/>
        </w:rPr>
        <w:t xml:space="preserve"> </w:t>
      </w:r>
      <w:r w:rsidR="009C064C">
        <w:rPr>
          <w:rFonts w:ascii="Times New Roman" w:hAnsi="Times New Roman"/>
          <w:sz w:val="24"/>
        </w:rPr>
        <w:t xml:space="preserve"> </w:t>
      </w:r>
    </w:p>
    <w:p w14:paraId="6AE4ECA3" w14:textId="706D4471" w:rsidR="002F60F3" w:rsidRDefault="005B3B3E" w:rsidP="00CE02C2">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Haughton and Murray JJ. have indicated their agreement with this judgment.</w:t>
      </w:r>
      <w:r w:rsidR="002F60F3">
        <w:rPr>
          <w:rFonts w:ascii="Times New Roman" w:hAnsi="Times New Roman"/>
          <w:sz w:val="24"/>
        </w:rPr>
        <w:t xml:space="preserve"> </w:t>
      </w:r>
    </w:p>
    <w:p w14:paraId="0BEF94DC" w14:textId="663150E4" w:rsidR="009E133E" w:rsidRPr="0017140E" w:rsidRDefault="005E3859" w:rsidP="00711B93">
      <w:pPr>
        <w:pStyle w:val="ListParagraph"/>
        <w:numPr>
          <w:ilvl w:val="0"/>
          <w:numId w:val="1"/>
        </w:numPr>
        <w:tabs>
          <w:tab w:val="left" w:pos="567"/>
        </w:tabs>
        <w:spacing w:line="480" w:lineRule="auto"/>
        <w:ind w:left="0" w:firstLine="0"/>
        <w:jc w:val="left"/>
        <w:rPr>
          <w:rFonts w:ascii="Times New Roman" w:hAnsi="Times New Roman"/>
          <w:sz w:val="24"/>
        </w:rPr>
      </w:pPr>
      <w:r>
        <w:rPr>
          <w:rFonts w:ascii="Times New Roman" w:hAnsi="Times New Roman"/>
          <w:sz w:val="24"/>
        </w:rPr>
        <w:t>T</w:t>
      </w:r>
      <w:r w:rsidR="005B3B3E">
        <w:rPr>
          <w:rFonts w:ascii="Times New Roman" w:hAnsi="Times New Roman"/>
          <w:sz w:val="24"/>
        </w:rPr>
        <w:t xml:space="preserve">his judgment is being delivered </w:t>
      </w:r>
      <w:r w:rsidR="006B1E1E">
        <w:rPr>
          <w:rFonts w:ascii="Times New Roman" w:hAnsi="Times New Roman"/>
          <w:sz w:val="24"/>
        </w:rPr>
        <w:t>electronically</w:t>
      </w:r>
      <w:r>
        <w:rPr>
          <w:rFonts w:ascii="Times New Roman" w:hAnsi="Times New Roman"/>
          <w:sz w:val="24"/>
        </w:rPr>
        <w:t>.</w:t>
      </w:r>
      <w:r w:rsidR="00406A4F">
        <w:rPr>
          <w:rFonts w:ascii="Times New Roman" w:hAnsi="Times New Roman"/>
          <w:sz w:val="24"/>
        </w:rPr>
        <w:t xml:space="preserve"> </w:t>
      </w:r>
      <w:r>
        <w:rPr>
          <w:rFonts w:ascii="Times New Roman" w:hAnsi="Times New Roman"/>
          <w:sz w:val="24"/>
        </w:rPr>
        <w:t xml:space="preserve"> The case will be listed for a short hearing on the form of the order and the costs of the appeal</w:t>
      </w:r>
      <w:r w:rsidR="00F07377">
        <w:rPr>
          <w:rFonts w:ascii="Times New Roman" w:hAnsi="Times New Roman"/>
          <w:sz w:val="24"/>
        </w:rPr>
        <w:t xml:space="preserve">. </w:t>
      </w:r>
      <w:r w:rsidR="00406A4F">
        <w:rPr>
          <w:rFonts w:ascii="Times New Roman" w:hAnsi="Times New Roman"/>
          <w:sz w:val="24"/>
        </w:rPr>
        <w:t xml:space="preserve"> </w:t>
      </w:r>
      <w:r w:rsidR="00F07377">
        <w:rPr>
          <w:rFonts w:ascii="Times New Roman" w:hAnsi="Times New Roman"/>
          <w:sz w:val="24"/>
        </w:rPr>
        <w:t>Short written submissions on costs, of no more than 1</w:t>
      </w:r>
      <w:r w:rsidR="00406A4F">
        <w:rPr>
          <w:rFonts w:ascii="Times New Roman" w:hAnsi="Times New Roman"/>
          <w:sz w:val="24"/>
        </w:rPr>
        <w:t>,</w:t>
      </w:r>
      <w:r w:rsidR="00F07377">
        <w:rPr>
          <w:rFonts w:ascii="Times New Roman" w:hAnsi="Times New Roman"/>
          <w:sz w:val="24"/>
        </w:rPr>
        <w:t xml:space="preserve">500 words should be furnished to the court and exchanged between the parties </w:t>
      </w:r>
      <w:r>
        <w:rPr>
          <w:rFonts w:ascii="Times New Roman" w:hAnsi="Times New Roman"/>
          <w:sz w:val="24"/>
        </w:rPr>
        <w:t xml:space="preserve">two days </w:t>
      </w:r>
      <w:r w:rsidR="00F07377">
        <w:rPr>
          <w:rFonts w:ascii="Times New Roman" w:hAnsi="Times New Roman"/>
          <w:sz w:val="24"/>
        </w:rPr>
        <w:t xml:space="preserve">in advance of </w:t>
      </w:r>
      <w:r>
        <w:rPr>
          <w:rFonts w:ascii="Times New Roman" w:hAnsi="Times New Roman"/>
          <w:sz w:val="24"/>
        </w:rPr>
        <w:t>the</w:t>
      </w:r>
      <w:r w:rsidR="00F07377">
        <w:rPr>
          <w:rFonts w:ascii="Times New Roman" w:hAnsi="Times New Roman"/>
          <w:sz w:val="24"/>
        </w:rPr>
        <w:t xml:space="preserve"> hearing</w:t>
      </w:r>
      <w:r>
        <w:rPr>
          <w:rFonts w:ascii="Times New Roman" w:hAnsi="Times New Roman"/>
          <w:sz w:val="24"/>
        </w:rPr>
        <w:t>, the date of which will be notified to the parties</w:t>
      </w:r>
      <w:r w:rsidR="00F07377">
        <w:rPr>
          <w:rFonts w:ascii="Times New Roman" w:hAnsi="Times New Roman"/>
          <w:sz w:val="24"/>
        </w:rPr>
        <w:t>.</w:t>
      </w:r>
    </w:p>
    <w:sectPr w:rsidR="009E133E" w:rsidRPr="0017140E" w:rsidSect="008B7C63">
      <w:headerReference w:type="even" r:id="rId9"/>
      <w:headerReference w:type="default" r:id="rId10"/>
      <w:headerReference w:type="first" r:id="rId11"/>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FF8BD" w14:textId="77777777" w:rsidR="006156C4" w:rsidRDefault="006156C4">
      <w:r>
        <w:separator/>
      </w:r>
    </w:p>
  </w:endnote>
  <w:endnote w:type="continuationSeparator" w:id="0">
    <w:p w14:paraId="179CB21B" w14:textId="77777777" w:rsidR="006156C4" w:rsidRDefault="00615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F5D4" w14:textId="77777777" w:rsidR="006156C4" w:rsidRDefault="006156C4">
      <w:r>
        <w:separator/>
      </w:r>
    </w:p>
  </w:footnote>
  <w:footnote w:type="continuationSeparator" w:id="0">
    <w:p w14:paraId="33A7356F" w14:textId="77777777" w:rsidR="006156C4" w:rsidRDefault="006156C4">
      <w:r>
        <w:continuationSeparator/>
      </w:r>
    </w:p>
  </w:footnote>
  <w:footnote w:id="1">
    <w:p w14:paraId="635EA967" w14:textId="77777777" w:rsidR="006156C4" w:rsidRPr="00EC52FB" w:rsidRDefault="006156C4" w:rsidP="00E03F87">
      <w:pPr>
        <w:pStyle w:val="FootnoteText"/>
        <w:rPr>
          <w:sz w:val="16"/>
          <w:szCs w:val="16"/>
        </w:rPr>
      </w:pPr>
      <w:r>
        <w:rPr>
          <w:rStyle w:val="FootnoteReference"/>
        </w:rPr>
        <w:footnoteRef/>
      </w:r>
      <w:r>
        <w:t xml:space="preserve"> </w:t>
      </w:r>
      <w:r w:rsidRPr="00EC52FB">
        <w:rPr>
          <w:sz w:val="16"/>
          <w:szCs w:val="16"/>
        </w:rPr>
        <w:t>This document was never exhibited nor referred to in evidence.</w:t>
      </w:r>
    </w:p>
  </w:footnote>
  <w:footnote w:id="2">
    <w:p w14:paraId="12CD5EEF" w14:textId="41AE87A6" w:rsidR="006156C4" w:rsidRPr="003A0406" w:rsidRDefault="006156C4">
      <w:pPr>
        <w:pStyle w:val="FootnoteText"/>
        <w:rPr>
          <w:lang w:val="en-GB"/>
        </w:rPr>
      </w:pPr>
      <w:r w:rsidRPr="00FA4DB5">
        <w:rPr>
          <w:rStyle w:val="FootnoteReference"/>
          <w:i/>
          <w:iCs/>
        </w:rPr>
        <w:footnoteRef/>
      </w:r>
      <w:r w:rsidRPr="00FA4DB5">
        <w:rPr>
          <w:i/>
          <w:iCs/>
        </w:rPr>
        <w:t xml:space="preserve"> </w:t>
      </w:r>
      <w:r w:rsidRPr="00772C8F">
        <w:rPr>
          <w:i/>
          <w:szCs w:val="18"/>
        </w:rPr>
        <w:t>These effects should include secondary, cumulative, synergistic, short, medium and long-term permanent and temporary, positive and negative effects.</w:t>
      </w:r>
    </w:p>
  </w:footnote>
  <w:footnote w:id="3">
    <w:p w14:paraId="7B4A5056" w14:textId="1DBB2E8C" w:rsidR="006156C4" w:rsidRPr="00AB4748" w:rsidRDefault="006156C4">
      <w:pPr>
        <w:pStyle w:val="FootnoteText"/>
        <w:rPr>
          <w:lang w:val="en-GB"/>
        </w:rPr>
      </w:pPr>
      <w:r>
        <w:rPr>
          <w:rStyle w:val="FootnoteReference"/>
        </w:rPr>
        <w:footnoteRef/>
      </w:r>
      <w:r>
        <w:t xml:space="preserve"> </w:t>
      </w:r>
      <w:r w:rsidRPr="00654369">
        <w:rPr>
          <w:sz w:val="18"/>
          <w:szCs w:val="18"/>
        </w:rPr>
        <w:t>BFF – Biodiversity, Flora and Fauna; PHH – Population and Human Health; S – Soils; W – Water; AQ – Air Quality; CF – Climatic Factors; MA – Material Assets; CH – Cultural Heritage; L</w:t>
      </w:r>
      <w:r>
        <w:rPr>
          <w:sz w:val="18"/>
          <w:szCs w:val="18"/>
        </w:rPr>
        <w:t xml:space="preserve"> </w:t>
      </w:r>
      <w:r w:rsidRPr="00654369">
        <w:rPr>
          <w:sz w:val="18"/>
          <w:szCs w:val="18"/>
        </w:rPr>
        <w:t>– Landscape.</w:t>
      </w:r>
    </w:p>
  </w:footnote>
  <w:footnote w:id="4">
    <w:p w14:paraId="4C6248BA" w14:textId="3085584D" w:rsidR="006156C4" w:rsidRPr="004A56E3" w:rsidRDefault="006156C4">
      <w:pPr>
        <w:pStyle w:val="FootnoteText"/>
        <w:rPr>
          <w:lang w:val="en-GB"/>
        </w:rPr>
      </w:pPr>
      <w:r>
        <w:rPr>
          <w:rStyle w:val="FootnoteReference"/>
        </w:rPr>
        <w:footnoteRef/>
      </w:r>
      <w:r>
        <w:t xml:space="preserve"> </w:t>
      </w:r>
      <w:r>
        <w:rPr>
          <w:lang w:val="en-GB"/>
        </w:rPr>
        <w:t>Since quashed by the Supreme Court and replaced by the Climate Action Plan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430E6" w14:textId="77777777" w:rsidR="006156C4" w:rsidRDefault="006156C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4624C896" w14:textId="77777777" w:rsidR="006156C4" w:rsidRDefault="00615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8B8D" w14:textId="77777777" w:rsidR="006156C4" w:rsidRDefault="006156C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- 98 -</w:t>
    </w:r>
    <w:r>
      <w:rPr>
        <w:rStyle w:val="PageNumber"/>
      </w:rPr>
      <w:fldChar w:fldCharType="end"/>
    </w:r>
  </w:p>
  <w:p w14:paraId="391F67EE" w14:textId="77777777" w:rsidR="006156C4" w:rsidRDefault="006156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919E6" w14:textId="77777777" w:rsidR="006156C4" w:rsidRDefault="006156C4">
    <w:pPr>
      <w:pStyle w:val="Header"/>
      <w:jc w:val="center"/>
    </w:pPr>
    <w:r w:rsidRPr="00BB5679">
      <w:rPr>
        <w:noProof/>
      </w:rPr>
      <w:drawing>
        <wp:inline distT="0" distB="0" distL="0" distR="0" wp14:anchorId="73587675" wp14:editId="23C54E6E">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408"/>
    <w:multiLevelType w:val="hybridMultilevel"/>
    <w:tmpl w:val="2CD08978"/>
    <w:lvl w:ilvl="0" w:tplc="1E82BFB2">
      <w:start w:val="1"/>
      <w:numFmt w:val="lowerRoman"/>
      <w:lvlText w:val="(%1)"/>
      <w:lvlJc w:val="left"/>
      <w:pPr>
        <w:ind w:left="1287" w:hanging="36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 w15:restartNumberingAfterBreak="0">
    <w:nsid w:val="25F7404F"/>
    <w:multiLevelType w:val="multilevel"/>
    <w:tmpl w:val="BC8CC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AF0F03"/>
    <w:multiLevelType w:val="hybridMultilevel"/>
    <w:tmpl w:val="1D7EB336"/>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56401C5"/>
    <w:multiLevelType w:val="hybridMultilevel"/>
    <w:tmpl w:val="FC505752"/>
    <w:lvl w:ilvl="0" w:tplc="EF10CD50">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D81061"/>
    <w:multiLevelType w:val="hybridMultilevel"/>
    <w:tmpl w:val="88B05A1E"/>
    <w:lvl w:ilvl="0" w:tplc="18090001">
      <w:start w:val="1"/>
      <w:numFmt w:val="bullet"/>
      <w:lvlText w:val=""/>
      <w:lvlJc w:val="left"/>
      <w:pPr>
        <w:ind w:left="2160" w:hanging="360"/>
      </w:pPr>
      <w:rPr>
        <w:rFonts w:ascii="Symbol" w:hAnsi="Symbol" w:hint="default"/>
        <w:sz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863237"/>
    <w:multiLevelType w:val="hybridMultilevel"/>
    <w:tmpl w:val="F244B172"/>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BCE7228"/>
    <w:multiLevelType w:val="hybridMultilevel"/>
    <w:tmpl w:val="97E487C4"/>
    <w:lvl w:ilvl="0" w:tplc="DE82DBB0">
      <w:start w:val="1"/>
      <w:numFmt w:val="decimal"/>
      <w:lvlText w:val="(%1)"/>
      <w:lvlJc w:val="left"/>
      <w:pPr>
        <w:ind w:left="1349" w:hanging="360"/>
      </w:pPr>
      <w:rPr>
        <w:rFonts w:hint="default"/>
        <w:b w:val="0"/>
        <w:i w:val="0"/>
        <w:sz w:val="24"/>
      </w:rPr>
    </w:lvl>
    <w:lvl w:ilvl="1" w:tplc="18090019" w:tentative="1">
      <w:start w:val="1"/>
      <w:numFmt w:val="lowerLetter"/>
      <w:lvlText w:val="%2."/>
      <w:lvlJc w:val="left"/>
      <w:pPr>
        <w:ind w:left="2069" w:hanging="360"/>
      </w:pPr>
    </w:lvl>
    <w:lvl w:ilvl="2" w:tplc="1809001B" w:tentative="1">
      <w:start w:val="1"/>
      <w:numFmt w:val="lowerRoman"/>
      <w:lvlText w:val="%3."/>
      <w:lvlJc w:val="right"/>
      <w:pPr>
        <w:ind w:left="2789" w:hanging="180"/>
      </w:pPr>
    </w:lvl>
    <w:lvl w:ilvl="3" w:tplc="1809000F" w:tentative="1">
      <w:start w:val="1"/>
      <w:numFmt w:val="decimal"/>
      <w:lvlText w:val="%4."/>
      <w:lvlJc w:val="left"/>
      <w:pPr>
        <w:ind w:left="3509" w:hanging="360"/>
      </w:pPr>
    </w:lvl>
    <w:lvl w:ilvl="4" w:tplc="18090019" w:tentative="1">
      <w:start w:val="1"/>
      <w:numFmt w:val="lowerLetter"/>
      <w:lvlText w:val="%5."/>
      <w:lvlJc w:val="left"/>
      <w:pPr>
        <w:ind w:left="4229" w:hanging="360"/>
      </w:pPr>
    </w:lvl>
    <w:lvl w:ilvl="5" w:tplc="1809001B" w:tentative="1">
      <w:start w:val="1"/>
      <w:numFmt w:val="lowerRoman"/>
      <w:lvlText w:val="%6."/>
      <w:lvlJc w:val="right"/>
      <w:pPr>
        <w:ind w:left="4949" w:hanging="180"/>
      </w:pPr>
    </w:lvl>
    <w:lvl w:ilvl="6" w:tplc="1809000F" w:tentative="1">
      <w:start w:val="1"/>
      <w:numFmt w:val="decimal"/>
      <w:lvlText w:val="%7."/>
      <w:lvlJc w:val="left"/>
      <w:pPr>
        <w:ind w:left="5669" w:hanging="360"/>
      </w:pPr>
    </w:lvl>
    <w:lvl w:ilvl="7" w:tplc="18090019" w:tentative="1">
      <w:start w:val="1"/>
      <w:numFmt w:val="lowerLetter"/>
      <w:lvlText w:val="%8."/>
      <w:lvlJc w:val="left"/>
      <w:pPr>
        <w:ind w:left="6389" w:hanging="360"/>
      </w:pPr>
    </w:lvl>
    <w:lvl w:ilvl="8" w:tplc="1809001B" w:tentative="1">
      <w:start w:val="1"/>
      <w:numFmt w:val="lowerRoman"/>
      <w:lvlText w:val="%9."/>
      <w:lvlJc w:val="right"/>
      <w:pPr>
        <w:ind w:left="7109" w:hanging="180"/>
      </w:pPr>
    </w:lvl>
  </w:abstractNum>
  <w:num w:numId="1">
    <w:abstractNumId w:val="2"/>
  </w:num>
  <w:num w:numId="2">
    <w:abstractNumId w:val="0"/>
  </w:num>
  <w:num w:numId="3">
    <w:abstractNumId w:val="4"/>
  </w:num>
  <w:num w:numId="4">
    <w:abstractNumId w:val="6"/>
  </w:num>
  <w:num w:numId="5">
    <w:abstractNumId w:val="5"/>
  </w:num>
  <w:num w:numId="6">
    <w:abstractNumId w:val="3"/>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01D44"/>
    <w:rsid w:val="0000203D"/>
    <w:rsid w:val="000020DF"/>
    <w:rsid w:val="00003266"/>
    <w:rsid w:val="00003B4D"/>
    <w:rsid w:val="000054F8"/>
    <w:rsid w:val="000100CE"/>
    <w:rsid w:val="000159C0"/>
    <w:rsid w:val="000162AD"/>
    <w:rsid w:val="00021DCE"/>
    <w:rsid w:val="0002232C"/>
    <w:rsid w:val="00025246"/>
    <w:rsid w:val="000336AF"/>
    <w:rsid w:val="000354E9"/>
    <w:rsid w:val="00035C62"/>
    <w:rsid w:val="00036B61"/>
    <w:rsid w:val="00037464"/>
    <w:rsid w:val="0004086D"/>
    <w:rsid w:val="00042D6A"/>
    <w:rsid w:val="00043D1C"/>
    <w:rsid w:val="0004406B"/>
    <w:rsid w:val="000457D6"/>
    <w:rsid w:val="000466F7"/>
    <w:rsid w:val="00047808"/>
    <w:rsid w:val="00053CF8"/>
    <w:rsid w:val="00054B77"/>
    <w:rsid w:val="00055BCE"/>
    <w:rsid w:val="000637EC"/>
    <w:rsid w:val="0006635B"/>
    <w:rsid w:val="00071A3F"/>
    <w:rsid w:val="000738F6"/>
    <w:rsid w:val="00073E1E"/>
    <w:rsid w:val="00076805"/>
    <w:rsid w:val="0007744E"/>
    <w:rsid w:val="00077701"/>
    <w:rsid w:val="000779B5"/>
    <w:rsid w:val="00077B13"/>
    <w:rsid w:val="00081231"/>
    <w:rsid w:val="00081285"/>
    <w:rsid w:val="00081A42"/>
    <w:rsid w:val="0008395C"/>
    <w:rsid w:val="00084B9F"/>
    <w:rsid w:val="00087FA0"/>
    <w:rsid w:val="00090FA3"/>
    <w:rsid w:val="00091A2E"/>
    <w:rsid w:val="00091EA5"/>
    <w:rsid w:val="00092522"/>
    <w:rsid w:val="000976D5"/>
    <w:rsid w:val="000A3514"/>
    <w:rsid w:val="000A55F2"/>
    <w:rsid w:val="000A5720"/>
    <w:rsid w:val="000A57C5"/>
    <w:rsid w:val="000A7B70"/>
    <w:rsid w:val="000B1DFA"/>
    <w:rsid w:val="000B202E"/>
    <w:rsid w:val="000B5096"/>
    <w:rsid w:val="000B5284"/>
    <w:rsid w:val="000B6DC0"/>
    <w:rsid w:val="000B7927"/>
    <w:rsid w:val="000C3FDB"/>
    <w:rsid w:val="000C6BC8"/>
    <w:rsid w:val="000C758F"/>
    <w:rsid w:val="000C7647"/>
    <w:rsid w:val="000C7D58"/>
    <w:rsid w:val="000D0053"/>
    <w:rsid w:val="000D1BFF"/>
    <w:rsid w:val="000D1D18"/>
    <w:rsid w:val="000D294F"/>
    <w:rsid w:val="000D2F4B"/>
    <w:rsid w:val="000D3EB6"/>
    <w:rsid w:val="000D5B29"/>
    <w:rsid w:val="000D7921"/>
    <w:rsid w:val="000D7C3B"/>
    <w:rsid w:val="000E3DE5"/>
    <w:rsid w:val="000E42C3"/>
    <w:rsid w:val="000F1347"/>
    <w:rsid w:val="000F30BD"/>
    <w:rsid w:val="000F34BD"/>
    <w:rsid w:val="000F3B78"/>
    <w:rsid w:val="000F7829"/>
    <w:rsid w:val="000F7E47"/>
    <w:rsid w:val="00101B10"/>
    <w:rsid w:val="00101E35"/>
    <w:rsid w:val="0010295F"/>
    <w:rsid w:val="00103953"/>
    <w:rsid w:val="00104B4D"/>
    <w:rsid w:val="0010650E"/>
    <w:rsid w:val="00110987"/>
    <w:rsid w:val="0011278E"/>
    <w:rsid w:val="00112BE2"/>
    <w:rsid w:val="00112CFA"/>
    <w:rsid w:val="00114814"/>
    <w:rsid w:val="0011616A"/>
    <w:rsid w:val="00116A39"/>
    <w:rsid w:val="00117016"/>
    <w:rsid w:val="001177EF"/>
    <w:rsid w:val="001205CA"/>
    <w:rsid w:val="00121103"/>
    <w:rsid w:val="00125019"/>
    <w:rsid w:val="00125D20"/>
    <w:rsid w:val="00126862"/>
    <w:rsid w:val="00130A13"/>
    <w:rsid w:val="00131360"/>
    <w:rsid w:val="00133675"/>
    <w:rsid w:val="00133E9A"/>
    <w:rsid w:val="0013530F"/>
    <w:rsid w:val="00135383"/>
    <w:rsid w:val="00136BBE"/>
    <w:rsid w:val="00140100"/>
    <w:rsid w:val="001402A9"/>
    <w:rsid w:val="00141336"/>
    <w:rsid w:val="00141CD4"/>
    <w:rsid w:val="001420F9"/>
    <w:rsid w:val="0014491D"/>
    <w:rsid w:val="001453BC"/>
    <w:rsid w:val="00147B1A"/>
    <w:rsid w:val="00147CA4"/>
    <w:rsid w:val="00151478"/>
    <w:rsid w:val="00152CC6"/>
    <w:rsid w:val="00153AAC"/>
    <w:rsid w:val="00154920"/>
    <w:rsid w:val="00156934"/>
    <w:rsid w:val="00157245"/>
    <w:rsid w:val="00160B83"/>
    <w:rsid w:val="00161459"/>
    <w:rsid w:val="00161FEC"/>
    <w:rsid w:val="00163781"/>
    <w:rsid w:val="00164753"/>
    <w:rsid w:val="001649CA"/>
    <w:rsid w:val="001652B5"/>
    <w:rsid w:val="0016586A"/>
    <w:rsid w:val="0017140E"/>
    <w:rsid w:val="001716D2"/>
    <w:rsid w:val="00174ED1"/>
    <w:rsid w:val="001756F7"/>
    <w:rsid w:val="001770EE"/>
    <w:rsid w:val="00180B08"/>
    <w:rsid w:val="001817B8"/>
    <w:rsid w:val="00183295"/>
    <w:rsid w:val="001838CD"/>
    <w:rsid w:val="00183B65"/>
    <w:rsid w:val="001853B5"/>
    <w:rsid w:val="00187263"/>
    <w:rsid w:val="0018738E"/>
    <w:rsid w:val="001875BC"/>
    <w:rsid w:val="00190A30"/>
    <w:rsid w:val="00190E2F"/>
    <w:rsid w:val="001935FF"/>
    <w:rsid w:val="00193945"/>
    <w:rsid w:val="00193B3E"/>
    <w:rsid w:val="00194C51"/>
    <w:rsid w:val="00195885"/>
    <w:rsid w:val="00195897"/>
    <w:rsid w:val="0019693B"/>
    <w:rsid w:val="00196989"/>
    <w:rsid w:val="001A16D9"/>
    <w:rsid w:val="001A396E"/>
    <w:rsid w:val="001B28A3"/>
    <w:rsid w:val="001B4079"/>
    <w:rsid w:val="001B4782"/>
    <w:rsid w:val="001C10D0"/>
    <w:rsid w:val="001C1B9B"/>
    <w:rsid w:val="001C2B68"/>
    <w:rsid w:val="001C2BA0"/>
    <w:rsid w:val="001C3058"/>
    <w:rsid w:val="001C3EEB"/>
    <w:rsid w:val="001C4257"/>
    <w:rsid w:val="001C49B0"/>
    <w:rsid w:val="001C730D"/>
    <w:rsid w:val="001D166D"/>
    <w:rsid w:val="001D17D7"/>
    <w:rsid w:val="001D197D"/>
    <w:rsid w:val="001D2D82"/>
    <w:rsid w:val="001D3CB4"/>
    <w:rsid w:val="001D7DB2"/>
    <w:rsid w:val="001E13FC"/>
    <w:rsid w:val="001E25D8"/>
    <w:rsid w:val="001E2850"/>
    <w:rsid w:val="001E4AAF"/>
    <w:rsid w:val="001E532D"/>
    <w:rsid w:val="001F0338"/>
    <w:rsid w:val="001F2043"/>
    <w:rsid w:val="001F23E7"/>
    <w:rsid w:val="001F3B55"/>
    <w:rsid w:val="001F45E6"/>
    <w:rsid w:val="001F46E0"/>
    <w:rsid w:val="001F6C8A"/>
    <w:rsid w:val="001F752C"/>
    <w:rsid w:val="00202BC6"/>
    <w:rsid w:val="00205E2C"/>
    <w:rsid w:val="002102B2"/>
    <w:rsid w:val="00213A23"/>
    <w:rsid w:val="00213AAB"/>
    <w:rsid w:val="00215412"/>
    <w:rsid w:val="00215446"/>
    <w:rsid w:val="00216EE9"/>
    <w:rsid w:val="002171FA"/>
    <w:rsid w:val="00220541"/>
    <w:rsid w:val="0022665B"/>
    <w:rsid w:val="00231E2C"/>
    <w:rsid w:val="0023273C"/>
    <w:rsid w:val="00235F35"/>
    <w:rsid w:val="002407F1"/>
    <w:rsid w:val="00241B47"/>
    <w:rsid w:val="0024207A"/>
    <w:rsid w:val="002432CE"/>
    <w:rsid w:val="0024391A"/>
    <w:rsid w:val="002443E8"/>
    <w:rsid w:val="0024491A"/>
    <w:rsid w:val="002478FE"/>
    <w:rsid w:val="002506DD"/>
    <w:rsid w:val="00250EF0"/>
    <w:rsid w:val="00253930"/>
    <w:rsid w:val="00254371"/>
    <w:rsid w:val="002549C7"/>
    <w:rsid w:val="002549CB"/>
    <w:rsid w:val="00256FEA"/>
    <w:rsid w:val="00262E0F"/>
    <w:rsid w:val="0026400B"/>
    <w:rsid w:val="00267BCD"/>
    <w:rsid w:val="00270B40"/>
    <w:rsid w:val="00272D0F"/>
    <w:rsid w:val="002741D4"/>
    <w:rsid w:val="002744D2"/>
    <w:rsid w:val="002778B8"/>
    <w:rsid w:val="00280C4F"/>
    <w:rsid w:val="0028327B"/>
    <w:rsid w:val="00283A21"/>
    <w:rsid w:val="00285EA9"/>
    <w:rsid w:val="002861F3"/>
    <w:rsid w:val="00286777"/>
    <w:rsid w:val="00286D27"/>
    <w:rsid w:val="0028791A"/>
    <w:rsid w:val="00287BF6"/>
    <w:rsid w:val="00290062"/>
    <w:rsid w:val="00292A5F"/>
    <w:rsid w:val="00296918"/>
    <w:rsid w:val="002A00B3"/>
    <w:rsid w:val="002A1D9C"/>
    <w:rsid w:val="002A2006"/>
    <w:rsid w:val="002A2CBC"/>
    <w:rsid w:val="002A3DB7"/>
    <w:rsid w:val="002A3E11"/>
    <w:rsid w:val="002A50D4"/>
    <w:rsid w:val="002A5FCA"/>
    <w:rsid w:val="002B0E05"/>
    <w:rsid w:val="002B11E5"/>
    <w:rsid w:val="002B29C7"/>
    <w:rsid w:val="002B3A94"/>
    <w:rsid w:val="002B4A11"/>
    <w:rsid w:val="002B4E63"/>
    <w:rsid w:val="002B6BF0"/>
    <w:rsid w:val="002B71DE"/>
    <w:rsid w:val="002C091A"/>
    <w:rsid w:val="002C14B8"/>
    <w:rsid w:val="002C20DD"/>
    <w:rsid w:val="002C2450"/>
    <w:rsid w:val="002C2C45"/>
    <w:rsid w:val="002C2E7C"/>
    <w:rsid w:val="002C3DCF"/>
    <w:rsid w:val="002C422B"/>
    <w:rsid w:val="002C5E1D"/>
    <w:rsid w:val="002C652C"/>
    <w:rsid w:val="002C662C"/>
    <w:rsid w:val="002D0691"/>
    <w:rsid w:val="002D270B"/>
    <w:rsid w:val="002D548D"/>
    <w:rsid w:val="002D5653"/>
    <w:rsid w:val="002D7009"/>
    <w:rsid w:val="002E0A02"/>
    <w:rsid w:val="002E14B6"/>
    <w:rsid w:val="002E32FF"/>
    <w:rsid w:val="002E54EE"/>
    <w:rsid w:val="002E60EA"/>
    <w:rsid w:val="002F19DE"/>
    <w:rsid w:val="002F280F"/>
    <w:rsid w:val="002F60F3"/>
    <w:rsid w:val="002F6A7A"/>
    <w:rsid w:val="002F73B5"/>
    <w:rsid w:val="00302318"/>
    <w:rsid w:val="00304792"/>
    <w:rsid w:val="00305348"/>
    <w:rsid w:val="00312873"/>
    <w:rsid w:val="0031585F"/>
    <w:rsid w:val="0031677E"/>
    <w:rsid w:val="00316D7D"/>
    <w:rsid w:val="00317341"/>
    <w:rsid w:val="00320785"/>
    <w:rsid w:val="00321226"/>
    <w:rsid w:val="00322185"/>
    <w:rsid w:val="003239CE"/>
    <w:rsid w:val="00323EF3"/>
    <w:rsid w:val="0032400E"/>
    <w:rsid w:val="003261F8"/>
    <w:rsid w:val="00327971"/>
    <w:rsid w:val="00330116"/>
    <w:rsid w:val="00332819"/>
    <w:rsid w:val="003337A7"/>
    <w:rsid w:val="003342F4"/>
    <w:rsid w:val="00334C54"/>
    <w:rsid w:val="0033528D"/>
    <w:rsid w:val="003413BA"/>
    <w:rsid w:val="00343ADE"/>
    <w:rsid w:val="003443F4"/>
    <w:rsid w:val="0034569B"/>
    <w:rsid w:val="00350889"/>
    <w:rsid w:val="00353253"/>
    <w:rsid w:val="00355FCB"/>
    <w:rsid w:val="00357BDF"/>
    <w:rsid w:val="003607BE"/>
    <w:rsid w:val="003611EE"/>
    <w:rsid w:val="003612EE"/>
    <w:rsid w:val="003617DB"/>
    <w:rsid w:val="0036184D"/>
    <w:rsid w:val="00364B32"/>
    <w:rsid w:val="00365B1B"/>
    <w:rsid w:val="00371B0D"/>
    <w:rsid w:val="00372012"/>
    <w:rsid w:val="0037576E"/>
    <w:rsid w:val="00375D8D"/>
    <w:rsid w:val="003763A0"/>
    <w:rsid w:val="00383F84"/>
    <w:rsid w:val="00384679"/>
    <w:rsid w:val="00384810"/>
    <w:rsid w:val="00386030"/>
    <w:rsid w:val="00391585"/>
    <w:rsid w:val="00395E45"/>
    <w:rsid w:val="00396284"/>
    <w:rsid w:val="003A0406"/>
    <w:rsid w:val="003A066E"/>
    <w:rsid w:val="003A277F"/>
    <w:rsid w:val="003A682B"/>
    <w:rsid w:val="003B19C8"/>
    <w:rsid w:val="003C09FF"/>
    <w:rsid w:val="003C19B5"/>
    <w:rsid w:val="003C3B16"/>
    <w:rsid w:val="003C62F6"/>
    <w:rsid w:val="003D15FC"/>
    <w:rsid w:val="003D2EC0"/>
    <w:rsid w:val="003D4AED"/>
    <w:rsid w:val="003E34D6"/>
    <w:rsid w:val="003E56C6"/>
    <w:rsid w:val="003E5E88"/>
    <w:rsid w:val="003E5F80"/>
    <w:rsid w:val="003E65A9"/>
    <w:rsid w:val="003E7674"/>
    <w:rsid w:val="003F0BBF"/>
    <w:rsid w:val="004035EC"/>
    <w:rsid w:val="00406A4F"/>
    <w:rsid w:val="00407323"/>
    <w:rsid w:val="004113CB"/>
    <w:rsid w:val="0041553B"/>
    <w:rsid w:val="00415F71"/>
    <w:rsid w:val="00416247"/>
    <w:rsid w:val="00416652"/>
    <w:rsid w:val="00423328"/>
    <w:rsid w:val="004241C1"/>
    <w:rsid w:val="00424C6E"/>
    <w:rsid w:val="00424F31"/>
    <w:rsid w:val="004320A0"/>
    <w:rsid w:val="00433AA1"/>
    <w:rsid w:val="004355A8"/>
    <w:rsid w:val="0044175C"/>
    <w:rsid w:val="00442179"/>
    <w:rsid w:val="004423C2"/>
    <w:rsid w:val="0044781B"/>
    <w:rsid w:val="00450530"/>
    <w:rsid w:val="00451353"/>
    <w:rsid w:val="00452FA7"/>
    <w:rsid w:val="0045310B"/>
    <w:rsid w:val="00453EED"/>
    <w:rsid w:val="00454E49"/>
    <w:rsid w:val="00455502"/>
    <w:rsid w:val="004574F1"/>
    <w:rsid w:val="00457B07"/>
    <w:rsid w:val="00457D32"/>
    <w:rsid w:val="00460821"/>
    <w:rsid w:val="004612DA"/>
    <w:rsid w:val="00461865"/>
    <w:rsid w:val="004723B8"/>
    <w:rsid w:val="00472481"/>
    <w:rsid w:val="0047488C"/>
    <w:rsid w:val="00476A07"/>
    <w:rsid w:val="00480101"/>
    <w:rsid w:val="00480E5B"/>
    <w:rsid w:val="00482283"/>
    <w:rsid w:val="00491922"/>
    <w:rsid w:val="00494311"/>
    <w:rsid w:val="00494A09"/>
    <w:rsid w:val="0049604F"/>
    <w:rsid w:val="004968CA"/>
    <w:rsid w:val="004A23F9"/>
    <w:rsid w:val="004A2A55"/>
    <w:rsid w:val="004A378C"/>
    <w:rsid w:val="004A42C2"/>
    <w:rsid w:val="004A56E3"/>
    <w:rsid w:val="004A68C1"/>
    <w:rsid w:val="004B1927"/>
    <w:rsid w:val="004B40E0"/>
    <w:rsid w:val="004B42BF"/>
    <w:rsid w:val="004B6821"/>
    <w:rsid w:val="004B6A19"/>
    <w:rsid w:val="004C0A6F"/>
    <w:rsid w:val="004C17FB"/>
    <w:rsid w:val="004C2499"/>
    <w:rsid w:val="004C2946"/>
    <w:rsid w:val="004C492F"/>
    <w:rsid w:val="004C56BE"/>
    <w:rsid w:val="004C6CCA"/>
    <w:rsid w:val="004C6CEA"/>
    <w:rsid w:val="004C6EB4"/>
    <w:rsid w:val="004C7B30"/>
    <w:rsid w:val="004D008F"/>
    <w:rsid w:val="004D245F"/>
    <w:rsid w:val="004D3FA4"/>
    <w:rsid w:val="004D4563"/>
    <w:rsid w:val="004D4D8B"/>
    <w:rsid w:val="004D61CD"/>
    <w:rsid w:val="004D766F"/>
    <w:rsid w:val="004E244B"/>
    <w:rsid w:val="004E323A"/>
    <w:rsid w:val="004E6F57"/>
    <w:rsid w:val="004F0476"/>
    <w:rsid w:val="004F06A8"/>
    <w:rsid w:val="004F0C48"/>
    <w:rsid w:val="004F14A7"/>
    <w:rsid w:val="004F3686"/>
    <w:rsid w:val="004F37C7"/>
    <w:rsid w:val="004F4F38"/>
    <w:rsid w:val="004F6402"/>
    <w:rsid w:val="0050394D"/>
    <w:rsid w:val="00504321"/>
    <w:rsid w:val="00505A2E"/>
    <w:rsid w:val="005061C2"/>
    <w:rsid w:val="00506A83"/>
    <w:rsid w:val="0050735E"/>
    <w:rsid w:val="00511D9A"/>
    <w:rsid w:val="00512399"/>
    <w:rsid w:val="00513166"/>
    <w:rsid w:val="00513314"/>
    <w:rsid w:val="00516CB4"/>
    <w:rsid w:val="005206C1"/>
    <w:rsid w:val="005245B7"/>
    <w:rsid w:val="00525CFE"/>
    <w:rsid w:val="00527206"/>
    <w:rsid w:val="00531E94"/>
    <w:rsid w:val="005340E9"/>
    <w:rsid w:val="0053446D"/>
    <w:rsid w:val="005363D5"/>
    <w:rsid w:val="0054218D"/>
    <w:rsid w:val="00542FF7"/>
    <w:rsid w:val="005433B1"/>
    <w:rsid w:val="005445DB"/>
    <w:rsid w:val="00544825"/>
    <w:rsid w:val="00544972"/>
    <w:rsid w:val="00547258"/>
    <w:rsid w:val="00547BDF"/>
    <w:rsid w:val="0055244D"/>
    <w:rsid w:val="0055268F"/>
    <w:rsid w:val="005532C8"/>
    <w:rsid w:val="005539FC"/>
    <w:rsid w:val="005557E1"/>
    <w:rsid w:val="005607C0"/>
    <w:rsid w:val="005614EF"/>
    <w:rsid w:val="00567C28"/>
    <w:rsid w:val="00572A05"/>
    <w:rsid w:val="00573886"/>
    <w:rsid w:val="005749C9"/>
    <w:rsid w:val="0057691B"/>
    <w:rsid w:val="0057747A"/>
    <w:rsid w:val="00581A15"/>
    <w:rsid w:val="00581B0B"/>
    <w:rsid w:val="00585020"/>
    <w:rsid w:val="00585F9F"/>
    <w:rsid w:val="005865FB"/>
    <w:rsid w:val="00593EAE"/>
    <w:rsid w:val="0059466A"/>
    <w:rsid w:val="0059587C"/>
    <w:rsid w:val="00595EEA"/>
    <w:rsid w:val="00597A12"/>
    <w:rsid w:val="005A119C"/>
    <w:rsid w:val="005A30A2"/>
    <w:rsid w:val="005B1DD4"/>
    <w:rsid w:val="005B30E8"/>
    <w:rsid w:val="005B3B3E"/>
    <w:rsid w:val="005B4470"/>
    <w:rsid w:val="005B4E33"/>
    <w:rsid w:val="005B500F"/>
    <w:rsid w:val="005B6004"/>
    <w:rsid w:val="005B60A2"/>
    <w:rsid w:val="005C35DD"/>
    <w:rsid w:val="005C3F51"/>
    <w:rsid w:val="005C40C5"/>
    <w:rsid w:val="005C5994"/>
    <w:rsid w:val="005C66E2"/>
    <w:rsid w:val="005C783C"/>
    <w:rsid w:val="005D0BC6"/>
    <w:rsid w:val="005D0BF5"/>
    <w:rsid w:val="005D31C2"/>
    <w:rsid w:val="005D6420"/>
    <w:rsid w:val="005E085D"/>
    <w:rsid w:val="005E0DC1"/>
    <w:rsid w:val="005E3859"/>
    <w:rsid w:val="005E38C6"/>
    <w:rsid w:val="005E486A"/>
    <w:rsid w:val="005E487A"/>
    <w:rsid w:val="005E4D2B"/>
    <w:rsid w:val="005E506A"/>
    <w:rsid w:val="005E7A33"/>
    <w:rsid w:val="005F0166"/>
    <w:rsid w:val="005F08AB"/>
    <w:rsid w:val="005F08D3"/>
    <w:rsid w:val="005F342E"/>
    <w:rsid w:val="005F3633"/>
    <w:rsid w:val="005F38C7"/>
    <w:rsid w:val="005F4E67"/>
    <w:rsid w:val="005F5888"/>
    <w:rsid w:val="005F5E77"/>
    <w:rsid w:val="005F7B20"/>
    <w:rsid w:val="005F7E30"/>
    <w:rsid w:val="00600A3A"/>
    <w:rsid w:val="006010FE"/>
    <w:rsid w:val="00602CAF"/>
    <w:rsid w:val="00605183"/>
    <w:rsid w:val="0060750F"/>
    <w:rsid w:val="006079BE"/>
    <w:rsid w:val="00607DFB"/>
    <w:rsid w:val="00610C32"/>
    <w:rsid w:val="006156C4"/>
    <w:rsid w:val="00617371"/>
    <w:rsid w:val="0061767A"/>
    <w:rsid w:val="00625ADB"/>
    <w:rsid w:val="0062641F"/>
    <w:rsid w:val="00627A5F"/>
    <w:rsid w:val="00633842"/>
    <w:rsid w:val="00635E1A"/>
    <w:rsid w:val="00636B86"/>
    <w:rsid w:val="006375F4"/>
    <w:rsid w:val="0063762A"/>
    <w:rsid w:val="00637971"/>
    <w:rsid w:val="0064333C"/>
    <w:rsid w:val="00643667"/>
    <w:rsid w:val="00644B5B"/>
    <w:rsid w:val="00644E5F"/>
    <w:rsid w:val="00645FFE"/>
    <w:rsid w:val="00651355"/>
    <w:rsid w:val="00654369"/>
    <w:rsid w:val="006561EC"/>
    <w:rsid w:val="006564CE"/>
    <w:rsid w:val="00660035"/>
    <w:rsid w:val="0066095B"/>
    <w:rsid w:val="00660DC0"/>
    <w:rsid w:val="00662241"/>
    <w:rsid w:val="00662FC4"/>
    <w:rsid w:val="00663629"/>
    <w:rsid w:val="00664500"/>
    <w:rsid w:val="00664C8A"/>
    <w:rsid w:val="00664DD8"/>
    <w:rsid w:val="00666664"/>
    <w:rsid w:val="006666AF"/>
    <w:rsid w:val="00666EA4"/>
    <w:rsid w:val="006674DE"/>
    <w:rsid w:val="0067174B"/>
    <w:rsid w:val="00674098"/>
    <w:rsid w:val="00674771"/>
    <w:rsid w:val="006752BA"/>
    <w:rsid w:val="00675370"/>
    <w:rsid w:val="00680770"/>
    <w:rsid w:val="00681687"/>
    <w:rsid w:val="00682C00"/>
    <w:rsid w:val="00686837"/>
    <w:rsid w:val="00690118"/>
    <w:rsid w:val="0069096D"/>
    <w:rsid w:val="0069135F"/>
    <w:rsid w:val="00693CA0"/>
    <w:rsid w:val="00695A01"/>
    <w:rsid w:val="006970AE"/>
    <w:rsid w:val="00697ACE"/>
    <w:rsid w:val="006A1AEC"/>
    <w:rsid w:val="006A34CC"/>
    <w:rsid w:val="006A4A55"/>
    <w:rsid w:val="006A6E50"/>
    <w:rsid w:val="006A6FAD"/>
    <w:rsid w:val="006A761E"/>
    <w:rsid w:val="006B051F"/>
    <w:rsid w:val="006B0743"/>
    <w:rsid w:val="006B1E1E"/>
    <w:rsid w:val="006B4A44"/>
    <w:rsid w:val="006B6DEB"/>
    <w:rsid w:val="006B7FFE"/>
    <w:rsid w:val="006C2D14"/>
    <w:rsid w:val="006C34CD"/>
    <w:rsid w:val="006C3CB4"/>
    <w:rsid w:val="006C4284"/>
    <w:rsid w:val="006C525C"/>
    <w:rsid w:val="006C6D62"/>
    <w:rsid w:val="006C7100"/>
    <w:rsid w:val="006D1220"/>
    <w:rsid w:val="006D2CA6"/>
    <w:rsid w:val="006D444D"/>
    <w:rsid w:val="006D557D"/>
    <w:rsid w:val="006E06AC"/>
    <w:rsid w:val="006E08E9"/>
    <w:rsid w:val="006E0F2A"/>
    <w:rsid w:val="006E2F1E"/>
    <w:rsid w:val="006E46B6"/>
    <w:rsid w:val="006E6101"/>
    <w:rsid w:val="006F0838"/>
    <w:rsid w:val="006F3C55"/>
    <w:rsid w:val="007000B5"/>
    <w:rsid w:val="00702C4C"/>
    <w:rsid w:val="00704553"/>
    <w:rsid w:val="0070512E"/>
    <w:rsid w:val="00706678"/>
    <w:rsid w:val="007068BB"/>
    <w:rsid w:val="0070792F"/>
    <w:rsid w:val="00707AE6"/>
    <w:rsid w:val="00710120"/>
    <w:rsid w:val="00711B93"/>
    <w:rsid w:val="00711D8F"/>
    <w:rsid w:val="007124E8"/>
    <w:rsid w:val="00713C06"/>
    <w:rsid w:val="00715247"/>
    <w:rsid w:val="00715DFF"/>
    <w:rsid w:val="007178AD"/>
    <w:rsid w:val="00724AE1"/>
    <w:rsid w:val="007262AE"/>
    <w:rsid w:val="007270B4"/>
    <w:rsid w:val="00734001"/>
    <w:rsid w:val="0073446C"/>
    <w:rsid w:val="00735670"/>
    <w:rsid w:val="0074097D"/>
    <w:rsid w:val="00742EA0"/>
    <w:rsid w:val="007459D0"/>
    <w:rsid w:val="0074674D"/>
    <w:rsid w:val="00747240"/>
    <w:rsid w:val="0074771F"/>
    <w:rsid w:val="00747EBA"/>
    <w:rsid w:val="00751440"/>
    <w:rsid w:val="00752029"/>
    <w:rsid w:val="007531CA"/>
    <w:rsid w:val="00753578"/>
    <w:rsid w:val="00755BB3"/>
    <w:rsid w:val="00757187"/>
    <w:rsid w:val="007579E4"/>
    <w:rsid w:val="007606E4"/>
    <w:rsid w:val="00760B43"/>
    <w:rsid w:val="007617A1"/>
    <w:rsid w:val="0076357A"/>
    <w:rsid w:val="007664C1"/>
    <w:rsid w:val="007678EF"/>
    <w:rsid w:val="00770269"/>
    <w:rsid w:val="00771A86"/>
    <w:rsid w:val="00771DD4"/>
    <w:rsid w:val="00772C8F"/>
    <w:rsid w:val="007737D6"/>
    <w:rsid w:val="00773C81"/>
    <w:rsid w:val="00773D30"/>
    <w:rsid w:val="00775092"/>
    <w:rsid w:val="007765D3"/>
    <w:rsid w:val="007809A4"/>
    <w:rsid w:val="00780EB6"/>
    <w:rsid w:val="0078112D"/>
    <w:rsid w:val="00784B29"/>
    <w:rsid w:val="00787085"/>
    <w:rsid w:val="00787813"/>
    <w:rsid w:val="00787A8B"/>
    <w:rsid w:val="00790C8E"/>
    <w:rsid w:val="007951B2"/>
    <w:rsid w:val="007960BA"/>
    <w:rsid w:val="007962DB"/>
    <w:rsid w:val="00797D1B"/>
    <w:rsid w:val="007A0D5C"/>
    <w:rsid w:val="007A6A55"/>
    <w:rsid w:val="007A6BD6"/>
    <w:rsid w:val="007B00D6"/>
    <w:rsid w:val="007B2B8D"/>
    <w:rsid w:val="007B2FDB"/>
    <w:rsid w:val="007B5A59"/>
    <w:rsid w:val="007C0026"/>
    <w:rsid w:val="007C03C3"/>
    <w:rsid w:val="007C0BE8"/>
    <w:rsid w:val="007C46A7"/>
    <w:rsid w:val="007C5588"/>
    <w:rsid w:val="007C5782"/>
    <w:rsid w:val="007C78F2"/>
    <w:rsid w:val="007D0DE8"/>
    <w:rsid w:val="007D0F26"/>
    <w:rsid w:val="007D444A"/>
    <w:rsid w:val="007D45FD"/>
    <w:rsid w:val="007D4C37"/>
    <w:rsid w:val="007D4D62"/>
    <w:rsid w:val="007D662F"/>
    <w:rsid w:val="007D757D"/>
    <w:rsid w:val="007E4567"/>
    <w:rsid w:val="007E50A7"/>
    <w:rsid w:val="007E5530"/>
    <w:rsid w:val="007E7FE6"/>
    <w:rsid w:val="007F01C5"/>
    <w:rsid w:val="007F22DF"/>
    <w:rsid w:val="007F32F7"/>
    <w:rsid w:val="007F4A5E"/>
    <w:rsid w:val="007F69F2"/>
    <w:rsid w:val="007F6DD9"/>
    <w:rsid w:val="00801AA8"/>
    <w:rsid w:val="0080242C"/>
    <w:rsid w:val="008044F6"/>
    <w:rsid w:val="00805F50"/>
    <w:rsid w:val="00806266"/>
    <w:rsid w:val="008062E1"/>
    <w:rsid w:val="0080636A"/>
    <w:rsid w:val="008065E5"/>
    <w:rsid w:val="00806902"/>
    <w:rsid w:val="00810C22"/>
    <w:rsid w:val="00813383"/>
    <w:rsid w:val="00814545"/>
    <w:rsid w:val="0081457B"/>
    <w:rsid w:val="00814DDB"/>
    <w:rsid w:val="00815492"/>
    <w:rsid w:val="0081646F"/>
    <w:rsid w:val="00816646"/>
    <w:rsid w:val="00816792"/>
    <w:rsid w:val="008169F3"/>
    <w:rsid w:val="00821B28"/>
    <w:rsid w:val="00824BE6"/>
    <w:rsid w:val="00825B3C"/>
    <w:rsid w:val="0082633D"/>
    <w:rsid w:val="00827B61"/>
    <w:rsid w:val="008304FD"/>
    <w:rsid w:val="00831DDD"/>
    <w:rsid w:val="00833A86"/>
    <w:rsid w:val="00833E18"/>
    <w:rsid w:val="00833EC5"/>
    <w:rsid w:val="00834EF0"/>
    <w:rsid w:val="00835836"/>
    <w:rsid w:val="00836A1E"/>
    <w:rsid w:val="008370C6"/>
    <w:rsid w:val="008409D3"/>
    <w:rsid w:val="00841B6F"/>
    <w:rsid w:val="00841E81"/>
    <w:rsid w:val="008429E1"/>
    <w:rsid w:val="00842BF2"/>
    <w:rsid w:val="008432F8"/>
    <w:rsid w:val="00844342"/>
    <w:rsid w:val="00844A13"/>
    <w:rsid w:val="00844D05"/>
    <w:rsid w:val="00844D50"/>
    <w:rsid w:val="00847912"/>
    <w:rsid w:val="00850AFD"/>
    <w:rsid w:val="00850F52"/>
    <w:rsid w:val="00852597"/>
    <w:rsid w:val="00853D4F"/>
    <w:rsid w:val="00853F20"/>
    <w:rsid w:val="00855F21"/>
    <w:rsid w:val="0086023B"/>
    <w:rsid w:val="0086068D"/>
    <w:rsid w:val="00860E96"/>
    <w:rsid w:val="00861F68"/>
    <w:rsid w:val="008622AA"/>
    <w:rsid w:val="00862D1C"/>
    <w:rsid w:val="00866F30"/>
    <w:rsid w:val="00872944"/>
    <w:rsid w:val="00873572"/>
    <w:rsid w:val="00874632"/>
    <w:rsid w:val="008748AF"/>
    <w:rsid w:val="00875D75"/>
    <w:rsid w:val="008768B0"/>
    <w:rsid w:val="00877F7C"/>
    <w:rsid w:val="0088082C"/>
    <w:rsid w:val="008824F1"/>
    <w:rsid w:val="00883302"/>
    <w:rsid w:val="00883915"/>
    <w:rsid w:val="008841B0"/>
    <w:rsid w:val="008855FB"/>
    <w:rsid w:val="00887B18"/>
    <w:rsid w:val="00891A16"/>
    <w:rsid w:val="00892020"/>
    <w:rsid w:val="00895618"/>
    <w:rsid w:val="008971B4"/>
    <w:rsid w:val="008979CB"/>
    <w:rsid w:val="008A04D1"/>
    <w:rsid w:val="008A4540"/>
    <w:rsid w:val="008A55CF"/>
    <w:rsid w:val="008A6EA3"/>
    <w:rsid w:val="008A6EFB"/>
    <w:rsid w:val="008A7DBC"/>
    <w:rsid w:val="008B1423"/>
    <w:rsid w:val="008B475A"/>
    <w:rsid w:val="008B4851"/>
    <w:rsid w:val="008B55E7"/>
    <w:rsid w:val="008B5EA9"/>
    <w:rsid w:val="008B7C63"/>
    <w:rsid w:val="008C652E"/>
    <w:rsid w:val="008C74EE"/>
    <w:rsid w:val="008D24A8"/>
    <w:rsid w:val="008D2662"/>
    <w:rsid w:val="008D37C7"/>
    <w:rsid w:val="008D58BB"/>
    <w:rsid w:val="008D5D2E"/>
    <w:rsid w:val="008E1C9C"/>
    <w:rsid w:val="008E2B28"/>
    <w:rsid w:val="008E3FBD"/>
    <w:rsid w:val="008E4D78"/>
    <w:rsid w:val="008E52EE"/>
    <w:rsid w:val="008E5359"/>
    <w:rsid w:val="008E61DC"/>
    <w:rsid w:val="008F0E17"/>
    <w:rsid w:val="008F1322"/>
    <w:rsid w:val="008F1444"/>
    <w:rsid w:val="008F28EC"/>
    <w:rsid w:val="008F4167"/>
    <w:rsid w:val="008F4235"/>
    <w:rsid w:val="008F4B2C"/>
    <w:rsid w:val="008F710A"/>
    <w:rsid w:val="008F7174"/>
    <w:rsid w:val="009004B2"/>
    <w:rsid w:val="00900C72"/>
    <w:rsid w:val="00905742"/>
    <w:rsid w:val="00913314"/>
    <w:rsid w:val="009159D6"/>
    <w:rsid w:val="00917B6B"/>
    <w:rsid w:val="009226C3"/>
    <w:rsid w:val="009235D8"/>
    <w:rsid w:val="0092382A"/>
    <w:rsid w:val="00923AA5"/>
    <w:rsid w:val="009249A1"/>
    <w:rsid w:val="0092615C"/>
    <w:rsid w:val="009272E3"/>
    <w:rsid w:val="009300B1"/>
    <w:rsid w:val="00931C02"/>
    <w:rsid w:val="00933177"/>
    <w:rsid w:val="009365D0"/>
    <w:rsid w:val="00940A87"/>
    <w:rsid w:val="00941812"/>
    <w:rsid w:val="009418BC"/>
    <w:rsid w:val="009444A1"/>
    <w:rsid w:val="00944E74"/>
    <w:rsid w:val="00945CCC"/>
    <w:rsid w:val="0094767B"/>
    <w:rsid w:val="009502E4"/>
    <w:rsid w:val="009511A7"/>
    <w:rsid w:val="0095190A"/>
    <w:rsid w:val="00953BC3"/>
    <w:rsid w:val="00953FE3"/>
    <w:rsid w:val="00954169"/>
    <w:rsid w:val="00954F44"/>
    <w:rsid w:val="00955657"/>
    <w:rsid w:val="00956AA9"/>
    <w:rsid w:val="009605D3"/>
    <w:rsid w:val="009622D5"/>
    <w:rsid w:val="00963149"/>
    <w:rsid w:val="009636DA"/>
    <w:rsid w:val="00963F60"/>
    <w:rsid w:val="009645B5"/>
    <w:rsid w:val="00965882"/>
    <w:rsid w:val="009725C0"/>
    <w:rsid w:val="00976337"/>
    <w:rsid w:val="00977024"/>
    <w:rsid w:val="0097706E"/>
    <w:rsid w:val="00985BB7"/>
    <w:rsid w:val="009862B4"/>
    <w:rsid w:val="0099069F"/>
    <w:rsid w:val="00990A4D"/>
    <w:rsid w:val="00991012"/>
    <w:rsid w:val="00992B09"/>
    <w:rsid w:val="009A6AE6"/>
    <w:rsid w:val="009B2AEE"/>
    <w:rsid w:val="009B3252"/>
    <w:rsid w:val="009B3446"/>
    <w:rsid w:val="009B34E4"/>
    <w:rsid w:val="009B3E4D"/>
    <w:rsid w:val="009B4E71"/>
    <w:rsid w:val="009C034B"/>
    <w:rsid w:val="009C064C"/>
    <w:rsid w:val="009C1D8B"/>
    <w:rsid w:val="009C268C"/>
    <w:rsid w:val="009C7582"/>
    <w:rsid w:val="009C76C3"/>
    <w:rsid w:val="009C78C7"/>
    <w:rsid w:val="009D0E94"/>
    <w:rsid w:val="009D2A62"/>
    <w:rsid w:val="009D3C0A"/>
    <w:rsid w:val="009D47D4"/>
    <w:rsid w:val="009D4921"/>
    <w:rsid w:val="009D52BB"/>
    <w:rsid w:val="009D6087"/>
    <w:rsid w:val="009D6BEF"/>
    <w:rsid w:val="009D791B"/>
    <w:rsid w:val="009E133E"/>
    <w:rsid w:val="009E1503"/>
    <w:rsid w:val="009E47B0"/>
    <w:rsid w:val="009E59BE"/>
    <w:rsid w:val="009E603D"/>
    <w:rsid w:val="009E648C"/>
    <w:rsid w:val="009F00A0"/>
    <w:rsid w:val="009F21D1"/>
    <w:rsid w:val="00A02515"/>
    <w:rsid w:val="00A02973"/>
    <w:rsid w:val="00A03D51"/>
    <w:rsid w:val="00A05B6A"/>
    <w:rsid w:val="00A104D4"/>
    <w:rsid w:val="00A1116E"/>
    <w:rsid w:val="00A14649"/>
    <w:rsid w:val="00A14AA6"/>
    <w:rsid w:val="00A14E37"/>
    <w:rsid w:val="00A157E1"/>
    <w:rsid w:val="00A15D57"/>
    <w:rsid w:val="00A17AC1"/>
    <w:rsid w:val="00A215C3"/>
    <w:rsid w:val="00A23201"/>
    <w:rsid w:val="00A2325C"/>
    <w:rsid w:val="00A259C3"/>
    <w:rsid w:val="00A25B3C"/>
    <w:rsid w:val="00A261CB"/>
    <w:rsid w:val="00A27F9F"/>
    <w:rsid w:val="00A32008"/>
    <w:rsid w:val="00A32757"/>
    <w:rsid w:val="00A35065"/>
    <w:rsid w:val="00A357AC"/>
    <w:rsid w:val="00A3586A"/>
    <w:rsid w:val="00A4182D"/>
    <w:rsid w:val="00A41BDF"/>
    <w:rsid w:val="00A436CA"/>
    <w:rsid w:val="00A44A3C"/>
    <w:rsid w:val="00A44DD8"/>
    <w:rsid w:val="00A45FD7"/>
    <w:rsid w:val="00A5236B"/>
    <w:rsid w:val="00A55C6D"/>
    <w:rsid w:val="00A60105"/>
    <w:rsid w:val="00A6134A"/>
    <w:rsid w:val="00A618A4"/>
    <w:rsid w:val="00A62BF2"/>
    <w:rsid w:val="00A63A3F"/>
    <w:rsid w:val="00A63EFA"/>
    <w:rsid w:val="00A63F26"/>
    <w:rsid w:val="00A666A1"/>
    <w:rsid w:val="00A667BB"/>
    <w:rsid w:val="00A66AF5"/>
    <w:rsid w:val="00A6785A"/>
    <w:rsid w:val="00A729A1"/>
    <w:rsid w:val="00A7355B"/>
    <w:rsid w:val="00A752C0"/>
    <w:rsid w:val="00A7669F"/>
    <w:rsid w:val="00A76D89"/>
    <w:rsid w:val="00A77DA7"/>
    <w:rsid w:val="00A8100F"/>
    <w:rsid w:val="00A821ED"/>
    <w:rsid w:val="00A83836"/>
    <w:rsid w:val="00A84630"/>
    <w:rsid w:val="00A8498E"/>
    <w:rsid w:val="00A85543"/>
    <w:rsid w:val="00A9363D"/>
    <w:rsid w:val="00A94648"/>
    <w:rsid w:val="00A94EB4"/>
    <w:rsid w:val="00A95B08"/>
    <w:rsid w:val="00AA0BFB"/>
    <w:rsid w:val="00AA4DC2"/>
    <w:rsid w:val="00AA777D"/>
    <w:rsid w:val="00AB0995"/>
    <w:rsid w:val="00AB09F8"/>
    <w:rsid w:val="00AB1252"/>
    <w:rsid w:val="00AB1C40"/>
    <w:rsid w:val="00AB2682"/>
    <w:rsid w:val="00AB3202"/>
    <w:rsid w:val="00AB3935"/>
    <w:rsid w:val="00AB4748"/>
    <w:rsid w:val="00AB599B"/>
    <w:rsid w:val="00AC054C"/>
    <w:rsid w:val="00AC1582"/>
    <w:rsid w:val="00AC5ECA"/>
    <w:rsid w:val="00AC6661"/>
    <w:rsid w:val="00AC6C37"/>
    <w:rsid w:val="00AD09A1"/>
    <w:rsid w:val="00AD12B3"/>
    <w:rsid w:val="00AD3538"/>
    <w:rsid w:val="00AD4FC1"/>
    <w:rsid w:val="00AD5B13"/>
    <w:rsid w:val="00AD6F4E"/>
    <w:rsid w:val="00AE090B"/>
    <w:rsid w:val="00AE30AA"/>
    <w:rsid w:val="00AE49AC"/>
    <w:rsid w:val="00AE611E"/>
    <w:rsid w:val="00AE79E7"/>
    <w:rsid w:val="00AF1FB3"/>
    <w:rsid w:val="00AF2343"/>
    <w:rsid w:val="00AF354B"/>
    <w:rsid w:val="00AF4796"/>
    <w:rsid w:val="00AF5250"/>
    <w:rsid w:val="00AF788C"/>
    <w:rsid w:val="00B0139C"/>
    <w:rsid w:val="00B02C41"/>
    <w:rsid w:val="00B04BD2"/>
    <w:rsid w:val="00B05269"/>
    <w:rsid w:val="00B07357"/>
    <w:rsid w:val="00B10447"/>
    <w:rsid w:val="00B11A53"/>
    <w:rsid w:val="00B13EF7"/>
    <w:rsid w:val="00B15676"/>
    <w:rsid w:val="00B1636B"/>
    <w:rsid w:val="00B167D3"/>
    <w:rsid w:val="00B16E50"/>
    <w:rsid w:val="00B20858"/>
    <w:rsid w:val="00B22981"/>
    <w:rsid w:val="00B23BC1"/>
    <w:rsid w:val="00B240A6"/>
    <w:rsid w:val="00B2419B"/>
    <w:rsid w:val="00B26990"/>
    <w:rsid w:val="00B26B23"/>
    <w:rsid w:val="00B30316"/>
    <w:rsid w:val="00B31C31"/>
    <w:rsid w:val="00B3218E"/>
    <w:rsid w:val="00B3308E"/>
    <w:rsid w:val="00B338BE"/>
    <w:rsid w:val="00B33A66"/>
    <w:rsid w:val="00B36CFD"/>
    <w:rsid w:val="00B418DE"/>
    <w:rsid w:val="00B41EF5"/>
    <w:rsid w:val="00B44BB2"/>
    <w:rsid w:val="00B46F04"/>
    <w:rsid w:val="00B50314"/>
    <w:rsid w:val="00B56EC8"/>
    <w:rsid w:val="00B57C98"/>
    <w:rsid w:val="00B65EAD"/>
    <w:rsid w:val="00B66DF6"/>
    <w:rsid w:val="00B7066D"/>
    <w:rsid w:val="00B71971"/>
    <w:rsid w:val="00B7525D"/>
    <w:rsid w:val="00B813B4"/>
    <w:rsid w:val="00B8548F"/>
    <w:rsid w:val="00B863B8"/>
    <w:rsid w:val="00B94569"/>
    <w:rsid w:val="00B9465C"/>
    <w:rsid w:val="00B94CFE"/>
    <w:rsid w:val="00B9553F"/>
    <w:rsid w:val="00B95804"/>
    <w:rsid w:val="00B97AE8"/>
    <w:rsid w:val="00BA6814"/>
    <w:rsid w:val="00BA6D42"/>
    <w:rsid w:val="00BA7A08"/>
    <w:rsid w:val="00BB0F8C"/>
    <w:rsid w:val="00BB170B"/>
    <w:rsid w:val="00BB1E1F"/>
    <w:rsid w:val="00BB2784"/>
    <w:rsid w:val="00BB389F"/>
    <w:rsid w:val="00BB470F"/>
    <w:rsid w:val="00BB5679"/>
    <w:rsid w:val="00BB6687"/>
    <w:rsid w:val="00BB74FA"/>
    <w:rsid w:val="00BB7E19"/>
    <w:rsid w:val="00BC422D"/>
    <w:rsid w:val="00BC4AE4"/>
    <w:rsid w:val="00BC75FD"/>
    <w:rsid w:val="00BC7D1B"/>
    <w:rsid w:val="00BD04C2"/>
    <w:rsid w:val="00BD09F2"/>
    <w:rsid w:val="00BD2C70"/>
    <w:rsid w:val="00BD3A03"/>
    <w:rsid w:val="00BD4183"/>
    <w:rsid w:val="00BD48F1"/>
    <w:rsid w:val="00BE290B"/>
    <w:rsid w:val="00BE3365"/>
    <w:rsid w:val="00BE70B7"/>
    <w:rsid w:val="00BE7B3B"/>
    <w:rsid w:val="00BE7E2A"/>
    <w:rsid w:val="00BF211B"/>
    <w:rsid w:val="00BF35AC"/>
    <w:rsid w:val="00BF3E21"/>
    <w:rsid w:val="00BF6290"/>
    <w:rsid w:val="00C015CC"/>
    <w:rsid w:val="00C05B77"/>
    <w:rsid w:val="00C07213"/>
    <w:rsid w:val="00C07DBC"/>
    <w:rsid w:val="00C10778"/>
    <w:rsid w:val="00C109A0"/>
    <w:rsid w:val="00C10F84"/>
    <w:rsid w:val="00C1329B"/>
    <w:rsid w:val="00C141C2"/>
    <w:rsid w:val="00C141DC"/>
    <w:rsid w:val="00C15771"/>
    <w:rsid w:val="00C17F6E"/>
    <w:rsid w:val="00C202FE"/>
    <w:rsid w:val="00C21CF4"/>
    <w:rsid w:val="00C22817"/>
    <w:rsid w:val="00C26FE6"/>
    <w:rsid w:val="00C3087D"/>
    <w:rsid w:val="00C30EAF"/>
    <w:rsid w:val="00C31E02"/>
    <w:rsid w:val="00C322B0"/>
    <w:rsid w:val="00C3243E"/>
    <w:rsid w:val="00C32C9F"/>
    <w:rsid w:val="00C33C5F"/>
    <w:rsid w:val="00C36293"/>
    <w:rsid w:val="00C3771D"/>
    <w:rsid w:val="00C40687"/>
    <w:rsid w:val="00C4087A"/>
    <w:rsid w:val="00C42EB6"/>
    <w:rsid w:val="00C432A2"/>
    <w:rsid w:val="00C435E7"/>
    <w:rsid w:val="00C461A3"/>
    <w:rsid w:val="00C52062"/>
    <w:rsid w:val="00C541FE"/>
    <w:rsid w:val="00C563E0"/>
    <w:rsid w:val="00C57213"/>
    <w:rsid w:val="00C57E72"/>
    <w:rsid w:val="00C6132E"/>
    <w:rsid w:val="00C6392B"/>
    <w:rsid w:val="00C64067"/>
    <w:rsid w:val="00C71A7A"/>
    <w:rsid w:val="00C73354"/>
    <w:rsid w:val="00C73C5A"/>
    <w:rsid w:val="00C7463E"/>
    <w:rsid w:val="00C7548E"/>
    <w:rsid w:val="00C77301"/>
    <w:rsid w:val="00C77E4E"/>
    <w:rsid w:val="00C81519"/>
    <w:rsid w:val="00C815EE"/>
    <w:rsid w:val="00C824E3"/>
    <w:rsid w:val="00C8257F"/>
    <w:rsid w:val="00C84FB5"/>
    <w:rsid w:val="00C87A16"/>
    <w:rsid w:val="00C961CF"/>
    <w:rsid w:val="00CA06BA"/>
    <w:rsid w:val="00CA07D8"/>
    <w:rsid w:val="00CA1C91"/>
    <w:rsid w:val="00CA21CF"/>
    <w:rsid w:val="00CA58AD"/>
    <w:rsid w:val="00CA6138"/>
    <w:rsid w:val="00CA7489"/>
    <w:rsid w:val="00CB0235"/>
    <w:rsid w:val="00CB2FE6"/>
    <w:rsid w:val="00CB5A83"/>
    <w:rsid w:val="00CB79BB"/>
    <w:rsid w:val="00CB7BFF"/>
    <w:rsid w:val="00CC0B03"/>
    <w:rsid w:val="00CC0D42"/>
    <w:rsid w:val="00CC2668"/>
    <w:rsid w:val="00CC4618"/>
    <w:rsid w:val="00CD08CE"/>
    <w:rsid w:val="00CD4D26"/>
    <w:rsid w:val="00CD6159"/>
    <w:rsid w:val="00CD70E1"/>
    <w:rsid w:val="00CE02C2"/>
    <w:rsid w:val="00CE0F93"/>
    <w:rsid w:val="00CE1F5B"/>
    <w:rsid w:val="00CE2539"/>
    <w:rsid w:val="00CE29FF"/>
    <w:rsid w:val="00CF0DB4"/>
    <w:rsid w:val="00CF1792"/>
    <w:rsid w:val="00CF261D"/>
    <w:rsid w:val="00CF2DD1"/>
    <w:rsid w:val="00CF47FA"/>
    <w:rsid w:val="00CF6846"/>
    <w:rsid w:val="00D00ED2"/>
    <w:rsid w:val="00D05752"/>
    <w:rsid w:val="00D063B5"/>
    <w:rsid w:val="00D06631"/>
    <w:rsid w:val="00D07A18"/>
    <w:rsid w:val="00D10FE5"/>
    <w:rsid w:val="00D1185E"/>
    <w:rsid w:val="00D13179"/>
    <w:rsid w:val="00D16081"/>
    <w:rsid w:val="00D166C1"/>
    <w:rsid w:val="00D219EB"/>
    <w:rsid w:val="00D23F70"/>
    <w:rsid w:val="00D24ACC"/>
    <w:rsid w:val="00D24FAA"/>
    <w:rsid w:val="00D26AF7"/>
    <w:rsid w:val="00D26BCA"/>
    <w:rsid w:val="00D3168B"/>
    <w:rsid w:val="00D3578B"/>
    <w:rsid w:val="00D43AA4"/>
    <w:rsid w:val="00D440B0"/>
    <w:rsid w:val="00D45A5E"/>
    <w:rsid w:val="00D50A30"/>
    <w:rsid w:val="00D54A94"/>
    <w:rsid w:val="00D54BCA"/>
    <w:rsid w:val="00D55D45"/>
    <w:rsid w:val="00D57320"/>
    <w:rsid w:val="00D618EF"/>
    <w:rsid w:val="00D61A60"/>
    <w:rsid w:val="00D64DFA"/>
    <w:rsid w:val="00D65199"/>
    <w:rsid w:val="00D66DE8"/>
    <w:rsid w:val="00D66EFB"/>
    <w:rsid w:val="00D728B0"/>
    <w:rsid w:val="00D7425D"/>
    <w:rsid w:val="00D742F4"/>
    <w:rsid w:val="00D7503E"/>
    <w:rsid w:val="00D75989"/>
    <w:rsid w:val="00D76C83"/>
    <w:rsid w:val="00D85F16"/>
    <w:rsid w:val="00D90224"/>
    <w:rsid w:val="00D90DDD"/>
    <w:rsid w:val="00D912BE"/>
    <w:rsid w:val="00D916D0"/>
    <w:rsid w:val="00D91A9D"/>
    <w:rsid w:val="00D9483B"/>
    <w:rsid w:val="00D95B3A"/>
    <w:rsid w:val="00DA01FB"/>
    <w:rsid w:val="00DA1C13"/>
    <w:rsid w:val="00DA2509"/>
    <w:rsid w:val="00DA2D18"/>
    <w:rsid w:val="00DA784D"/>
    <w:rsid w:val="00DB46FA"/>
    <w:rsid w:val="00DB4DD0"/>
    <w:rsid w:val="00DB5B72"/>
    <w:rsid w:val="00DC2907"/>
    <w:rsid w:val="00DC3262"/>
    <w:rsid w:val="00DC4CA7"/>
    <w:rsid w:val="00DD1C4A"/>
    <w:rsid w:val="00DD3E65"/>
    <w:rsid w:val="00DD57F9"/>
    <w:rsid w:val="00DD6AF8"/>
    <w:rsid w:val="00DD730D"/>
    <w:rsid w:val="00DE37CF"/>
    <w:rsid w:val="00DE3AA6"/>
    <w:rsid w:val="00DE5094"/>
    <w:rsid w:val="00DE5455"/>
    <w:rsid w:val="00DE77B0"/>
    <w:rsid w:val="00DE7858"/>
    <w:rsid w:val="00DE7C87"/>
    <w:rsid w:val="00DF1C74"/>
    <w:rsid w:val="00DF51A0"/>
    <w:rsid w:val="00DF5272"/>
    <w:rsid w:val="00DF57E0"/>
    <w:rsid w:val="00DF64D6"/>
    <w:rsid w:val="00DF682F"/>
    <w:rsid w:val="00E03F87"/>
    <w:rsid w:val="00E0702B"/>
    <w:rsid w:val="00E16EEF"/>
    <w:rsid w:val="00E16FAE"/>
    <w:rsid w:val="00E21081"/>
    <w:rsid w:val="00E24419"/>
    <w:rsid w:val="00E249E4"/>
    <w:rsid w:val="00E303CE"/>
    <w:rsid w:val="00E343FF"/>
    <w:rsid w:val="00E34EEE"/>
    <w:rsid w:val="00E352D4"/>
    <w:rsid w:val="00E35370"/>
    <w:rsid w:val="00E37007"/>
    <w:rsid w:val="00E3771E"/>
    <w:rsid w:val="00E42483"/>
    <w:rsid w:val="00E45620"/>
    <w:rsid w:val="00E46AB9"/>
    <w:rsid w:val="00E471CF"/>
    <w:rsid w:val="00E479EB"/>
    <w:rsid w:val="00E47F50"/>
    <w:rsid w:val="00E51404"/>
    <w:rsid w:val="00E5410C"/>
    <w:rsid w:val="00E544E2"/>
    <w:rsid w:val="00E54539"/>
    <w:rsid w:val="00E55485"/>
    <w:rsid w:val="00E57555"/>
    <w:rsid w:val="00E63E89"/>
    <w:rsid w:val="00E64611"/>
    <w:rsid w:val="00E64A9E"/>
    <w:rsid w:val="00E64EC1"/>
    <w:rsid w:val="00E6553B"/>
    <w:rsid w:val="00E66CB8"/>
    <w:rsid w:val="00E66F04"/>
    <w:rsid w:val="00E672AD"/>
    <w:rsid w:val="00E67304"/>
    <w:rsid w:val="00E73645"/>
    <w:rsid w:val="00E740C4"/>
    <w:rsid w:val="00E75AFE"/>
    <w:rsid w:val="00E75B8B"/>
    <w:rsid w:val="00E81D2A"/>
    <w:rsid w:val="00E82F17"/>
    <w:rsid w:val="00E84A07"/>
    <w:rsid w:val="00E861D9"/>
    <w:rsid w:val="00E86FBD"/>
    <w:rsid w:val="00E877C0"/>
    <w:rsid w:val="00E90515"/>
    <w:rsid w:val="00E91264"/>
    <w:rsid w:val="00E9245C"/>
    <w:rsid w:val="00E95B2E"/>
    <w:rsid w:val="00E95DF2"/>
    <w:rsid w:val="00E95E04"/>
    <w:rsid w:val="00E972DE"/>
    <w:rsid w:val="00EA2622"/>
    <w:rsid w:val="00EA3ACD"/>
    <w:rsid w:val="00EA43F9"/>
    <w:rsid w:val="00EA6427"/>
    <w:rsid w:val="00EA7A3F"/>
    <w:rsid w:val="00EB67C3"/>
    <w:rsid w:val="00EB755F"/>
    <w:rsid w:val="00EB7E46"/>
    <w:rsid w:val="00EB7F1D"/>
    <w:rsid w:val="00EC2D3E"/>
    <w:rsid w:val="00EC35C7"/>
    <w:rsid w:val="00EC4616"/>
    <w:rsid w:val="00EC53B6"/>
    <w:rsid w:val="00ED0DBD"/>
    <w:rsid w:val="00ED104E"/>
    <w:rsid w:val="00ED135D"/>
    <w:rsid w:val="00ED2096"/>
    <w:rsid w:val="00ED3455"/>
    <w:rsid w:val="00ED39B9"/>
    <w:rsid w:val="00ED64E8"/>
    <w:rsid w:val="00ED75A5"/>
    <w:rsid w:val="00ED788C"/>
    <w:rsid w:val="00EE06A5"/>
    <w:rsid w:val="00EE1627"/>
    <w:rsid w:val="00EE1FBC"/>
    <w:rsid w:val="00EE3890"/>
    <w:rsid w:val="00EE4F1E"/>
    <w:rsid w:val="00EE6AD9"/>
    <w:rsid w:val="00EF2A0F"/>
    <w:rsid w:val="00EF4A2F"/>
    <w:rsid w:val="00EF595F"/>
    <w:rsid w:val="00EF66EA"/>
    <w:rsid w:val="00F0018A"/>
    <w:rsid w:val="00F01840"/>
    <w:rsid w:val="00F023C0"/>
    <w:rsid w:val="00F07377"/>
    <w:rsid w:val="00F111A6"/>
    <w:rsid w:val="00F12A4F"/>
    <w:rsid w:val="00F14063"/>
    <w:rsid w:val="00F140B7"/>
    <w:rsid w:val="00F152E2"/>
    <w:rsid w:val="00F16828"/>
    <w:rsid w:val="00F206C3"/>
    <w:rsid w:val="00F208EE"/>
    <w:rsid w:val="00F218DC"/>
    <w:rsid w:val="00F22B08"/>
    <w:rsid w:val="00F24398"/>
    <w:rsid w:val="00F25180"/>
    <w:rsid w:val="00F26CD3"/>
    <w:rsid w:val="00F30092"/>
    <w:rsid w:val="00F336E7"/>
    <w:rsid w:val="00F41A95"/>
    <w:rsid w:val="00F41AFE"/>
    <w:rsid w:val="00F43436"/>
    <w:rsid w:val="00F4713A"/>
    <w:rsid w:val="00F5157E"/>
    <w:rsid w:val="00F51707"/>
    <w:rsid w:val="00F526DD"/>
    <w:rsid w:val="00F53CEC"/>
    <w:rsid w:val="00F55142"/>
    <w:rsid w:val="00F63318"/>
    <w:rsid w:val="00F640A4"/>
    <w:rsid w:val="00F6607D"/>
    <w:rsid w:val="00F6627A"/>
    <w:rsid w:val="00F67EF1"/>
    <w:rsid w:val="00F70B7D"/>
    <w:rsid w:val="00F70E09"/>
    <w:rsid w:val="00F747A5"/>
    <w:rsid w:val="00F7754A"/>
    <w:rsid w:val="00F77F20"/>
    <w:rsid w:val="00F77F27"/>
    <w:rsid w:val="00F8022C"/>
    <w:rsid w:val="00F815AA"/>
    <w:rsid w:val="00F82124"/>
    <w:rsid w:val="00F826F6"/>
    <w:rsid w:val="00F83048"/>
    <w:rsid w:val="00F841CD"/>
    <w:rsid w:val="00F8493A"/>
    <w:rsid w:val="00F86886"/>
    <w:rsid w:val="00F86A05"/>
    <w:rsid w:val="00F86AA0"/>
    <w:rsid w:val="00F878AC"/>
    <w:rsid w:val="00F903EF"/>
    <w:rsid w:val="00F91CE0"/>
    <w:rsid w:val="00F92CAC"/>
    <w:rsid w:val="00F93ACC"/>
    <w:rsid w:val="00F93BAB"/>
    <w:rsid w:val="00F94D7B"/>
    <w:rsid w:val="00F951AB"/>
    <w:rsid w:val="00F95912"/>
    <w:rsid w:val="00FA1462"/>
    <w:rsid w:val="00FA3F8D"/>
    <w:rsid w:val="00FA4DB5"/>
    <w:rsid w:val="00FA7117"/>
    <w:rsid w:val="00FA7DBD"/>
    <w:rsid w:val="00FB02CD"/>
    <w:rsid w:val="00FB238D"/>
    <w:rsid w:val="00FB6897"/>
    <w:rsid w:val="00FB75B9"/>
    <w:rsid w:val="00FC0E78"/>
    <w:rsid w:val="00FC16EA"/>
    <w:rsid w:val="00FC4E0B"/>
    <w:rsid w:val="00FC52B3"/>
    <w:rsid w:val="00FC6C76"/>
    <w:rsid w:val="00FD03C2"/>
    <w:rsid w:val="00FD1515"/>
    <w:rsid w:val="00FD2953"/>
    <w:rsid w:val="00FD4FBB"/>
    <w:rsid w:val="00FD5107"/>
    <w:rsid w:val="00FD629C"/>
    <w:rsid w:val="00FD724A"/>
    <w:rsid w:val="00FE02F3"/>
    <w:rsid w:val="00FE25DF"/>
    <w:rsid w:val="00FE2C2A"/>
    <w:rsid w:val="00FE41CE"/>
    <w:rsid w:val="00FE541B"/>
    <w:rsid w:val="00FE54C0"/>
    <w:rsid w:val="00FE61C5"/>
    <w:rsid w:val="00FE6325"/>
    <w:rsid w:val="00FE6C31"/>
    <w:rsid w:val="00FE7209"/>
    <w:rsid w:val="00FE75B5"/>
    <w:rsid w:val="00FE7A41"/>
    <w:rsid w:val="00FF22F8"/>
    <w:rsid w:val="00FF41C3"/>
    <w:rsid w:val="00FF59E9"/>
    <w:rsid w:val="00FF5B90"/>
    <w:rsid w:val="00FF67D8"/>
    <w:rsid w:val="00FF7060"/>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C3204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316"/>
    <w:rPr>
      <w:sz w:val="24"/>
      <w:szCs w:val="24"/>
    </w:rPr>
  </w:style>
  <w:style w:type="paragraph" w:styleId="Heading1">
    <w:name w:val="heading 1"/>
    <w:basedOn w:val="Normal"/>
    <w:next w:val="Normal"/>
    <w:link w:val="Heading1Char"/>
    <w:qFormat/>
    <w:rsid w:val="000768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0768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03F87"/>
    <w:rPr>
      <w:color w:val="0563C1" w:themeColor="hyperlink"/>
      <w:u w:val="single"/>
    </w:rPr>
  </w:style>
  <w:style w:type="paragraph" w:styleId="FootnoteText">
    <w:name w:val="footnote text"/>
    <w:basedOn w:val="Normal"/>
    <w:link w:val="FootnoteTextChar"/>
    <w:uiPriority w:val="99"/>
    <w:unhideWhenUsed/>
    <w:rsid w:val="00E03F87"/>
    <w:rPr>
      <w:sz w:val="20"/>
      <w:szCs w:val="20"/>
      <w:lang w:eastAsia="en-US"/>
    </w:rPr>
  </w:style>
  <w:style w:type="character" w:customStyle="1" w:styleId="FootnoteTextChar">
    <w:name w:val="Footnote Text Char"/>
    <w:basedOn w:val="DefaultParagraphFont"/>
    <w:link w:val="FootnoteText"/>
    <w:uiPriority w:val="99"/>
    <w:rsid w:val="00E03F87"/>
    <w:rPr>
      <w:lang w:eastAsia="en-US"/>
    </w:rPr>
  </w:style>
  <w:style w:type="character" w:styleId="FootnoteReference">
    <w:name w:val="footnote reference"/>
    <w:basedOn w:val="DefaultParagraphFont"/>
    <w:uiPriority w:val="99"/>
    <w:unhideWhenUsed/>
    <w:rsid w:val="00E03F87"/>
    <w:rPr>
      <w:vertAlign w:val="superscript"/>
    </w:rPr>
  </w:style>
  <w:style w:type="character" w:customStyle="1" w:styleId="cite-as">
    <w:name w:val="cite-as"/>
    <w:basedOn w:val="DefaultParagraphFont"/>
    <w:rsid w:val="00AB1252"/>
  </w:style>
  <w:style w:type="character" w:styleId="Emphasis">
    <w:name w:val="Emphasis"/>
    <w:basedOn w:val="DefaultParagraphFont"/>
    <w:uiPriority w:val="20"/>
    <w:qFormat/>
    <w:rsid w:val="00AB1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1906">
      <w:bodyDiv w:val="1"/>
      <w:marLeft w:val="0"/>
      <w:marRight w:val="0"/>
      <w:marTop w:val="0"/>
      <w:marBottom w:val="0"/>
      <w:divBdr>
        <w:top w:val="none" w:sz="0" w:space="0" w:color="auto"/>
        <w:left w:val="none" w:sz="0" w:space="0" w:color="auto"/>
        <w:bottom w:val="none" w:sz="0" w:space="0" w:color="auto"/>
        <w:right w:val="none" w:sz="0" w:space="0" w:color="auto"/>
      </w:divBdr>
      <w:divsChild>
        <w:div w:id="1050416433">
          <w:marLeft w:val="0"/>
          <w:marRight w:val="0"/>
          <w:marTop w:val="0"/>
          <w:marBottom w:val="150"/>
          <w:divBdr>
            <w:top w:val="none" w:sz="0" w:space="0" w:color="auto"/>
            <w:left w:val="none" w:sz="0" w:space="0" w:color="auto"/>
            <w:bottom w:val="none" w:sz="0" w:space="0" w:color="auto"/>
            <w:right w:val="none" w:sz="0" w:space="0" w:color="auto"/>
          </w:divBdr>
        </w:div>
        <w:div w:id="1955744913">
          <w:marLeft w:val="0"/>
          <w:marRight w:val="0"/>
          <w:marTop w:val="0"/>
          <w:marBottom w:val="150"/>
          <w:divBdr>
            <w:top w:val="none" w:sz="0" w:space="0" w:color="auto"/>
            <w:left w:val="none" w:sz="0" w:space="0" w:color="auto"/>
            <w:bottom w:val="none" w:sz="0" w:space="0" w:color="auto"/>
            <w:right w:val="none" w:sz="0" w:space="0" w:color="auto"/>
          </w:divBdr>
        </w:div>
      </w:divsChild>
    </w:div>
    <w:div w:id="125705367">
      <w:bodyDiv w:val="1"/>
      <w:marLeft w:val="0"/>
      <w:marRight w:val="0"/>
      <w:marTop w:val="0"/>
      <w:marBottom w:val="0"/>
      <w:divBdr>
        <w:top w:val="none" w:sz="0" w:space="0" w:color="auto"/>
        <w:left w:val="none" w:sz="0" w:space="0" w:color="auto"/>
        <w:bottom w:val="none" w:sz="0" w:space="0" w:color="auto"/>
        <w:right w:val="none" w:sz="0" w:space="0" w:color="auto"/>
      </w:divBdr>
    </w:div>
    <w:div w:id="242302718">
      <w:bodyDiv w:val="1"/>
      <w:marLeft w:val="0"/>
      <w:marRight w:val="0"/>
      <w:marTop w:val="0"/>
      <w:marBottom w:val="0"/>
      <w:divBdr>
        <w:top w:val="none" w:sz="0" w:space="0" w:color="auto"/>
        <w:left w:val="none" w:sz="0" w:space="0" w:color="auto"/>
        <w:bottom w:val="none" w:sz="0" w:space="0" w:color="auto"/>
        <w:right w:val="none" w:sz="0" w:space="0" w:color="auto"/>
      </w:divBdr>
    </w:div>
    <w:div w:id="389764365">
      <w:bodyDiv w:val="1"/>
      <w:marLeft w:val="0"/>
      <w:marRight w:val="0"/>
      <w:marTop w:val="0"/>
      <w:marBottom w:val="0"/>
      <w:divBdr>
        <w:top w:val="none" w:sz="0" w:space="0" w:color="auto"/>
        <w:left w:val="none" w:sz="0" w:space="0" w:color="auto"/>
        <w:bottom w:val="none" w:sz="0" w:space="0" w:color="auto"/>
        <w:right w:val="none" w:sz="0" w:space="0" w:color="auto"/>
      </w:divBdr>
    </w:div>
    <w:div w:id="442770535">
      <w:bodyDiv w:val="1"/>
      <w:marLeft w:val="0"/>
      <w:marRight w:val="0"/>
      <w:marTop w:val="0"/>
      <w:marBottom w:val="0"/>
      <w:divBdr>
        <w:top w:val="none" w:sz="0" w:space="0" w:color="auto"/>
        <w:left w:val="none" w:sz="0" w:space="0" w:color="auto"/>
        <w:bottom w:val="none" w:sz="0" w:space="0" w:color="auto"/>
        <w:right w:val="none" w:sz="0" w:space="0" w:color="auto"/>
      </w:divBdr>
    </w:div>
    <w:div w:id="470556264">
      <w:bodyDiv w:val="1"/>
      <w:marLeft w:val="0"/>
      <w:marRight w:val="0"/>
      <w:marTop w:val="0"/>
      <w:marBottom w:val="0"/>
      <w:divBdr>
        <w:top w:val="none" w:sz="0" w:space="0" w:color="auto"/>
        <w:left w:val="none" w:sz="0" w:space="0" w:color="auto"/>
        <w:bottom w:val="none" w:sz="0" w:space="0" w:color="auto"/>
        <w:right w:val="none" w:sz="0" w:space="0" w:color="auto"/>
      </w:divBdr>
      <w:divsChild>
        <w:div w:id="1340545287">
          <w:marLeft w:val="0"/>
          <w:marRight w:val="0"/>
          <w:marTop w:val="0"/>
          <w:marBottom w:val="150"/>
          <w:divBdr>
            <w:top w:val="none" w:sz="0" w:space="0" w:color="auto"/>
            <w:left w:val="none" w:sz="0" w:space="0" w:color="auto"/>
            <w:bottom w:val="none" w:sz="0" w:space="0" w:color="auto"/>
            <w:right w:val="none" w:sz="0" w:space="0" w:color="auto"/>
          </w:divBdr>
        </w:div>
        <w:div w:id="851455803">
          <w:marLeft w:val="0"/>
          <w:marRight w:val="0"/>
          <w:marTop w:val="0"/>
          <w:marBottom w:val="150"/>
          <w:divBdr>
            <w:top w:val="none" w:sz="0" w:space="0" w:color="auto"/>
            <w:left w:val="none" w:sz="0" w:space="0" w:color="auto"/>
            <w:bottom w:val="none" w:sz="0" w:space="0" w:color="auto"/>
            <w:right w:val="none" w:sz="0" w:space="0" w:color="auto"/>
          </w:divBdr>
        </w:div>
        <w:div w:id="321811645">
          <w:marLeft w:val="0"/>
          <w:marRight w:val="0"/>
          <w:marTop w:val="0"/>
          <w:marBottom w:val="150"/>
          <w:divBdr>
            <w:top w:val="none" w:sz="0" w:space="0" w:color="auto"/>
            <w:left w:val="none" w:sz="0" w:space="0" w:color="auto"/>
            <w:bottom w:val="none" w:sz="0" w:space="0" w:color="auto"/>
            <w:right w:val="none" w:sz="0" w:space="0" w:color="auto"/>
          </w:divBdr>
        </w:div>
      </w:divsChild>
    </w:div>
    <w:div w:id="537816021">
      <w:bodyDiv w:val="1"/>
      <w:marLeft w:val="0"/>
      <w:marRight w:val="0"/>
      <w:marTop w:val="0"/>
      <w:marBottom w:val="0"/>
      <w:divBdr>
        <w:top w:val="none" w:sz="0" w:space="0" w:color="auto"/>
        <w:left w:val="none" w:sz="0" w:space="0" w:color="auto"/>
        <w:bottom w:val="none" w:sz="0" w:space="0" w:color="auto"/>
        <w:right w:val="none" w:sz="0" w:space="0" w:color="auto"/>
      </w:divBdr>
    </w:div>
    <w:div w:id="655568039">
      <w:bodyDiv w:val="1"/>
      <w:marLeft w:val="0"/>
      <w:marRight w:val="0"/>
      <w:marTop w:val="0"/>
      <w:marBottom w:val="0"/>
      <w:divBdr>
        <w:top w:val="none" w:sz="0" w:space="0" w:color="auto"/>
        <w:left w:val="none" w:sz="0" w:space="0" w:color="auto"/>
        <w:bottom w:val="none" w:sz="0" w:space="0" w:color="auto"/>
        <w:right w:val="none" w:sz="0" w:space="0" w:color="auto"/>
      </w:divBdr>
    </w:div>
    <w:div w:id="724262300">
      <w:bodyDiv w:val="1"/>
      <w:marLeft w:val="0"/>
      <w:marRight w:val="0"/>
      <w:marTop w:val="0"/>
      <w:marBottom w:val="0"/>
      <w:divBdr>
        <w:top w:val="none" w:sz="0" w:space="0" w:color="auto"/>
        <w:left w:val="none" w:sz="0" w:space="0" w:color="auto"/>
        <w:bottom w:val="none" w:sz="0" w:space="0" w:color="auto"/>
        <w:right w:val="none" w:sz="0" w:space="0" w:color="auto"/>
      </w:divBdr>
      <w:divsChild>
        <w:div w:id="485778704">
          <w:marLeft w:val="0"/>
          <w:marRight w:val="0"/>
          <w:marTop w:val="0"/>
          <w:marBottom w:val="150"/>
          <w:divBdr>
            <w:top w:val="none" w:sz="0" w:space="0" w:color="auto"/>
            <w:left w:val="none" w:sz="0" w:space="0" w:color="auto"/>
            <w:bottom w:val="none" w:sz="0" w:space="0" w:color="auto"/>
            <w:right w:val="none" w:sz="0" w:space="0" w:color="auto"/>
          </w:divBdr>
        </w:div>
        <w:div w:id="1335841877">
          <w:marLeft w:val="0"/>
          <w:marRight w:val="0"/>
          <w:marTop w:val="0"/>
          <w:marBottom w:val="150"/>
          <w:divBdr>
            <w:top w:val="none" w:sz="0" w:space="0" w:color="auto"/>
            <w:left w:val="none" w:sz="0" w:space="0" w:color="auto"/>
            <w:bottom w:val="none" w:sz="0" w:space="0" w:color="auto"/>
            <w:right w:val="none" w:sz="0" w:space="0" w:color="auto"/>
          </w:divBdr>
        </w:div>
        <w:div w:id="1514997632">
          <w:marLeft w:val="0"/>
          <w:marRight w:val="0"/>
          <w:marTop w:val="0"/>
          <w:marBottom w:val="150"/>
          <w:divBdr>
            <w:top w:val="none" w:sz="0" w:space="0" w:color="auto"/>
            <w:left w:val="none" w:sz="0" w:space="0" w:color="auto"/>
            <w:bottom w:val="none" w:sz="0" w:space="0" w:color="auto"/>
            <w:right w:val="none" w:sz="0" w:space="0" w:color="auto"/>
          </w:divBdr>
        </w:div>
        <w:div w:id="885606125">
          <w:marLeft w:val="0"/>
          <w:marRight w:val="0"/>
          <w:marTop w:val="0"/>
          <w:marBottom w:val="150"/>
          <w:divBdr>
            <w:top w:val="none" w:sz="0" w:space="0" w:color="auto"/>
            <w:left w:val="none" w:sz="0" w:space="0" w:color="auto"/>
            <w:bottom w:val="none" w:sz="0" w:space="0" w:color="auto"/>
            <w:right w:val="none" w:sz="0" w:space="0" w:color="auto"/>
          </w:divBdr>
        </w:div>
        <w:div w:id="425686596">
          <w:marLeft w:val="0"/>
          <w:marRight w:val="0"/>
          <w:marTop w:val="0"/>
          <w:marBottom w:val="150"/>
          <w:divBdr>
            <w:top w:val="none" w:sz="0" w:space="0" w:color="auto"/>
            <w:left w:val="none" w:sz="0" w:space="0" w:color="auto"/>
            <w:bottom w:val="none" w:sz="0" w:space="0" w:color="auto"/>
            <w:right w:val="none" w:sz="0" w:space="0" w:color="auto"/>
          </w:divBdr>
        </w:div>
      </w:divsChild>
    </w:div>
    <w:div w:id="846359592">
      <w:bodyDiv w:val="1"/>
      <w:marLeft w:val="0"/>
      <w:marRight w:val="0"/>
      <w:marTop w:val="0"/>
      <w:marBottom w:val="0"/>
      <w:divBdr>
        <w:top w:val="none" w:sz="0" w:space="0" w:color="auto"/>
        <w:left w:val="none" w:sz="0" w:space="0" w:color="auto"/>
        <w:bottom w:val="none" w:sz="0" w:space="0" w:color="auto"/>
        <w:right w:val="none" w:sz="0" w:space="0" w:color="auto"/>
      </w:divBdr>
    </w:div>
    <w:div w:id="950627886">
      <w:bodyDiv w:val="1"/>
      <w:marLeft w:val="0"/>
      <w:marRight w:val="0"/>
      <w:marTop w:val="0"/>
      <w:marBottom w:val="0"/>
      <w:divBdr>
        <w:top w:val="none" w:sz="0" w:space="0" w:color="auto"/>
        <w:left w:val="none" w:sz="0" w:space="0" w:color="auto"/>
        <w:bottom w:val="none" w:sz="0" w:space="0" w:color="auto"/>
        <w:right w:val="none" w:sz="0" w:space="0" w:color="auto"/>
      </w:divBdr>
    </w:div>
    <w:div w:id="1376926451">
      <w:bodyDiv w:val="1"/>
      <w:marLeft w:val="0"/>
      <w:marRight w:val="0"/>
      <w:marTop w:val="0"/>
      <w:marBottom w:val="0"/>
      <w:divBdr>
        <w:top w:val="none" w:sz="0" w:space="0" w:color="auto"/>
        <w:left w:val="none" w:sz="0" w:space="0" w:color="auto"/>
        <w:bottom w:val="none" w:sz="0" w:space="0" w:color="auto"/>
        <w:right w:val="none" w:sz="0" w:space="0" w:color="auto"/>
      </w:divBdr>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 w:id="1415667463">
      <w:bodyDiv w:val="1"/>
      <w:marLeft w:val="0"/>
      <w:marRight w:val="0"/>
      <w:marTop w:val="0"/>
      <w:marBottom w:val="0"/>
      <w:divBdr>
        <w:top w:val="none" w:sz="0" w:space="0" w:color="auto"/>
        <w:left w:val="none" w:sz="0" w:space="0" w:color="auto"/>
        <w:bottom w:val="none" w:sz="0" w:space="0" w:color="auto"/>
        <w:right w:val="none" w:sz="0" w:space="0" w:color="auto"/>
      </w:divBdr>
    </w:div>
    <w:div w:id="2014331877">
      <w:bodyDiv w:val="1"/>
      <w:marLeft w:val="0"/>
      <w:marRight w:val="0"/>
      <w:marTop w:val="0"/>
      <w:marBottom w:val="0"/>
      <w:divBdr>
        <w:top w:val="none" w:sz="0" w:space="0" w:color="auto"/>
        <w:left w:val="none" w:sz="0" w:space="0" w:color="auto"/>
        <w:bottom w:val="none" w:sz="0" w:space="0" w:color="auto"/>
        <w:right w:val="none" w:sz="0" w:space="0" w:color="auto"/>
      </w:divBdr>
    </w:div>
    <w:div w:id="21161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0B3A-ED70-4A3B-AB0E-4DA9AC6D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36504</Words>
  <Characters>188079</Characters>
  <Application>Microsoft Office Word</Application>
  <DocSecurity>0</DocSecurity>
  <Lines>1567</Lines>
  <Paragraphs>448</Paragraphs>
  <ScaleCrop>false</ScaleCrop>
  <Company/>
  <LinksUpToDate>false</LinksUpToDate>
  <CharactersWithSpaces>224135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2021-11-26T12:35:00Z</dcterms:created>
  <dcterms:modified xsi:type="dcterms:W3CDTF">2021-11-26T12:35:00Z</dcterms:modified>
</cp:coreProperties>
</file>